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06DCA">
      <w:pPr>
        <w:pStyle w:val="17"/>
        <w:spacing w:line="240" w:lineRule="auto"/>
        <w:ind w:left="0"/>
        <w:rPr>
          <w:rFonts w:hint="default" w:ascii="Times New Roman" w:hAnsi="Times New Roman" w:cs="Times New Roman"/>
          <w:b/>
          <w:sz w:val="36"/>
          <w:szCs w:val="36"/>
        </w:rPr>
      </w:pPr>
    </w:p>
    <w:p w14:paraId="5AA9F0BD">
      <w:pPr>
        <w:pStyle w:val="17"/>
        <w:spacing w:line="240" w:lineRule="auto"/>
        <w:ind w:left="0"/>
        <w:rPr>
          <w:rFonts w:hint="default" w:ascii="Times New Roman" w:hAnsi="Times New Roman" w:cs="Times New Roman"/>
          <w:b/>
          <w:sz w:val="36"/>
          <w:szCs w:val="36"/>
        </w:rPr>
      </w:pPr>
    </w:p>
    <w:p w14:paraId="2B12D723">
      <w:pPr>
        <w:pStyle w:val="17"/>
        <w:spacing w:line="240" w:lineRule="auto"/>
        <w:ind w:left="0"/>
        <w:rPr>
          <w:rFonts w:hint="default" w:ascii="Times New Roman" w:hAnsi="Times New Roman" w:cs="Times New Roman"/>
          <w:b/>
          <w:sz w:val="36"/>
          <w:szCs w:val="36"/>
        </w:rPr>
      </w:pPr>
    </w:p>
    <w:p w14:paraId="4C066019">
      <w:pPr>
        <w:spacing w:line="240" w:lineRule="auto"/>
        <w:jc w:val="center"/>
        <w:rPr>
          <w:rFonts w:hint="default" w:ascii="Times New Roman" w:hAnsi="Times New Roman" w:cs="Times New Roman"/>
          <w:b/>
          <w:bCs/>
          <w:color w:val="000000"/>
          <w:kern w:val="28"/>
          <w:sz w:val="36"/>
          <w:szCs w:val="36"/>
        </w:rPr>
      </w:pPr>
      <w:r>
        <w:rPr>
          <w:rFonts w:hint="default" w:ascii="Times New Roman" w:hAnsi="Times New Roman" w:cs="Times New Roman"/>
          <w:b/>
          <w:bCs/>
          <w:color w:val="000000"/>
          <w:kern w:val="28"/>
          <w:sz w:val="36"/>
          <w:szCs w:val="36"/>
        </w:rPr>
        <w:t>Effectiveness of School-Based Capacity Building for Teachers: Navigating New Horizons in Revised K to 12 Curriculum Instruction at Dolores Macasaet National High School SY 2025–2026</w:t>
      </w:r>
    </w:p>
    <w:p w14:paraId="6D6064B1">
      <w:pPr>
        <w:spacing w:line="240" w:lineRule="auto"/>
        <w:jc w:val="center"/>
        <w:rPr>
          <w:rFonts w:hint="default" w:ascii="Times New Roman" w:hAnsi="Times New Roman" w:cs="Times New Roman"/>
          <w:b/>
          <w:bCs/>
          <w:color w:val="000000"/>
          <w:kern w:val="28"/>
          <w:sz w:val="24"/>
          <w:szCs w:val="24"/>
        </w:rPr>
      </w:pPr>
    </w:p>
    <w:p w14:paraId="3751F954">
      <w:pPr>
        <w:spacing w:line="240" w:lineRule="auto"/>
        <w:jc w:val="both"/>
        <w:rPr>
          <w:rFonts w:hint="default" w:ascii="Times New Roman" w:hAnsi="Times New Roman" w:cs="Times New Roman"/>
          <w:b/>
          <w:bCs/>
          <w:color w:val="000000"/>
          <w:kern w:val="28"/>
          <w:sz w:val="24"/>
          <w:szCs w:val="24"/>
          <w:lang w:val="en-PH"/>
        </w:rPr>
      </w:pPr>
    </w:p>
    <w:p w14:paraId="012CF635">
      <w:pPr>
        <w:spacing w:line="240" w:lineRule="auto"/>
        <w:jc w:val="both"/>
        <w:rPr>
          <w:rFonts w:hint="default" w:ascii="Times New Roman" w:hAnsi="Times New Roman" w:cs="Times New Roman"/>
          <w:b/>
          <w:bCs/>
          <w:color w:val="000000"/>
          <w:kern w:val="28"/>
          <w:sz w:val="24"/>
          <w:szCs w:val="24"/>
          <w:lang w:val="en-PH"/>
        </w:rPr>
      </w:pPr>
    </w:p>
    <w:p w14:paraId="7E40F537">
      <w:pPr>
        <w:spacing w:line="240" w:lineRule="auto"/>
        <w:jc w:val="both"/>
        <w:rPr>
          <w:rFonts w:hint="default" w:ascii="Times New Roman" w:hAnsi="Times New Roman" w:cs="Times New Roman"/>
          <w:b/>
          <w:bCs/>
          <w:color w:val="000000"/>
          <w:kern w:val="28"/>
          <w:sz w:val="24"/>
          <w:szCs w:val="24"/>
          <w:lang w:val="en-PH"/>
        </w:rPr>
      </w:pPr>
    </w:p>
    <w:p w14:paraId="3510C250">
      <w:pPr>
        <w:spacing w:line="240" w:lineRule="auto"/>
        <w:jc w:val="both"/>
        <w:rPr>
          <w:rFonts w:hint="default" w:ascii="Times New Roman" w:hAnsi="Times New Roman" w:cs="Times New Roman"/>
          <w:b/>
          <w:bCs/>
          <w:color w:val="000000"/>
          <w:kern w:val="28"/>
          <w:sz w:val="24"/>
          <w:szCs w:val="24"/>
          <w:lang w:val="en-PH"/>
        </w:rPr>
      </w:pPr>
    </w:p>
    <w:p w14:paraId="2BA18B0E">
      <w:pPr>
        <w:spacing w:after="0" w:line="240" w:lineRule="auto"/>
        <w:jc w:val="center"/>
        <w:rPr>
          <w:rFonts w:hint="default" w:ascii="Times New Roman" w:hAnsi="Times New Roman" w:cs="Times New Roman"/>
          <w:b/>
          <w:sz w:val="24"/>
          <w:szCs w:val="24"/>
          <w:lang w:val="en-PH"/>
        </w:rPr>
      </w:pPr>
      <w:r>
        <w:rPr>
          <w:rFonts w:hint="default" w:ascii="Times New Roman" w:hAnsi="Times New Roman" w:cs="Times New Roman"/>
          <w:b/>
          <w:sz w:val="24"/>
          <w:szCs w:val="24"/>
          <w:lang w:val="en-PH"/>
        </w:rPr>
        <w:t/>
      </w:r>
    </w:p>
    <w:p w14:paraId="2E5D728A">
      <w:pPr>
        <w:spacing w:after="0" w:line="240" w:lineRule="auto"/>
        <w:jc w:val="center"/>
        <w:rPr>
          <w:rFonts w:hint="default" w:ascii="Times New Roman" w:hAnsi="Times New Roman" w:cs="Times New Roman"/>
          <w:bCs/>
          <w:sz w:val="24"/>
          <w:szCs w:val="24"/>
          <w:lang w:val="en-PH"/>
        </w:rPr>
      </w:pPr>
      <w:r>
        <w:rPr>
          <w:rFonts w:hint="default" w:ascii="Times New Roman" w:hAnsi="Times New Roman" w:cs="Times New Roman"/>
          <w:bCs/>
          <w:sz w:val="24"/>
          <w:szCs w:val="24"/>
          <w:lang w:val="en-PH"/>
        </w:rPr>
        <w:t/>
      </w:r>
    </w:p>
    <w:p w14:paraId="1621C33B">
      <w:pPr>
        <w:spacing w:after="0" w:line="240" w:lineRule="auto"/>
        <w:jc w:val="center"/>
        <w:rPr>
          <w:rFonts w:hint="default" w:ascii="Times New Roman" w:hAnsi="Times New Roman" w:cs="Times New Roman"/>
          <w:bCs/>
          <w:sz w:val="24"/>
          <w:szCs w:val="24"/>
          <w:lang w:val="en-PH"/>
        </w:rPr>
      </w:pPr>
    </w:p>
    <w:p w14:paraId="5CDCED8A">
      <w:pPr>
        <w:spacing w:after="0" w:line="240" w:lineRule="auto"/>
        <w:jc w:val="center"/>
        <w:rPr>
          <w:rFonts w:hint="default" w:ascii="Times New Roman" w:hAnsi="Times New Roman" w:cs="Times New Roman"/>
          <w:bCs/>
          <w:sz w:val="24"/>
          <w:szCs w:val="24"/>
          <w:lang w:val="en-PH"/>
        </w:rPr>
      </w:pPr>
    </w:p>
    <w:p w14:paraId="39C2039A">
      <w:pPr>
        <w:spacing w:after="0" w:line="240" w:lineRule="auto"/>
        <w:jc w:val="center"/>
        <w:rPr>
          <w:rFonts w:hint="default" w:ascii="Times New Roman" w:hAnsi="Times New Roman" w:cs="Times New Roman"/>
          <w:bCs/>
          <w:sz w:val="24"/>
          <w:szCs w:val="24"/>
          <w:lang w:val="en-PH"/>
        </w:rPr>
      </w:pPr>
    </w:p>
    <w:p w14:paraId="36BD4BC9">
      <w:pPr>
        <w:spacing w:after="0" w:line="240" w:lineRule="auto"/>
        <w:jc w:val="both"/>
        <w:rPr>
          <w:rFonts w:hint="default" w:ascii="Times New Roman" w:hAnsi="Times New Roman" w:cs="Times New Roman"/>
          <w:bCs/>
          <w:sz w:val="24"/>
          <w:szCs w:val="24"/>
          <w:lang w:val="en-PH"/>
        </w:rPr>
      </w:pPr>
    </w:p>
    <w:p w14:paraId="0C2965B4">
      <w:pPr>
        <w:spacing w:after="0" w:line="240" w:lineRule="auto"/>
        <w:jc w:val="both"/>
        <w:rPr>
          <w:rFonts w:hint="default" w:ascii="Times New Roman" w:hAnsi="Times New Roman" w:cs="Times New Roman"/>
          <w:bCs/>
          <w:sz w:val="24"/>
          <w:szCs w:val="24"/>
          <w:lang w:val="en-PH"/>
        </w:rPr>
      </w:pPr>
    </w:p>
    <w:p w14:paraId="59251349">
      <w:pPr>
        <w:spacing w:after="0" w:line="240" w:lineRule="auto"/>
        <w:jc w:val="both"/>
        <w:rPr>
          <w:rFonts w:hint="default" w:ascii="Times New Roman" w:hAnsi="Times New Roman" w:cs="Times New Roman"/>
          <w:bCs/>
          <w:sz w:val="24"/>
          <w:szCs w:val="24"/>
          <w:lang w:val="en-PH"/>
        </w:rPr>
      </w:pPr>
    </w:p>
    <w:p w14:paraId="35872E78">
      <w:pPr>
        <w:spacing w:after="0" w:line="240" w:lineRule="auto"/>
        <w:jc w:val="both"/>
        <w:rPr>
          <w:rFonts w:hint="default" w:ascii="Times New Roman" w:hAnsi="Times New Roman" w:cs="Times New Roman"/>
          <w:bCs/>
          <w:sz w:val="24"/>
          <w:szCs w:val="24"/>
          <w:lang w:val="en-PH"/>
        </w:rPr>
      </w:pPr>
    </w:p>
    <w:p w14:paraId="623CD544">
      <w:pPr>
        <w:spacing w:after="0" w:line="240" w:lineRule="auto"/>
        <w:jc w:val="center"/>
        <w:rPr>
          <w:rFonts w:hint="default" w:ascii="Times New Roman" w:hAnsi="Times New Roman" w:cs="Times New Roman"/>
          <w:bCs/>
          <w:sz w:val="24"/>
          <w:szCs w:val="24"/>
          <w:lang w:val="en-PH"/>
        </w:rPr>
      </w:pPr>
    </w:p>
    <w:p w14:paraId="51FFE0BD">
      <w:pPr>
        <w:spacing w:after="0" w:line="240" w:lineRule="auto"/>
        <w:jc w:val="center"/>
        <w:rPr>
          <w:rFonts w:hint="default" w:ascii="Times New Roman" w:hAnsi="Times New Roman" w:cs="Times New Roman"/>
          <w:b/>
          <w:sz w:val="24"/>
          <w:szCs w:val="24"/>
          <w:lang w:val="en-PH"/>
        </w:rPr>
      </w:pPr>
      <w:r>
        <w:rPr>
          <w:rFonts w:hint="default" w:ascii="Times New Roman" w:hAnsi="Times New Roman" w:cs="Times New Roman"/>
          <w:b/>
          <w:sz w:val="24"/>
          <w:szCs w:val="24"/>
          <w:lang w:val="en-PH"/>
        </w:rPr>
        <w:t/>
      </w:r>
    </w:p>
    <w:p w14:paraId="605D8CDF">
      <w:pPr>
        <w:spacing w:after="0" w:line="240" w:lineRule="auto"/>
        <w:jc w:val="center"/>
        <w:rPr>
          <w:rFonts w:hint="default" w:ascii="Times New Roman" w:hAnsi="Times New Roman" w:cs="Times New Roman"/>
          <w:bCs/>
          <w:sz w:val="24"/>
          <w:szCs w:val="24"/>
          <w:lang w:val="en-PH"/>
        </w:rPr>
      </w:pPr>
      <w:r>
        <w:rPr>
          <w:rFonts w:hint="default" w:ascii="Times New Roman" w:hAnsi="Times New Roman" w:cs="Times New Roman"/>
          <w:bCs/>
          <w:sz w:val="24"/>
          <w:szCs w:val="24"/>
          <w:lang w:val="en-PH"/>
        </w:rPr>
        <w:t/>
      </w:r>
    </w:p>
    <w:p w14:paraId="5A8923BA">
      <w:pPr>
        <w:spacing w:line="240" w:lineRule="auto"/>
        <w:jc w:val="both"/>
        <w:rPr>
          <w:rFonts w:hint="default" w:ascii="Times New Roman" w:hAnsi="Times New Roman" w:cs="Times New Roman"/>
          <w:bCs/>
          <w:sz w:val="24"/>
          <w:szCs w:val="24"/>
          <w:lang w:val="en-PH"/>
        </w:rPr>
      </w:pPr>
    </w:p>
    <w:p w14:paraId="4961B8CF">
      <w:pPr>
        <w:spacing w:line="240" w:lineRule="auto"/>
        <w:jc w:val="center"/>
        <w:rPr>
          <w:rFonts w:hint="default" w:ascii="Times New Roman" w:hAnsi="Times New Roman" w:cs="Times New Roman"/>
          <w:bCs/>
          <w:sz w:val="24"/>
          <w:szCs w:val="24"/>
          <w:lang w:val="en-PH"/>
        </w:rPr>
      </w:pPr>
    </w:p>
    <w:p w14:paraId="3AEB7F1E">
      <w:pPr>
        <w:spacing w:line="240" w:lineRule="auto"/>
        <w:jc w:val="center"/>
        <w:rPr>
          <w:rFonts w:hint="default" w:ascii="Times New Roman" w:hAnsi="Times New Roman" w:cs="Times New Roman"/>
          <w:bCs/>
          <w:sz w:val="24"/>
          <w:szCs w:val="24"/>
          <w:lang w:val="en-PH"/>
        </w:rPr>
      </w:pPr>
    </w:p>
    <w:p w14:paraId="7A36ADCC">
      <w:pPr>
        <w:spacing w:line="240" w:lineRule="auto"/>
        <w:jc w:val="center"/>
        <w:rPr>
          <w:rFonts w:hint="default" w:ascii="Times New Roman" w:hAnsi="Times New Roman" w:cs="Times New Roman"/>
          <w:bCs/>
          <w:sz w:val="24"/>
          <w:szCs w:val="24"/>
          <w:lang w:val="en-PH"/>
        </w:rPr>
      </w:pPr>
    </w:p>
    <w:p w14:paraId="0D1F71A5">
      <w:pPr>
        <w:spacing w:line="240" w:lineRule="auto"/>
        <w:jc w:val="center"/>
        <w:rPr>
          <w:rFonts w:hint="default" w:ascii="Times New Roman" w:hAnsi="Times New Roman" w:cs="Times New Roman"/>
          <w:bCs/>
          <w:sz w:val="24"/>
          <w:szCs w:val="24"/>
          <w:lang w:val="en-PH"/>
        </w:rPr>
      </w:pPr>
    </w:p>
    <w:p w14:paraId="55A303FF">
      <w:pPr>
        <w:spacing w:line="240" w:lineRule="auto"/>
        <w:jc w:val="center"/>
        <w:rPr>
          <w:rFonts w:hint="default" w:ascii="Times New Roman" w:hAnsi="Times New Roman" w:cs="Times New Roman"/>
          <w:bCs/>
          <w:sz w:val="24"/>
          <w:szCs w:val="24"/>
          <w:lang w:val="en-PH"/>
        </w:rPr>
      </w:pPr>
    </w:p>
    <w:p w14:paraId="27868F2E">
      <w:pPr>
        <w:spacing w:line="240" w:lineRule="auto"/>
        <w:jc w:val="center"/>
        <w:rPr>
          <w:rFonts w:hint="default" w:ascii="Times New Roman" w:hAnsi="Times New Roman" w:cs="Times New Roman"/>
          <w:bCs/>
          <w:sz w:val="24"/>
          <w:szCs w:val="24"/>
          <w:lang w:val="en-PH"/>
        </w:rPr>
      </w:pPr>
    </w:p>
    <w:p w14:paraId="77CC94E7">
      <w:pPr>
        <w:spacing w:line="240" w:lineRule="auto"/>
        <w:jc w:val="center"/>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w:r>
      <w:r>
        <w:rPr>
          <w:rFonts w:hint="default" w:ascii="Times New Roman" w:hAnsi="Times New Roman" w:cs="Times New Roman"/>
          <w:bCs/>
          <w:sz w:val="24"/>
          <w:szCs w:val="24"/>
          <w:lang w:val="en-PH"/>
        </w:rPr>
        <w:t/>
      </w:r>
      <w:r>
        <w:rPr>
          <w:rFonts w:hint="default" w:ascii="Times New Roman" w:hAnsi="Times New Roman" w:cs="Times New Roman"/>
          <w:bCs/>
          <w:sz w:val="24"/>
          <w:szCs w:val="24"/>
          <w:lang w:val="en-US"/>
        </w:rPr>
        <w:t/>
      </w:r>
    </w:p>
    <w:p w14:paraId="23C7E73B">
      <w:pPr>
        <w:spacing w:after="0" w:line="240" w:lineRule="auto"/>
        <w:jc w:val="both"/>
        <w:rPr>
          <w:rFonts w:hint="default" w:ascii="Times New Roman" w:hAnsi="Times New Roman" w:cs="Times New Roman"/>
          <w:b/>
          <w:sz w:val="24"/>
          <w:szCs w:val="24"/>
          <w:lang w:val="en-PH"/>
        </w:rPr>
      </w:pPr>
    </w:p>
    <w:p w14:paraId="788C7065">
      <w:pPr>
        <w:spacing w:after="0" w:line="240" w:lineRule="auto"/>
        <w:jc w:val="both"/>
        <w:rPr>
          <w:rFonts w:hint="default" w:ascii="Times New Roman" w:hAnsi="Times New Roman" w:cs="Times New Roman"/>
          <w:b/>
          <w:sz w:val="24"/>
          <w:szCs w:val="24"/>
          <w:lang w:val="en-PH"/>
        </w:rPr>
      </w:pPr>
    </w:p>
    <w:p w14:paraId="15FBA20C">
      <w:pPr>
        <w:spacing w:after="0" w:line="240" w:lineRule="auto"/>
        <w:jc w:val="left"/>
        <w:rPr>
          <w:rFonts w:hint="default" w:ascii="Times New Roman" w:hAnsi="Times New Roman" w:cs="Times New Roman"/>
          <w:b/>
          <w:sz w:val="28"/>
          <w:szCs w:val="28"/>
          <w:lang w:val="en-PH"/>
        </w:rPr>
      </w:pPr>
    </w:p>
    <w:p w14:paraId="174093BB">
      <w:pPr>
        <w:spacing w:after="0" w:line="240" w:lineRule="auto"/>
        <w:jc w:val="left"/>
        <w:rPr>
          <w:rFonts w:hint="default" w:ascii="Times New Roman" w:hAnsi="Times New Roman" w:cs="Times New Roman"/>
          <w:b/>
          <w:sz w:val="28"/>
          <w:szCs w:val="28"/>
          <w:lang w:val="en-PH"/>
        </w:rPr>
      </w:pPr>
    </w:p>
    <w:p w14:paraId="5B61AFD5">
      <w:pPr>
        <w:spacing w:after="0" w:line="240" w:lineRule="auto"/>
        <w:jc w:val="left"/>
        <w:rPr>
          <w:rFonts w:hint="default" w:ascii="Times New Roman" w:hAnsi="Times New Roman" w:cs="Times New Roman"/>
          <w:b/>
          <w:sz w:val="28"/>
          <w:szCs w:val="28"/>
          <w:lang w:val="en-PH"/>
        </w:rPr>
      </w:pPr>
      <w:bookmarkStart w:id="0" w:name="_GoBack"/>
      <w:bookmarkEnd w:id="0"/>
    </w:p>
    <w:p w14:paraId="7824C79B">
      <w:pPr>
        <w:spacing w:after="0" w:line="240" w:lineRule="auto"/>
        <w:jc w:val="left"/>
        <w:rPr>
          <w:rFonts w:hint="default" w:ascii="Times New Roman" w:hAnsi="Times New Roman" w:cs="Times New Roman"/>
          <w:b/>
          <w:sz w:val="28"/>
          <w:szCs w:val="28"/>
          <w:lang w:val="en-PH"/>
        </w:rPr>
      </w:pPr>
    </w:p>
    <w:p w14:paraId="40114052">
      <w:pPr>
        <w:spacing w:after="0" w:line="240" w:lineRule="auto"/>
        <w:jc w:val="left"/>
        <w:rPr>
          <w:rFonts w:hint="default" w:ascii="Times New Roman" w:hAnsi="Times New Roman" w:cs="Times New Roman"/>
          <w:b/>
          <w:sz w:val="28"/>
          <w:szCs w:val="28"/>
          <w:lang w:val="en-PH"/>
        </w:rPr>
      </w:pPr>
      <w:r>
        <w:rPr>
          <w:rFonts w:hint="default" w:ascii="Times New Roman" w:hAnsi="Times New Roman" w:cs="Times New Roman"/>
          <w:b/>
          <w:sz w:val="28"/>
          <w:szCs w:val="28"/>
          <w:lang w:val="en-PH"/>
        </w:rPr>
        <w:t>ABSTRACT</w:t>
      </w:r>
    </w:p>
    <w:p w14:paraId="25EFDCC1">
      <w:pPr>
        <w:spacing w:after="0" w:line="240" w:lineRule="auto"/>
        <w:jc w:val="center"/>
        <w:rPr>
          <w:rFonts w:hint="default" w:ascii="Times New Roman" w:hAnsi="Times New Roman" w:cs="Times New Roman"/>
          <w:b/>
          <w:sz w:val="24"/>
          <w:szCs w:val="24"/>
          <w:lang w:val="en-PH"/>
        </w:rPr>
      </w:pPr>
    </w:p>
    <w:p w14:paraId="3202A67B">
      <w:pPr>
        <w:spacing w:after="0" w:line="240" w:lineRule="auto"/>
        <w:ind w:firstLine="720"/>
        <w:contextualSpacing/>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action research evaluated the effectiveness of the School-Based Capacity Building for Teachers entitled</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“Navigating New Horizons in Revised K to 12 Curriculum Instruction” implemented at Dolores Macasaet National High School during School Year 2025–2026. The training initiative sought to equip teachers with the necessary competencies in curriculum alignment, effective instructional strategies, data-driven decision-making, assessment preparation, and technology-enhanced teaching to meet the expectations of the Revised K to 12 Curriculum and the PPST.</w:t>
      </w:r>
    </w:p>
    <w:p w14:paraId="03EF31D6">
      <w:pPr>
        <w:pStyle w:val="21"/>
        <w:widowControl w:val="0"/>
        <w:spacing w:line="24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study utilized a descriptive-evaluative research design, drawing on training evaluation results and parallel pretest-posttest assessments. A total of seventy-six (76) teachers participated in the School-Based In-Service Training (INSET), which was conducted through School Learning Action Cell (SLAC) sessions from November 2025 to February 2026. Data were analyzed using the weighted mean and paired t-test to assess participants’ level of satisfaction, determine teachers’ knowledge and skills before and after the intervention, and evaluate the significance of the changes observed following the training.</w:t>
      </w:r>
    </w:p>
    <w:p w14:paraId="72B1C0B0">
      <w:pPr>
        <w:pStyle w:val="21"/>
        <w:widowControl w:val="0"/>
        <w:spacing w:line="24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findings showed that the participants were highly satisfied with the training program, earning an overall mean rating of 4.74, which was interpreted as Very Satisfactory. The pretest results indicated that teachers had relatively low levels of prior knowledge and skills, as reflected in an overall mean score of 20.553 (41.11%), which fell below the 75% proficiency benchmark. After participating in the capacity-building program, the teachers' performance improved considerably, with the posttest mean score increasing to 38.092 (76.18%), surpassing the passing rate. This represented an 85.34% improvement in their knowledge and skills. Moreover, the paired t-test yielded a t-value of -7.187 and a p-value of 0.000, confirming a statistically significant difference between the pretest and posttest results.</w:t>
      </w:r>
    </w:p>
    <w:p w14:paraId="580284A2">
      <w:pPr>
        <w:pStyle w:val="21"/>
        <w:widowControl w:val="0"/>
        <w:spacing w:line="240" w:lineRule="auto"/>
        <w:ind w:firstLine="720" w:firstLine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PH"/>
        </w:rPr>
        <w:t>The results indicate that the School-Based Capacity Building for Teachers successfully enhanced teachers’ knowledge, skills, and professional competencies in key areas such as curriculum implementation, instructional delivery, assessment practices, and technology integration. Based on these findings, it is recommended that the school continue implementing professional development programs, strengthen mentoring and coaching initiatives, expand training opportunities on digital tools, and promote ongoing collaborative learning experiences. These efforts can further support teacher growth, improve instructional effectiv</w:t>
      </w:r>
      <w:r>
        <w:rPr>
          <w:rFonts w:hint="default" w:ascii="Times New Roman" w:hAnsi="Times New Roman" w:cs="Times New Roman"/>
          <w:color w:val="000000"/>
          <w:sz w:val="24"/>
          <w:szCs w:val="24"/>
          <w:lang w:val="en-PH"/>
        </w:rPr>
        <w:t>eness, and contribute to better learning outcomes for students</w:t>
      </w:r>
      <w:r>
        <w:rPr>
          <w:rFonts w:hint="default" w:ascii="Times New Roman" w:hAnsi="Times New Roman" w:cs="Times New Roman"/>
          <w:color w:val="000000"/>
          <w:sz w:val="24"/>
          <w:szCs w:val="24"/>
          <w:lang w:val="en-US"/>
        </w:rPr>
        <w:t>.</w:t>
      </w:r>
    </w:p>
    <w:p w14:paraId="5D035B2A">
      <w:pPr>
        <w:pStyle w:val="21"/>
        <w:widowControl w:val="0"/>
        <w:spacing w:line="240" w:lineRule="auto"/>
        <w:ind w:firstLine="720" w:firstLineChars="0"/>
        <w:jc w:val="both"/>
        <w:rPr>
          <w:rFonts w:hint="default" w:ascii="Times New Roman" w:hAnsi="Times New Roman" w:cs="Times New Roman"/>
          <w:color w:val="000000"/>
          <w:sz w:val="24"/>
          <w:szCs w:val="24"/>
          <w:lang w:val="en-PH"/>
        </w:rPr>
      </w:pPr>
    </w:p>
    <w:p w14:paraId="16EB0FF7">
      <w:pPr>
        <w:spacing w:line="240" w:lineRule="auto"/>
        <w:rPr>
          <w:rFonts w:hint="default" w:ascii="Times New Roman" w:hAnsi="Times New Roman" w:cs="Times New Roman"/>
          <w:i/>
          <w:iCs/>
          <w:color w:val="000000"/>
          <w:sz w:val="24"/>
          <w:szCs w:val="24"/>
          <w:lang w:val="en-US"/>
        </w:rPr>
      </w:pPr>
      <w:r>
        <w:rPr>
          <w:rFonts w:hint="default" w:ascii="Times New Roman" w:hAnsi="Times New Roman" w:cs="Times New Roman"/>
          <w:b/>
          <w:bCs/>
          <w:color w:val="000000"/>
          <w:sz w:val="24"/>
          <w:szCs w:val="24"/>
        </w:rPr>
        <w:t xml:space="preserve">KEYWORDS.  </w:t>
      </w:r>
      <w:r>
        <w:rPr>
          <w:rFonts w:hint="default" w:ascii="Times New Roman" w:hAnsi="Times New Roman" w:cs="Times New Roman"/>
          <w:i/>
          <w:iCs/>
          <w:color w:val="000000"/>
          <w:sz w:val="24"/>
          <w:szCs w:val="24"/>
        </w:rPr>
        <w:t>School-Based Capacity Building</w:t>
      </w:r>
      <w:r>
        <w:rPr>
          <w:rFonts w:hint="default" w:ascii="Times New Roman" w:hAnsi="Times New Roman" w:cs="Times New Roman"/>
          <w:i/>
          <w:iCs/>
          <w:color w:val="000000"/>
          <w:sz w:val="24"/>
          <w:szCs w:val="24"/>
          <w:lang w:val="en-US"/>
        </w:rPr>
        <w:t>, Curriculum Instruction, Knowledge and Skills</w:t>
      </w:r>
    </w:p>
    <w:p w14:paraId="6E0CFBF4">
      <w:pPr>
        <w:pStyle w:val="18"/>
        <w:spacing w:line="240" w:lineRule="auto"/>
        <w:ind w:left="0" w:leftChars="0" w:firstLine="0" w:firstLineChars="0"/>
        <w:contextualSpacing w:val="0"/>
        <w:jc w:val="left"/>
        <w:rPr>
          <w:rFonts w:hint="default" w:ascii="Times New Roman" w:hAnsi="Times New Roman" w:cs="Times New Roman"/>
          <w:b/>
          <w:bCs/>
          <w:sz w:val="28"/>
          <w:szCs w:val="28"/>
          <w:lang w:val="en-US"/>
        </w:rPr>
      </w:pPr>
    </w:p>
    <w:p w14:paraId="55154E89">
      <w:pPr>
        <w:pStyle w:val="18"/>
        <w:spacing w:line="240" w:lineRule="auto"/>
        <w:ind w:left="0" w:leftChars="0" w:firstLine="0" w:firstLineChars="0"/>
        <w:contextualSpacing w:val="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25190190">
      <w:pPr>
        <w:pStyle w:val="18"/>
        <w:spacing w:line="240" w:lineRule="auto"/>
        <w:ind w:left="0" w:leftChars="0" w:firstLine="0" w:firstLineChars="0"/>
        <w:contextualSpacing w:val="0"/>
        <w:jc w:val="left"/>
        <w:rPr>
          <w:rFonts w:hint="default" w:ascii="Times New Roman" w:hAnsi="Times New Roman" w:cs="Times New Roman"/>
          <w:sz w:val="24"/>
          <w:szCs w:val="24"/>
          <w:lang w:val="en-US"/>
        </w:rPr>
      </w:pPr>
    </w:p>
    <w:p w14:paraId="6C9C34B5">
      <w:pPr>
        <w:pStyle w:val="18"/>
        <w:spacing w:line="240" w:lineRule="auto"/>
        <w:ind w:left="0" w:leftChars="0" w:firstLine="720" w:firstLineChars="0"/>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Dolores Macasaet National High School plays a vital role in preparing the youth of Candelaria, Quezon for higher education and future opportunities. To support holistic student development, the school implements various programs, projects, and activities aimed at enhancing learners’ knowledge, skills, and values.</w:t>
      </w:r>
    </w:p>
    <w:p w14:paraId="3916C474">
      <w:pPr>
        <w:pStyle w:val="18"/>
        <w:spacing w:line="240" w:lineRule="auto"/>
        <w:ind w:left="0" w:leftChars="0" w:firstLine="720" w:firstLineChars="0"/>
        <w:contextualSpacing w:val="0"/>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In addition, DMNHS remains committed to enhancing the quality of teaching and learning in line with the Revised K to 12 Curriculum. However, the implementation of curriculum revisions has presented several challenges for teachers, particularly in understanding updated learning competencies, aligning classroom instruction, and developing effective assessment tools. These challenges are not unique to DMNHS. As noted by Conca et al. (2004), teachers often experience difficulties due to limited familiarity with assessment frameworks and inconsistencies in educational policies, which can hinder meaningful discussions on how assessment can be effectively integrated into instructional practices.</w:t>
      </w:r>
      <w:r>
        <w:rPr>
          <w:rFonts w:hint="default" w:ascii="Times New Roman" w:hAnsi="Times New Roman" w:cs="Times New Roman"/>
          <w:sz w:val="24"/>
          <w:szCs w:val="24"/>
          <w:lang w:val="en-PH"/>
        </w:rPr>
        <w:tab/>
      </w:r>
    </w:p>
    <w:p w14:paraId="0A82C975">
      <w:pPr>
        <w:pStyle w:val="18"/>
        <w:spacing w:line="240" w:lineRule="auto"/>
        <w:ind w:left="0" w:leftChars="0" w:firstLine="720" w:firstLineChars="0"/>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To address these challenges, the school conducted a School-Based Capacity Building for Teachers, also known as a School-Based In-Service Training (INSET), titled “Navigating New Horizons in Revised K to 12 Curriculum Instruction.” The training was carried out through School Learning Action Cell (SLAC) sessions from November 2025 to February 2026. It focused on five key areas: curriculum alignment with the MELCs, instructional strategies, data-driven teaching, assessment design, and technology integration.</w:t>
      </w:r>
    </w:p>
    <w:p w14:paraId="5E4E3E53">
      <w:pPr>
        <w:pStyle w:val="18"/>
        <w:spacing w:line="240" w:lineRule="auto"/>
        <w:ind w:left="0" w:leftChars="0" w:firstLine="720" w:firstLineChars="0"/>
        <w:contextualSpacing w:val="0"/>
        <w:jc w:val="both"/>
        <w:rPr>
          <w:rFonts w:hint="default" w:ascii="Times New Roman" w:hAnsi="Times New Roman" w:cs="Times New Roman"/>
          <w:sz w:val="24"/>
          <w:szCs w:val="24"/>
        </w:rPr>
      </w:pPr>
      <w:r>
        <w:rPr>
          <w:rFonts w:hint="default" w:ascii="Times New Roman" w:hAnsi="Times New Roman" w:cs="Times New Roman"/>
          <w:sz w:val="24"/>
          <w:szCs w:val="24"/>
        </w:rPr>
        <w:t>The implementation of this program was grounded in the findings of Darling-Hammond et al. (2017), who emphasized that sustained, content-focused professional development plays a vital role in strengthening teachers’ instructional practices and professional competence. Consistent with these findings, the training was designed to provide teachers with meaningful learning experiences that would enhance their ability to align instruction with curriculum standards, use assessment data effectively, adopt appropriate teaching strategies, and integrate technology into the learning process.</w:t>
      </w:r>
    </w:p>
    <w:p w14:paraId="5E7CB1F3">
      <w:pPr>
        <w:pStyle w:val="18"/>
        <w:spacing w:line="240" w:lineRule="auto"/>
        <w:ind w:left="0" w:leftChars="0" w:firstLine="720" w:firstLineChars="0"/>
        <w:contextualSpacing w:val="0"/>
        <w:rPr>
          <w:rFonts w:hint="default" w:ascii="Times New Roman" w:hAnsi="Times New Roman" w:cs="Times New Roman"/>
          <w:sz w:val="24"/>
          <w:szCs w:val="24"/>
          <w:lang w:val="en-PH"/>
        </w:rPr>
      </w:pPr>
      <w:r>
        <w:rPr>
          <w:rFonts w:hint="default" w:ascii="Times New Roman" w:hAnsi="Times New Roman" w:cs="Times New Roman"/>
          <w:sz w:val="24"/>
          <w:szCs w:val="24"/>
        </w:rPr>
        <w:t>Despite the school’s efforts to provide meaningful professional development opportunities, it remains important to determine whether these initiatives truly contribute to improving teachers’ competencies. Therefore, this action research was undertaken to systematically assess the effectiveness of the capacity-building program and its impact on teachers’ knowledge and skills.</w:t>
      </w:r>
    </w:p>
    <w:p w14:paraId="2BB27561">
      <w:pPr>
        <w:pStyle w:val="18"/>
        <w:spacing w:line="240" w:lineRule="auto"/>
        <w:ind w:left="0" w:leftChars="0" w:firstLine="0" w:firstLineChars="0"/>
        <w:contextualSpacing w:val="0"/>
        <w:rPr>
          <w:rFonts w:hint="default" w:ascii="Times New Roman" w:hAnsi="Times New Roman" w:cs="Times New Roman"/>
          <w:sz w:val="24"/>
          <w:szCs w:val="24"/>
          <w:lang w:val="en-PH"/>
        </w:rPr>
      </w:pPr>
    </w:p>
    <w:p w14:paraId="0C84E409">
      <w:pPr>
        <w:pStyle w:val="18"/>
        <w:numPr>
          <w:numId w:val="0"/>
        </w:numPr>
        <w:spacing w:line="240" w:lineRule="auto"/>
        <w:ind w:leftChars="0"/>
        <w:contextualSpacing w:val="0"/>
        <w:rPr>
          <w:rFonts w:hint="default" w:ascii="Times New Roman" w:hAnsi="Times New Roman" w:cs="Times New Roman"/>
          <w:b/>
          <w:sz w:val="24"/>
          <w:szCs w:val="24"/>
          <w:lang w:val="en-PH"/>
        </w:rPr>
      </w:pPr>
      <w:r>
        <w:rPr>
          <w:rFonts w:hint="default" w:ascii="Times New Roman" w:hAnsi="Times New Roman" w:cs="Times New Roman"/>
          <w:b/>
          <w:sz w:val="24"/>
          <w:szCs w:val="24"/>
          <w:lang w:val="en-PH"/>
        </w:rPr>
        <w:t>Proposed Innovation, Intervention, or Strategy</w:t>
      </w:r>
    </w:p>
    <w:p w14:paraId="69CCCFC7">
      <w:pPr>
        <w:spacing w:after="0" w:line="240" w:lineRule="auto"/>
        <w:ind w:firstLine="720"/>
        <w:jc w:val="both"/>
        <w:rPr>
          <w:rFonts w:hint="default" w:ascii="Times New Roman" w:hAnsi="Times New Roman" w:cs="Times New Roman"/>
          <w:b w:val="0"/>
          <w:bCs/>
          <w:sz w:val="24"/>
          <w:szCs w:val="24"/>
          <w:lang w:val="en-PH"/>
        </w:rPr>
      </w:pPr>
      <w:r>
        <w:rPr>
          <w:rFonts w:hint="default" w:ascii="Times New Roman" w:hAnsi="Times New Roman" w:cs="Times New Roman"/>
          <w:b w:val="0"/>
          <w:bCs/>
          <w:sz w:val="24"/>
          <w:szCs w:val="24"/>
          <w:lang w:val="en-PH"/>
        </w:rPr>
        <w:t>The School-Based In-Service Training (INSET) for teachers of Dolores Macasaet National High School was conducted through School Learning Action Cell (SLAC) sessions from November 2025 to February 2026 under the theme “Navigating New Horizons in Revised K to 12 Curriculum Instruction.” The training program was designed to strengthen teachers’ competencies in implementing the Revised K to 12 Curriculum, enhance their instructional practices, and improve assessment strategies in alignment with the Philippine Professional Standards for Teachers (PPST).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lang w:val="en-PH"/>
        </w:rPr>
        <w:t>The conduct of the INSET was guided by DepEd Order No. 012, s. 2025, Multi-Year Implementing Guidelines on the School Calendar and Activities, issued on April 15, 2025. This policy outlines the school calendar for SY 2025–2026 and provides designated periods for professional development activities, including INSET, to support the continuous growth and development of teachers.</w:t>
      </w:r>
    </w:p>
    <w:p w14:paraId="33E2C024">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four-day training featured a series of collaborative workshops, guided discussions, lesson-planning activities, and presentations facilitated by school leaders and master teachers. Throughout the sessions, teachers reviewed learning competencies, examined curriculum standards, explored effective instructional approaches, developed engaging lesson plans, and crafted assessment tools aligned with the curriculum requirements.</w:t>
      </w:r>
    </w:p>
    <w:p w14:paraId="03BFE219">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Through active participation and collaborative learning, teachers were able to produce lesson plans, instructional materials, assessment instruments, and individual Work Application Plans. The training enhanced their capacity to effectively implement the revised curriculum and empowered them to create learning environments that are inclusive, engaging, and informed by data-driven instructional practices.</w:t>
      </w:r>
    </w:p>
    <w:p w14:paraId="4DC474C0">
      <w:pPr>
        <w:spacing w:after="0" w:line="240" w:lineRule="auto"/>
        <w:jc w:val="both"/>
        <w:rPr>
          <w:rFonts w:hint="default" w:ascii="Times New Roman" w:hAnsi="Times New Roman" w:cs="Times New Roman"/>
          <w:sz w:val="24"/>
          <w:szCs w:val="24"/>
        </w:rPr>
      </w:pPr>
    </w:p>
    <w:p w14:paraId="619E9D4A">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Daily Training Matrix Summary</w:t>
      </w:r>
    </w:p>
    <w:tbl>
      <w:tblPr>
        <w:tblStyle w:val="5"/>
        <w:tblW w:w="0" w:type="auto"/>
        <w:jc w:val="center"/>
        <w:tblLayout w:type="fixed"/>
        <w:tblCellMar>
          <w:top w:w="0" w:type="dxa"/>
          <w:left w:w="108" w:type="dxa"/>
          <w:bottom w:w="0" w:type="dxa"/>
          <w:right w:w="108" w:type="dxa"/>
        </w:tblCellMar>
      </w:tblPr>
      <w:tblGrid>
        <w:gridCol w:w="1624"/>
        <w:gridCol w:w="2011"/>
        <w:gridCol w:w="2711"/>
        <w:gridCol w:w="2394"/>
      </w:tblGrid>
      <w:tr w14:paraId="3A787ADE">
        <w:tblPrEx>
          <w:tblCellMar>
            <w:top w:w="0" w:type="dxa"/>
            <w:left w:w="108" w:type="dxa"/>
            <w:bottom w:w="0" w:type="dxa"/>
            <w:right w:w="108" w:type="dxa"/>
          </w:tblCellMar>
        </w:tblPrEx>
        <w:trPr>
          <w:trHeight w:val="507" w:hRule="atLeast"/>
          <w:jc w:val="center"/>
        </w:trPr>
        <w:tc>
          <w:tcPr>
            <w:tcW w:w="1624" w:type="dxa"/>
            <w:tcBorders>
              <w:top w:val="single" w:color="auto" w:sz="4" w:space="0"/>
              <w:bottom w:val="single" w:color="auto" w:sz="4" w:space="0"/>
            </w:tcBorders>
          </w:tcPr>
          <w:p w14:paraId="4FE7173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Day</w:t>
            </w:r>
          </w:p>
        </w:tc>
        <w:tc>
          <w:tcPr>
            <w:tcW w:w="2011" w:type="dxa"/>
            <w:tcBorders>
              <w:top w:val="single" w:color="auto" w:sz="4" w:space="0"/>
              <w:bottom w:val="single" w:color="auto" w:sz="4" w:space="0"/>
            </w:tcBorders>
          </w:tcPr>
          <w:p w14:paraId="1FD5D3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Date</w:t>
            </w:r>
          </w:p>
        </w:tc>
        <w:tc>
          <w:tcPr>
            <w:tcW w:w="2711" w:type="dxa"/>
            <w:tcBorders>
              <w:top w:val="single" w:color="auto" w:sz="4" w:space="0"/>
              <w:bottom w:val="single" w:color="auto" w:sz="4" w:space="0"/>
            </w:tcBorders>
          </w:tcPr>
          <w:p w14:paraId="2A6F24A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Major Sessions Conducted</w:t>
            </w:r>
          </w:p>
        </w:tc>
        <w:tc>
          <w:tcPr>
            <w:tcW w:w="2394" w:type="dxa"/>
            <w:tcBorders>
              <w:top w:val="single" w:color="auto" w:sz="4" w:space="0"/>
              <w:bottom w:val="single" w:color="auto" w:sz="4" w:space="0"/>
            </w:tcBorders>
          </w:tcPr>
          <w:p w14:paraId="7D370C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Key Outputs</w:t>
            </w:r>
          </w:p>
        </w:tc>
      </w:tr>
      <w:tr w14:paraId="2BAC16C8">
        <w:tblPrEx>
          <w:tblCellMar>
            <w:top w:w="0" w:type="dxa"/>
            <w:left w:w="108" w:type="dxa"/>
            <w:bottom w:w="0" w:type="dxa"/>
            <w:right w:w="108" w:type="dxa"/>
          </w:tblCellMar>
        </w:tblPrEx>
        <w:trPr>
          <w:trHeight w:val="894" w:hRule="atLeast"/>
          <w:jc w:val="center"/>
        </w:trPr>
        <w:tc>
          <w:tcPr>
            <w:tcW w:w="1624" w:type="dxa"/>
            <w:tcBorders>
              <w:top w:val="single" w:color="auto" w:sz="4" w:space="0"/>
            </w:tcBorders>
          </w:tcPr>
          <w:p w14:paraId="57964D2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Day 1</w:t>
            </w:r>
          </w:p>
        </w:tc>
        <w:tc>
          <w:tcPr>
            <w:tcW w:w="2011" w:type="dxa"/>
            <w:tcBorders>
              <w:top w:val="single" w:color="auto" w:sz="4" w:space="0"/>
            </w:tcBorders>
          </w:tcPr>
          <w:p w14:paraId="615FE7B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November 18, 2025</w:t>
            </w:r>
          </w:p>
        </w:tc>
        <w:tc>
          <w:tcPr>
            <w:tcW w:w="2711" w:type="dxa"/>
            <w:tcBorders>
              <w:top w:val="single" w:color="auto" w:sz="4" w:space="0"/>
            </w:tcBorders>
          </w:tcPr>
          <w:p w14:paraId="58BA99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Opening Program; Walkthrough on Learning Competencies (MELCs)</w:t>
            </w:r>
          </w:p>
        </w:tc>
        <w:tc>
          <w:tcPr>
            <w:tcW w:w="2394" w:type="dxa"/>
            <w:tcBorders>
              <w:top w:val="single" w:color="auto" w:sz="4" w:space="0"/>
            </w:tcBorders>
          </w:tcPr>
          <w:p w14:paraId="49A982C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Analysis of MELCs and alignment with lesson planning</w:t>
            </w:r>
          </w:p>
        </w:tc>
      </w:tr>
      <w:tr w14:paraId="7CF8A916">
        <w:tblPrEx>
          <w:tblCellMar>
            <w:top w:w="0" w:type="dxa"/>
            <w:left w:w="108" w:type="dxa"/>
            <w:bottom w:w="0" w:type="dxa"/>
            <w:right w:w="108" w:type="dxa"/>
          </w:tblCellMar>
        </w:tblPrEx>
        <w:trPr>
          <w:trHeight w:val="1159" w:hRule="atLeast"/>
          <w:jc w:val="center"/>
        </w:trPr>
        <w:tc>
          <w:tcPr>
            <w:tcW w:w="1624" w:type="dxa"/>
          </w:tcPr>
          <w:p w14:paraId="4D7498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Day 2</w:t>
            </w:r>
          </w:p>
        </w:tc>
        <w:tc>
          <w:tcPr>
            <w:tcW w:w="2011" w:type="dxa"/>
          </w:tcPr>
          <w:p w14:paraId="41CED0C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December 2, 2025</w:t>
            </w:r>
          </w:p>
        </w:tc>
        <w:tc>
          <w:tcPr>
            <w:tcW w:w="2711" w:type="dxa"/>
          </w:tcPr>
          <w:p w14:paraId="47862A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Revised K to 12 Curriculum Updates; Students’ Performance Data Analysis</w:t>
            </w:r>
          </w:p>
        </w:tc>
        <w:tc>
          <w:tcPr>
            <w:tcW w:w="2394" w:type="dxa"/>
          </w:tcPr>
          <w:p w14:paraId="32F03E7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Identification of instructional gaps and strategies for improvement</w:t>
            </w:r>
          </w:p>
        </w:tc>
      </w:tr>
      <w:tr w14:paraId="4DD6432A">
        <w:tblPrEx>
          <w:tblCellMar>
            <w:top w:w="0" w:type="dxa"/>
            <w:left w:w="108" w:type="dxa"/>
            <w:bottom w:w="0" w:type="dxa"/>
            <w:right w:w="108" w:type="dxa"/>
          </w:tblCellMar>
        </w:tblPrEx>
        <w:trPr>
          <w:trHeight w:val="1236" w:hRule="atLeast"/>
          <w:jc w:val="center"/>
        </w:trPr>
        <w:tc>
          <w:tcPr>
            <w:tcW w:w="1624" w:type="dxa"/>
          </w:tcPr>
          <w:p w14:paraId="35DBC0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Day 3</w:t>
            </w:r>
          </w:p>
        </w:tc>
        <w:tc>
          <w:tcPr>
            <w:tcW w:w="2011" w:type="dxa"/>
          </w:tcPr>
          <w:p w14:paraId="4BCD90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January 15, 2026</w:t>
            </w:r>
          </w:p>
        </w:tc>
        <w:tc>
          <w:tcPr>
            <w:tcW w:w="2711" w:type="dxa"/>
          </w:tcPr>
          <w:p w14:paraId="3C6538F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Effective Teaching Strategies; Resource Sharing and Collaborative Workshops</w:t>
            </w:r>
          </w:p>
        </w:tc>
        <w:tc>
          <w:tcPr>
            <w:tcW w:w="2394" w:type="dxa"/>
          </w:tcPr>
          <w:p w14:paraId="56F58D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Compilation of teaching strategies and instructional resources</w:t>
            </w:r>
          </w:p>
        </w:tc>
      </w:tr>
      <w:tr w14:paraId="788FF7FD">
        <w:tblPrEx>
          <w:tblCellMar>
            <w:top w:w="0" w:type="dxa"/>
            <w:left w:w="108" w:type="dxa"/>
            <w:bottom w:w="0" w:type="dxa"/>
            <w:right w:w="108" w:type="dxa"/>
          </w:tblCellMar>
        </w:tblPrEx>
        <w:trPr>
          <w:trHeight w:val="1191" w:hRule="atLeast"/>
          <w:jc w:val="center"/>
        </w:trPr>
        <w:tc>
          <w:tcPr>
            <w:tcW w:w="1624" w:type="dxa"/>
            <w:tcBorders>
              <w:bottom w:val="single" w:color="auto" w:sz="4" w:space="0"/>
            </w:tcBorders>
          </w:tcPr>
          <w:p w14:paraId="0FA1B73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Day 4</w:t>
            </w:r>
          </w:p>
        </w:tc>
        <w:tc>
          <w:tcPr>
            <w:tcW w:w="2011" w:type="dxa"/>
            <w:tcBorders>
              <w:bottom w:val="single" w:color="auto" w:sz="4" w:space="0"/>
            </w:tcBorders>
          </w:tcPr>
          <w:p w14:paraId="68E7EED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February 16, 2026</w:t>
            </w:r>
          </w:p>
        </w:tc>
        <w:tc>
          <w:tcPr>
            <w:tcW w:w="2711" w:type="dxa"/>
            <w:tcBorders>
              <w:bottom w:val="single" w:color="auto" w:sz="4" w:space="0"/>
            </w:tcBorders>
          </w:tcPr>
          <w:p w14:paraId="00E48B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Lesson Planning and Assessment Design; Work Application Planning</w:t>
            </w:r>
          </w:p>
        </w:tc>
        <w:tc>
          <w:tcPr>
            <w:tcW w:w="2394" w:type="dxa"/>
            <w:tcBorders>
              <w:bottom w:val="single" w:color="auto" w:sz="4" w:space="0"/>
            </w:tcBorders>
          </w:tcPr>
          <w:p w14:paraId="1DD9681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Lesson plans, assessment samples, and Work Application Plans</w:t>
            </w:r>
          </w:p>
        </w:tc>
      </w:tr>
    </w:tbl>
    <w:p w14:paraId="23918604">
      <w:pPr>
        <w:spacing w:after="0" w:line="240" w:lineRule="auto"/>
        <w:jc w:val="both"/>
        <w:rPr>
          <w:rFonts w:hint="default" w:ascii="Times New Roman" w:hAnsi="Times New Roman" w:eastAsia="Gill Sans MT" w:cs="Times New Roman"/>
          <w:color w:val="000000"/>
          <w:kern w:val="28"/>
          <w:sz w:val="24"/>
          <w:szCs w:val="24"/>
          <w:lang w:val="en-PH" w:eastAsia="zh-CN"/>
        </w:rPr>
      </w:pPr>
    </w:p>
    <w:p w14:paraId="5A06776D">
      <w:pPr>
        <w:pStyle w:val="18"/>
        <w:numPr>
          <w:numId w:val="0"/>
        </w:numPr>
        <w:spacing w:line="240" w:lineRule="auto"/>
        <w:ind w:leftChars="0"/>
        <w:contextualSpacing w:val="0"/>
        <w:rPr>
          <w:rFonts w:hint="default" w:ascii="Times New Roman" w:hAnsi="Times New Roman" w:cs="Times New Roman"/>
          <w:sz w:val="24"/>
          <w:szCs w:val="24"/>
        </w:rPr>
      </w:pPr>
      <w:r>
        <w:rPr>
          <w:rFonts w:hint="default" w:ascii="Times New Roman" w:hAnsi="Times New Roman" w:cs="Times New Roman"/>
          <w:b/>
          <w:sz w:val="24"/>
          <w:szCs w:val="24"/>
          <w:lang w:val="en-PH"/>
        </w:rPr>
        <w:t>Action Research Questions</w:t>
      </w:r>
    </w:p>
    <w:p w14:paraId="0A1B7ADF">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general purpose of this study is to enhance teachers’ knowledge and skills in implementing the Revised K to 12 Curriculum, strengthen instructional strategies, and improve assessment practices aligned with the Philippine Professional Standards for Teachers (PPST).</w:t>
      </w:r>
    </w:p>
    <w:p w14:paraId="0AFE7591">
      <w:pPr>
        <w:pStyle w:val="17"/>
        <w:spacing w:line="240" w:lineRule="auto"/>
        <w:ind w:left="216"/>
        <w:jc w:val="both"/>
        <w:rPr>
          <w:rFonts w:hint="default" w:ascii="Times New Roman" w:hAnsi="Times New Roman" w:cs="Times New Roman"/>
          <w:sz w:val="24"/>
          <w:szCs w:val="24"/>
        </w:rPr>
      </w:pPr>
      <w:r>
        <w:rPr>
          <w:rFonts w:hint="default" w:ascii="Times New Roman" w:hAnsi="Times New Roman" w:cs="Times New Roman"/>
          <w:sz w:val="24"/>
          <w:szCs w:val="24"/>
        </w:rPr>
        <w:t xml:space="preserve">       Specifically, it seeks to answer the following questions:</w:t>
      </w:r>
    </w:p>
    <w:p w14:paraId="707E5992">
      <w:pPr>
        <w:keepNext w:val="0"/>
        <w:keepLines w:val="0"/>
        <w:widowControl/>
        <w:numPr>
          <w:ilvl w:val="0"/>
          <w:numId w:val="1"/>
        </w:numPr>
        <w:suppressLineNumbers w:val="0"/>
        <w:spacing w:before="0" w:beforeAutospacing="1"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is the level of </w:t>
      </w:r>
      <w:r>
        <w:rPr>
          <w:rFonts w:hint="default" w:ascii="Times New Roman" w:hAnsi="Times New Roman" w:cs="Times New Roman"/>
          <w:sz w:val="24"/>
          <w:szCs w:val="24"/>
          <w:lang w:val="en-US"/>
        </w:rPr>
        <w:t>teachers</w:t>
      </w:r>
      <w:r>
        <w:rPr>
          <w:rFonts w:hint="default" w:ascii="Times New Roman" w:hAnsi="Times New Roman" w:cs="Times New Roman"/>
          <w:sz w:val="24"/>
          <w:szCs w:val="24"/>
        </w:rPr>
        <w:t xml:space="preserve">’ satisfaction </w:t>
      </w:r>
      <w:r>
        <w:rPr>
          <w:rFonts w:hint="default" w:ascii="Times New Roman" w:hAnsi="Times New Roman" w:cs="Times New Roman"/>
          <w:sz w:val="24"/>
          <w:szCs w:val="24"/>
          <w:lang w:val="en-US"/>
        </w:rPr>
        <w:t>in</w:t>
      </w:r>
      <w:r>
        <w:rPr>
          <w:rFonts w:hint="default" w:ascii="Times New Roman" w:hAnsi="Times New Roman" w:cs="Times New Roman"/>
          <w:sz w:val="24"/>
          <w:szCs w:val="24"/>
        </w:rPr>
        <w:t xml:space="preserve"> the </w:t>
      </w:r>
      <w:r>
        <w:rPr>
          <w:rFonts w:hint="default" w:ascii="Times New Roman" w:hAnsi="Times New Roman" w:cs="Times New Roman"/>
          <w:color w:val="000000"/>
          <w:sz w:val="24"/>
          <w:szCs w:val="24"/>
        </w:rPr>
        <w:t>School-Based Capacity Building</w:t>
      </w:r>
      <w:r>
        <w:rPr>
          <w:rFonts w:hint="default" w:ascii="Times New Roman" w:hAnsi="Times New Roman" w:cs="Times New Roman"/>
          <w:sz w:val="24"/>
          <w:szCs w:val="24"/>
        </w:rPr>
        <w:t xml:space="preserve">? </w:t>
      </w:r>
    </w:p>
    <w:p w14:paraId="239092BE">
      <w:pPr>
        <w:keepNext w:val="0"/>
        <w:keepLines w:val="0"/>
        <w:widowControl/>
        <w:numPr>
          <w:ilvl w:val="0"/>
          <w:numId w:val="1"/>
        </w:numPr>
        <w:suppressLineNumbers w:val="0"/>
        <w:spacing w:before="0" w:beforeAutospacing="1"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is the level of teachers’ knowledge and skills before the </w:t>
      </w:r>
      <w:r>
        <w:rPr>
          <w:rFonts w:hint="default" w:ascii="Times New Roman" w:hAnsi="Times New Roman" w:cs="Times New Roman"/>
          <w:color w:val="000000"/>
          <w:sz w:val="24"/>
          <w:szCs w:val="24"/>
        </w:rPr>
        <w:t>School-Based Capacity Building for Teachers</w:t>
      </w:r>
      <w:r>
        <w:rPr>
          <w:rFonts w:hint="default" w:ascii="Times New Roman" w:hAnsi="Times New Roman" w:cs="Times New Roman"/>
          <w:sz w:val="24"/>
          <w:szCs w:val="24"/>
        </w:rPr>
        <w:t xml:space="preserve">? </w:t>
      </w:r>
    </w:p>
    <w:p w14:paraId="42424CE1">
      <w:pPr>
        <w:keepNext w:val="0"/>
        <w:keepLines w:val="0"/>
        <w:widowControl/>
        <w:numPr>
          <w:ilvl w:val="0"/>
          <w:numId w:val="1"/>
        </w:numPr>
        <w:suppressLineNumbers w:val="0"/>
        <w:spacing w:before="0" w:beforeAutospacing="1"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is the level of teachers’ knowledge and skills after the </w:t>
      </w:r>
      <w:r>
        <w:rPr>
          <w:rFonts w:hint="default" w:ascii="Times New Roman" w:hAnsi="Times New Roman" w:cs="Times New Roman"/>
          <w:color w:val="000000"/>
          <w:sz w:val="24"/>
          <w:szCs w:val="24"/>
        </w:rPr>
        <w:t>School-Based Capacity Building for Teachers</w:t>
      </w:r>
      <w:r>
        <w:rPr>
          <w:rFonts w:hint="default" w:ascii="Times New Roman" w:hAnsi="Times New Roman" w:cs="Times New Roman"/>
          <w:sz w:val="24"/>
          <w:szCs w:val="24"/>
        </w:rPr>
        <w:t xml:space="preserve">? </w:t>
      </w:r>
    </w:p>
    <w:p w14:paraId="4A7F26A0">
      <w:pPr>
        <w:keepNext w:val="0"/>
        <w:keepLines w:val="0"/>
        <w:widowControl/>
        <w:numPr>
          <w:ilvl w:val="0"/>
          <w:numId w:val="1"/>
        </w:numPr>
        <w:suppressLineNumbers w:val="0"/>
        <w:spacing w:before="0" w:beforeAutospacing="1"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Is there </w:t>
      </w:r>
      <w:r>
        <w:rPr>
          <w:rFonts w:hint="default" w:ascii="Times New Roman" w:hAnsi="Times New Roman" w:cs="Times New Roman"/>
          <w:sz w:val="24"/>
          <w:szCs w:val="24"/>
          <w:lang w:val="en-US"/>
        </w:rPr>
        <w:t xml:space="preserve"> a significant difference between </w:t>
      </w:r>
      <w:r>
        <w:rPr>
          <w:rFonts w:hint="default" w:ascii="Times New Roman" w:hAnsi="Times New Roman" w:cs="Times New Roman"/>
          <w:sz w:val="24"/>
          <w:szCs w:val="24"/>
        </w:rPr>
        <w:t>teachers’ knowledge and skills</w:t>
      </w:r>
      <w:r>
        <w:rPr>
          <w:rFonts w:hint="default" w:ascii="Times New Roman" w:hAnsi="Times New Roman" w:cs="Times New Roman"/>
          <w:sz w:val="24"/>
          <w:szCs w:val="24"/>
          <w:lang w:val="en-US"/>
        </w:rPr>
        <w:t xml:space="preserve"> before after</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School-Based Capacity Building for Teachers</w:t>
      </w:r>
      <w:r>
        <w:rPr>
          <w:rFonts w:hint="default" w:ascii="Times New Roman" w:hAnsi="Times New Roman" w:cs="Times New Roman"/>
          <w:sz w:val="24"/>
          <w:szCs w:val="24"/>
        </w:rPr>
        <w:t>?</w:t>
      </w:r>
    </w:p>
    <w:p w14:paraId="10D28ADE">
      <w:pPr>
        <w:rPr>
          <w:rFonts w:hint="default" w:ascii="Times New Roman" w:hAnsi="Times New Roman" w:cs="Times New Roman"/>
          <w:b/>
          <w:sz w:val="28"/>
          <w:szCs w:val="28"/>
          <w:lang w:val="en-US"/>
        </w:rPr>
      </w:pPr>
    </w:p>
    <w:p w14:paraId="4765EA03">
      <w:pPr>
        <w:rPr>
          <w:rFonts w:hint="default"/>
          <w:sz w:val="28"/>
          <w:szCs w:val="28"/>
          <w:lang w:val="en-US"/>
        </w:rPr>
      </w:pPr>
      <w:r>
        <w:rPr>
          <w:rFonts w:hint="default" w:ascii="Times New Roman" w:hAnsi="Times New Roman" w:cs="Times New Roman"/>
          <w:b/>
          <w:sz w:val="28"/>
          <w:szCs w:val="28"/>
          <w:lang w:val="en-US"/>
        </w:rPr>
        <w:t>METHODOLOGY</w:t>
      </w:r>
    </w:p>
    <w:p w14:paraId="03FF73E0">
      <w:pPr>
        <w:pStyle w:val="2"/>
        <w:keepNext w:val="0"/>
        <w:keepLines w:val="0"/>
        <w:pageBreakBefore w:val="0"/>
        <w:widowControl/>
        <w:numPr>
          <w:numId w:val="0"/>
        </w:numPr>
        <w:suppressLineNumbers w:val="0"/>
        <w:kinsoku/>
        <w:wordWrap/>
        <w:overflowPunct/>
        <w:topLinePunct w:val="0"/>
        <w:bidi w:val="0"/>
        <w:snapToGrid/>
        <w:spacing w:beforeAutospacing="0" w:line="240" w:lineRule="auto"/>
        <w:textAlignment w:val="auto"/>
        <w:outlineLvl w:val="1"/>
        <w:rPr>
          <w:rFonts w:hint="default" w:ascii="Times New Roman" w:hAnsi="Times New Roman" w:cs="Times New Roman"/>
          <w:sz w:val="24"/>
          <w:szCs w:val="24"/>
        </w:rPr>
      </w:pPr>
      <w:r>
        <w:rPr>
          <w:rStyle w:val="12"/>
          <w:rFonts w:hint="default" w:ascii="Times New Roman" w:hAnsi="Times New Roman" w:cs="Times New Roman"/>
          <w:b/>
          <w:bCs/>
          <w:sz w:val="24"/>
          <w:szCs w:val="24"/>
        </w:rPr>
        <w:t>Participants and Sources of Data</w:t>
      </w:r>
    </w:p>
    <w:p w14:paraId="22277ED1">
      <w:pPr>
        <w:keepNext w:val="0"/>
        <w:keepLines w:val="0"/>
        <w:pageBreakBefore w:val="0"/>
        <w:widowControl/>
        <w:kinsoku/>
        <w:wordWrap/>
        <w:overflowPunct/>
        <w:topLinePunct w:val="0"/>
        <w:bidi w:val="0"/>
        <w:snapToGrid/>
        <w:spacing w:beforeAutospacing="0" w:line="240" w:lineRule="auto"/>
        <w:ind w:firstLine="720" w:firstLineChars="0"/>
        <w:jc w:val="both"/>
        <w:textAlignment w:val="auto"/>
        <w:rPr>
          <w:rFonts w:hint="default" w:ascii="Times New Roman" w:hAnsi="Times New Roman" w:eastAsia="Calibri" w:cs="Times New Roman"/>
          <w:sz w:val="24"/>
          <w:szCs w:val="24"/>
          <w:lang w:val="en-PH"/>
        </w:rPr>
      </w:pPr>
      <w:r>
        <w:rPr>
          <w:rFonts w:hint="default" w:ascii="Times New Roman" w:hAnsi="Times New Roman" w:eastAsia="Calibri" w:cs="Times New Roman"/>
          <w:sz w:val="24"/>
          <w:szCs w:val="24"/>
        </w:rPr>
        <w:t xml:space="preserve">The respondents of the study will consist of </w:t>
      </w:r>
      <w:r>
        <w:rPr>
          <w:rFonts w:hint="default" w:ascii="Times New Roman" w:hAnsi="Times New Roman" w:eastAsia="Calibri" w:cs="Times New Roman"/>
          <w:sz w:val="24"/>
          <w:szCs w:val="24"/>
          <w:lang w:val="en-PH"/>
        </w:rPr>
        <w:t>seventy six (76) teachers</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PH"/>
        </w:rPr>
        <w:t>of</w:t>
      </w:r>
      <w:r>
        <w:rPr>
          <w:rFonts w:hint="default" w:ascii="Times New Roman" w:hAnsi="Times New Roman" w:eastAsia="Calibri" w:cs="Times New Roman"/>
          <w:sz w:val="24"/>
          <w:szCs w:val="24"/>
        </w:rPr>
        <w:t xml:space="preserve"> Dolores Macasaet National High School. They will be chosen purposively because </w:t>
      </w:r>
      <w:r>
        <w:rPr>
          <w:rFonts w:hint="default" w:ascii="Times New Roman" w:hAnsi="Times New Roman" w:eastAsia="Calibri" w:cs="Times New Roman"/>
          <w:sz w:val="24"/>
          <w:szCs w:val="24"/>
          <w:lang w:val="en-PH"/>
        </w:rPr>
        <w:t>the researchers</w:t>
      </w:r>
      <w:r>
        <w:rPr>
          <w:rFonts w:hint="default" w:ascii="Times New Roman" w:hAnsi="Times New Roman" w:eastAsia="Calibri" w:cs="Times New Roman"/>
          <w:sz w:val="24"/>
          <w:szCs w:val="24"/>
        </w:rPr>
        <w:t xml:space="preserve"> are </w:t>
      </w:r>
      <w:r>
        <w:rPr>
          <w:rFonts w:hint="default" w:ascii="Times New Roman" w:hAnsi="Times New Roman" w:eastAsia="Calibri" w:cs="Times New Roman"/>
          <w:sz w:val="24"/>
          <w:szCs w:val="24"/>
          <w:lang w:val="en-PH"/>
        </w:rPr>
        <w:t>the School INSET coordinator with his co-author the School Principal</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PH"/>
        </w:rPr>
        <w:t>The respondents composed of fifty two (52) Junior High School Teachers, Twenty (20) Senior High School Teachers, and four (4) Teaching-related personnel.</w:t>
      </w:r>
    </w:p>
    <w:p w14:paraId="0483B939">
      <w:pPr>
        <w:keepNext w:val="0"/>
        <w:keepLines w:val="0"/>
        <w:pageBreakBefore w:val="0"/>
        <w:widowControl/>
        <w:kinsoku/>
        <w:wordWrap/>
        <w:overflowPunct/>
        <w:topLinePunct w:val="0"/>
        <w:bidi w:val="0"/>
        <w:snapToGrid/>
        <w:spacing w:beforeAutospacing="0" w:line="240" w:lineRule="auto"/>
        <w:ind w:firstLine="720" w:firstLineChars="0"/>
        <w:jc w:val="both"/>
        <w:textAlignment w:val="auto"/>
        <w:rPr>
          <w:rFonts w:hint="default" w:ascii="Times New Roman" w:hAnsi="Times New Roman" w:eastAsia="Calibri" w:cs="Times New Roman"/>
          <w:sz w:val="24"/>
          <w:szCs w:val="24"/>
          <w:lang w:val="en-PH"/>
        </w:rPr>
      </w:pPr>
      <w:r>
        <w:rPr>
          <w:rFonts w:hint="default" w:ascii="Times New Roman" w:hAnsi="Times New Roman" w:eastAsia="Calibri" w:cs="Times New Roman"/>
          <w:sz w:val="24"/>
          <w:szCs w:val="24"/>
        </w:rPr>
        <w:t xml:space="preserve">This study will utilize the </w:t>
      </w:r>
      <w:r>
        <w:rPr>
          <w:rFonts w:hint="default" w:ascii="Times New Roman" w:hAnsi="Times New Roman" w:cs="Times New Roman"/>
          <w:color w:val="000000"/>
          <w:sz w:val="24"/>
          <w:szCs w:val="24"/>
        </w:rPr>
        <w:t>descriptive-evaluative research design</w:t>
      </w:r>
      <w:r>
        <w:rPr>
          <w:rFonts w:hint="default" w:ascii="Times New Roman" w:hAnsi="Times New Roman" w:eastAsia="Calibri" w:cs="Times New Roman"/>
          <w:sz w:val="24"/>
          <w:szCs w:val="24"/>
        </w:rPr>
        <w:t xml:space="preserve"> The group will expose to </w:t>
      </w:r>
      <w:r>
        <w:rPr>
          <w:rFonts w:hint="default" w:ascii="Times New Roman" w:hAnsi="Times New Roman" w:eastAsia="Calibri" w:cs="Times New Roman"/>
          <w:sz w:val="24"/>
          <w:szCs w:val="24"/>
          <w:lang w:val="en-PH"/>
        </w:rPr>
        <w:t xml:space="preserve">implementation of </w:t>
      </w:r>
      <w:r>
        <w:rPr>
          <w:rFonts w:hint="default" w:ascii="Times New Roman" w:hAnsi="Times New Roman" w:cs="Times New Roman"/>
          <w:color w:val="000000"/>
          <w:sz w:val="24"/>
          <w:szCs w:val="24"/>
        </w:rPr>
        <w:t>School-Based Capacity Building for Teachers</w:t>
      </w:r>
      <w:r>
        <w:rPr>
          <w:rFonts w:hint="default" w:ascii="Times New Roman" w:hAnsi="Times New Roman" w:eastAsia="Calibri" w:cs="Times New Roman"/>
          <w:sz w:val="24"/>
          <w:szCs w:val="24"/>
        </w:rPr>
        <w:t>.  The researchers’ aim to enhance teachers’ knowledge and skills in implementing the Revised K to 12 Curriculum, strengthen instructional strategies, and improve assessment practices aligned with the Philippine Professional Standards for Teachers</w:t>
      </w:r>
      <w:r>
        <w:rPr>
          <w:rFonts w:hint="default" w:ascii="Times New Roman" w:hAnsi="Times New Roman" w:eastAsia="Calibri" w:cs="Times New Roman"/>
          <w:sz w:val="24"/>
          <w:szCs w:val="24"/>
          <w:lang w:val="en-PH"/>
        </w:rPr>
        <w:t>.</w:t>
      </w:r>
    </w:p>
    <w:p w14:paraId="2659360B">
      <w:pPr>
        <w:keepNext w:val="0"/>
        <w:keepLines w:val="0"/>
        <w:pageBreakBefore w:val="0"/>
        <w:widowControl/>
        <w:kinsoku/>
        <w:wordWrap/>
        <w:overflowPunct/>
        <w:topLinePunct w:val="0"/>
        <w:autoSpaceDE w:val="0"/>
        <w:autoSpaceDN w:val="0"/>
        <w:bidi w:val="0"/>
        <w:adjustRightInd w:val="0"/>
        <w:snapToGrid/>
        <w:spacing w:beforeAutospacing="0" w:line="240" w:lineRule="auto"/>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To ensure the rights of the respondents of the study, several ethical considerations will be employed by the researchers to wit: confidentiality, informed consent, and voluntary participation will be considered.</w:t>
      </w:r>
    </w:p>
    <w:p w14:paraId="784BB7D6">
      <w:pPr>
        <w:keepNext w:val="0"/>
        <w:keepLines w:val="0"/>
        <w:pageBreakBefore w:val="0"/>
        <w:widowControl/>
        <w:kinsoku/>
        <w:wordWrap/>
        <w:overflowPunct/>
        <w:topLinePunct w:val="0"/>
        <w:autoSpaceDE w:val="0"/>
        <w:autoSpaceDN w:val="0"/>
        <w:bidi w:val="0"/>
        <w:adjustRightInd w:val="0"/>
        <w:snapToGrid/>
        <w:spacing w:beforeAutospacing="0" w:line="240" w:lineRule="auto"/>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The </w:t>
      </w:r>
      <w:r>
        <w:rPr>
          <w:rFonts w:hint="default" w:ascii="Times New Roman" w:hAnsi="Times New Roman" w:eastAsia="Calibri" w:cs="Times New Roman"/>
          <w:sz w:val="24"/>
          <w:szCs w:val="24"/>
          <w:lang w:val="en-PH"/>
        </w:rPr>
        <w:t>first one</w:t>
      </w:r>
      <w:r>
        <w:rPr>
          <w:rFonts w:hint="default" w:ascii="Times New Roman" w:hAnsi="Times New Roman" w:eastAsia="Calibri" w:cs="Times New Roman"/>
          <w:sz w:val="24"/>
          <w:szCs w:val="24"/>
        </w:rPr>
        <w:t xml:space="preserve"> consideration is confidentiality</w:t>
      </w:r>
      <w:r>
        <w:rPr>
          <w:rFonts w:hint="default" w:ascii="Times New Roman" w:hAnsi="Times New Roman" w:eastAsia="Calibri" w:cs="Times New Roman"/>
          <w:i/>
          <w:iCs/>
          <w:sz w:val="24"/>
          <w:szCs w:val="24"/>
        </w:rPr>
        <w:t xml:space="preserve">. </w:t>
      </w:r>
      <w:r>
        <w:rPr>
          <w:rFonts w:hint="default" w:ascii="Times New Roman" w:hAnsi="Times New Roman" w:eastAsia="Calibri" w:cs="Times New Roman"/>
          <w:sz w:val="24"/>
          <w:szCs w:val="24"/>
        </w:rPr>
        <w:t>In this, participants will be assured that identifying information will not be made available to anyone who is not directly involved in the study. In addition to these, informed consent will also be considered. Prospective research participants will be fully informed about the procedures and risks involved in the research.</w:t>
      </w:r>
    </w:p>
    <w:p w14:paraId="06F06398">
      <w:pPr>
        <w:keepNext w:val="0"/>
        <w:keepLines w:val="0"/>
        <w:pageBreakBefore w:val="0"/>
        <w:widowControl/>
        <w:kinsoku/>
        <w:wordWrap/>
        <w:overflowPunct/>
        <w:topLinePunct w:val="0"/>
        <w:bidi w:val="0"/>
        <w:snapToGrid/>
        <w:spacing w:beforeAutospacing="0" w:line="240" w:lineRule="auto"/>
        <w:ind w:firstLine="720" w:firstLineChars="0"/>
        <w:jc w:val="both"/>
        <w:textAlignment w:val="auto"/>
        <w:rPr>
          <w:rStyle w:val="12"/>
          <w:rFonts w:hint="default" w:ascii="Times New Roman" w:hAnsi="Times New Roman" w:cs="Times New Roman"/>
          <w:b/>
          <w:bCs/>
          <w:sz w:val="24"/>
          <w:szCs w:val="24"/>
        </w:rPr>
      </w:pPr>
      <w:r>
        <w:rPr>
          <w:rFonts w:hint="default" w:ascii="Times New Roman" w:hAnsi="Times New Roman" w:eastAsia="Calibri" w:cs="Times New Roman"/>
          <w:sz w:val="24"/>
          <w:szCs w:val="24"/>
        </w:rPr>
        <w:t xml:space="preserve">Letter of permission will be given to them before answering the </w:t>
      </w:r>
      <w:r>
        <w:rPr>
          <w:rFonts w:hint="default" w:ascii="Times New Roman" w:hAnsi="Times New Roman" w:eastAsia="Calibri" w:cs="Times New Roman"/>
          <w:sz w:val="24"/>
          <w:szCs w:val="24"/>
          <w:lang w:val="en-PH"/>
        </w:rPr>
        <w:t xml:space="preserve">training evaluation forms  and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Pre-test and post-test</w:t>
      </w:r>
      <w:r>
        <w:rPr>
          <w:rFonts w:hint="default" w:ascii="Times New Roman" w:hAnsi="Times New Roman" w:cs="Times New Roman"/>
          <w:sz w:val="24"/>
          <w:szCs w:val="24"/>
          <w:lang w:val="en-PH"/>
        </w:rPr>
        <w:t xml:space="preserve">. </w:t>
      </w:r>
      <w:r>
        <w:rPr>
          <w:rFonts w:hint="default" w:ascii="Times New Roman" w:hAnsi="Times New Roman" w:eastAsia="Calibri" w:cs="Times New Roman"/>
          <w:sz w:val="24"/>
          <w:szCs w:val="24"/>
        </w:rPr>
        <w:t>Last on the list is voluntary participation in that no participant will be coercive to participate in the research undertaking</w:t>
      </w:r>
    </w:p>
    <w:p w14:paraId="68D4124D">
      <w:pPr>
        <w:pStyle w:val="2"/>
        <w:keepNext w:val="0"/>
        <w:keepLines w:val="0"/>
        <w:widowControl/>
        <w:numPr>
          <w:numId w:val="0"/>
        </w:numPr>
        <w:suppressLineNumbers w:val="0"/>
        <w:spacing w:line="240" w:lineRule="auto"/>
        <w:ind w:leftChars="0"/>
        <w:outlineLvl w:val="1"/>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Data Gathering Methods</w:t>
      </w:r>
    </w:p>
    <w:p w14:paraId="41E8C04F">
      <w:pPr>
        <w:spacing w:line="240" w:lineRule="auto"/>
        <w:ind w:firstLine="720" w:firstLineChars="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School-Based Capacity Building for Teachers was implemented from November 2025 to February 2026. To determine the participants’ level of satisfaction with the program, the researchers utilized a validated, self-developed training evaluation form. Additionally, teachers’ knowledge and skills were assessed using validated parallel pre-assessment and post-assessment tests consisting of 50 items developed based on a Table of Specifications (TOS).</w:t>
      </w:r>
      <w:r>
        <w:rPr>
          <w:rFonts w:hint="default" w:ascii="Times New Roman" w:hAnsi="Times New Roman" w:cs="Times New Roman"/>
          <w:sz w:val="24"/>
          <w:szCs w:val="24"/>
          <w:lang w:val="en-US"/>
        </w:rPr>
        <w:t xml:space="preserve"> </w:t>
      </w:r>
      <w:r>
        <w:rPr>
          <w:rFonts w:hint="default" w:ascii="Times New Roman" w:hAnsi="Times New Roman" w:eastAsia="Calibri" w:cs="Times New Roman"/>
          <w:sz w:val="24"/>
          <w:szCs w:val="24"/>
        </w:rPr>
        <w:t>To ensure the quality and validity of the instrument, both face and content validation were conducted with the assistance of Head Teachers and Master Teachers. The parallel pre-assessment and post-assessment contained the same content areas and were designed to measure changes in teachers’ knowledge and skills before and after the training intervention.</w:t>
      </w:r>
      <w:r>
        <w:rPr>
          <w:rFonts w:hint="default" w:ascii="Times New Roman" w:hAnsi="Times New Roman" w:cs="Times New Roman"/>
          <w:sz w:val="24"/>
          <w:szCs w:val="24"/>
          <w:lang w:val="en-US"/>
        </w:rPr>
        <w:t xml:space="preserve"> </w:t>
      </w:r>
      <w:r>
        <w:rPr>
          <w:rFonts w:hint="default" w:ascii="Times New Roman" w:hAnsi="Times New Roman" w:eastAsia="Calibri" w:cs="Times New Roman"/>
          <w:sz w:val="24"/>
          <w:szCs w:val="24"/>
        </w:rPr>
        <w:t>The 50-item assessment was divided into five key areas, with 10 items allocated to each domain: Understanding of MELCs and Curriculum Alignment, Use of Data in Instructional Planning, Knowledge of Differentiated Instruction, Assessment Design and Alignment, and Technology Integration in Teaching. These instruments served as the primary sources of data in evaluating the effectiveness of the capacity-building program.</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Prior to conducting the study, the research instruments underwent face and content validation with the assistance of Head Teachers and Master Teachers to ensure their validity and suitability for the study. Following the validation process, the researchers sought approval from the School Head of Dolores Macasaet National High School before proceeding with the implementation of the research.</w:t>
      </w:r>
      <w:r>
        <w:rPr>
          <w:rFonts w:hint="default" w:ascii="Times New Roman" w:hAnsi="Times New Roman" w:cs="Times New Roman"/>
          <w:sz w:val="24"/>
          <w:szCs w:val="24"/>
          <w:lang w:val="en-US"/>
        </w:rPr>
        <w:t xml:space="preserve"> </w:t>
      </w:r>
      <w:r>
        <w:rPr>
          <w:rFonts w:hint="default" w:ascii="Times New Roman" w:hAnsi="Times New Roman" w:eastAsia="Calibri" w:cs="Times New Roman"/>
          <w:sz w:val="24"/>
          <w:szCs w:val="24"/>
        </w:rPr>
        <w:t xml:space="preserve">The data collection process was carried out in several phases. </w:t>
      </w:r>
    </w:p>
    <w:p w14:paraId="2FB02759">
      <w:pPr>
        <w:spacing w:line="240" w:lineRule="auto"/>
        <w:ind w:firstLine="720" w:firstLineChars="0"/>
        <w:jc w:val="both"/>
        <w:rPr>
          <w:rFonts w:hint="default" w:ascii="Times New Roman" w:hAnsi="Times New Roman" w:cs="Times New Roman"/>
          <w:sz w:val="24"/>
          <w:szCs w:val="24"/>
        </w:rPr>
      </w:pPr>
      <w:r>
        <w:rPr>
          <w:rFonts w:hint="default" w:ascii="Times New Roman" w:hAnsi="Times New Roman" w:eastAsia="Calibri" w:cs="Times New Roman"/>
          <w:sz w:val="24"/>
          <w:szCs w:val="24"/>
        </w:rPr>
        <w:t>Before the implementation of the School-Based Capacity Building for Teachers, a pre-test was administered to determine the teachers’ baseline level of knowledge and skills. The pre-test results were then analyzed to identify existing competency gaps and areas that required improvement.</w:t>
      </w:r>
      <w:r>
        <w:rPr>
          <w:rFonts w:hint="default" w:ascii="Times New Roman" w:hAnsi="Times New Roman" w:cs="Times New Roman"/>
          <w:sz w:val="24"/>
          <w:szCs w:val="24"/>
          <w:lang w:val="en-US"/>
        </w:rPr>
        <w:t xml:space="preserve"> </w:t>
      </w:r>
      <w:r>
        <w:rPr>
          <w:rFonts w:hint="default" w:ascii="Times New Roman" w:hAnsi="Times New Roman" w:eastAsia="Calibri" w:cs="Times New Roman"/>
          <w:sz w:val="24"/>
          <w:szCs w:val="24"/>
        </w:rPr>
        <w:t xml:space="preserve">After the completion of the intervention, the </w:t>
      </w:r>
      <w:r>
        <w:rPr>
          <w:rFonts w:hint="default" w:ascii="Times New Roman" w:hAnsi="Times New Roman" w:cs="Times New Roman"/>
          <w:sz w:val="24"/>
          <w:szCs w:val="24"/>
          <w:lang w:val="en-US"/>
        </w:rPr>
        <w:t>teachers</w:t>
      </w:r>
      <w:r>
        <w:rPr>
          <w:rFonts w:hint="default" w:ascii="Times New Roman" w:hAnsi="Times New Roman" w:eastAsia="Calibri" w:cs="Times New Roman"/>
          <w:sz w:val="24"/>
          <w:szCs w:val="24"/>
        </w:rPr>
        <w:t xml:space="preserve"> were asked to accomplish a training evaluation form to assess their level of satisfaction with the program. A post-test was also administered to measure any changes in teachers’ knowledge and skills following the training. The post-test results were subsequently analyzed, and the study hypothesis was tested to determine the effectiveness of the intervention.</w:t>
      </w:r>
    </w:p>
    <w:p w14:paraId="53F70ACC">
      <w:pPr>
        <w:pStyle w:val="2"/>
        <w:keepNext w:val="0"/>
        <w:keepLines w:val="0"/>
        <w:widowControl/>
        <w:numPr>
          <w:numId w:val="0"/>
        </w:numPr>
        <w:suppressLineNumbers w:val="0"/>
        <w:spacing w:line="240" w:lineRule="auto"/>
        <w:ind w:leftChars="0"/>
        <w:outlineLvl w:val="1"/>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Data Analysis Plan</w:t>
      </w:r>
    </w:p>
    <w:p w14:paraId="40A49B0A">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study focuses on determining the effectiveness of the School-Based Capacity Building for Teachers titled “Navigating New Horizons in Revised K to 12 Curriculum Instruction,” which was conducted at Dolores Macasaet National High School during School Year 2025–2026. Specifically, it seeks to evaluate how the program contributed to improving teachers’ knowledge, skills, and professional competencies related to curriculum implementation and instructional practices.</w:t>
      </w:r>
    </w:p>
    <w:p w14:paraId="13D30031">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achieve this objective, the study employed a descriptive-evaluative research design, utilizing data gathered from training evaluation results as well as participants’ pre-test and post-test scores.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researchers used a validated training evaluation form and a parallel pretest-posttest assessment as the primary data-gathering instruments. These tools were utilized to measure teachers’ level of satisfaction with the training program and to assess their knowledge and skills before and after participating in the School-Based Capacity Building initiative.</w:t>
      </w:r>
    </w:p>
    <w:p w14:paraId="3F0F52CB">
      <w:pPr>
        <w:pStyle w:val="18"/>
        <w:spacing w:after="120" w:line="240" w:lineRule="auto"/>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School-Based Capacity Building for Teachers program entitled “Navigating New Horizons in Revised K to 12 Curriculum Instruction” was implemented at Dolores Macasaet National High School from November 2025 to February 2026. The program aimed to strengthen teachers’ competencies and support the effective implementation of the Revised K to 12 Curriculum.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 analyze the data gathered, the researchers used the weighted mean to determine the participants’ level of satisfaction with the training and to assess their knowledge and skills. In addition, a paired t-test was employed to determine whether there was a significant difference between the teachers’ pretest and posttest scores before and after their participation in the School-Based Capacity Building program.</w:t>
      </w:r>
    </w:p>
    <w:p w14:paraId="690B9D06">
      <w:pPr>
        <w:pStyle w:val="18"/>
        <w:spacing w:after="120" w:line="240" w:lineRule="auto"/>
        <w:ind w:left="0" w:leftChars="0" w:firstLine="0" w:firstLineChars="0"/>
        <w:jc w:val="both"/>
        <w:rPr>
          <w:rFonts w:hint="default" w:ascii="Times New Roman" w:hAnsi="Times New Roman" w:cs="Times New Roman"/>
          <w:b/>
          <w:sz w:val="24"/>
          <w:szCs w:val="24"/>
          <w:lang w:val="en-PH"/>
        </w:rPr>
      </w:pPr>
    </w:p>
    <w:p w14:paraId="78CCE64F">
      <w:pPr>
        <w:pStyle w:val="18"/>
        <w:spacing w:after="120" w:line="240" w:lineRule="auto"/>
        <w:ind w:left="0" w:leftChars="0" w:firstLine="0" w:firstLineChars="0"/>
        <w:jc w:val="both"/>
        <w:rPr>
          <w:rFonts w:hint="default" w:ascii="Times New Roman" w:hAnsi="Times New Roman" w:cs="Times New Roman"/>
          <w:b/>
          <w:sz w:val="24"/>
          <w:szCs w:val="24"/>
          <w:lang w:val="en-PH"/>
        </w:rPr>
      </w:pPr>
      <w:r>
        <w:rPr>
          <w:rFonts w:hint="default" w:ascii="Times New Roman" w:hAnsi="Times New Roman" w:cs="Times New Roman"/>
          <w:b/>
          <w:sz w:val="24"/>
          <w:szCs w:val="24"/>
          <w:lang w:val="en-PH"/>
        </w:rPr>
        <w:t>Action Research Work Plan and Timelines</w:t>
      </w:r>
    </w:p>
    <w:p w14:paraId="512D3453">
      <w:pPr>
        <w:pStyle w:val="18"/>
        <w:spacing w:after="120" w:line="240" w:lineRule="auto"/>
        <w:ind w:left="360"/>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764405" cy="2324735"/>
            <wp:effectExtent l="0" t="0" r="10795" b="1206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4764405" cy="2324735"/>
                    </a:xfrm>
                    <a:prstGeom prst="rect">
                      <a:avLst/>
                    </a:prstGeom>
                    <a:noFill/>
                    <a:ln>
                      <a:noFill/>
                    </a:ln>
                  </pic:spPr>
                </pic:pic>
              </a:graphicData>
            </a:graphic>
          </wp:inline>
        </w:drawing>
      </w:r>
    </w:p>
    <w:p w14:paraId="2E3D0CC8">
      <w:pPr>
        <w:pStyle w:val="18"/>
        <w:spacing w:after="120" w:line="240" w:lineRule="auto"/>
        <w:ind w:left="360"/>
        <w:jc w:val="left"/>
        <w:rPr>
          <w:rFonts w:hint="default" w:ascii="Times New Roman" w:hAnsi="Times New Roman" w:cs="Times New Roman"/>
          <w:b/>
          <w:sz w:val="28"/>
          <w:szCs w:val="28"/>
          <w:lang w:val="en-US"/>
        </w:rPr>
      </w:pPr>
      <w:r>
        <w:rPr>
          <w:rFonts w:hint="default" w:ascii="Times New Roman" w:hAnsi="Times New Roman" w:cs="Times New Roman"/>
          <w:b/>
          <w:sz w:val="28"/>
          <w:szCs w:val="28"/>
          <w:lang w:val="en-PH"/>
        </w:rPr>
        <w:t>R</w:t>
      </w:r>
      <w:r>
        <w:rPr>
          <w:rFonts w:hint="default" w:ascii="Times New Roman" w:hAnsi="Times New Roman" w:cs="Times New Roman"/>
          <w:b/>
          <w:sz w:val="28"/>
          <w:szCs w:val="28"/>
          <w:lang w:val="en-US"/>
        </w:rPr>
        <w:t xml:space="preserve">ESULT AND DISCUSSION </w:t>
      </w:r>
    </w:p>
    <w:p w14:paraId="5D8AA739">
      <w:pPr>
        <w:pStyle w:val="17"/>
        <w:numPr>
          <w:numId w:val="0"/>
        </w:numPr>
        <w:spacing w:after="0" w:line="240" w:lineRule="auto"/>
        <w:ind w:leftChars="0"/>
        <w:jc w:val="both"/>
        <w:rPr>
          <w:rFonts w:hint="default" w:ascii="Times New Roman" w:hAnsi="Times New Roman" w:cs="Times New Roman"/>
          <w:b/>
          <w:sz w:val="28"/>
          <w:szCs w:val="28"/>
          <w:lang w:val="en-US"/>
        </w:rPr>
      </w:pPr>
    </w:p>
    <w:p w14:paraId="66208113">
      <w:pPr>
        <w:pStyle w:val="17"/>
        <w:numPr>
          <w:numId w:val="0"/>
        </w:numPr>
        <w:spacing w:after="0" w:line="240" w:lineRule="auto"/>
        <w:ind w:leftChars="0"/>
        <w:jc w:val="both"/>
        <w:rPr>
          <w:rFonts w:hint="default" w:ascii="Times New Roman" w:hAnsi="Times New Roman" w:cs="Times New Roman"/>
          <w:b/>
          <w:sz w:val="24"/>
          <w:szCs w:val="24"/>
          <w:lang w:val="en-PH"/>
        </w:rPr>
      </w:pPr>
    </w:p>
    <w:p w14:paraId="308B62D5">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eastAsia="Calibri" w:cs="Times New Roman"/>
          <w:sz w:val="24"/>
          <w:szCs w:val="24"/>
          <w:lang w:val="en-US"/>
        </w:rPr>
        <w:t>T</w:t>
      </w:r>
      <w:r>
        <w:rPr>
          <w:rFonts w:hint="default" w:ascii="Times New Roman" w:hAnsi="Times New Roman" w:eastAsia="Calibri" w:cs="Times New Roman"/>
          <w:sz w:val="24"/>
          <w:szCs w:val="24"/>
        </w:rPr>
        <w:t>his part presents the data gathered from</w:t>
      </w:r>
      <w:r>
        <w:rPr>
          <w:rFonts w:hint="default" w:ascii="Times New Roman" w:hAnsi="Times New Roman" w:eastAsia="Calibri" w:cs="Times New Roman"/>
          <w:sz w:val="24"/>
          <w:szCs w:val="24"/>
          <w:lang w:val="en-US"/>
        </w:rPr>
        <w:t xml:space="preserve"> </w:t>
      </w:r>
      <w:r>
        <w:rPr>
          <w:rFonts w:hint="default" w:ascii="Times New Roman" w:hAnsi="Times New Roman" w:cs="Times New Roman"/>
          <w:sz w:val="24"/>
          <w:szCs w:val="24"/>
          <w:lang w:val="en-US"/>
        </w:rPr>
        <w:t>training evaluation result and</w:t>
      </w:r>
      <w:r>
        <w:rPr>
          <w:rFonts w:hint="default" w:ascii="Times New Roman" w:hAnsi="Times New Roman" w:eastAsia="Calibri" w:cs="Times New Roman"/>
          <w:sz w:val="24"/>
          <w:szCs w:val="24"/>
        </w:rPr>
        <w:t xml:space="preserve"> pre- and post assessment scores</w:t>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rPr>
        <w:t xml:space="preserve">of the </w:t>
      </w:r>
      <w:r>
        <w:rPr>
          <w:rFonts w:hint="default" w:ascii="Times New Roman" w:hAnsi="Times New Roman" w:cs="Times New Roman"/>
          <w:sz w:val="24"/>
          <w:szCs w:val="24"/>
        </w:rPr>
        <w:t>participants</w:t>
      </w:r>
      <w:r>
        <w:rPr>
          <w:rFonts w:hint="default" w:ascii="Times New Roman" w:hAnsi="Times New Roman" w:cs="Times New Roman"/>
          <w:sz w:val="24"/>
          <w:szCs w:val="24"/>
          <w:lang w:val="en-US"/>
        </w:rPr>
        <w:t xml:space="preserve"> before and after the implementation of</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School-Based Capacity Building</w:t>
      </w:r>
      <w:r>
        <w:rPr>
          <w:rFonts w:hint="default" w:ascii="Times New Roman" w:hAnsi="Times New Roman" w:cs="Times New Roman"/>
          <w:color w:val="000000"/>
          <w:sz w:val="24"/>
          <w:szCs w:val="24"/>
          <w:lang w:val="en-US"/>
        </w:rPr>
        <w:t>.</w:t>
      </w:r>
    </w:p>
    <w:p w14:paraId="62D97137">
      <w:pPr>
        <w:spacing w:after="16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rPr>
        <w:t xml:space="preserve">The data are analyzed and interpreted to answer the research problem. </w:t>
      </w:r>
    </w:p>
    <w:p w14:paraId="63A01404">
      <w:pPr>
        <w:spacing w:after="160" w:line="240" w:lineRule="auto"/>
        <w:jc w:val="both"/>
        <w:rPr>
          <w:rFonts w:hint="default" w:ascii="Times New Roman" w:hAnsi="Times New Roman" w:eastAsia="Calibri" w:cs="Times New Roman"/>
          <w:sz w:val="24"/>
          <w:szCs w:val="24"/>
          <w:lang w:val="en-US"/>
        </w:rPr>
      </w:pPr>
    </w:p>
    <w:p w14:paraId="3AC310D7">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P</w:t>
      </w:r>
      <w:r>
        <w:rPr>
          <w:rFonts w:hint="default" w:ascii="Times New Roman" w:hAnsi="Times New Roman" w:cs="Times New Roman"/>
          <w:b/>
          <w:bCs/>
          <w:sz w:val="24"/>
          <w:szCs w:val="24"/>
        </w:rPr>
        <w:t xml:space="preserve">articipants’ satisfaction </w:t>
      </w:r>
      <w:r>
        <w:rPr>
          <w:rFonts w:hint="default" w:ascii="Times New Roman" w:hAnsi="Times New Roman" w:cs="Times New Roman"/>
          <w:b/>
          <w:bCs/>
          <w:sz w:val="24"/>
          <w:szCs w:val="24"/>
          <w:lang w:val="en-US"/>
        </w:rPr>
        <w:t>in</w:t>
      </w:r>
      <w:r>
        <w:rPr>
          <w:rFonts w:hint="default" w:ascii="Times New Roman" w:hAnsi="Times New Roman" w:cs="Times New Roman"/>
          <w:b/>
          <w:bCs/>
          <w:sz w:val="24"/>
          <w:szCs w:val="24"/>
        </w:rPr>
        <w:t xml:space="preserve"> the </w:t>
      </w:r>
      <w:r>
        <w:rPr>
          <w:rFonts w:hint="default" w:ascii="Times New Roman" w:hAnsi="Times New Roman" w:cs="Times New Roman"/>
          <w:b/>
          <w:bCs/>
          <w:color w:val="000000"/>
          <w:sz w:val="24"/>
          <w:szCs w:val="24"/>
        </w:rPr>
        <w:t>School-Based Capacity Building</w:t>
      </w:r>
    </w:p>
    <w:p w14:paraId="6DB37164">
      <w:pPr>
        <w:spacing w:line="240" w:lineRule="auto"/>
        <w:ind w:firstLine="840" w:firstLineChars="350"/>
        <w:jc w:val="both"/>
        <w:rPr>
          <w:rFonts w:hint="default" w:ascii="Times New Roman" w:hAnsi="Times New Roman" w:cs="Times New Roman"/>
          <w:sz w:val="24"/>
          <w:szCs w:val="24"/>
        </w:rPr>
      </w:pPr>
      <w:r>
        <w:rPr>
          <w:rFonts w:hint="default" w:ascii="Times New Roman" w:hAnsi="Times New Roman" w:cs="Times New Roman"/>
          <w:sz w:val="24"/>
          <w:szCs w:val="24"/>
          <w:lang w:val="en-US"/>
        </w:rPr>
        <w:t>Teacher</w:t>
      </w:r>
      <w:r>
        <w:rPr>
          <w:rFonts w:hint="default" w:ascii="Times New Roman" w:hAnsi="Times New Roman" w:cs="Times New Roman"/>
          <w:sz w:val="24"/>
          <w:szCs w:val="24"/>
        </w:rPr>
        <w:t xml:space="preserve">s evaluated the training program using a </w:t>
      </w:r>
      <w:r>
        <w:rPr>
          <w:rFonts w:hint="default" w:ascii="Times New Roman" w:hAnsi="Times New Roman" w:cs="Times New Roman"/>
          <w:sz w:val="24"/>
          <w:szCs w:val="24"/>
          <w:lang w:val="en-US"/>
        </w:rPr>
        <w:t xml:space="preserve">validated training </w:t>
      </w:r>
      <w:r>
        <w:rPr>
          <w:rFonts w:hint="default" w:ascii="Times New Roman" w:hAnsi="Times New Roman" w:cs="Times New Roman"/>
          <w:sz w:val="24"/>
          <w:szCs w:val="24"/>
        </w:rPr>
        <w:t>evaluation form. Results indicate a very satisfactory level of satisfaction across program management, content delivery, relevance, and facilitation.</w:t>
      </w:r>
    </w:p>
    <w:p w14:paraId="640E9573">
      <w:pPr>
        <w:spacing w:line="240" w:lineRule="auto"/>
        <w:rPr>
          <w:rFonts w:hint="default" w:ascii="Times New Roman" w:hAnsi="Times New Roman" w:cs="Times New Roman"/>
          <w:sz w:val="24"/>
          <w:szCs w:val="24"/>
        </w:rPr>
      </w:pPr>
      <w:r>
        <w:rPr>
          <w:rFonts w:hint="default" w:ascii="Times New Roman" w:hAnsi="Times New Roman" w:cs="Times New Roman"/>
          <w:b w:val="0"/>
          <w:bCs w:val="0"/>
          <w:i/>
          <w:iCs/>
          <w:sz w:val="24"/>
          <w:szCs w:val="24"/>
        </w:rPr>
        <w:t xml:space="preserve">Table 1. </w:t>
      </w:r>
      <w:r>
        <w:rPr>
          <w:rFonts w:hint="default" w:ascii="Times New Roman" w:hAnsi="Times New Roman" w:cs="Times New Roman"/>
          <w:b w:val="0"/>
          <w:bCs w:val="0"/>
          <w:i/>
          <w:iCs/>
          <w:sz w:val="24"/>
          <w:szCs w:val="24"/>
          <w:lang w:val="en-US"/>
        </w:rPr>
        <w:t>Teachers</w:t>
      </w:r>
      <w:r>
        <w:rPr>
          <w:rFonts w:hint="default" w:ascii="Times New Roman" w:hAnsi="Times New Roman" w:cs="Times New Roman"/>
          <w:b w:val="0"/>
          <w:bCs w:val="0"/>
          <w:i/>
          <w:iCs/>
          <w:sz w:val="24"/>
          <w:szCs w:val="24"/>
        </w:rPr>
        <w:t xml:space="preserve">’ satisfaction </w:t>
      </w:r>
      <w:r>
        <w:rPr>
          <w:rFonts w:hint="default" w:ascii="Times New Roman" w:hAnsi="Times New Roman" w:cs="Times New Roman"/>
          <w:b w:val="0"/>
          <w:bCs w:val="0"/>
          <w:i/>
          <w:iCs/>
          <w:sz w:val="24"/>
          <w:szCs w:val="24"/>
          <w:lang w:val="en-US"/>
        </w:rPr>
        <w:t>in</w:t>
      </w:r>
      <w:r>
        <w:rPr>
          <w:rFonts w:hint="default" w:ascii="Times New Roman" w:hAnsi="Times New Roman" w:cs="Times New Roman"/>
          <w:b w:val="0"/>
          <w:bCs w:val="0"/>
          <w:i/>
          <w:iCs/>
          <w:sz w:val="24"/>
          <w:szCs w:val="24"/>
        </w:rPr>
        <w:t xml:space="preserve"> the </w:t>
      </w:r>
      <w:r>
        <w:rPr>
          <w:rFonts w:hint="default" w:ascii="Times New Roman" w:hAnsi="Times New Roman" w:cs="Times New Roman"/>
          <w:b w:val="0"/>
          <w:bCs w:val="0"/>
          <w:i/>
          <w:iCs/>
          <w:color w:val="000000"/>
          <w:sz w:val="24"/>
          <w:szCs w:val="24"/>
        </w:rPr>
        <w:t>School-Based Capacity Building</w:t>
      </w:r>
    </w:p>
    <w:tbl>
      <w:tblPr>
        <w:tblStyle w:val="5"/>
        <w:tblW w:w="0" w:type="auto"/>
        <w:jc w:val="center"/>
        <w:tblLayout w:type="fixed"/>
        <w:tblCellMar>
          <w:top w:w="0" w:type="dxa"/>
          <w:left w:w="108" w:type="dxa"/>
          <w:bottom w:w="0" w:type="dxa"/>
          <w:right w:w="108" w:type="dxa"/>
        </w:tblCellMar>
      </w:tblPr>
      <w:tblGrid>
        <w:gridCol w:w="2880"/>
        <w:gridCol w:w="2880"/>
        <w:gridCol w:w="2880"/>
      </w:tblGrid>
      <w:tr w14:paraId="6EF0C58E">
        <w:tblPrEx>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tcPr>
          <w:p w14:paraId="28A9389F">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Evaluation Area</w:t>
            </w:r>
          </w:p>
        </w:tc>
        <w:tc>
          <w:tcPr>
            <w:tcW w:w="2880" w:type="dxa"/>
            <w:tcBorders>
              <w:top w:val="single" w:color="auto" w:sz="4" w:space="0"/>
              <w:bottom w:val="single" w:color="auto" w:sz="4" w:space="0"/>
            </w:tcBorders>
          </w:tcPr>
          <w:p w14:paraId="7EEDFA35">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 Rating (1–5)</w:t>
            </w:r>
          </w:p>
        </w:tc>
        <w:tc>
          <w:tcPr>
            <w:tcW w:w="2880" w:type="dxa"/>
            <w:tcBorders>
              <w:top w:val="single" w:color="auto" w:sz="4" w:space="0"/>
              <w:bottom w:val="single" w:color="auto" w:sz="4" w:space="0"/>
            </w:tcBorders>
          </w:tcPr>
          <w:p w14:paraId="0AA4CA47">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Interpretation</w:t>
            </w:r>
          </w:p>
        </w:tc>
      </w:tr>
      <w:tr w14:paraId="6C1D1F53">
        <w:tblPrEx>
          <w:tblCellMar>
            <w:top w:w="0" w:type="dxa"/>
            <w:left w:w="108" w:type="dxa"/>
            <w:bottom w:w="0" w:type="dxa"/>
            <w:right w:w="108" w:type="dxa"/>
          </w:tblCellMar>
        </w:tblPrEx>
        <w:trPr>
          <w:jc w:val="center"/>
        </w:trPr>
        <w:tc>
          <w:tcPr>
            <w:tcW w:w="2880" w:type="dxa"/>
            <w:tcBorders>
              <w:top w:val="single" w:color="auto" w:sz="4" w:space="0"/>
            </w:tcBorders>
          </w:tcPr>
          <w:p w14:paraId="25D7C888">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Relevance of Training to Professional Needs</w:t>
            </w:r>
          </w:p>
        </w:tc>
        <w:tc>
          <w:tcPr>
            <w:tcW w:w="2880" w:type="dxa"/>
            <w:tcBorders>
              <w:top w:val="single" w:color="auto" w:sz="4" w:space="0"/>
            </w:tcBorders>
          </w:tcPr>
          <w:p w14:paraId="6234CB44">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4.72</w:t>
            </w:r>
          </w:p>
        </w:tc>
        <w:tc>
          <w:tcPr>
            <w:tcW w:w="2880" w:type="dxa"/>
            <w:tcBorders>
              <w:top w:val="single" w:color="auto" w:sz="4" w:space="0"/>
            </w:tcBorders>
          </w:tcPr>
          <w:p w14:paraId="1E66E2F2">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256B37F9">
        <w:tblPrEx>
          <w:tblCellMar>
            <w:top w:w="0" w:type="dxa"/>
            <w:left w:w="108" w:type="dxa"/>
            <w:bottom w:w="0" w:type="dxa"/>
            <w:right w:w="108" w:type="dxa"/>
          </w:tblCellMar>
        </w:tblPrEx>
        <w:trPr>
          <w:jc w:val="center"/>
        </w:trPr>
        <w:tc>
          <w:tcPr>
            <w:tcW w:w="2880" w:type="dxa"/>
          </w:tcPr>
          <w:p w14:paraId="3447A2F2">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Clarity of Training Objectives</w:t>
            </w:r>
          </w:p>
        </w:tc>
        <w:tc>
          <w:tcPr>
            <w:tcW w:w="2880" w:type="dxa"/>
          </w:tcPr>
          <w:p w14:paraId="3B42F80E">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4.65</w:t>
            </w:r>
          </w:p>
        </w:tc>
        <w:tc>
          <w:tcPr>
            <w:tcW w:w="2880" w:type="dxa"/>
          </w:tcPr>
          <w:p w14:paraId="1332F845">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4E420ADC">
        <w:tblPrEx>
          <w:tblCellMar>
            <w:top w:w="0" w:type="dxa"/>
            <w:left w:w="108" w:type="dxa"/>
            <w:bottom w:w="0" w:type="dxa"/>
            <w:right w:w="108" w:type="dxa"/>
          </w:tblCellMar>
        </w:tblPrEx>
        <w:trPr>
          <w:jc w:val="center"/>
        </w:trPr>
        <w:tc>
          <w:tcPr>
            <w:tcW w:w="2880" w:type="dxa"/>
          </w:tcPr>
          <w:p w14:paraId="1D4F1B2F">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Quality of Resource Speakers</w:t>
            </w:r>
          </w:p>
        </w:tc>
        <w:tc>
          <w:tcPr>
            <w:tcW w:w="2880" w:type="dxa"/>
          </w:tcPr>
          <w:p w14:paraId="7ED297BD">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4.78</w:t>
            </w:r>
          </w:p>
        </w:tc>
        <w:tc>
          <w:tcPr>
            <w:tcW w:w="2880" w:type="dxa"/>
          </w:tcPr>
          <w:p w14:paraId="70141A4E">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7B3A7F09">
        <w:tblPrEx>
          <w:tblCellMar>
            <w:top w:w="0" w:type="dxa"/>
            <w:left w:w="108" w:type="dxa"/>
            <w:bottom w:w="0" w:type="dxa"/>
            <w:right w:w="108" w:type="dxa"/>
          </w:tblCellMar>
        </w:tblPrEx>
        <w:trPr>
          <w:jc w:val="center"/>
        </w:trPr>
        <w:tc>
          <w:tcPr>
            <w:tcW w:w="2880" w:type="dxa"/>
          </w:tcPr>
          <w:p w14:paraId="56A782BF">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Effectiveness of Delivery Strategies</w:t>
            </w:r>
          </w:p>
        </w:tc>
        <w:tc>
          <w:tcPr>
            <w:tcW w:w="2880" w:type="dxa"/>
          </w:tcPr>
          <w:p w14:paraId="734FB7A5">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4.70</w:t>
            </w:r>
          </w:p>
        </w:tc>
        <w:tc>
          <w:tcPr>
            <w:tcW w:w="2880" w:type="dxa"/>
          </w:tcPr>
          <w:p w14:paraId="5445221C">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69C5C964">
        <w:tblPrEx>
          <w:tblCellMar>
            <w:top w:w="0" w:type="dxa"/>
            <w:left w:w="108" w:type="dxa"/>
            <w:bottom w:w="0" w:type="dxa"/>
            <w:right w:w="108" w:type="dxa"/>
          </w:tblCellMar>
        </w:tblPrEx>
        <w:trPr>
          <w:jc w:val="center"/>
        </w:trPr>
        <w:tc>
          <w:tcPr>
            <w:tcW w:w="2880" w:type="dxa"/>
          </w:tcPr>
          <w:p w14:paraId="0E286792">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Usefulness of Training Materials</w:t>
            </w:r>
          </w:p>
        </w:tc>
        <w:tc>
          <w:tcPr>
            <w:tcW w:w="2880" w:type="dxa"/>
          </w:tcPr>
          <w:p w14:paraId="3F1A03B6">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4.60</w:t>
            </w:r>
          </w:p>
        </w:tc>
        <w:tc>
          <w:tcPr>
            <w:tcW w:w="2880" w:type="dxa"/>
          </w:tcPr>
          <w:p w14:paraId="640D3561">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511644C9">
        <w:tblPrEx>
          <w:tblCellMar>
            <w:top w:w="0" w:type="dxa"/>
            <w:left w:w="108" w:type="dxa"/>
            <w:bottom w:w="0" w:type="dxa"/>
            <w:right w:w="108" w:type="dxa"/>
          </w:tblCellMar>
        </w:tblPrEx>
        <w:trPr>
          <w:jc w:val="center"/>
        </w:trPr>
        <w:tc>
          <w:tcPr>
            <w:tcW w:w="2880" w:type="dxa"/>
          </w:tcPr>
          <w:p w14:paraId="63CBE488">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Program Organization and Management</w:t>
            </w:r>
          </w:p>
        </w:tc>
        <w:tc>
          <w:tcPr>
            <w:tcW w:w="2880" w:type="dxa"/>
          </w:tcPr>
          <w:p w14:paraId="200B2221">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4.75</w:t>
            </w:r>
          </w:p>
        </w:tc>
        <w:tc>
          <w:tcPr>
            <w:tcW w:w="2880" w:type="dxa"/>
          </w:tcPr>
          <w:p w14:paraId="662914F7">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1172DC53">
        <w:tblPrEx>
          <w:tblCellMar>
            <w:top w:w="0" w:type="dxa"/>
            <w:left w:w="108" w:type="dxa"/>
            <w:bottom w:w="0" w:type="dxa"/>
            <w:right w:w="108" w:type="dxa"/>
          </w:tblCellMar>
        </w:tblPrEx>
        <w:trPr>
          <w:jc w:val="center"/>
        </w:trPr>
        <w:tc>
          <w:tcPr>
            <w:tcW w:w="2880" w:type="dxa"/>
            <w:tcBorders>
              <w:bottom w:val="single" w:color="auto" w:sz="4" w:space="0"/>
            </w:tcBorders>
          </w:tcPr>
          <w:p w14:paraId="5E59B2ED">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Venue and Training Facilities</w:t>
            </w:r>
          </w:p>
        </w:tc>
        <w:tc>
          <w:tcPr>
            <w:tcW w:w="2880" w:type="dxa"/>
            <w:tcBorders>
              <w:bottom w:val="single" w:color="auto" w:sz="4" w:space="0"/>
            </w:tcBorders>
          </w:tcPr>
          <w:p w14:paraId="32321B1F">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4.68</w:t>
            </w:r>
          </w:p>
        </w:tc>
        <w:tc>
          <w:tcPr>
            <w:tcW w:w="2880" w:type="dxa"/>
            <w:tcBorders>
              <w:bottom w:val="single" w:color="auto" w:sz="4" w:space="0"/>
            </w:tcBorders>
          </w:tcPr>
          <w:p w14:paraId="474732C0">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r w14:paraId="2D9BD619">
        <w:tblPrEx>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tcPr>
          <w:p w14:paraId="7E7B1731">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Overall</w:t>
            </w:r>
          </w:p>
        </w:tc>
        <w:tc>
          <w:tcPr>
            <w:tcW w:w="2880" w:type="dxa"/>
            <w:tcBorders>
              <w:top w:val="single" w:color="auto" w:sz="4" w:space="0"/>
              <w:bottom w:val="single" w:color="auto" w:sz="4" w:space="0"/>
            </w:tcBorders>
          </w:tcPr>
          <w:p w14:paraId="5335B819">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4.74</w:t>
            </w:r>
          </w:p>
        </w:tc>
        <w:tc>
          <w:tcPr>
            <w:tcW w:w="2880" w:type="dxa"/>
            <w:tcBorders>
              <w:top w:val="single" w:color="auto" w:sz="4" w:space="0"/>
              <w:bottom w:val="single" w:color="auto" w:sz="4" w:space="0"/>
            </w:tcBorders>
          </w:tcPr>
          <w:p w14:paraId="4EE47651">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Very Satisfactory</w:t>
            </w:r>
          </w:p>
        </w:tc>
      </w:tr>
    </w:tbl>
    <w:p w14:paraId="4E713A4C">
      <w:pPr>
        <w:spacing w:line="240" w:lineRule="auto"/>
        <w:rPr>
          <w:rFonts w:hint="default" w:ascii="Times New Roman" w:hAnsi="Times New Roman" w:cs="Times New Roman"/>
          <w:sz w:val="24"/>
          <w:szCs w:val="24"/>
        </w:rPr>
      </w:pPr>
    </w:p>
    <w:p w14:paraId="7CB5717F">
      <w:pPr>
        <w:spacing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overall evaluation results indicate that the teachers were highly satisfied with the training program. With an average rating of 4.74, the program was viewed as relevant to their professional needs, well-organized, and beneficial to their continuous professional development. These findings suggest that the training effectively addressed teachers’ learning needs and provided valuable opportunities for enhancing their instructional competencies.</w:t>
      </w:r>
    </w:p>
    <w:p w14:paraId="27D6DCEC">
      <w:pPr>
        <w:spacing w:line="240" w:lineRule="auto"/>
        <w:ind w:firstLine="720" w:firstLineChars="0"/>
        <w:jc w:val="both"/>
        <w:rPr>
          <w:rFonts w:hint="default" w:ascii="Times New Roman" w:hAnsi="Times New Roman" w:cs="Times New Roman"/>
          <w:b/>
          <w:bCs/>
          <w:sz w:val="24"/>
          <w:szCs w:val="24"/>
          <w:lang w:val="en-US"/>
        </w:rPr>
      </w:pPr>
      <w:r>
        <w:rPr>
          <w:rFonts w:hint="default" w:ascii="Times New Roman" w:hAnsi="Times New Roman" w:cs="Times New Roman"/>
          <w:sz w:val="24"/>
          <w:szCs w:val="24"/>
        </w:rPr>
        <w:t xml:space="preserve"> This result is consistent with the studies of Abrio and Labay (2025), Fan et al. (2024), and Smet (2022), which found that teachers tend to express high levels of satisfaction with professional development programs that are well-designed, relevant, and responsive to classroom demands. Such initiatives play an important role in strengthening teachers’ professional competence, increasing job satisfaction, and supporting their overall professional growth.</w:t>
      </w:r>
    </w:p>
    <w:p w14:paraId="4B0B654A">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T</w:t>
      </w:r>
      <w:r>
        <w:rPr>
          <w:rFonts w:hint="default" w:ascii="Times New Roman" w:hAnsi="Times New Roman" w:cs="Times New Roman"/>
          <w:b/>
          <w:bCs/>
          <w:sz w:val="24"/>
          <w:szCs w:val="24"/>
        </w:rPr>
        <w:t xml:space="preserve">eachers’ knowledge and skills </w:t>
      </w:r>
    </w:p>
    <w:p w14:paraId="557D84B1">
      <w:pPr>
        <w:spacing w:line="240" w:lineRule="auto"/>
        <w:ind w:firstLine="7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This part presents the data gathered from the pre- and post assessment scores   of the participants </w:t>
      </w:r>
      <w:r>
        <w:rPr>
          <w:rFonts w:hint="default" w:ascii="Times New Roman" w:hAnsi="Times New Roman" w:eastAsia="Segoe UI" w:cs="Times New Roman"/>
          <w:i w:val="0"/>
          <w:iCs w:val="0"/>
          <w:color w:val="auto"/>
          <w:sz w:val="24"/>
          <w:szCs w:val="24"/>
        </w:rPr>
        <w:t xml:space="preserve">before and after the </w:t>
      </w:r>
      <w:r>
        <w:rPr>
          <w:rFonts w:hint="default" w:ascii="Times New Roman" w:hAnsi="Times New Roman" w:eastAsia="Segoe UI" w:cs="Times New Roman"/>
          <w:i w:val="0"/>
          <w:iCs w:val="0"/>
          <w:color w:val="auto"/>
          <w:sz w:val="24"/>
          <w:szCs w:val="24"/>
          <w:lang w:val="en-US"/>
        </w:rPr>
        <w:t>implementation</w:t>
      </w:r>
      <w:r>
        <w:rPr>
          <w:rFonts w:hint="default" w:ascii="Times New Roman" w:hAnsi="Times New Roman" w:eastAsia="Segoe UI" w:cs="Times New Roman"/>
          <w:i w:val="0"/>
          <w:iCs w:val="0"/>
          <w:color w:val="auto"/>
          <w:sz w:val="24"/>
          <w:szCs w:val="24"/>
        </w:rPr>
        <w:t xml:space="preserve"> of the </w:t>
      </w:r>
      <w:r>
        <w:rPr>
          <w:rFonts w:hint="default" w:ascii="Times New Roman" w:hAnsi="Times New Roman" w:cs="Times New Roman"/>
          <w:b w:val="0"/>
          <w:bCs w:val="0"/>
          <w:color w:val="000000"/>
          <w:kern w:val="28"/>
          <w:sz w:val="24"/>
          <w:szCs w:val="24"/>
        </w:rPr>
        <w:t>School-Based Capacity Building for Teachers</w:t>
      </w:r>
      <w:r>
        <w:rPr>
          <w:rFonts w:hint="default" w:ascii="Times New Roman" w:hAnsi="Times New Roman" w:eastAsia="Segoe UI" w:cs="Times New Roman"/>
          <w:b w:val="0"/>
          <w:bCs w:val="0"/>
          <w:i w:val="0"/>
          <w:iCs w:val="0"/>
          <w:color w:val="auto"/>
          <w:sz w:val="24"/>
          <w:szCs w:val="24"/>
          <w:lang w:val="en-US"/>
        </w:rPr>
        <w:t>.</w:t>
      </w:r>
      <w:r>
        <w:rPr>
          <w:rFonts w:hint="default" w:ascii="Times New Roman" w:hAnsi="Times New Roman" w:cs="Times New Roman"/>
          <w:sz w:val="24"/>
          <w:szCs w:val="24"/>
        </w:rPr>
        <w:t xml:space="preserve"> </w:t>
      </w:r>
    </w:p>
    <w:p w14:paraId="36E83BFE">
      <w:pPr>
        <w:pStyle w:val="16"/>
        <w:spacing w:line="240" w:lineRule="auto"/>
        <w:jc w:val="both"/>
        <w:rPr>
          <w:rFonts w:hint="default" w:ascii="Times New Roman" w:hAnsi="Times New Roman" w:cs="Times New Roman"/>
          <w:i/>
          <w:iCs/>
          <w:sz w:val="24"/>
          <w:szCs w:val="24"/>
          <w:lang w:val="en-US"/>
        </w:rPr>
      </w:pPr>
      <w:r>
        <w:rPr>
          <w:rFonts w:hint="default" w:ascii="Times New Roman" w:hAnsi="Times New Roman" w:cs="Times New Roman"/>
          <w:i/>
          <w:iCs/>
          <w:sz w:val="24"/>
          <w:szCs w:val="24"/>
        </w:rPr>
        <w:t xml:space="preserve">Table </w:t>
      </w:r>
      <w:r>
        <w:rPr>
          <w:rFonts w:hint="default" w:ascii="Times New Roman" w:hAnsi="Times New Roman" w:cs="Times New Roman"/>
          <w:i/>
          <w:iCs/>
          <w:sz w:val="24"/>
          <w:szCs w:val="24"/>
          <w:lang w:val="en-US"/>
        </w:rPr>
        <w:t>2</w:t>
      </w:r>
      <w:r>
        <w:rPr>
          <w:rFonts w:hint="default" w:ascii="Times New Roman" w:hAnsi="Times New Roman" w:cs="Times New Roman"/>
          <w:i/>
          <w:iCs/>
          <w:sz w:val="24"/>
          <w:szCs w:val="24"/>
        </w:rPr>
        <w:t xml:space="preserve">. Pre- test Mean Score of </w:t>
      </w:r>
      <w:r>
        <w:rPr>
          <w:rFonts w:hint="default" w:ascii="Times New Roman" w:hAnsi="Times New Roman" w:cs="Times New Roman"/>
          <w:i/>
          <w:iCs/>
          <w:sz w:val="24"/>
          <w:szCs w:val="24"/>
          <w:lang w:val="en-US"/>
        </w:rPr>
        <w:t>teachers</w:t>
      </w:r>
      <w:r>
        <w:rPr>
          <w:rFonts w:hint="default" w:ascii="Times New Roman" w:hAnsi="Times New Roman" w:cs="Times New Roman"/>
          <w:sz w:val="24"/>
          <w:szCs w:val="24"/>
        </w:rPr>
        <w:t xml:space="preserve"> before </w:t>
      </w:r>
      <w:r>
        <w:rPr>
          <w:rFonts w:hint="default" w:ascii="Times New Roman" w:hAnsi="Times New Roman" w:eastAsia="Segoe UI" w:cs="Times New Roman"/>
          <w:i w:val="0"/>
          <w:iCs w:val="0"/>
          <w:color w:val="auto"/>
          <w:sz w:val="24"/>
          <w:szCs w:val="24"/>
          <w:lang w:val="en-US"/>
        </w:rPr>
        <w:t xml:space="preserve">implementation of </w:t>
      </w:r>
      <w:r>
        <w:rPr>
          <w:rFonts w:hint="default" w:ascii="Times New Roman" w:hAnsi="Times New Roman" w:cs="Times New Roman"/>
          <w:b w:val="0"/>
          <w:bCs w:val="0"/>
          <w:color w:val="000000"/>
          <w:kern w:val="28"/>
          <w:sz w:val="24"/>
          <w:szCs w:val="24"/>
        </w:rPr>
        <w:t>School-Based Capacity Building for Teachers</w:t>
      </w:r>
    </w:p>
    <w:tbl>
      <w:tblPr>
        <w:tblStyle w:val="5"/>
        <w:tblpPr w:leftFromText="180" w:rightFromText="180" w:vertAnchor="text" w:horzAnchor="page" w:tblpX="1858" w:tblpY="56"/>
        <w:tblOverlap w:val="never"/>
        <w:tblW w:w="8414" w:type="dxa"/>
        <w:tblInd w:w="0" w:type="dxa"/>
        <w:tblLayout w:type="fixed"/>
        <w:tblCellMar>
          <w:top w:w="0" w:type="dxa"/>
          <w:left w:w="108" w:type="dxa"/>
          <w:bottom w:w="0" w:type="dxa"/>
          <w:right w:w="108" w:type="dxa"/>
        </w:tblCellMar>
      </w:tblPr>
      <w:tblGrid>
        <w:gridCol w:w="4001"/>
        <w:gridCol w:w="1770"/>
        <w:gridCol w:w="2643"/>
      </w:tblGrid>
      <w:tr w14:paraId="0EAA5218">
        <w:tblPrEx>
          <w:tblCellMar>
            <w:top w:w="0" w:type="dxa"/>
            <w:left w:w="108" w:type="dxa"/>
            <w:bottom w:w="0" w:type="dxa"/>
            <w:right w:w="108" w:type="dxa"/>
          </w:tblCellMar>
        </w:tblPrEx>
        <w:trPr>
          <w:trHeight w:val="370" w:hRule="atLeast"/>
        </w:trPr>
        <w:tc>
          <w:tcPr>
            <w:tcW w:w="4001" w:type="dxa"/>
            <w:tcBorders>
              <w:top w:val="single" w:color="000000" w:sz="4" w:space="0"/>
              <w:left w:val="nil"/>
              <w:bottom w:val="single" w:color="000000" w:sz="4" w:space="0"/>
              <w:right w:val="nil"/>
            </w:tcBorders>
            <w:noWrap/>
            <w:vAlign w:val="bottom"/>
          </w:tcPr>
          <w:p w14:paraId="0240A43F">
            <w:pPr>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Indicator</w:t>
            </w:r>
          </w:p>
        </w:tc>
        <w:tc>
          <w:tcPr>
            <w:tcW w:w="1770" w:type="dxa"/>
            <w:tcBorders>
              <w:top w:val="single" w:color="000000" w:sz="4" w:space="0"/>
              <w:left w:val="nil"/>
              <w:bottom w:val="single" w:color="000000" w:sz="4" w:space="0"/>
              <w:right w:val="nil"/>
            </w:tcBorders>
            <w:noWrap/>
            <w:vAlign w:val="bottom"/>
          </w:tcPr>
          <w:p w14:paraId="0D9DF879">
            <w:pPr>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Mean</w:t>
            </w:r>
          </w:p>
        </w:tc>
        <w:tc>
          <w:tcPr>
            <w:tcW w:w="2643" w:type="dxa"/>
            <w:tcBorders>
              <w:top w:val="single" w:color="000000" w:sz="4" w:space="0"/>
              <w:left w:val="nil"/>
              <w:bottom w:val="single" w:color="000000" w:sz="4" w:space="0"/>
              <w:right w:val="nil"/>
            </w:tcBorders>
            <w:noWrap/>
            <w:vAlign w:val="bottom"/>
          </w:tcPr>
          <w:p w14:paraId="1C5386BB">
            <w:pPr>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Standard Deviation</w:t>
            </w:r>
          </w:p>
        </w:tc>
      </w:tr>
      <w:tr w14:paraId="7C5A3085">
        <w:tblPrEx>
          <w:tblCellMar>
            <w:top w:w="0" w:type="dxa"/>
            <w:left w:w="108" w:type="dxa"/>
            <w:bottom w:w="0" w:type="dxa"/>
            <w:right w:w="108" w:type="dxa"/>
          </w:tblCellMar>
        </w:tblPrEx>
        <w:trPr>
          <w:trHeight w:val="90" w:hRule="atLeast"/>
        </w:trPr>
        <w:tc>
          <w:tcPr>
            <w:tcW w:w="4001" w:type="dxa"/>
            <w:tcBorders>
              <w:top w:val="nil"/>
              <w:left w:val="nil"/>
              <w:bottom w:val="nil"/>
              <w:right w:val="nil"/>
            </w:tcBorders>
            <w:noWrap/>
            <w:vAlign w:val="top"/>
          </w:tcPr>
          <w:p w14:paraId="4D06CC00">
            <w:pPr>
              <w:spacing w:line="240" w:lineRule="auto"/>
              <w:rPr>
                <w:rFonts w:hint="default" w:ascii="Times New Roman" w:hAnsi="Times New Roman" w:cs="Times New Roman"/>
                <w:sz w:val="24"/>
                <w:szCs w:val="24"/>
                <w:lang w:val="en-US"/>
              </w:rPr>
            </w:pPr>
            <w:r>
              <w:rPr>
                <w:rFonts w:hint="default" w:ascii="Times New Roman" w:hAnsi="Times New Roman" w:cs="Times New Roman"/>
                <w:color w:val="auto"/>
                <w:sz w:val="24"/>
                <w:szCs w:val="24"/>
              </w:rPr>
              <w:t>Understanding of MELCs and Curriculum Alignment</w:t>
            </w:r>
          </w:p>
        </w:tc>
        <w:tc>
          <w:tcPr>
            <w:tcW w:w="1770" w:type="dxa"/>
            <w:tcBorders>
              <w:top w:val="nil"/>
              <w:left w:val="nil"/>
              <w:bottom w:val="nil"/>
              <w:right w:val="nil"/>
            </w:tcBorders>
            <w:noWrap/>
            <w:vAlign w:val="center"/>
          </w:tcPr>
          <w:p w14:paraId="355B4007">
            <w:pPr>
              <w:spacing w:after="0" w:line="240" w:lineRule="auto"/>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SimSun" w:cs="Times New Roman"/>
                <w:color w:val="000000"/>
                <w:sz w:val="24"/>
                <w:szCs w:val="24"/>
                <w:lang w:val="en-US"/>
              </w:rPr>
              <w:t>3.789</w:t>
            </w:r>
          </w:p>
        </w:tc>
        <w:tc>
          <w:tcPr>
            <w:tcW w:w="2643" w:type="dxa"/>
            <w:tcBorders>
              <w:top w:val="nil"/>
              <w:left w:val="nil"/>
              <w:bottom w:val="nil"/>
              <w:right w:val="nil"/>
            </w:tcBorders>
            <w:noWrap/>
            <w:vAlign w:val="center"/>
          </w:tcPr>
          <w:p w14:paraId="57448736">
            <w:pPr>
              <w:spacing w:after="0" w:line="240" w:lineRule="auto"/>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SimSun" w:cs="Times New Roman"/>
                <w:color w:val="000000"/>
                <w:sz w:val="24"/>
                <w:szCs w:val="24"/>
                <w:lang w:val="en-US"/>
              </w:rPr>
              <w:t>0.936</w:t>
            </w:r>
          </w:p>
        </w:tc>
      </w:tr>
      <w:tr w14:paraId="4DFEDE7F">
        <w:tblPrEx>
          <w:tblCellMar>
            <w:top w:w="0" w:type="dxa"/>
            <w:left w:w="108" w:type="dxa"/>
            <w:bottom w:w="0" w:type="dxa"/>
            <w:right w:w="108" w:type="dxa"/>
          </w:tblCellMar>
        </w:tblPrEx>
        <w:trPr>
          <w:trHeight w:val="90" w:hRule="atLeast"/>
        </w:trPr>
        <w:tc>
          <w:tcPr>
            <w:tcW w:w="4001" w:type="dxa"/>
            <w:tcBorders>
              <w:top w:val="nil"/>
              <w:left w:val="nil"/>
              <w:bottom w:val="nil"/>
              <w:right w:val="nil"/>
            </w:tcBorders>
            <w:noWrap/>
            <w:vAlign w:val="top"/>
          </w:tcPr>
          <w:p w14:paraId="773EA560">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Use of Data in Instructional Planning</w:t>
            </w:r>
          </w:p>
        </w:tc>
        <w:tc>
          <w:tcPr>
            <w:tcW w:w="1770" w:type="dxa"/>
            <w:tcBorders>
              <w:top w:val="nil"/>
              <w:left w:val="nil"/>
              <w:bottom w:val="nil"/>
              <w:right w:val="nil"/>
            </w:tcBorders>
            <w:noWrap/>
            <w:vAlign w:val="center"/>
          </w:tcPr>
          <w:p w14:paraId="6A9D5EA9">
            <w:pPr>
              <w:numPr>
                <w:ilvl w:val="0"/>
                <w:numId w:val="0"/>
              </w:num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3.605</w:t>
            </w:r>
          </w:p>
        </w:tc>
        <w:tc>
          <w:tcPr>
            <w:tcW w:w="2643" w:type="dxa"/>
            <w:tcBorders>
              <w:top w:val="nil"/>
              <w:left w:val="nil"/>
              <w:bottom w:val="nil"/>
              <w:right w:val="nil"/>
            </w:tcBorders>
            <w:noWrap/>
            <w:vAlign w:val="center"/>
          </w:tcPr>
          <w:p w14:paraId="49835E0C">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0.828</w:t>
            </w:r>
          </w:p>
        </w:tc>
      </w:tr>
      <w:tr w14:paraId="6799FF51">
        <w:tblPrEx>
          <w:tblCellMar>
            <w:top w:w="0" w:type="dxa"/>
            <w:left w:w="108" w:type="dxa"/>
            <w:bottom w:w="0" w:type="dxa"/>
            <w:right w:w="108" w:type="dxa"/>
          </w:tblCellMar>
        </w:tblPrEx>
        <w:trPr>
          <w:trHeight w:val="90" w:hRule="atLeast"/>
        </w:trPr>
        <w:tc>
          <w:tcPr>
            <w:tcW w:w="4001" w:type="dxa"/>
            <w:tcBorders>
              <w:top w:val="nil"/>
              <w:left w:val="nil"/>
              <w:bottom w:val="nil"/>
              <w:right w:val="nil"/>
            </w:tcBorders>
            <w:noWrap/>
            <w:vAlign w:val="top"/>
          </w:tcPr>
          <w:p w14:paraId="044DDF68">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Knowledge of Differentiated Instruction</w:t>
            </w:r>
          </w:p>
        </w:tc>
        <w:tc>
          <w:tcPr>
            <w:tcW w:w="1770" w:type="dxa"/>
            <w:tcBorders>
              <w:top w:val="nil"/>
              <w:left w:val="nil"/>
              <w:bottom w:val="nil"/>
              <w:right w:val="nil"/>
            </w:tcBorders>
            <w:noWrap/>
            <w:vAlign w:val="center"/>
          </w:tcPr>
          <w:p w14:paraId="63A2BBA6">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4.829</w:t>
            </w:r>
          </w:p>
        </w:tc>
        <w:tc>
          <w:tcPr>
            <w:tcW w:w="2643" w:type="dxa"/>
            <w:tcBorders>
              <w:top w:val="nil"/>
              <w:left w:val="nil"/>
              <w:bottom w:val="nil"/>
              <w:right w:val="nil"/>
            </w:tcBorders>
            <w:noWrap/>
            <w:vAlign w:val="center"/>
          </w:tcPr>
          <w:p w14:paraId="6AA35DE2">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1.031</w:t>
            </w:r>
          </w:p>
        </w:tc>
      </w:tr>
      <w:tr w14:paraId="080E5AC1">
        <w:tblPrEx>
          <w:tblCellMar>
            <w:top w:w="0" w:type="dxa"/>
            <w:left w:w="108" w:type="dxa"/>
            <w:bottom w:w="0" w:type="dxa"/>
            <w:right w:w="108" w:type="dxa"/>
          </w:tblCellMar>
        </w:tblPrEx>
        <w:trPr>
          <w:trHeight w:val="90" w:hRule="atLeast"/>
        </w:trPr>
        <w:tc>
          <w:tcPr>
            <w:tcW w:w="4001" w:type="dxa"/>
            <w:tcBorders>
              <w:top w:val="nil"/>
              <w:left w:val="nil"/>
              <w:bottom w:val="nil"/>
              <w:right w:val="nil"/>
            </w:tcBorders>
            <w:noWrap/>
            <w:vAlign w:val="top"/>
          </w:tcPr>
          <w:p w14:paraId="4D165ED1">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Assessment Design and Alignment</w:t>
            </w:r>
          </w:p>
        </w:tc>
        <w:tc>
          <w:tcPr>
            <w:tcW w:w="1770" w:type="dxa"/>
            <w:tcBorders>
              <w:top w:val="nil"/>
              <w:left w:val="nil"/>
              <w:bottom w:val="nil"/>
              <w:right w:val="nil"/>
            </w:tcBorders>
            <w:noWrap/>
            <w:vAlign w:val="center"/>
          </w:tcPr>
          <w:p w14:paraId="75D80454">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4.092</w:t>
            </w:r>
          </w:p>
        </w:tc>
        <w:tc>
          <w:tcPr>
            <w:tcW w:w="2643" w:type="dxa"/>
            <w:tcBorders>
              <w:top w:val="nil"/>
              <w:left w:val="nil"/>
              <w:bottom w:val="nil"/>
              <w:right w:val="nil"/>
            </w:tcBorders>
            <w:noWrap/>
            <w:vAlign w:val="center"/>
          </w:tcPr>
          <w:p w14:paraId="1F161BBD">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0.976</w:t>
            </w:r>
          </w:p>
        </w:tc>
      </w:tr>
      <w:tr w14:paraId="3D7A13FA">
        <w:tblPrEx>
          <w:tblCellMar>
            <w:top w:w="0" w:type="dxa"/>
            <w:left w:w="108" w:type="dxa"/>
            <w:bottom w:w="0" w:type="dxa"/>
            <w:right w:w="108" w:type="dxa"/>
          </w:tblCellMar>
        </w:tblPrEx>
        <w:trPr>
          <w:trHeight w:val="90" w:hRule="atLeast"/>
        </w:trPr>
        <w:tc>
          <w:tcPr>
            <w:tcW w:w="4001" w:type="dxa"/>
            <w:tcBorders>
              <w:top w:val="nil"/>
              <w:left w:val="nil"/>
              <w:bottom w:val="single" w:color="auto" w:sz="4" w:space="0"/>
              <w:right w:val="nil"/>
            </w:tcBorders>
            <w:noWrap/>
            <w:vAlign w:val="top"/>
          </w:tcPr>
          <w:p w14:paraId="31701E85">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Technology Integration in Teaching</w:t>
            </w:r>
          </w:p>
        </w:tc>
        <w:tc>
          <w:tcPr>
            <w:tcW w:w="1770" w:type="dxa"/>
            <w:tcBorders>
              <w:top w:val="nil"/>
              <w:left w:val="nil"/>
              <w:bottom w:val="single" w:color="auto" w:sz="4" w:space="0"/>
              <w:right w:val="nil"/>
            </w:tcBorders>
            <w:noWrap/>
            <w:vAlign w:val="center"/>
          </w:tcPr>
          <w:p w14:paraId="450F5F46">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4.237</w:t>
            </w:r>
          </w:p>
        </w:tc>
        <w:tc>
          <w:tcPr>
            <w:tcW w:w="2643" w:type="dxa"/>
            <w:tcBorders>
              <w:top w:val="nil"/>
              <w:left w:val="nil"/>
              <w:bottom w:val="single" w:color="auto" w:sz="4" w:space="0"/>
              <w:right w:val="nil"/>
            </w:tcBorders>
            <w:noWrap/>
            <w:vAlign w:val="center"/>
          </w:tcPr>
          <w:p w14:paraId="08485DCB">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1.024</w:t>
            </w:r>
          </w:p>
        </w:tc>
      </w:tr>
      <w:tr w14:paraId="0CB75CBD">
        <w:tblPrEx>
          <w:tblCellMar>
            <w:top w:w="0" w:type="dxa"/>
            <w:left w:w="108" w:type="dxa"/>
            <w:bottom w:w="0" w:type="dxa"/>
            <w:right w:w="108" w:type="dxa"/>
          </w:tblCellMar>
        </w:tblPrEx>
        <w:trPr>
          <w:trHeight w:val="90" w:hRule="atLeast"/>
        </w:trPr>
        <w:tc>
          <w:tcPr>
            <w:tcW w:w="4001" w:type="dxa"/>
            <w:tcBorders>
              <w:top w:val="single" w:color="auto" w:sz="4" w:space="0"/>
              <w:left w:val="nil"/>
              <w:bottom w:val="single" w:color="000000" w:sz="4" w:space="0"/>
              <w:right w:val="nil"/>
            </w:tcBorders>
            <w:noWrap/>
            <w:vAlign w:val="top"/>
          </w:tcPr>
          <w:p w14:paraId="4CFD3502">
            <w:pPr>
              <w:spacing w:line="24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Overall</w:t>
            </w:r>
          </w:p>
        </w:tc>
        <w:tc>
          <w:tcPr>
            <w:tcW w:w="1770" w:type="dxa"/>
            <w:tcBorders>
              <w:top w:val="single" w:color="auto" w:sz="4" w:space="0"/>
              <w:left w:val="nil"/>
              <w:bottom w:val="single" w:color="000000" w:sz="4" w:space="0"/>
              <w:right w:val="nil"/>
            </w:tcBorders>
            <w:noWrap/>
            <w:vAlign w:val="center"/>
          </w:tcPr>
          <w:p w14:paraId="42D4D330">
            <w:p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20.553</w:t>
            </w:r>
          </w:p>
        </w:tc>
        <w:tc>
          <w:tcPr>
            <w:tcW w:w="2643" w:type="dxa"/>
            <w:tcBorders>
              <w:top w:val="single" w:color="auto" w:sz="4" w:space="0"/>
              <w:left w:val="nil"/>
              <w:bottom w:val="single" w:color="000000" w:sz="4" w:space="0"/>
              <w:right w:val="nil"/>
            </w:tcBorders>
            <w:noWrap/>
            <w:vAlign w:val="center"/>
          </w:tcPr>
          <w:p w14:paraId="4058F7DC">
            <w:pPr>
              <w:numPr>
                <w:ilvl w:val="0"/>
                <w:numId w:val="2"/>
              </w:numPr>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074</w:t>
            </w:r>
          </w:p>
        </w:tc>
      </w:tr>
    </w:tbl>
    <w:p w14:paraId="2B8215A1">
      <w:pPr>
        <w:pStyle w:val="11"/>
        <w:keepNext w:val="0"/>
        <w:keepLines w:val="0"/>
        <w:widowControl/>
        <w:suppressLineNumbers w:val="0"/>
        <w:spacing w:line="240" w:lineRule="auto"/>
        <w:jc w:val="both"/>
        <w:rPr>
          <w:rFonts w:hint="default" w:ascii="Times New Roman" w:hAnsi="Times New Roman" w:cs="Times New Roman"/>
          <w:sz w:val="24"/>
          <w:szCs w:val="24"/>
        </w:rPr>
      </w:pPr>
    </w:p>
    <w:p w14:paraId="437EBB8E">
      <w:pPr>
        <w:spacing w:line="240" w:lineRule="auto"/>
        <w:rPr>
          <w:rFonts w:hint="default" w:ascii="Times New Roman" w:hAnsi="Times New Roman" w:cs="Times New Roman"/>
          <w:sz w:val="24"/>
          <w:szCs w:val="24"/>
        </w:rPr>
      </w:pPr>
    </w:p>
    <w:p w14:paraId="30FD1A00">
      <w:pPr>
        <w:spacing w:after="0" w:line="240" w:lineRule="auto"/>
        <w:ind w:firstLine="720" w:firstLineChars="0"/>
        <w:jc w:val="both"/>
        <w:rPr>
          <w:rFonts w:hint="default" w:ascii="Times New Roman" w:hAnsi="Times New Roman" w:cs="Times New Roman"/>
          <w:sz w:val="24"/>
          <w:szCs w:val="24"/>
        </w:rPr>
      </w:pPr>
    </w:p>
    <w:p w14:paraId="23AA9563">
      <w:pPr>
        <w:pStyle w:val="16"/>
        <w:spacing w:line="240" w:lineRule="auto"/>
        <w:jc w:val="both"/>
        <w:rPr>
          <w:rFonts w:hint="default" w:ascii="Times New Roman" w:hAnsi="Times New Roman" w:cs="Times New Roman"/>
          <w:i/>
          <w:iCs/>
          <w:sz w:val="24"/>
          <w:szCs w:val="24"/>
        </w:rPr>
      </w:pPr>
    </w:p>
    <w:p w14:paraId="3EFFB6C5">
      <w:pPr>
        <w:spacing w:after="0" w:line="240" w:lineRule="auto"/>
        <w:ind w:firstLine="720" w:firstLineChars="0"/>
        <w:jc w:val="both"/>
        <w:rPr>
          <w:rFonts w:hint="default" w:ascii="Times New Roman" w:hAnsi="Times New Roman" w:cs="Times New Roman"/>
          <w:sz w:val="24"/>
          <w:szCs w:val="24"/>
          <w:lang w:val="en-US"/>
        </w:rPr>
      </w:pPr>
    </w:p>
    <w:p w14:paraId="7E23BD23">
      <w:pPr>
        <w:spacing w:after="0" w:line="240" w:lineRule="auto"/>
        <w:ind w:firstLine="720" w:firstLineChars="0"/>
        <w:jc w:val="both"/>
        <w:rPr>
          <w:rFonts w:hint="default" w:ascii="Times New Roman" w:hAnsi="Times New Roman" w:cs="Times New Roman"/>
          <w:sz w:val="24"/>
          <w:szCs w:val="24"/>
          <w:lang w:val="en-US"/>
        </w:rPr>
      </w:pPr>
    </w:p>
    <w:p w14:paraId="04CEE007">
      <w:pPr>
        <w:spacing w:after="0" w:line="240" w:lineRule="auto"/>
        <w:jc w:val="both"/>
        <w:rPr>
          <w:rFonts w:hint="default" w:ascii="Times New Roman" w:hAnsi="Times New Roman" w:cs="Times New Roman"/>
          <w:sz w:val="24"/>
          <w:szCs w:val="24"/>
          <w:lang w:eastAsia="zh-CN"/>
        </w:rPr>
      </w:pPr>
    </w:p>
    <w:p w14:paraId="0E78795E">
      <w:pPr>
        <w:spacing w:after="0" w:line="240" w:lineRule="auto"/>
        <w:jc w:val="both"/>
        <w:rPr>
          <w:rFonts w:hint="default" w:ascii="Times New Roman" w:hAnsi="Times New Roman" w:cs="Times New Roman"/>
          <w:sz w:val="24"/>
          <w:szCs w:val="24"/>
          <w:lang w:eastAsia="zh-CN"/>
        </w:rPr>
      </w:pPr>
    </w:p>
    <w:p w14:paraId="7BCC2463">
      <w:pPr>
        <w:spacing w:after="0" w:line="240" w:lineRule="auto"/>
        <w:jc w:val="both"/>
        <w:rPr>
          <w:rFonts w:hint="default" w:ascii="Times New Roman" w:hAnsi="Times New Roman" w:cs="Times New Roman"/>
          <w:sz w:val="24"/>
          <w:szCs w:val="24"/>
          <w:lang w:eastAsia="zh-CN"/>
        </w:rPr>
      </w:pPr>
    </w:p>
    <w:p w14:paraId="7B66C39E">
      <w:pPr>
        <w:pStyle w:val="16"/>
        <w:spacing w:line="240" w:lineRule="auto"/>
        <w:jc w:val="both"/>
        <w:rPr>
          <w:rFonts w:hint="default" w:ascii="Times New Roman" w:hAnsi="Times New Roman" w:cs="Times New Roman"/>
          <w:i/>
          <w:iCs/>
          <w:sz w:val="24"/>
          <w:szCs w:val="24"/>
        </w:rPr>
      </w:pPr>
    </w:p>
    <w:p w14:paraId="17A8B664">
      <w:pPr>
        <w:pStyle w:val="16"/>
        <w:spacing w:line="240" w:lineRule="auto"/>
        <w:jc w:val="both"/>
        <w:rPr>
          <w:rFonts w:hint="default" w:ascii="Times New Roman" w:hAnsi="Times New Roman" w:cs="Times New Roman"/>
          <w:i/>
          <w:iCs/>
          <w:sz w:val="24"/>
          <w:szCs w:val="24"/>
        </w:rPr>
      </w:pPr>
    </w:p>
    <w:p w14:paraId="425E72D1">
      <w:pPr>
        <w:pStyle w:val="16"/>
        <w:spacing w:line="240" w:lineRule="auto"/>
        <w:ind w:firstLine="720" w:firstLineChars="0"/>
        <w:jc w:val="both"/>
        <w:rPr>
          <w:rFonts w:hint="default" w:ascii="Times New Roman" w:hAnsi="Times New Roman" w:cs="Times New Roman"/>
          <w:sz w:val="24"/>
          <w:szCs w:val="24"/>
        </w:rPr>
      </w:pPr>
    </w:p>
    <w:p w14:paraId="771BF4DE">
      <w:pPr>
        <w:pStyle w:val="16"/>
        <w:spacing w:line="240" w:lineRule="auto"/>
        <w:ind w:firstLine="720" w:firstLineChars="0"/>
        <w:jc w:val="both"/>
        <w:rPr>
          <w:rFonts w:hint="default" w:ascii="Times New Roman" w:hAnsi="Times New Roman" w:cs="Times New Roman"/>
          <w:sz w:val="24"/>
          <w:szCs w:val="24"/>
        </w:rPr>
      </w:pPr>
    </w:p>
    <w:p w14:paraId="115BC6EF">
      <w:pPr>
        <w:pStyle w:val="16"/>
        <w:spacing w:line="240" w:lineRule="auto"/>
        <w:jc w:val="both"/>
        <w:rPr>
          <w:rFonts w:hint="default" w:ascii="Times New Roman" w:hAnsi="Times New Roman" w:cs="Times New Roman"/>
          <w:sz w:val="24"/>
          <w:szCs w:val="24"/>
        </w:rPr>
      </w:pPr>
    </w:p>
    <w:p w14:paraId="5BBAB679">
      <w:pPr>
        <w:pStyle w:val="16"/>
        <w:spacing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Based on the results presented in the table, the teachers obtained an overall mean score of 20.553, which is equivalent to 41.11%. This score falls below both the 50% midpoint of the 50-item assessment and the expected 75% proficiency level. The findings suggest that, prior to the implementation of the School-Based Capacity Building for Teachers, participants had limited knowledge and skills in the areas being assessed. This highlights the need for a targeted intervention to strengthen their competencies and support their professional growth.</w:t>
      </w:r>
    </w:p>
    <w:p w14:paraId="65689A39">
      <w:pPr>
        <w:pStyle w:val="16"/>
        <w:spacing w:line="240" w:lineRule="auto"/>
        <w:ind w:firstLine="720" w:firstLineChars="0"/>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This result is consistent with the findings of Meroño et al. (2023), who reported that teachers have significant professional development needs in areas such as pedagogy, curriculum, and assessment. Similarly, Asim (2024) emphasized the importance of continuous capacity-building initiatives in helping teachers effectively implement curriculum reforms. Together, these studies underscore the value of professional development programs in enhancing teachers’ knowledge and skills before the introduction of educational innovations.</w:t>
      </w:r>
    </w:p>
    <w:p w14:paraId="37237CE5">
      <w:pPr>
        <w:pStyle w:val="16"/>
        <w:spacing w:line="240" w:lineRule="auto"/>
        <w:jc w:val="both"/>
        <w:rPr>
          <w:rFonts w:hint="default" w:ascii="Times New Roman" w:hAnsi="Times New Roman" w:cs="Times New Roman"/>
          <w:i w:val="0"/>
          <w:iCs w:val="0"/>
          <w:sz w:val="24"/>
          <w:szCs w:val="24"/>
        </w:rPr>
      </w:pPr>
    </w:p>
    <w:p w14:paraId="5AA64E7C">
      <w:pPr>
        <w:pStyle w:val="16"/>
        <w:spacing w:line="240" w:lineRule="auto"/>
        <w:jc w:val="both"/>
        <w:rPr>
          <w:rFonts w:hint="default" w:ascii="Times New Roman" w:hAnsi="Times New Roman" w:cs="Times New Roman"/>
          <w:i/>
          <w:iCs/>
          <w:sz w:val="24"/>
          <w:szCs w:val="24"/>
          <w:lang w:val="en-US"/>
        </w:rPr>
      </w:pPr>
      <w:r>
        <w:rPr>
          <w:rFonts w:hint="default" w:ascii="Times New Roman" w:hAnsi="Times New Roman" w:cs="Times New Roman"/>
          <w:i/>
          <w:iCs/>
          <w:sz w:val="24"/>
          <w:szCs w:val="24"/>
        </w:rPr>
        <w:t xml:space="preserve">Table </w:t>
      </w:r>
      <w:r>
        <w:rPr>
          <w:rFonts w:hint="default" w:ascii="Times New Roman" w:hAnsi="Times New Roman" w:cs="Times New Roman"/>
          <w:i/>
          <w:iCs/>
          <w:sz w:val="24"/>
          <w:szCs w:val="24"/>
          <w:lang w:val="en-US"/>
        </w:rPr>
        <w:t>2</w:t>
      </w:r>
      <w:r>
        <w:rPr>
          <w:rFonts w:hint="default" w:ascii="Times New Roman" w:hAnsi="Times New Roman" w:cs="Times New Roman"/>
          <w:i/>
          <w:iCs/>
          <w:sz w:val="24"/>
          <w:szCs w:val="24"/>
        </w:rPr>
        <w:t>. P</w:t>
      </w:r>
      <w:r>
        <w:rPr>
          <w:rFonts w:hint="default" w:ascii="Times New Roman" w:hAnsi="Times New Roman" w:cs="Times New Roman"/>
          <w:i/>
          <w:iCs/>
          <w:sz w:val="24"/>
          <w:szCs w:val="24"/>
          <w:lang w:val="en-US"/>
        </w:rPr>
        <w:t>ost</w:t>
      </w:r>
      <w:r>
        <w:rPr>
          <w:rFonts w:hint="default" w:ascii="Times New Roman" w:hAnsi="Times New Roman" w:cs="Times New Roman"/>
          <w:i/>
          <w:iCs/>
          <w:sz w:val="24"/>
          <w:szCs w:val="24"/>
        </w:rPr>
        <w:t xml:space="preserve">- test Mean Score of </w:t>
      </w:r>
      <w:r>
        <w:rPr>
          <w:rFonts w:hint="default" w:ascii="Times New Roman" w:hAnsi="Times New Roman" w:cs="Times New Roman"/>
          <w:i/>
          <w:iCs/>
          <w:sz w:val="24"/>
          <w:szCs w:val="24"/>
          <w:lang w:val="en-US"/>
        </w:rPr>
        <w:t>teachers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after</w:t>
      </w:r>
      <w:r>
        <w:rPr>
          <w:rFonts w:hint="default" w:ascii="Times New Roman" w:hAnsi="Times New Roman" w:cs="Times New Roman"/>
          <w:sz w:val="24"/>
          <w:szCs w:val="24"/>
        </w:rPr>
        <w:t xml:space="preserve"> </w:t>
      </w:r>
      <w:r>
        <w:rPr>
          <w:rFonts w:hint="default" w:ascii="Times New Roman" w:hAnsi="Times New Roman" w:eastAsia="Segoe UI" w:cs="Times New Roman"/>
          <w:i w:val="0"/>
          <w:iCs w:val="0"/>
          <w:color w:val="auto"/>
          <w:sz w:val="24"/>
          <w:szCs w:val="24"/>
          <w:lang w:val="en-US"/>
        </w:rPr>
        <w:t xml:space="preserve">implementation of </w:t>
      </w:r>
      <w:r>
        <w:rPr>
          <w:rFonts w:hint="default" w:ascii="Times New Roman" w:hAnsi="Times New Roman" w:cs="Times New Roman"/>
          <w:b w:val="0"/>
          <w:bCs w:val="0"/>
          <w:color w:val="000000"/>
          <w:kern w:val="28"/>
          <w:sz w:val="24"/>
          <w:szCs w:val="24"/>
        </w:rPr>
        <w:t>School-Based Capacity Building for Teachers</w:t>
      </w:r>
    </w:p>
    <w:tbl>
      <w:tblPr>
        <w:tblStyle w:val="5"/>
        <w:tblpPr w:leftFromText="180" w:rightFromText="180" w:vertAnchor="text" w:horzAnchor="page" w:tblpX="1847" w:tblpY="317"/>
        <w:tblOverlap w:val="never"/>
        <w:tblW w:w="8401" w:type="dxa"/>
        <w:tblInd w:w="0" w:type="dxa"/>
        <w:tblLayout w:type="fixed"/>
        <w:tblCellMar>
          <w:top w:w="0" w:type="dxa"/>
          <w:left w:w="108" w:type="dxa"/>
          <w:bottom w:w="0" w:type="dxa"/>
          <w:right w:w="108" w:type="dxa"/>
        </w:tblCellMar>
      </w:tblPr>
      <w:tblGrid>
        <w:gridCol w:w="3988"/>
        <w:gridCol w:w="1770"/>
        <w:gridCol w:w="2643"/>
      </w:tblGrid>
      <w:tr w14:paraId="1D81E09E">
        <w:tblPrEx>
          <w:tblCellMar>
            <w:top w:w="0" w:type="dxa"/>
            <w:left w:w="108" w:type="dxa"/>
            <w:bottom w:w="0" w:type="dxa"/>
            <w:right w:w="108" w:type="dxa"/>
          </w:tblCellMar>
        </w:tblPrEx>
        <w:trPr>
          <w:trHeight w:val="370" w:hRule="atLeast"/>
        </w:trPr>
        <w:tc>
          <w:tcPr>
            <w:tcW w:w="3988" w:type="dxa"/>
            <w:tcBorders>
              <w:top w:val="single" w:color="000000" w:sz="4" w:space="0"/>
              <w:left w:val="nil"/>
              <w:bottom w:val="single" w:color="000000" w:sz="4" w:space="0"/>
              <w:right w:val="nil"/>
            </w:tcBorders>
            <w:noWrap/>
            <w:vAlign w:val="bottom"/>
          </w:tcPr>
          <w:p w14:paraId="5FCAEE95">
            <w:pPr>
              <w:keepNext w:val="0"/>
              <w:keepLines w:val="0"/>
              <w:pageBreakBefore w:val="0"/>
              <w:widowControl/>
              <w:kinsoku/>
              <w:wordWrap/>
              <w:overflowPunct/>
              <w:topLinePunct w:val="0"/>
              <w:autoSpaceDE/>
              <w:autoSpaceDN/>
              <w:bidi w:val="0"/>
              <w:adjustRightInd/>
              <w:snapToGrid/>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Indicator</w:t>
            </w:r>
          </w:p>
        </w:tc>
        <w:tc>
          <w:tcPr>
            <w:tcW w:w="1770" w:type="dxa"/>
            <w:tcBorders>
              <w:top w:val="single" w:color="000000" w:sz="4" w:space="0"/>
              <w:left w:val="nil"/>
              <w:bottom w:val="single" w:color="000000" w:sz="4" w:space="0"/>
              <w:right w:val="nil"/>
            </w:tcBorders>
            <w:noWrap/>
            <w:vAlign w:val="bottom"/>
          </w:tcPr>
          <w:p w14:paraId="4E24FEC8">
            <w:pPr>
              <w:keepNext w:val="0"/>
              <w:keepLines w:val="0"/>
              <w:pageBreakBefore w:val="0"/>
              <w:widowControl/>
              <w:kinsoku/>
              <w:wordWrap/>
              <w:overflowPunct/>
              <w:topLinePunct w:val="0"/>
              <w:autoSpaceDE/>
              <w:autoSpaceDN/>
              <w:bidi w:val="0"/>
              <w:adjustRightInd/>
              <w:snapToGrid/>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Mean</w:t>
            </w:r>
          </w:p>
        </w:tc>
        <w:tc>
          <w:tcPr>
            <w:tcW w:w="2643" w:type="dxa"/>
            <w:tcBorders>
              <w:top w:val="single" w:color="000000" w:sz="4" w:space="0"/>
              <w:left w:val="nil"/>
              <w:bottom w:val="single" w:color="000000" w:sz="4" w:space="0"/>
              <w:right w:val="nil"/>
            </w:tcBorders>
            <w:noWrap/>
            <w:vAlign w:val="bottom"/>
          </w:tcPr>
          <w:p w14:paraId="6702B9D8">
            <w:pPr>
              <w:keepNext w:val="0"/>
              <w:keepLines w:val="0"/>
              <w:pageBreakBefore w:val="0"/>
              <w:widowControl/>
              <w:kinsoku/>
              <w:wordWrap/>
              <w:overflowPunct/>
              <w:topLinePunct w:val="0"/>
              <w:autoSpaceDE/>
              <w:autoSpaceDN/>
              <w:bidi w:val="0"/>
              <w:adjustRightInd/>
              <w:snapToGrid/>
              <w:spacing w:after="0" w:line="240" w:lineRule="auto"/>
              <w:jc w:val="center"/>
              <w:textAlignment w:val="bottom"/>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Standard Deviation</w:t>
            </w:r>
          </w:p>
        </w:tc>
      </w:tr>
      <w:tr w14:paraId="0F67B3B8">
        <w:tblPrEx>
          <w:tblCellMar>
            <w:top w:w="0" w:type="dxa"/>
            <w:left w:w="108" w:type="dxa"/>
            <w:bottom w:w="0" w:type="dxa"/>
            <w:right w:w="108" w:type="dxa"/>
          </w:tblCellMar>
        </w:tblPrEx>
        <w:trPr>
          <w:trHeight w:val="90" w:hRule="atLeast"/>
        </w:trPr>
        <w:tc>
          <w:tcPr>
            <w:tcW w:w="3988" w:type="dxa"/>
            <w:tcBorders>
              <w:top w:val="nil"/>
              <w:left w:val="nil"/>
              <w:bottom w:val="nil"/>
              <w:right w:val="nil"/>
            </w:tcBorders>
            <w:noWrap/>
            <w:vAlign w:val="top"/>
          </w:tcPr>
          <w:p w14:paraId="2E45C844">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4"/>
                <w:szCs w:val="24"/>
                <w:lang w:val="en-US"/>
              </w:rPr>
            </w:pPr>
            <w:r>
              <w:rPr>
                <w:rFonts w:hint="default" w:ascii="Times New Roman" w:hAnsi="Times New Roman" w:cs="Times New Roman"/>
                <w:color w:val="auto"/>
                <w:sz w:val="24"/>
                <w:szCs w:val="24"/>
              </w:rPr>
              <w:t>Understanding of MELCs and Curriculum Alignment</w:t>
            </w:r>
          </w:p>
        </w:tc>
        <w:tc>
          <w:tcPr>
            <w:tcW w:w="1770" w:type="dxa"/>
            <w:tcBorders>
              <w:top w:val="nil"/>
              <w:left w:val="nil"/>
              <w:bottom w:val="nil"/>
              <w:right w:val="nil"/>
            </w:tcBorders>
            <w:noWrap/>
            <w:vAlign w:val="center"/>
          </w:tcPr>
          <w:p w14:paraId="717F27C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SimSun" w:cs="Times New Roman"/>
                <w:color w:val="000000"/>
                <w:sz w:val="24"/>
                <w:szCs w:val="24"/>
                <w:lang w:val="en-US"/>
              </w:rPr>
              <w:t>7.592</w:t>
            </w:r>
          </w:p>
        </w:tc>
        <w:tc>
          <w:tcPr>
            <w:tcW w:w="2643" w:type="dxa"/>
            <w:tcBorders>
              <w:top w:val="nil"/>
              <w:left w:val="nil"/>
              <w:bottom w:val="nil"/>
              <w:right w:val="nil"/>
            </w:tcBorders>
            <w:noWrap/>
            <w:vAlign w:val="center"/>
          </w:tcPr>
          <w:p w14:paraId="3C13126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0.934</w:t>
            </w:r>
          </w:p>
        </w:tc>
      </w:tr>
      <w:tr w14:paraId="018F0073">
        <w:tblPrEx>
          <w:tblCellMar>
            <w:top w:w="0" w:type="dxa"/>
            <w:left w:w="108" w:type="dxa"/>
            <w:bottom w:w="0" w:type="dxa"/>
            <w:right w:w="108" w:type="dxa"/>
          </w:tblCellMar>
        </w:tblPrEx>
        <w:trPr>
          <w:trHeight w:val="90" w:hRule="atLeast"/>
        </w:trPr>
        <w:tc>
          <w:tcPr>
            <w:tcW w:w="3988" w:type="dxa"/>
            <w:tcBorders>
              <w:top w:val="nil"/>
              <w:left w:val="nil"/>
              <w:bottom w:val="nil"/>
              <w:right w:val="nil"/>
            </w:tcBorders>
            <w:noWrap/>
            <w:vAlign w:val="top"/>
          </w:tcPr>
          <w:p w14:paraId="7E82767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Use of Data in Instructional Planning</w:t>
            </w:r>
          </w:p>
        </w:tc>
        <w:tc>
          <w:tcPr>
            <w:tcW w:w="1770" w:type="dxa"/>
            <w:tcBorders>
              <w:top w:val="nil"/>
              <w:left w:val="nil"/>
              <w:bottom w:val="nil"/>
              <w:right w:val="nil"/>
            </w:tcBorders>
            <w:noWrap/>
            <w:vAlign w:val="center"/>
          </w:tcPr>
          <w:p w14:paraId="49075793">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7.250</w:t>
            </w:r>
          </w:p>
        </w:tc>
        <w:tc>
          <w:tcPr>
            <w:tcW w:w="2643" w:type="dxa"/>
            <w:tcBorders>
              <w:top w:val="nil"/>
              <w:left w:val="nil"/>
              <w:bottom w:val="nil"/>
              <w:right w:val="nil"/>
            </w:tcBorders>
            <w:noWrap/>
            <w:vAlign w:val="center"/>
          </w:tcPr>
          <w:p w14:paraId="5572DCB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0.905</w:t>
            </w:r>
          </w:p>
        </w:tc>
      </w:tr>
      <w:tr w14:paraId="124207D5">
        <w:tblPrEx>
          <w:tblCellMar>
            <w:top w:w="0" w:type="dxa"/>
            <w:left w:w="108" w:type="dxa"/>
            <w:bottom w:w="0" w:type="dxa"/>
            <w:right w:w="108" w:type="dxa"/>
          </w:tblCellMar>
        </w:tblPrEx>
        <w:trPr>
          <w:trHeight w:val="90" w:hRule="atLeast"/>
        </w:trPr>
        <w:tc>
          <w:tcPr>
            <w:tcW w:w="3988" w:type="dxa"/>
            <w:tcBorders>
              <w:top w:val="nil"/>
              <w:left w:val="nil"/>
              <w:bottom w:val="nil"/>
              <w:right w:val="nil"/>
            </w:tcBorders>
            <w:noWrap/>
            <w:vAlign w:val="top"/>
          </w:tcPr>
          <w:p w14:paraId="7BD12B96">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Knowledge of Differentiated Instruction</w:t>
            </w:r>
          </w:p>
        </w:tc>
        <w:tc>
          <w:tcPr>
            <w:tcW w:w="1770" w:type="dxa"/>
            <w:tcBorders>
              <w:top w:val="nil"/>
              <w:left w:val="nil"/>
              <w:bottom w:val="nil"/>
              <w:right w:val="nil"/>
            </w:tcBorders>
            <w:noWrap/>
            <w:vAlign w:val="center"/>
          </w:tcPr>
          <w:p w14:paraId="70D8F5B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7.974</w:t>
            </w:r>
          </w:p>
        </w:tc>
        <w:tc>
          <w:tcPr>
            <w:tcW w:w="2643" w:type="dxa"/>
            <w:tcBorders>
              <w:top w:val="nil"/>
              <w:left w:val="nil"/>
              <w:bottom w:val="nil"/>
              <w:right w:val="nil"/>
            </w:tcBorders>
            <w:noWrap/>
            <w:vAlign w:val="center"/>
          </w:tcPr>
          <w:p w14:paraId="1ABE08F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1.235</w:t>
            </w:r>
          </w:p>
        </w:tc>
      </w:tr>
      <w:tr w14:paraId="57B5EA0F">
        <w:tblPrEx>
          <w:tblCellMar>
            <w:top w:w="0" w:type="dxa"/>
            <w:left w:w="108" w:type="dxa"/>
            <w:bottom w:w="0" w:type="dxa"/>
            <w:right w:w="108" w:type="dxa"/>
          </w:tblCellMar>
        </w:tblPrEx>
        <w:trPr>
          <w:trHeight w:val="90" w:hRule="atLeast"/>
        </w:trPr>
        <w:tc>
          <w:tcPr>
            <w:tcW w:w="3988" w:type="dxa"/>
            <w:tcBorders>
              <w:top w:val="nil"/>
              <w:left w:val="nil"/>
              <w:bottom w:val="nil"/>
              <w:right w:val="nil"/>
            </w:tcBorders>
            <w:noWrap/>
            <w:vAlign w:val="top"/>
          </w:tcPr>
          <w:p w14:paraId="47AE3FAA">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Assessment Design and Alignment</w:t>
            </w:r>
          </w:p>
        </w:tc>
        <w:tc>
          <w:tcPr>
            <w:tcW w:w="1770" w:type="dxa"/>
            <w:tcBorders>
              <w:top w:val="nil"/>
              <w:left w:val="nil"/>
              <w:bottom w:val="nil"/>
              <w:right w:val="nil"/>
            </w:tcBorders>
            <w:noWrap/>
            <w:vAlign w:val="center"/>
          </w:tcPr>
          <w:p w14:paraId="118E9BD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7.671</w:t>
            </w:r>
          </w:p>
        </w:tc>
        <w:tc>
          <w:tcPr>
            <w:tcW w:w="2643" w:type="dxa"/>
            <w:tcBorders>
              <w:top w:val="nil"/>
              <w:left w:val="nil"/>
              <w:bottom w:val="nil"/>
              <w:right w:val="nil"/>
            </w:tcBorders>
            <w:noWrap/>
            <w:vAlign w:val="center"/>
          </w:tcPr>
          <w:p w14:paraId="0711A21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0.909</w:t>
            </w:r>
          </w:p>
        </w:tc>
      </w:tr>
      <w:tr w14:paraId="2481E0A8">
        <w:tblPrEx>
          <w:tblCellMar>
            <w:top w:w="0" w:type="dxa"/>
            <w:left w:w="108" w:type="dxa"/>
            <w:bottom w:w="0" w:type="dxa"/>
            <w:right w:w="108" w:type="dxa"/>
          </w:tblCellMar>
        </w:tblPrEx>
        <w:trPr>
          <w:trHeight w:val="90" w:hRule="atLeast"/>
        </w:trPr>
        <w:tc>
          <w:tcPr>
            <w:tcW w:w="3988" w:type="dxa"/>
            <w:tcBorders>
              <w:top w:val="nil"/>
              <w:left w:val="nil"/>
              <w:bottom w:val="single" w:color="auto" w:sz="4" w:space="0"/>
              <w:right w:val="nil"/>
            </w:tcBorders>
            <w:noWrap/>
            <w:vAlign w:val="top"/>
          </w:tcPr>
          <w:p w14:paraId="39FCB59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Technology Integration in Teaching</w:t>
            </w:r>
          </w:p>
        </w:tc>
        <w:tc>
          <w:tcPr>
            <w:tcW w:w="1770" w:type="dxa"/>
            <w:tcBorders>
              <w:top w:val="nil"/>
              <w:left w:val="nil"/>
              <w:bottom w:val="single" w:color="auto" w:sz="4" w:space="0"/>
              <w:right w:val="nil"/>
            </w:tcBorders>
            <w:noWrap/>
            <w:vAlign w:val="center"/>
          </w:tcPr>
          <w:p w14:paraId="2C4AD65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7.605</w:t>
            </w:r>
          </w:p>
        </w:tc>
        <w:tc>
          <w:tcPr>
            <w:tcW w:w="2643" w:type="dxa"/>
            <w:tcBorders>
              <w:top w:val="nil"/>
              <w:left w:val="nil"/>
              <w:bottom w:val="single" w:color="auto" w:sz="4" w:space="0"/>
              <w:right w:val="nil"/>
            </w:tcBorders>
            <w:noWrap/>
            <w:vAlign w:val="center"/>
          </w:tcPr>
          <w:p w14:paraId="5AB646A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0.919</w:t>
            </w:r>
          </w:p>
        </w:tc>
      </w:tr>
      <w:tr w14:paraId="36CE6245">
        <w:tblPrEx>
          <w:tblCellMar>
            <w:top w:w="0" w:type="dxa"/>
            <w:left w:w="108" w:type="dxa"/>
            <w:bottom w:w="0" w:type="dxa"/>
            <w:right w:w="108" w:type="dxa"/>
          </w:tblCellMar>
        </w:tblPrEx>
        <w:trPr>
          <w:trHeight w:val="90" w:hRule="atLeast"/>
        </w:trPr>
        <w:tc>
          <w:tcPr>
            <w:tcW w:w="3988" w:type="dxa"/>
            <w:tcBorders>
              <w:top w:val="single" w:color="auto" w:sz="4" w:space="0"/>
              <w:left w:val="nil"/>
              <w:bottom w:val="single" w:color="000000" w:sz="4" w:space="0"/>
              <w:right w:val="nil"/>
            </w:tcBorders>
            <w:noWrap/>
            <w:vAlign w:val="top"/>
          </w:tcPr>
          <w:p w14:paraId="504682C3">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Overall</w:t>
            </w:r>
          </w:p>
        </w:tc>
        <w:tc>
          <w:tcPr>
            <w:tcW w:w="1770" w:type="dxa"/>
            <w:tcBorders>
              <w:top w:val="single" w:color="auto" w:sz="4" w:space="0"/>
              <w:left w:val="nil"/>
              <w:bottom w:val="single" w:color="000000" w:sz="4" w:space="0"/>
              <w:right w:val="nil"/>
            </w:tcBorders>
            <w:noWrap/>
            <w:vAlign w:val="center"/>
          </w:tcPr>
          <w:p w14:paraId="574FA1B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38.092</w:t>
            </w:r>
          </w:p>
        </w:tc>
        <w:tc>
          <w:tcPr>
            <w:tcW w:w="2643" w:type="dxa"/>
            <w:tcBorders>
              <w:top w:val="single" w:color="auto" w:sz="4" w:space="0"/>
              <w:left w:val="nil"/>
              <w:bottom w:val="single" w:color="000000" w:sz="4" w:space="0"/>
              <w:right w:val="nil"/>
            </w:tcBorders>
            <w:noWrap/>
            <w:vAlign w:val="center"/>
          </w:tcPr>
          <w:p w14:paraId="0C22DBE5">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0.123</w:t>
            </w:r>
          </w:p>
        </w:tc>
      </w:tr>
    </w:tbl>
    <w:p w14:paraId="27AEB0EE">
      <w:pPr>
        <w:spacing w:after="0" w:line="240" w:lineRule="auto"/>
        <w:jc w:val="both"/>
        <w:rPr>
          <w:rFonts w:hint="default" w:ascii="Times New Roman" w:hAnsi="Times New Roman" w:cs="Times New Roman"/>
          <w:sz w:val="24"/>
          <w:szCs w:val="24"/>
          <w:lang w:eastAsia="zh-CN"/>
        </w:rPr>
      </w:pPr>
    </w:p>
    <w:p w14:paraId="2C676F17">
      <w:pPr>
        <w:spacing w:after="0" w:line="240" w:lineRule="auto"/>
        <w:contextualSpacing/>
        <w:jc w:val="both"/>
        <w:rPr>
          <w:rFonts w:hint="default" w:ascii="Times New Roman" w:hAnsi="Times New Roman" w:cs="Times New Roman"/>
          <w:b/>
          <w:sz w:val="24"/>
          <w:szCs w:val="24"/>
        </w:rPr>
      </w:pPr>
    </w:p>
    <w:p w14:paraId="5CA60FDE">
      <w:pPr>
        <w:spacing w:after="0" w:line="240" w:lineRule="auto"/>
        <w:contextualSpacing/>
        <w:jc w:val="both"/>
        <w:rPr>
          <w:rFonts w:hint="default" w:ascii="Times New Roman" w:hAnsi="Times New Roman" w:cs="Times New Roman"/>
          <w:b/>
          <w:sz w:val="24"/>
          <w:szCs w:val="24"/>
        </w:rPr>
      </w:pPr>
    </w:p>
    <w:p w14:paraId="53A1150E">
      <w:pPr>
        <w:pStyle w:val="16"/>
        <w:spacing w:line="240" w:lineRule="auto"/>
        <w:ind w:left="900" w:hanging="900"/>
        <w:jc w:val="both"/>
        <w:rPr>
          <w:rFonts w:hint="default" w:ascii="Times New Roman" w:hAnsi="Times New Roman" w:cs="Times New Roman"/>
          <w:i/>
          <w:iCs/>
          <w:sz w:val="24"/>
          <w:szCs w:val="24"/>
        </w:rPr>
      </w:pPr>
    </w:p>
    <w:p w14:paraId="4E044C7C">
      <w:pPr>
        <w:pStyle w:val="16"/>
        <w:spacing w:line="240" w:lineRule="auto"/>
        <w:ind w:left="900" w:hanging="900"/>
        <w:jc w:val="both"/>
        <w:rPr>
          <w:rFonts w:hint="default" w:ascii="Times New Roman" w:hAnsi="Times New Roman" w:cs="Times New Roman"/>
          <w:i/>
          <w:iCs/>
          <w:sz w:val="24"/>
          <w:szCs w:val="24"/>
        </w:rPr>
      </w:pPr>
    </w:p>
    <w:p w14:paraId="562BA12C">
      <w:pPr>
        <w:pStyle w:val="16"/>
        <w:spacing w:line="240" w:lineRule="auto"/>
        <w:ind w:left="900" w:hanging="900"/>
        <w:jc w:val="both"/>
        <w:rPr>
          <w:rFonts w:hint="default" w:ascii="Times New Roman" w:hAnsi="Times New Roman" w:cs="Times New Roman"/>
          <w:i/>
          <w:iCs/>
          <w:sz w:val="24"/>
          <w:szCs w:val="24"/>
        </w:rPr>
      </w:pPr>
    </w:p>
    <w:p w14:paraId="49071C7A">
      <w:pPr>
        <w:pStyle w:val="16"/>
        <w:spacing w:line="240" w:lineRule="auto"/>
        <w:ind w:left="900" w:hanging="900"/>
        <w:jc w:val="both"/>
        <w:rPr>
          <w:rFonts w:hint="default" w:ascii="Times New Roman" w:hAnsi="Times New Roman" w:cs="Times New Roman"/>
          <w:i/>
          <w:iCs/>
          <w:sz w:val="24"/>
          <w:szCs w:val="24"/>
        </w:rPr>
      </w:pPr>
    </w:p>
    <w:p w14:paraId="0741138E">
      <w:pPr>
        <w:pStyle w:val="16"/>
        <w:spacing w:line="240" w:lineRule="auto"/>
        <w:ind w:left="900" w:hanging="900"/>
        <w:jc w:val="both"/>
        <w:rPr>
          <w:rFonts w:hint="default" w:ascii="Times New Roman" w:hAnsi="Times New Roman" w:cs="Times New Roman"/>
          <w:i/>
          <w:iCs/>
          <w:sz w:val="24"/>
          <w:szCs w:val="24"/>
        </w:rPr>
      </w:pPr>
    </w:p>
    <w:p w14:paraId="331E3DFD">
      <w:pPr>
        <w:pStyle w:val="16"/>
        <w:spacing w:line="240" w:lineRule="auto"/>
        <w:ind w:left="900" w:hanging="900"/>
        <w:jc w:val="both"/>
        <w:rPr>
          <w:rFonts w:hint="default" w:ascii="Times New Roman" w:hAnsi="Times New Roman" w:cs="Times New Roman"/>
          <w:i/>
          <w:iCs/>
          <w:sz w:val="24"/>
          <w:szCs w:val="24"/>
        </w:rPr>
      </w:pPr>
    </w:p>
    <w:p w14:paraId="236B6153">
      <w:pPr>
        <w:pStyle w:val="16"/>
        <w:spacing w:line="240" w:lineRule="auto"/>
        <w:ind w:left="900" w:hanging="900"/>
        <w:jc w:val="both"/>
        <w:rPr>
          <w:rFonts w:hint="default" w:ascii="Times New Roman" w:hAnsi="Times New Roman" w:cs="Times New Roman"/>
          <w:i/>
          <w:iCs/>
          <w:sz w:val="24"/>
          <w:szCs w:val="24"/>
        </w:rPr>
      </w:pPr>
    </w:p>
    <w:p w14:paraId="130E0B1D">
      <w:pPr>
        <w:pStyle w:val="16"/>
        <w:spacing w:line="240" w:lineRule="auto"/>
        <w:ind w:left="900" w:hanging="900"/>
        <w:jc w:val="both"/>
        <w:rPr>
          <w:rFonts w:hint="default" w:ascii="Times New Roman" w:hAnsi="Times New Roman" w:cs="Times New Roman"/>
          <w:i/>
          <w:iCs/>
          <w:sz w:val="24"/>
          <w:szCs w:val="24"/>
        </w:rPr>
      </w:pPr>
    </w:p>
    <w:p w14:paraId="12E0DA3B">
      <w:pPr>
        <w:pStyle w:val="16"/>
        <w:spacing w:line="240" w:lineRule="auto"/>
        <w:ind w:left="900" w:hanging="900"/>
        <w:jc w:val="both"/>
        <w:rPr>
          <w:rFonts w:hint="default" w:ascii="Times New Roman" w:hAnsi="Times New Roman" w:cs="Times New Roman"/>
          <w:i/>
          <w:iCs/>
          <w:sz w:val="24"/>
          <w:szCs w:val="24"/>
        </w:rPr>
      </w:pPr>
    </w:p>
    <w:p w14:paraId="14B16C2F">
      <w:pPr>
        <w:pStyle w:val="16"/>
        <w:spacing w:line="240" w:lineRule="auto"/>
        <w:jc w:val="both"/>
        <w:rPr>
          <w:rFonts w:hint="default" w:ascii="Times New Roman" w:hAnsi="Times New Roman" w:cs="Times New Roman"/>
          <w:sz w:val="24"/>
          <w:szCs w:val="24"/>
        </w:rPr>
      </w:pPr>
    </w:p>
    <w:p w14:paraId="4C1D7DF9">
      <w:pPr>
        <w:pStyle w:val="16"/>
        <w:spacing w:line="240" w:lineRule="auto"/>
        <w:ind w:firstLine="720" w:firstLineChars="0"/>
        <w:jc w:val="both"/>
        <w:rPr>
          <w:rFonts w:hint="default" w:ascii="Times New Roman" w:hAnsi="Times New Roman" w:cs="Times New Roman"/>
          <w:sz w:val="24"/>
          <w:szCs w:val="24"/>
        </w:rPr>
      </w:pPr>
    </w:p>
    <w:p w14:paraId="0FD290F1">
      <w:pPr>
        <w:pStyle w:val="16"/>
        <w:spacing w:line="240" w:lineRule="auto"/>
        <w:ind w:firstLine="720" w:firstLineChars="0"/>
        <w:jc w:val="both"/>
        <w:rPr>
          <w:rFonts w:hint="default" w:ascii="Times New Roman" w:hAnsi="Times New Roman" w:cs="Times New Roman"/>
          <w:sz w:val="24"/>
          <w:szCs w:val="24"/>
        </w:rPr>
      </w:pPr>
    </w:p>
    <w:p w14:paraId="5E9F1AA9">
      <w:pPr>
        <w:pStyle w:val="16"/>
        <w:spacing w:line="240" w:lineRule="auto"/>
        <w:ind w:firstLine="720" w:firstLineChars="0"/>
        <w:jc w:val="both"/>
        <w:rPr>
          <w:rFonts w:hint="default" w:ascii="Times New Roman" w:hAnsi="Times New Roman" w:cs="Times New Roman"/>
          <w:sz w:val="24"/>
          <w:szCs w:val="24"/>
        </w:rPr>
      </w:pPr>
    </w:p>
    <w:p w14:paraId="20F52C73">
      <w:pPr>
        <w:pStyle w:val="16"/>
        <w:spacing w:line="240" w:lineRule="auto"/>
        <w:ind w:firstLine="720" w:firstLineChars="0"/>
        <w:jc w:val="both"/>
        <w:rPr>
          <w:rFonts w:hint="default" w:ascii="Times New Roman" w:hAnsi="Times New Roman" w:cs="Times New Roman"/>
          <w:sz w:val="24"/>
          <w:szCs w:val="24"/>
        </w:rPr>
      </w:pPr>
    </w:p>
    <w:p w14:paraId="730AD4D2">
      <w:pPr>
        <w:pStyle w:val="16"/>
        <w:spacing w:line="240" w:lineRule="auto"/>
        <w:jc w:val="both"/>
        <w:rPr>
          <w:rFonts w:hint="default" w:ascii="Times New Roman" w:hAnsi="Times New Roman" w:cs="Times New Roman"/>
          <w:sz w:val="24"/>
          <w:szCs w:val="24"/>
        </w:rPr>
      </w:pPr>
    </w:p>
    <w:p w14:paraId="25B00905">
      <w:pPr>
        <w:pStyle w:val="16"/>
        <w:spacing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Based on the results shown in the table, the participants obtained an overall mean score of 38.092, equivalent to 76.18%, which exceeds the 75% proficiency benchmark. This indicates that the teachers were able to achieve the expected level of competence following the implementation of the School-Based Capacity Building for Teachers program. The findings suggest that the intervention had a positive impact on enhancing teachers’ knowledge and skills. In fact, the mean score increased from 20.553 in the pretest to 38.092 in the posttest, reflecting an 85.34% improvement in performance.</w:t>
      </w:r>
    </w:p>
    <w:p w14:paraId="36358033">
      <w:pPr>
        <w:pStyle w:val="16"/>
        <w:spacing w:line="240" w:lineRule="auto"/>
        <w:ind w:firstLine="720" w:firstLineChars="0"/>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This finding is supported by the study of Almajnuni and Alwerthan (2024), which highlighted that well-planned and relevant professional development programs can significantly enhance teachers’ instructional competence, pedagogical knowledge, self-efficacy, and overall professional performance. The result suggests that capacity-building initiatives play a crucial role in strengthening teachers’ competencies and improving the quality of classroom instruction.</w:t>
      </w:r>
    </w:p>
    <w:p w14:paraId="6AC7D21A">
      <w:pPr>
        <w:pStyle w:val="16"/>
        <w:spacing w:line="240" w:lineRule="auto"/>
        <w:ind w:firstLine="720" w:firstLineChars="0"/>
        <w:jc w:val="both"/>
        <w:rPr>
          <w:rFonts w:hint="default" w:ascii="Times New Roman" w:hAnsi="Times New Roman" w:cs="Times New Roman"/>
          <w:i w:val="0"/>
          <w:iCs w:val="0"/>
          <w:sz w:val="24"/>
          <w:szCs w:val="24"/>
          <w:lang w:val="en-US"/>
        </w:rPr>
      </w:pPr>
    </w:p>
    <w:p w14:paraId="7D404984">
      <w:pPr>
        <w:pStyle w:val="16"/>
        <w:spacing w:line="240" w:lineRule="auto"/>
        <w:ind w:left="900" w:hanging="900"/>
        <w:jc w:val="both"/>
        <w:rPr>
          <w:rFonts w:hint="default" w:ascii="Times New Roman" w:hAnsi="Times New Roman" w:cs="Times New Roman"/>
          <w:i/>
          <w:iCs/>
          <w:sz w:val="24"/>
          <w:szCs w:val="24"/>
          <w:lang w:val="en-US"/>
        </w:rPr>
      </w:pPr>
      <w:r>
        <w:rPr>
          <w:rFonts w:hint="default" w:ascii="Times New Roman" w:hAnsi="Times New Roman" w:cs="Times New Roman"/>
          <w:i/>
          <w:iCs/>
          <w:sz w:val="24"/>
          <w:szCs w:val="24"/>
        </w:rPr>
        <w:t>Table 3. Test of difference in the pre-test and post-test score</w:t>
      </w:r>
      <w:r>
        <w:rPr>
          <w:rFonts w:hint="default" w:ascii="Times New Roman" w:hAnsi="Times New Roman" w:cs="Times New Roman"/>
          <w:i/>
          <w:iCs/>
          <w:sz w:val="24"/>
          <w:szCs w:val="24"/>
          <w:lang w:val="en-US"/>
        </w:rPr>
        <w:t xml:space="preserve"> before and after the implementation of </w:t>
      </w:r>
      <w:r>
        <w:rPr>
          <w:rFonts w:hint="default" w:ascii="Times New Roman" w:hAnsi="Times New Roman" w:cs="Times New Roman"/>
          <w:b w:val="0"/>
          <w:bCs w:val="0"/>
          <w:color w:val="000000"/>
          <w:kern w:val="28"/>
          <w:sz w:val="24"/>
          <w:szCs w:val="24"/>
        </w:rPr>
        <w:t>School-Based Capacity Building for Teachers</w:t>
      </w:r>
    </w:p>
    <w:tbl>
      <w:tblPr>
        <w:tblStyle w:val="5"/>
        <w:tblpPr w:leftFromText="180" w:rightFromText="180" w:vertAnchor="text" w:horzAnchor="page" w:tblpX="1225" w:tblpY="321"/>
        <w:tblOverlap w:val="never"/>
        <w:tblW w:w="9945" w:type="dxa"/>
        <w:tblInd w:w="0" w:type="dxa"/>
        <w:tblLayout w:type="fixed"/>
        <w:tblCellMar>
          <w:top w:w="0" w:type="dxa"/>
          <w:left w:w="108" w:type="dxa"/>
          <w:bottom w:w="0" w:type="dxa"/>
          <w:right w:w="108" w:type="dxa"/>
        </w:tblCellMar>
      </w:tblPr>
      <w:tblGrid>
        <w:gridCol w:w="1945"/>
        <w:gridCol w:w="1872"/>
        <w:gridCol w:w="1843"/>
        <w:gridCol w:w="985"/>
        <w:gridCol w:w="1000"/>
        <w:gridCol w:w="986"/>
        <w:gridCol w:w="1314"/>
      </w:tblGrid>
      <w:tr w14:paraId="4E2928CE">
        <w:tblPrEx>
          <w:tblCellMar>
            <w:top w:w="0" w:type="dxa"/>
            <w:left w:w="108" w:type="dxa"/>
            <w:bottom w:w="0" w:type="dxa"/>
            <w:right w:w="108" w:type="dxa"/>
          </w:tblCellMar>
        </w:tblPrEx>
        <w:trPr>
          <w:trHeight w:val="1131" w:hRule="atLeast"/>
        </w:trPr>
        <w:tc>
          <w:tcPr>
            <w:tcW w:w="1945" w:type="dxa"/>
            <w:tcBorders>
              <w:top w:val="single" w:color="000000" w:sz="4" w:space="0"/>
              <w:left w:val="nil"/>
              <w:bottom w:val="single" w:color="000000" w:sz="4" w:space="0"/>
              <w:right w:val="nil"/>
            </w:tcBorders>
            <w:noWrap/>
            <w:vAlign w:val="center"/>
          </w:tcPr>
          <w:p w14:paraId="078CB859">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Indicator</w:t>
            </w:r>
          </w:p>
        </w:tc>
        <w:tc>
          <w:tcPr>
            <w:tcW w:w="1872" w:type="dxa"/>
            <w:tcBorders>
              <w:top w:val="single" w:color="000000" w:sz="4" w:space="0"/>
              <w:left w:val="nil"/>
              <w:bottom w:val="single" w:color="000000" w:sz="4" w:space="0"/>
              <w:right w:val="nil"/>
            </w:tcBorders>
            <w:vAlign w:val="center"/>
          </w:tcPr>
          <w:p w14:paraId="1955EB2F">
            <w:pPr>
              <w:spacing w:after="0" w:line="240" w:lineRule="auto"/>
              <w:jc w:val="center"/>
              <w:textAlignment w:val="center"/>
              <w:rPr>
                <w:rFonts w:hint="default" w:ascii="Times New Roman" w:hAnsi="Times New Roman" w:cs="Times New Roman"/>
                <w:b/>
                <w:bCs/>
                <w:color w:val="000000"/>
                <w:sz w:val="24"/>
                <w:szCs w:val="24"/>
                <w:lang w:val="en-US"/>
              </w:rPr>
            </w:pPr>
            <w:r>
              <w:rPr>
                <w:rFonts w:hint="default" w:ascii="Times New Roman" w:hAnsi="Times New Roman" w:cs="Times New Roman"/>
                <w:b/>
                <w:bCs/>
                <w:sz w:val="24"/>
                <w:szCs w:val="24"/>
              </w:rPr>
              <w:t xml:space="preserve">Mean Score before the </w:t>
            </w:r>
            <w:r>
              <w:rPr>
                <w:rFonts w:hint="default" w:ascii="Times New Roman" w:hAnsi="Times New Roman" w:eastAsia="Segoe UI" w:cs="Times New Roman"/>
                <w:b/>
                <w:bCs/>
                <w:i w:val="0"/>
                <w:iCs w:val="0"/>
                <w:color w:val="auto"/>
                <w:sz w:val="24"/>
                <w:szCs w:val="24"/>
                <w:lang w:val="en-US"/>
              </w:rPr>
              <w:t>implemetation of School-Based Capacity Building for Teachers</w:t>
            </w:r>
          </w:p>
        </w:tc>
        <w:tc>
          <w:tcPr>
            <w:tcW w:w="1843" w:type="dxa"/>
            <w:tcBorders>
              <w:top w:val="single" w:color="000000" w:sz="4" w:space="0"/>
              <w:left w:val="nil"/>
              <w:bottom w:val="single" w:color="000000" w:sz="4" w:space="0"/>
              <w:right w:val="nil"/>
            </w:tcBorders>
            <w:vAlign w:val="center"/>
          </w:tcPr>
          <w:p w14:paraId="2426ECEE">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sz w:val="24"/>
                <w:szCs w:val="24"/>
              </w:rPr>
              <w:t xml:space="preserve">Mean Score </w:t>
            </w:r>
            <w:r>
              <w:rPr>
                <w:rFonts w:hint="default" w:ascii="Times New Roman" w:hAnsi="Times New Roman" w:cs="Times New Roman"/>
                <w:b/>
                <w:bCs/>
                <w:sz w:val="24"/>
                <w:szCs w:val="24"/>
                <w:lang w:val="en-US"/>
              </w:rPr>
              <w:t>after</w:t>
            </w:r>
            <w:r>
              <w:rPr>
                <w:rFonts w:hint="default" w:ascii="Times New Roman" w:hAnsi="Times New Roman" w:cs="Times New Roman"/>
                <w:b/>
                <w:bCs/>
                <w:sz w:val="24"/>
                <w:szCs w:val="24"/>
              </w:rPr>
              <w:t xml:space="preserve"> the </w:t>
            </w:r>
            <w:r>
              <w:rPr>
                <w:rFonts w:hint="default" w:ascii="Times New Roman" w:hAnsi="Times New Roman" w:eastAsia="Segoe UI" w:cs="Times New Roman"/>
                <w:b/>
                <w:bCs/>
                <w:i w:val="0"/>
                <w:iCs w:val="0"/>
                <w:color w:val="auto"/>
                <w:sz w:val="24"/>
                <w:szCs w:val="24"/>
                <w:lang w:val="en-US"/>
              </w:rPr>
              <w:t>implemetation of School-Based Capacity Building for Teachers</w:t>
            </w:r>
          </w:p>
        </w:tc>
        <w:tc>
          <w:tcPr>
            <w:tcW w:w="985" w:type="dxa"/>
            <w:tcBorders>
              <w:top w:val="single" w:color="000000" w:sz="4" w:space="0"/>
              <w:left w:val="nil"/>
              <w:bottom w:val="single" w:color="000000" w:sz="4" w:space="0"/>
              <w:right w:val="nil"/>
            </w:tcBorders>
            <w:noWrap/>
            <w:vAlign w:val="center"/>
          </w:tcPr>
          <w:p w14:paraId="66190877">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t.test</w:t>
            </w:r>
          </w:p>
        </w:tc>
        <w:tc>
          <w:tcPr>
            <w:tcW w:w="1000" w:type="dxa"/>
            <w:tcBorders>
              <w:top w:val="single" w:color="000000" w:sz="4" w:space="0"/>
              <w:left w:val="nil"/>
              <w:bottom w:val="single" w:color="000000" w:sz="4" w:space="0"/>
              <w:right w:val="nil"/>
            </w:tcBorders>
            <w:noWrap/>
            <w:vAlign w:val="center"/>
          </w:tcPr>
          <w:p w14:paraId="4217C10C">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t-value</w:t>
            </w:r>
          </w:p>
        </w:tc>
        <w:tc>
          <w:tcPr>
            <w:tcW w:w="986" w:type="dxa"/>
            <w:tcBorders>
              <w:top w:val="single" w:color="000000" w:sz="4" w:space="0"/>
              <w:left w:val="nil"/>
              <w:bottom w:val="single" w:color="000000" w:sz="4" w:space="0"/>
              <w:right w:val="nil"/>
            </w:tcBorders>
            <w:noWrap/>
            <w:vAlign w:val="center"/>
          </w:tcPr>
          <w:p w14:paraId="37B8DDC3">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p-value</w:t>
            </w:r>
          </w:p>
        </w:tc>
        <w:tc>
          <w:tcPr>
            <w:tcW w:w="1314" w:type="dxa"/>
            <w:tcBorders>
              <w:top w:val="single" w:color="000000" w:sz="4" w:space="0"/>
              <w:left w:val="nil"/>
              <w:bottom w:val="single" w:color="000000" w:sz="4" w:space="0"/>
              <w:right w:val="nil"/>
            </w:tcBorders>
            <w:noWrap/>
            <w:vAlign w:val="center"/>
          </w:tcPr>
          <w:p w14:paraId="04A32E10">
            <w:pPr>
              <w:spacing w:after="0" w:line="240" w:lineRule="auto"/>
              <w:jc w:val="center"/>
              <w:textAlignment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sz w:val="24"/>
                <w:szCs w:val="24"/>
                <w:lang w:bidi="ar"/>
              </w:rPr>
              <w:t>Remarks</w:t>
            </w:r>
          </w:p>
        </w:tc>
      </w:tr>
      <w:tr w14:paraId="00A97161">
        <w:tblPrEx>
          <w:tblCellMar>
            <w:top w:w="0" w:type="dxa"/>
            <w:left w:w="108" w:type="dxa"/>
            <w:bottom w:w="0" w:type="dxa"/>
            <w:right w:w="108" w:type="dxa"/>
          </w:tblCellMar>
        </w:tblPrEx>
        <w:trPr>
          <w:trHeight w:val="1200" w:hRule="atLeast"/>
        </w:trPr>
        <w:tc>
          <w:tcPr>
            <w:tcW w:w="1945" w:type="dxa"/>
            <w:tcBorders>
              <w:top w:val="nil"/>
              <w:left w:val="nil"/>
              <w:bottom w:val="nil"/>
              <w:right w:val="nil"/>
            </w:tcBorders>
            <w:noWrap/>
            <w:vAlign w:val="center"/>
          </w:tcPr>
          <w:p w14:paraId="49467998">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eachers’ knowledge and skills</w:t>
            </w:r>
          </w:p>
        </w:tc>
        <w:tc>
          <w:tcPr>
            <w:tcW w:w="1872" w:type="dxa"/>
            <w:tcBorders>
              <w:top w:val="nil"/>
              <w:left w:val="nil"/>
              <w:bottom w:val="nil"/>
              <w:right w:val="nil"/>
            </w:tcBorders>
            <w:noWrap/>
            <w:vAlign w:val="center"/>
          </w:tcPr>
          <w:p w14:paraId="0D7B873B">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val="en-US"/>
              </w:rPr>
              <w:t>20.553</w:t>
            </w:r>
          </w:p>
        </w:tc>
        <w:tc>
          <w:tcPr>
            <w:tcW w:w="1843" w:type="dxa"/>
            <w:tcBorders>
              <w:top w:val="nil"/>
              <w:left w:val="nil"/>
              <w:bottom w:val="nil"/>
              <w:right w:val="nil"/>
            </w:tcBorders>
            <w:noWrap/>
            <w:vAlign w:val="center"/>
          </w:tcPr>
          <w:p w14:paraId="65B01FE3">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val="en-US"/>
              </w:rPr>
              <w:t>38.092</w:t>
            </w:r>
          </w:p>
        </w:tc>
        <w:tc>
          <w:tcPr>
            <w:tcW w:w="985" w:type="dxa"/>
            <w:tcBorders>
              <w:top w:val="nil"/>
              <w:left w:val="nil"/>
              <w:bottom w:val="nil"/>
              <w:right w:val="nil"/>
            </w:tcBorders>
            <w:noWrap/>
            <w:vAlign w:val="center"/>
          </w:tcPr>
          <w:p w14:paraId="365C302D">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rPr>
              <w:t>-7.187</w:t>
            </w:r>
          </w:p>
        </w:tc>
        <w:tc>
          <w:tcPr>
            <w:tcW w:w="1000" w:type="dxa"/>
            <w:tcBorders>
              <w:top w:val="nil"/>
              <w:left w:val="nil"/>
              <w:bottom w:val="nil"/>
              <w:right w:val="nil"/>
            </w:tcBorders>
            <w:noWrap/>
            <w:vAlign w:val="center"/>
          </w:tcPr>
          <w:p w14:paraId="4439460C">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rPr>
              <w:t>1.992</w:t>
            </w:r>
          </w:p>
        </w:tc>
        <w:tc>
          <w:tcPr>
            <w:tcW w:w="986" w:type="dxa"/>
            <w:tcBorders>
              <w:top w:val="nil"/>
              <w:left w:val="nil"/>
              <w:bottom w:val="nil"/>
              <w:right w:val="nil"/>
            </w:tcBorders>
            <w:noWrap/>
            <w:vAlign w:val="center"/>
          </w:tcPr>
          <w:p w14:paraId="4D0A1940">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0.000</w:t>
            </w:r>
          </w:p>
        </w:tc>
        <w:tc>
          <w:tcPr>
            <w:tcW w:w="1314" w:type="dxa"/>
            <w:tcBorders>
              <w:top w:val="nil"/>
              <w:left w:val="nil"/>
              <w:bottom w:val="nil"/>
              <w:right w:val="nil"/>
            </w:tcBorders>
            <w:noWrap/>
            <w:vAlign w:val="center"/>
          </w:tcPr>
          <w:p w14:paraId="2DE8F1BB">
            <w:pPr>
              <w:spacing w:after="0" w:line="240" w:lineRule="auto"/>
              <w:jc w:val="center"/>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Significant</w:t>
            </w:r>
          </w:p>
        </w:tc>
      </w:tr>
      <w:tr w14:paraId="48E260BE">
        <w:tblPrEx>
          <w:tblCellMar>
            <w:top w:w="0" w:type="dxa"/>
            <w:left w:w="108" w:type="dxa"/>
            <w:bottom w:w="0" w:type="dxa"/>
            <w:right w:w="108" w:type="dxa"/>
          </w:tblCellMar>
        </w:tblPrEx>
        <w:trPr>
          <w:trHeight w:val="492" w:hRule="atLeast"/>
        </w:trPr>
        <w:tc>
          <w:tcPr>
            <w:tcW w:w="9945" w:type="dxa"/>
            <w:gridSpan w:val="7"/>
            <w:tcBorders>
              <w:top w:val="single" w:color="000000" w:sz="4" w:space="0"/>
              <w:left w:val="nil"/>
              <w:bottom w:val="nil"/>
              <w:right w:val="nil"/>
            </w:tcBorders>
            <w:noWrap/>
            <w:vAlign w:val="bottom"/>
          </w:tcPr>
          <w:p w14:paraId="231995B1">
            <w:pPr>
              <w:spacing w:after="0" w:line="240" w:lineRule="auto"/>
              <w:jc w:val="both"/>
              <w:rPr>
                <w:rFonts w:hint="default" w:ascii="Times New Roman" w:hAnsi="Times New Roman" w:cs="Times New Roman"/>
                <w:i/>
                <w:iCs/>
                <w:color w:val="000000"/>
                <w:sz w:val="24"/>
                <w:szCs w:val="24"/>
                <w:lang w:val="en-US"/>
              </w:rPr>
            </w:pPr>
            <w:r>
              <w:rPr>
                <w:rFonts w:hint="default" w:ascii="Times New Roman" w:hAnsi="Times New Roman" w:cs="Times New Roman"/>
                <w:i/>
                <w:iCs/>
                <w:color w:val="000000"/>
                <w:sz w:val="24"/>
                <w:szCs w:val="24"/>
              </w:rPr>
              <w:t xml:space="preserve">  Legend:    p&lt;.05    Significant          p&gt;.05 Not Significant</w:t>
            </w:r>
          </w:p>
        </w:tc>
      </w:tr>
    </w:tbl>
    <w:p w14:paraId="0CEFC391">
      <w:pPr>
        <w:pStyle w:val="16"/>
        <w:spacing w:line="240" w:lineRule="auto"/>
        <w:jc w:val="both"/>
        <w:rPr>
          <w:rFonts w:hint="default" w:ascii="Times New Roman" w:hAnsi="Times New Roman" w:cs="Times New Roman"/>
          <w:i/>
          <w:iCs/>
          <w:sz w:val="24"/>
          <w:szCs w:val="24"/>
          <w:lang w:val="en-US"/>
        </w:rPr>
      </w:pPr>
    </w:p>
    <w:p w14:paraId="2562E54A">
      <w:pPr>
        <w:pStyle w:val="16"/>
        <w:spacing w:line="240" w:lineRule="auto"/>
        <w:ind w:firstLine="720" w:firstLineChars="0"/>
        <w:jc w:val="both"/>
        <w:rPr>
          <w:rFonts w:hint="default" w:ascii="Times New Roman" w:hAnsi="Times New Roman" w:cs="Times New Roman"/>
          <w:b w:val="0"/>
          <w:bCs/>
          <w:sz w:val="24"/>
          <w:szCs w:val="24"/>
        </w:rPr>
      </w:pPr>
    </w:p>
    <w:p w14:paraId="61B7E23D">
      <w:pPr>
        <w:pStyle w:val="16"/>
        <w:spacing w:line="240" w:lineRule="auto"/>
        <w:ind w:firstLine="720" w:firstLineChars="0"/>
        <w:jc w:val="both"/>
        <w:rPr>
          <w:rFonts w:hint="default" w:ascii="Times New Roman" w:hAnsi="Times New Roman" w:cs="Times New Roman"/>
          <w:b w:val="0"/>
          <w:bCs/>
          <w:sz w:val="24"/>
          <w:szCs w:val="24"/>
        </w:rPr>
      </w:pPr>
    </w:p>
    <w:p w14:paraId="350F0DB7">
      <w:pPr>
        <w:pStyle w:val="16"/>
        <w:spacing w:line="240" w:lineRule="auto"/>
        <w:ind w:firstLine="720" w:firstLineChars="0"/>
        <w:jc w:val="both"/>
        <w:rPr>
          <w:rFonts w:hint="default" w:ascii="Times New Roman" w:hAnsi="Times New Roman" w:cs="Times New Roman"/>
          <w:b w:val="0"/>
          <w:bCs/>
          <w:sz w:val="24"/>
          <w:szCs w:val="24"/>
        </w:rPr>
      </w:pPr>
    </w:p>
    <w:p w14:paraId="7B044CA2">
      <w:pPr>
        <w:pStyle w:val="16"/>
        <w:spacing w:line="240" w:lineRule="auto"/>
        <w:ind w:firstLine="720" w:firstLineChars="0"/>
        <w:jc w:val="both"/>
        <w:rPr>
          <w:rFonts w:hint="default" w:ascii="Times New Roman" w:hAnsi="Times New Roman" w:cs="Times New Roman"/>
          <w:b w:val="0"/>
          <w:bCs/>
          <w:sz w:val="24"/>
          <w:szCs w:val="24"/>
        </w:rPr>
      </w:pPr>
    </w:p>
    <w:p w14:paraId="4FDF671D">
      <w:pPr>
        <w:pStyle w:val="16"/>
        <w:spacing w:line="240" w:lineRule="auto"/>
        <w:ind w:firstLine="720" w:firstLineChars="0"/>
        <w:jc w:val="both"/>
        <w:rPr>
          <w:rFonts w:hint="default" w:ascii="Times New Roman" w:hAnsi="Times New Roman" w:cs="Times New Roman"/>
          <w:b w:val="0"/>
          <w:bCs/>
          <w:sz w:val="24"/>
          <w:szCs w:val="24"/>
        </w:rPr>
      </w:pPr>
    </w:p>
    <w:p w14:paraId="64833BAB">
      <w:pPr>
        <w:pStyle w:val="16"/>
        <w:spacing w:line="240" w:lineRule="auto"/>
        <w:ind w:firstLine="720" w:firstLineChars="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The table presents the results of the paired t-test conducted to determine whether there was a significant difference between the teachers’ pretest and posttest scores. The analysis yielded a computed t-value of -7.187 and a p-value of 0.000, indicating a statistically significant difference between the two sets of scores. This finding suggests that the teachers demonstrated substantial improvement in their knowledge and skills after participating in the School-Based Capacity Building for Teachers program.</w:t>
      </w:r>
    </w:p>
    <w:p w14:paraId="01DF77B0">
      <w:pPr>
        <w:spacing w:after="0" w:line="240" w:lineRule="auto"/>
        <w:ind w:firstLine="720" w:firstLineChars="0"/>
        <w:contextualSpacing/>
        <w:jc w:val="both"/>
        <w:rPr>
          <w:rFonts w:hint="default" w:ascii="Times New Roman" w:hAnsi="Times New Roman" w:cs="Times New Roman"/>
          <w:b w:val="0"/>
          <w:bCs w:val="0"/>
          <w:color w:val="000000"/>
          <w:kern w:val="28"/>
          <w:sz w:val="24"/>
          <w:szCs w:val="24"/>
          <w:lang w:val="en-US"/>
        </w:rPr>
      </w:pPr>
      <w:r>
        <w:rPr>
          <w:rFonts w:hint="default" w:ascii="Times New Roman" w:hAnsi="Times New Roman" w:cs="Times New Roman"/>
          <w:b w:val="0"/>
          <w:bCs w:val="0"/>
          <w:color w:val="000000"/>
          <w:kern w:val="28"/>
          <w:sz w:val="24"/>
          <w:szCs w:val="24"/>
          <w:lang w:val="en-US"/>
        </w:rPr>
        <w:t>This result is consistent with the findings of Villareal (2025), who reported that professional development activities and training opportunities have a significant positive impact on teachers’ instructional competence. The study further revealed that teachers who participated in such programs exhibited improved pedagogical skills and enhanced professional performance. These findings reinforce the importance of continuous capacity-building initiatives in supporting teacher growth and improving instructional effectiveness.</w:t>
      </w:r>
    </w:p>
    <w:p w14:paraId="63C30534">
      <w:pPr>
        <w:spacing w:after="0" w:line="240" w:lineRule="auto"/>
        <w:contextualSpacing/>
        <w:jc w:val="both"/>
        <w:rPr>
          <w:rFonts w:hint="default" w:ascii="Times New Roman" w:hAnsi="Times New Roman" w:cs="Times New Roman"/>
          <w:b w:val="0"/>
          <w:bCs w:val="0"/>
          <w:color w:val="000000"/>
          <w:kern w:val="28"/>
          <w:sz w:val="24"/>
          <w:szCs w:val="24"/>
          <w:lang w:val="en-US"/>
        </w:rPr>
      </w:pPr>
    </w:p>
    <w:p w14:paraId="58825BF1">
      <w:pPr>
        <w:spacing w:after="0" w:line="240" w:lineRule="auto"/>
        <w:contextualSpacing/>
        <w:jc w:val="both"/>
        <w:rPr>
          <w:rFonts w:hint="default" w:ascii="Times New Roman" w:hAnsi="Times New Roman" w:cs="Times New Roman"/>
          <w:b/>
          <w:sz w:val="28"/>
          <w:szCs w:val="28"/>
          <w:lang w:val="en-US"/>
        </w:rPr>
      </w:pPr>
      <w:r>
        <w:rPr>
          <w:rFonts w:hint="default" w:ascii="Times New Roman" w:hAnsi="Times New Roman" w:cs="Times New Roman"/>
          <w:b/>
          <w:sz w:val="28"/>
          <w:szCs w:val="28"/>
        </w:rPr>
        <w:t>S</w:t>
      </w:r>
      <w:r>
        <w:rPr>
          <w:rFonts w:hint="default" w:ascii="Times New Roman" w:hAnsi="Times New Roman" w:cs="Times New Roman"/>
          <w:b/>
          <w:sz w:val="28"/>
          <w:szCs w:val="28"/>
          <w:lang w:val="en-US"/>
        </w:rPr>
        <w:t>UMMARY OF FINDINGS</w:t>
      </w:r>
    </w:p>
    <w:p w14:paraId="6A981E43">
      <w:pPr>
        <w:spacing w:after="0" w:line="240" w:lineRule="auto"/>
        <w:contextualSpacing/>
        <w:jc w:val="both"/>
        <w:rPr>
          <w:rFonts w:hint="default" w:ascii="Times New Roman" w:hAnsi="Times New Roman" w:cs="Times New Roman"/>
          <w:b/>
          <w:sz w:val="24"/>
          <w:szCs w:val="24"/>
          <w:lang w:val="en-US"/>
        </w:rPr>
      </w:pPr>
    </w:p>
    <w:p w14:paraId="75A51A16">
      <w:pPr>
        <w:spacing w:after="0" w:line="240" w:lineRule="auto"/>
        <w:ind w:firstLine="7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Based on the analysis   of the data, the following results </w:t>
      </w:r>
      <w:r>
        <w:rPr>
          <w:rFonts w:hint="default" w:ascii="Times New Roman" w:hAnsi="Times New Roman" w:cs="Times New Roman"/>
          <w:sz w:val="24"/>
          <w:szCs w:val="24"/>
          <w:lang w:val="en-PH"/>
        </w:rPr>
        <w:t>are</w:t>
      </w:r>
      <w:r>
        <w:rPr>
          <w:rFonts w:hint="default" w:ascii="Times New Roman" w:hAnsi="Times New Roman" w:cs="Times New Roman"/>
          <w:sz w:val="24"/>
          <w:szCs w:val="24"/>
        </w:rPr>
        <w:t xml:space="preserve"> found:</w:t>
      </w:r>
    </w:p>
    <w:p w14:paraId="457462E5">
      <w:pPr>
        <w:spacing w:after="0" w:line="240" w:lineRule="auto"/>
        <w:ind w:firstLine="720" w:firstLineChars="0"/>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 xml:space="preserve">level of </w:t>
      </w:r>
      <w:r>
        <w:rPr>
          <w:rFonts w:hint="default" w:ascii="Times New Roman" w:hAnsi="Times New Roman" w:cs="Times New Roman"/>
          <w:sz w:val="24"/>
          <w:szCs w:val="24"/>
          <w:lang w:val="en-US"/>
        </w:rPr>
        <w:t xml:space="preserve">teachers </w:t>
      </w:r>
      <w:r>
        <w:rPr>
          <w:rFonts w:hint="default" w:ascii="Times New Roman" w:hAnsi="Times New Roman" w:cs="Times New Roman"/>
          <w:sz w:val="24"/>
          <w:szCs w:val="24"/>
        </w:rPr>
        <w:t xml:space="preserve">participants’ satisfaction </w:t>
      </w:r>
      <w:r>
        <w:rPr>
          <w:rFonts w:hint="default" w:ascii="Times New Roman" w:hAnsi="Times New Roman" w:cs="Times New Roman"/>
          <w:sz w:val="24"/>
          <w:szCs w:val="24"/>
          <w:lang w:val="en-US"/>
        </w:rPr>
        <w:t>in</w:t>
      </w:r>
      <w:r>
        <w:rPr>
          <w:rFonts w:hint="default" w:ascii="Times New Roman" w:hAnsi="Times New Roman" w:cs="Times New Roman"/>
          <w:sz w:val="24"/>
          <w:szCs w:val="24"/>
        </w:rPr>
        <w:t xml:space="preserve"> the </w:t>
      </w:r>
      <w:r>
        <w:rPr>
          <w:rFonts w:hint="default" w:ascii="Times New Roman" w:hAnsi="Times New Roman" w:cs="Times New Roman"/>
          <w:color w:val="000000"/>
          <w:sz w:val="24"/>
          <w:szCs w:val="24"/>
        </w:rPr>
        <w:t>School-Based Capacity Building</w:t>
      </w:r>
      <w:r>
        <w:rPr>
          <w:rFonts w:hint="default" w:ascii="Times New Roman" w:hAnsi="Times New Roman" w:cs="Times New Roman"/>
          <w:color w:val="000000"/>
          <w:sz w:val="24"/>
          <w:szCs w:val="24"/>
          <w:lang w:val="en-US"/>
        </w:rPr>
        <w:t xml:space="preserve"> was Very Satisfactory.</w:t>
      </w:r>
    </w:p>
    <w:p w14:paraId="59E6B859">
      <w:pPr>
        <w:spacing w:after="0" w:line="24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Pre assessment scores of </w:t>
      </w:r>
      <w:r>
        <w:rPr>
          <w:rFonts w:hint="default" w:ascii="Times New Roman" w:hAnsi="Times New Roman" w:cs="Times New Roman"/>
          <w:sz w:val="24"/>
          <w:szCs w:val="24"/>
          <w:lang w:val="en-US"/>
        </w:rPr>
        <w:t xml:space="preserve">the teachers in </w:t>
      </w:r>
      <w:r>
        <w:rPr>
          <w:rFonts w:hint="default" w:ascii="Times New Roman" w:hAnsi="Times New Roman" w:cs="Times New Roman"/>
          <w:sz w:val="24"/>
          <w:szCs w:val="24"/>
        </w:rPr>
        <w:t>their knowledge and skills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is</w:t>
      </w:r>
      <w:r>
        <w:rPr>
          <w:rFonts w:hint="default" w:ascii="Times New Roman" w:hAnsi="Times New Roman" w:cs="Times New Roman"/>
          <w:sz w:val="24"/>
          <w:szCs w:val="24"/>
        </w:rPr>
        <w:t xml:space="preserve"> needs improvement since the obtained mean score was less than 50%, after the </w:t>
      </w:r>
      <w:r>
        <w:rPr>
          <w:rFonts w:hint="default" w:ascii="Times New Roman" w:hAnsi="Times New Roman" w:cs="Times New Roman"/>
          <w:sz w:val="24"/>
          <w:szCs w:val="24"/>
          <w:lang w:val="en-US"/>
        </w:rPr>
        <w:t xml:space="preserve">implementation of </w:t>
      </w:r>
      <w:r>
        <w:rPr>
          <w:rFonts w:hint="default" w:ascii="Times New Roman" w:hAnsi="Times New Roman" w:cs="Times New Roman"/>
          <w:color w:val="000000"/>
          <w:sz w:val="24"/>
          <w:szCs w:val="24"/>
        </w:rPr>
        <w:t>School-Based Capacity Building</w:t>
      </w:r>
      <w:r>
        <w:rPr>
          <w:rFonts w:hint="default" w:ascii="Times New Roman" w:hAnsi="Times New Roman" w:cs="Times New Roman"/>
          <w:color w:val="000000"/>
          <w:sz w:val="24"/>
          <w:szCs w:val="24"/>
          <w:lang w:val="en-US"/>
        </w:rPr>
        <w:t>,</w:t>
      </w:r>
      <w:r>
        <w:rPr>
          <w:rFonts w:hint="default" w:ascii="Times New Roman" w:hAnsi="Times New Roman" w:cs="Times New Roman"/>
          <w:sz w:val="24"/>
          <w:szCs w:val="24"/>
        </w:rPr>
        <w:t xml:space="preserve"> the Post assessment scores was improved.</w:t>
      </w:r>
    </w:p>
    <w:p w14:paraId="59347EEB">
      <w:pPr>
        <w:spacing w:after="0" w:line="240" w:lineRule="auto"/>
        <w:ind w:firstLine="720"/>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 xml:space="preserve">Relative to mean pre- and post assessment </w:t>
      </w:r>
      <w:r>
        <w:rPr>
          <w:rFonts w:hint="default" w:ascii="Times New Roman" w:hAnsi="Times New Roman" w:cs="Times New Roman"/>
          <w:sz w:val="24"/>
          <w:szCs w:val="24"/>
        </w:rPr>
        <w:t xml:space="preserve">of </w:t>
      </w:r>
      <w:r>
        <w:rPr>
          <w:rFonts w:hint="default" w:ascii="Times New Roman" w:hAnsi="Times New Roman" w:cs="Times New Roman"/>
          <w:sz w:val="24"/>
          <w:szCs w:val="24"/>
          <w:lang w:val="en-US"/>
        </w:rPr>
        <w:t xml:space="preserve">the teachers in </w:t>
      </w:r>
      <w:r>
        <w:rPr>
          <w:rFonts w:hint="default" w:ascii="Times New Roman" w:hAnsi="Times New Roman" w:cs="Times New Roman"/>
          <w:sz w:val="24"/>
          <w:szCs w:val="24"/>
        </w:rPr>
        <w:t>their knowledge and skills</w:t>
      </w:r>
      <w:r>
        <w:rPr>
          <w:rFonts w:hint="default" w:ascii="Times New Roman" w:hAnsi="Times New Roman" w:cs="Times New Roman"/>
          <w:sz w:val="24"/>
          <w:szCs w:val="24"/>
          <w:lang w:val="en-PH"/>
        </w:rPr>
        <w:t>, there is significant difference as reflected to gathered data.</w:t>
      </w:r>
    </w:p>
    <w:p w14:paraId="2A9B37F8">
      <w:pPr>
        <w:spacing w:after="0" w:line="240" w:lineRule="auto"/>
        <w:ind w:firstLine="720"/>
        <w:jc w:val="both"/>
        <w:rPr>
          <w:rFonts w:hint="default" w:ascii="Times New Roman" w:hAnsi="Times New Roman" w:cs="Times New Roman"/>
          <w:sz w:val="24"/>
          <w:szCs w:val="24"/>
          <w:lang w:val="en-PH"/>
        </w:rPr>
      </w:pPr>
    </w:p>
    <w:p w14:paraId="6558B058">
      <w:pPr>
        <w:spacing w:after="0" w:line="240" w:lineRule="auto"/>
        <w:ind w:firstLine="720"/>
        <w:jc w:val="both"/>
        <w:rPr>
          <w:rFonts w:hint="default" w:ascii="Times New Roman" w:hAnsi="Times New Roman" w:cs="Times New Roman"/>
          <w:sz w:val="24"/>
          <w:szCs w:val="24"/>
          <w:lang w:val="en-PH"/>
        </w:rPr>
      </w:pPr>
    </w:p>
    <w:p w14:paraId="1334A574">
      <w:pPr>
        <w:spacing w:after="0" w:line="240" w:lineRule="auto"/>
        <w:contextualSpacing/>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PH"/>
        </w:rPr>
        <w:t>C</w:t>
      </w:r>
      <w:r>
        <w:rPr>
          <w:rFonts w:hint="default" w:ascii="Times New Roman" w:hAnsi="Times New Roman" w:cs="Times New Roman"/>
          <w:b/>
          <w:sz w:val="28"/>
          <w:szCs w:val="28"/>
          <w:lang w:val="en-US"/>
        </w:rPr>
        <w:t>ONCLUSION</w:t>
      </w:r>
    </w:p>
    <w:p w14:paraId="76460C7C">
      <w:pPr>
        <w:spacing w:after="0" w:line="240" w:lineRule="auto"/>
        <w:contextualSpacing/>
        <w:jc w:val="both"/>
        <w:rPr>
          <w:rFonts w:hint="default" w:ascii="Times New Roman" w:hAnsi="Times New Roman" w:cs="Times New Roman"/>
          <w:b/>
          <w:sz w:val="24"/>
          <w:szCs w:val="24"/>
          <w:lang w:val="en-US"/>
        </w:rPr>
      </w:pPr>
    </w:p>
    <w:p w14:paraId="2D10FE26">
      <w:pPr>
        <w:spacing w:after="160"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lang w:val="en-US"/>
        </w:rPr>
        <w:t>The findings revealed a significant improvement in teachers’ knowledge and skills after their participation in the School-Based Capacity Building program. The results indicate a meaningful difference between the pretest and posttest scores, demonstrating the positive impact of the intervention. Therefore, the implementation of the School-Based Capacity Building for Teachers titled “Navigating New Horizons in Revised K to 12 Curriculum Instruction” proved to be effective in enhancing teachers’ competencies at Dolores Macasaet National High School during School Year 2025–2026.</w:t>
      </w:r>
    </w:p>
    <w:p w14:paraId="09748AD9">
      <w:pPr>
        <w:spacing w:after="0" w:line="240" w:lineRule="auto"/>
        <w:jc w:val="both"/>
        <w:rPr>
          <w:rFonts w:hint="default" w:ascii="Times New Roman" w:hAnsi="Times New Roman" w:cs="Times New Roman"/>
          <w:b/>
          <w:bCs w:val="0"/>
          <w:sz w:val="24"/>
          <w:szCs w:val="24"/>
        </w:rPr>
      </w:pPr>
    </w:p>
    <w:p w14:paraId="1AF08792">
      <w:pPr>
        <w:spacing w:after="0" w:line="240" w:lineRule="auto"/>
        <w:jc w:val="both"/>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rPr>
        <w:t>R</w:t>
      </w:r>
      <w:r>
        <w:rPr>
          <w:rFonts w:hint="default" w:ascii="Times New Roman" w:hAnsi="Times New Roman" w:cs="Times New Roman"/>
          <w:b/>
          <w:bCs w:val="0"/>
          <w:sz w:val="28"/>
          <w:szCs w:val="28"/>
          <w:lang w:val="en-US"/>
        </w:rPr>
        <w:t>ECOMMENDATION</w:t>
      </w:r>
    </w:p>
    <w:p w14:paraId="0BE2E22C">
      <w:pPr>
        <w:spacing w:after="0" w:line="240" w:lineRule="auto"/>
        <w:jc w:val="both"/>
        <w:rPr>
          <w:rFonts w:hint="default" w:ascii="Times New Roman" w:hAnsi="Times New Roman" w:cs="Times New Roman"/>
          <w:b/>
          <w:bCs w:val="0"/>
          <w:sz w:val="24"/>
          <w:szCs w:val="24"/>
          <w:lang w:val="en-US"/>
        </w:rPr>
      </w:pPr>
    </w:p>
    <w:p w14:paraId="75953235">
      <w:pPr>
        <w:spacing w:after="0" w:line="240" w:lineRule="auto"/>
        <w:ind w:firstLine="720" w:firstLineChars="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Based on the findings and conclusions of the study, the following recommendations are proposed:</w:t>
      </w:r>
    </w:p>
    <w:p w14:paraId="1A3CEAC6">
      <w:pPr>
        <w:numPr>
          <w:ilvl w:val="0"/>
          <w:numId w:val="3"/>
        </w:numPr>
        <w:spacing w:after="0" w:line="24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Implement follow-up mentoring and coaching sessions to provide continuous support and guidance for teachers as they apply the knowledge and skills gained from the training.</w:t>
      </w:r>
    </w:p>
    <w:p w14:paraId="322C29B6">
      <w:pPr>
        <w:numPr>
          <w:ilvl w:val="0"/>
          <w:numId w:val="3"/>
        </w:numPr>
        <w:spacing w:after="0" w:line="24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Offer additional hands-on training on digital tools and educational technologies to further strengthen teachers’ ability to integrate technology effectively into classroom instruction.</w:t>
      </w:r>
    </w:p>
    <w:p w14:paraId="7A3290C5">
      <w:pPr>
        <w:numPr>
          <w:ilvl w:val="0"/>
          <w:numId w:val="3"/>
        </w:numPr>
        <w:spacing w:after="0" w:line="24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Provide more opportunities and dedicated time for collaborative lesson planning to encourage the sharing of best practices, ideas, and instructional strategies among teachers.</w:t>
      </w:r>
    </w:p>
    <w:p w14:paraId="76CB2D58">
      <w:pPr>
        <w:numPr>
          <w:ilvl w:val="0"/>
          <w:numId w:val="3"/>
        </w:numPr>
        <w:spacing w:after="0" w:line="24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Sustain and strengthen school-based professional development programs aligned with the Philippine Professional Standards for Teachers (PPST) to support continuous professional growth and improve instructional quality.</w:t>
      </w:r>
    </w:p>
    <w:p w14:paraId="3D210A0E">
      <w:pPr>
        <w:pStyle w:val="18"/>
        <w:spacing w:line="240" w:lineRule="auto"/>
        <w:ind w:left="502"/>
        <w:jc w:val="both"/>
        <w:rPr>
          <w:rFonts w:hint="default" w:ascii="Times New Roman" w:hAnsi="Times New Roman" w:cs="Times New Roman"/>
          <w:sz w:val="24"/>
          <w:szCs w:val="24"/>
        </w:rPr>
      </w:pPr>
    </w:p>
    <w:p w14:paraId="7DFD3AE0">
      <w:pPr>
        <w:pStyle w:val="18"/>
        <w:numPr>
          <w:numId w:val="0"/>
        </w:numPr>
        <w:spacing w:line="240" w:lineRule="auto"/>
        <w:ind w:leftChars="0"/>
        <w:jc w:val="both"/>
        <w:rPr>
          <w:rFonts w:hint="default" w:ascii="Times New Roman" w:hAnsi="Times New Roman" w:cs="Times New Roman"/>
          <w:i/>
          <w:sz w:val="24"/>
          <w:szCs w:val="24"/>
          <w:lang w:val="en-PH"/>
        </w:rPr>
      </w:pPr>
      <w:r>
        <w:rPr>
          <w:rFonts w:hint="default" w:ascii="Times New Roman" w:hAnsi="Times New Roman" w:cs="Times New Roman"/>
          <w:b/>
          <w:sz w:val="24"/>
          <w:szCs w:val="24"/>
          <w:lang w:val="en-PH"/>
        </w:rPr>
        <w:t>Plans for Dissemination and Utilization</w:t>
      </w:r>
    </w:p>
    <w:p w14:paraId="14B64853">
      <w:pPr>
        <w:pStyle w:val="18"/>
        <w:spacing w:line="240" w:lineRule="auto"/>
        <w:ind w:left="360"/>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drawing>
          <wp:inline distT="0" distB="0" distL="0" distR="0">
            <wp:extent cx="5829935" cy="2376805"/>
            <wp:effectExtent l="0" t="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29935" cy="2376805"/>
                    </a:xfrm>
                    <a:prstGeom prst="rect">
                      <a:avLst/>
                    </a:prstGeom>
                    <a:noFill/>
                    <a:ln>
                      <a:noFill/>
                    </a:ln>
                  </pic:spPr>
                </pic:pic>
              </a:graphicData>
            </a:graphic>
          </wp:inline>
        </w:drawing>
      </w:r>
    </w:p>
    <w:p w14:paraId="716ED7CC">
      <w:pPr>
        <w:pStyle w:val="18"/>
        <w:spacing w:line="240" w:lineRule="auto"/>
        <w:ind w:left="360" w:firstLine="716" w:firstLineChars="0"/>
        <w:jc w:val="both"/>
        <w:rPr>
          <w:rFonts w:hint="default" w:ascii="Times New Roman" w:hAnsi="Times New Roman" w:cs="Times New Roman"/>
          <w:sz w:val="24"/>
          <w:szCs w:val="24"/>
        </w:rPr>
      </w:pPr>
    </w:p>
    <w:p w14:paraId="69E1E5F3">
      <w:pPr>
        <w:pStyle w:val="18"/>
        <w:spacing w:line="240" w:lineRule="auto"/>
        <w:ind w:left="360" w:firstLine="716"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The researchers planned to present the research findings to co-teachers in a school level presentation for the purpose of improvement of teaching-learning practice. Also at District level, during Candelaria East District Research and Innovation for Viable Education – CEDRIVE, and at Division, other school, CBER presentatio</w:t>
      </w:r>
      <w:r>
        <w:rPr>
          <w:rFonts w:hint="default" w:ascii="Times New Roman" w:hAnsi="Times New Roman" w:cs="Times New Roman"/>
          <w:sz w:val="24"/>
          <w:szCs w:val="24"/>
          <w:lang w:val="en-US"/>
        </w:rPr>
        <w:t>n.</w:t>
      </w:r>
    </w:p>
    <w:p w14:paraId="4396BB9D">
      <w:pPr>
        <w:pStyle w:val="18"/>
        <w:numPr>
          <w:numId w:val="0"/>
        </w:numPr>
        <w:spacing w:line="240" w:lineRule="auto"/>
        <w:ind w:left="90" w:leftChars="0"/>
        <w:jc w:val="both"/>
        <w:rPr>
          <w:rFonts w:hint="default" w:ascii="Times New Roman" w:hAnsi="Times New Roman" w:cs="Times New Roman"/>
          <w:b/>
          <w:sz w:val="24"/>
          <w:szCs w:val="24"/>
          <w:lang w:val="en-PH"/>
        </w:rPr>
      </w:pPr>
    </w:p>
    <w:p w14:paraId="435C8EBC">
      <w:pPr>
        <w:pStyle w:val="18"/>
        <w:numPr>
          <w:numId w:val="0"/>
        </w:numPr>
        <w:spacing w:line="240" w:lineRule="auto"/>
        <w:jc w:val="both"/>
        <w:rPr>
          <w:rFonts w:hint="default" w:ascii="Times New Roman" w:hAnsi="Times New Roman" w:cs="Times New Roman"/>
          <w:b/>
          <w:sz w:val="28"/>
          <w:szCs w:val="28"/>
          <w:lang w:val="en-US"/>
        </w:rPr>
      </w:pPr>
    </w:p>
    <w:p w14:paraId="0DBA24B6">
      <w:pPr>
        <w:pStyle w:val="18"/>
        <w:numPr>
          <w:numId w:val="0"/>
        </w:numPr>
        <w:spacing w:line="240" w:lineRule="auto"/>
        <w:jc w:val="both"/>
        <w:rPr>
          <w:rFonts w:hint="default" w:ascii="Times New Roman" w:hAnsi="Times New Roman" w:cs="Times New Roman"/>
          <w:b/>
          <w:sz w:val="28"/>
          <w:szCs w:val="28"/>
          <w:lang w:val="en-US"/>
        </w:rPr>
      </w:pPr>
    </w:p>
    <w:p w14:paraId="2014D230">
      <w:pPr>
        <w:pStyle w:val="18"/>
        <w:numPr>
          <w:numId w:val="0"/>
        </w:numPr>
        <w:spacing w:line="240" w:lineRule="auto"/>
        <w:jc w:val="both"/>
        <w:rPr>
          <w:rFonts w:hint="default" w:ascii="Times New Roman" w:hAnsi="Times New Roman" w:cs="Times New Roman"/>
          <w:b/>
          <w:sz w:val="28"/>
          <w:szCs w:val="28"/>
          <w:lang w:val="en-US"/>
        </w:rPr>
      </w:pPr>
    </w:p>
    <w:p w14:paraId="112624C7">
      <w:pPr>
        <w:pStyle w:val="18"/>
        <w:numPr>
          <w:numId w:val="0"/>
        </w:numPr>
        <w:spacing w:line="240" w:lineRule="auto"/>
        <w:jc w:val="both"/>
        <w:rPr>
          <w:rFonts w:hint="default" w:ascii="Times New Roman" w:hAnsi="Times New Roman" w:cs="Times New Roman"/>
          <w:b/>
          <w:sz w:val="28"/>
          <w:szCs w:val="28"/>
          <w:lang w:val="en-US"/>
        </w:rPr>
      </w:pPr>
    </w:p>
    <w:p w14:paraId="303FE554">
      <w:pPr>
        <w:pStyle w:val="18"/>
        <w:numPr>
          <w:numId w:val="0"/>
        </w:numPr>
        <w:spacing w:line="240" w:lineRule="auto"/>
        <w:jc w:val="both"/>
        <w:rPr>
          <w:rFonts w:hint="default" w:ascii="Times New Roman" w:hAnsi="Times New Roman" w:cs="Times New Roman"/>
          <w:b/>
          <w:sz w:val="28"/>
          <w:szCs w:val="28"/>
          <w:lang w:val="en-US"/>
        </w:rPr>
      </w:pPr>
    </w:p>
    <w:p w14:paraId="49F5B939">
      <w:pPr>
        <w:pStyle w:val="18"/>
        <w:numPr>
          <w:numId w:val="0"/>
        </w:numPr>
        <w:spacing w:line="240" w:lineRule="auto"/>
        <w:jc w:val="both"/>
        <w:rPr>
          <w:rFonts w:hint="default" w:ascii="Times New Roman" w:hAnsi="Times New Roman" w:cs="Times New Roman"/>
          <w:b/>
          <w:sz w:val="28"/>
          <w:szCs w:val="28"/>
          <w:lang w:val="en-US"/>
        </w:rPr>
      </w:pPr>
    </w:p>
    <w:p w14:paraId="1BB37C02">
      <w:pPr>
        <w:pStyle w:val="18"/>
        <w:numPr>
          <w:numId w:val="0"/>
        </w:numPr>
        <w:spacing w:line="240" w:lineRule="auto"/>
        <w:jc w:val="both"/>
        <w:rPr>
          <w:rFonts w:hint="default" w:ascii="Times New Roman" w:hAnsi="Times New Roman" w:cs="Times New Roman"/>
          <w:b/>
          <w:sz w:val="28"/>
          <w:szCs w:val="28"/>
          <w:lang w:val="en-US"/>
        </w:rPr>
      </w:pPr>
    </w:p>
    <w:p w14:paraId="108937D0">
      <w:pPr>
        <w:pStyle w:val="18"/>
        <w:numPr>
          <w:numId w:val="0"/>
        </w:numPr>
        <w:spacing w:line="240" w:lineRule="auto"/>
        <w:jc w:val="both"/>
        <w:rPr>
          <w:rFonts w:hint="default" w:ascii="Times New Roman" w:hAnsi="Times New Roman" w:cs="Times New Roman"/>
          <w:b/>
          <w:sz w:val="28"/>
          <w:szCs w:val="28"/>
          <w:lang w:val="en-US"/>
        </w:rPr>
      </w:pPr>
    </w:p>
    <w:p w14:paraId="67BC1ADD">
      <w:pPr>
        <w:pStyle w:val="18"/>
        <w:numPr>
          <w:numId w:val="0"/>
        </w:numPr>
        <w:spacing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REFERENCES</w:t>
      </w:r>
    </w:p>
    <w:p w14:paraId="55B2A21A">
      <w:pPr>
        <w:pStyle w:val="18"/>
        <w:numPr>
          <w:numId w:val="0"/>
        </w:numPr>
        <w:spacing w:line="240" w:lineRule="auto"/>
        <w:jc w:val="both"/>
        <w:rPr>
          <w:rFonts w:hint="default" w:ascii="Times New Roman" w:hAnsi="Times New Roman" w:cs="Times New Roman"/>
          <w:b/>
          <w:sz w:val="28"/>
          <w:szCs w:val="28"/>
          <w:lang w:val="en-US"/>
        </w:rPr>
      </w:pPr>
    </w:p>
    <w:p w14:paraId="7F06F7F4">
      <w:pPr>
        <w:pStyle w:val="18"/>
        <w:numPr>
          <w:ilvl w:val="0"/>
          <w:numId w:val="0"/>
        </w:numPr>
        <w:spacing w:line="240" w:lineRule="auto"/>
        <w:ind w:left="90" w:leftChars="0"/>
        <w:jc w:val="both"/>
        <w:rPr>
          <w:rFonts w:hint="default" w:ascii="Times New Roman" w:hAnsi="Times New Roman" w:cs="Times New Roman"/>
          <w:b/>
          <w:sz w:val="24"/>
          <w:szCs w:val="24"/>
          <w:lang w:val="en-PH"/>
        </w:rPr>
      </w:pPr>
    </w:p>
    <w:p w14:paraId="3AD8DA99">
      <w:pPr>
        <w:pStyle w:val="18"/>
        <w:spacing w:line="240" w:lineRule="auto"/>
        <w:ind w:left="0" w:leftChars="0" w:firstLine="0" w:firstLineChars="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 xml:space="preserve">Abrio, R. E., &amp; Labay, L. R. (2025). Professional development and level of satisfaction as perceived by teachers.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PH"/>
        </w:rPr>
        <w:t xml:space="preserve">Psychology and Education: A Multidisciplinary Journal, 40(10),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PH"/>
        </w:rPr>
        <w:t xml:space="preserve">1332–1340.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tab/>
        <w:t xml:space="preserve">   </w:t>
      </w:r>
      <w:r>
        <w:rPr>
          <w:rFonts w:hint="default" w:ascii="Times New Roman" w:hAnsi="Times New Roman" w:cs="Times New Roman"/>
          <w:color w:val="auto"/>
          <w:sz w:val="24"/>
          <w:szCs w:val="24"/>
          <w:lang w:val="en-US"/>
        </w:rPr>
        <w:tab/>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PH"/>
        </w:rPr>
        <w:fldChar w:fldCharType="begin"/>
      </w:r>
      <w:r>
        <w:rPr>
          <w:rFonts w:hint="default" w:ascii="Times New Roman" w:hAnsi="Times New Roman" w:cs="Times New Roman"/>
          <w:color w:val="auto"/>
          <w:sz w:val="24"/>
          <w:szCs w:val="24"/>
          <w:lang w:val="en-PH"/>
        </w:rPr>
        <w:instrText xml:space="preserve"> HYPERLINK "https://doi.org/10.70838/PEMJ.401008" </w:instrText>
      </w:r>
      <w:r>
        <w:rPr>
          <w:rFonts w:hint="default" w:ascii="Times New Roman" w:hAnsi="Times New Roman" w:cs="Times New Roman"/>
          <w:color w:val="auto"/>
          <w:sz w:val="24"/>
          <w:szCs w:val="24"/>
          <w:lang w:val="en-PH"/>
        </w:rPr>
        <w:fldChar w:fldCharType="separate"/>
      </w:r>
      <w:r>
        <w:rPr>
          <w:rStyle w:val="10"/>
          <w:rFonts w:hint="default" w:ascii="Times New Roman" w:hAnsi="Times New Roman" w:cs="Times New Roman"/>
          <w:color w:val="auto"/>
          <w:sz w:val="24"/>
          <w:szCs w:val="24"/>
          <w:lang w:val="en-PH"/>
        </w:rPr>
        <w:t>https://doi.org/10.70838/PEMJ.401008</w:t>
      </w:r>
      <w:r>
        <w:rPr>
          <w:rFonts w:hint="default" w:ascii="Times New Roman" w:hAnsi="Times New Roman" w:cs="Times New Roman"/>
          <w:color w:val="auto"/>
          <w:sz w:val="24"/>
          <w:szCs w:val="24"/>
          <w:lang w:val="en-PH"/>
        </w:rPr>
        <w:fldChar w:fldCharType="end"/>
      </w:r>
    </w:p>
    <w:p w14:paraId="45C85F61">
      <w:pPr>
        <w:pStyle w:val="18"/>
        <w:spacing w:line="240" w:lineRule="auto"/>
        <w:ind w:left="0" w:leftChars="0" w:firstLine="0" w:firstLineChars="0"/>
        <w:rPr>
          <w:rFonts w:hint="default" w:ascii="Times New Roman" w:hAnsi="Times New Roman" w:cs="Times New Roman"/>
          <w:color w:val="auto"/>
          <w:sz w:val="24"/>
          <w:szCs w:val="24"/>
          <w:lang w:val="en-PH"/>
        </w:rPr>
      </w:pPr>
    </w:p>
    <w:p w14:paraId="1FCDFA70">
      <w:pPr>
        <w:spacing w:after="0" w:line="240" w:lineRule="auto"/>
        <w:ind w:left="990" w:hanging="99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Almajnuni, K. M., &amp; Alwerthan, T. A. (2024). Enhancing teacher self-efficacy: The power of effective training</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programs. Journal of Pedagogical Research, 8(3).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"https://doi.org/10.33902/JPR.202427265"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color w:val="auto"/>
          <w:sz w:val="24"/>
          <w:szCs w:val="24"/>
        </w:rPr>
        <w:t>https://doi.org/10.33902/JPR.202427265</w:t>
      </w:r>
      <w:r>
        <w:rPr>
          <w:rFonts w:hint="default" w:ascii="Times New Roman" w:hAnsi="Times New Roman" w:cs="Times New Roman"/>
          <w:color w:val="auto"/>
          <w:sz w:val="24"/>
          <w:szCs w:val="24"/>
        </w:rPr>
        <w:fldChar w:fldCharType="end"/>
      </w:r>
    </w:p>
    <w:p w14:paraId="6030EE15">
      <w:pPr>
        <w:spacing w:after="0" w:line="240" w:lineRule="auto"/>
        <w:ind w:left="990" w:hanging="990"/>
        <w:rPr>
          <w:rFonts w:hint="default" w:ascii="Times New Roman" w:hAnsi="Times New Roman" w:cs="Times New Roman"/>
          <w:color w:val="auto"/>
          <w:sz w:val="24"/>
          <w:szCs w:val="24"/>
        </w:rPr>
      </w:pPr>
    </w:p>
    <w:p w14:paraId="02A52414">
      <w:pPr>
        <w:spacing w:after="0" w:line="240" w:lineRule="auto"/>
        <w:ind w:left="990" w:hanging="99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Asim, F. (2024). Examining the impact of teachers' training programs on the role of teachers in the implementation and development of curriculum. Journal of Education and Educational Development, 11(2), 287–309. http://dx.doi.org/10.22555/joeed.v11i2.1093</w:t>
      </w:r>
    </w:p>
    <w:p w14:paraId="77D4D917">
      <w:pPr>
        <w:pStyle w:val="18"/>
        <w:numPr>
          <w:ilvl w:val="0"/>
          <w:numId w:val="0"/>
        </w:numPr>
        <w:spacing w:line="240" w:lineRule="auto"/>
        <w:ind w:left="90" w:leftChars="0"/>
        <w:jc w:val="both"/>
        <w:rPr>
          <w:rFonts w:hint="default" w:ascii="Times New Roman" w:hAnsi="Times New Roman" w:eastAsia="SimSun" w:cs="Times New Roman"/>
          <w:i/>
          <w:iCs/>
          <w:sz w:val="24"/>
          <w:szCs w:val="24"/>
        </w:rPr>
      </w:pPr>
    </w:p>
    <w:p w14:paraId="7C259FD7">
      <w:pPr>
        <w:pStyle w:val="18"/>
        <w:spacing w:line="240" w:lineRule="auto"/>
        <w:ind w:left="0" w:leftChars="0" w:firstLine="0" w:firstLineChars="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Conca *, L. M., Schechter, C. P., &amp; Castle, S. (2004). Challenges teachers face as they work to connect assessment </w:t>
      </w:r>
      <w:r>
        <w:rPr>
          <w:rFonts w:hint="default" w:ascii="Times New Roman" w:hAnsi="Times New Roman" w:cs="Times New Roman"/>
          <w:bCs/>
          <w:color w:val="auto"/>
          <w:sz w:val="24"/>
          <w:szCs w:val="24"/>
          <w:lang w:val="en-US"/>
        </w:rPr>
        <w:tab/>
        <w:t xml:space="preserve">     </w:t>
      </w:r>
      <w:r>
        <w:rPr>
          <w:rFonts w:hint="default" w:ascii="Times New Roman" w:hAnsi="Times New Roman" w:cs="Times New Roman"/>
          <w:bCs/>
          <w:color w:val="auto"/>
          <w:sz w:val="24"/>
          <w:szCs w:val="24"/>
        </w:rPr>
        <w:t xml:space="preserve">and instruction. Teachers and Teaching, 10(1), 59–75. </w:t>
      </w: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"https://doi.org/10.1080/13540600320000170927" </w:instrText>
      </w:r>
      <w:r>
        <w:rPr>
          <w:rFonts w:hint="default" w:ascii="Times New Roman" w:hAnsi="Times New Roman" w:cs="Times New Roman"/>
          <w:bCs/>
          <w:color w:val="auto"/>
          <w:sz w:val="24"/>
          <w:szCs w:val="24"/>
        </w:rPr>
        <w:fldChar w:fldCharType="separate"/>
      </w:r>
      <w:r>
        <w:rPr>
          <w:rStyle w:val="10"/>
          <w:rFonts w:hint="default" w:ascii="Times New Roman" w:hAnsi="Times New Roman" w:cs="Times New Roman"/>
          <w:bCs/>
          <w:color w:val="auto"/>
          <w:sz w:val="24"/>
          <w:szCs w:val="24"/>
        </w:rPr>
        <w:t>https://doi.org/10.1080/13540600320000170927</w:t>
      </w:r>
      <w:r>
        <w:rPr>
          <w:rFonts w:hint="default" w:ascii="Times New Roman" w:hAnsi="Times New Roman" w:cs="Times New Roman"/>
          <w:bCs/>
          <w:color w:val="auto"/>
          <w:sz w:val="24"/>
          <w:szCs w:val="24"/>
        </w:rPr>
        <w:fldChar w:fldCharType="end"/>
      </w:r>
    </w:p>
    <w:p w14:paraId="085A938E">
      <w:pPr>
        <w:spacing w:after="0" w:line="240" w:lineRule="auto"/>
        <w:ind w:left="990" w:hanging="990"/>
        <w:rPr>
          <w:rFonts w:hint="default" w:ascii="Times New Roman" w:hAnsi="Times New Roman" w:cs="Times New Roman"/>
          <w:sz w:val="24"/>
          <w:szCs w:val="24"/>
        </w:rPr>
      </w:pPr>
    </w:p>
    <w:p w14:paraId="2D6FC4FB">
      <w:pPr>
        <w:spacing w:after="0" w:line="240" w:lineRule="auto"/>
        <w:ind w:left="990" w:hanging="990"/>
        <w:rPr>
          <w:rFonts w:hint="default" w:ascii="Times New Roman" w:hAnsi="Times New Roman" w:cs="Times New Roman"/>
          <w:sz w:val="24"/>
          <w:szCs w:val="24"/>
        </w:rPr>
      </w:pPr>
      <w:r>
        <w:rPr>
          <w:rFonts w:hint="default" w:ascii="Times New Roman" w:hAnsi="Times New Roman" w:cs="Times New Roman"/>
          <w:sz w:val="24"/>
          <w:szCs w:val="24"/>
        </w:rPr>
        <w:t>Darling-Hammond, L., Hyler, M. E., &amp; Gardner, M. (2017). Effective teacher professional development. Learning Policy Institute. https://learningpolicyinstitute.org/product/teacher-prof-dev</w:t>
      </w:r>
    </w:p>
    <w:p w14:paraId="25CD7567">
      <w:pPr>
        <w:pStyle w:val="18"/>
        <w:numPr>
          <w:ilvl w:val="0"/>
          <w:numId w:val="0"/>
        </w:numPr>
        <w:spacing w:line="240" w:lineRule="auto"/>
        <w:jc w:val="both"/>
        <w:rPr>
          <w:rFonts w:hint="default" w:ascii="Times New Roman" w:hAnsi="Times New Roman" w:eastAsia="SimSun" w:cs="Times New Roman"/>
          <w:i/>
          <w:iCs/>
          <w:sz w:val="24"/>
          <w:szCs w:val="24"/>
        </w:rPr>
      </w:pPr>
    </w:p>
    <w:p w14:paraId="7FB693D5">
      <w:pPr>
        <w:spacing w:after="0" w:line="240" w:lineRule="auto"/>
        <w:rPr>
          <w:rFonts w:hint="default" w:ascii="Times New Roman" w:hAnsi="Times New Roman" w:eastAsia="SimSun" w:cs="Times New Roman"/>
          <w:i w:val="0"/>
          <w:iCs w:val="0"/>
          <w:sz w:val="24"/>
          <w:szCs w:val="24"/>
        </w:rPr>
      </w:pPr>
      <w:r>
        <w:rPr>
          <w:rFonts w:hint="default" w:ascii="Times New Roman" w:hAnsi="Times New Roman" w:eastAsia="SimSun" w:cs="Times New Roman"/>
          <w:i w:val="0"/>
          <w:iCs w:val="0"/>
          <w:sz w:val="24"/>
          <w:szCs w:val="24"/>
        </w:rPr>
        <w:t xml:space="preserve">Department of Education. (2017). DepEd Order No. 42, s. 2017: National adoption and </w:t>
      </w:r>
      <w:r>
        <w:rPr>
          <w:rFonts w:hint="default" w:ascii="Times New Roman" w:hAnsi="Times New Roman" w:eastAsia="SimSun" w:cs="Times New Roman"/>
          <w:i w:val="0"/>
          <w:iCs w:val="0"/>
          <w:sz w:val="24"/>
          <w:szCs w:val="24"/>
          <w:lang w:val="en-US"/>
        </w:rPr>
        <w:tab/>
      </w:r>
      <w:r>
        <w:rPr>
          <w:rFonts w:hint="default" w:ascii="Times New Roman" w:hAnsi="Times New Roman" w:eastAsia="SimSun" w:cs="Times New Roman"/>
          <w:i w:val="0"/>
          <w:iCs w:val="0"/>
          <w:sz w:val="24"/>
          <w:szCs w:val="24"/>
        </w:rPr>
        <w:t xml:space="preserve">implementation of the </w:t>
      </w:r>
      <w:r>
        <w:rPr>
          <w:rFonts w:hint="default" w:ascii="Times New Roman" w:hAnsi="Times New Roman" w:eastAsia="SimSun" w:cs="Times New Roman"/>
          <w:i w:val="0"/>
          <w:iCs w:val="0"/>
          <w:sz w:val="24"/>
          <w:szCs w:val="24"/>
          <w:lang w:val="en-US"/>
        </w:rPr>
        <w:tab/>
        <w:t xml:space="preserve">    </w:t>
      </w:r>
      <w:r>
        <w:rPr>
          <w:rFonts w:hint="default" w:ascii="Times New Roman" w:hAnsi="Times New Roman" w:eastAsia="SimSun" w:cs="Times New Roman"/>
          <w:i w:val="0"/>
          <w:iCs w:val="0"/>
          <w:sz w:val="24"/>
          <w:szCs w:val="24"/>
        </w:rPr>
        <w:t xml:space="preserve">Philippine Professional Standards for Teachers (PPST). </w:t>
      </w:r>
    </w:p>
    <w:p w14:paraId="5A8A2B26">
      <w:pPr>
        <w:pStyle w:val="18"/>
        <w:numPr>
          <w:ilvl w:val="0"/>
          <w:numId w:val="0"/>
        </w:numPr>
        <w:spacing w:line="240" w:lineRule="auto"/>
        <w:jc w:val="both"/>
        <w:rPr>
          <w:rFonts w:hint="default" w:ascii="Times New Roman" w:hAnsi="Times New Roman" w:eastAsia="SimSun" w:cs="Times New Roman"/>
          <w:i/>
          <w:iCs/>
          <w:sz w:val="24"/>
          <w:szCs w:val="24"/>
        </w:rPr>
      </w:pPr>
    </w:p>
    <w:p w14:paraId="5C654046">
      <w:pPr>
        <w:spacing w:line="240" w:lineRule="auto"/>
        <w:ind w:left="1134" w:hanging="1134"/>
        <w:jc w:val="both"/>
        <w:rPr>
          <w:rFonts w:hint="default" w:ascii="Times New Roman" w:hAnsi="Times New Roman" w:eastAsia="Calibri" w:cs="Times New Roman"/>
          <w:i/>
          <w:sz w:val="24"/>
          <w:szCs w:val="24"/>
        </w:rPr>
      </w:pPr>
      <w:r>
        <w:rPr>
          <w:rFonts w:hint="default" w:ascii="Times New Roman" w:hAnsi="Times New Roman" w:eastAsia="Calibri" w:cs="Times New Roman"/>
          <w:sz w:val="24"/>
          <w:szCs w:val="24"/>
        </w:rPr>
        <w:t xml:space="preserve">DepEd Order No. 8, s, 2015. </w:t>
      </w:r>
      <w:r>
        <w:rPr>
          <w:rFonts w:hint="default" w:ascii="Times New Roman" w:hAnsi="Times New Roman" w:eastAsia="Calibri" w:cs="Times New Roman"/>
          <w:i/>
          <w:sz w:val="24"/>
          <w:szCs w:val="24"/>
        </w:rPr>
        <w:t>Policy guidelines on classroom assessment for the K to12 Basic Education Program</w:t>
      </w:r>
    </w:p>
    <w:p w14:paraId="79687736">
      <w:pPr>
        <w:pStyle w:val="18"/>
        <w:spacing w:line="240" w:lineRule="auto"/>
        <w:ind w:left="0" w:leftChars="0" w:firstLine="0" w:firstLineChars="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DepEd Order No. 012, s. 2025, entitled Multi-Year Implementing Guidelines on the School Calendar and Activities</w:t>
      </w:r>
    </w:p>
    <w:p w14:paraId="5F7B5F47">
      <w:pPr>
        <w:pStyle w:val="18"/>
        <w:spacing w:line="240" w:lineRule="auto"/>
        <w:ind w:left="0" w:leftChars="0" w:firstLine="0" w:firstLineChars="0"/>
        <w:rPr>
          <w:rFonts w:hint="default" w:ascii="Times New Roman" w:hAnsi="Times New Roman" w:cs="Times New Roman"/>
          <w:color w:val="auto"/>
          <w:sz w:val="24"/>
          <w:szCs w:val="24"/>
          <w:lang w:val="en-PH"/>
        </w:rPr>
      </w:pPr>
    </w:p>
    <w:p w14:paraId="78C3D7C3">
      <w:pPr>
        <w:pStyle w:val="18"/>
        <w:spacing w:line="240" w:lineRule="auto"/>
        <w:ind w:left="960" w:leftChars="0" w:hanging="960" w:hangingChars="40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 xml:space="preserve">Fan, Y., Wang, T., Tian, S., &amp; Ma, X. (2024). The impact of teacher professional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PH"/>
        </w:rPr>
        <w:t xml:space="preserve">development activities on </w:t>
      </w:r>
      <w:r>
        <w:rPr>
          <w:rFonts w:hint="default" w:ascii="Times New Roman" w:hAnsi="Times New Roman" w:cs="Times New Roman"/>
          <w:color w:val="auto"/>
          <w:sz w:val="24"/>
          <w:szCs w:val="24"/>
          <w:lang w:val="en-US"/>
        </w:rPr>
        <w:tab/>
        <w:t xml:space="preserve"> </w:t>
      </w:r>
      <w:r>
        <w:rPr>
          <w:rFonts w:hint="default" w:ascii="Times New Roman" w:hAnsi="Times New Roman" w:cs="Times New Roman"/>
          <w:color w:val="auto"/>
          <w:sz w:val="24"/>
          <w:szCs w:val="24"/>
          <w:lang w:val="en-PH"/>
        </w:rPr>
        <w:t xml:space="preserve">teacher job satisfaction: An empirical analysis based on TALIS 2018 Shanghai teacher data. Open Journal of Social Sciences, 12, 191–205. </w:t>
      </w:r>
      <w:r>
        <w:rPr>
          <w:rFonts w:hint="default" w:ascii="Times New Roman" w:hAnsi="Times New Roman" w:cs="Times New Roman"/>
          <w:color w:val="auto"/>
          <w:sz w:val="24"/>
          <w:szCs w:val="24"/>
          <w:lang w:val="en-PH"/>
        </w:rPr>
        <w:fldChar w:fldCharType="begin"/>
      </w:r>
      <w:r>
        <w:rPr>
          <w:rFonts w:hint="default" w:ascii="Times New Roman" w:hAnsi="Times New Roman" w:cs="Times New Roman"/>
          <w:color w:val="auto"/>
          <w:sz w:val="24"/>
          <w:szCs w:val="24"/>
          <w:lang w:val="en-PH"/>
        </w:rPr>
        <w:instrText xml:space="preserve"> HYPERLINK "https://doi.org/10.4236/jss.2024.127014" </w:instrText>
      </w:r>
      <w:r>
        <w:rPr>
          <w:rFonts w:hint="default" w:ascii="Times New Roman" w:hAnsi="Times New Roman" w:cs="Times New Roman"/>
          <w:color w:val="auto"/>
          <w:sz w:val="24"/>
          <w:szCs w:val="24"/>
          <w:lang w:val="en-PH"/>
        </w:rPr>
        <w:fldChar w:fldCharType="separate"/>
      </w:r>
      <w:r>
        <w:rPr>
          <w:rStyle w:val="10"/>
          <w:rFonts w:hint="default" w:ascii="Times New Roman" w:hAnsi="Times New Roman" w:cs="Times New Roman"/>
          <w:color w:val="auto"/>
          <w:sz w:val="24"/>
          <w:szCs w:val="24"/>
          <w:lang w:val="en-PH"/>
        </w:rPr>
        <w:t>https://doi.org/10.4236/jss.2024.127014</w:t>
      </w:r>
      <w:r>
        <w:rPr>
          <w:rFonts w:hint="default" w:ascii="Times New Roman" w:hAnsi="Times New Roman" w:cs="Times New Roman"/>
          <w:color w:val="auto"/>
          <w:sz w:val="24"/>
          <w:szCs w:val="24"/>
          <w:lang w:val="en-PH"/>
        </w:rPr>
        <w:fldChar w:fldCharType="end"/>
      </w:r>
    </w:p>
    <w:p w14:paraId="2FF1D432">
      <w:pPr>
        <w:pStyle w:val="18"/>
        <w:spacing w:line="240" w:lineRule="auto"/>
        <w:ind w:left="0" w:leftChars="0" w:firstLine="0" w:firstLineChars="0"/>
        <w:rPr>
          <w:rFonts w:hint="default" w:ascii="Times New Roman" w:hAnsi="Times New Roman" w:cs="Times New Roman"/>
          <w:color w:val="auto"/>
          <w:sz w:val="24"/>
          <w:szCs w:val="24"/>
          <w:lang w:val="en-PH"/>
        </w:rPr>
      </w:pPr>
    </w:p>
    <w:p w14:paraId="64E0D2B2">
      <w:pPr>
        <w:spacing w:after="0" w:line="240" w:lineRule="auto"/>
        <w:ind w:left="990" w:hanging="99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rPr>
        <w:t>Meroño, L., Calderón, A., &amp; Arias-Estero, J. L. (2023). Teachers' professional development needs: A critical analysis of TALIS through structural</w:t>
      </w:r>
      <w:r>
        <w:rPr>
          <w:rFonts w:hint="default" w:ascii="Times New Roman" w:hAnsi="Times New Roman" w:cs="Times New Roman"/>
          <w:sz w:val="24"/>
          <w:szCs w:val="24"/>
        </w:rPr>
        <w:t xml:space="preserve"> equation modelling. European Journal of Teacher Education. https://doi.org/10.1080/02619768.2023.2296354</w:t>
      </w:r>
    </w:p>
    <w:p w14:paraId="5D66C6A3">
      <w:pPr>
        <w:pStyle w:val="18"/>
        <w:spacing w:line="240" w:lineRule="auto"/>
        <w:ind w:left="0" w:leftChars="0" w:firstLine="0" w:firstLineChars="0"/>
        <w:rPr>
          <w:rFonts w:hint="default" w:ascii="Times New Roman" w:hAnsi="Times New Roman" w:cs="Times New Roman"/>
          <w:color w:val="auto"/>
          <w:sz w:val="24"/>
          <w:szCs w:val="24"/>
          <w:lang w:val="en-PH"/>
        </w:rPr>
      </w:pPr>
    </w:p>
    <w:p w14:paraId="26614CA0">
      <w:pPr>
        <w:pStyle w:val="18"/>
        <w:spacing w:line="240" w:lineRule="auto"/>
        <w:ind w:left="0" w:leftChars="0" w:firstLine="0" w:firstLineChars="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 xml:space="preserve">Smet, M. (2022). Professional development and teacher job satisfaction: Evidence from a multilevel model.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PH"/>
        </w:rPr>
        <w:t>Mathematics, 10(1), Article 51.</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PH"/>
        </w:rPr>
        <w:t>https://doi.org/10.3390/math10010051</w:t>
      </w:r>
    </w:p>
    <w:p w14:paraId="34EB3C49">
      <w:pPr>
        <w:spacing w:after="0" w:line="240" w:lineRule="auto"/>
        <w:ind w:left="990" w:hanging="990"/>
        <w:rPr>
          <w:rFonts w:hint="default" w:ascii="Times New Roman" w:hAnsi="Times New Roman" w:cs="Times New Roman"/>
          <w:color w:val="auto"/>
          <w:sz w:val="24"/>
          <w:szCs w:val="24"/>
        </w:rPr>
      </w:pPr>
    </w:p>
    <w:p w14:paraId="41B077A3">
      <w:pPr>
        <w:spacing w:after="0" w:line="240" w:lineRule="auto"/>
        <w:ind w:left="990" w:hanging="990"/>
        <w:rPr>
          <w:rFonts w:hint="default" w:ascii="Times New Roman" w:hAnsi="Times New Roman" w:cs="Times New Roman"/>
          <w:sz w:val="24"/>
          <w:szCs w:val="24"/>
        </w:rPr>
      </w:pPr>
      <w:r>
        <w:rPr>
          <w:rFonts w:hint="default" w:ascii="Times New Roman" w:hAnsi="Times New Roman" w:cs="Times New Roman"/>
          <w:sz w:val="24"/>
          <w:szCs w:val="24"/>
        </w:rPr>
        <w:t>Villareal, E. P. (2025). Enhancing instructional competence through teacher training programs. JETIR Research Journal.</w:t>
      </w:r>
    </w:p>
    <w:p w14:paraId="16931983">
      <w:pPr>
        <w:spacing w:after="0" w:line="240" w:lineRule="auto"/>
        <w:jc w:val="both"/>
        <w:rPr>
          <w:rFonts w:hint="default" w:ascii="Times New Roman" w:hAnsi="Times New Roman" w:cs="Times New Roman"/>
          <w:bCs/>
          <w:sz w:val="24"/>
          <w:szCs w:val="24"/>
          <w:lang w:val="en-PH"/>
        </w:rPr>
      </w:pPr>
    </w:p>
    <w:p w14:paraId="7328509F">
      <w:pPr>
        <w:spacing w:line="240" w:lineRule="auto"/>
        <w:jc w:val="both"/>
        <w:rPr>
          <w:rFonts w:hint="default" w:ascii="Times New Roman" w:hAnsi="Times New Roman" w:cs="Times New Roman"/>
          <w:b/>
          <w:bCs/>
          <w:color w:val="000000"/>
          <w:kern w:val="28"/>
          <w:sz w:val="24"/>
          <w:szCs w:val="24"/>
          <w:lang w:val="en-PH"/>
        </w:rPr>
      </w:pPr>
    </w:p>
    <w:p w14:paraId="47D1B57E">
      <w:pPr>
        <w:spacing w:line="240" w:lineRule="auto"/>
        <w:jc w:val="both"/>
        <w:rPr>
          <w:rFonts w:hint="default" w:ascii="Times New Roman" w:hAnsi="Times New Roman" w:cs="Times New Roman"/>
          <w:b/>
          <w:bCs/>
          <w:color w:val="000000"/>
          <w:kern w:val="28"/>
          <w:sz w:val="24"/>
          <w:szCs w:val="24"/>
          <w:lang w:val="en-PH"/>
        </w:rPr>
      </w:pPr>
    </w:p>
    <w:p w14:paraId="3809F5DC">
      <w:pPr>
        <w:spacing w:line="240" w:lineRule="auto"/>
        <w:jc w:val="both"/>
        <w:rPr>
          <w:rFonts w:hint="default" w:ascii="Times New Roman" w:hAnsi="Times New Roman" w:cs="Times New Roman"/>
          <w:b/>
          <w:bCs/>
          <w:color w:val="000000"/>
          <w:kern w:val="28"/>
          <w:sz w:val="24"/>
          <w:szCs w:val="24"/>
          <w:lang w:val="en-PH"/>
        </w:rPr>
      </w:pPr>
    </w:p>
    <w:p w14:paraId="0454AF7D">
      <w:pPr>
        <w:spacing w:line="240" w:lineRule="auto"/>
        <w:jc w:val="both"/>
        <w:rPr>
          <w:rFonts w:hint="default" w:ascii="Times New Roman" w:hAnsi="Times New Roman" w:cs="Times New Roman"/>
          <w:b/>
          <w:bCs/>
          <w:color w:val="000000"/>
          <w:kern w:val="28"/>
          <w:sz w:val="24"/>
          <w:szCs w:val="24"/>
          <w:lang w:val="en-PH"/>
        </w:rPr>
      </w:pPr>
    </w:p>
    <w:p w14:paraId="7F97D52D">
      <w:pPr>
        <w:spacing w:line="240" w:lineRule="auto"/>
        <w:jc w:val="both"/>
        <w:rPr>
          <w:rFonts w:hint="default" w:ascii="Times New Roman" w:hAnsi="Times New Roman" w:cs="Times New Roman"/>
          <w:b/>
          <w:bCs/>
          <w:color w:val="000000"/>
          <w:kern w:val="28"/>
          <w:sz w:val="24"/>
          <w:szCs w:val="24"/>
          <w:lang w:val="en-PH"/>
        </w:rPr>
      </w:pPr>
    </w:p>
    <w:p w14:paraId="6BBC753D">
      <w:pPr>
        <w:spacing w:line="240" w:lineRule="auto"/>
        <w:jc w:val="both"/>
        <w:rPr>
          <w:rFonts w:hint="default" w:ascii="Times New Roman" w:hAnsi="Times New Roman" w:cs="Times New Roman"/>
          <w:b/>
          <w:bCs/>
          <w:color w:val="000000"/>
          <w:kern w:val="28"/>
          <w:sz w:val="24"/>
          <w:szCs w:val="24"/>
          <w:lang w:val="en-PH"/>
        </w:rPr>
      </w:pPr>
    </w:p>
    <w:p w14:paraId="065C7696">
      <w:pPr>
        <w:spacing w:line="240" w:lineRule="auto"/>
        <w:jc w:val="both"/>
        <w:rPr>
          <w:rFonts w:hint="default" w:ascii="Times New Roman" w:hAnsi="Times New Roman" w:cs="Times New Roman"/>
          <w:b/>
          <w:bCs/>
          <w:color w:val="000000"/>
          <w:kern w:val="28"/>
          <w:sz w:val="24"/>
          <w:szCs w:val="24"/>
          <w:lang w:val="en-PH"/>
        </w:rPr>
      </w:pPr>
    </w:p>
    <w:p w14:paraId="01175207">
      <w:pPr>
        <w:spacing w:line="240" w:lineRule="auto"/>
        <w:jc w:val="both"/>
        <w:rPr>
          <w:rFonts w:hint="default" w:ascii="Times New Roman" w:hAnsi="Times New Roman" w:cs="Times New Roman"/>
          <w:b/>
          <w:bCs/>
          <w:color w:val="000000"/>
          <w:kern w:val="28"/>
          <w:sz w:val="24"/>
          <w:szCs w:val="24"/>
          <w:lang w:val="en-PH"/>
        </w:rPr>
      </w:pPr>
    </w:p>
    <w:p w14:paraId="08DA33A1">
      <w:pPr>
        <w:spacing w:line="240" w:lineRule="auto"/>
        <w:jc w:val="both"/>
        <w:rPr>
          <w:rFonts w:hint="default" w:ascii="Times New Roman" w:hAnsi="Times New Roman" w:cs="Times New Roman"/>
          <w:b/>
          <w:bCs/>
          <w:color w:val="000000"/>
          <w:kern w:val="28"/>
          <w:sz w:val="24"/>
          <w:szCs w:val="24"/>
          <w:lang w:val="en-PH"/>
        </w:rPr>
      </w:pPr>
    </w:p>
    <w:p w14:paraId="0AE5B8C8">
      <w:pPr>
        <w:spacing w:line="240" w:lineRule="auto"/>
        <w:jc w:val="both"/>
        <w:rPr>
          <w:rFonts w:hint="default" w:ascii="Times New Roman" w:hAnsi="Times New Roman" w:cs="Times New Roman"/>
          <w:b/>
          <w:bCs/>
          <w:color w:val="000000"/>
          <w:kern w:val="28"/>
          <w:sz w:val="24"/>
          <w:szCs w:val="24"/>
          <w:lang w:val="en-PH"/>
        </w:rPr>
      </w:pPr>
    </w:p>
    <w:p w14:paraId="3459DA98">
      <w:pPr>
        <w:spacing w:line="240" w:lineRule="auto"/>
        <w:jc w:val="both"/>
        <w:rPr>
          <w:rFonts w:hint="default" w:ascii="Times New Roman" w:hAnsi="Times New Roman" w:cs="Times New Roman"/>
          <w:b/>
          <w:bCs/>
          <w:color w:val="000000"/>
          <w:kern w:val="28"/>
          <w:sz w:val="24"/>
          <w:szCs w:val="24"/>
          <w:lang w:val="en-PH"/>
        </w:rPr>
      </w:pPr>
    </w:p>
    <w:p w14:paraId="5ECB88A5">
      <w:pPr>
        <w:spacing w:line="240" w:lineRule="auto"/>
        <w:jc w:val="both"/>
        <w:rPr>
          <w:rFonts w:hint="default" w:ascii="Times New Roman" w:hAnsi="Times New Roman" w:cs="Times New Roman"/>
          <w:b/>
          <w:bCs/>
          <w:color w:val="000000"/>
          <w:kern w:val="28"/>
          <w:sz w:val="24"/>
          <w:szCs w:val="24"/>
          <w:lang w:val="en-PH"/>
        </w:rPr>
      </w:pPr>
    </w:p>
    <w:sectPr>
      <w:headerReference r:id="rId5" w:type="default"/>
      <w:footerReference r:id="rId6" w:type="default"/>
      <w:pgSz w:w="11907" w:h="16839"/>
      <w:pgMar w:top="425" w:right="238" w:bottom="238" w:left="238" w:header="624" w:footer="0" w:gutter="284"/>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16"/>
        <w:szCs w:val="16"/>
      </w:rPr>
      <w:id w:val="-1478137986"/>
    </w:sdtPr>
    <w:sdtEndPr>
      <w:rPr>
        <w:rFonts w:ascii="Arial" w:hAnsi="Arial" w:cs="Arial"/>
        <w:sz w:val="16"/>
        <w:szCs w:val="16"/>
      </w:rPr>
    </w:sdtEndPr>
    <w:sdtContent>
      <w:p w14:paraId="0288DB9C">
        <w:pPr>
          <w:tabs>
            <w:tab w:val="left" w:pos="2130"/>
            <w:tab w:val="center" w:pos="4680"/>
            <w:tab w:val="right" w:pos="9360"/>
          </w:tabs>
          <w:spacing w:after="0" w:line="240" w:lineRule="auto"/>
          <w:rPr>
            <w:rFonts w:ascii="Tahoma" w:hAnsi="Tahoma" w:eastAsia="Tahoma" w:cs="Tahoma"/>
            <w:b/>
            <w:i/>
            <w:color w:val="000000"/>
            <w:sz w:val="16"/>
            <w:szCs w:val="16"/>
          </w:rPr>
        </w:pPr>
        <w:sdt>
          <w:sdtPr>
            <w:rPr>
              <w:rFonts w:ascii="Arial" w:hAnsi="Arial" w:cs="Arial"/>
              <w:sz w:val="16"/>
              <w:szCs w:val="16"/>
            </w:rPr>
            <w:id w:val="8733182"/>
            <w:showingPlcHdr/>
          </w:sdtPr>
          <w:sdtEndPr>
            <w:rPr>
              <w:rFonts w:ascii="Arial" w:hAnsi="Arial" w:cs="Arial"/>
              <w:sz w:val="16"/>
              <w:szCs w:val="16"/>
            </w:rPr>
          </w:sdtEndPr>
          <w:sdtContent>
            <w:r>
              <w:rPr>
                <w:rFonts w:ascii="Arial" w:hAnsi="Arial" w:cs="Arial"/>
                <w:sz w:val="16"/>
                <w:szCs w:val="16"/>
                <w:lang w:val="en-US"/>
              </w:rPr>
              <w:t xml:space="preserve">     </w:t>
            </w:r>
          </w:sdtContent>
        </w:sdt>
      </w:p>
    </w:sdtContent>
  </w:sdt>
  <w:p w14:paraId="575DAFBC">
    <w:pPr>
      <w:tabs>
        <w:tab w:val="center" w:pos="4680"/>
        <w:tab w:val="right" w:pos="9360"/>
      </w:tabs>
      <w:spacing w:after="0" w:line="240" w:lineRule="auto"/>
      <w:jc w:val="center"/>
      <w:rPr>
        <w:rFonts w:ascii="Cambria" w:hAnsi="Cambria" w:eastAsia="Cambria" w:cs="Cambria"/>
        <w:color w:val="000000"/>
        <w:sz w:val="21"/>
        <w:szCs w:val="21"/>
      </w:rPr>
    </w:pPr>
  </w:p>
  <w:p w14:paraId="402BA4C1">
    <w:pPr>
      <w:tabs>
        <w:tab w:val="center" w:pos="4680"/>
        <w:tab w:val="right" w:pos="9360"/>
      </w:tabs>
      <w:spacing w:after="0" w:line="240" w:lineRule="auto"/>
      <w:jc w:val="center"/>
      <w:rPr>
        <w:rFonts w:ascii="Cambria" w:hAnsi="Cambria" w:eastAsia="Cambria" w:cs="Cambria"/>
        <w:color w:val="000000"/>
        <w:sz w:val="21"/>
        <w:szCs w:val="21"/>
      </w:rPr>
    </w:pPr>
  </w:p>
  <w:p w14:paraId="655C485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325E">
    <w:pPr>
      <w:pStyle w:val="9"/>
      <w:tabs>
        <w:tab w:val="right" w:pos="0"/>
        <w:tab w:val="clear" w:pos="4680"/>
        <w:tab w:val="clear" w:pos="9360"/>
      </w:tabs>
      <w:rPr>
        <w:sz w:val="29"/>
      </w:rPr>
    </w:pPr>
  </w:p>
  <w:p w14:paraId="450C1D96">
    <w:pPr>
      <w:pStyle w:val="9"/>
      <w:tabs>
        <w:tab w:val="right" w:pos="0"/>
        <w:tab w:val="clear" w:pos="4680"/>
        <w:tab w:val="clear" w:pos="9360"/>
      </w:tabs>
      <w:rPr>
        <w:rFonts w:ascii="Arial" w:hAnsi="Arial" w:cs="Arial"/>
        <w:b/>
        <w:i/>
        <w:color w:val="003300"/>
        <w:sz w:val="32"/>
      </w:rPr>
    </w:pPr>
  </w:p>
  <w:p w14:paraId="6106E375">
    <w:pPr>
      <w:pStyle w:val="9"/>
      <w:tabs>
        <w:tab w:val="right" w:pos="0"/>
        <w:tab w:val="clear" w:pos="4680"/>
        <w:tab w:val="clear" w:pos="9360"/>
      </w:tabs>
      <w:jc w:val="center"/>
      <w:rPr>
        <w:rFonts w:ascii="Tahoma" w:hAnsi="Tahoma" w:cs="Tahoma"/>
        <w:bCs/>
        <w:iCs/>
        <w:sz w:val="20"/>
        <w:szCs w:val="20"/>
      </w:rPr>
    </w:pPr>
    <w:r>
      <w:rPr>
        <w:sz w:val="38"/>
        <w:lang w:val="en-US"/>
      </w:rPr>
      <w:pict>
        <v:shape id="Text Box 2" o:spid="_x0000_s3073" o:spt="202" type="#_x0000_t202" style="position:absolute;left:0pt;margin-left:273.65pt;margin-top:71.05pt;height:39.3pt;width:134.75pt;mso-position-horizont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">
          <v:path/>
          <v:fill on="f" focussize="0,0"/>
          <v:stroke on="f" joinstyle="miter"/>
          <v:imagedata o:title=""/>
          <o:lock v:ext="edit"/>
          <v:textbox>
            <w:txbxContent>
              <w:p w14:paraId="50E21D7E">
                <w:pPr>
                  <w:pStyle w:val="16"/>
                  <w:jc w:val="center"/>
                  <w:rPr>
                    <w:sz w:val="16"/>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8F792"/>
    <w:multiLevelType w:val="singleLevel"/>
    <w:tmpl w:val="9458F792"/>
    <w:lvl w:ilvl="0" w:tentative="0">
      <w:start w:val="1"/>
      <w:numFmt w:val="decimal"/>
      <w:suff w:val="space"/>
      <w:lvlText w:val="%1."/>
      <w:lvlJc w:val="left"/>
    </w:lvl>
  </w:abstractNum>
  <w:abstractNum w:abstractNumId="1">
    <w:nsid w:val="9FF779D9"/>
    <w:multiLevelType w:val="multilevel"/>
    <w:tmpl w:val="9FF779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DC4AB99"/>
    <w:multiLevelType w:val="singleLevel"/>
    <w:tmpl w:val="BDC4AB99"/>
    <w:lvl w:ilvl="0" w:tentative="0">
      <w:start w:val="0"/>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3C4446"/>
    <w:rsid w:val="00010EA2"/>
    <w:rsid w:val="00016350"/>
    <w:rsid w:val="00022E76"/>
    <w:rsid w:val="00033ADE"/>
    <w:rsid w:val="000360D6"/>
    <w:rsid w:val="00076F21"/>
    <w:rsid w:val="00084206"/>
    <w:rsid w:val="000862F8"/>
    <w:rsid w:val="000869CD"/>
    <w:rsid w:val="000A1C13"/>
    <w:rsid w:val="000A25F6"/>
    <w:rsid w:val="000B05C9"/>
    <w:rsid w:val="000B4865"/>
    <w:rsid w:val="000C6924"/>
    <w:rsid w:val="000D401B"/>
    <w:rsid w:val="000D721C"/>
    <w:rsid w:val="000D7629"/>
    <w:rsid w:val="000D7E83"/>
    <w:rsid w:val="001077A6"/>
    <w:rsid w:val="00121690"/>
    <w:rsid w:val="00131001"/>
    <w:rsid w:val="001315F3"/>
    <w:rsid w:val="00140E31"/>
    <w:rsid w:val="0014117E"/>
    <w:rsid w:val="00151622"/>
    <w:rsid w:val="00162A21"/>
    <w:rsid w:val="00163451"/>
    <w:rsid w:val="00163A03"/>
    <w:rsid w:val="00163C15"/>
    <w:rsid w:val="00170736"/>
    <w:rsid w:val="00175E80"/>
    <w:rsid w:val="0018230A"/>
    <w:rsid w:val="00195ABB"/>
    <w:rsid w:val="001A6FE0"/>
    <w:rsid w:val="001B4741"/>
    <w:rsid w:val="001B7E69"/>
    <w:rsid w:val="001C3412"/>
    <w:rsid w:val="001C4E02"/>
    <w:rsid w:val="001D6357"/>
    <w:rsid w:val="001E3950"/>
    <w:rsid w:val="0024169C"/>
    <w:rsid w:val="00245218"/>
    <w:rsid w:val="00247ED1"/>
    <w:rsid w:val="002626F1"/>
    <w:rsid w:val="002633D9"/>
    <w:rsid w:val="002700C7"/>
    <w:rsid w:val="002744D7"/>
    <w:rsid w:val="0028410D"/>
    <w:rsid w:val="00293289"/>
    <w:rsid w:val="002C0055"/>
    <w:rsid w:val="002C464C"/>
    <w:rsid w:val="002D342F"/>
    <w:rsid w:val="002E1D0C"/>
    <w:rsid w:val="002E64F0"/>
    <w:rsid w:val="002F19FD"/>
    <w:rsid w:val="00324806"/>
    <w:rsid w:val="003328F5"/>
    <w:rsid w:val="00335C85"/>
    <w:rsid w:val="0033707B"/>
    <w:rsid w:val="00350EDC"/>
    <w:rsid w:val="003550A2"/>
    <w:rsid w:val="003612B2"/>
    <w:rsid w:val="0036446A"/>
    <w:rsid w:val="0038585F"/>
    <w:rsid w:val="00386F5B"/>
    <w:rsid w:val="003A3BDE"/>
    <w:rsid w:val="003A4189"/>
    <w:rsid w:val="003A7491"/>
    <w:rsid w:val="003C4446"/>
    <w:rsid w:val="00431700"/>
    <w:rsid w:val="0044132A"/>
    <w:rsid w:val="00460730"/>
    <w:rsid w:val="00462859"/>
    <w:rsid w:val="00494B84"/>
    <w:rsid w:val="004B667F"/>
    <w:rsid w:val="004C61CE"/>
    <w:rsid w:val="004C7B3E"/>
    <w:rsid w:val="004D516D"/>
    <w:rsid w:val="004D5CCB"/>
    <w:rsid w:val="004E30C5"/>
    <w:rsid w:val="004F635F"/>
    <w:rsid w:val="00511E25"/>
    <w:rsid w:val="005132FE"/>
    <w:rsid w:val="00514BDB"/>
    <w:rsid w:val="00516180"/>
    <w:rsid w:val="005322B1"/>
    <w:rsid w:val="00536D57"/>
    <w:rsid w:val="0054237A"/>
    <w:rsid w:val="00554DEF"/>
    <w:rsid w:val="00561233"/>
    <w:rsid w:val="00582B7D"/>
    <w:rsid w:val="00583A7B"/>
    <w:rsid w:val="005920C4"/>
    <w:rsid w:val="00597AC2"/>
    <w:rsid w:val="005A5A1B"/>
    <w:rsid w:val="005B4BD2"/>
    <w:rsid w:val="005B7FE7"/>
    <w:rsid w:val="005C63D1"/>
    <w:rsid w:val="005C754E"/>
    <w:rsid w:val="005D1B78"/>
    <w:rsid w:val="005F257A"/>
    <w:rsid w:val="00616326"/>
    <w:rsid w:val="00617216"/>
    <w:rsid w:val="00635222"/>
    <w:rsid w:val="00644E5F"/>
    <w:rsid w:val="00645BD1"/>
    <w:rsid w:val="00653A86"/>
    <w:rsid w:val="00663B1E"/>
    <w:rsid w:val="00671B71"/>
    <w:rsid w:val="00675E9B"/>
    <w:rsid w:val="00681F99"/>
    <w:rsid w:val="006A42BD"/>
    <w:rsid w:val="006B0E3E"/>
    <w:rsid w:val="006B778B"/>
    <w:rsid w:val="007037F5"/>
    <w:rsid w:val="007073FE"/>
    <w:rsid w:val="007272A9"/>
    <w:rsid w:val="00731593"/>
    <w:rsid w:val="00744F48"/>
    <w:rsid w:val="007607C3"/>
    <w:rsid w:val="00764579"/>
    <w:rsid w:val="007672AF"/>
    <w:rsid w:val="0078282C"/>
    <w:rsid w:val="007927F1"/>
    <w:rsid w:val="007B5E58"/>
    <w:rsid w:val="007B763C"/>
    <w:rsid w:val="007B7CCB"/>
    <w:rsid w:val="007D486A"/>
    <w:rsid w:val="007E16BF"/>
    <w:rsid w:val="0080090B"/>
    <w:rsid w:val="0080161C"/>
    <w:rsid w:val="00804531"/>
    <w:rsid w:val="00815F3F"/>
    <w:rsid w:val="00821901"/>
    <w:rsid w:val="00854210"/>
    <w:rsid w:val="00867B8C"/>
    <w:rsid w:val="00876A80"/>
    <w:rsid w:val="008B3AC6"/>
    <w:rsid w:val="008B729F"/>
    <w:rsid w:val="00915CCC"/>
    <w:rsid w:val="009225B1"/>
    <w:rsid w:val="0095236C"/>
    <w:rsid w:val="0096374E"/>
    <w:rsid w:val="00981ED1"/>
    <w:rsid w:val="00992B62"/>
    <w:rsid w:val="009932A4"/>
    <w:rsid w:val="00995696"/>
    <w:rsid w:val="009A1A4C"/>
    <w:rsid w:val="009A6689"/>
    <w:rsid w:val="009A683C"/>
    <w:rsid w:val="009B09FE"/>
    <w:rsid w:val="009C3DC9"/>
    <w:rsid w:val="009C7A14"/>
    <w:rsid w:val="00A0025D"/>
    <w:rsid w:val="00A13239"/>
    <w:rsid w:val="00A32B60"/>
    <w:rsid w:val="00A35AD3"/>
    <w:rsid w:val="00A35DAB"/>
    <w:rsid w:val="00A47694"/>
    <w:rsid w:val="00A53D75"/>
    <w:rsid w:val="00A6158F"/>
    <w:rsid w:val="00A616EA"/>
    <w:rsid w:val="00A701A5"/>
    <w:rsid w:val="00A80F01"/>
    <w:rsid w:val="00A8100F"/>
    <w:rsid w:val="00A84980"/>
    <w:rsid w:val="00A96C76"/>
    <w:rsid w:val="00AD3630"/>
    <w:rsid w:val="00AD53C5"/>
    <w:rsid w:val="00AD5832"/>
    <w:rsid w:val="00B158F1"/>
    <w:rsid w:val="00B21614"/>
    <w:rsid w:val="00B30150"/>
    <w:rsid w:val="00B34E1C"/>
    <w:rsid w:val="00B36713"/>
    <w:rsid w:val="00B44E99"/>
    <w:rsid w:val="00B65267"/>
    <w:rsid w:val="00B66E38"/>
    <w:rsid w:val="00B678EE"/>
    <w:rsid w:val="00B72F85"/>
    <w:rsid w:val="00BA6964"/>
    <w:rsid w:val="00BC4BFA"/>
    <w:rsid w:val="00BD1D6D"/>
    <w:rsid w:val="00BD53B6"/>
    <w:rsid w:val="00BF6EE7"/>
    <w:rsid w:val="00BF7E91"/>
    <w:rsid w:val="00C00DB3"/>
    <w:rsid w:val="00C341EB"/>
    <w:rsid w:val="00C351AF"/>
    <w:rsid w:val="00C47169"/>
    <w:rsid w:val="00C47AAF"/>
    <w:rsid w:val="00C552DC"/>
    <w:rsid w:val="00C76C85"/>
    <w:rsid w:val="00C84EED"/>
    <w:rsid w:val="00C91F5D"/>
    <w:rsid w:val="00CA1BB9"/>
    <w:rsid w:val="00CB1BE6"/>
    <w:rsid w:val="00CB3AE5"/>
    <w:rsid w:val="00CD04D8"/>
    <w:rsid w:val="00CD1AEC"/>
    <w:rsid w:val="00CD23E1"/>
    <w:rsid w:val="00CD5FF2"/>
    <w:rsid w:val="00CF4654"/>
    <w:rsid w:val="00CF5B93"/>
    <w:rsid w:val="00D05AAE"/>
    <w:rsid w:val="00D2371F"/>
    <w:rsid w:val="00D41FE7"/>
    <w:rsid w:val="00D52E99"/>
    <w:rsid w:val="00D56ACA"/>
    <w:rsid w:val="00D65967"/>
    <w:rsid w:val="00D677F0"/>
    <w:rsid w:val="00D766A2"/>
    <w:rsid w:val="00DB4063"/>
    <w:rsid w:val="00DD3285"/>
    <w:rsid w:val="00DE0F26"/>
    <w:rsid w:val="00E0003D"/>
    <w:rsid w:val="00E0164C"/>
    <w:rsid w:val="00E069D3"/>
    <w:rsid w:val="00E140FF"/>
    <w:rsid w:val="00E3501D"/>
    <w:rsid w:val="00E53B78"/>
    <w:rsid w:val="00E631F3"/>
    <w:rsid w:val="00E66EAA"/>
    <w:rsid w:val="00E7702C"/>
    <w:rsid w:val="00E92B95"/>
    <w:rsid w:val="00EB7100"/>
    <w:rsid w:val="00EB71A1"/>
    <w:rsid w:val="00EC0D96"/>
    <w:rsid w:val="00EC1B92"/>
    <w:rsid w:val="00ED38B8"/>
    <w:rsid w:val="00EF4043"/>
    <w:rsid w:val="00EF4AF9"/>
    <w:rsid w:val="00F06926"/>
    <w:rsid w:val="00F14C7C"/>
    <w:rsid w:val="00F260AA"/>
    <w:rsid w:val="00F3240B"/>
    <w:rsid w:val="00F42799"/>
    <w:rsid w:val="00F45B36"/>
    <w:rsid w:val="00F6228E"/>
    <w:rsid w:val="00F7543A"/>
    <w:rsid w:val="00F754C9"/>
    <w:rsid w:val="00F81339"/>
    <w:rsid w:val="00F8539E"/>
    <w:rsid w:val="00F96DAE"/>
    <w:rsid w:val="00FB285A"/>
    <w:rsid w:val="00FC57C2"/>
    <w:rsid w:val="00FD5C7D"/>
    <w:rsid w:val="00FE6630"/>
    <w:rsid w:val="00FF5177"/>
    <w:rsid w:val="06C92E89"/>
    <w:rsid w:val="075F5F86"/>
    <w:rsid w:val="0CC10C19"/>
    <w:rsid w:val="127B359C"/>
    <w:rsid w:val="12876C72"/>
    <w:rsid w:val="18345F44"/>
    <w:rsid w:val="1B721DBF"/>
    <w:rsid w:val="1D4067B9"/>
    <w:rsid w:val="1F740081"/>
    <w:rsid w:val="204F418E"/>
    <w:rsid w:val="215F3555"/>
    <w:rsid w:val="22B55142"/>
    <w:rsid w:val="26EB4C04"/>
    <w:rsid w:val="27EE121A"/>
    <w:rsid w:val="32D73D5B"/>
    <w:rsid w:val="399E5B99"/>
    <w:rsid w:val="3AE242DD"/>
    <w:rsid w:val="42144A95"/>
    <w:rsid w:val="45C17991"/>
    <w:rsid w:val="488D7D14"/>
    <w:rsid w:val="49165A2C"/>
    <w:rsid w:val="505F3C21"/>
    <w:rsid w:val="52ED6F99"/>
    <w:rsid w:val="6A457B86"/>
    <w:rsid w:val="723E077B"/>
    <w:rsid w:val="76FA725F"/>
    <w:rsid w:val="78AC0D1E"/>
    <w:rsid w:val="7A026DB8"/>
    <w:rsid w:val="7AB70E3B"/>
    <w:rsid w:val="7C0B7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link w:val="23"/>
    <w:qFormat/>
    <w:uiPriority w:val="9"/>
    <w:pPr>
      <w:spacing w:before="100" w:beforeAutospacing="1" w:after="100" w:afterAutospacing="1" w:line="240" w:lineRule="auto"/>
      <w:outlineLvl w:val="2"/>
    </w:pPr>
    <w:rPr>
      <w:rFonts w:ascii="Times New Roman" w:hAnsi="Times New Roman" w:eastAsia="Times New Roman"/>
      <w:b/>
      <w:bCs/>
      <w:sz w:val="27"/>
      <w:szCs w:val="27"/>
      <w:lang w:val="en-PH" w:eastAsia="en-PH"/>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Body Text 3"/>
    <w:link w:val="22"/>
    <w:qFormat/>
    <w:uiPriority w:val="0"/>
    <w:pPr>
      <w:spacing w:after="80" w:line="273" w:lineRule="auto"/>
    </w:pPr>
    <w:rPr>
      <w:rFonts w:ascii="Gill Sans MT" w:hAnsi="Gill Sans MT" w:eastAsia="Gill Sans MT" w:cs="Times New Roman"/>
      <w:color w:val="000000"/>
      <w:kern w:val="28"/>
      <w:sz w:val="17"/>
      <w:szCs w:val="17"/>
      <w:lang w:val="en-US" w:eastAsia="zh-CN" w:bidi="ar-SA"/>
    </w:rPr>
  </w:style>
  <w:style w:type="paragraph" w:styleId="8">
    <w:name w:val="footer"/>
    <w:basedOn w:val="1"/>
    <w:link w:val="14"/>
    <w:unhideWhenUsed/>
    <w:qFormat/>
    <w:uiPriority w:val="99"/>
    <w:pPr>
      <w:tabs>
        <w:tab w:val="center" w:pos="4680"/>
        <w:tab w:val="right" w:pos="9360"/>
      </w:tabs>
      <w:spacing w:after="0" w:line="240" w:lineRule="auto"/>
    </w:pPr>
    <w:rPr>
      <w:rFonts w:asciiTheme="minorHAnsi" w:hAnsiTheme="minorHAnsi" w:eastAsiaTheme="minorHAnsi" w:cstheme="minorBidi"/>
      <w:sz w:val="21"/>
      <w:lang w:val="fil-PH"/>
    </w:rPr>
  </w:style>
  <w:style w:type="paragraph" w:styleId="9">
    <w:name w:val="header"/>
    <w:basedOn w:val="1"/>
    <w:link w:val="15"/>
    <w:unhideWhenUsed/>
    <w:qFormat/>
    <w:uiPriority w:val="99"/>
    <w:pPr>
      <w:tabs>
        <w:tab w:val="center" w:pos="4680"/>
        <w:tab w:val="right" w:pos="9360"/>
      </w:tabs>
      <w:spacing w:after="0" w:line="240" w:lineRule="auto"/>
    </w:pPr>
    <w:rPr>
      <w:rFonts w:asciiTheme="minorHAnsi" w:hAnsiTheme="minorHAnsi" w:eastAsiaTheme="minorHAnsi" w:cstheme="minorBidi"/>
      <w:sz w:val="21"/>
      <w:lang w:val="fil-PH"/>
    </w:rPr>
  </w:style>
  <w:style w:type="character" w:styleId="10">
    <w:name w:val="Hyperlink"/>
    <w:basedOn w:val="4"/>
    <w:unhideWhenUsed/>
    <w:qFormat/>
    <w:uiPriority w:val="99"/>
    <w:rPr>
      <w:color w:val="0563C1" w:themeColor="hyperlink"/>
      <w:u w:val="single"/>
    </w:rPr>
  </w:style>
  <w:style w:type="paragraph" w:styleId="11">
    <w:name w:val="Normal (Web)"/>
    <w:basedOn w:val="1"/>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22"/>
    <w:rPr>
      <w:b/>
      <w:bCs/>
    </w:rPr>
  </w:style>
  <w:style w:type="table" w:styleId="13">
    <w:name w:val="Table Grid"/>
    <w:basedOn w:val="5"/>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oter Char"/>
    <w:basedOn w:val="4"/>
    <w:link w:val="8"/>
    <w:qFormat/>
    <w:uiPriority w:val="99"/>
    <w:rPr>
      <w:sz w:val="21"/>
      <w:lang w:val="fil-PH"/>
    </w:rPr>
  </w:style>
  <w:style w:type="character" w:customStyle="1" w:styleId="15">
    <w:name w:val="Header Char"/>
    <w:basedOn w:val="4"/>
    <w:link w:val="9"/>
    <w:qFormat/>
    <w:uiPriority w:val="99"/>
    <w:rPr>
      <w:sz w:val="21"/>
      <w:lang w:val="fil-PH"/>
    </w:rPr>
  </w:style>
  <w:style w:type="paragraph" w:styleId="16">
    <w:name w:val="No Spacing"/>
    <w:qFormat/>
    <w:uiPriority w:val="1"/>
    <w:rPr>
      <w:rFonts w:ascii="Arial" w:hAnsi="Arial" w:eastAsia="Cambria" w:cs="Times New Roman"/>
      <w:sz w:val="22"/>
      <w:szCs w:val="22"/>
      <w:lang w:val="fil-PH" w:eastAsia="en-US" w:bidi="ar-SA"/>
    </w:rPr>
  </w:style>
  <w:style w:type="paragraph" w:customStyle="1" w:styleId="17">
    <w:name w:val="_Style 1"/>
    <w:basedOn w:val="1"/>
    <w:qFormat/>
    <w:uiPriority w:val="0"/>
    <w:pPr>
      <w:widowControl w:val="0"/>
      <w:ind w:left="720"/>
      <w:contextualSpacing/>
    </w:pPr>
    <w:rPr>
      <w:kern w:val="2"/>
      <w:lang w:eastAsia="zh-CN"/>
    </w:rPr>
  </w:style>
  <w:style w:type="paragraph" w:styleId="18">
    <w:name w:val="List Paragraph"/>
    <w:basedOn w:val="1"/>
    <w:link w:val="19"/>
    <w:qFormat/>
    <w:uiPriority w:val="34"/>
    <w:pPr>
      <w:spacing w:after="0" w:line="240" w:lineRule="auto"/>
      <w:ind w:left="720"/>
      <w:contextualSpacing/>
    </w:pPr>
    <w:rPr>
      <w:rFonts w:asciiTheme="minorHAnsi" w:hAnsiTheme="minorHAnsi" w:eastAsiaTheme="minorHAnsi" w:cstheme="minorBidi"/>
      <w:sz w:val="24"/>
      <w:szCs w:val="24"/>
    </w:rPr>
  </w:style>
  <w:style w:type="character" w:customStyle="1" w:styleId="19">
    <w:name w:val="List Paragraph Char"/>
    <w:link w:val="18"/>
    <w:qFormat/>
    <w:uiPriority w:val="34"/>
    <w:rPr>
      <w:sz w:val="24"/>
      <w:szCs w:val="24"/>
    </w:rPr>
  </w:style>
  <w:style w:type="character" w:customStyle="1" w:styleId="20">
    <w:name w:val="Balloon Text Char"/>
    <w:basedOn w:val="4"/>
    <w:link w:val="6"/>
    <w:semiHidden/>
    <w:qFormat/>
    <w:uiPriority w:val="99"/>
    <w:rPr>
      <w:rFonts w:ascii="Tahoma" w:hAnsi="Tahoma" w:eastAsia="Calibri" w:cs="Tahoma"/>
      <w:sz w:val="16"/>
      <w:szCs w:val="16"/>
    </w:rPr>
  </w:style>
  <w:style w:type="paragraph" w:customStyle="1" w:styleId="21">
    <w:name w:val="No Spacing1"/>
    <w:qFormat/>
    <w:uiPriority w:val="1"/>
    <w:rPr>
      <w:rFonts w:asciiTheme="minorHAnsi" w:hAnsiTheme="minorHAnsi" w:eastAsiaTheme="minorHAnsi" w:cstheme="minorBidi"/>
      <w:sz w:val="24"/>
      <w:szCs w:val="24"/>
      <w:lang w:val="en-US" w:eastAsia="en-US" w:bidi="ar-SA"/>
    </w:rPr>
  </w:style>
  <w:style w:type="character" w:customStyle="1" w:styleId="22">
    <w:name w:val="Body Text 3 Char"/>
    <w:basedOn w:val="4"/>
    <w:link w:val="7"/>
    <w:qFormat/>
    <w:uiPriority w:val="0"/>
    <w:rPr>
      <w:rFonts w:ascii="Gill Sans MT" w:hAnsi="Gill Sans MT" w:eastAsia="Gill Sans MT" w:cs="Times New Roman"/>
      <w:color w:val="000000"/>
      <w:kern w:val="28"/>
      <w:sz w:val="17"/>
      <w:szCs w:val="17"/>
      <w:lang w:eastAsia="zh-CN"/>
    </w:rPr>
  </w:style>
  <w:style w:type="character" w:customStyle="1" w:styleId="23">
    <w:name w:val="Heading 3 Char"/>
    <w:basedOn w:val="4"/>
    <w:link w:val="3"/>
    <w:qFormat/>
    <w:uiPriority w:val="9"/>
    <w:rPr>
      <w:rFonts w:ascii="Times New Roman" w:hAnsi="Times New Roman" w:eastAsia="Times New Roman" w:cs="Times New Roman"/>
      <w:b/>
      <w:bCs/>
      <w:sz w:val="27"/>
      <w:szCs w:val="27"/>
    </w:rPr>
  </w:style>
  <w:style w:type="character" w:customStyle="1" w:styleId="24">
    <w:name w:val="Unresolved Mention1"/>
    <w:basedOn w:val="4"/>
    <w:semiHidden/>
    <w:unhideWhenUsed/>
    <w:qFormat/>
    <w:uiPriority w:val="99"/>
    <w:rPr>
      <w:color w:val="605E5C"/>
      <w:shd w:val="clear" w:color="auto" w:fill="E1DFDD"/>
    </w:rPr>
  </w:style>
  <w:style w:type="table" w:customStyle="1" w:styleId="25">
    <w:name w:val="_Style 13"/>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AB3BA-A019-4E5C-B982-FBA4D5430580}">
  <ds:schemaRefs/>
</ds:datastoreItem>
</file>

<file path=docProps/app.xml><?xml version="1.0" encoding="utf-8"?>
<Properties xmlns="http://schemas.openxmlformats.org/officeDocument/2006/extended-properties" xmlns:vt="http://schemas.openxmlformats.org/officeDocument/2006/docPropsVTypes">
  <Template>Normal.dotm</Template>
  <Company>Department of Education</Company>
  <Pages>11</Pages>
  <Words>920</Words>
  <Characters>6044</Characters>
  <Lines>245</Lines>
  <Paragraphs>69</Paragraphs>
  <TotalTime>43</TotalTime>
  <ScaleCrop>false</ScaleCrop>
  <LinksUpToDate>false</LinksUpToDate>
  <CharactersWithSpaces>6947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2023-06-14T06:08:00Z</dcterms:created>
  <dc:creator>REVIEWER</dc:creator>
  <cp:lastModifiedBy>JOSEREY ORIAS</cp:lastModifiedBy>
  <cp:lastPrinted>2025-03-31T05:00:00Z</cp:lastPrinted>
  <dcterms:modified xsi:type="dcterms:W3CDTF">2026-07-07T07:10:11Z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5274593f-bab3-4177-9dd9-799a0f0d76f5</vt:lpwstr>
  </property>
  <property fmtid="{D5CDD505-2E9C-101B-9397-08002B2CF9AE}" pid="3" name="KSOProductBuildVer">
    <vt:lpwstr>1033-12.1.0.26880</vt:lpwstr>
  </property>
  <property fmtid="{D5CDD505-2E9C-101B-9397-08002B2CF9AE}" pid="4" name="ICV">
    <vt:lpwstr>6C329B243302401C8DB118234AC1C060_12</vt:lpwstr>
  </property>
  <property fmtid="{D5CDD505-2E9C-101B-9397-08002B2CF9AE}" pid="5" name="KSOTemplateDocerSaveRecord">
    <vt:lpwstr>eyJoZGlkIjoiZWIxOTdlMDc3ZjM4YzczMGJkZmIxN2ZmMjY2ZjkxZTQiLCJ1c2VySWQiOiI4ODEzODc4NTg1ODUwIn0=</vt:lpwstr>
  </property>
</Properties>
</file>