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780C1C" w14:textId="77777777" w:rsidR="0018271C" w:rsidRDefault="0018271C" w:rsidP="001832AE">
      <w:pPr>
        <w:pStyle w:val="papertitle"/>
        <w:spacing w:before="160" w:after="320"/>
        <w:jc w:val="both"/>
      </w:pPr>
    </w:p>
    <w:p w14:paraId="1C76ADF5" w14:textId="6B2EFBA0" w:rsidR="00692375" w:rsidRDefault="001C5ADF" w:rsidP="00A7275D">
      <w:pPr>
        <w:pStyle w:val="papertitle"/>
        <w:spacing w:before="160" w:after="320"/>
      </w:pPr>
      <w:r>
        <w:rPr>
          <w:noProof/>
        </w:rPr>
        <w:drawing>
          <wp:anchor distT="0" distB="0" distL="114300" distR="114300" simplePos="0" relativeHeight="251659264" behindDoc="0" locked="0" layoutInCell="1" allowOverlap="1" wp14:anchorId="6376124A" wp14:editId="71EC2064">
            <wp:simplePos x="0" y="0"/>
            <wp:positionH relativeFrom="column">
              <wp:posOffset>-8890</wp:posOffset>
            </wp:positionH>
            <wp:positionV relativeFrom="paragraph">
              <wp:posOffset>-4445</wp:posOffset>
            </wp:positionV>
            <wp:extent cx="6621780" cy="169926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1780" cy="1699260"/>
                    </a:xfrm>
                    <a:prstGeom prst="rect">
                      <a:avLst/>
                    </a:prstGeom>
                    <a:noFill/>
                  </pic:spPr>
                </pic:pic>
              </a:graphicData>
            </a:graphic>
            <wp14:sizeRelH relativeFrom="page">
              <wp14:pctWidth>0</wp14:pctWidth>
            </wp14:sizeRelH>
            <wp14:sizeRelV relativeFrom="page">
              <wp14:pctHeight>0</wp14:pctHeight>
            </wp14:sizeRelV>
          </wp:anchor>
        </w:drawing>
      </w:r>
      <w:r w:rsidR="00504781" w:rsidRPr="00504781">
        <w:t xml:space="preserve"> </w:t>
      </w:r>
      <w:r w:rsidR="00504781" w:rsidRPr="00504781">
        <w:rPr>
          <w:noProof/>
        </w:rPr>
        <w:t>Variation in Braden scale elements documentation and its impact in nursing care decision among nurses in United Arab Emirate – Cross Sectional study</w:t>
      </w:r>
    </w:p>
    <w:p w14:paraId="4E64FF99" w14:textId="3E68F4E8" w:rsidR="00D435F3" w:rsidRPr="00D435F3" w:rsidRDefault="00D435F3" w:rsidP="000433AA">
      <w:pPr>
        <w:pStyle w:val="Affiliation"/>
      </w:pPr>
      <w:r w:rsidRPr="00D435F3">
        <w:t xml:space="preserve"/>
      </w:r>
      <w:r w:rsidR="000276B9">
        <w:t xml:space="preserve"/>
      </w:r>
      <w:r w:rsidRPr="00D435F3">
        <w:t/>
      </w:r>
      <w:r w:rsidR="000C787C" w:rsidRPr="00D435F3">
        <w:t/>
      </w:r>
      <w:r w:rsidR="00F8789A">
        <w:t/>
      </w:r>
      <w:r w:rsidR="000C787C" w:rsidRPr="00D435F3">
        <w:t xml:space="preserve"/>
      </w:r>
      <w:r w:rsidR="000C787C">
        <w:t/>
      </w:r>
      <w:r w:rsidRPr="00D435F3">
        <w:t xml:space="preserve"/>
      </w:r>
      <w:r w:rsidR="000276B9" w:rsidRPr="00D435F3">
        <w:t/>
      </w:r>
      <w:r w:rsidR="000276B9">
        <w:t xml:space="preserve"/>
      </w:r>
      <w:r w:rsidRPr="00D435F3">
        <w:t xml:space="preserve"/>
      </w:r>
      <w:r w:rsidR="000C787C">
        <w:t/>
      </w:r>
      <w:r w:rsidRPr="00D435F3">
        <w:t xml:space="preserve"/>
      </w:r>
      <w:r w:rsidR="000C787C">
        <w:t/>
      </w:r>
      <w:r w:rsidRPr="00D435F3">
        <w:t xml:space="preserve"/>
      </w:r>
      <w:r w:rsidR="000433AA">
        <w:t xml:space="preserve"/>
      </w:r>
      <w:r w:rsidRPr="00D435F3">
        <w:t xml:space="preserve"/>
      </w:r>
      <w:r w:rsidR="000433AA">
        <w:t/>
      </w:r>
      <w:r w:rsidR="000433AA" w:rsidRPr="00D435F3">
        <w:t/>
      </w:r>
      <w:r w:rsidR="000433AA">
        <w:t/>
      </w:r>
      <w:r w:rsidR="000433AA" w:rsidRPr="00D435F3">
        <w:t/>
      </w:r>
      <w:r w:rsidR="000433AA">
        <w:t/>
      </w:r>
      <w:r w:rsidR="000433AA" w:rsidRPr="00D435F3">
        <w:t/>
      </w:r>
      <w:r w:rsidR="000433AA">
        <w:t/>
      </w:r>
      <w:r w:rsidR="000433AA" w:rsidRPr="00D435F3">
        <w:t/>
      </w:r>
      <w:r w:rsidR="000433AA">
        <w:t/>
      </w:r>
      <w:r w:rsidR="000433AA" w:rsidRPr="000433AA">
        <w:t xml:space="preserve"/>
      </w:r>
      <w:r w:rsidR="000433AA">
        <w:t/>
      </w:r>
      <w:r w:rsidR="000433AA" w:rsidRPr="00D435F3">
        <w:t/>
      </w:r>
      <w:r w:rsidR="000433AA">
        <w:t/>
      </w:r>
      <w:r w:rsidRPr="00D435F3">
        <w:t xml:space="preserve"/>
      </w:r>
      <w:r w:rsidR="000433AA">
        <w:t/>
      </w:r>
      <w:r w:rsidRPr="00D435F3">
        <w:t xml:space="preserve"/>
      </w:r>
      <w:r w:rsidR="000433AA">
        <w:t/>
      </w:r>
      <w:r w:rsidRPr="00D435F3">
        <w:t/>
      </w:r>
      <w:r w:rsidR="003E1D6B">
        <w:t xml:space="preserve"/>
      </w:r>
      <w:r w:rsidR="00F8789A" w:rsidRPr="00D435F3">
        <w:t/>
      </w:r>
      <w:r w:rsidR="00F8789A">
        <w:t/>
      </w:r>
      <w:r w:rsidR="00F8789A" w:rsidRPr="00D435F3">
        <w:t/>
      </w:r>
      <w:r w:rsidR="000433AA">
        <w:t/>
      </w:r>
    </w:p>
    <w:p w14:paraId="51F8A83F" w14:textId="7C94CDAC" w:rsidR="007079C8" w:rsidRPr="00D435F3" w:rsidRDefault="00370FE0" w:rsidP="00A7275D">
      <w:pPr>
        <w:pStyle w:val="Affiliation"/>
      </w:pPr>
      <w:r>
        <w:t xml:space="preserve"/>
      </w:r>
      <w:r w:rsidR="000D2C00">
        <w:t/>
      </w:r>
      <w:r w:rsidR="00F4168E" w:rsidRPr="00D435F3">
        <w:t xml:space="preserve"/>
      </w:r>
    </w:p>
    <w:p w14:paraId="4B5B5905" w14:textId="5C7B3753" w:rsidR="00692375" w:rsidRDefault="00273665" w:rsidP="00A7275D">
      <w:pPr>
        <w:pStyle w:val="Affiliation"/>
      </w:pPr>
      <w:r>
        <w:t xml:space="preserve"/>
      </w:r>
      <w:r w:rsidR="007275C4">
        <w:t/>
      </w:r>
      <w:r>
        <w:t xml:space="preserve"/>
      </w:r>
      <w:r w:rsidR="004714B7">
        <w:t/>
      </w:r>
      <w:r w:rsidR="00F4168E">
        <w:t xml:space="preserve"/>
      </w:r>
      <w:r>
        <w:t xml:space="preserve"/>
      </w:r>
      <w:r w:rsidR="000D2C00">
        <w:t/>
      </w:r>
      <w:r w:rsidR="001611D6">
        <w:t xml:space="preserve"/>
      </w:r>
      <w:r>
        <w:t xml:space="preserve"/>
      </w:r>
      <w:r w:rsidR="007275C4">
        <w:t/>
      </w:r>
      <w:r>
        <w:t xml:space="preserve"/>
      </w:r>
    </w:p>
    <w:p w14:paraId="0A72F062" w14:textId="77777777" w:rsidR="00692375" w:rsidRPr="007079C8" w:rsidRDefault="007079C8" w:rsidP="00A7275D">
      <w:pPr>
        <w:jc w:val="both"/>
        <w:rPr>
          <w:sz w:val="18"/>
        </w:rPr>
      </w:pPr>
      <w:r w:rsidRPr="007079C8">
        <w:t/>
      </w:r>
      <w:r>
        <w:t/>
      </w:r>
    </w:p>
    <w:p w14:paraId="767C91BA" w14:textId="77777777" w:rsidR="007079C8" w:rsidRDefault="007079C8" w:rsidP="00A7275D">
      <w:pPr>
        <w:pStyle w:val="Abstract"/>
        <w:spacing w:after="0"/>
        <w:ind w:firstLine="0"/>
        <w:rPr>
          <w:i/>
          <w:iCs/>
          <w:sz w:val="20"/>
          <w:szCs w:val="20"/>
        </w:rPr>
      </w:pPr>
    </w:p>
    <w:p w14:paraId="6E4656E2" w14:textId="68043C54" w:rsidR="00EC2478" w:rsidRDefault="007275C4" w:rsidP="00800F2C">
      <w:pPr>
        <w:pStyle w:val="Abstract"/>
        <w:rPr>
          <w:rFonts w:eastAsia="Calibri"/>
          <w:b w:val="0"/>
          <w:sz w:val="20"/>
          <w:szCs w:val="20"/>
          <w:lang w:eastAsia="en-US"/>
        </w:rPr>
      </w:pPr>
      <w:r w:rsidRPr="007079C8">
        <w:rPr>
          <w:i/>
          <w:iCs/>
          <w:sz w:val="20"/>
          <w:szCs w:val="20"/>
        </w:rPr>
        <w:t/>
      </w:r>
      <w:r>
        <w:rPr>
          <w:i/>
          <w:iCs/>
          <w:sz w:val="20"/>
          <w:szCs w:val="20"/>
        </w:rPr>
        <w:t/>
      </w:r>
      <w:r w:rsidR="001611D6">
        <w:rPr>
          <w:i/>
          <w:iCs/>
          <w:sz w:val="20"/>
          <w:szCs w:val="20"/>
        </w:rPr>
        <w:t xml:space="preserve"/>
      </w:r>
      <w:r w:rsidR="001611D6" w:rsidRPr="001611D6">
        <w:rPr>
          <w:rFonts w:eastAsia="Calibri"/>
          <w:b w:val="0"/>
          <w:sz w:val="20"/>
          <w:szCs w:val="20"/>
          <w:lang w:eastAsia="en-US"/>
        </w:rPr>
        <w:t xml:space="preserve"/>
      </w:r>
      <w:r w:rsidR="004D5B0B" w:rsidRPr="004D5B0B">
        <w:rPr>
          <w:rFonts w:eastAsia="Calibri"/>
          <w:b w:val="0"/>
          <w:sz w:val="20"/>
          <w:szCs w:val="20"/>
          <w:lang w:eastAsia="en-US"/>
        </w:rPr>
        <w:t xml:space="preserve"/>
      </w:r>
      <w:r w:rsidR="006D762E" w:rsidRPr="004D5B0B">
        <w:rPr>
          <w:rFonts w:eastAsia="Calibri"/>
          <w:b w:val="0"/>
          <w:sz w:val="20"/>
          <w:szCs w:val="20"/>
          <w:lang w:eastAsia="en-US"/>
        </w:rPr>
        <w:t/>
      </w:r>
      <w:r w:rsidR="004D5B0B" w:rsidRPr="004D5B0B">
        <w:rPr>
          <w:rFonts w:eastAsia="Calibri"/>
          <w:b w:val="0"/>
          <w:sz w:val="20"/>
          <w:szCs w:val="20"/>
          <w:lang w:eastAsia="en-US"/>
        </w:rPr>
        <w:t xml:space="preserve"/>
      </w:r>
      <w:r w:rsidR="004D5B0B" w:rsidRPr="007F3791">
        <w:rPr>
          <w:rFonts w:eastAsia="Calibri"/>
          <w:bCs w:val="0"/>
          <w:sz w:val="20"/>
          <w:szCs w:val="20"/>
          <w:lang w:eastAsia="en-US"/>
        </w:rPr>
        <w:t/>
      </w:r>
      <w:r w:rsidR="004D5B0B" w:rsidRPr="004D5B0B">
        <w:rPr>
          <w:rFonts w:eastAsia="Calibri"/>
          <w:b w:val="0"/>
          <w:sz w:val="20"/>
          <w:szCs w:val="20"/>
          <w:lang w:eastAsia="en-US"/>
        </w:rPr>
        <w:t xml:space="preserve"/>
      </w:r>
      <w:r w:rsidR="00800F2C" w:rsidRPr="00800F2C">
        <w:rPr>
          <w:rFonts w:eastAsia="Calibri"/>
          <w:b w:val="0"/>
          <w:sz w:val="20"/>
          <w:szCs w:val="20"/>
          <w:lang w:eastAsia="en-US"/>
        </w:rPr>
        <w:t/>
      </w:r>
      <w:r w:rsidR="004D5B0B" w:rsidRPr="004D5B0B">
        <w:rPr>
          <w:rFonts w:eastAsia="Calibri"/>
          <w:b w:val="0"/>
          <w:sz w:val="20"/>
          <w:szCs w:val="20"/>
          <w:lang w:eastAsia="en-US"/>
        </w:rPr>
        <w:t xml:space="preserve"/>
      </w:r>
      <w:r w:rsidR="004D5B0B" w:rsidRPr="007F3791">
        <w:rPr>
          <w:rFonts w:eastAsia="Calibri"/>
          <w:bCs w:val="0"/>
          <w:sz w:val="20"/>
          <w:szCs w:val="20"/>
          <w:lang w:eastAsia="en-US"/>
        </w:rPr>
        <w:t/>
      </w:r>
      <w:r w:rsidR="004D5B0B" w:rsidRPr="004D5B0B">
        <w:rPr>
          <w:rFonts w:eastAsia="Calibri"/>
          <w:b w:val="0"/>
          <w:sz w:val="20"/>
          <w:szCs w:val="20"/>
          <w:lang w:eastAsia="en-US"/>
        </w:rPr>
        <w:t xml:space="preserve"/>
      </w:r>
      <w:r w:rsidR="007F3791">
        <w:rPr>
          <w:rFonts w:eastAsia="Calibri"/>
          <w:b w:val="0"/>
          <w:sz w:val="20"/>
          <w:szCs w:val="20"/>
          <w:lang w:eastAsia="en-US"/>
        </w:rPr>
        <w:t xml:space="preserve"/>
      </w:r>
      <w:r w:rsidR="004D5B0B" w:rsidRPr="007F3791">
        <w:rPr>
          <w:rFonts w:eastAsia="Calibri"/>
          <w:bCs w:val="0"/>
          <w:sz w:val="20"/>
          <w:szCs w:val="20"/>
          <w:lang w:eastAsia="en-US"/>
        </w:rPr>
        <w:t/>
      </w:r>
      <w:r w:rsidR="004D5B0B" w:rsidRPr="004D5B0B">
        <w:rPr>
          <w:rFonts w:eastAsia="Calibri"/>
          <w:b w:val="0"/>
          <w:sz w:val="20"/>
          <w:szCs w:val="20"/>
          <w:lang w:eastAsia="en-US"/>
        </w:rPr>
        <w:t xml:space="preserve"/>
      </w:r>
      <w:r w:rsidR="002369C1" w:rsidRPr="002369C1">
        <w:rPr>
          <w:rFonts w:eastAsia="Calibri"/>
          <w:b w:val="0"/>
          <w:sz w:val="20"/>
          <w:szCs w:val="20"/>
          <w:lang w:eastAsia="en-US"/>
        </w:rPr>
        <w:t/>
      </w:r>
      <w:r w:rsidR="004D5B0B" w:rsidRPr="004D5B0B">
        <w:rPr>
          <w:rFonts w:eastAsia="Calibri"/>
          <w:b w:val="0"/>
          <w:sz w:val="20"/>
          <w:szCs w:val="20"/>
          <w:lang w:eastAsia="en-US"/>
        </w:rPr>
        <w:t/>
      </w:r>
      <w:r w:rsidR="007F3791">
        <w:rPr>
          <w:rFonts w:eastAsia="Calibri"/>
          <w:b w:val="0"/>
          <w:sz w:val="20"/>
          <w:szCs w:val="20"/>
          <w:lang w:eastAsia="en-US"/>
        </w:rPr>
        <w:t xml:space="preserve"/>
      </w:r>
      <w:r w:rsidR="004D5B0B" w:rsidRPr="00B91FED">
        <w:rPr>
          <w:rFonts w:eastAsia="Calibri"/>
          <w:bCs w:val="0"/>
          <w:sz w:val="20"/>
          <w:szCs w:val="20"/>
          <w:lang w:eastAsia="en-US"/>
        </w:rPr>
        <w:t/>
      </w:r>
      <w:r w:rsidR="004D5B0B" w:rsidRPr="00B91FED">
        <w:rPr>
          <w:rFonts w:eastAsia="Calibri"/>
          <w:b w:val="0"/>
          <w:sz w:val="20"/>
          <w:szCs w:val="20"/>
          <w:lang w:eastAsia="en-US"/>
        </w:rPr>
        <w:t xml:space="preserve"/>
      </w:r>
      <w:r w:rsidR="00B91FED" w:rsidRPr="00B91FED">
        <w:rPr>
          <w:rFonts w:eastAsia="Calibri"/>
          <w:b w:val="0"/>
          <w:sz w:val="20"/>
          <w:szCs w:val="20"/>
          <w:lang w:eastAsia="en-US"/>
        </w:rPr>
        <w:t/>
      </w:r>
      <w:r w:rsidR="00DA0C18">
        <w:rPr>
          <w:rFonts w:eastAsia="Calibri"/>
          <w:b w:val="0"/>
          <w:sz w:val="20"/>
          <w:szCs w:val="20"/>
          <w:lang w:eastAsia="en-US"/>
        </w:rPr>
        <w:t xml:space="preserve"/>
      </w:r>
      <w:r w:rsidR="000A5952">
        <w:rPr>
          <w:rFonts w:eastAsia="Calibri"/>
          <w:b w:val="0"/>
          <w:sz w:val="20"/>
          <w:szCs w:val="20"/>
          <w:lang w:eastAsia="en-US"/>
        </w:rPr>
        <w:t/>
      </w:r>
      <w:r w:rsidR="00B91FED" w:rsidRPr="00B91FED">
        <w:rPr>
          <w:rFonts w:eastAsia="Calibri"/>
          <w:b w:val="0"/>
          <w:sz w:val="20"/>
          <w:szCs w:val="20"/>
          <w:lang w:eastAsia="en-US"/>
        </w:rPr>
        <w:t xml:space="preserve"/>
      </w:r>
      <w:r w:rsidR="000A5952">
        <w:rPr>
          <w:rFonts w:eastAsia="Calibri"/>
          <w:b w:val="0"/>
          <w:sz w:val="20"/>
          <w:szCs w:val="20"/>
          <w:lang w:eastAsia="en-US"/>
        </w:rPr>
        <w:t/>
      </w:r>
      <w:r w:rsidR="00B91FED" w:rsidRPr="00B91FED">
        <w:rPr>
          <w:rFonts w:eastAsia="Calibri"/>
          <w:b w:val="0"/>
          <w:sz w:val="20"/>
          <w:szCs w:val="20"/>
          <w:lang w:eastAsia="en-US"/>
        </w:rPr>
        <w:t xml:space="preserve"/>
      </w:r>
      <w:r w:rsidR="000A5952">
        <w:rPr>
          <w:rFonts w:eastAsia="Calibri"/>
          <w:b w:val="0"/>
          <w:sz w:val="20"/>
          <w:szCs w:val="20"/>
          <w:lang w:eastAsia="en-US"/>
        </w:rPr>
        <w:t xml:space="preserve"/>
      </w:r>
      <w:r w:rsidR="00F7744A">
        <w:rPr>
          <w:rFonts w:eastAsia="Calibri"/>
          <w:b w:val="0"/>
          <w:sz w:val="20"/>
          <w:szCs w:val="20"/>
          <w:lang w:eastAsia="en-US"/>
        </w:rPr>
        <w:t/>
      </w:r>
      <w:r w:rsidR="000A5952">
        <w:rPr>
          <w:rFonts w:eastAsia="Calibri"/>
          <w:b w:val="0"/>
          <w:sz w:val="20"/>
          <w:szCs w:val="20"/>
          <w:lang w:eastAsia="en-US"/>
        </w:rPr>
        <w:t xml:space="preserve"/>
      </w:r>
      <w:r w:rsidR="00B91FED" w:rsidRPr="00B91FED">
        <w:rPr>
          <w:rFonts w:eastAsia="Calibri"/>
          <w:b w:val="0"/>
          <w:sz w:val="20"/>
          <w:szCs w:val="20"/>
          <w:lang w:eastAsia="en-US"/>
        </w:rPr>
        <w:t xml:space="preserve"/>
      </w:r>
      <w:r w:rsidR="00B91FED" w:rsidRPr="001E35CC">
        <w:rPr>
          <w:rFonts w:eastAsia="Calibri"/>
          <w:b w:val="0"/>
          <w:sz w:val="20"/>
          <w:szCs w:val="20"/>
          <w:lang w:eastAsia="en-US"/>
        </w:rPr>
        <w:t xml:space="preserve"/>
      </w:r>
      <w:r w:rsidR="004D5B0B" w:rsidRPr="001E35CC">
        <w:rPr>
          <w:rFonts w:eastAsia="Calibri"/>
          <w:bCs w:val="0"/>
          <w:sz w:val="20"/>
          <w:szCs w:val="20"/>
          <w:lang w:eastAsia="en-US"/>
        </w:rPr>
        <w:t/>
      </w:r>
      <w:r w:rsidR="004D5B0B" w:rsidRPr="001E35CC">
        <w:rPr>
          <w:rFonts w:eastAsia="Calibri"/>
          <w:b w:val="0"/>
          <w:sz w:val="20"/>
          <w:szCs w:val="20"/>
          <w:lang w:eastAsia="en-US"/>
        </w:rPr>
        <w:t xml:space="preserve"/>
      </w:r>
      <w:r w:rsidR="00EC2478" w:rsidRPr="00EC2478">
        <w:rPr>
          <w:rFonts w:eastAsia="Calibri"/>
          <w:b w:val="0"/>
          <w:sz w:val="20"/>
          <w:szCs w:val="20"/>
          <w:lang w:eastAsia="en-US"/>
        </w:rPr>
        <w:t/>
      </w:r>
    </w:p>
    <w:p w14:paraId="43D68789" w14:textId="51F99141" w:rsidR="003A2A8D" w:rsidRDefault="003A2A8D" w:rsidP="00EC2478">
      <w:pPr>
        <w:pStyle w:val="Abstract"/>
        <w:rPr>
          <w:b w:val="0"/>
          <w:bCs w:val="0"/>
          <w:i/>
          <w:sz w:val="20"/>
          <w:szCs w:val="20"/>
        </w:rPr>
      </w:pPr>
      <w:r>
        <w:rPr>
          <w:i/>
          <w:sz w:val="20"/>
          <w:szCs w:val="20"/>
        </w:rPr>
        <w:t/>
      </w:r>
      <w:r w:rsidR="00092B52">
        <w:rPr>
          <w:rFonts w:eastAsia="Times New Roman"/>
          <w:sz w:val="20"/>
          <w:szCs w:val="20"/>
        </w:rPr>
        <w:t xml:space="preserve"/>
      </w:r>
      <w:r w:rsidR="006862A2" w:rsidRPr="006862A2">
        <w:rPr>
          <w:rFonts w:eastAsia="Times New Roman"/>
          <w:sz w:val="20"/>
          <w:szCs w:val="20"/>
        </w:rPr>
        <w:t/>
      </w:r>
    </w:p>
    <w:p w14:paraId="50664962" w14:textId="416FB694" w:rsidR="007079C8" w:rsidRPr="007079C8" w:rsidRDefault="007079C8" w:rsidP="006862A2">
      <w:pPr>
        <w:pStyle w:val="keywords"/>
        <w:spacing w:after="0"/>
        <w:ind w:firstLine="0"/>
        <w:rPr>
          <w:sz w:val="20"/>
          <w:szCs w:val="20"/>
        </w:rPr>
      </w:pPr>
      <w:r>
        <w:rPr>
          <w:b w:val="0"/>
          <w:bCs w:val="0"/>
          <w:i/>
          <w:sz w:val="20"/>
          <w:szCs w:val="20"/>
        </w:rPr>
        <w:t/>
      </w:r>
    </w:p>
    <w:p w14:paraId="7F1A1A33" w14:textId="77777777" w:rsidR="00692375" w:rsidRDefault="00092B52" w:rsidP="00A7275D">
      <w:pPr>
        <w:pStyle w:val="Heading1"/>
        <w:numPr>
          <w:ilvl w:val="0"/>
          <w:numId w:val="1"/>
        </w:numPr>
        <w:jc w:val="left"/>
        <w:rPr>
          <w:b/>
        </w:rPr>
      </w:pPr>
      <w:r>
        <w:rPr>
          <w:b/>
        </w:rPr>
        <w:t>Introduction</w:t>
      </w:r>
    </w:p>
    <w:p w14:paraId="781103FC" w14:textId="184B90A8" w:rsidR="00C76472" w:rsidRPr="00385BC4" w:rsidRDefault="00C76472" w:rsidP="00A7275D">
      <w:pPr>
        <w:pStyle w:val="BodyText"/>
        <w:rPr>
          <w:color w:val="000000"/>
          <w:spacing w:val="0"/>
        </w:rPr>
      </w:pPr>
      <w:r w:rsidRPr="00385BC4">
        <w:rPr>
          <w:color w:val="000000"/>
          <w:spacing w:val="0"/>
        </w:rPr>
        <w:t xml:space="preserve">Skin care is a vital component of basic care. Skin breakdowns and pressure sores can be avoided with proper treatment (Pandhare et al., 2018). Therefore, the nursing team’s care should be enhanced when an elderly patient is admitted to the hospital (Debon et al., 2018). In a healthcare setting, nurses are responsible for protecting the skin integrity of patients. They should undertake continual, systematic monitoring and provide appropriate skin care to minimize repeated bruising and tissue damage (Jaganath, 2021). </w:t>
      </w:r>
      <w:r w:rsidR="009F5EEE" w:rsidRPr="00385BC4">
        <w:rPr>
          <w:color w:val="000000"/>
          <w:spacing w:val="0"/>
        </w:rPr>
        <w:t xml:space="preserve">The Braden Scale (BS) is one of the most widely used and validated instruments for assessing pressure injury risk. </w:t>
      </w:r>
      <w:r w:rsidRPr="00385BC4">
        <w:rPr>
          <w:color w:val="000000"/>
          <w:spacing w:val="0"/>
        </w:rPr>
        <w:t xml:space="preserve"> In a recent study, the overall Braden Scale score was shown to have high interrater reliability among nurses, nursing assistants, and </w:t>
      </w:r>
      <w:r w:rsidRPr="00385BC4">
        <w:rPr>
          <w:color w:val="000000"/>
          <w:spacing w:val="0"/>
        </w:rPr>
        <w:lastRenderedPageBreak/>
        <w:t>graduate assistants. A risk assessment tool’s ability to predict a clinical outcome is critical to its clinical effectiveness. For more than 30 years, the Braden Scale has been used in a variety of settings with no significant modifications to the scale or subscales (Cowan et al., 2016).</w:t>
      </w:r>
    </w:p>
    <w:p w14:paraId="3FD2DCC6" w14:textId="7C9BE5C7" w:rsidR="00C76472" w:rsidRPr="00385BC4" w:rsidRDefault="009F5EEE" w:rsidP="00A7275D">
      <w:pPr>
        <w:pStyle w:val="BodyText"/>
        <w:rPr>
          <w:color w:val="000000"/>
          <w:spacing w:val="0"/>
        </w:rPr>
      </w:pPr>
      <w:r w:rsidRPr="00385BC4">
        <w:rPr>
          <w:color w:val="000000"/>
          <w:spacing w:val="0"/>
        </w:rPr>
        <w:t xml:space="preserve">Problem statement: </w:t>
      </w:r>
      <w:r w:rsidR="00C76472" w:rsidRPr="00385BC4">
        <w:rPr>
          <w:color w:val="000000"/>
          <w:spacing w:val="0"/>
        </w:rPr>
        <w:t xml:space="preserve">A clinical question </w:t>
      </w:r>
      <w:r w:rsidRPr="00385BC4">
        <w:rPr>
          <w:color w:val="000000"/>
          <w:spacing w:val="0"/>
        </w:rPr>
        <w:t xml:space="preserve">emerged in </w:t>
      </w:r>
      <w:r w:rsidR="00C76472" w:rsidRPr="00385BC4">
        <w:rPr>
          <w:color w:val="000000"/>
          <w:spacing w:val="0"/>
        </w:rPr>
        <w:t xml:space="preserve">a governmental hospital in the </w:t>
      </w:r>
      <w:r w:rsidRPr="00385BC4">
        <w:rPr>
          <w:color w:val="000000"/>
          <w:spacing w:val="0"/>
        </w:rPr>
        <w:t>United Arab Emirates</w:t>
      </w:r>
      <w:r w:rsidR="00C76472" w:rsidRPr="00385BC4">
        <w:rPr>
          <w:color w:val="000000"/>
          <w:spacing w:val="0"/>
        </w:rPr>
        <w:t xml:space="preserve"> </w:t>
      </w:r>
      <w:r w:rsidRPr="00385BC4">
        <w:rPr>
          <w:color w:val="000000"/>
          <w:spacing w:val="0"/>
        </w:rPr>
        <w:t>following the identification of practice gaps related</w:t>
      </w:r>
      <w:r w:rsidR="00C76472" w:rsidRPr="00385BC4">
        <w:rPr>
          <w:color w:val="000000"/>
          <w:spacing w:val="0"/>
        </w:rPr>
        <w:t xml:space="preserve"> to Braden Scale assessment documentation and care bundle decisions. This revealed the possibility of variation in nursing documentation and interpretation of Braden Scale risk assessments for patients, which may eventually influence interventions and the use of care bundles, including risk assessment, support surfaces, repositioning the patient, mobilization, elimination of friction, nutritional support, and moisture management. Limited studies were found regarding variations in nurses’ documentation related to BS risk assessment and associated care bundles.</w:t>
      </w:r>
    </w:p>
    <w:p w14:paraId="3494F86A" w14:textId="420CD868" w:rsidR="00C76472" w:rsidRPr="00385BC4" w:rsidRDefault="009F5EEE" w:rsidP="00A7275D">
      <w:pPr>
        <w:pStyle w:val="BodyText"/>
        <w:rPr>
          <w:color w:val="000000"/>
          <w:spacing w:val="0"/>
        </w:rPr>
      </w:pPr>
      <w:r w:rsidRPr="00385BC4">
        <w:rPr>
          <w:color w:val="000000"/>
          <w:spacing w:val="0"/>
        </w:rPr>
        <w:t>Therefore, the</w:t>
      </w:r>
      <w:r w:rsidR="00C76472" w:rsidRPr="00385BC4">
        <w:rPr>
          <w:color w:val="000000"/>
          <w:spacing w:val="0"/>
        </w:rPr>
        <w:t xml:space="preserve"> aim of this study is to explore variations in nurses’ documentation </w:t>
      </w:r>
      <w:r w:rsidRPr="00385BC4">
        <w:rPr>
          <w:color w:val="000000"/>
          <w:spacing w:val="0"/>
        </w:rPr>
        <w:t xml:space="preserve">of Braden Scale elements </w:t>
      </w:r>
      <w:r w:rsidR="00C76472" w:rsidRPr="00385BC4">
        <w:rPr>
          <w:color w:val="000000"/>
          <w:spacing w:val="0"/>
        </w:rPr>
        <w:t xml:space="preserve">and their impact on care decisions for early </w:t>
      </w:r>
      <w:r w:rsidR="004714B7" w:rsidRPr="00385BC4">
        <w:rPr>
          <w:color w:val="000000"/>
          <w:spacing w:val="0"/>
        </w:rPr>
        <w:t>detection,</w:t>
      </w:r>
      <w:r w:rsidR="00C76472" w:rsidRPr="00385BC4">
        <w:rPr>
          <w:color w:val="000000"/>
          <w:spacing w:val="0"/>
        </w:rPr>
        <w:t xml:space="preserve"> correct</w:t>
      </w:r>
      <w:r w:rsidRPr="00385BC4">
        <w:rPr>
          <w:color w:val="000000"/>
          <w:spacing w:val="0"/>
        </w:rPr>
        <w:t>ion and</w:t>
      </w:r>
      <w:r w:rsidR="00C76472" w:rsidRPr="00385BC4">
        <w:rPr>
          <w:color w:val="000000"/>
          <w:spacing w:val="0"/>
        </w:rPr>
        <w:t xml:space="preserve"> timely management, relying on the correct use of the Braden Scale risk assessment tool.</w:t>
      </w:r>
    </w:p>
    <w:p w14:paraId="520ACA9B" w14:textId="1E3DF225" w:rsidR="00C76472" w:rsidRPr="00385BC4" w:rsidRDefault="00C76472" w:rsidP="00A7275D">
      <w:pPr>
        <w:pStyle w:val="BodyText"/>
        <w:spacing w:after="4"/>
        <w:rPr>
          <w:color w:val="000000"/>
          <w:spacing w:val="0"/>
        </w:rPr>
      </w:pPr>
      <w:r w:rsidRPr="00385BC4">
        <w:rPr>
          <w:color w:val="000000"/>
          <w:spacing w:val="0"/>
        </w:rPr>
        <w:t xml:space="preserve">The primary </w:t>
      </w:r>
      <w:r w:rsidR="00DF0E8C" w:rsidRPr="00385BC4">
        <w:rPr>
          <w:color w:val="000000"/>
          <w:spacing w:val="0"/>
        </w:rPr>
        <w:t>objective</w:t>
      </w:r>
      <w:r w:rsidRPr="00385BC4">
        <w:rPr>
          <w:color w:val="000000"/>
          <w:spacing w:val="0"/>
        </w:rPr>
        <w:t xml:space="preserve"> is to enhance pressure </w:t>
      </w:r>
      <w:r w:rsidR="00E0505A">
        <w:rPr>
          <w:color w:val="000000"/>
          <w:spacing w:val="0"/>
        </w:rPr>
        <w:t>injury</w:t>
      </w:r>
      <w:r w:rsidRPr="00385BC4">
        <w:rPr>
          <w:color w:val="000000"/>
          <w:spacing w:val="0"/>
        </w:rPr>
        <w:t xml:space="preserve"> prevention through accurate</w:t>
      </w:r>
      <w:r w:rsidR="00DF0E8C" w:rsidRPr="00385BC4">
        <w:rPr>
          <w:color w:val="000000"/>
          <w:spacing w:val="0"/>
        </w:rPr>
        <w:t xml:space="preserve"> risk assessment and documentation</w:t>
      </w:r>
      <w:r w:rsidRPr="00385BC4">
        <w:rPr>
          <w:color w:val="000000"/>
          <w:spacing w:val="0"/>
        </w:rPr>
        <w:t xml:space="preserve">. A secondary </w:t>
      </w:r>
      <w:r w:rsidR="00DF0E8C" w:rsidRPr="00385BC4">
        <w:rPr>
          <w:color w:val="000000"/>
          <w:spacing w:val="0"/>
        </w:rPr>
        <w:t>objective</w:t>
      </w:r>
      <w:r w:rsidRPr="00385BC4">
        <w:rPr>
          <w:color w:val="000000"/>
          <w:spacing w:val="0"/>
        </w:rPr>
        <w:t xml:space="preserve"> is to evaluate the </w:t>
      </w:r>
      <w:r w:rsidR="00DF0E8C" w:rsidRPr="00385BC4">
        <w:rPr>
          <w:color w:val="000000"/>
          <w:spacing w:val="0"/>
        </w:rPr>
        <w:t xml:space="preserve">nursing </w:t>
      </w:r>
      <w:r w:rsidRPr="00385BC4">
        <w:rPr>
          <w:color w:val="000000"/>
          <w:spacing w:val="0"/>
        </w:rPr>
        <w:t xml:space="preserve">documentation practices </w:t>
      </w:r>
      <w:r w:rsidR="00DF0E8C" w:rsidRPr="00385BC4">
        <w:rPr>
          <w:color w:val="000000"/>
          <w:spacing w:val="0"/>
        </w:rPr>
        <w:t>within intensive care units and general medical‑surgical wards</w:t>
      </w:r>
      <w:r w:rsidRPr="00385BC4">
        <w:rPr>
          <w:color w:val="000000"/>
          <w:spacing w:val="0"/>
        </w:rPr>
        <w:t>, and to assess how documentation affects care plan decisions</w:t>
      </w:r>
      <w:r w:rsidR="00A013B5" w:rsidRPr="00385BC4">
        <w:rPr>
          <w:color w:val="000000"/>
          <w:spacing w:val="0"/>
        </w:rPr>
        <w:t xml:space="preserve"> and interventions.</w:t>
      </w:r>
      <w:r w:rsidRPr="00385BC4">
        <w:rPr>
          <w:color w:val="000000"/>
          <w:spacing w:val="0"/>
        </w:rPr>
        <w:t xml:space="preserve"> This study will enable researchers to explore whether there is significant variation in nurses’ documentation of BS and the decisions recorded in electronic medical records.</w:t>
      </w:r>
    </w:p>
    <w:p w14:paraId="6639A27D" w14:textId="6263B184" w:rsidR="00A9368B" w:rsidRDefault="00C76472" w:rsidP="004714B7">
      <w:pPr>
        <w:pStyle w:val="BodyText"/>
        <w:spacing w:after="4"/>
        <w:ind w:firstLine="0"/>
        <w:rPr>
          <w:color w:val="000000"/>
          <w:spacing w:val="0"/>
        </w:rPr>
      </w:pPr>
      <w:r w:rsidRPr="00385BC4">
        <w:rPr>
          <w:color w:val="000000"/>
          <w:spacing w:val="0"/>
        </w:rPr>
        <w:t>The results of this study will lead to the standardization of nursing documentation related to Braden Scale elements and will support decision‑making, with recommendations to provide electronic descriptions for each BS element, which may benefit all hospitals.</w:t>
      </w:r>
    </w:p>
    <w:p w14:paraId="5FA74FD7" w14:textId="77777777" w:rsidR="00385BC4" w:rsidRPr="00385BC4" w:rsidRDefault="00385BC4" w:rsidP="004714B7">
      <w:pPr>
        <w:pStyle w:val="BodyText"/>
        <w:spacing w:after="4"/>
        <w:ind w:firstLine="0"/>
        <w:rPr>
          <w:color w:val="000000"/>
          <w:spacing w:val="0"/>
        </w:rPr>
      </w:pPr>
    </w:p>
    <w:p w14:paraId="39F3A288" w14:textId="30867218" w:rsidR="00692375" w:rsidRDefault="005B05C7" w:rsidP="00A7275D">
      <w:pPr>
        <w:pStyle w:val="Heading1"/>
        <w:numPr>
          <w:ilvl w:val="0"/>
          <w:numId w:val="1"/>
        </w:numPr>
        <w:jc w:val="left"/>
        <w:rPr>
          <w:b/>
        </w:rPr>
      </w:pPr>
      <w:r>
        <w:rPr>
          <w:b/>
        </w:rPr>
        <w:t>Method</w:t>
      </w:r>
    </w:p>
    <w:p w14:paraId="7CCACC9D" w14:textId="398B739C" w:rsidR="001B1F34" w:rsidRPr="000A0616" w:rsidRDefault="009A609C" w:rsidP="00A7275D">
      <w:pPr>
        <w:pStyle w:val="BodyText"/>
        <w:rPr>
          <w:b/>
          <w:spacing w:val="0"/>
        </w:rPr>
      </w:pPr>
      <w:r w:rsidRPr="000A0616">
        <w:rPr>
          <w:b/>
          <w:spacing w:val="0"/>
        </w:rPr>
        <w:t xml:space="preserve">2.1 </w:t>
      </w:r>
      <w:r w:rsidR="003F3C7A" w:rsidRPr="000A0616">
        <w:rPr>
          <w:b/>
          <w:spacing w:val="0"/>
        </w:rPr>
        <w:t>Study Design and setting</w:t>
      </w:r>
    </w:p>
    <w:p w14:paraId="4B615752" w14:textId="04650ADD" w:rsidR="00B22F54" w:rsidRPr="00385BC4" w:rsidRDefault="00B22F54" w:rsidP="00A7275D">
      <w:pPr>
        <w:pStyle w:val="BodyText"/>
        <w:rPr>
          <w:color w:val="000000"/>
          <w:spacing w:val="0"/>
        </w:rPr>
      </w:pPr>
      <w:r w:rsidRPr="00385BC4">
        <w:rPr>
          <w:color w:val="000000"/>
          <w:spacing w:val="0"/>
        </w:rPr>
        <w:t xml:space="preserve">This study employed a cross‑sectional retrospective, descriptive design. Data were collected through </w:t>
      </w:r>
      <w:r w:rsidR="000C05EA">
        <w:rPr>
          <w:color w:val="000000"/>
          <w:spacing w:val="0"/>
        </w:rPr>
        <w:t>Electronic Medical Record (</w:t>
      </w:r>
      <w:r w:rsidR="001B1B9B">
        <w:rPr>
          <w:color w:val="000000"/>
          <w:spacing w:val="0"/>
        </w:rPr>
        <w:t>EMR</w:t>
      </w:r>
      <w:r w:rsidR="000C05EA">
        <w:rPr>
          <w:color w:val="000000"/>
          <w:spacing w:val="0"/>
        </w:rPr>
        <w:t>)</w:t>
      </w:r>
      <w:r w:rsidRPr="00385BC4">
        <w:rPr>
          <w:color w:val="000000"/>
          <w:spacing w:val="0"/>
        </w:rPr>
        <w:t xml:space="preserve"> review conducted at a </w:t>
      </w:r>
      <w:r w:rsidR="00E0505A">
        <w:rPr>
          <w:color w:val="000000"/>
          <w:spacing w:val="0"/>
        </w:rPr>
        <w:t>secondary</w:t>
      </w:r>
      <w:r w:rsidRPr="00385BC4">
        <w:rPr>
          <w:color w:val="000000"/>
          <w:spacing w:val="0"/>
        </w:rPr>
        <w:t xml:space="preserve"> governmental hospital in the United Arab Emirates from March 2021 to August 2021. </w:t>
      </w:r>
    </w:p>
    <w:p w14:paraId="705FB75C" w14:textId="77777777" w:rsidR="00B22F54" w:rsidRPr="00385BC4" w:rsidRDefault="00B22F54" w:rsidP="00A7275D">
      <w:pPr>
        <w:pStyle w:val="BodyText"/>
        <w:rPr>
          <w:color w:val="000000"/>
          <w:spacing w:val="0"/>
        </w:rPr>
      </w:pPr>
      <w:r w:rsidRPr="00385BC4">
        <w:rPr>
          <w:color w:val="000000"/>
          <w:spacing w:val="0"/>
        </w:rPr>
        <w:t>The sources of information for this study included inpatient Braden Scale charting performed by nurses, extracted from computerized medical records known as Wareed (PowerChart). The use of medical records offers several advantages in data collection, including : (1) lower cost, as no additional manpower is required to retrieve data from written records; (2) greater time efficiency, allowing large population to be processed in a relatively short period of time; (3) providing more precise estimates when larger numbers can be analyzed; and (4) the ability to rapidly identify missing data when records are available in spreadsheet format.</w:t>
      </w:r>
    </w:p>
    <w:p w14:paraId="62250AF7" w14:textId="230A302C" w:rsidR="005B05C7" w:rsidRPr="00385BC4" w:rsidRDefault="00B22F54" w:rsidP="00385BC4">
      <w:pPr>
        <w:pStyle w:val="BodyText"/>
        <w:rPr>
          <w:color w:val="000000"/>
          <w:spacing w:val="0"/>
        </w:rPr>
      </w:pPr>
      <w:r w:rsidRPr="00385BC4">
        <w:rPr>
          <w:color w:val="000000"/>
          <w:spacing w:val="0"/>
        </w:rPr>
        <w:t>In addition to the Braden Scale charting data, nurses’ demographic information was obtained from the Nurses Profile Directory after obtaining the necessary approvals. A well‑designed instrument using an Excel sheet to extract data from the case records was utilized to answer the clinical query of immense importance. It was necessary to agree upon which variables were to be extracted and how the coding was to be performed before data extraction occurred. A password‑protected Microsoft Excel file was developed by the statistician to ensure data security.</w:t>
      </w:r>
    </w:p>
    <w:p w14:paraId="3DD6B9E2" w14:textId="77777777" w:rsidR="000A0616" w:rsidRDefault="000A0616" w:rsidP="00A7275D">
      <w:pPr>
        <w:pStyle w:val="BodyText"/>
        <w:spacing w:after="4"/>
        <w:rPr>
          <w:lang w:eastAsia="en-US"/>
        </w:rPr>
      </w:pPr>
    </w:p>
    <w:p w14:paraId="18BA852D" w14:textId="2554B461" w:rsidR="009A609C" w:rsidRPr="000A0616" w:rsidRDefault="009A609C" w:rsidP="00A7275D">
      <w:pPr>
        <w:pStyle w:val="BodyText"/>
        <w:spacing w:after="4"/>
        <w:rPr>
          <w:b/>
          <w:spacing w:val="0"/>
        </w:rPr>
      </w:pPr>
      <w:r w:rsidRPr="000A0616">
        <w:rPr>
          <w:b/>
          <w:spacing w:val="0"/>
        </w:rPr>
        <w:t xml:space="preserve">2.2 </w:t>
      </w:r>
      <w:r w:rsidR="000A0616" w:rsidRPr="000A0616">
        <w:rPr>
          <w:b/>
          <w:spacing w:val="0"/>
        </w:rPr>
        <w:t>Population and Sample</w:t>
      </w:r>
    </w:p>
    <w:p w14:paraId="4F753883" w14:textId="77777777" w:rsidR="00404712" w:rsidRPr="00695707" w:rsidRDefault="00404712" w:rsidP="00695707">
      <w:pPr>
        <w:pStyle w:val="BodyText"/>
        <w:rPr>
          <w:color w:val="000000"/>
          <w:spacing w:val="0"/>
        </w:rPr>
      </w:pPr>
      <w:r w:rsidRPr="00695707">
        <w:rPr>
          <w:color w:val="000000"/>
          <w:spacing w:val="0"/>
        </w:rPr>
        <w:t>A retrospective chart review was conducted using patient records obtained from the hospital database. Following approval from the Ethics Committee and Facility Director, midnight census data were extracted from organizational reports to determine monthly admissions within eligible inpatient units. The Informatics Nurse provided access to the list of patient records meeting the study criteria.</w:t>
      </w:r>
    </w:p>
    <w:p w14:paraId="5F05D6A6" w14:textId="77777777" w:rsidR="00404712" w:rsidRPr="00695707" w:rsidRDefault="00404712" w:rsidP="00695707">
      <w:pPr>
        <w:pStyle w:val="BodyText"/>
        <w:rPr>
          <w:color w:val="000000"/>
          <w:spacing w:val="0"/>
        </w:rPr>
      </w:pPr>
      <w:r w:rsidRPr="00695707">
        <w:rPr>
          <w:color w:val="000000"/>
          <w:spacing w:val="0"/>
        </w:rPr>
        <w:t>The accessible population consisted of 6,000 patient records. The study aimed to include all eligible records available during the study period. Sample size was therefore determined by the number of accessible records meeting the inclusion criteria rather than by a priori sampling. The final analytical sample comprised 2,346 records, which substantially exceeds commonly recommended sample sizes for reliability studies employing Cohen's Kappa and Intraclass Correlation Coefficients (ICC), thereby supporting stable and precise estimates of agreement.</w:t>
      </w:r>
    </w:p>
    <w:p w14:paraId="40E0601B" w14:textId="77777777" w:rsidR="00404712" w:rsidRPr="00695707" w:rsidRDefault="00404712" w:rsidP="00695707">
      <w:pPr>
        <w:pStyle w:val="BodyText"/>
        <w:rPr>
          <w:color w:val="000000"/>
          <w:spacing w:val="0"/>
        </w:rPr>
      </w:pPr>
      <w:r w:rsidRPr="00695707">
        <w:rPr>
          <w:color w:val="000000"/>
          <w:spacing w:val="0"/>
        </w:rPr>
        <w:t>Eligibility screening was conducted in three phases. Phase one involved extraction from the organizational database, where all patient records within adult inpatient units were identified based on predefined eligibility criteria aligned with hospital Braden Scale assessment guidelines. The included units comprised Maternity and Labour, General Female Ward, Male Medical-Surgical Units, and the Intensive Care Unit. During this phase, 1,521 records were excluded, including neonates and ambulatory care patients, as they were not part of the population eligible for Braden Scale assessment according to institutional policy.</w:t>
      </w:r>
    </w:p>
    <w:p w14:paraId="7AD3C4D2" w14:textId="77777777" w:rsidR="00404712" w:rsidRPr="00695707" w:rsidRDefault="00404712" w:rsidP="00695707">
      <w:pPr>
        <w:pStyle w:val="BodyText"/>
        <w:rPr>
          <w:color w:val="000000"/>
          <w:spacing w:val="0"/>
        </w:rPr>
      </w:pPr>
      <w:r w:rsidRPr="00695707">
        <w:rPr>
          <w:color w:val="000000"/>
          <w:spacing w:val="0"/>
        </w:rPr>
        <w:t>Phase two involved further refinement of the dataset based on clinical and documentation-related exclusion criteria. Records were excluded if patients were aged below 30 years, if repeated Braden Scale assessments for the same patient–nurse encounter were present, or if postoperative day recordings were identified due to multiple daily assessments that could introduce duplication bias. Additional exclusions included records of patients with documented fever, records completed by newly graduated nurses who had not yet achieved full clinical competency, incomplete documentation where Braden scores were missing, cases with hospital stays shorter than 24 hours, and deceased patient records. Furthermore, data from 01/03/2021 to 03/03/2021 were excluded due to implementation of a revised Braden Scale documentation format with integrated skin care protocols introduced on 04/03/2021. This phase resulted in the exclusion of 1,756 records.</w:t>
      </w:r>
    </w:p>
    <w:p w14:paraId="2932A467" w14:textId="77777777" w:rsidR="00404712" w:rsidRPr="00695707" w:rsidRDefault="00404712" w:rsidP="00695707">
      <w:pPr>
        <w:pStyle w:val="BodyText"/>
        <w:rPr>
          <w:color w:val="000000"/>
          <w:spacing w:val="0"/>
        </w:rPr>
      </w:pPr>
      <w:r w:rsidRPr="00695707">
        <w:rPr>
          <w:color w:val="000000"/>
          <w:spacing w:val="0"/>
        </w:rPr>
        <w:t>Phase three involved the final eligibility confirmation and data auditing process. During this stage, 377 records could not be fully reviewed due to completion of the predefined data collection timeframe. As a result, these records were not included in the final analysis. The remaining eligible dataset comprised 2,346 records, which constituted the final analytical sample for the study.</w:t>
      </w:r>
    </w:p>
    <w:p w14:paraId="079C13C2" w14:textId="77777777" w:rsidR="00404712" w:rsidRPr="00404712" w:rsidRDefault="00404712" w:rsidP="00404712">
      <w:pPr>
        <w:jc w:val="both"/>
        <w:rPr>
          <w:color w:val="000000"/>
        </w:rPr>
      </w:pPr>
    </w:p>
    <w:p w14:paraId="554A538A" w14:textId="77777777" w:rsidR="004577F1" w:rsidRDefault="004577F1" w:rsidP="00A7275D">
      <w:pPr>
        <w:jc w:val="both"/>
        <w:rPr>
          <w:b/>
          <w:bCs/>
        </w:rPr>
      </w:pPr>
    </w:p>
    <w:p w14:paraId="332F0217" w14:textId="77777777" w:rsidR="004577F1" w:rsidRDefault="004577F1" w:rsidP="00A7275D">
      <w:pPr>
        <w:jc w:val="both"/>
        <w:rPr>
          <w:b/>
          <w:bCs/>
        </w:rPr>
      </w:pPr>
    </w:p>
    <w:p w14:paraId="2141DC8B" w14:textId="1F73A934" w:rsidR="006D47B6" w:rsidRPr="00691748" w:rsidRDefault="006D47B6" w:rsidP="00A7275D">
      <w:pPr>
        <w:jc w:val="both"/>
      </w:pPr>
      <w:r>
        <w:rPr>
          <w:b/>
          <w:bCs/>
        </w:rPr>
        <w:t>2</w:t>
      </w:r>
      <w:r w:rsidRPr="00691748">
        <w:rPr>
          <w:b/>
          <w:bCs/>
        </w:rPr>
        <w:t>.</w:t>
      </w:r>
      <w:r>
        <w:rPr>
          <w:b/>
          <w:bCs/>
        </w:rPr>
        <w:t>3</w:t>
      </w:r>
      <w:r w:rsidRPr="00691748">
        <w:rPr>
          <w:b/>
          <w:bCs/>
        </w:rPr>
        <w:t xml:space="preserve"> Data and Sources of Data</w:t>
      </w:r>
    </w:p>
    <w:p w14:paraId="76B69204" w14:textId="610B4B05" w:rsidR="006D47B6" w:rsidRPr="00385BC4" w:rsidRDefault="006D47B6" w:rsidP="00385BC4">
      <w:pPr>
        <w:pStyle w:val="BodyText"/>
        <w:rPr>
          <w:color w:val="000000"/>
          <w:spacing w:val="0"/>
        </w:rPr>
      </w:pPr>
      <w:r w:rsidRPr="00691748">
        <w:tab/>
      </w:r>
      <w:r w:rsidRPr="00385BC4">
        <w:rPr>
          <w:color w:val="000000"/>
          <w:spacing w:val="0"/>
        </w:rPr>
        <w:t>The data collection tool was developed using Microsoft Excel® 2019 and incorporated automated formula functions aligned with the study objectives. The tool was designed collaboratively by the research team and an analytic expert. It captured nurses’ demographic characteristics, including age, educational qualification, and length of professional experience (months and years), as well as assigned clinical departments.</w:t>
      </w:r>
    </w:p>
    <w:p w14:paraId="550C9545" w14:textId="77777777" w:rsidR="006D47B6" w:rsidRPr="00385BC4" w:rsidRDefault="006D47B6" w:rsidP="00385BC4">
      <w:pPr>
        <w:pStyle w:val="BodyText"/>
        <w:rPr>
          <w:color w:val="000000"/>
          <w:spacing w:val="0"/>
        </w:rPr>
      </w:pPr>
      <w:r w:rsidRPr="00385BC4">
        <w:rPr>
          <w:color w:val="000000"/>
          <w:spacing w:val="0"/>
        </w:rPr>
        <w:t>The tool also recorded Braden Scale assessment data, including scores for each of the six Braden subscales, total Braden scores, categorical risk classifications, and the differences between assessments conducted by two nurses during the same shift for the same patient on the same day. In addition, variations in skin integrity protocols—based on patient activity status (mobile or immobile)—and corresponding pressure injury prevention interventions were included.</w:t>
      </w:r>
    </w:p>
    <w:p w14:paraId="21F423B3" w14:textId="7A6BBC54" w:rsidR="00B80A56" w:rsidRDefault="006D47B6" w:rsidP="00385BC4">
      <w:pPr>
        <w:pStyle w:val="BodyText"/>
        <w:rPr>
          <w:color w:val="000000"/>
          <w:spacing w:val="0"/>
        </w:rPr>
      </w:pPr>
      <w:r w:rsidRPr="00385BC4">
        <w:rPr>
          <w:color w:val="000000"/>
          <w:spacing w:val="0"/>
        </w:rPr>
        <w:t>Data were collected manually and subsequently entered into Excel® 2019 for analysis. The spreadsheet enabled systematic comparison of Braden Scale scores between two nurses per shift, identification of discrepancies in skin integrity prevention protocols, and differences in selected nursing interventions for identical clinical scenarios.</w:t>
      </w:r>
    </w:p>
    <w:p w14:paraId="22D5D07A" w14:textId="77777777" w:rsidR="00321D80" w:rsidRPr="00385BC4" w:rsidRDefault="00321D80" w:rsidP="004A484F">
      <w:pPr>
        <w:pStyle w:val="BodyText"/>
        <w:ind w:firstLine="0"/>
        <w:rPr>
          <w:color w:val="000000"/>
          <w:spacing w:val="0"/>
        </w:rPr>
      </w:pPr>
    </w:p>
    <w:p w14:paraId="5D198AAD" w14:textId="23EC6713" w:rsidR="00B80A56" w:rsidRDefault="000E155C" w:rsidP="00AF17DE">
      <w:pPr>
        <w:pStyle w:val="Heading1"/>
        <w:numPr>
          <w:ilvl w:val="0"/>
          <w:numId w:val="1"/>
        </w:numPr>
        <w:jc w:val="left"/>
        <w:rPr>
          <w:b/>
        </w:rPr>
      </w:pPr>
      <w:r>
        <w:rPr>
          <w:b/>
        </w:rPr>
        <w:t xml:space="preserve">STATISTICAL ANALYSIS </w:t>
      </w:r>
    </w:p>
    <w:p w14:paraId="58B0FC7F" w14:textId="77777777" w:rsidR="008B5873" w:rsidRDefault="008B5873" w:rsidP="008B5873">
      <w:pPr>
        <w:pStyle w:val="BodyText"/>
        <w:rPr>
          <w:lang w:eastAsia="en-US"/>
        </w:rPr>
      </w:pPr>
    </w:p>
    <w:p w14:paraId="6572EBF0" w14:textId="77777777" w:rsidR="009451A5" w:rsidRPr="009451A5" w:rsidRDefault="009451A5" w:rsidP="009451A5">
      <w:pPr>
        <w:pStyle w:val="BodyText"/>
        <w:rPr>
          <w:color w:val="000000"/>
          <w:spacing w:val="0"/>
        </w:rPr>
      </w:pPr>
      <w:r w:rsidRPr="009451A5">
        <w:rPr>
          <w:color w:val="000000"/>
          <w:spacing w:val="0"/>
        </w:rPr>
        <w:t>Data were analyzed using SPSS. Pivot tables were used to identify differences and compare nurses’ documentation of the Braden Scale assessment using numeric values and percentages. Descriptive statistics, including frequencies and percentages, were applied to summarize Braden Scale (BS) scores, risk‑level classifications, and documentation patterns. Agreement and discrepancies in the documentation of BS elements, overall risk labeling, skin integrity protocol selection, and intervention selection were assessed using frequency and percentage analyses.</w:t>
      </w:r>
    </w:p>
    <w:p w14:paraId="03C70F22" w14:textId="13794500" w:rsidR="008B5873" w:rsidRPr="00385BC4" w:rsidRDefault="009451A5" w:rsidP="009451A5">
      <w:pPr>
        <w:pStyle w:val="BodyText"/>
        <w:rPr>
          <w:color w:val="000000"/>
          <w:spacing w:val="0"/>
        </w:rPr>
      </w:pPr>
      <w:r w:rsidRPr="009451A5">
        <w:rPr>
          <w:color w:val="000000"/>
          <w:spacing w:val="0"/>
        </w:rPr>
        <w:t xml:space="preserve">Inter‑rater agreement between day‑ and night‑shift nurses for categorical BS elements and risk‑level classifications was evaluated using Cohen’s kappa statistics. Intraclass correlation coefficients (ICCs), based on a two‑way random‑effects model with absolute agreement, were calculated to assess consistency between nurses for total Braden Scale scores. </w:t>
      </w:r>
      <w:r w:rsidR="00C7336E" w:rsidRPr="009451A5">
        <w:rPr>
          <w:color w:val="000000"/>
          <w:spacing w:val="0"/>
        </w:rPr>
        <w:t>Crosstabulation</w:t>
      </w:r>
      <w:r w:rsidRPr="009451A5">
        <w:rPr>
          <w:color w:val="000000"/>
          <w:spacing w:val="0"/>
        </w:rPr>
        <w:t xml:space="preserve"> analyses were utilized to compare agreement across both multiple and binary risk classifications. Statistical significance was set at a p‑value &lt; 0.05.</w:t>
      </w:r>
    </w:p>
    <w:p w14:paraId="28E328C6" w14:textId="151E949F" w:rsidR="00990BD1" w:rsidRDefault="00990BD1" w:rsidP="00CC794C">
      <w:pPr>
        <w:pStyle w:val="BodyText"/>
        <w:ind w:firstLine="0"/>
      </w:pPr>
    </w:p>
    <w:p w14:paraId="71295CE7" w14:textId="7E70F2AE" w:rsidR="00C26B91" w:rsidRPr="004A484F" w:rsidRDefault="008B5873" w:rsidP="004A484F">
      <w:pPr>
        <w:pStyle w:val="Heading1"/>
        <w:numPr>
          <w:ilvl w:val="0"/>
          <w:numId w:val="1"/>
        </w:numPr>
        <w:jc w:val="left"/>
        <w:rPr>
          <w:b/>
        </w:rPr>
      </w:pPr>
      <w:r>
        <w:rPr>
          <w:b/>
        </w:rPr>
        <w:t xml:space="preserve">Results </w:t>
      </w:r>
    </w:p>
    <w:p w14:paraId="31CC5767" w14:textId="77777777" w:rsidR="008B5873" w:rsidRPr="00385BC4" w:rsidRDefault="008B5873" w:rsidP="008B5873">
      <w:pPr>
        <w:pStyle w:val="BodyText"/>
        <w:rPr>
          <w:color w:val="000000"/>
          <w:spacing w:val="0"/>
        </w:rPr>
      </w:pPr>
      <w:r w:rsidRPr="00385BC4">
        <w:rPr>
          <w:color w:val="000000"/>
          <w:spacing w:val="0"/>
        </w:rPr>
        <w:t xml:space="preserve">The Braden Scale (BS) is a validated risk assessment tool comprising six components: sensory perception, moisture, activity, mobility, nutrition, and friction/shear. Five components are rated on a four‑point ordinal scale (1–4), while the friction/shear component is rated on a three‑point scale (1–3).  In the Wareed system, Braden Scale risk levels are classified as follows: very high risk and high risk (score </w:t>
      </w:r>
      <w:r w:rsidRPr="00385BC4">
        <w:rPr>
          <w:rFonts w:hint="eastAsia"/>
          <w:color w:val="000000"/>
          <w:spacing w:val="0"/>
        </w:rPr>
        <w:t>≤</w:t>
      </w:r>
      <w:r w:rsidRPr="00385BC4">
        <w:rPr>
          <w:color w:val="000000"/>
          <w:spacing w:val="0"/>
        </w:rPr>
        <w:t xml:space="preserve"> 12), moderate risk (score 13–14), and low risk or at risk (score </w:t>
      </w:r>
      <w:r w:rsidRPr="00385BC4">
        <w:rPr>
          <w:rFonts w:hint="eastAsia"/>
          <w:color w:val="000000"/>
          <w:spacing w:val="0"/>
        </w:rPr>
        <w:t>≥</w:t>
      </w:r>
      <w:r w:rsidRPr="00385BC4">
        <w:rPr>
          <w:color w:val="000000"/>
          <w:spacing w:val="0"/>
        </w:rPr>
        <w:t> 15).</w:t>
      </w:r>
    </w:p>
    <w:p w14:paraId="66CFEA39" w14:textId="515979CD" w:rsidR="004A484F" w:rsidRPr="004A484F" w:rsidRDefault="008B5873" w:rsidP="004A484F">
      <w:pPr>
        <w:pStyle w:val="BodyText"/>
        <w:rPr>
          <w:color w:val="000000"/>
          <w:spacing w:val="0"/>
        </w:rPr>
      </w:pPr>
      <w:r w:rsidRPr="00385BC4">
        <w:rPr>
          <w:color w:val="000000"/>
          <w:spacing w:val="0"/>
        </w:rPr>
        <w:t xml:space="preserve">Consequently, the total Braden </w:t>
      </w:r>
      <w:r w:rsidR="00C7336E" w:rsidRPr="00385BC4">
        <w:rPr>
          <w:color w:val="000000"/>
          <w:spacing w:val="0"/>
        </w:rPr>
        <w:t>Scale</w:t>
      </w:r>
      <w:r w:rsidRPr="00385BC4">
        <w:rPr>
          <w:color w:val="000000"/>
          <w:spacing w:val="0"/>
        </w:rPr>
        <w:t xml:space="preserve"> ranged from 6 to 23 after summing the six component scores independently for each nurse. After summation, the total score was further categorized into five risk levels: very high risk, high risk, moderate risk, at risk, and low risk. Higher total Braden Scale scores indicate a lower risk of pressure injury development (Table 1).</w:t>
      </w:r>
    </w:p>
    <w:p w14:paraId="03EF67F3" w14:textId="77777777" w:rsidR="008B5873" w:rsidRDefault="008B5873" w:rsidP="008B5873">
      <w:pPr>
        <w:pStyle w:val="BodyText"/>
        <w:jc w:val="center"/>
        <w:rPr>
          <w:lang w:eastAsia="en-US"/>
        </w:rPr>
      </w:pPr>
      <w:r w:rsidRPr="002C60BB">
        <w:t>Table 1</w:t>
      </w:r>
      <w:r>
        <w:t xml:space="preserve">: </w:t>
      </w:r>
      <w:r>
        <w:rPr>
          <w:lang w:eastAsia="en-US"/>
        </w:rPr>
        <w:t>T</w:t>
      </w:r>
      <w:r w:rsidRPr="001A55D0">
        <w:rPr>
          <w:lang w:eastAsia="en-US"/>
        </w:rPr>
        <w:t xml:space="preserve">he overall </w:t>
      </w:r>
      <w:r>
        <w:rPr>
          <w:lang w:eastAsia="en-US"/>
        </w:rPr>
        <w:t xml:space="preserve">Braden Scale </w:t>
      </w:r>
      <w:r w:rsidRPr="001A55D0">
        <w:rPr>
          <w:lang w:eastAsia="en-US"/>
        </w:rPr>
        <w:t>score categorized into five risk levels</w:t>
      </w:r>
    </w:p>
    <w:tbl>
      <w:tblPr>
        <w:tblW w:w="0" w:type="auto"/>
        <w:jc w:val="center"/>
        <w:tblLayout w:type="fixed"/>
        <w:tblLook w:val="0000" w:firstRow="0" w:lastRow="0" w:firstColumn="0" w:lastColumn="0" w:noHBand="0" w:noVBand="0"/>
      </w:tblPr>
      <w:tblGrid>
        <w:gridCol w:w="3750"/>
        <w:gridCol w:w="3332"/>
      </w:tblGrid>
      <w:tr w:rsidR="008B5873" w:rsidRPr="002C60BB" w14:paraId="72A8E46F" w14:textId="77777777" w:rsidTr="00326EDB">
        <w:trPr>
          <w:trHeight w:val="216"/>
          <w:tblHeader/>
          <w:jc w:val="center"/>
        </w:trPr>
        <w:tc>
          <w:tcPr>
            <w:tcW w:w="7082" w:type="dxa"/>
            <w:gridSpan w:val="2"/>
            <w:tcBorders>
              <w:top w:val="single" w:sz="1" w:space="0" w:color="000000"/>
              <w:left w:val="single" w:sz="1" w:space="0" w:color="000000"/>
              <w:bottom w:val="single" w:sz="1" w:space="0" w:color="000000"/>
              <w:right w:val="single" w:sz="1" w:space="0" w:color="000000"/>
            </w:tcBorders>
            <w:vAlign w:val="center"/>
          </w:tcPr>
          <w:p w14:paraId="12737700" w14:textId="77777777" w:rsidR="008B5873" w:rsidRPr="002C60BB" w:rsidRDefault="008B5873" w:rsidP="00326EDB">
            <w:pPr>
              <w:pStyle w:val="tablecolhead"/>
              <w:snapToGrid w:val="0"/>
              <w:rPr>
                <w:sz w:val="20"/>
                <w:szCs w:val="20"/>
              </w:rPr>
            </w:pPr>
            <w:r w:rsidRPr="0046659E">
              <w:rPr>
                <w:sz w:val="20"/>
                <w:szCs w:val="20"/>
              </w:rPr>
              <w:t xml:space="preserve">BS score </w:t>
            </w:r>
            <w:r>
              <w:rPr>
                <w:sz w:val="20"/>
                <w:szCs w:val="20"/>
              </w:rPr>
              <w:t xml:space="preserve">Five Risk Level Grouping </w:t>
            </w:r>
          </w:p>
        </w:tc>
      </w:tr>
      <w:tr w:rsidR="008B5873" w:rsidRPr="002C60BB" w14:paraId="1A6538D1" w14:textId="77777777" w:rsidTr="00326EDB">
        <w:trPr>
          <w:trHeight w:val="216"/>
          <w:tblHeader/>
          <w:jc w:val="center"/>
        </w:trPr>
        <w:tc>
          <w:tcPr>
            <w:tcW w:w="3750" w:type="dxa"/>
            <w:tcBorders>
              <w:top w:val="single" w:sz="1" w:space="0" w:color="000000"/>
              <w:left w:val="single" w:sz="1" w:space="0" w:color="000000"/>
              <w:bottom w:val="single" w:sz="1" w:space="0" w:color="000000"/>
            </w:tcBorders>
            <w:vAlign w:val="center"/>
          </w:tcPr>
          <w:p w14:paraId="54506152" w14:textId="77777777" w:rsidR="008B5873" w:rsidRPr="00092B52" w:rsidRDefault="008B5873" w:rsidP="00326EDB">
            <w:pPr>
              <w:pStyle w:val="tablecolsubhead"/>
              <w:snapToGrid w:val="0"/>
              <w:rPr>
                <w:i w:val="0"/>
                <w:sz w:val="20"/>
                <w:szCs w:val="20"/>
              </w:rPr>
            </w:pPr>
            <w:r w:rsidRPr="00092B52">
              <w:rPr>
                <w:i w:val="0"/>
                <w:sz w:val="20"/>
                <w:szCs w:val="20"/>
              </w:rPr>
              <w:t>T</w:t>
            </w:r>
            <w:r>
              <w:rPr>
                <w:i w:val="0"/>
                <w:sz w:val="20"/>
                <w:szCs w:val="20"/>
              </w:rPr>
              <w:t xml:space="preserve">otal BS score grouping </w:t>
            </w:r>
          </w:p>
        </w:tc>
        <w:tc>
          <w:tcPr>
            <w:tcW w:w="3331" w:type="dxa"/>
            <w:tcBorders>
              <w:top w:val="single" w:sz="1" w:space="0" w:color="000000"/>
              <w:left w:val="single" w:sz="1" w:space="0" w:color="000000"/>
              <w:bottom w:val="single" w:sz="1" w:space="0" w:color="000000"/>
              <w:right w:val="single" w:sz="1" w:space="0" w:color="000000"/>
            </w:tcBorders>
            <w:vAlign w:val="center"/>
          </w:tcPr>
          <w:p w14:paraId="2AB26F51" w14:textId="77777777" w:rsidR="008B5873" w:rsidRPr="00092B52" w:rsidRDefault="008B5873" w:rsidP="00326EDB">
            <w:pPr>
              <w:pStyle w:val="tablecolsubhead"/>
              <w:snapToGrid w:val="0"/>
              <w:rPr>
                <w:i w:val="0"/>
                <w:sz w:val="20"/>
                <w:szCs w:val="20"/>
              </w:rPr>
            </w:pPr>
            <w:r>
              <w:rPr>
                <w:i w:val="0"/>
                <w:sz w:val="20"/>
                <w:szCs w:val="20"/>
              </w:rPr>
              <w:t xml:space="preserve">Risk Level </w:t>
            </w:r>
          </w:p>
        </w:tc>
      </w:tr>
      <w:tr w:rsidR="008B5873" w:rsidRPr="002C60BB" w14:paraId="509ADD76" w14:textId="77777777" w:rsidTr="00326EDB">
        <w:trPr>
          <w:trHeight w:val="289"/>
          <w:jc w:val="center"/>
        </w:trPr>
        <w:tc>
          <w:tcPr>
            <w:tcW w:w="3750" w:type="dxa"/>
            <w:tcBorders>
              <w:top w:val="single" w:sz="1" w:space="0" w:color="000000"/>
              <w:left w:val="single" w:sz="1" w:space="0" w:color="000000"/>
              <w:bottom w:val="single" w:sz="1" w:space="0" w:color="000000"/>
            </w:tcBorders>
            <w:vAlign w:val="center"/>
          </w:tcPr>
          <w:p w14:paraId="38415ADB" w14:textId="77777777" w:rsidR="008B5873" w:rsidRPr="002C60BB" w:rsidRDefault="008B5873" w:rsidP="00326EDB">
            <w:pPr>
              <w:pStyle w:val="tablecopy"/>
              <w:snapToGrid w:val="0"/>
              <w:jc w:val="center"/>
              <w:rPr>
                <w:sz w:val="20"/>
                <w:szCs w:val="20"/>
              </w:rPr>
            </w:pPr>
            <w:r>
              <w:rPr>
                <w:sz w:val="20"/>
                <w:szCs w:val="20"/>
              </w:rPr>
              <w:t>6</w:t>
            </w:r>
          </w:p>
        </w:tc>
        <w:tc>
          <w:tcPr>
            <w:tcW w:w="3331" w:type="dxa"/>
            <w:tcBorders>
              <w:top w:val="single" w:sz="1" w:space="0" w:color="000000"/>
              <w:left w:val="single" w:sz="1" w:space="0" w:color="000000"/>
              <w:bottom w:val="single" w:sz="1" w:space="0" w:color="000000"/>
              <w:right w:val="single" w:sz="1" w:space="0" w:color="000000"/>
            </w:tcBorders>
          </w:tcPr>
          <w:p w14:paraId="3E474E7D" w14:textId="77777777" w:rsidR="008B5873" w:rsidRPr="002C60BB" w:rsidRDefault="008B5873" w:rsidP="00326EDB">
            <w:pPr>
              <w:snapToGrid w:val="0"/>
            </w:pPr>
            <w:r w:rsidRPr="0008679C">
              <w:t>very high risk</w:t>
            </w:r>
          </w:p>
        </w:tc>
      </w:tr>
      <w:tr w:rsidR="008B5873" w:rsidRPr="002C60BB" w14:paraId="77E42E8A" w14:textId="77777777" w:rsidTr="00326EDB">
        <w:trPr>
          <w:trHeight w:val="289"/>
          <w:jc w:val="center"/>
        </w:trPr>
        <w:tc>
          <w:tcPr>
            <w:tcW w:w="3750" w:type="dxa"/>
            <w:tcBorders>
              <w:top w:val="single" w:sz="1" w:space="0" w:color="000000"/>
              <w:left w:val="single" w:sz="1" w:space="0" w:color="000000"/>
              <w:bottom w:val="single" w:sz="1" w:space="0" w:color="000000"/>
            </w:tcBorders>
            <w:vAlign w:val="center"/>
          </w:tcPr>
          <w:p w14:paraId="602EDFB7" w14:textId="77777777" w:rsidR="008B5873" w:rsidRDefault="008B5873" w:rsidP="00326EDB">
            <w:pPr>
              <w:pStyle w:val="tablecopy"/>
              <w:snapToGrid w:val="0"/>
              <w:jc w:val="center"/>
              <w:rPr>
                <w:sz w:val="20"/>
                <w:szCs w:val="20"/>
              </w:rPr>
            </w:pPr>
            <w:r>
              <w:rPr>
                <w:sz w:val="20"/>
                <w:szCs w:val="20"/>
              </w:rPr>
              <w:t>12</w:t>
            </w:r>
          </w:p>
        </w:tc>
        <w:tc>
          <w:tcPr>
            <w:tcW w:w="3331" w:type="dxa"/>
            <w:tcBorders>
              <w:top w:val="single" w:sz="1" w:space="0" w:color="000000"/>
              <w:left w:val="single" w:sz="1" w:space="0" w:color="000000"/>
              <w:bottom w:val="single" w:sz="1" w:space="0" w:color="000000"/>
              <w:right w:val="single" w:sz="1" w:space="0" w:color="000000"/>
            </w:tcBorders>
          </w:tcPr>
          <w:p w14:paraId="0149663F" w14:textId="77777777" w:rsidR="008B5873" w:rsidRPr="002C60BB" w:rsidRDefault="008B5873" w:rsidP="00326EDB">
            <w:pPr>
              <w:snapToGrid w:val="0"/>
            </w:pPr>
            <w:r w:rsidRPr="0008679C">
              <w:t>high risk</w:t>
            </w:r>
          </w:p>
        </w:tc>
      </w:tr>
      <w:tr w:rsidR="008B5873" w:rsidRPr="002C60BB" w14:paraId="2D2B7108" w14:textId="77777777" w:rsidTr="00326EDB">
        <w:trPr>
          <w:trHeight w:val="289"/>
          <w:jc w:val="center"/>
        </w:trPr>
        <w:tc>
          <w:tcPr>
            <w:tcW w:w="3750" w:type="dxa"/>
            <w:tcBorders>
              <w:top w:val="single" w:sz="1" w:space="0" w:color="000000"/>
              <w:left w:val="single" w:sz="1" w:space="0" w:color="000000"/>
              <w:bottom w:val="single" w:sz="1" w:space="0" w:color="000000"/>
            </w:tcBorders>
            <w:vAlign w:val="center"/>
          </w:tcPr>
          <w:p w14:paraId="07DA520F" w14:textId="77777777" w:rsidR="008B5873" w:rsidRDefault="008B5873" w:rsidP="00326EDB">
            <w:pPr>
              <w:pStyle w:val="tablecopy"/>
              <w:snapToGrid w:val="0"/>
              <w:jc w:val="center"/>
              <w:rPr>
                <w:sz w:val="20"/>
                <w:szCs w:val="20"/>
              </w:rPr>
            </w:pPr>
            <w:r>
              <w:rPr>
                <w:sz w:val="20"/>
                <w:szCs w:val="20"/>
              </w:rPr>
              <w:t>13-14</w:t>
            </w:r>
          </w:p>
        </w:tc>
        <w:tc>
          <w:tcPr>
            <w:tcW w:w="3331" w:type="dxa"/>
            <w:tcBorders>
              <w:top w:val="single" w:sz="1" w:space="0" w:color="000000"/>
              <w:left w:val="single" w:sz="1" w:space="0" w:color="000000"/>
              <w:bottom w:val="single" w:sz="1" w:space="0" w:color="000000"/>
              <w:right w:val="single" w:sz="1" w:space="0" w:color="000000"/>
            </w:tcBorders>
          </w:tcPr>
          <w:p w14:paraId="5D8AB415" w14:textId="77777777" w:rsidR="008B5873" w:rsidRPr="002C60BB" w:rsidRDefault="008B5873" w:rsidP="00326EDB">
            <w:pPr>
              <w:snapToGrid w:val="0"/>
            </w:pPr>
            <w:r w:rsidRPr="0008679C">
              <w:t>moderate risk</w:t>
            </w:r>
          </w:p>
        </w:tc>
      </w:tr>
      <w:tr w:rsidR="008B5873" w:rsidRPr="002C60BB" w14:paraId="0E98A1CC" w14:textId="77777777" w:rsidTr="00326EDB">
        <w:trPr>
          <w:trHeight w:val="289"/>
          <w:jc w:val="center"/>
        </w:trPr>
        <w:tc>
          <w:tcPr>
            <w:tcW w:w="3750" w:type="dxa"/>
            <w:tcBorders>
              <w:top w:val="single" w:sz="1" w:space="0" w:color="000000"/>
              <w:left w:val="single" w:sz="1" w:space="0" w:color="000000"/>
              <w:bottom w:val="single" w:sz="1" w:space="0" w:color="000000"/>
            </w:tcBorders>
            <w:vAlign w:val="center"/>
          </w:tcPr>
          <w:p w14:paraId="769C0CDB" w14:textId="77777777" w:rsidR="008B5873" w:rsidRDefault="008B5873" w:rsidP="00326EDB">
            <w:pPr>
              <w:pStyle w:val="tablecopy"/>
              <w:snapToGrid w:val="0"/>
              <w:jc w:val="center"/>
              <w:rPr>
                <w:sz w:val="20"/>
                <w:szCs w:val="20"/>
              </w:rPr>
            </w:pPr>
            <w:r>
              <w:rPr>
                <w:sz w:val="20"/>
                <w:szCs w:val="20"/>
              </w:rPr>
              <w:t>18</w:t>
            </w:r>
          </w:p>
        </w:tc>
        <w:tc>
          <w:tcPr>
            <w:tcW w:w="3331" w:type="dxa"/>
            <w:tcBorders>
              <w:top w:val="single" w:sz="1" w:space="0" w:color="000000"/>
              <w:left w:val="single" w:sz="1" w:space="0" w:color="000000"/>
              <w:bottom w:val="single" w:sz="1" w:space="0" w:color="000000"/>
              <w:right w:val="single" w:sz="1" w:space="0" w:color="000000"/>
            </w:tcBorders>
          </w:tcPr>
          <w:p w14:paraId="5BA61C4D" w14:textId="77777777" w:rsidR="008B5873" w:rsidRPr="002C60BB" w:rsidRDefault="008B5873" w:rsidP="00326EDB">
            <w:pPr>
              <w:snapToGrid w:val="0"/>
            </w:pPr>
            <w:r w:rsidRPr="0008679C">
              <w:t>at risk</w:t>
            </w:r>
          </w:p>
        </w:tc>
      </w:tr>
      <w:tr w:rsidR="008B5873" w:rsidRPr="002C60BB" w14:paraId="2F7DBB54" w14:textId="77777777" w:rsidTr="00326EDB">
        <w:trPr>
          <w:trHeight w:val="289"/>
          <w:jc w:val="center"/>
        </w:trPr>
        <w:tc>
          <w:tcPr>
            <w:tcW w:w="3750" w:type="dxa"/>
            <w:tcBorders>
              <w:top w:val="single" w:sz="1" w:space="0" w:color="000000"/>
              <w:left w:val="single" w:sz="1" w:space="0" w:color="000000"/>
              <w:bottom w:val="single" w:sz="1" w:space="0" w:color="000000"/>
            </w:tcBorders>
            <w:vAlign w:val="center"/>
          </w:tcPr>
          <w:p w14:paraId="1083D133" w14:textId="77777777" w:rsidR="008B5873" w:rsidRDefault="008B5873" w:rsidP="00326EDB">
            <w:pPr>
              <w:pStyle w:val="tablecopy"/>
              <w:snapToGrid w:val="0"/>
              <w:jc w:val="center"/>
              <w:rPr>
                <w:sz w:val="20"/>
                <w:szCs w:val="20"/>
              </w:rPr>
            </w:pPr>
            <w:r>
              <w:rPr>
                <w:sz w:val="20"/>
                <w:szCs w:val="20"/>
              </w:rPr>
              <w:t>23</w:t>
            </w:r>
          </w:p>
        </w:tc>
        <w:tc>
          <w:tcPr>
            <w:tcW w:w="3331" w:type="dxa"/>
            <w:tcBorders>
              <w:top w:val="single" w:sz="1" w:space="0" w:color="000000"/>
              <w:left w:val="single" w:sz="1" w:space="0" w:color="000000"/>
              <w:bottom w:val="single" w:sz="1" w:space="0" w:color="000000"/>
              <w:right w:val="single" w:sz="1" w:space="0" w:color="000000"/>
            </w:tcBorders>
          </w:tcPr>
          <w:p w14:paraId="2BFD4CF2" w14:textId="77777777" w:rsidR="008B5873" w:rsidRPr="002C60BB" w:rsidRDefault="008B5873" w:rsidP="00326EDB">
            <w:pPr>
              <w:snapToGrid w:val="0"/>
            </w:pPr>
            <w:r w:rsidRPr="0008679C">
              <w:t>low risk</w:t>
            </w:r>
          </w:p>
        </w:tc>
      </w:tr>
    </w:tbl>
    <w:p w14:paraId="53B227A6" w14:textId="77777777" w:rsidR="00CC794C" w:rsidRPr="00385BC4" w:rsidRDefault="00CC794C" w:rsidP="004A484F">
      <w:pPr>
        <w:pStyle w:val="BodyText"/>
        <w:ind w:firstLine="0"/>
        <w:rPr>
          <w:color w:val="000000"/>
          <w:spacing w:val="0"/>
        </w:rPr>
      </w:pPr>
    </w:p>
    <w:p w14:paraId="681638A0" w14:textId="00A3A3A4" w:rsidR="008B5873" w:rsidRPr="000C787C" w:rsidRDefault="008B5873" w:rsidP="000C787C">
      <w:pPr>
        <w:pStyle w:val="BodyText"/>
        <w:rPr>
          <w:color w:val="000000"/>
          <w:spacing w:val="0"/>
        </w:rPr>
      </w:pPr>
      <w:r w:rsidRPr="00385BC4">
        <w:rPr>
          <w:color w:val="000000"/>
          <w:spacing w:val="0"/>
        </w:rPr>
        <w:t xml:space="preserve">  There are six elements in the Braden Scale (BS) risk assessment tool, which include sensory perception, moisture, activity, mobility, nutrition, and friction/shear. Variations in documentation of skin integrity risk scores and levels, protocol selection, and interventions were indicated using numeric values (0, 1). A score of “0” reflects no variation in documentation, whereas a score of “1” indicates that a variation in documentation was present. Pivot tables were used to identify variations and compare each nurse’s documentation of the BS assessment using numeric values. The data analysis, presented in Table 2, revealed that 66% of nurses demonstrated agreement in documenting the Braden Scale (BS) elements, while 34% showed discrepancies in their documentation.</w:t>
      </w:r>
    </w:p>
    <w:p w14:paraId="2B1ED55B" w14:textId="77777777" w:rsidR="004A484F" w:rsidRDefault="004A484F" w:rsidP="008B5873">
      <w:pPr>
        <w:pStyle w:val="BodyText"/>
        <w:jc w:val="center"/>
        <w:rPr>
          <w:lang w:eastAsia="en-US"/>
        </w:rPr>
      </w:pPr>
    </w:p>
    <w:p w14:paraId="37874704" w14:textId="4145BADF" w:rsidR="008B5873" w:rsidRDefault="008B5873" w:rsidP="008B5873">
      <w:pPr>
        <w:pStyle w:val="BodyText"/>
        <w:jc w:val="center"/>
        <w:rPr>
          <w:lang w:eastAsia="en-US"/>
        </w:rPr>
      </w:pPr>
      <w:r w:rsidRPr="00B353B1">
        <w:rPr>
          <w:lang w:eastAsia="en-US"/>
        </w:rPr>
        <w:t xml:space="preserve">Table </w:t>
      </w:r>
      <w:r>
        <w:rPr>
          <w:lang w:eastAsia="en-US"/>
        </w:rPr>
        <w:t>2</w:t>
      </w:r>
      <w:r w:rsidRPr="00B353B1">
        <w:rPr>
          <w:lang w:eastAsia="en-US"/>
        </w:rPr>
        <w:t xml:space="preserve">: </w:t>
      </w:r>
      <w:r>
        <w:rPr>
          <w:lang w:eastAsia="en-US"/>
        </w:rPr>
        <w:t>F</w:t>
      </w:r>
      <w:r w:rsidRPr="00B353B1">
        <w:rPr>
          <w:lang w:eastAsia="en-US"/>
        </w:rPr>
        <w:t>requencies and percentages of Total Braden scale Soring</w:t>
      </w:r>
    </w:p>
    <w:tbl>
      <w:tblPr>
        <w:tblW w:w="0" w:type="auto"/>
        <w:jc w:val="center"/>
        <w:tblLayout w:type="fixed"/>
        <w:tblLook w:val="0000" w:firstRow="0" w:lastRow="0" w:firstColumn="0" w:lastColumn="0" w:noHBand="0" w:noVBand="0"/>
      </w:tblPr>
      <w:tblGrid>
        <w:gridCol w:w="5818"/>
        <w:gridCol w:w="1513"/>
        <w:gridCol w:w="1416"/>
      </w:tblGrid>
      <w:tr w:rsidR="008B5873" w:rsidRPr="002C60BB" w14:paraId="5BFFBF56" w14:textId="77777777" w:rsidTr="00326EDB">
        <w:trPr>
          <w:trHeight w:val="226"/>
          <w:tblHeader/>
          <w:jc w:val="center"/>
        </w:trPr>
        <w:tc>
          <w:tcPr>
            <w:tcW w:w="8747" w:type="dxa"/>
            <w:gridSpan w:val="3"/>
            <w:tcBorders>
              <w:top w:val="single" w:sz="1" w:space="0" w:color="000000"/>
              <w:left w:val="single" w:sz="1" w:space="0" w:color="000000"/>
              <w:bottom w:val="single" w:sz="1" w:space="0" w:color="000000"/>
              <w:right w:val="single" w:sz="1" w:space="0" w:color="000000"/>
            </w:tcBorders>
            <w:vAlign w:val="center"/>
          </w:tcPr>
          <w:p w14:paraId="5BBC25B7" w14:textId="77777777" w:rsidR="008B5873" w:rsidRPr="002C60BB" w:rsidRDefault="008B5873" w:rsidP="00326EDB">
            <w:pPr>
              <w:pStyle w:val="tablecolhead"/>
              <w:snapToGrid w:val="0"/>
              <w:jc w:val="both"/>
              <w:rPr>
                <w:sz w:val="20"/>
                <w:szCs w:val="20"/>
              </w:rPr>
            </w:pPr>
            <w:r>
              <w:rPr>
                <w:sz w:val="20"/>
                <w:szCs w:val="20"/>
              </w:rPr>
              <w:t>F</w:t>
            </w:r>
            <w:r w:rsidRPr="00B353B1">
              <w:rPr>
                <w:sz w:val="20"/>
                <w:szCs w:val="20"/>
              </w:rPr>
              <w:t>requencies and percentages of Total Braden scale Soring</w:t>
            </w:r>
          </w:p>
        </w:tc>
      </w:tr>
      <w:tr w:rsidR="008B5873" w:rsidRPr="002C60BB" w14:paraId="2754FB21" w14:textId="77777777" w:rsidTr="00326EDB">
        <w:trPr>
          <w:trHeight w:val="226"/>
          <w:tblHeader/>
          <w:jc w:val="center"/>
        </w:trPr>
        <w:tc>
          <w:tcPr>
            <w:tcW w:w="5818" w:type="dxa"/>
            <w:tcBorders>
              <w:top w:val="single" w:sz="1" w:space="0" w:color="000000"/>
              <w:left w:val="single" w:sz="1" w:space="0" w:color="000000"/>
              <w:bottom w:val="single" w:sz="1" w:space="0" w:color="000000"/>
            </w:tcBorders>
            <w:vAlign w:val="center"/>
          </w:tcPr>
          <w:p w14:paraId="7D5C289F" w14:textId="77777777" w:rsidR="008B5873" w:rsidRPr="00092B52" w:rsidRDefault="008B5873" w:rsidP="00326EDB">
            <w:pPr>
              <w:pStyle w:val="tablecolsubhead"/>
              <w:snapToGrid w:val="0"/>
              <w:jc w:val="both"/>
              <w:rPr>
                <w:i w:val="0"/>
                <w:sz w:val="20"/>
                <w:szCs w:val="20"/>
              </w:rPr>
            </w:pPr>
            <w:r w:rsidRPr="00F11781">
              <w:rPr>
                <w:i w:val="0"/>
                <w:sz w:val="20"/>
                <w:szCs w:val="20"/>
              </w:rPr>
              <w:t>Overall Result</w:t>
            </w:r>
          </w:p>
        </w:tc>
        <w:tc>
          <w:tcPr>
            <w:tcW w:w="1513" w:type="dxa"/>
            <w:tcBorders>
              <w:top w:val="single" w:sz="1" w:space="0" w:color="000000"/>
              <w:left w:val="single" w:sz="1" w:space="0" w:color="000000"/>
              <w:bottom w:val="single" w:sz="1" w:space="0" w:color="000000"/>
              <w:right w:val="single" w:sz="4" w:space="0" w:color="auto"/>
            </w:tcBorders>
            <w:vAlign w:val="center"/>
          </w:tcPr>
          <w:p w14:paraId="538F488F" w14:textId="77777777" w:rsidR="008B5873" w:rsidRPr="00092B52" w:rsidRDefault="008B5873" w:rsidP="00326EDB">
            <w:pPr>
              <w:pStyle w:val="tablecolsubhead"/>
              <w:snapToGrid w:val="0"/>
              <w:jc w:val="both"/>
              <w:rPr>
                <w:i w:val="0"/>
                <w:sz w:val="20"/>
                <w:szCs w:val="20"/>
              </w:rPr>
            </w:pPr>
            <w:r>
              <w:rPr>
                <w:i w:val="0"/>
                <w:sz w:val="20"/>
                <w:szCs w:val="20"/>
              </w:rPr>
              <w:t xml:space="preserve">No. </w:t>
            </w:r>
          </w:p>
        </w:tc>
        <w:tc>
          <w:tcPr>
            <w:tcW w:w="1416" w:type="dxa"/>
            <w:tcBorders>
              <w:top w:val="single" w:sz="1" w:space="0" w:color="000000"/>
              <w:left w:val="single" w:sz="4" w:space="0" w:color="auto"/>
              <w:bottom w:val="single" w:sz="1" w:space="0" w:color="000000"/>
              <w:right w:val="single" w:sz="1" w:space="0" w:color="000000"/>
            </w:tcBorders>
            <w:vAlign w:val="center"/>
          </w:tcPr>
          <w:p w14:paraId="3ADF65E6" w14:textId="77777777" w:rsidR="008B5873" w:rsidRPr="00092B52" w:rsidRDefault="008B5873" w:rsidP="00326EDB">
            <w:pPr>
              <w:pStyle w:val="tablecolsubhead"/>
              <w:snapToGrid w:val="0"/>
              <w:jc w:val="both"/>
              <w:rPr>
                <w:i w:val="0"/>
                <w:sz w:val="20"/>
                <w:szCs w:val="20"/>
              </w:rPr>
            </w:pPr>
            <w:r>
              <w:rPr>
                <w:i w:val="0"/>
                <w:sz w:val="20"/>
                <w:szCs w:val="20"/>
              </w:rPr>
              <w:t>%</w:t>
            </w:r>
          </w:p>
        </w:tc>
      </w:tr>
      <w:tr w:rsidR="008B5873" w:rsidRPr="002C60BB" w14:paraId="64E0625D" w14:textId="77777777" w:rsidTr="00326EDB">
        <w:trPr>
          <w:trHeight w:val="300"/>
          <w:jc w:val="center"/>
        </w:trPr>
        <w:tc>
          <w:tcPr>
            <w:tcW w:w="5818" w:type="dxa"/>
            <w:tcBorders>
              <w:top w:val="single" w:sz="1" w:space="0" w:color="000000"/>
              <w:left w:val="single" w:sz="1" w:space="0" w:color="000000"/>
              <w:bottom w:val="single" w:sz="1" w:space="0" w:color="000000"/>
            </w:tcBorders>
            <w:vAlign w:val="center"/>
          </w:tcPr>
          <w:p w14:paraId="0232DAE9" w14:textId="5AE4ABA1" w:rsidR="008B5873" w:rsidRPr="002C60BB" w:rsidRDefault="008B5873" w:rsidP="00326EDB">
            <w:pPr>
              <w:pStyle w:val="tablecopy"/>
              <w:snapToGrid w:val="0"/>
              <w:rPr>
                <w:sz w:val="20"/>
                <w:szCs w:val="20"/>
              </w:rPr>
            </w:pPr>
            <w:r w:rsidRPr="0089530A">
              <w:rPr>
                <w:sz w:val="20"/>
                <w:szCs w:val="20"/>
              </w:rPr>
              <w:t>Agreement in BS elements documentation (</w:t>
            </w:r>
            <w:r w:rsidR="00944FB4">
              <w:rPr>
                <w:sz w:val="20"/>
                <w:szCs w:val="20"/>
              </w:rPr>
              <w:t xml:space="preserve">score </w:t>
            </w:r>
            <w:r w:rsidRPr="0089530A">
              <w:rPr>
                <w:sz w:val="20"/>
                <w:szCs w:val="20"/>
              </w:rPr>
              <w:t>0)</w:t>
            </w:r>
          </w:p>
        </w:tc>
        <w:tc>
          <w:tcPr>
            <w:tcW w:w="1513" w:type="dxa"/>
            <w:tcBorders>
              <w:top w:val="single" w:sz="1" w:space="0" w:color="000000"/>
              <w:left w:val="single" w:sz="1" w:space="0" w:color="000000"/>
              <w:bottom w:val="single" w:sz="1" w:space="0" w:color="000000"/>
              <w:right w:val="single" w:sz="4" w:space="0" w:color="auto"/>
            </w:tcBorders>
          </w:tcPr>
          <w:p w14:paraId="7404DFC7" w14:textId="77777777" w:rsidR="008B5873" w:rsidRPr="002C60BB" w:rsidRDefault="008B5873" w:rsidP="00326EDB">
            <w:pPr>
              <w:snapToGrid w:val="0"/>
              <w:jc w:val="both"/>
            </w:pPr>
            <w:r>
              <w:t>1540</w:t>
            </w:r>
          </w:p>
        </w:tc>
        <w:tc>
          <w:tcPr>
            <w:tcW w:w="1416" w:type="dxa"/>
            <w:tcBorders>
              <w:top w:val="single" w:sz="1" w:space="0" w:color="000000"/>
              <w:left w:val="single" w:sz="4" w:space="0" w:color="auto"/>
              <w:bottom w:val="single" w:sz="1" w:space="0" w:color="000000"/>
              <w:right w:val="single" w:sz="1" w:space="0" w:color="000000"/>
            </w:tcBorders>
          </w:tcPr>
          <w:p w14:paraId="7A09CBE7" w14:textId="77777777" w:rsidR="008B5873" w:rsidRPr="002C60BB" w:rsidRDefault="008B5873" w:rsidP="00326EDB">
            <w:pPr>
              <w:snapToGrid w:val="0"/>
              <w:jc w:val="both"/>
            </w:pPr>
            <w:r>
              <w:t>66%</w:t>
            </w:r>
          </w:p>
        </w:tc>
      </w:tr>
      <w:tr w:rsidR="008B5873" w:rsidRPr="002C60BB" w14:paraId="2F9F021D" w14:textId="77777777" w:rsidTr="00326EDB">
        <w:trPr>
          <w:trHeight w:val="300"/>
          <w:jc w:val="center"/>
        </w:trPr>
        <w:tc>
          <w:tcPr>
            <w:tcW w:w="5818" w:type="dxa"/>
            <w:tcBorders>
              <w:top w:val="single" w:sz="1" w:space="0" w:color="000000"/>
              <w:left w:val="single" w:sz="1" w:space="0" w:color="000000"/>
              <w:bottom w:val="single" w:sz="1" w:space="0" w:color="000000"/>
            </w:tcBorders>
            <w:vAlign w:val="center"/>
          </w:tcPr>
          <w:p w14:paraId="0F2A76F5" w14:textId="77777777" w:rsidR="008B5873" w:rsidRDefault="008B5873" w:rsidP="00326EDB">
            <w:pPr>
              <w:pStyle w:val="tablecopy"/>
              <w:snapToGrid w:val="0"/>
              <w:rPr>
                <w:sz w:val="20"/>
                <w:szCs w:val="20"/>
              </w:rPr>
            </w:pPr>
            <w:r w:rsidRPr="00995F59">
              <w:rPr>
                <w:sz w:val="20"/>
                <w:szCs w:val="20"/>
              </w:rPr>
              <w:t>Disparity in documentation (score 1)</w:t>
            </w:r>
          </w:p>
        </w:tc>
        <w:tc>
          <w:tcPr>
            <w:tcW w:w="1513" w:type="dxa"/>
            <w:tcBorders>
              <w:top w:val="single" w:sz="1" w:space="0" w:color="000000"/>
              <w:left w:val="single" w:sz="1" w:space="0" w:color="000000"/>
              <w:bottom w:val="single" w:sz="1" w:space="0" w:color="000000"/>
              <w:right w:val="single" w:sz="4" w:space="0" w:color="auto"/>
            </w:tcBorders>
          </w:tcPr>
          <w:p w14:paraId="6B22616E" w14:textId="77777777" w:rsidR="008B5873" w:rsidRPr="002C60BB" w:rsidRDefault="008B5873" w:rsidP="00326EDB">
            <w:pPr>
              <w:snapToGrid w:val="0"/>
              <w:jc w:val="both"/>
            </w:pPr>
            <w:r>
              <w:t>806</w:t>
            </w:r>
          </w:p>
        </w:tc>
        <w:tc>
          <w:tcPr>
            <w:tcW w:w="1416" w:type="dxa"/>
            <w:tcBorders>
              <w:top w:val="single" w:sz="1" w:space="0" w:color="000000"/>
              <w:left w:val="single" w:sz="4" w:space="0" w:color="auto"/>
              <w:bottom w:val="single" w:sz="1" w:space="0" w:color="000000"/>
              <w:right w:val="single" w:sz="1" w:space="0" w:color="000000"/>
            </w:tcBorders>
          </w:tcPr>
          <w:p w14:paraId="21009D4B" w14:textId="77777777" w:rsidR="008B5873" w:rsidRPr="002C60BB" w:rsidRDefault="008B5873" w:rsidP="00326EDB">
            <w:pPr>
              <w:snapToGrid w:val="0"/>
              <w:jc w:val="both"/>
            </w:pPr>
            <w:r>
              <w:t>34%</w:t>
            </w:r>
          </w:p>
        </w:tc>
      </w:tr>
      <w:tr w:rsidR="008B5873" w:rsidRPr="002C60BB" w14:paraId="4995EE10" w14:textId="77777777" w:rsidTr="00326EDB">
        <w:trPr>
          <w:trHeight w:val="300"/>
          <w:jc w:val="center"/>
        </w:trPr>
        <w:tc>
          <w:tcPr>
            <w:tcW w:w="5818" w:type="dxa"/>
            <w:tcBorders>
              <w:top w:val="single" w:sz="1" w:space="0" w:color="000000"/>
              <w:left w:val="single" w:sz="1" w:space="0" w:color="000000"/>
              <w:bottom w:val="single" w:sz="1" w:space="0" w:color="000000"/>
            </w:tcBorders>
            <w:vAlign w:val="center"/>
          </w:tcPr>
          <w:p w14:paraId="0220F166" w14:textId="77777777" w:rsidR="008B5873" w:rsidRDefault="008B5873" w:rsidP="00326EDB">
            <w:pPr>
              <w:pStyle w:val="tablecopy"/>
              <w:snapToGrid w:val="0"/>
              <w:rPr>
                <w:sz w:val="20"/>
                <w:szCs w:val="20"/>
              </w:rPr>
            </w:pPr>
            <w:r w:rsidRPr="00504FB5">
              <w:rPr>
                <w:sz w:val="20"/>
                <w:szCs w:val="20"/>
              </w:rPr>
              <w:t>Total</w:t>
            </w:r>
          </w:p>
        </w:tc>
        <w:tc>
          <w:tcPr>
            <w:tcW w:w="1513" w:type="dxa"/>
            <w:tcBorders>
              <w:top w:val="single" w:sz="1" w:space="0" w:color="000000"/>
              <w:left w:val="single" w:sz="1" w:space="0" w:color="000000"/>
              <w:bottom w:val="single" w:sz="1" w:space="0" w:color="000000"/>
              <w:right w:val="single" w:sz="4" w:space="0" w:color="auto"/>
            </w:tcBorders>
          </w:tcPr>
          <w:p w14:paraId="44D987E2" w14:textId="77777777" w:rsidR="008B5873" w:rsidRPr="002C60BB" w:rsidRDefault="008B5873" w:rsidP="00326EDB">
            <w:pPr>
              <w:snapToGrid w:val="0"/>
              <w:jc w:val="both"/>
            </w:pPr>
            <w:r>
              <w:t>2346</w:t>
            </w:r>
          </w:p>
        </w:tc>
        <w:tc>
          <w:tcPr>
            <w:tcW w:w="1416" w:type="dxa"/>
            <w:tcBorders>
              <w:top w:val="single" w:sz="1" w:space="0" w:color="000000"/>
              <w:left w:val="single" w:sz="4" w:space="0" w:color="auto"/>
              <w:bottom w:val="single" w:sz="1" w:space="0" w:color="000000"/>
              <w:right w:val="single" w:sz="1" w:space="0" w:color="000000"/>
            </w:tcBorders>
          </w:tcPr>
          <w:p w14:paraId="683EBAEC" w14:textId="77777777" w:rsidR="008B5873" w:rsidRPr="002C60BB" w:rsidRDefault="008B5873" w:rsidP="00326EDB">
            <w:pPr>
              <w:snapToGrid w:val="0"/>
              <w:jc w:val="both"/>
            </w:pPr>
            <w:r>
              <w:t>100%</w:t>
            </w:r>
          </w:p>
        </w:tc>
      </w:tr>
    </w:tbl>
    <w:p w14:paraId="5324C251" w14:textId="77777777" w:rsidR="00CC794C" w:rsidRDefault="00CC794C" w:rsidP="004A484F">
      <w:pPr>
        <w:pStyle w:val="BodyText"/>
        <w:ind w:firstLine="0"/>
        <w:rPr>
          <w:lang w:eastAsia="en-US"/>
        </w:rPr>
      </w:pPr>
    </w:p>
    <w:p w14:paraId="536A2035" w14:textId="77777777" w:rsidR="00321D80" w:rsidRDefault="00321D80" w:rsidP="008B5873">
      <w:pPr>
        <w:pStyle w:val="BodyText"/>
        <w:rPr>
          <w:lang w:eastAsia="en-US"/>
        </w:rPr>
      </w:pPr>
    </w:p>
    <w:p w14:paraId="3DE1C90C" w14:textId="1EEB4EDA" w:rsidR="008B5873" w:rsidRDefault="008B5873" w:rsidP="008B5873">
      <w:pPr>
        <w:pStyle w:val="BodyText"/>
        <w:rPr>
          <w:b/>
          <w:bCs/>
          <w:spacing w:val="0"/>
        </w:rPr>
      </w:pPr>
      <w:r>
        <w:rPr>
          <w:b/>
          <w:bCs/>
          <w:spacing w:val="0"/>
        </w:rPr>
        <w:t xml:space="preserve">3.1 </w:t>
      </w:r>
      <w:r w:rsidR="00944FB4">
        <w:rPr>
          <w:b/>
          <w:bCs/>
          <w:spacing w:val="0"/>
        </w:rPr>
        <w:t xml:space="preserve">Braden Scale </w:t>
      </w:r>
      <w:r w:rsidRPr="00094847">
        <w:rPr>
          <w:b/>
          <w:bCs/>
          <w:spacing w:val="0"/>
        </w:rPr>
        <w:t xml:space="preserve">Six Elements Analysis </w:t>
      </w:r>
    </w:p>
    <w:p w14:paraId="19EA9639" w14:textId="77777777" w:rsidR="008B5873" w:rsidRPr="00EA3176" w:rsidRDefault="008B5873" w:rsidP="008B5873">
      <w:pPr>
        <w:pStyle w:val="BodyText"/>
        <w:rPr>
          <w:b/>
          <w:bCs/>
          <w:spacing w:val="0"/>
        </w:rPr>
      </w:pPr>
    </w:p>
    <w:p w14:paraId="5791B969" w14:textId="77777777" w:rsidR="008B5873" w:rsidRDefault="008B5873" w:rsidP="008B5873">
      <w:pPr>
        <w:pStyle w:val="BodyText"/>
        <w:rPr>
          <w:color w:val="000000"/>
          <w:spacing w:val="0"/>
        </w:rPr>
      </w:pPr>
      <w:r>
        <w:rPr>
          <w:lang w:eastAsia="en-US"/>
        </w:rPr>
        <w:t xml:space="preserve">      </w:t>
      </w:r>
      <w:r w:rsidRPr="00385BC4">
        <w:rPr>
          <w:color w:val="000000"/>
          <w:spacing w:val="0"/>
        </w:rPr>
        <w:t>The research authors proposed a hypothesis to test whether there is a difference in nurses’ agreement in Braden Scale (BS) elements documentation, using Cohen’s kappa statistics to evaluate the rate of agreement between nurses working the day and night shifts. Data presented in Figure 1 display the documentation of the six BS elements among nurses. The results showed that the highest rate of discrepancy in documentation was observed in the moisture element (52.17%), whereas the lowest variation was found in the sensory perception element (21.57%) when analyzed as separate elements.</w:t>
      </w:r>
    </w:p>
    <w:p w14:paraId="71AC7185" w14:textId="77777777" w:rsidR="00385BC4" w:rsidRDefault="00385BC4" w:rsidP="008B5873">
      <w:pPr>
        <w:pStyle w:val="BodyText"/>
        <w:rPr>
          <w:lang w:eastAsia="en-US"/>
        </w:rPr>
      </w:pPr>
    </w:p>
    <w:p w14:paraId="0C82CD89" w14:textId="77777777" w:rsidR="008B5873" w:rsidRDefault="008B5873" w:rsidP="008B5873">
      <w:pPr>
        <w:pStyle w:val="BodyText"/>
        <w:rPr>
          <w:lang w:eastAsia="en-US"/>
        </w:rPr>
      </w:pPr>
      <w:r w:rsidRPr="004043F7">
        <w:rPr>
          <w:noProof/>
        </w:rPr>
        <w:drawing>
          <wp:anchor distT="0" distB="0" distL="114300" distR="114300" simplePos="0" relativeHeight="251661312" behindDoc="1" locked="0" layoutInCell="1" allowOverlap="1" wp14:anchorId="3F4171D1" wp14:editId="4CB846C7">
            <wp:simplePos x="0" y="0"/>
            <wp:positionH relativeFrom="column">
              <wp:posOffset>248285</wp:posOffset>
            </wp:positionH>
            <wp:positionV relativeFrom="paragraph">
              <wp:posOffset>26035</wp:posOffset>
            </wp:positionV>
            <wp:extent cx="5972175" cy="2314575"/>
            <wp:effectExtent l="0" t="0" r="9525" b="9525"/>
            <wp:wrapNone/>
            <wp:docPr id="1737477987" name="Chart 1">
              <a:extLst xmlns:a="http://schemas.openxmlformats.org/drawingml/2006/main">
                <a:ext uri="{FF2B5EF4-FFF2-40B4-BE49-F238E27FC236}">
                  <a16:creationId xmlns:a16="http://schemas.microsoft.com/office/drawing/2014/main" id="{05EBBDDF-FD18-6135-A8DD-C4B8D1449D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113B2D3" w14:textId="77777777" w:rsidR="008B5873" w:rsidRDefault="008B5873" w:rsidP="008B5873">
      <w:pPr>
        <w:pStyle w:val="BodyText"/>
        <w:rPr>
          <w:lang w:eastAsia="en-US"/>
        </w:rPr>
      </w:pPr>
    </w:p>
    <w:p w14:paraId="3BC00904" w14:textId="77777777" w:rsidR="008B5873" w:rsidRDefault="008B5873" w:rsidP="008B5873">
      <w:pPr>
        <w:pStyle w:val="BodyText"/>
        <w:rPr>
          <w:lang w:eastAsia="en-US"/>
        </w:rPr>
      </w:pPr>
    </w:p>
    <w:p w14:paraId="5126B96A" w14:textId="77777777" w:rsidR="008B5873" w:rsidRDefault="008B5873" w:rsidP="008B5873">
      <w:pPr>
        <w:pStyle w:val="BodyText"/>
        <w:rPr>
          <w:lang w:eastAsia="en-US"/>
        </w:rPr>
      </w:pPr>
    </w:p>
    <w:p w14:paraId="55A404FA" w14:textId="77777777" w:rsidR="008B5873" w:rsidRDefault="008B5873" w:rsidP="008B5873">
      <w:pPr>
        <w:pStyle w:val="BodyText"/>
        <w:rPr>
          <w:lang w:eastAsia="en-US"/>
        </w:rPr>
      </w:pPr>
    </w:p>
    <w:p w14:paraId="105FD320" w14:textId="77777777" w:rsidR="008B5873" w:rsidRDefault="008B5873" w:rsidP="008B5873">
      <w:pPr>
        <w:pStyle w:val="BodyText"/>
        <w:rPr>
          <w:lang w:eastAsia="en-US"/>
        </w:rPr>
      </w:pPr>
    </w:p>
    <w:p w14:paraId="4733201B" w14:textId="77777777" w:rsidR="008B5873" w:rsidRDefault="008B5873" w:rsidP="008B5873">
      <w:pPr>
        <w:pStyle w:val="BodyText"/>
        <w:rPr>
          <w:lang w:eastAsia="en-US"/>
        </w:rPr>
      </w:pPr>
    </w:p>
    <w:p w14:paraId="0F638F77" w14:textId="77777777" w:rsidR="008B5873" w:rsidRDefault="008B5873" w:rsidP="008B5873">
      <w:pPr>
        <w:pStyle w:val="BodyText"/>
        <w:rPr>
          <w:lang w:eastAsia="en-US"/>
        </w:rPr>
      </w:pPr>
    </w:p>
    <w:p w14:paraId="79839208" w14:textId="77777777" w:rsidR="008B5873" w:rsidRDefault="008B5873" w:rsidP="008B5873">
      <w:pPr>
        <w:pStyle w:val="BodyText"/>
        <w:rPr>
          <w:lang w:eastAsia="en-US"/>
        </w:rPr>
      </w:pPr>
    </w:p>
    <w:p w14:paraId="478639E3" w14:textId="77777777" w:rsidR="008B5873" w:rsidRDefault="008B5873" w:rsidP="008B5873">
      <w:pPr>
        <w:pStyle w:val="BodyText"/>
        <w:rPr>
          <w:lang w:eastAsia="en-US"/>
        </w:rPr>
      </w:pPr>
    </w:p>
    <w:p w14:paraId="03679269" w14:textId="77777777" w:rsidR="008B5873" w:rsidRDefault="008B5873" w:rsidP="008B5873">
      <w:pPr>
        <w:pStyle w:val="BodyText"/>
        <w:rPr>
          <w:lang w:eastAsia="en-US"/>
        </w:rPr>
      </w:pPr>
    </w:p>
    <w:p w14:paraId="37686A8F" w14:textId="77777777" w:rsidR="008B5873" w:rsidRDefault="008B5873" w:rsidP="008B5873">
      <w:pPr>
        <w:pStyle w:val="BodyText"/>
        <w:rPr>
          <w:lang w:eastAsia="en-US"/>
        </w:rPr>
      </w:pPr>
    </w:p>
    <w:p w14:paraId="3BCCD46E" w14:textId="77777777" w:rsidR="008B5873" w:rsidRDefault="008B5873" w:rsidP="008B5873">
      <w:pPr>
        <w:pStyle w:val="BodyText"/>
        <w:rPr>
          <w:lang w:eastAsia="en-US"/>
        </w:rPr>
      </w:pPr>
    </w:p>
    <w:p w14:paraId="3BFE49B1" w14:textId="77777777" w:rsidR="008B5873" w:rsidRDefault="008B5873" w:rsidP="008B5873">
      <w:pPr>
        <w:pStyle w:val="BodyText"/>
        <w:rPr>
          <w:lang w:eastAsia="en-US"/>
        </w:rPr>
      </w:pPr>
    </w:p>
    <w:p w14:paraId="255DDAF4" w14:textId="77777777" w:rsidR="008B5873" w:rsidRDefault="008B5873" w:rsidP="008B5873">
      <w:pPr>
        <w:pStyle w:val="BodyText"/>
        <w:rPr>
          <w:lang w:eastAsia="en-US"/>
        </w:rPr>
      </w:pPr>
    </w:p>
    <w:p w14:paraId="1CA57957" w14:textId="77777777" w:rsidR="008B5873" w:rsidRDefault="008B5873" w:rsidP="008B5873">
      <w:pPr>
        <w:pStyle w:val="BodyText"/>
        <w:jc w:val="left"/>
        <w:rPr>
          <w:lang w:eastAsia="en-US"/>
        </w:rPr>
      </w:pPr>
    </w:p>
    <w:p w14:paraId="132CC903" w14:textId="09E36A56" w:rsidR="008B5873" w:rsidRDefault="008B5873" w:rsidP="008B5873">
      <w:pPr>
        <w:pStyle w:val="BodyText"/>
        <w:ind w:firstLine="0"/>
        <w:jc w:val="center"/>
        <w:rPr>
          <w:lang w:eastAsia="en-US"/>
        </w:rPr>
      </w:pPr>
      <w:r>
        <w:rPr>
          <w:lang w:eastAsia="en-US"/>
        </w:rPr>
        <w:t xml:space="preserve">Figure 1: </w:t>
      </w:r>
      <w:r w:rsidRPr="00D21D57">
        <w:rPr>
          <w:lang w:eastAsia="en-US"/>
        </w:rPr>
        <w:t xml:space="preserve">Data shown the Rate of Agreement and Discrepancy for Braden Scale six element among nurses’ </w:t>
      </w:r>
      <w:r w:rsidR="00944FB4" w:rsidRPr="00385BC4">
        <w:rPr>
          <w:color w:val="000000"/>
          <w:spacing w:val="0"/>
        </w:rPr>
        <w:t>documentation</w:t>
      </w:r>
    </w:p>
    <w:p w14:paraId="382839BA" w14:textId="77777777" w:rsidR="008B5873" w:rsidRDefault="008B5873" w:rsidP="008B5873">
      <w:pPr>
        <w:pStyle w:val="BodyText"/>
        <w:ind w:right="288"/>
        <w:jc w:val="center"/>
        <w:rPr>
          <w:lang w:eastAsia="en-US"/>
        </w:rPr>
      </w:pPr>
    </w:p>
    <w:p w14:paraId="7A3B72E7" w14:textId="77777777" w:rsidR="008B5873" w:rsidRPr="00385BC4" w:rsidRDefault="008B5873" w:rsidP="00385BC4">
      <w:pPr>
        <w:pStyle w:val="BodyText"/>
        <w:rPr>
          <w:color w:val="000000"/>
          <w:spacing w:val="0"/>
        </w:rPr>
      </w:pPr>
    </w:p>
    <w:p w14:paraId="55B3FC0E" w14:textId="3588DF27" w:rsidR="008B5873" w:rsidRDefault="008B5873" w:rsidP="00385BC4">
      <w:pPr>
        <w:pStyle w:val="BodyText"/>
        <w:rPr>
          <w:color w:val="000000"/>
          <w:spacing w:val="0"/>
        </w:rPr>
      </w:pPr>
      <w:r w:rsidRPr="00385BC4">
        <w:rPr>
          <w:color w:val="000000"/>
          <w:spacing w:val="0"/>
        </w:rPr>
        <w:t>Building on the findings related to Braden Scale rates of agreement and discrepancy, Cohen’s kappa statistic was used to assess the level of agreement in decision‑making between two nurses. As the collected Braden Scale element ratings are not quantitative due to the nature of the approved Braden Scale tool, the data were treated as categorical or ordinal data. Hypothesis testing using Cohen’s kappa statistics examined whether there was a difference in nurses’ agreement in BS elements documentation for each</w:t>
      </w:r>
      <w:r w:rsidRPr="00385BC4">
        <w:rPr>
          <w:rFonts w:hint="eastAsia"/>
          <w:color w:val="000000"/>
          <w:spacing w:val="0"/>
        </w:rPr>
        <w:t xml:space="preserve"> element, including sensory perception, moisture, activity, mobility, nutrition, and friction/shear (tested kappa statistic = 0 versus kappa statistic </w:t>
      </w:r>
      <w:r w:rsidRPr="00385BC4">
        <w:rPr>
          <w:rFonts w:hint="eastAsia"/>
          <w:color w:val="000000"/>
          <w:spacing w:val="0"/>
        </w:rPr>
        <w:t>≠</w:t>
      </w:r>
      <w:r w:rsidRPr="00385BC4">
        <w:rPr>
          <w:rFonts w:hint="eastAsia"/>
          <w:color w:val="000000"/>
          <w:spacing w:val="0"/>
        </w:rPr>
        <w:t xml:space="preserve"> 0). A kappa value of 0 indicates no agreement between raters. The kappa </w:t>
      </w:r>
      <w:r w:rsidR="00C7336E" w:rsidRPr="00385BC4">
        <w:rPr>
          <w:color w:val="000000"/>
          <w:spacing w:val="0"/>
        </w:rPr>
        <w:t>statistics</w:t>
      </w:r>
      <w:r w:rsidRPr="00385BC4">
        <w:rPr>
          <w:rFonts w:hint="eastAsia"/>
          <w:color w:val="000000"/>
          <w:spacing w:val="0"/>
        </w:rPr>
        <w:t xml:space="preserve"> provides an estimate </w:t>
      </w:r>
      <w:r w:rsidRPr="00385BC4">
        <w:rPr>
          <w:color w:val="000000"/>
          <w:spacing w:val="0"/>
        </w:rPr>
        <w:t>of inter‑rater agreement for contingency tables with multiple classifications (Table 3). In this table, the multiple classifications of each element demonstrated fair agreement in documentation among nurses.</w:t>
      </w:r>
    </w:p>
    <w:p w14:paraId="33A54409" w14:textId="77777777" w:rsidR="00385BC4" w:rsidRPr="00385BC4" w:rsidRDefault="00385BC4" w:rsidP="00385BC4">
      <w:pPr>
        <w:pStyle w:val="BodyText"/>
        <w:rPr>
          <w:color w:val="000000"/>
          <w:spacing w:val="0"/>
        </w:rPr>
      </w:pPr>
    </w:p>
    <w:p w14:paraId="74D993E7" w14:textId="77777777" w:rsidR="008B5873" w:rsidRDefault="008B5873" w:rsidP="008B5873">
      <w:pPr>
        <w:pStyle w:val="BodyText"/>
        <w:jc w:val="center"/>
        <w:rPr>
          <w:lang w:eastAsia="en-US"/>
        </w:rPr>
      </w:pPr>
      <w:r w:rsidRPr="00E41C34">
        <w:rPr>
          <w:lang w:eastAsia="en-US"/>
        </w:rPr>
        <w:t xml:space="preserve">Table </w:t>
      </w:r>
      <w:r>
        <w:rPr>
          <w:lang w:eastAsia="en-US"/>
        </w:rPr>
        <w:t>3</w:t>
      </w:r>
      <w:r w:rsidRPr="00E41C34">
        <w:rPr>
          <w:lang w:eastAsia="en-US"/>
        </w:rPr>
        <w:t xml:space="preserve">: </w:t>
      </w:r>
      <w:r w:rsidRPr="00001AB1">
        <w:t>Rate of Agreement and Discrepancy for Braden Scale Six elements score assigned by nurses</w:t>
      </w:r>
    </w:p>
    <w:tbl>
      <w:tblPr>
        <w:tblW w:w="0" w:type="auto"/>
        <w:jc w:val="center"/>
        <w:tblLayout w:type="fixed"/>
        <w:tblLook w:val="0000" w:firstRow="0" w:lastRow="0" w:firstColumn="0" w:lastColumn="0" w:noHBand="0" w:noVBand="0"/>
      </w:tblPr>
      <w:tblGrid>
        <w:gridCol w:w="2210"/>
        <w:gridCol w:w="1013"/>
        <w:gridCol w:w="921"/>
        <w:gridCol w:w="829"/>
        <w:gridCol w:w="829"/>
        <w:gridCol w:w="1658"/>
        <w:gridCol w:w="1289"/>
        <w:gridCol w:w="1606"/>
      </w:tblGrid>
      <w:tr w:rsidR="008B5873" w:rsidRPr="002C60BB" w14:paraId="7EE053C2" w14:textId="77777777" w:rsidTr="00326EDB">
        <w:trPr>
          <w:trHeight w:val="627"/>
          <w:tblHeader/>
          <w:jc w:val="center"/>
        </w:trPr>
        <w:tc>
          <w:tcPr>
            <w:tcW w:w="2210" w:type="dxa"/>
            <w:vMerge w:val="restart"/>
            <w:tcBorders>
              <w:top w:val="single" w:sz="1" w:space="0" w:color="000000"/>
              <w:left w:val="single" w:sz="1" w:space="0" w:color="000000"/>
              <w:right w:val="single" w:sz="4" w:space="0" w:color="auto"/>
            </w:tcBorders>
            <w:vAlign w:val="center"/>
          </w:tcPr>
          <w:p w14:paraId="5A0BF78F" w14:textId="77777777" w:rsidR="008B5873" w:rsidRPr="00092B52" w:rsidRDefault="008B5873" w:rsidP="00326EDB">
            <w:pPr>
              <w:pStyle w:val="tablecolsubhead"/>
              <w:snapToGrid w:val="0"/>
              <w:jc w:val="both"/>
              <w:rPr>
                <w:i w:val="0"/>
                <w:sz w:val="20"/>
                <w:szCs w:val="20"/>
              </w:rPr>
            </w:pPr>
            <w:r w:rsidRPr="009054B3">
              <w:rPr>
                <w:i w:val="0"/>
                <w:sz w:val="20"/>
                <w:szCs w:val="20"/>
              </w:rPr>
              <w:t>Rate of Agreement and Discrepancy for BS Score</w:t>
            </w:r>
          </w:p>
        </w:tc>
        <w:tc>
          <w:tcPr>
            <w:tcW w:w="1934" w:type="dxa"/>
            <w:gridSpan w:val="2"/>
            <w:tcBorders>
              <w:top w:val="single" w:sz="1" w:space="0" w:color="000000"/>
              <w:left w:val="single" w:sz="4" w:space="0" w:color="auto"/>
              <w:bottom w:val="single" w:sz="4" w:space="0" w:color="auto"/>
            </w:tcBorders>
            <w:vAlign w:val="center"/>
          </w:tcPr>
          <w:p w14:paraId="1824FF7F" w14:textId="77777777" w:rsidR="008B5873" w:rsidRPr="00A371AD" w:rsidRDefault="008B5873" w:rsidP="00326EDB">
            <w:pPr>
              <w:pStyle w:val="tablecolsubhead"/>
              <w:snapToGrid w:val="0"/>
              <w:jc w:val="both"/>
              <w:rPr>
                <w:i w:val="0"/>
                <w:sz w:val="20"/>
                <w:szCs w:val="20"/>
              </w:rPr>
            </w:pPr>
            <w:r w:rsidRPr="00A371AD">
              <w:rPr>
                <w:i w:val="0"/>
                <w:sz w:val="20"/>
                <w:szCs w:val="20"/>
              </w:rPr>
              <w:t xml:space="preserve">Agreement </w:t>
            </w:r>
          </w:p>
          <w:p w14:paraId="5E6A56BE" w14:textId="77777777" w:rsidR="008B5873" w:rsidRDefault="008B5873" w:rsidP="00326EDB">
            <w:pPr>
              <w:pStyle w:val="tablecolsubhead"/>
              <w:snapToGrid w:val="0"/>
              <w:jc w:val="both"/>
              <w:rPr>
                <w:i w:val="0"/>
                <w:sz w:val="20"/>
                <w:szCs w:val="20"/>
              </w:rPr>
            </w:pPr>
            <w:r w:rsidRPr="00A371AD">
              <w:rPr>
                <w:i w:val="0"/>
                <w:sz w:val="20"/>
                <w:szCs w:val="20"/>
              </w:rPr>
              <w:t>(score 0)</w:t>
            </w:r>
          </w:p>
          <w:p w14:paraId="308EAC4A" w14:textId="77777777" w:rsidR="008B5873" w:rsidRPr="00092B52" w:rsidRDefault="008B5873" w:rsidP="00326EDB">
            <w:pPr>
              <w:pStyle w:val="tablecolsubhead"/>
              <w:snapToGrid w:val="0"/>
              <w:jc w:val="both"/>
              <w:rPr>
                <w:i w:val="0"/>
                <w:sz w:val="20"/>
                <w:szCs w:val="20"/>
              </w:rPr>
            </w:pPr>
          </w:p>
        </w:tc>
        <w:tc>
          <w:tcPr>
            <w:tcW w:w="1658" w:type="dxa"/>
            <w:gridSpan w:val="2"/>
            <w:tcBorders>
              <w:top w:val="single" w:sz="1" w:space="0" w:color="000000"/>
              <w:left w:val="single" w:sz="4" w:space="0" w:color="auto"/>
              <w:bottom w:val="single" w:sz="4" w:space="0" w:color="auto"/>
            </w:tcBorders>
            <w:vAlign w:val="center"/>
          </w:tcPr>
          <w:p w14:paraId="6C74509F" w14:textId="77777777" w:rsidR="008B5873" w:rsidRDefault="008B5873" w:rsidP="00326EDB">
            <w:pPr>
              <w:pStyle w:val="tablecolsubhead"/>
              <w:snapToGrid w:val="0"/>
              <w:jc w:val="both"/>
              <w:rPr>
                <w:i w:val="0"/>
                <w:sz w:val="20"/>
                <w:szCs w:val="20"/>
              </w:rPr>
            </w:pPr>
            <w:r w:rsidRPr="001C2F82">
              <w:rPr>
                <w:i w:val="0"/>
                <w:sz w:val="20"/>
                <w:szCs w:val="20"/>
              </w:rPr>
              <w:t xml:space="preserve">Discrepancy </w:t>
            </w:r>
          </w:p>
          <w:p w14:paraId="4545D760" w14:textId="77777777" w:rsidR="008B5873" w:rsidRDefault="008B5873" w:rsidP="00326EDB">
            <w:pPr>
              <w:pStyle w:val="tablecolsubhead"/>
              <w:snapToGrid w:val="0"/>
              <w:jc w:val="both"/>
              <w:rPr>
                <w:i w:val="0"/>
                <w:sz w:val="20"/>
                <w:szCs w:val="20"/>
              </w:rPr>
            </w:pPr>
            <w:r w:rsidRPr="001C2F82">
              <w:rPr>
                <w:i w:val="0"/>
                <w:sz w:val="20"/>
                <w:szCs w:val="20"/>
              </w:rPr>
              <w:t>(score 1)</w:t>
            </w:r>
          </w:p>
          <w:p w14:paraId="23646235" w14:textId="77777777" w:rsidR="008B5873" w:rsidRPr="00092B52" w:rsidRDefault="008B5873" w:rsidP="00326EDB">
            <w:pPr>
              <w:pStyle w:val="tablecolsubhead"/>
              <w:snapToGrid w:val="0"/>
              <w:jc w:val="both"/>
              <w:rPr>
                <w:i w:val="0"/>
                <w:sz w:val="20"/>
                <w:szCs w:val="20"/>
              </w:rPr>
            </w:pPr>
          </w:p>
        </w:tc>
        <w:tc>
          <w:tcPr>
            <w:tcW w:w="1658" w:type="dxa"/>
            <w:vMerge w:val="restart"/>
            <w:tcBorders>
              <w:top w:val="single" w:sz="1" w:space="0" w:color="000000"/>
              <w:left w:val="single" w:sz="1" w:space="0" w:color="000000"/>
              <w:right w:val="single" w:sz="4" w:space="0" w:color="auto"/>
            </w:tcBorders>
            <w:vAlign w:val="center"/>
          </w:tcPr>
          <w:p w14:paraId="5D18470C" w14:textId="77777777" w:rsidR="008B5873" w:rsidRPr="00092B52" w:rsidRDefault="008B5873" w:rsidP="00326EDB">
            <w:pPr>
              <w:pStyle w:val="tablecolsubhead"/>
              <w:snapToGrid w:val="0"/>
              <w:jc w:val="both"/>
              <w:rPr>
                <w:i w:val="0"/>
                <w:sz w:val="20"/>
                <w:szCs w:val="20"/>
              </w:rPr>
            </w:pPr>
            <w:r>
              <w:rPr>
                <w:i w:val="0"/>
                <w:sz w:val="20"/>
                <w:szCs w:val="20"/>
              </w:rPr>
              <w:t>M</w:t>
            </w:r>
            <w:r w:rsidRPr="004754F6">
              <w:rPr>
                <w:i w:val="0"/>
                <w:sz w:val="20"/>
                <w:szCs w:val="20"/>
              </w:rPr>
              <w:t>easure of Agreement-kappa statistic</w:t>
            </w:r>
          </w:p>
        </w:tc>
        <w:tc>
          <w:tcPr>
            <w:tcW w:w="1289" w:type="dxa"/>
            <w:vMerge w:val="restart"/>
            <w:tcBorders>
              <w:top w:val="single" w:sz="1" w:space="0" w:color="000000"/>
              <w:left w:val="single" w:sz="4" w:space="0" w:color="auto"/>
              <w:right w:val="single" w:sz="1" w:space="0" w:color="000000"/>
            </w:tcBorders>
            <w:vAlign w:val="center"/>
          </w:tcPr>
          <w:p w14:paraId="076A6F41" w14:textId="77777777" w:rsidR="008B5873" w:rsidRPr="00092B52" w:rsidRDefault="008B5873" w:rsidP="00326EDB">
            <w:pPr>
              <w:pStyle w:val="tablecolsubhead"/>
              <w:snapToGrid w:val="0"/>
              <w:jc w:val="both"/>
              <w:rPr>
                <w:i w:val="0"/>
                <w:sz w:val="20"/>
                <w:szCs w:val="20"/>
              </w:rPr>
            </w:pPr>
            <w:r>
              <w:rPr>
                <w:i w:val="0"/>
                <w:sz w:val="20"/>
                <w:szCs w:val="20"/>
              </w:rPr>
              <w:t>P</w:t>
            </w:r>
            <w:r w:rsidRPr="00527CE5">
              <w:rPr>
                <w:i w:val="0"/>
                <w:sz w:val="20"/>
                <w:szCs w:val="20"/>
              </w:rPr>
              <w:t xml:space="preserve"> value</w:t>
            </w:r>
          </w:p>
        </w:tc>
        <w:tc>
          <w:tcPr>
            <w:tcW w:w="1606" w:type="dxa"/>
            <w:vMerge w:val="restart"/>
            <w:tcBorders>
              <w:top w:val="single" w:sz="1" w:space="0" w:color="000000"/>
              <w:left w:val="single" w:sz="4" w:space="0" w:color="auto"/>
              <w:right w:val="single" w:sz="1" w:space="0" w:color="000000"/>
            </w:tcBorders>
            <w:vAlign w:val="center"/>
          </w:tcPr>
          <w:p w14:paraId="193AC690" w14:textId="77777777" w:rsidR="008B5873" w:rsidRPr="00092B52" w:rsidRDefault="008B5873" w:rsidP="00326EDB">
            <w:pPr>
              <w:pStyle w:val="tablecolsubhead"/>
              <w:snapToGrid w:val="0"/>
              <w:jc w:val="both"/>
              <w:rPr>
                <w:i w:val="0"/>
                <w:sz w:val="20"/>
                <w:szCs w:val="20"/>
              </w:rPr>
            </w:pPr>
            <w:r>
              <w:rPr>
                <w:i w:val="0"/>
                <w:sz w:val="20"/>
                <w:szCs w:val="20"/>
              </w:rPr>
              <w:t>I</w:t>
            </w:r>
            <w:r w:rsidRPr="00E82E88">
              <w:rPr>
                <w:i w:val="0"/>
                <w:sz w:val="20"/>
                <w:szCs w:val="20"/>
              </w:rPr>
              <w:t>nterpretation</w:t>
            </w:r>
          </w:p>
        </w:tc>
      </w:tr>
      <w:tr w:rsidR="008B5873" w:rsidRPr="002C60BB" w14:paraId="089BCF37" w14:textId="77777777" w:rsidTr="00326EDB">
        <w:trPr>
          <w:trHeight w:val="454"/>
          <w:tblHeader/>
          <w:jc w:val="center"/>
        </w:trPr>
        <w:tc>
          <w:tcPr>
            <w:tcW w:w="2210" w:type="dxa"/>
            <w:vMerge/>
            <w:tcBorders>
              <w:left w:val="single" w:sz="1" w:space="0" w:color="000000"/>
              <w:bottom w:val="single" w:sz="1" w:space="0" w:color="000000"/>
              <w:right w:val="single" w:sz="4" w:space="0" w:color="auto"/>
            </w:tcBorders>
            <w:vAlign w:val="center"/>
          </w:tcPr>
          <w:p w14:paraId="7EFA2452" w14:textId="77777777" w:rsidR="008B5873" w:rsidRPr="009054B3" w:rsidRDefault="008B5873" w:rsidP="00326EDB">
            <w:pPr>
              <w:pStyle w:val="tablecolsubhead"/>
              <w:snapToGrid w:val="0"/>
              <w:jc w:val="both"/>
              <w:rPr>
                <w:i w:val="0"/>
                <w:sz w:val="20"/>
                <w:szCs w:val="20"/>
              </w:rPr>
            </w:pPr>
          </w:p>
        </w:tc>
        <w:tc>
          <w:tcPr>
            <w:tcW w:w="1013" w:type="dxa"/>
            <w:tcBorders>
              <w:top w:val="single" w:sz="4" w:space="0" w:color="auto"/>
              <w:left w:val="single" w:sz="4" w:space="0" w:color="auto"/>
              <w:bottom w:val="single" w:sz="1" w:space="0" w:color="000000"/>
            </w:tcBorders>
            <w:vAlign w:val="center"/>
          </w:tcPr>
          <w:p w14:paraId="5D505EE4" w14:textId="77777777" w:rsidR="008B5873" w:rsidRPr="00A371AD" w:rsidRDefault="008B5873" w:rsidP="00326EDB">
            <w:pPr>
              <w:pStyle w:val="tablecolsubhead"/>
              <w:snapToGrid w:val="0"/>
              <w:jc w:val="both"/>
              <w:rPr>
                <w:i w:val="0"/>
                <w:sz w:val="20"/>
                <w:szCs w:val="20"/>
              </w:rPr>
            </w:pPr>
            <w:r>
              <w:rPr>
                <w:i w:val="0"/>
                <w:sz w:val="20"/>
                <w:szCs w:val="20"/>
              </w:rPr>
              <w:t>No.</w:t>
            </w:r>
          </w:p>
        </w:tc>
        <w:tc>
          <w:tcPr>
            <w:tcW w:w="921" w:type="dxa"/>
            <w:tcBorders>
              <w:top w:val="single" w:sz="4" w:space="0" w:color="auto"/>
              <w:left w:val="single" w:sz="4" w:space="0" w:color="auto"/>
              <w:bottom w:val="single" w:sz="1" w:space="0" w:color="000000"/>
            </w:tcBorders>
            <w:vAlign w:val="center"/>
          </w:tcPr>
          <w:p w14:paraId="6F552977" w14:textId="77777777" w:rsidR="008B5873" w:rsidRPr="00A371AD" w:rsidRDefault="008B5873" w:rsidP="00326EDB">
            <w:pPr>
              <w:pStyle w:val="tablecolsubhead"/>
              <w:snapToGrid w:val="0"/>
              <w:jc w:val="both"/>
              <w:rPr>
                <w:i w:val="0"/>
                <w:sz w:val="20"/>
                <w:szCs w:val="20"/>
              </w:rPr>
            </w:pPr>
            <w:r>
              <w:rPr>
                <w:i w:val="0"/>
                <w:sz w:val="20"/>
                <w:szCs w:val="20"/>
              </w:rPr>
              <w:t>%</w:t>
            </w:r>
          </w:p>
        </w:tc>
        <w:tc>
          <w:tcPr>
            <w:tcW w:w="829" w:type="dxa"/>
            <w:tcBorders>
              <w:top w:val="single" w:sz="4" w:space="0" w:color="auto"/>
              <w:left w:val="single" w:sz="4" w:space="0" w:color="auto"/>
              <w:bottom w:val="single" w:sz="1" w:space="0" w:color="000000"/>
              <w:right w:val="single" w:sz="4" w:space="0" w:color="auto"/>
            </w:tcBorders>
            <w:vAlign w:val="center"/>
          </w:tcPr>
          <w:p w14:paraId="3124B5DD" w14:textId="77777777" w:rsidR="008B5873" w:rsidRPr="001C2F82" w:rsidRDefault="008B5873" w:rsidP="00326EDB">
            <w:pPr>
              <w:pStyle w:val="tablecolsubhead"/>
              <w:snapToGrid w:val="0"/>
              <w:jc w:val="both"/>
              <w:rPr>
                <w:i w:val="0"/>
                <w:sz w:val="20"/>
                <w:szCs w:val="20"/>
              </w:rPr>
            </w:pPr>
            <w:r>
              <w:rPr>
                <w:i w:val="0"/>
                <w:sz w:val="20"/>
                <w:szCs w:val="20"/>
              </w:rPr>
              <w:t>No.</w:t>
            </w:r>
          </w:p>
        </w:tc>
        <w:tc>
          <w:tcPr>
            <w:tcW w:w="829" w:type="dxa"/>
            <w:tcBorders>
              <w:top w:val="single" w:sz="4" w:space="0" w:color="auto"/>
              <w:left w:val="single" w:sz="4" w:space="0" w:color="auto"/>
              <w:bottom w:val="single" w:sz="1" w:space="0" w:color="000000"/>
              <w:right w:val="single" w:sz="4" w:space="0" w:color="auto"/>
            </w:tcBorders>
            <w:vAlign w:val="center"/>
          </w:tcPr>
          <w:p w14:paraId="6861AE08" w14:textId="77777777" w:rsidR="008B5873" w:rsidRPr="001C2F82" w:rsidRDefault="008B5873" w:rsidP="00326EDB">
            <w:pPr>
              <w:pStyle w:val="tablecolsubhead"/>
              <w:snapToGrid w:val="0"/>
              <w:jc w:val="both"/>
              <w:rPr>
                <w:i w:val="0"/>
                <w:sz w:val="20"/>
                <w:szCs w:val="20"/>
              </w:rPr>
            </w:pPr>
            <w:r>
              <w:rPr>
                <w:i w:val="0"/>
                <w:sz w:val="20"/>
                <w:szCs w:val="20"/>
              </w:rPr>
              <w:t>%</w:t>
            </w:r>
          </w:p>
        </w:tc>
        <w:tc>
          <w:tcPr>
            <w:tcW w:w="1658" w:type="dxa"/>
            <w:vMerge/>
            <w:tcBorders>
              <w:left w:val="single" w:sz="4" w:space="0" w:color="auto"/>
              <w:bottom w:val="single" w:sz="1" w:space="0" w:color="000000"/>
              <w:right w:val="single" w:sz="4" w:space="0" w:color="auto"/>
            </w:tcBorders>
            <w:vAlign w:val="center"/>
          </w:tcPr>
          <w:p w14:paraId="065E6571" w14:textId="77777777" w:rsidR="008B5873" w:rsidRDefault="008B5873" w:rsidP="00326EDB">
            <w:pPr>
              <w:pStyle w:val="tablecolsubhead"/>
              <w:snapToGrid w:val="0"/>
              <w:jc w:val="both"/>
              <w:rPr>
                <w:i w:val="0"/>
                <w:sz w:val="20"/>
                <w:szCs w:val="20"/>
              </w:rPr>
            </w:pPr>
          </w:p>
        </w:tc>
        <w:tc>
          <w:tcPr>
            <w:tcW w:w="1289" w:type="dxa"/>
            <w:vMerge/>
            <w:tcBorders>
              <w:left w:val="single" w:sz="4" w:space="0" w:color="auto"/>
              <w:bottom w:val="single" w:sz="1" w:space="0" w:color="000000"/>
              <w:right w:val="single" w:sz="1" w:space="0" w:color="000000"/>
            </w:tcBorders>
            <w:vAlign w:val="center"/>
          </w:tcPr>
          <w:p w14:paraId="6E664F2E" w14:textId="77777777" w:rsidR="008B5873" w:rsidRDefault="008B5873" w:rsidP="00326EDB">
            <w:pPr>
              <w:pStyle w:val="tablecolsubhead"/>
              <w:snapToGrid w:val="0"/>
              <w:jc w:val="both"/>
              <w:rPr>
                <w:i w:val="0"/>
                <w:sz w:val="20"/>
                <w:szCs w:val="20"/>
              </w:rPr>
            </w:pPr>
          </w:p>
        </w:tc>
        <w:tc>
          <w:tcPr>
            <w:tcW w:w="1606" w:type="dxa"/>
            <w:vMerge/>
            <w:tcBorders>
              <w:left w:val="single" w:sz="4" w:space="0" w:color="auto"/>
              <w:bottom w:val="single" w:sz="1" w:space="0" w:color="000000"/>
              <w:right w:val="single" w:sz="1" w:space="0" w:color="000000"/>
            </w:tcBorders>
            <w:vAlign w:val="center"/>
          </w:tcPr>
          <w:p w14:paraId="65F87B37" w14:textId="77777777" w:rsidR="008B5873" w:rsidRDefault="008B5873" w:rsidP="00326EDB">
            <w:pPr>
              <w:pStyle w:val="tablecolsubhead"/>
              <w:snapToGrid w:val="0"/>
              <w:jc w:val="both"/>
              <w:rPr>
                <w:i w:val="0"/>
                <w:sz w:val="20"/>
                <w:szCs w:val="20"/>
              </w:rPr>
            </w:pPr>
          </w:p>
        </w:tc>
      </w:tr>
      <w:tr w:rsidR="008B5873" w:rsidRPr="002C60BB" w14:paraId="7AEA8E76" w14:textId="77777777" w:rsidTr="00326EDB">
        <w:trPr>
          <w:trHeight w:val="594"/>
          <w:jc w:val="center"/>
        </w:trPr>
        <w:tc>
          <w:tcPr>
            <w:tcW w:w="2210" w:type="dxa"/>
            <w:tcBorders>
              <w:top w:val="single" w:sz="1" w:space="0" w:color="000000"/>
              <w:left w:val="single" w:sz="1" w:space="0" w:color="000000"/>
              <w:bottom w:val="single" w:sz="1" w:space="0" w:color="000000"/>
              <w:right w:val="single" w:sz="4" w:space="0" w:color="auto"/>
            </w:tcBorders>
          </w:tcPr>
          <w:p w14:paraId="5C69297A" w14:textId="77777777" w:rsidR="008B5873" w:rsidRPr="002C60BB" w:rsidRDefault="008B5873" w:rsidP="00326EDB">
            <w:pPr>
              <w:pStyle w:val="tablecopy"/>
              <w:snapToGrid w:val="0"/>
              <w:rPr>
                <w:sz w:val="20"/>
                <w:szCs w:val="20"/>
              </w:rPr>
            </w:pPr>
            <w:r>
              <w:rPr>
                <w:sz w:val="20"/>
                <w:szCs w:val="20"/>
              </w:rPr>
              <w:t xml:space="preserve">BS </w:t>
            </w:r>
            <w:r w:rsidRPr="00B7509C">
              <w:rPr>
                <w:sz w:val="20"/>
                <w:szCs w:val="20"/>
              </w:rPr>
              <w:t>Sensory perception</w:t>
            </w:r>
          </w:p>
        </w:tc>
        <w:tc>
          <w:tcPr>
            <w:tcW w:w="1013" w:type="dxa"/>
            <w:tcBorders>
              <w:top w:val="single" w:sz="1" w:space="0" w:color="000000"/>
              <w:left w:val="single" w:sz="4" w:space="0" w:color="auto"/>
              <w:bottom w:val="single" w:sz="1" w:space="0" w:color="000000"/>
            </w:tcBorders>
          </w:tcPr>
          <w:p w14:paraId="49690583" w14:textId="77777777" w:rsidR="008B5873" w:rsidRPr="002C60BB" w:rsidRDefault="008B5873" w:rsidP="00326EDB">
            <w:pPr>
              <w:pStyle w:val="tablecopy"/>
              <w:snapToGrid w:val="0"/>
              <w:rPr>
                <w:sz w:val="20"/>
                <w:szCs w:val="20"/>
              </w:rPr>
            </w:pPr>
            <w:r w:rsidRPr="00B7509C">
              <w:rPr>
                <w:sz w:val="20"/>
                <w:szCs w:val="20"/>
              </w:rPr>
              <w:t>1840</w:t>
            </w:r>
          </w:p>
        </w:tc>
        <w:tc>
          <w:tcPr>
            <w:tcW w:w="921" w:type="dxa"/>
            <w:tcBorders>
              <w:top w:val="single" w:sz="1" w:space="0" w:color="000000"/>
              <w:left w:val="single" w:sz="4" w:space="0" w:color="auto"/>
              <w:bottom w:val="single" w:sz="1" w:space="0" w:color="000000"/>
            </w:tcBorders>
          </w:tcPr>
          <w:p w14:paraId="5D054469" w14:textId="77777777" w:rsidR="008B5873" w:rsidRPr="002C60BB" w:rsidRDefault="008B5873" w:rsidP="00326EDB">
            <w:pPr>
              <w:pStyle w:val="tablecopy"/>
              <w:snapToGrid w:val="0"/>
              <w:rPr>
                <w:sz w:val="20"/>
                <w:szCs w:val="20"/>
              </w:rPr>
            </w:pPr>
            <w:r w:rsidRPr="00B7509C">
              <w:rPr>
                <w:sz w:val="20"/>
                <w:szCs w:val="20"/>
              </w:rPr>
              <w:t>78.4</w:t>
            </w:r>
          </w:p>
        </w:tc>
        <w:tc>
          <w:tcPr>
            <w:tcW w:w="829" w:type="dxa"/>
            <w:tcBorders>
              <w:top w:val="single" w:sz="1" w:space="0" w:color="000000"/>
              <w:left w:val="single" w:sz="4" w:space="0" w:color="auto"/>
              <w:bottom w:val="single" w:sz="1" w:space="0" w:color="000000"/>
            </w:tcBorders>
          </w:tcPr>
          <w:p w14:paraId="2E1E5779" w14:textId="77777777" w:rsidR="008B5873" w:rsidRPr="002C60BB" w:rsidRDefault="008B5873" w:rsidP="00326EDB">
            <w:pPr>
              <w:pStyle w:val="tablecopy"/>
              <w:snapToGrid w:val="0"/>
              <w:rPr>
                <w:sz w:val="20"/>
                <w:szCs w:val="20"/>
              </w:rPr>
            </w:pPr>
            <w:r w:rsidRPr="00B7509C">
              <w:rPr>
                <w:sz w:val="20"/>
                <w:szCs w:val="20"/>
              </w:rPr>
              <w:t>506</w:t>
            </w:r>
          </w:p>
        </w:tc>
        <w:tc>
          <w:tcPr>
            <w:tcW w:w="829" w:type="dxa"/>
            <w:tcBorders>
              <w:top w:val="single" w:sz="1" w:space="0" w:color="000000"/>
              <w:left w:val="single" w:sz="4" w:space="0" w:color="auto"/>
              <w:bottom w:val="single" w:sz="1" w:space="0" w:color="000000"/>
            </w:tcBorders>
          </w:tcPr>
          <w:p w14:paraId="5D0E82F0" w14:textId="77777777" w:rsidR="008B5873" w:rsidRPr="002C60BB" w:rsidRDefault="008B5873" w:rsidP="00326EDB">
            <w:pPr>
              <w:pStyle w:val="tablecopy"/>
              <w:snapToGrid w:val="0"/>
              <w:rPr>
                <w:sz w:val="20"/>
                <w:szCs w:val="20"/>
              </w:rPr>
            </w:pPr>
            <w:r w:rsidRPr="00B7509C">
              <w:rPr>
                <w:sz w:val="20"/>
                <w:szCs w:val="20"/>
              </w:rPr>
              <w:t>21.6</w:t>
            </w:r>
          </w:p>
        </w:tc>
        <w:tc>
          <w:tcPr>
            <w:tcW w:w="1658" w:type="dxa"/>
            <w:tcBorders>
              <w:top w:val="single" w:sz="1" w:space="0" w:color="000000"/>
              <w:left w:val="single" w:sz="1" w:space="0" w:color="000000"/>
              <w:bottom w:val="single" w:sz="1" w:space="0" w:color="000000"/>
              <w:right w:val="single" w:sz="4" w:space="0" w:color="auto"/>
            </w:tcBorders>
          </w:tcPr>
          <w:p w14:paraId="10C2240E" w14:textId="77777777" w:rsidR="008B5873" w:rsidRPr="00B7509C" w:rsidRDefault="008B5873" w:rsidP="00326EDB">
            <w:pPr>
              <w:pStyle w:val="tablecopy"/>
              <w:rPr>
                <w:sz w:val="20"/>
                <w:szCs w:val="20"/>
              </w:rPr>
            </w:pPr>
            <w:r w:rsidRPr="00B7509C">
              <w:rPr>
                <w:sz w:val="20"/>
                <w:szCs w:val="20"/>
              </w:rPr>
              <w:t>0.39</w:t>
            </w:r>
          </w:p>
        </w:tc>
        <w:tc>
          <w:tcPr>
            <w:tcW w:w="1289" w:type="dxa"/>
            <w:tcBorders>
              <w:top w:val="single" w:sz="1" w:space="0" w:color="000000"/>
              <w:left w:val="single" w:sz="4" w:space="0" w:color="auto"/>
              <w:bottom w:val="single" w:sz="1" w:space="0" w:color="000000"/>
              <w:right w:val="single" w:sz="1" w:space="0" w:color="000000"/>
            </w:tcBorders>
          </w:tcPr>
          <w:p w14:paraId="02EDF206" w14:textId="77777777" w:rsidR="008B5873" w:rsidRPr="00B7509C" w:rsidRDefault="008B5873" w:rsidP="00326EDB">
            <w:pPr>
              <w:pStyle w:val="tablecopy"/>
              <w:rPr>
                <w:sz w:val="20"/>
                <w:szCs w:val="20"/>
              </w:rPr>
            </w:pPr>
            <w:r w:rsidRPr="00B7509C">
              <w:rPr>
                <w:sz w:val="20"/>
                <w:szCs w:val="20"/>
              </w:rPr>
              <w:t>&lt;0.001</w:t>
            </w:r>
          </w:p>
        </w:tc>
        <w:tc>
          <w:tcPr>
            <w:tcW w:w="1606" w:type="dxa"/>
            <w:tcBorders>
              <w:top w:val="single" w:sz="1" w:space="0" w:color="000000"/>
              <w:left w:val="single" w:sz="4" w:space="0" w:color="auto"/>
              <w:bottom w:val="single" w:sz="1" w:space="0" w:color="000000"/>
              <w:right w:val="single" w:sz="1" w:space="0" w:color="000000"/>
            </w:tcBorders>
          </w:tcPr>
          <w:p w14:paraId="7D6A87D9" w14:textId="77777777" w:rsidR="008B5873" w:rsidRPr="00B7509C" w:rsidRDefault="008B5873" w:rsidP="00326EDB">
            <w:pPr>
              <w:pStyle w:val="tablecopy"/>
              <w:rPr>
                <w:sz w:val="20"/>
                <w:szCs w:val="20"/>
              </w:rPr>
            </w:pPr>
            <w:r w:rsidRPr="00B7509C">
              <w:rPr>
                <w:sz w:val="20"/>
                <w:szCs w:val="20"/>
              </w:rPr>
              <w:t>Fair agreement</w:t>
            </w:r>
          </w:p>
        </w:tc>
      </w:tr>
      <w:tr w:rsidR="008B5873" w:rsidRPr="002C60BB" w14:paraId="5A1B61D1" w14:textId="77777777" w:rsidTr="00326EDB">
        <w:trPr>
          <w:trHeight w:val="594"/>
          <w:jc w:val="center"/>
        </w:trPr>
        <w:tc>
          <w:tcPr>
            <w:tcW w:w="2210" w:type="dxa"/>
            <w:tcBorders>
              <w:top w:val="single" w:sz="1" w:space="0" w:color="000000"/>
              <w:left w:val="single" w:sz="1" w:space="0" w:color="000000"/>
              <w:bottom w:val="single" w:sz="1" w:space="0" w:color="000000"/>
              <w:right w:val="single" w:sz="4" w:space="0" w:color="auto"/>
            </w:tcBorders>
          </w:tcPr>
          <w:p w14:paraId="136834BD" w14:textId="77777777" w:rsidR="008B5873" w:rsidRDefault="008B5873" w:rsidP="00326EDB">
            <w:pPr>
              <w:pStyle w:val="tablecopy"/>
              <w:snapToGrid w:val="0"/>
              <w:rPr>
                <w:sz w:val="20"/>
                <w:szCs w:val="20"/>
              </w:rPr>
            </w:pPr>
            <w:r w:rsidRPr="00B7509C">
              <w:rPr>
                <w:sz w:val="20"/>
                <w:szCs w:val="20"/>
              </w:rPr>
              <w:t xml:space="preserve">BS Moisture </w:t>
            </w:r>
          </w:p>
        </w:tc>
        <w:tc>
          <w:tcPr>
            <w:tcW w:w="1013" w:type="dxa"/>
            <w:tcBorders>
              <w:top w:val="single" w:sz="1" w:space="0" w:color="000000"/>
              <w:left w:val="single" w:sz="4" w:space="0" w:color="auto"/>
              <w:bottom w:val="single" w:sz="1" w:space="0" w:color="000000"/>
            </w:tcBorders>
          </w:tcPr>
          <w:p w14:paraId="1FBBF17B" w14:textId="77777777" w:rsidR="008B5873" w:rsidRDefault="008B5873" w:rsidP="00326EDB">
            <w:pPr>
              <w:pStyle w:val="tablecopy"/>
              <w:snapToGrid w:val="0"/>
              <w:rPr>
                <w:sz w:val="20"/>
                <w:szCs w:val="20"/>
              </w:rPr>
            </w:pPr>
            <w:r w:rsidRPr="00B7509C">
              <w:rPr>
                <w:sz w:val="20"/>
                <w:szCs w:val="20"/>
              </w:rPr>
              <w:t>1122</w:t>
            </w:r>
          </w:p>
        </w:tc>
        <w:tc>
          <w:tcPr>
            <w:tcW w:w="921" w:type="dxa"/>
            <w:tcBorders>
              <w:top w:val="single" w:sz="1" w:space="0" w:color="000000"/>
              <w:left w:val="single" w:sz="4" w:space="0" w:color="auto"/>
              <w:bottom w:val="single" w:sz="1" w:space="0" w:color="000000"/>
            </w:tcBorders>
          </w:tcPr>
          <w:p w14:paraId="082BC5B7" w14:textId="77777777" w:rsidR="008B5873" w:rsidRDefault="008B5873" w:rsidP="00326EDB">
            <w:pPr>
              <w:pStyle w:val="tablecopy"/>
              <w:snapToGrid w:val="0"/>
              <w:rPr>
                <w:sz w:val="20"/>
                <w:szCs w:val="20"/>
              </w:rPr>
            </w:pPr>
            <w:r w:rsidRPr="00B7509C">
              <w:rPr>
                <w:sz w:val="20"/>
                <w:szCs w:val="20"/>
              </w:rPr>
              <w:t>47.8</w:t>
            </w:r>
          </w:p>
        </w:tc>
        <w:tc>
          <w:tcPr>
            <w:tcW w:w="829" w:type="dxa"/>
            <w:tcBorders>
              <w:top w:val="single" w:sz="1" w:space="0" w:color="000000"/>
              <w:left w:val="single" w:sz="4" w:space="0" w:color="auto"/>
              <w:bottom w:val="single" w:sz="1" w:space="0" w:color="000000"/>
            </w:tcBorders>
          </w:tcPr>
          <w:p w14:paraId="124CC2A4" w14:textId="77777777" w:rsidR="008B5873" w:rsidRDefault="008B5873" w:rsidP="00326EDB">
            <w:pPr>
              <w:pStyle w:val="tablecopy"/>
              <w:snapToGrid w:val="0"/>
              <w:rPr>
                <w:sz w:val="20"/>
                <w:szCs w:val="20"/>
              </w:rPr>
            </w:pPr>
            <w:r w:rsidRPr="00B7509C">
              <w:rPr>
                <w:sz w:val="20"/>
                <w:szCs w:val="20"/>
              </w:rPr>
              <w:t>1224</w:t>
            </w:r>
          </w:p>
        </w:tc>
        <w:tc>
          <w:tcPr>
            <w:tcW w:w="829" w:type="dxa"/>
            <w:tcBorders>
              <w:top w:val="single" w:sz="1" w:space="0" w:color="000000"/>
              <w:left w:val="single" w:sz="4" w:space="0" w:color="auto"/>
              <w:bottom w:val="single" w:sz="1" w:space="0" w:color="000000"/>
            </w:tcBorders>
          </w:tcPr>
          <w:p w14:paraId="25D3DA28" w14:textId="77777777" w:rsidR="008B5873" w:rsidRDefault="008B5873" w:rsidP="00326EDB">
            <w:pPr>
              <w:pStyle w:val="tablecopy"/>
              <w:snapToGrid w:val="0"/>
              <w:rPr>
                <w:sz w:val="20"/>
                <w:szCs w:val="20"/>
              </w:rPr>
            </w:pPr>
            <w:r w:rsidRPr="00B7509C">
              <w:rPr>
                <w:sz w:val="20"/>
                <w:szCs w:val="20"/>
              </w:rPr>
              <w:t>52.2</w:t>
            </w:r>
          </w:p>
        </w:tc>
        <w:tc>
          <w:tcPr>
            <w:tcW w:w="1658" w:type="dxa"/>
            <w:tcBorders>
              <w:top w:val="single" w:sz="1" w:space="0" w:color="000000"/>
              <w:left w:val="single" w:sz="1" w:space="0" w:color="000000"/>
              <w:bottom w:val="single" w:sz="1" w:space="0" w:color="000000"/>
              <w:right w:val="single" w:sz="4" w:space="0" w:color="auto"/>
            </w:tcBorders>
          </w:tcPr>
          <w:p w14:paraId="4B64FC6F" w14:textId="77777777" w:rsidR="008B5873" w:rsidRPr="00B7509C" w:rsidRDefault="008B5873" w:rsidP="00326EDB">
            <w:pPr>
              <w:pStyle w:val="tablecopy"/>
              <w:rPr>
                <w:sz w:val="20"/>
                <w:szCs w:val="20"/>
              </w:rPr>
            </w:pPr>
            <w:r w:rsidRPr="00B7509C">
              <w:rPr>
                <w:sz w:val="20"/>
                <w:szCs w:val="20"/>
              </w:rPr>
              <w:t>0.14</w:t>
            </w:r>
          </w:p>
        </w:tc>
        <w:tc>
          <w:tcPr>
            <w:tcW w:w="1289" w:type="dxa"/>
            <w:tcBorders>
              <w:top w:val="single" w:sz="1" w:space="0" w:color="000000"/>
              <w:left w:val="single" w:sz="4" w:space="0" w:color="auto"/>
              <w:bottom w:val="single" w:sz="1" w:space="0" w:color="000000"/>
              <w:right w:val="single" w:sz="1" w:space="0" w:color="000000"/>
            </w:tcBorders>
          </w:tcPr>
          <w:p w14:paraId="7C35083C" w14:textId="77777777" w:rsidR="008B5873" w:rsidRPr="00B7509C" w:rsidRDefault="008B5873" w:rsidP="00326EDB">
            <w:pPr>
              <w:pStyle w:val="tablecopy"/>
              <w:rPr>
                <w:sz w:val="20"/>
                <w:szCs w:val="20"/>
              </w:rPr>
            </w:pPr>
            <w:r w:rsidRPr="00B7509C">
              <w:rPr>
                <w:sz w:val="20"/>
                <w:szCs w:val="20"/>
              </w:rPr>
              <w:t>&lt;0.001</w:t>
            </w:r>
          </w:p>
        </w:tc>
        <w:tc>
          <w:tcPr>
            <w:tcW w:w="1606" w:type="dxa"/>
            <w:tcBorders>
              <w:top w:val="single" w:sz="1" w:space="0" w:color="000000"/>
              <w:left w:val="single" w:sz="4" w:space="0" w:color="auto"/>
              <w:bottom w:val="single" w:sz="1" w:space="0" w:color="000000"/>
              <w:right w:val="single" w:sz="1" w:space="0" w:color="000000"/>
            </w:tcBorders>
          </w:tcPr>
          <w:p w14:paraId="1989E4CE" w14:textId="77777777" w:rsidR="008B5873" w:rsidRPr="00B7509C" w:rsidRDefault="008B5873" w:rsidP="00326EDB">
            <w:pPr>
              <w:pStyle w:val="tablecopy"/>
              <w:rPr>
                <w:sz w:val="20"/>
                <w:szCs w:val="20"/>
              </w:rPr>
            </w:pPr>
            <w:r w:rsidRPr="00B7509C">
              <w:rPr>
                <w:sz w:val="20"/>
                <w:szCs w:val="20"/>
              </w:rPr>
              <w:t>Fair agreement</w:t>
            </w:r>
          </w:p>
        </w:tc>
      </w:tr>
      <w:tr w:rsidR="008B5873" w:rsidRPr="002C60BB" w14:paraId="7C2ADD36" w14:textId="77777777" w:rsidTr="00326EDB">
        <w:trPr>
          <w:trHeight w:val="594"/>
          <w:jc w:val="center"/>
        </w:trPr>
        <w:tc>
          <w:tcPr>
            <w:tcW w:w="2210" w:type="dxa"/>
            <w:tcBorders>
              <w:top w:val="single" w:sz="1" w:space="0" w:color="000000"/>
              <w:left w:val="single" w:sz="1" w:space="0" w:color="000000"/>
              <w:bottom w:val="single" w:sz="1" w:space="0" w:color="000000"/>
              <w:right w:val="single" w:sz="4" w:space="0" w:color="auto"/>
            </w:tcBorders>
          </w:tcPr>
          <w:p w14:paraId="6784647E" w14:textId="77777777" w:rsidR="008B5873" w:rsidRDefault="008B5873" w:rsidP="00326EDB">
            <w:pPr>
              <w:pStyle w:val="tablecopy"/>
              <w:snapToGrid w:val="0"/>
              <w:rPr>
                <w:sz w:val="20"/>
                <w:szCs w:val="20"/>
              </w:rPr>
            </w:pPr>
            <w:r w:rsidRPr="00B7509C">
              <w:rPr>
                <w:sz w:val="20"/>
                <w:szCs w:val="20"/>
              </w:rPr>
              <w:t xml:space="preserve">BS Activity </w:t>
            </w:r>
          </w:p>
        </w:tc>
        <w:tc>
          <w:tcPr>
            <w:tcW w:w="1013" w:type="dxa"/>
            <w:tcBorders>
              <w:top w:val="single" w:sz="1" w:space="0" w:color="000000"/>
              <w:left w:val="single" w:sz="4" w:space="0" w:color="auto"/>
              <w:bottom w:val="single" w:sz="1" w:space="0" w:color="000000"/>
            </w:tcBorders>
          </w:tcPr>
          <w:p w14:paraId="5D10203F" w14:textId="77777777" w:rsidR="008B5873" w:rsidRDefault="008B5873" w:rsidP="00326EDB">
            <w:pPr>
              <w:pStyle w:val="tablecopy"/>
              <w:snapToGrid w:val="0"/>
              <w:rPr>
                <w:sz w:val="20"/>
                <w:szCs w:val="20"/>
              </w:rPr>
            </w:pPr>
            <w:r w:rsidRPr="00B7509C">
              <w:rPr>
                <w:sz w:val="20"/>
                <w:szCs w:val="20"/>
              </w:rPr>
              <w:t>1433</w:t>
            </w:r>
          </w:p>
        </w:tc>
        <w:tc>
          <w:tcPr>
            <w:tcW w:w="921" w:type="dxa"/>
            <w:tcBorders>
              <w:top w:val="single" w:sz="1" w:space="0" w:color="000000"/>
              <w:left w:val="single" w:sz="4" w:space="0" w:color="auto"/>
              <w:bottom w:val="single" w:sz="1" w:space="0" w:color="000000"/>
            </w:tcBorders>
          </w:tcPr>
          <w:p w14:paraId="4EB1EEFF" w14:textId="77777777" w:rsidR="008B5873" w:rsidRDefault="008B5873" w:rsidP="00326EDB">
            <w:pPr>
              <w:pStyle w:val="tablecopy"/>
              <w:snapToGrid w:val="0"/>
              <w:rPr>
                <w:sz w:val="20"/>
                <w:szCs w:val="20"/>
              </w:rPr>
            </w:pPr>
            <w:r w:rsidRPr="00B7509C">
              <w:rPr>
                <w:sz w:val="20"/>
                <w:szCs w:val="20"/>
              </w:rPr>
              <w:t>61.1</w:t>
            </w:r>
          </w:p>
        </w:tc>
        <w:tc>
          <w:tcPr>
            <w:tcW w:w="829" w:type="dxa"/>
            <w:tcBorders>
              <w:top w:val="single" w:sz="1" w:space="0" w:color="000000"/>
              <w:left w:val="single" w:sz="4" w:space="0" w:color="auto"/>
              <w:bottom w:val="single" w:sz="1" w:space="0" w:color="000000"/>
            </w:tcBorders>
          </w:tcPr>
          <w:p w14:paraId="1B2A8BE0" w14:textId="77777777" w:rsidR="008B5873" w:rsidRDefault="008B5873" w:rsidP="00326EDB">
            <w:pPr>
              <w:pStyle w:val="tablecopy"/>
              <w:snapToGrid w:val="0"/>
              <w:rPr>
                <w:sz w:val="20"/>
                <w:szCs w:val="20"/>
              </w:rPr>
            </w:pPr>
            <w:r w:rsidRPr="00B7509C">
              <w:rPr>
                <w:sz w:val="20"/>
                <w:szCs w:val="20"/>
              </w:rPr>
              <w:t>913</w:t>
            </w:r>
          </w:p>
        </w:tc>
        <w:tc>
          <w:tcPr>
            <w:tcW w:w="829" w:type="dxa"/>
            <w:tcBorders>
              <w:top w:val="single" w:sz="1" w:space="0" w:color="000000"/>
              <w:left w:val="single" w:sz="4" w:space="0" w:color="auto"/>
              <w:bottom w:val="single" w:sz="1" w:space="0" w:color="000000"/>
            </w:tcBorders>
          </w:tcPr>
          <w:p w14:paraId="4A44BEAE" w14:textId="77777777" w:rsidR="008B5873" w:rsidRDefault="008B5873" w:rsidP="00326EDB">
            <w:pPr>
              <w:pStyle w:val="tablecopy"/>
              <w:snapToGrid w:val="0"/>
              <w:rPr>
                <w:sz w:val="20"/>
                <w:szCs w:val="20"/>
              </w:rPr>
            </w:pPr>
            <w:r w:rsidRPr="00B7509C">
              <w:rPr>
                <w:sz w:val="20"/>
                <w:szCs w:val="20"/>
              </w:rPr>
              <w:t>38.9</w:t>
            </w:r>
          </w:p>
        </w:tc>
        <w:tc>
          <w:tcPr>
            <w:tcW w:w="1658" w:type="dxa"/>
            <w:tcBorders>
              <w:top w:val="single" w:sz="1" w:space="0" w:color="000000"/>
              <w:left w:val="single" w:sz="1" w:space="0" w:color="000000"/>
              <w:bottom w:val="single" w:sz="1" w:space="0" w:color="000000"/>
              <w:right w:val="single" w:sz="4" w:space="0" w:color="auto"/>
            </w:tcBorders>
          </w:tcPr>
          <w:p w14:paraId="4A53FCCA" w14:textId="77777777" w:rsidR="008B5873" w:rsidRPr="00B7509C" w:rsidRDefault="008B5873" w:rsidP="00326EDB">
            <w:pPr>
              <w:pStyle w:val="tablecopy"/>
              <w:rPr>
                <w:sz w:val="20"/>
                <w:szCs w:val="20"/>
              </w:rPr>
            </w:pPr>
            <w:r w:rsidRPr="00B7509C">
              <w:rPr>
                <w:sz w:val="20"/>
                <w:szCs w:val="20"/>
              </w:rPr>
              <w:t>0.43</w:t>
            </w:r>
          </w:p>
        </w:tc>
        <w:tc>
          <w:tcPr>
            <w:tcW w:w="1289" w:type="dxa"/>
            <w:tcBorders>
              <w:top w:val="single" w:sz="1" w:space="0" w:color="000000"/>
              <w:left w:val="single" w:sz="4" w:space="0" w:color="auto"/>
              <w:bottom w:val="single" w:sz="1" w:space="0" w:color="000000"/>
              <w:right w:val="single" w:sz="1" w:space="0" w:color="000000"/>
            </w:tcBorders>
          </w:tcPr>
          <w:p w14:paraId="1315BA96" w14:textId="77777777" w:rsidR="008B5873" w:rsidRPr="00B7509C" w:rsidRDefault="008B5873" w:rsidP="00326EDB">
            <w:pPr>
              <w:pStyle w:val="tablecopy"/>
              <w:rPr>
                <w:sz w:val="20"/>
                <w:szCs w:val="20"/>
              </w:rPr>
            </w:pPr>
            <w:r w:rsidRPr="00B7509C">
              <w:rPr>
                <w:sz w:val="20"/>
                <w:szCs w:val="20"/>
              </w:rPr>
              <w:t>&lt;0.001</w:t>
            </w:r>
          </w:p>
        </w:tc>
        <w:tc>
          <w:tcPr>
            <w:tcW w:w="1606" w:type="dxa"/>
            <w:tcBorders>
              <w:top w:val="single" w:sz="1" w:space="0" w:color="000000"/>
              <w:left w:val="single" w:sz="4" w:space="0" w:color="auto"/>
              <w:bottom w:val="single" w:sz="1" w:space="0" w:color="000000"/>
              <w:right w:val="single" w:sz="1" w:space="0" w:color="000000"/>
            </w:tcBorders>
          </w:tcPr>
          <w:p w14:paraId="43A3C0DE" w14:textId="77777777" w:rsidR="008B5873" w:rsidRPr="00B7509C" w:rsidRDefault="008B5873" w:rsidP="00326EDB">
            <w:pPr>
              <w:pStyle w:val="tablecopy"/>
              <w:rPr>
                <w:sz w:val="20"/>
                <w:szCs w:val="20"/>
              </w:rPr>
            </w:pPr>
            <w:r w:rsidRPr="00B7509C">
              <w:rPr>
                <w:sz w:val="20"/>
                <w:szCs w:val="20"/>
              </w:rPr>
              <w:t>Moderate agreement</w:t>
            </w:r>
          </w:p>
        </w:tc>
      </w:tr>
      <w:tr w:rsidR="008B5873" w:rsidRPr="002C60BB" w14:paraId="2D2E44FD" w14:textId="77777777" w:rsidTr="00326EDB">
        <w:trPr>
          <w:trHeight w:val="594"/>
          <w:jc w:val="center"/>
        </w:trPr>
        <w:tc>
          <w:tcPr>
            <w:tcW w:w="2210" w:type="dxa"/>
            <w:tcBorders>
              <w:top w:val="single" w:sz="1" w:space="0" w:color="000000"/>
              <w:left w:val="single" w:sz="1" w:space="0" w:color="000000"/>
              <w:bottom w:val="single" w:sz="1" w:space="0" w:color="000000"/>
              <w:right w:val="single" w:sz="4" w:space="0" w:color="auto"/>
            </w:tcBorders>
          </w:tcPr>
          <w:p w14:paraId="13755549" w14:textId="77777777" w:rsidR="008B5873" w:rsidRDefault="008B5873" w:rsidP="00326EDB">
            <w:pPr>
              <w:pStyle w:val="tablecopy"/>
              <w:snapToGrid w:val="0"/>
              <w:rPr>
                <w:sz w:val="20"/>
                <w:szCs w:val="20"/>
              </w:rPr>
            </w:pPr>
            <w:r w:rsidRPr="00B7509C">
              <w:rPr>
                <w:sz w:val="20"/>
                <w:szCs w:val="20"/>
              </w:rPr>
              <w:t xml:space="preserve">BS Mobility </w:t>
            </w:r>
          </w:p>
        </w:tc>
        <w:tc>
          <w:tcPr>
            <w:tcW w:w="1013" w:type="dxa"/>
            <w:tcBorders>
              <w:top w:val="single" w:sz="1" w:space="0" w:color="000000"/>
              <w:left w:val="single" w:sz="4" w:space="0" w:color="auto"/>
              <w:bottom w:val="single" w:sz="1" w:space="0" w:color="000000"/>
            </w:tcBorders>
          </w:tcPr>
          <w:p w14:paraId="17557DF4" w14:textId="77777777" w:rsidR="008B5873" w:rsidRDefault="008B5873" w:rsidP="00326EDB">
            <w:pPr>
              <w:pStyle w:val="tablecopy"/>
              <w:snapToGrid w:val="0"/>
              <w:rPr>
                <w:sz w:val="20"/>
                <w:szCs w:val="20"/>
              </w:rPr>
            </w:pPr>
            <w:r w:rsidRPr="00B7509C">
              <w:rPr>
                <w:sz w:val="20"/>
                <w:szCs w:val="20"/>
              </w:rPr>
              <w:t>1343</w:t>
            </w:r>
          </w:p>
        </w:tc>
        <w:tc>
          <w:tcPr>
            <w:tcW w:w="921" w:type="dxa"/>
            <w:tcBorders>
              <w:top w:val="single" w:sz="1" w:space="0" w:color="000000"/>
              <w:left w:val="single" w:sz="4" w:space="0" w:color="auto"/>
              <w:bottom w:val="single" w:sz="1" w:space="0" w:color="000000"/>
            </w:tcBorders>
          </w:tcPr>
          <w:p w14:paraId="45CDC877" w14:textId="77777777" w:rsidR="008B5873" w:rsidRDefault="008B5873" w:rsidP="00326EDB">
            <w:pPr>
              <w:pStyle w:val="tablecopy"/>
              <w:snapToGrid w:val="0"/>
              <w:rPr>
                <w:sz w:val="20"/>
                <w:szCs w:val="20"/>
              </w:rPr>
            </w:pPr>
            <w:r w:rsidRPr="00B7509C">
              <w:rPr>
                <w:sz w:val="20"/>
                <w:szCs w:val="20"/>
              </w:rPr>
              <w:t>57.2</w:t>
            </w:r>
          </w:p>
        </w:tc>
        <w:tc>
          <w:tcPr>
            <w:tcW w:w="829" w:type="dxa"/>
            <w:tcBorders>
              <w:top w:val="single" w:sz="1" w:space="0" w:color="000000"/>
              <w:left w:val="single" w:sz="4" w:space="0" w:color="auto"/>
              <w:bottom w:val="single" w:sz="1" w:space="0" w:color="000000"/>
            </w:tcBorders>
          </w:tcPr>
          <w:p w14:paraId="02905A5F" w14:textId="77777777" w:rsidR="008B5873" w:rsidRDefault="008B5873" w:rsidP="00326EDB">
            <w:pPr>
              <w:pStyle w:val="tablecopy"/>
              <w:snapToGrid w:val="0"/>
              <w:rPr>
                <w:sz w:val="20"/>
                <w:szCs w:val="20"/>
              </w:rPr>
            </w:pPr>
            <w:r w:rsidRPr="00B7509C">
              <w:rPr>
                <w:sz w:val="20"/>
                <w:szCs w:val="20"/>
              </w:rPr>
              <w:t>1003</w:t>
            </w:r>
          </w:p>
        </w:tc>
        <w:tc>
          <w:tcPr>
            <w:tcW w:w="829" w:type="dxa"/>
            <w:tcBorders>
              <w:top w:val="single" w:sz="1" w:space="0" w:color="000000"/>
              <w:left w:val="single" w:sz="4" w:space="0" w:color="auto"/>
              <w:bottom w:val="single" w:sz="1" w:space="0" w:color="000000"/>
            </w:tcBorders>
          </w:tcPr>
          <w:p w14:paraId="76E79984" w14:textId="77777777" w:rsidR="008B5873" w:rsidRDefault="008B5873" w:rsidP="00326EDB">
            <w:pPr>
              <w:pStyle w:val="tablecopy"/>
              <w:snapToGrid w:val="0"/>
              <w:rPr>
                <w:sz w:val="20"/>
                <w:szCs w:val="20"/>
              </w:rPr>
            </w:pPr>
            <w:r w:rsidRPr="00B7509C">
              <w:rPr>
                <w:sz w:val="20"/>
                <w:szCs w:val="20"/>
              </w:rPr>
              <w:t>42.8</w:t>
            </w:r>
          </w:p>
        </w:tc>
        <w:tc>
          <w:tcPr>
            <w:tcW w:w="1658" w:type="dxa"/>
            <w:tcBorders>
              <w:top w:val="single" w:sz="1" w:space="0" w:color="000000"/>
              <w:left w:val="single" w:sz="1" w:space="0" w:color="000000"/>
              <w:bottom w:val="single" w:sz="1" w:space="0" w:color="000000"/>
              <w:right w:val="single" w:sz="4" w:space="0" w:color="auto"/>
            </w:tcBorders>
          </w:tcPr>
          <w:p w14:paraId="2DF96733" w14:textId="77777777" w:rsidR="008B5873" w:rsidRPr="00B7509C" w:rsidRDefault="008B5873" w:rsidP="00326EDB">
            <w:pPr>
              <w:pStyle w:val="tablecopy"/>
              <w:rPr>
                <w:sz w:val="20"/>
                <w:szCs w:val="20"/>
              </w:rPr>
            </w:pPr>
            <w:r w:rsidRPr="00B7509C">
              <w:rPr>
                <w:sz w:val="20"/>
                <w:szCs w:val="20"/>
              </w:rPr>
              <w:t>0.33</w:t>
            </w:r>
          </w:p>
        </w:tc>
        <w:tc>
          <w:tcPr>
            <w:tcW w:w="1289" w:type="dxa"/>
            <w:tcBorders>
              <w:top w:val="single" w:sz="1" w:space="0" w:color="000000"/>
              <w:left w:val="single" w:sz="4" w:space="0" w:color="auto"/>
              <w:bottom w:val="single" w:sz="1" w:space="0" w:color="000000"/>
              <w:right w:val="single" w:sz="1" w:space="0" w:color="000000"/>
            </w:tcBorders>
          </w:tcPr>
          <w:p w14:paraId="53F8DEE0" w14:textId="77777777" w:rsidR="008B5873" w:rsidRPr="00B7509C" w:rsidRDefault="008B5873" w:rsidP="00326EDB">
            <w:pPr>
              <w:pStyle w:val="tablecopy"/>
              <w:rPr>
                <w:sz w:val="20"/>
                <w:szCs w:val="20"/>
              </w:rPr>
            </w:pPr>
            <w:r w:rsidRPr="00B7509C">
              <w:rPr>
                <w:sz w:val="20"/>
                <w:szCs w:val="20"/>
              </w:rPr>
              <w:t>&lt;0.001</w:t>
            </w:r>
          </w:p>
        </w:tc>
        <w:tc>
          <w:tcPr>
            <w:tcW w:w="1606" w:type="dxa"/>
            <w:tcBorders>
              <w:top w:val="single" w:sz="1" w:space="0" w:color="000000"/>
              <w:left w:val="single" w:sz="4" w:space="0" w:color="auto"/>
              <w:bottom w:val="single" w:sz="1" w:space="0" w:color="000000"/>
              <w:right w:val="single" w:sz="1" w:space="0" w:color="000000"/>
            </w:tcBorders>
          </w:tcPr>
          <w:p w14:paraId="0D8B1EEE" w14:textId="77777777" w:rsidR="008B5873" w:rsidRPr="00B7509C" w:rsidRDefault="008B5873" w:rsidP="00326EDB">
            <w:pPr>
              <w:pStyle w:val="tablecopy"/>
              <w:rPr>
                <w:sz w:val="20"/>
                <w:szCs w:val="20"/>
              </w:rPr>
            </w:pPr>
            <w:r w:rsidRPr="00B7509C">
              <w:rPr>
                <w:sz w:val="20"/>
                <w:szCs w:val="20"/>
              </w:rPr>
              <w:t>Fair agreement</w:t>
            </w:r>
          </w:p>
        </w:tc>
      </w:tr>
      <w:tr w:rsidR="008B5873" w:rsidRPr="002C60BB" w14:paraId="7B66EF42" w14:textId="77777777" w:rsidTr="00326EDB">
        <w:trPr>
          <w:trHeight w:val="594"/>
          <w:jc w:val="center"/>
        </w:trPr>
        <w:tc>
          <w:tcPr>
            <w:tcW w:w="2210" w:type="dxa"/>
            <w:tcBorders>
              <w:top w:val="single" w:sz="1" w:space="0" w:color="000000"/>
              <w:left w:val="single" w:sz="1" w:space="0" w:color="000000"/>
              <w:bottom w:val="single" w:sz="1" w:space="0" w:color="000000"/>
              <w:right w:val="single" w:sz="4" w:space="0" w:color="auto"/>
            </w:tcBorders>
          </w:tcPr>
          <w:p w14:paraId="63195E0C" w14:textId="77777777" w:rsidR="008B5873" w:rsidRDefault="008B5873" w:rsidP="00326EDB">
            <w:pPr>
              <w:pStyle w:val="tablecopy"/>
              <w:snapToGrid w:val="0"/>
              <w:rPr>
                <w:sz w:val="20"/>
                <w:szCs w:val="20"/>
              </w:rPr>
            </w:pPr>
            <w:r w:rsidRPr="00B7509C">
              <w:rPr>
                <w:sz w:val="20"/>
                <w:szCs w:val="20"/>
              </w:rPr>
              <w:t xml:space="preserve">BS Friction/shear </w:t>
            </w:r>
          </w:p>
        </w:tc>
        <w:tc>
          <w:tcPr>
            <w:tcW w:w="1013" w:type="dxa"/>
            <w:tcBorders>
              <w:top w:val="single" w:sz="1" w:space="0" w:color="000000"/>
              <w:left w:val="single" w:sz="4" w:space="0" w:color="auto"/>
              <w:bottom w:val="single" w:sz="1" w:space="0" w:color="000000"/>
            </w:tcBorders>
          </w:tcPr>
          <w:p w14:paraId="5F39DEC7" w14:textId="77777777" w:rsidR="008B5873" w:rsidRDefault="008B5873" w:rsidP="00326EDB">
            <w:pPr>
              <w:pStyle w:val="tablecopy"/>
              <w:snapToGrid w:val="0"/>
              <w:rPr>
                <w:sz w:val="20"/>
                <w:szCs w:val="20"/>
              </w:rPr>
            </w:pPr>
            <w:r w:rsidRPr="00B7509C">
              <w:rPr>
                <w:sz w:val="20"/>
                <w:szCs w:val="20"/>
              </w:rPr>
              <w:t>1760</w:t>
            </w:r>
          </w:p>
        </w:tc>
        <w:tc>
          <w:tcPr>
            <w:tcW w:w="921" w:type="dxa"/>
            <w:tcBorders>
              <w:top w:val="single" w:sz="1" w:space="0" w:color="000000"/>
              <w:left w:val="single" w:sz="4" w:space="0" w:color="auto"/>
              <w:bottom w:val="single" w:sz="1" w:space="0" w:color="000000"/>
            </w:tcBorders>
          </w:tcPr>
          <w:p w14:paraId="4A247220" w14:textId="77777777" w:rsidR="008B5873" w:rsidRDefault="008B5873" w:rsidP="00326EDB">
            <w:pPr>
              <w:pStyle w:val="tablecopy"/>
              <w:snapToGrid w:val="0"/>
              <w:rPr>
                <w:sz w:val="20"/>
                <w:szCs w:val="20"/>
              </w:rPr>
            </w:pPr>
            <w:r w:rsidRPr="00B7509C">
              <w:rPr>
                <w:sz w:val="20"/>
                <w:szCs w:val="20"/>
              </w:rPr>
              <w:t>75.0</w:t>
            </w:r>
          </w:p>
        </w:tc>
        <w:tc>
          <w:tcPr>
            <w:tcW w:w="829" w:type="dxa"/>
            <w:tcBorders>
              <w:top w:val="single" w:sz="1" w:space="0" w:color="000000"/>
              <w:left w:val="single" w:sz="4" w:space="0" w:color="auto"/>
              <w:bottom w:val="single" w:sz="1" w:space="0" w:color="000000"/>
            </w:tcBorders>
          </w:tcPr>
          <w:p w14:paraId="733B1CCC" w14:textId="77777777" w:rsidR="008B5873" w:rsidRDefault="008B5873" w:rsidP="00326EDB">
            <w:pPr>
              <w:pStyle w:val="tablecopy"/>
              <w:snapToGrid w:val="0"/>
              <w:rPr>
                <w:sz w:val="20"/>
                <w:szCs w:val="20"/>
              </w:rPr>
            </w:pPr>
            <w:r w:rsidRPr="00B7509C">
              <w:rPr>
                <w:sz w:val="20"/>
                <w:szCs w:val="20"/>
              </w:rPr>
              <w:t>586</w:t>
            </w:r>
          </w:p>
        </w:tc>
        <w:tc>
          <w:tcPr>
            <w:tcW w:w="829" w:type="dxa"/>
            <w:tcBorders>
              <w:top w:val="single" w:sz="1" w:space="0" w:color="000000"/>
              <w:left w:val="single" w:sz="4" w:space="0" w:color="auto"/>
              <w:bottom w:val="single" w:sz="1" w:space="0" w:color="000000"/>
            </w:tcBorders>
          </w:tcPr>
          <w:p w14:paraId="3DCCC2E2" w14:textId="77777777" w:rsidR="008B5873" w:rsidRDefault="008B5873" w:rsidP="00326EDB">
            <w:pPr>
              <w:pStyle w:val="tablecopy"/>
              <w:snapToGrid w:val="0"/>
              <w:rPr>
                <w:sz w:val="20"/>
                <w:szCs w:val="20"/>
              </w:rPr>
            </w:pPr>
            <w:r w:rsidRPr="00B7509C">
              <w:rPr>
                <w:sz w:val="20"/>
                <w:szCs w:val="20"/>
              </w:rPr>
              <w:t>25.0</w:t>
            </w:r>
          </w:p>
        </w:tc>
        <w:tc>
          <w:tcPr>
            <w:tcW w:w="1658" w:type="dxa"/>
            <w:tcBorders>
              <w:top w:val="single" w:sz="1" w:space="0" w:color="000000"/>
              <w:left w:val="single" w:sz="1" w:space="0" w:color="000000"/>
              <w:bottom w:val="single" w:sz="1" w:space="0" w:color="000000"/>
              <w:right w:val="single" w:sz="4" w:space="0" w:color="auto"/>
            </w:tcBorders>
          </w:tcPr>
          <w:p w14:paraId="735D2CD8" w14:textId="77777777" w:rsidR="008B5873" w:rsidRPr="00B7509C" w:rsidRDefault="008B5873" w:rsidP="00326EDB">
            <w:pPr>
              <w:pStyle w:val="tablecopy"/>
              <w:rPr>
                <w:sz w:val="20"/>
                <w:szCs w:val="20"/>
              </w:rPr>
            </w:pPr>
            <w:r w:rsidRPr="00B7509C">
              <w:rPr>
                <w:sz w:val="20"/>
                <w:szCs w:val="20"/>
              </w:rPr>
              <w:t>0.14</w:t>
            </w:r>
          </w:p>
        </w:tc>
        <w:tc>
          <w:tcPr>
            <w:tcW w:w="1289" w:type="dxa"/>
            <w:tcBorders>
              <w:top w:val="single" w:sz="1" w:space="0" w:color="000000"/>
              <w:left w:val="single" w:sz="4" w:space="0" w:color="auto"/>
              <w:bottom w:val="single" w:sz="1" w:space="0" w:color="000000"/>
              <w:right w:val="single" w:sz="1" w:space="0" w:color="000000"/>
            </w:tcBorders>
          </w:tcPr>
          <w:p w14:paraId="588E4504" w14:textId="77777777" w:rsidR="008B5873" w:rsidRPr="00B7509C" w:rsidRDefault="008B5873" w:rsidP="00326EDB">
            <w:pPr>
              <w:pStyle w:val="tablecopy"/>
              <w:rPr>
                <w:sz w:val="20"/>
                <w:szCs w:val="20"/>
              </w:rPr>
            </w:pPr>
            <w:r w:rsidRPr="00B7509C">
              <w:rPr>
                <w:sz w:val="20"/>
                <w:szCs w:val="20"/>
              </w:rPr>
              <w:t>&lt;0.001</w:t>
            </w:r>
          </w:p>
        </w:tc>
        <w:tc>
          <w:tcPr>
            <w:tcW w:w="1606" w:type="dxa"/>
            <w:tcBorders>
              <w:top w:val="single" w:sz="1" w:space="0" w:color="000000"/>
              <w:left w:val="single" w:sz="4" w:space="0" w:color="auto"/>
              <w:bottom w:val="single" w:sz="1" w:space="0" w:color="000000"/>
              <w:right w:val="single" w:sz="1" w:space="0" w:color="000000"/>
            </w:tcBorders>
          </w:tcPr>
          <w:p w14:paraId="64FA8FAE" w14:textId="77777777" w:rsidR="008B5873" w:rsidRPr="00B7509C" w:rsidRDefault="008B5873" w:rsidP="00326EDB">
            <w:pPr>
              <w:pStyle w:val="tablecopy"/>
              <w:rPr>
                <w:sz w:val="20"/>
                <w:szCs w:val="20"/>
              </w:rPr>
            </w:pPr>
            <w:r w:rsidRPr="00B7509C">
              <w:rPr>
                <w:sz w:val="20"/>
                <w:szCs w:val="20"/>
              </w:rPr>
              <w:t>Fair agreement</w:t>
            </w:r>
          </w:p>
        </w:tc>
      </w:tr>
      <w:tr w:rsidR="008B5873" w:rsidRPr="00F70712" w14:paraId="428F72B4" w14:textId="77777777" w:rsidTr="00326EDB">
        <w:trPr>
          <w:trHeight w:val="594"/>
          <w:jc w:val="center"/>
        </w:trPr>
        <w:tc>
          <w:tcPr>
            <w:tcW w:w="2210" w:type="dxa"/>
            <w:tcBorders>
              <w:top w:val="single" w:sz="1" w:space="0" w:color="000000"/>
              <w:left w:val="single" w:sz="1" w:space="0" w:color="000000"/>
              <w:bottom w:val="single" w:sz="1" w:space="0" w:color="000000"/>
              <w:right w:val="single" w:sz="4" w:space="0" w:color="auto"/>
            </w:tcBorders>
          </w:tcPr>
          <w:p w14:paraId="36F5AA24" w14:textId="77777777" w:rsidR="008B5873" w:rsidRDefault="008B5873" w:rsidP="00326EDB">
            <w:pPr>
              <w:pStyle w:val="tablecopy"/>
              <w:snapToGrid w:val="0"/>
              <w:rPr>
                <w:sz w:val="20"/>
                <w:szCs w:val="20"/>
              </w:rPr>
            </w:pPr>
            <w:r>
              <w:rPr>
                <w:sz w:val="20"/>
                <w:szCs w:val="20"/>
              </w:rPr>
              <w:t>O</w:t>
            </w:r>
            <w:r w:rsidRPr="00F70712">
              <w:rPr>
                <w:sz w:val="20"/>
                <w:szCs w:val="20"/>
              </w:rPr>
              <w:t>verall label assigned</w:t>
            </w:r>
          </w:p>
        </w:tc>
        <w:tc>
          <w:tcPr>
            <w:tcW w:w="1013" w:type="dxa"/>
            <w:tcBorders>
              <w:top w:val="single" w:sz="1" w:space="0" w:color="000000"/>
              <w:left w:val="single" w:sz="4" w:space="0" w:color="auto"/>
              <w:bottom w:val="single" w:sz="1" w:space="0" w:color="000000"/>
            </w:tcBorders>
          </w:tcPr>
          <w:p w14:paraId="098D07F7" w14:textId="77777777" w:rsidR="008B5873" w:rsidRDefault="008B5873" w:rsidP="00326EDB">
            <w:pPr>
              <w:pStyle w:val="tablecopy"/>
              <w:snapToGrid w:val="0"/>
              <w:rPr>
                <w:sz w:val="20"/>
                <w:szCs w:val="20"/>
              </w:rPr>
            </w:pPr>
            <w:r w:rsidRPr="00F70712">
              <w:rPr>
                <w:sz w:val="20"/>
                <w:szCs w:val="20"/>
              </w:rPr>
              <w:t>1540</w:t>
            </w:r>
          </w:p>
        </w:tc>
        <w:tc>
          <w:tcPr>
            <w:tcW w:w="921" w:type="dxa"/>
            <w:tcBorders>
              <w:top w:val="single" w:sz="1" w:space="0" w:color="000000"/>
              <w:left w:val="single" w:sz="4" w:space="0" w:color="auto"/>
              <w:bottom w:val="single" w:sz="1" w:space="0" w:color="000000"/>
            </w:tcBorders>
          </w:tcPr>
          <w:p w14:paraId="02773CE4" w14:textId="77777777" w:rsidR="008B5873" w:rsidRDefault="008B5873" w:rsidP="00326EDB">
            <w:pPr>
              <w:pStyle w:val="tablecopy"/>
              <w:snapToGrid w:val="0"/>
              <w:rPr>
                <w:sz w:val="20"/>
                <w:szCs w:val="20"/>
              </w:rPr>
            </w:pPr>
            <w:r w:rsidRPr="00F70712">
              <w:rPr>
                <w:sz w:val="20"/>
                <w:szCs w:val="20"/>
              </w:rPr>
              <w:t>65.6</w:t>
            </w:r>
          </w:p>
        </w:tc>
        <w:tc>
          <w:tcPr>
            <w:tcW w:w="829" w:type="dxa"/>
            <w:tcBorders>
              <w:top w:val="single" w:sz="1" w:space="0" w:color="000000"/>
              <w:left w:val="single" w:sz="4" w:space="0" w:color="auto"/>
              <w:bottom w:val="single" w:sz="1" w:space="0" w:color="000000"/>
            </w:tcBorders>
          </w:tcPr>
          <w:p w14:paraId="3367A61C" w14:textId="77777777" w:rsidR="008B5873" w:rsidRDefault="008B5873" w:rsidP="00326EDB">
            <w:pPr>
              <w:pStyle w:val="tablecopy"/>
              <w:snapToGrid w:val="0"/>
              <w:rPr>
                <w:sz w:val="20"/>
                <w:szCs w:val="20"/>
              </w:rPr>
            </w:pPr>
            <w:r w:rsidRPr="00F70712">
              <w:rPr>
                <w:sz w:val="20"/>
                <w:szCs w:val="20"/>
              </w:rPr>
              <w:t>806</w:t>
            </w:r>
          </w:p>
        </w:tc>
        <w:tc>
          <w:tcPr>
            <w:tcW w:w="829" w:type="dxa"/>
            <w:tcBorders>
              <w:top w:val="single" w:sz="1" w:space="0" w:color="000000"/>
              <w:left w:val="single" w:sz="4" w:space="0" w:color="auto"/>
              <w:bottom w:val="single" w:sz="1" w:space="0" w:color="000000"/>
            </w:tcBorders>
          </w:tcPr>
          <w:p w14:paraId="2A5C4B41" w14:textId="77777777" w:rsidR="008B5873" w:rsidRDefault="008B5873" w:rsidP="00326EDB">
            <w:pPr>
              <w:pStyle w:val="tablecopy"/>
              <w:snapToGrid w:val="0"/>
              <w:rPr>
                <w:sz w:val="20"/>
                <w:szCs w:val="20"/>
              </w:rPr>
            </w:pPr>
            <w:r w:rsidRPr="00F70712">
              <w:rPr>
                <w:sz w:val="20"/>
                <w:szCs w:val="20"/>
              </w:rPr>
              <w:t>34.4</w:t>
            </w:r>
          </w:p>
        </w:tc>
        <w:tc>
          <w:tcPr>
            <w:tcW w:w="1658" w:type="dxa"/>
            <w:tcBorders>
              <w:top w:val="single" w:sz="1" w:space="0" w:color="000000"/>
              <w:left w:val="single" w:sz="1" w:space="0" w:color="000000"/>
              <w:bottom w:val="single" w:sz="1" w:space="0" w:color="000000"/>
              <w:right w:val="single" w:sz="4" w:space="0" w:color="auto"/>
            </w:tcBorders>
          </w:tcPr>
          <w:p w14:paraId="31BFC73E" w14:textId="77777777" w:rsidR="008B5873" w:rsidRPr="00F70712" w:rsidRDefault="008B5873" w:rsidP="00326EDB">
            <w:pPr>
              <w:pStyle w:val="tablecopy"/>
              <w:rPr>
                <w:sz w:val="20"/>
                <w:szCs w:val="20"/>
              </w:rPr>
            </w:pPr>
            <w:r w:rsidRPr="00F70712">
              <w:rPr>
                <w:sz w:val="20"/>
                <w:szCs w:val="20"/>
              </w:rPr>
              <w:t>0.40</w:t>
            </w:r>
          </w:p>
        </w:tc>
        <w:tc>
          <w:tcPr>
            <w:tcW w:w="1289" w:type="dxa"/>
            <w:tcBorders>
              <w:top w:val="single" w:sz="1" w:space="0" w:color="000000"/>
              <w:left w:val="single" w:sz="4" w:space="0" w:color="auto"/>
              <w:bottom w:val="single" w:sz="1" w:space="0" w:color="000000"/>
              <w:right w:val="single" w:sz="1" w:space="0" w:color="000000"/>
            </w:tcBorders>
          </w:tcPr>
          <w:p w14:paraId="254B6C11" w14:textId="77777777" w:rsidR="008B5873" w:rsidRPr="00F70712" w:rsidRDefault="008B5873" w:rsidP="00326EDB">
            <w:pPr>
              <w:pStyle w:val="tablecopy"/>
              <w:rPr>
                <w:sz w:val="20"/>
                <w:szCs w:val="20"/>
              </w:rPr>
            </w:pPr>
            <w:r w:rsidRPr="00F70712">
              <w:rPr>
                <w:sz w:val="20"/>
                <w:szCs w:val="20"/>
              </w:rPr>
              <w:t>&lt;0.001</w:t>
            </w:r>
          </w:p>
        </w:tc>
        <w:tc>
          <w:tcPr>
            <w:tcW w:w="1606" w:type="dxa"/>
            <w:tcBorders>
              <w:top w:val="single" w:sz="1" w:space="0" w:color="000000"/>
              <w:left w:val="single" w:sz="4" w:space="0" w:color="auto"/>
              <w:bottom w:val="single" w:sz="1" w:space="0" w:color="000000"/>
              <w:right w:val="single" w:sz="1" w:space="0" w:color="000000"/>
            </w:tcBorders>
          </w:tcPr>
          <w:p w14:paraId="597D9A25" w14:textId="77777777" w:rsidR="008B5873" w:rsidRPr="00F70712" w:rsidRDefault="008B5873" w:rsidP="00326EDB">
            <w:pPr>
              <w:pStyle w:val="tablecopy"/>
              <w:rPr>
                <w:sz w:val="20"/>
                <w:szCs w:val="20"/>
              </w:rPr>
            </w:pPr>
            <w:r w:rsidRPr="00F70712">
              <w:rPr>
                <w:sz w:val="20"/>
                <w:szCs w:val="20"/>
              </w:rPr>
              <w:t>Fair agreement</w:t>
            </w:r>
          </w:p>
        </w:tc>
      </w:tr>
    </w:tbl>
    <w:p w14:paraId="650E57FB" w14:textId="77777777" w:rsidR="00385BC4" w:rsidRDefault="00385BC4" w:rsidP="008B5873">
      <w:pPr>
        <w:pStyle w:val="BodyText"/>
        <w:ind w:firstLine="0"/>
        <w:rPr>
          <w:lang w:eastAsia="en-US"/>
        </w:rPr>
      </w:pPr>
    </w:p>
    <w:p w14:paraId="53EBA66F" w14:textId="77777777" w:rsidR="00385BC4" w:rsidRDefault="00385BC4" w:rsidP="008B5873">
      <w:pPr>
        <w:pStyle w:val="BodyText"/>
        <w:ind w:firstLine="0"/>
        <w:rPr>
          <w:lang w:eastAsia="en-US"/>
        </w:rPr>
      </w:pPr>
    </w:p>
    <w:p w14:paraId="16436697" w14:textId="77777777" w:rsidR="003E1D6B" w:rsidRDefault="003E1D6B" w:rsidP="008B5873">
      <w:pPr>
        <w:pStyle w:val="BodyText"/>
        <w:ind w:firstLine="0"/>
        <w:rPr>
          <w:lang w:eastAsia="en-US"/>
        </w:rPr>
      </w:pPr>
    </w:p>
    <w:p w14:paraId="0C9D7891" w14:textId="77777777" w:rsidR="004F6F20" w:rsidRDefault="004F6F20" w:rsidP="008B5873">
      <w:pPr>
        <w:pStyle w:val="BodyText"/>
        <w:rPr>
          <w:b/>
          <w:bCs/>
          <w:spacing w:val="0"/>
        </w:rPr>
      </w:pPr>
    </w:p>
    <w:p w14:paraId="1B33A064" w14:textId="0C113EA8" w:rsidR="008B5873" w:rsidRDefault="008B5873" w:rsidP="008B5873">
      <w:pPr>
        <w:pStyle w:val="BodyText"/>
        <w:rPr>
          <w:b/>
          <w:bCs/>
          <w:spacing w:val="0"/>
        </w:rPr>
      </w:pPr>
      <w:r w:rsidRPr="00C65D36">
        <w:rPr>
          <w:b/>
          <w:bCs/>
          <w:spacing w:val="0"/>
        </w:rPr>
        <w:lastRenderedPageBreak/>
        <w:t xml:space="preserve">3.2 Analysis of total Braden scores between two nurses for data consistency test  </w:t>
      </w:r>
    </w:p>
    <w:p w14:paraId="269CDA39" w14:textId="77777777" w:rsidR="008B5873" w:rsidRPr="00385BC4" w:rsidRDefault="008B5873" w:rsidP="008B5873">
      <w:pPr>
        <w:pStyle w:val="BodyText"/>
        <w:rPr>
          <w:color w:val="000000"/>
          <w:spacing w:val="0"/>
        </w:rPr>
      </w:pPr>
    </w:p>
    <w:p w14:paraId="6A6C7187" w14:textId="77777777" w:rsidR="008B5873" w:rsidRPr="00385BC4" w:rsidRDefault="008B5873" w:rsidP="008B5873">
      <w:pPr>
        <w:pStyle w:val="BodyText"/>
        <w:rPr>
          <w:color w:val="000000"/>
          <w:spacing w:val="0"/>
        </w:rPr>
      </w:pPr>
      <w:r w:rsidRPr="00385BC4">
        <w:rPr>
          <w:color w:val="000000"/>
          <w:spacing w:val="0"/>
        </w:rPr>
        <w:t xml:space="preserve">    Intraclass correlation coefficients (ICCs) were calculated for each score assigned by nurses during the day and night shifts. This was performed to determine whether there was any discrepancy or consistency between nurses’ individual measurements, which were calculated based on the total score per patient. Intraclass correlation coefficients were also calculated for the average of the total scores, indicating the overall consistency of scoring between the two nurses for each patient.</w:t>
      </w:r>
    </w:p>
    <w:p w14:paraId="423F7AF6" w14:textId="493A22CE" w:rsidR="00CC794C" w:rsidRPr="00385BC4" w:rsidRDefault="008B5873" w:rsidP="00CC794C">
      <w:pPr>
        <w:pStyle w:val="BodyText"/>
        <w:rPr>
          <w:color w:val="000000"/>
          <w:spacing w:val="0"/>
        </w:rPr>
      </w:pPr>
      <w:r w:rsidRPr="00385BC4">
        <w:rPr>
          <w:color w:val="000000"/>
          <w:spacing w:val="0"/>
        </w:rPr>
        <w:t xml:space="preserve">The intraclass correlation coefficient was determined using a two‑way random‑effects model with an absolute agreement definition. The two‑way random‑effects model was selected under the assumption that both nurse effects and patient effects were random. </w:t>
      </w:r>
      <w:r w:rsidR="00CC794C" w:rsidRPr="00385BC4">
        <w:rPr>
          <w:color w:val="000000"/>
          <w:spacing w:val="0"/>
        </w:rPr>
        <w:t xml:space="preserve">As presented in Table 4, the overall Braden Scale scores demonstrated high reliability between nurses. The ICC values exceeded 0.70 for both single and average measures, indicating </w:t>
      </w:r>
      <w:r w:rsidR="00385BC4" w:rsidRPr="00385BC4">
        <w:rPr>
          <w:color w:val="000000"/>
          <w:spacing w:val="0"/>
        </w:rPr>
        <w:t>no huge</w:t>
      </w:r>
      <w:r w:rsidR="00CC794C" w:rsidRPr="00385BC4">
        <w:rPr>
          <w:color w:val="000000"/>
          <w:spacing w:val="0"/>
        </w:rPr>
        <w:t xml:space="preserve"> variation in Braden Scale documentation between the two nurses.</w:t>
      </w:r>
    </w:p>
    <w:p w14:paraId="011CFD1B" w14:textId="77777777" w:rsidR="00CC794C" w:rsidRDefault="00CC794C" w:rsidP="00CC794C">
      <w:pPr>
        <w:pStyle w:val="BodyText"/>
      </w:pPr>
    </w:p>
    <w:p w14:paraId="513C6D24" w14:textId="028E53C1" w:rsidR="00CC794C" w:rsidRDefault="008B5873" w:rsidP="00CC794C">
      <w:pPr>
        <w:pStyle w:val="BodyText"/>
        <w:jc w:val="center"/>
      </w:pPr>
      <w:r w:rsidRPr="00564ACC">
        <w:t xml:space="preserve">Table </w:t>
      </w:r>
      <w:r>
        <w:t>4</w:t>
      </w:r>
      <w:r w:rsidRPr="00564ACC">
        <w:t xml:space="preserve">: </w:t>
      </w:r>
      <w:r w:rsidR="00CC794C" w:rsidRPr="00CC794C">
        <w:t>Intraclass Correlation Coefficient</w:t>
      </w:r>
    </w:p>
    <w:tbl>
      <w:tblPr>
        <w:tblW w:w="0" w:type="auto"/>
        <w:jc w:val="center"/>
        <w:tblLayout w:type="fixed"/>
        <w:tblLook w:val="0000" w:firstRow="0" w:lastRow="0" w:firstColumn="0" w:lastColumn="0" w:noHBand="0" w:noVBand="0"/>
      </w:tblPr>
      <w:tblGrid>
        <w:gridCol w:w="3979"/>
        <w:gridCol w:w="1744"/>
        <w:gridCol w:w="1601"/>
        <w:gridCol w:w="1578"/>
        <w:gridCol w:w="1499"/>
      </w:tblGrid>
      <w:tr w:rsidR="008B5873" w:rsidRPr="002C60BB" w14:paraId="710E0AE0" w14:textId="77777777" w:rsidTr="00326EDB">
        <w:trPr>
          <w:trHeight w:val="298"/>
          <w:tblHeader/>
          <w:jc w:val="center"/>
        </w:trPr>
        <w:tc>
          <w:tcPr>
            <w:tcW w:w="3979" w:type="dxa"/>
            <w:vMerge w:val="restart"/>
            <w:tcBorders>
              <w:top w:val="single" w:sz="1" w:space="0" w:color="000000"/>
              <w:left w:val="single" w:sz="4" w:space="0" w:color="auto"/>
              <w:right w:val="single" w:sz="4" w:space="0" w:color="auto"/>
            </w:tcBorders>
            <w:vAlign w:val="center"/>
          </w:tcPr>
          <w:p w14:paraId="20ADF2B7" w14:textId="77777777" w:rsidR="008B5873" w:rsidRPr="00092B52" w:rsidRDefault="008B5873" w:rsidP="00326EDB">
            <w:pPr>
              <w:pStyle w:val="tablecolsubhead"/>
              <w:snapToGrid w:val="0"/>
              <w:jc w:val="both"/>
              <w:rPr>
                <w:i w:val="0"/>
                <w:sz w:val="20"/>
                <w:szCs w:val="20"/>
              </w:rPr>
            </w:pPr>
            <w:r w:rsidRPr="00ED0A8E">
              <w:rPr>
                <w:i w:val="0"/>
                <w:sz w:val="20"/>
                <w:szCs w:val="20"/>
              </w:rPr>
              <w:t>Measures</w:t>
            </w:r>
          </w:p>
        </w:tc>
        <w:tc>
          <w:tcPr>
            <w:tcW w:w="1744" w:type="dxa"/>
            <w:vMerge w:val="restart"/>
            <w:tcBorders>
              <w:top w:val="single" w:sz="1" w:space="0" w:color="000000"/>
              <w:left w:val="single" w:sz="1" w:space="0" w:color="000000"/>
              <w:right w:val="single" w:sz="4" w:space="0" w:color="auto"/>
            </w:tcBorders>
            <w:vAlign w:val="center"/>
          </w:tcPr>
          <w:p w14:paraId="4C4508D5" w14:textId="77777777" w:rsidR="008B5873" w:rsidRPr="00092B52" w:rsidRDefault="008B5873" w:rsidP="00326EDB">
            <w:pPr>
              <w:pStyle w:val="tablecolsubhead"/>
              <w:snapToGrid w:val="0"/>
              <w:jc w:val="both"/>
              <w:rPr>
                <w:i w:val="0"/>
                <w:sz w:val="20"/>
                <w:szCs w:val="20"/>
              </w:rPr>
            </w:pPr>
            <w:r w:rsidRPr="006A5B99">
              <w:rPr>
                <w:i w:val="0"/>
                <w:sz w:val="20"/>
                <w:szCs w:val="20"/>
              </w:rPr>
              <w:t>Intraclass Correlation</w:t>
            </w:r>
          </w:p>
        </w:tc>
        <w:tc>
          <w:tcPr>
            <w:tcW w:w="4678" w:type="dxa"/>
            <w:gridSpan w:val="3"/>
            <w:tcBorders>
              <w:top w:val="single" w:sz="1" w:space="0" w:color="000000"/>
              <w:left w:val="single" w:sz="4" w:space="0" w:color="auto"/>
              <w:bottom w:val="single" w:sz="4" w:space="0" w:color="auto"/>
              <w:right w:val="single" w:sz="4" w:space="0" w:color="auto"/>
            </w:tcBorders>
            <w:vAlign w:val="center"/>
          </w:tcPr>
          <w:p w14:paraId="0F70AF9E" w14:textId="77777777" w:rsidR="008B5873" w:rsidRDefault="008B5873" w:rsidP="00326EDB">
            <w:pPr>
              <w:pStyle w:val="tablecolsubhead"/>
              <w:snapToGrid w:val="0"/>
              <w:jc w:val="both"/>
              <w:rPr>
                <w:i w:val="0"/>
                <w:sz w:val="20"/>
                <w:szCs w:val="20"/>
              </w:rPr>
            </w:pPr>
            <w:r w:rsidRPr="008C2B68">
              <w:rPr>
                <w:i w:val="0"/>
                <w:sz w:val="20"/>
                <w:szCs w:val="20"/>
              </w:rPr>
              <w:t>95% Confidence Interval</w:t>
            </w:r>
          </w:p>
        </w:tc>
      </w:tr>
      <w:tr w:rsidR="008B5873" w:rsidRPr="002C60BB" w14:paraId="60391FE8" w14:textId="77777777" w:rsidTr="00326EDB">
        <w:trPr>
          <w:trHeight w:val="376"/>
          <w:tblHeader/>
          <w:jc w:val="center"/>
        </w:trPr>
        <w:tc>
          <w:tcPr>
            <w:tcW w:w="3979" w:type="dxa"/>
            <w:vMerge/>
            <w:tcBorders>
              <w:left w:val="single" w:sz="4" w:space="0" w:color="auto"/>
              <w:right w:val="single" w:sz="4" w:space="0" w:color="auto"/>
            </w:tcBorders>
            <w:vAlign w:val="center"/>
          </w:tcPr>
          <w:p w14:paraId="42C42258" w14:textId="77777777" w:rsidR="008B5873" w:rsidRPr="00092B52" w:rsidRDefault="008B5873" w:rsidP="00326EDB">
            <w:pPr>
              <w:pStyle w:val="tablecolsubhead"/>
              <w:snapToGrid w:val="0"/>
              <w:jc w:val="both"/>
              <w:rPr>
                <w:i w:val="0"/>
                <w:sz w:val="20"/>
                <w:szCs w:val="20"/>
              </w:rPr>
            </w:pPr>
          </w:p>
        </w:tc>
        <w:tc>
          <w:tcPr>
            <w:tcW w:w="1744" w:type="dxa"/>
            <w:vMerge/>
            <w:tcBorders>
              <w:left w:val="single" w:sz="1" w:space="0" w:color="000000"/>
              <w:right w:val="single" w:sz="4" w:space="0" w:color="auto"/>
            </w:tcBorders>
            <w:vAlign w:val="center"/>
          </w:tcPr>
          <w:p w14:paraId="79666441" w14:textId="77777777" w:rsidR="008B5873" w:rsidRPr="006A5B99" w:rsidRDefault="008B5873" w:rsidP="00326EDB">
            <w:pPr>
              <w:pStyle w:val="tablecolsubhead"/>
              <w:snapToGrid w:val="0"/>
              <w:jc w:val="both"/>
              <w:rPr>
                <w:i w:val="0"/>
                <w:sz w:val="20"/>
                <w:szCs w:val="20"/>
              </w:rPr>
            </w:pPr>
          </w:p>
        </w:tc>
        <w:tc>
          <w:tcPr>
            <w:tcW w:w="1601" w:type="dxa"/>
            <w:tcBorders>
              <w:top w:val="single" w:sz="4" w:space="0" w:color="auto"/>
              <w:left w:val="single" w:sz="4" w:space="0" w:color="auto"/>
              <w:right w:val="single" w:sz="1" w:space="0" w:color="000000"/>
            </w:tcBorders>
          </w:tcPr>
          <w:p w14:paraId="68210D18" w14:textId="77777777" w:rsidR="008B5873" w:rsidRPr="00092B52" w:rsidRDefault="008B5873" w:rsidP="00326EDB">
            <w:pPr>
              <w:pStyle w:val="tablecolsubhead"/>
              <w:snapToGrid w:val="0"/>
              <w:jc w:val="both"/>
              <w:rPr>
                <w:i w:val="0"/>
                <w:sz w:val="20"/>
                <w:szCs w:val="20"/>
              </w:rPr>
            </w:pPr>
            <w:r w:rsidRPr="00E5595D">
              <w:rPr>
                <w:i w:val="0"/>
                <w:sz w:val="20"/>
                <w:szCs w:val="20"/>
              </w:rPr>
              <w:t>Lower Bound</w:t>
            </w:r>
          </w:p>
        </w:tc>
        <w:tc>
          <w:tcPr>
            <w:tcW w:w="1578" w:type="dxa"/>
            <w:tcBorders>
              <w:top w:val="single" w:sz="4" w:space="0" w:color="auto"/>
              <w:left w:val="single" w:sz="4" w:space="0" w:color="auto"/>
              <w:right w:val="single" w:sz="4" w:space="0" w:color="auto"/>
            </w:tcBorders>
          </w:tcPr>
          <w:p w14:paraId="570038BE" w14:textId="77777777" w:rsidR="008B5873" w:rsidRPr="00092B52" w:rsidRDefault="008B5873" w:rsidP="00326EDB">
            <w:pPr>
              <w:pStyle w:val="tablecolsubhead"/>
              <w:snapToGrid w:val="0"/>
              <w:jc w:val="both"/>
              <w:rPr>
                <w:i w:val="0"/>
                <w:sz w:val="20"/>
                <w:szCs w:val="20"/>
              </w:rPr>
            </w:pPr>
            <w:r w:rsidRPr="00E5595D">
              <w:rPr>
                <w:i w:val="0"/>
                <w:sz w:val="20"/>
                <w:szCs w:val="20"/>
              </w:rPr>
              <w:t>Upper Bound</w:t>
            </w:r>
          </w:p>
        </w:tc>
        <w:tc>
          <w:tcPr>
            <w:tcW w:w="1499" w:type="dxa"/>
            <w:tcBorders>
              <w:top w:val="single" w:sz="4" w:space="0" w:color="auto"/>
              <w:left w:val="single" w:sz="4" w:space="0" w:color="auto"/>
              <w:right w:val="single" w:sz="4" w:space="0" w:color="auto"/>
            </w:tcBorders>
          </w:tcPr>
          <w:p w14:paraId="3E8DC7DC" w14:textId="77777777" w:rsidR="008B5873" w:rsidRDefault="008B5873" w:rsidP="00326EDB">
            <w:pPr>
              <w:pStyle w:val="tablecolsubhead"/>
              <w:snapToGrid w:val="0"/>
              <w:jc w:val="both"/>
              <w:rPr>
                <w:i w:val="0"/>
                <w:sz w:val="20"/>
                <w:szCs w:val="20"/>
              </w:rPr>
            </w:pPr>
            <w:r>
              <w:rPr>
                <w:i w:val="0"/>
                <w:sz w:val="20"/>
                <w:szCs w:val="20"/>
              </w:rPr>
              <w:t>P</w:t>
            </w:r>
            <w:r w:rsidRPr="00E5595D">
              <w:rPr>
                <w:i w:val="0"/>
                <w:sz w:val="20"/>
                <w:szCs w:val="20"/>
              </w:rPr>
              <w:t xml:space="preserve"> value</w:t>
            </w:r>
          </w:p>
        </w:tc>
      </w:tr>
      <w:tr w:rsidR="008B5873" w:rsidRPr="002C60BB" w14:paraId="7F7BCDC6" w14:textId="77777777" w:rsidTr="00326EDB">
        <w:trPr>
          <w:trHeight w:val="325"/>
          <w:jc w:val="center"/>
        </w:trPr>
        <w:tc>
          <w:tcPr>
            <w:tcW w:w="3979" w:type="dxa"/>
            <w:tcBorders>
              <w:top w:val="single" w:sz="1" w:space="0" w:color="000000"/>
              <w:left w:val="single" w:sz="4" w:space="0" w:color="auto"/>
              <w:bottom w:val="single" w:sz="1" w:space="0" w:color="000000"/>
              <w:right w:val="single" w:sz="4" w:space="0" w:color="auto"/>
            </w:tcBorders>
          </w:tcPr>
          <w:p w14:paraId="0A89F115" w14:textId="77777777" w:rsidR="008B5873" w:rsidRPr="001268F3" w:rsidRDefault="008B5873" w:rsidP="00326EDB">
            <w:pPr>
              <w:pStyle w:val="tablecopy"/>
              <w:snapToGrid w:val="0"/>
              <w:rPr>
                <w:spacing w:val="-1"/>
                <w:sz w:val="20"/>
                <w:szCs w:val="20"/>
              </w:rPr>
            </w:pPr>
            <w:r w:rsidRPr="001268F3">
              <w:rPr>
                <w:spacing w:val="-1"/>
                <w:sz w:val="20"/>
                <w:szCs w:val="20"/>
              </w:rPr>
              <w:t>Single Measures</w:t>
            </w:r>
          </w:p>
        </w:tc>
        <w:tc>
          <w:tcPr>
            <w:tcW w:w="1744" w:type="dxa"/>
            <w:tcBorders>
              <w:top w:val="single" w:sz="1" w:space="0" w:color="000000"/>
              <w:left w:val="single" w:sz="1" w:space="0" w:color="000000"/>
              <w:bottom w:val="single" w:sz="1" w:space="0" w:color="000000"/>
              <w:right w:val="single" w:sz="4" w:space="0" w:color="auto"/>
            </w:tcBorders>
          </w:tcPr>
          <w:p w14:paraId="68F27863" w14:textId="77777777" w:rsidR="008B5873" w:rsidRPr="001268F3" w:rsidRDefault="008B5873" w:rsidP="00326EDB">
            <w:pPr>
              <w:pStyle w:val="tablecopy"/>
              <w:rPr>
                <w:spacing w:val="-1"/>
                <w:sz w:val="20"/>
                <w:szCs w:val="20"/>
              </w:rPr>
            </w:pPr>
            <w:r w:rsidRPr="001268F3">
              <w:rPr>
                <w:spacing w:val="-1"/>
                <w:sz w:val="20"/>
                <w:szCs w:val="20"/>
              </w:rPr>
              <w:t>0.784</w:t>
            </w:r>
          </w:p>
        </w:tc>
        <w:tc>
          <w:tcPr>
            <w:tcW w:w="1601" w:type="dxa"/>
            <w:tcBorders>
              <w:top w:val="single" w:sz="1" w:space="0" w:color="000000"/>
              <w:left w:val="single" w:sz="4" w:space="0" w:color="auto"/>
              <w:bottom w:val="single" w:sz="1" w:space="0" w:color="000000"/>
              <w:right w:val="single" w:sz="1" w:space="0" w:color="000000"/>
            </w:tcBorders>
          </w:tcPr>
          <w:p w14:paraId="39014BED" w14:textId="77777777" w:rsidR="008B5873" w:rsidRPr="001268F3" w:rsidRDefault="008B5873" w:rsidP="00326EDB">
            <w:pPr>
              <w:pStyle w:val="tablecopy"/>
              <w:rPr>
                <w:spacing w:val="-1"/>
                <w:sz w:val="20"/>
                <w:szCs w:val="20"/>
              </w:rPr>
            </w:pPr>
            <w:r w:rsidRPr="001268F3">
              <w:rPr>
                <w:spacing w:val="-1"/>
                <w:sz w:val="20"/>
                <w:szCs w:val="20"/>
              </w:rPr>
              <w:t>0.768</w:t>
            </w:r>
          </w:p>
        </w:tc>
        <w:tc>
          <w:tcPr>
            <w:tcW w:w="1578" w:type="dxa"/>
            <w:tcBorders>
              <w:top w:val="single" w:sz="1" w:space="0" w:color="000000"/>
              <w:left w:val="single" w:sz="4" w:space="0" w:color="auto"/>
              <w:bottom w:val="single" w:sz="1" w:space="0" w:color="000000"/>
              <w:right w:val="single" w:sz="4" w:space="0" w:color="auto"/>
            </w:tcBorders>
          </w:tcPr>
          <w:p w14:paraId="01CA9466" w14:textId="77777777" w:rsidR="008B5873" w:rsidRPr="001268F3" w:rsidRDefault="008B5873" w:rsidP="00326EDB">
            <w:pPr>
              <w:pStyle w:val="tablecopy"/>
              <w:rPr>
                <w:spacing w:val="-1"/>
                <w:sz w:val="20"/>
                <w:szCs w:val="20"/>
              </w:rPr>
            </w:pPr>
            <w:r w:rsidRPr="001268F3">
              <w:rPr>
                <w:spacing w:val="-1"/>
                <w:sz w:val="20"/>
                <w:szCs w:val="20"/>
              </w:rPr>
              <w:t>0.799</w:t>
            </w:r>
          </w:p>
        </w:tc>
        <w:tc>
          <w:tcPr>
            <w:tcW w:w="1499" w:type="dxa"/>
            <w:tcBorders>
              <w:top w:val="single" w:sz="4" w:space="0" w:color="auto"/>
              <w:left w:val="single" w:sz="4" w:space="0" w:color="auto"/>
              <w:bottom w:val="single" w:sz="4" w:space="0" w:color="auto"/>
              <w:right w:val="single" w:sz="4" w:space="0" w:color="auto"/>
            </w:tcBorders>
          </w:tcPr>
          <w:p w14:paraId="53ABC39A" w14:textId="77777777" w:rsidR="008B5873" w:rsidRPr="001268F3" w:rsidRDefault="008B5873" w:rsidP="00326EDB">
            <w:pPr>
              <w:pStyle w:val="tablecopy"/>
              <w:rPr>
                <w:spacing w:val="-1"/>
                <w:sz w:val="20"/>
                <w:szCs w:val="20"/>
              </w:rPr>
            </w:pPr>
            <w:r w:rsidRPr="001268F3">
              <w:rPr>
                <w:spacing w:val="-1"/>
                <w:sz w:val="20"/>
                <w:szCs w:val="20"/>
              </w:rPr>
              <w:t>&lt;0.001</w:t>
            </w:r>
          </w:p>
        </w:tc>
      </w:tr>
      <w:tr w:rsidR="008B5873" w:rsidRPr="002C60BB" w14:paraId="223995EE" w14:textId="77777777" w:rsidTr="00326EDB">
        <w:trPr>
          <w:trHeight w:val="351"/>
          <w:jc w:val="center"/>
        </w:trPr>
        <w:tc>
          <w:tcPr>
            <w:tcW w:w="3979" w:type="dxa"/>
            <w:tcBorders>
              <w:top w:val="single" w:sz="1" w:space="0" w:color="000000"/>
              <w:left w:val="single" w:sz="4" w:space="0" w:color="auto"/>
              <w:bottom w:val="single" w:sz="1" w:space="0" w:color="000000"/>
              <w:right w:val="single" w:sz="4" w:space="0" w:color="auto"/>
            </w:tcBorders>
          </w:tcPr>
          <w:p w14:paraId="4B922C2D" w14:textId="77777777" w:rsidR="008B5873" w:rsidRPr="001268F3" w:rsidRDefault="008B5873" w:rsidP="00326EDB">
            <w:pPr>
              <w:pStyle w:val="tablecopy"/>
              <w:snapToGrid w:val="0"/>
              <w:rPr>
                <w:spacing w:val="-1"/>
                <w:sz w:val="20"/>
                <w:szCs w:val="20"/>
              </w:rPr>
            </w:pPr>
            <w:r w:rsidRPr="001268F3">
              <w:rPr>
                <w:spacing w:val="-1"/>
                <w:sz w:val="20"/>
                <w:szCs w:val="20"/>
              </w:rPr>
              <w:t>Average Measures</w:t>
            </w:r>
          </w:p>
        </w:tc>
        <w:tc>
          <w:tcPr>
            <w:tcW w:w="1744" w:type="dxa"/>
            <w:tcBorders>
              <w:top w:val="single" w:sz="1" w:space="0" w:color="000000"/>
              <w:left w:val="single" w:sz="1" w:space="0" w:color="000000"/>
              <w:bottom w:val="single" w:sz="1" w:space="0" w:color="000000"/>
              <w:right w:val="single" w:sz="4" w:space="0" w:color="auto"/>
            </w:tcBorders>
          </w:tcPr>
          <w:p w14:paraId="41B58EF1" w14:textId="77777777" w:rsidR="008B5873" w:rsidRPr="001268F3" w:rsidRDefault="008B5873" w:rsidP="00326EDB">
            <w:pPr>
              <w:pStyle w:val="tablecopy"/>
              <w:rPr>
                <w:spacing w:val="-1"/>
                <w:sz w:val="20"/>
                <w:szCs w:val="20"/>
              </w:rPr>
            </w:pPr>
            <w:r w:rsidRPr="001268F3">
              <w:rPr>
                <w:spacing w:val="-1"/>
                <w:sz w:val="20"/>
                <w:szCs w:val="20"/>
              </w:rPr>
              <w:t>0.879</w:t>
            </w:r>
          </w:p>
        </w:tc>
        <w:tc>
          <w:tcPr>
            <w:tcW w:w="1601" w:type="dxa"/>
            <w:tcBorders>
              <w:top w:val="single" w:sz="1" w:space="0" w:color="000000"/>
              <w:left w:val="single" w:sz="4" w:space="0" w:color="auto"/>
              <w:bottom w:val="single" w:sz="1" w:space="0" w:color="000000"/>
              <w:right w:val="single" w:sz="1" w:space="0" w:color="000000"/>
            </w:tcBorders>
          </w:tcPr>
          <w:p w14:paraId="6D399029" w14:textId="77777777" w:rsidR="008B5873" w:rsidRPr="001268F3" w:rsidRDefault="008B5873" w:rsidP="00326EDB">
            <w:pPr>
              <w:pStyle w:val="tablecopy"/>
              <w:rPr>
                <w:spacing w:val="-1"/>
                <w:sz w:val="20"/>
                <w:szCs w:val="20"/>
              </w:rPr>
            </w:pPr>
            <w:r w:rsidRPr="001268F3">
              <w:rPr>
                <w:spacing w:val="-1"/>
                <w:sz w:val="20"/>
                <w:szCs w:val="20"/>
              </w:rPr>
              <w:t>0.869</w:t>
            </w:r>
          </w:p>
        </w:tc>
        <w:tc>
          <w:tcPr>
            <w:tcW w:w="1578" w:type="dxa"/>
            <w:tcBorders>
              <w:top w:val="single" w:sz="1" w:space="0" w:color="000000"/>
              <w:left w:val="single" w:sz="4" w:space="0" w:color="auto"/>
              <w:bottom w:val="single" w:sz="1" w:space="0" w:color="000000"/>
              <w:right w:val="single" w:sz="4" w:space="0" w:color="auto"/>
            </w:tcBorders>
          </w:tcPr>
          <w:p w14:paraId="545C6237" w14:textId="77777777" w:rsidR="008B5873" w:rsidRPr="001268F3" w:rsidRDefault="008B5873" w:rsidP="00326EDB">
            <w:pPr>
              <w:pStyle w:val="tablecopy"/>
              <w:rPr>
                <w:spacing w:val="-1"/>
                <w:sz w:val="20"/>
                <w:szCs w:val="20"/>
              </w:rPr>
            </w:pPr>
            <w:r w:rsidRPr="001268F3">
              <w:rPr>
                <w:spacing w:val="-1"/>
                <w:sz w:val="20"/>
                <w:szCs w:val="20"/>
              </w:rPr>
              <w:t>0.888</w:t>
            </w:r>
          </w:p>
        </w:tc>
        <w:tc>
          <w:tcPr>
            <w:tcW w:w="1499" w:type="dxa"/>
            <w:tcBorders>
              <w:top w:val="single" w:sz="4" w:space="0" w:color="auto"/>
              <w:left w:val="single" w:sz="4" w:space="0" w:color="auto"/>
              <w:bottom w:val="single" w:sz="4" w:space="0" w:color="auto"/>
              <w:right w:val="single" w:sz="4" w:space="0" w:color="auto"/>
            </w:tcBorders>
          </w:tcPr>
          <w:p w14:paraId="7730B26A" w14:textId="77777777" w:rsidR="008B5873" w:rsidRPr="001268F3" w:rsidRDefault="008B5873" w:rsidP="00326EDB">
            <w:pPr>
              <w:pStyle w:val="tablecopy"/>
              <w:rPr>
                <w:spacing w:val="-1"/>
                <w:sz w:val="20"/>
                <w:szCs w:val="20"/>
              </w:rPr>
            </w:pPr>
            <w:r w:rsidRPr="001268F3">
              <w:rPr>
                <w:spacing w:val="-1"/>
                <w:sz w:val="20"/>
                <w:szCs w:val="20"/>
              </w:rPr>
              <w:t>&lt;0.001</w:t>
            </w:r>
          </w:p>
        </w:tc>
      </w:tr>
      <w:tr w:rsidR="008B5873" w:rsidRPr="002C60BB" w14:paraId="708D8413" w14:textId="77777777" w:rsidTr="00326EDB">
        <w:trPr>
          <w:trHeight w:val="787"/>
          <w:jc w:val="center"/>
        </w:trPr>
        <w:tc>
          <w:tcPr>
            <w:tcW w:w="10401" w:type="dxa"/>
            <w:gridSpan w:val="5"/>
            <w:tcBorders>
              <w:top w:val="single" w:sz="1" w:space="0" w:color="000000"/>
              <w:left w:val="single" w:sz="4" w:space="0" w:color="auto"/>
              <w:bottom w:val="single" w:sz="4" w:space="0" w:color="auto"/>
              <w:right w:val="single" w:sz="4" w:space="0" w:color="auto"/>
            </w:tcBorders>
          </w:tcPr>
          <w:p w14:paraId="16398409" w14:textId="77777777" w:rsidR="008B5873" w:rsidRPr="001268F3" w:rsidRDefault="008B5873" w:rsidP="00326EDB">
            <w:pPr>
              <w:pStyle w:val="tablecopy"/>
              <w:snapToGrid w:val="0"/>
              <w:rPr>
                <w:spacing w:val="-1"/>
                <w:sz w:val="20"/>
                <w:szCs w:val="20"/>
              </w:rPr>
            </w:pPr>
            <w:r w:rsidRPr="001268F3">
              <w:rPr>
                <w:spacing w:val="-1"/>
                <w:sz w:val="20"/>
                <w:szCs w:val="20"/>
              </w:rPr>
              <w:t>ICC &lt; 0.50: Poor agreement.</w:t>
            </w:r>
          </w:p>
          <w:p w14:paraId="378B0611" w14:textId="77777777" w:rsidR="008B5873" w:rsidRPr="001268F3" w:rsidRDefault="008B5873" w:rsidP="00326EDB">
            <w:pPr>
              <w:pStyle w:val="tablecopy"/>
              <w:snapToGrid w:val="0"/>
              <w:rPr>
                <w:spacing w:val="-1"/>
                <w:sz w:val="20"/>
                <w:szCs w:val="20"/>
              </w:rPr>
            </w:pPr>
            <w:r w:rsidRPr="001268F3">
              <w:rPr>
                <w:spacing w:val="-1"/>
                <w:sz w:val="20"/>
                <w:szCs w:val="20"/>
              </w:rPr>
              <w:t>0.50 &lt; ICC &lt; 0.75: Moderate to good agreement.</w:t>
            </w:r>
          </w:p>
          <w:p w14:paraId="6B7487E0" w14:textId="77777777" w:rsidR="008B5873" w:rsidRPr="001268F3" w:rsidRDefault="008B5873" w:rsidP="00326EDB">
            <w:pPr>
              <w:pStyle w:val="tablecopy"/>
              <w:snapToGrid w:val="0"/>
              <w:rPr>
                <w:spacing w:val="-1"/>
                <w:sz w:val="20"/>
                <w:szCs w:val="20"/>
              </w:rPr>
            </w:pPr>
            <w:r w:rsidRPr="001268F3">
              <w:rPr>
                <w:spacing w:val="-1"/>
                <w:sz w:val="20"/>
                <w:szCs w:val="20"/>
              </w:rPr>
              <w:t>ICC &gt; 0.75: Excellent agreement</w:t>
            </w:r>
          </w:p>
        </w:tc>
      </w:tr>
    </w:tbl>
    <w:p w14:paraId="31440D65" w14:textId="77777777" w:rsidR="008B5873" w:rsidRDefault="008B5873" w:rsidP="00385BC4">
      <w:pPr>
        <w:pStyle w:val="BodyText"/>
        <w:ind w:firstLine="0"/>
        <w:rPr>
          <w:lang w:eastAsia="en-US"/>
        </w:rPr>
      </w:pPr>
    </w:p>
    <w:p w14:paraId="40D7B458" w14:textId="77777777" w:rsidR="00385BC4" w:rsidRDefault="00385BC4" w:rsidP="00385BC4">
      <w:pPr>
        <w:pStyle w:val="BodyText"/>
        <w:ind w:firstLine="0"/>
        <w:rPr>
          <w:lang w:eastAsia="en-US"/>
        </w:rPr>
      </w:pPr>
    </w:p>
    <w:tbl>
      <w:tblPr>
        <w:tblStyle w:val="PlainTable2"/>
        <w:tblpPr w:leftFromText="180" w:rightFromText="180" w:vertAnchor="text" w:horzAnchor="margin" w:tblpY="1367"/>
        <w:tblW w:w="10593" w:type="dxa"/>
        <w:tblLook w:val="04A0" w:firstRow="1" w:lastRow="0" w:firstColumn="1" w:lastColumn="0" w:noHBand="0" w:noVBand="1"/>
      </w:tblPr>
      <w:tblGrid>
        <w:gridCol w:w="994"/>
        <w:gridCol w:w="1043"/>
        <w:gridCol w:w="806"/>
        <w:gridCol w:w="909"/>
        <w:gridCol w:w="909"/>
        <w:gridCol w:w="1043"/>
        <w:gridCol w:w="909"/>
        <w:gridCol w:w="1076"/>
        <w:gridCol w:w="909"/>
        <w:gridCol w:w="1201"/>
        <w:gridCol w:w="794"/>
      </w:tblGrid>
      <w:tr w:rsidR="008B5873" w:rsidRPr="004043F7" w14:paraId="36F51F88" w14:textId="77777777" w:rsidTr="00326EDB">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0593" w:type="dxa"/>
            <w:gridSpan w:val="11"/>
            <w:tcBorders>
              <w:top w:val="nil"/>
              <w:left w:val="nil"/>
              <w:bottom w:val="single" w:sz="4" w:space="0" w:color="auto"/>
              <w:right w:val="nil"/>
            </w:tcBorders>
          </w:tcPr>
          <w:p w14:paraId="1AC29C5B" w14:textId="77777777" w:rsidR="008B5873" w:rsidRPr="0066129D" w:rsidRDefault="008B5873" w:rsidP="00326EDB">
            <w:pPr>
              <w:pStyle w:val="BodyText"/>
              <w:jc w:val="center"/>
              <w:rPr>
                <w:lang w:eastAsia="en-US"/>
              </w:rPr>
            </w:pPr>
            <w:r w:rsidRPr="0066129D">
              <w:rPr>
                <w:rFonts w:ascii="Times New Roman" w:hAnsi="Times New Roman" w:cs="Times New Roman"/>
                <w:b w:val="0"/>
                <w:bCs w:val="0"/>
                <w:sz w:val="20"/>
                <w:szCs w:val="20"/>
              </w:rPr>
              <w:t>Table 5: Agreement between nurses on overall risk assessment labeling (five classifications)</w:t>
            </w:r>
          </w:p>
        </w:tc>
      </w:tr>
      <w:tr w:rsidR="008B5873" w:rsidRPr="004043F7" w14:paraId="295B1367" w14:textId="77777777" w:rsidTr="00326ED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843" w:type="dxa"/>
            <w:gridSpan w:val="3"/>
            <w:vMerge w:val="restart"/>
            <w:tcBorders>
              <w:top w:val="single" w:sz="4" w:space="0" w:color="auto"/>
              <w:left w:val="single" w:sz="4" w:space="0" w:color="auto"/>
              <w:bottom w:val="single" w:sz="4" w:space="0" w:color="auto"/>
              <w:right w:val="single" w:sz="4" w:space="0" w:color="auto"/>
            </w:tcBorders>
          </w:tcPr>
          <w:p w14:paraId="74C78164" w14:textId="77777777" w:rsidR="008B5873" w:rsidRPr="004043F7" w:rsidRDefault="008B5873" w:rsidP="00326EDB">
            <w:pPr>
              <w:jc w:val="both"/>
              <w:rPr>
                <w:rFonts w:asciiTheme="majorBidi" w:hAnsiTheme="majorBidi" w:cstheme="majorBidi"/>
                <w:b w:val="0"/>
              </w:rPr>
            </w:pPr>
          </w:p>
        </w:tc>
        <w:tc>
          <w:tcPr>
            <w:tcW w:w="4846" w:type="dxa"/>
            <w:gridSpan w:val="5"/>
            <w:tcBorders>
              <w:top w:val="single" w:sz="4" w:space="0" w:color="auto"/>
              <w:left w:val="single" w:sz="4" w:space="0" w:color="auto"/>
              <w:bottom w:val="single" w:sz="4" w:space="0" w:color="auto"/>
              <w:right w:val="single" w:sz="4" w:space="0" w:color="auto"/>
            </w:tcBorders>
            <w:noWrap/>
            <w:hideMark/>
          </w:tcPr>
          <w:p w14:paraId="24BBC321"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 xml:space="preserve">Night Shift Nurse BS Risk Scoring </w:t>
            </w:r>
          </w:p>
        </w:tc>
        <w:tc>
          <w:tcPr>
            <w:tcW w:w="909" w:type="dxa"/>
            <w:vMerge w:val="restart"/>
            <w:tcBorders>
              <w:top w:val="single" w:sz="4" w:space="0" w:color="auto"/>
              <w:left w:val="single" w:sz="4" w:space="0" w:color="auto"/>
              <w:bottom w:val="single" w:sz="4" w:space="0" w:color="auto"/>
              <w:right w:val="single" w:sz="4" w:space="0" w:color="auto"/>
            </w:tcBorders>
            <w:noWrap/>
            <w:hideMark/>
          </w:tcPr>
          <w:p w14:paraId="52398EBF"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Total records</w:t>
            </w:r>
          </w:p>
        </w:tc>
        <w:tc>
          <w:tcPr>
            <w:tcW w:w="1201" w:type="dxa"/>
            <w:vMerge w:val="restart"/>
            <w:tcBorders>
              <w:top w:val="single" w:sz="4" w:space="0" w:color="auto"/>
              <w:left w:val="single" w:sz="4" w:space="0" w:color="auto"/>
              <w:bottom w:val="single" w:sz="4" w:space="0" w:color="auto"/>
              <w:right w:val="single" w:sz="4" w:space="0" w:color="auto"/>
            </w:tcBorders>
            <w:noWrap/>
            <w:hideMark/>
          </w:tcPr>
          <w:p w14:paraId="0526135A"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 xml:space="preserve">kappa statistic </w:t>
            </w:r>
          </w:p>
        </w:tc>
        <w:tc>
          <w:tcPr>
            <w:tcW w:w="792" w:type="dxa"/>
            <w:vMerge w:val="restart"/>
            <w:tcBorders>
              <w:top w:val="single" w:sz="4" w:space="0" w:color="auto"/>
              <w:left w:val="single" w:sz="4" w:space="0" w:color="auto"/>
              <w:bottom w:val="single" w:sz="4" w:space="0" w:color="auto"/>
              <w:right w:val="single" w:sz="4" w:space="0" w:color="auto"/>
            </w:tcBorders>
            <w:noWrap/>
            <w:hideMark/>
          </w:tcPr>
          <w:p w14:paraId="20C10EA2"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p value</w:t>
            </w:r>
          </w:p>
        </w:tc>
      </w:tr>
      <w:tr w:rsidR="008B5873" w:rsidRPr="004043F7" w14:paraId="4895FA8B" w14:textId="77777777" w:rsidTr="00326EDB">
        <w:trPr>
          <w:trHeight w:val="266"/>
        </w:trPr>
        <w:tc>
          <w:tcPr>
            <w:cnfStyle w:val="001000000000" w:firstRow="0" w:lastRow="0" w:firstColumn="1" w:lastColumn="0" w:oddVBand="0" w:evenVBand="0" w:oddHBand="0" w:evenHBand="0" w:firstRowFirstColumn="0" w:firstRowLastColumn="0" w:lastRowFirstColumn="0" w:lastRowLastColumn="0"/>
            <w:tcW w:w="2843" w:type="dxa"/>
            <w:gridSpan w:val="3"/>
            <w:vMerge/>
            <w:tcBorders>
              <w:top w:val="single" w:sz="4" w:space="0" w:color="auto"/>
              <w:left w:val="single" w:sz="4" w:space="0" w:color="auto"/>
              <w:bottom w:val="single" w:sz="4" w:space="0" w:color="auto"/>
              <w:right w:val="single" w:sz="4" w:space="0" w:color="auto"/>
            </w:tcBorders>
          </w:tcPr>
          <w:p w14:paraId="260412E3" w14:textId="77777777" w:rsidR="008B5873" w:rsidRPr="004043F7" w:rsidRDefault="008B5873" w:rsidP="00326EDB">
            <w:pPr>
              <w:jc w:val="both"/>
              <w:rPr>
                <w:rFonts w:asciiTheme="majorBidi" w:hAnsiTheme="majorBidi" w:cstheme="majorBidi"/>
                <w:b w:val="0"/>
              </w:rPr>
            </w:pPr>
          </w:p>
        </w:tc>
        <w:tc>
          <w:tcPr>
            <w:tcW w:w="909" w:type="dxa"/>
            <w:tcBorders>
              <w:top w:val="single" w:sz="4" w:space="0" w:color="auto"/>
              <w:left w:val="single" w:sz="4" w:space="0" w:color="auto"/>
              <w:bottom w:val="single" w:sz="4" w:space="0" w:color="auto"/>
              <w:right w:val="single" w:sz="4" w:space="0" w:color="auto"/>
            </w:tcBorders>
            <w:noWrap/>
            <w:hideMark/>
          </w:tcPr>
          <w:p w14:paraId="05555859"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1 -low risk</w:t>
            </w:r>
          </w:p>
        </w:tc>
        <w:tc>
          <w:tcPr>
            <w:tcW w:w="909" w:type="dxa"/>
            <w:tcBorders>
              <w:top w:val="single" w:sz="4" w:space="0" w:color="auto"/>
              <w:left w:val="single" w:sz="4" w:space="0" w:color="auto"/>
              <w:bottom w:val="single" w:sz="4" w:space="0" w:color="auto"/>
              <w:right w:val="single" w:sz="4" w:space="0" w:color="auto"/>
            </w:tcBorders>
            <w:noWrap/>
            <w:hideMark/>
          </w:tcPr>
          <w:p w14:paraId="362B058E"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2 - at risk</w:t>
            </w:r>
          </w:p>
        </w:tc>
        <w:tc>
          <w:tcPr>
            <w:tcW w:w="1043" w:type="dxa"/>
            <w:tcBorders>
              <w:top w:val="single" w:sz="4" w:space="0" w:color="auto"/>
              <w:left w:val="single" w:sz="4" w:space="0" w:color="auto"/>
              <w:bottom w:val="single" w:sz="4" w:space="0" w:color="auto"/>
              <w:right w:val="single" w:sz="4" w:space="0" w:color="auto"/>
            </w:tcBorders>
            <w:noWrap/>
            <w:hideMark/>
          </w:tcPr>
          <w:p w14:paraId="2B80ED68"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3 - moderate risk</w:t>
            </w:r>
          </w:p>
        </w:tc>
        <w:tc>
          <w:tcPr>
            <w:tcW w:w="909" w:type="dxa"/>
            <w:tcBorders>
              <w:top w:val="single" w:sz="4" w:space="0" w:color="auto"/>
              <w:left w:val="single" w:sz="4" w:space="0" w:color="auto"/>
              <w:bottom w:val="single" w:sz="4" w:space="0" w:color="auto"/>
              <w:right w:val="single" w:sz="4" w:space="0" w:color="auto"/>
            </w:tcBorders>
            <w:noWrap/>
            <w:hideMark/>
          </w:tcPr>
          <w:p w14:paraId="0C2079F0"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4 - high risk</w:t>
            </w:r>
          </w:p>
        </w:tc>
        <w:tc>
          <w:tcPr>
            <w:tcW w:w="1075" w:type="dxa"/>
            <w:tcBorders>
              <w:top w:val="single" w:sz="4" w:space="0" w:color="auto"/>
              <w:left w:val="single" w:sz="4" w:space="0" w:color="auto"/>
              <w:bottom w:val="single" w:sz="4" w:space="0" w:color="auto"/>
              <w:right w:val="single" w:sz="4" w:space="0" w:color="auto"/>
            </w:tcBorders>
            <w:noWrap/>
            <w:hideMark/>
          </w:tcPr>
          <w:p w14:paraId="54F2A6C8"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5 - very high risk</w:t>
            </w:r>
          </w:p>
        </w:tc>
        <w:tc>
          <w:tcPr>
            <w:tcW w:w="909" w:type="dxa"/>
            <w:vMerge/>
            <w:tcBorders>
              <w:top w:val="single" w:sz="4" w:space="0" w:color="auto"/>
              <w:left w:val="single" w:sz="4" w:space="0" w:color="auto"/>
              <w:bottom w:val="single" w:sz="4" w:space="0" w:color="auto"/>
              <w:right w:val="single" w:sz="4" w:space="0" w:color="auto"/>
            </w:tcBorders>
            <w:hideMark/>
          </w:tcPr>
          <w:p w14:paraId="7BF52224" w14:textId="77777777" w:rsidR="008B5873" w:rsidRPr="004043F7"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p>
        </w:tc>
        <w:tc>
          <w:tcPr>
            <w:tcW w:w="1201" w:type="dxa"/>
            <w:vMerge/>
            <w:tcBorders>
              <w:top w:val="single" w:sz="4" w:space="0" w:color="auto"/>
              <w:left w:val="single" w:sz="4" w:space="0" w:color="auto"/>
              <w:bottom w:val="single" w:sz="4" w:space="0" w:color="auto"/>
              <w:right w:val="single" w:sz="4" w:space="0" w:color="auto"/>
            </w:tcBorders>
            <w:hideMark/>
          </w:tcPr>
          <w:p w14:paraId="062BB6F8" w14:textId="77777777" w:rsidR="008B5873" w:rsidRPr="004043F7"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p>
        </w:tc>
        <w:tc>
          <w:tcPr>
            <w:tcW w:w="792" w:type="dxa"/>
            <w:vMerge/>
            <w:tcBorders>
              <w:top w:val="single" w:sz="4" w:space="0" w:color="auto"/>
              <w:left w:val="single" w:sz="4" w:space="0" w:color="auto"/>
              <w:bottom w:val="single" w:sz="4" w:space="0" w:color="auto"/>
              <w:right w:val="single" w:sz="4" w:space="0" w:color="auto"/>
            </w:tcBorders>
            <w:hideMark/>
          </w:tcPr>
          <w:p w14:paraId="5616ED2F" w14:textId="77777777" w:rsidR="008B5873" w:rsidRPr="004043F7"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p>
        </w:tc>
      </w:tr>
      <w:tr w:rsidR="008B5873" w:rsidRPr="004043F7" w14:paraId="7E262C60" w14:textId="77777777" w:rsidTr="00326ED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94" w:type="dxa"/>
            <w:vMerge w:val="restart"/>
            <w:tcBorders>
              <w:top w:val="single" w:sz="4" w:space="0" w:color="auto"/>
              <w:left w:val="single" w:sz="4" w:space="0" w:color="auto"/>
              <w:bottom w:val="single" w:sz="4" w:space="0" w:color="auto"/>
              <w:right w:val="single" w:sz="4" w:space="0" w:color="auto"/>
            </w:tcBorders>
            <w:textDirection w:val="btLr"/>
          </w:tcPr>
          <w:p w14:paraId="3CB97180" w14:textId="77777777" w:rsidR="008B5873" w:rsidRPr="004043F7" w:rsidRDefault="008B5873" w:rsidP="00326EDB">
            <w:pPr>
              <w:ind w:right="113"/>
              <w:jc w:val="both"/>
              <w:rPr>
                <w:rFonts w:asciiTheme="majorBidi" w:hAnsiTheme="majorBidi" w:cstheme="majorBidi"/>
                <w:bCs w:val="0"/>
              </w:rPr>
            </w:pPr>
          </w:p>
          <w:p w14:paraId="31440E86" w14:textId="77777777" w:rsidR="008B5873" w:rsidRPr="004043F7" w:rsidRDefault="008B5873" w:rsidP="00326EDB">
            <w:pPr>
              <w:ind w:right="113"/>
              <w:jc w:val="both"/>
              <w:rPr>
                <w:rFonts w:asciiTheme="majorBidi" w:hAnsiTheme="majorBidi" w:cstheme="majorBidi"/>
                <w:bCs w:val="0"/>
              </w:rPr>
            </w:pPr>
          </w:p>
          <w:p w14:paraId="1AEDE80C" w14:textId="77777777" w:rsidR="008B5873" w:rsidRPr="004043F7" w:rsidRDefault="008B5873" w:rsidP="00326EDB">
            <w:pPr>
              <w:jc w:val="both"/>
              <w:rPr>
                <w:rFonts w:asciiTheme="majorBidi" w:hAnsiTheme="majorBidi" w:cstheme="majorBidi"/>
                <w:bCs w:val="0"/>
              </w:rPr>
            </w:pPr>
            <w:r w:rsidRPr="004043F7">
              <w:rPr>
                <w:rFonts w:asciiTheme="majorBidi" w:hAnsiTheme="majorBidi" w:cstheme="majorBidi"/>
                <w:b w:val="0"/>
              </w:rPr>
              <w:t xml:space="preserve">         </w:t>
            </w:r>
            <w:r w:rsidRPr="00820FB4">
              <w:rPr>
                <w:rFonts w:ascii="Times New Roman" w:hAnsi="Times New Roman" w:cs="Times New Roman"/>
                <w:b w:val="0"/>
                <w:bCs w:val="0"/>
                <w:spacing w:val="-1"/>
                <w:sz w:val="20"/>
                <w:szCs w:val="20"/>
                <w:lang w:eastAsia="en-US"/>
              </w:rPr>
              <w:t xml:space="preserve">    </w:t>
            </w:r>
            <w:r w:rsidRPr="00820FB4">
              <w:rPr>
                <w:rFonts w:ascii="Times New Roman" w:hAnsi="Times New Roman" w:cs="Times New Roman"/>
                <w:iCs/>
                <w:sz w:val="20"/>
                <w:szCs w:val="20"/>
              </w:rPr>
              <w:t xml:space="preserve"> Day Shift Nurse BS Risk Scoring </w:t>
            </w:r>
          </w:p>
        </w:tc>
        <w:tc>
          <w:tcPr>
            <w:tcW w:w="1043" w:type="dxa"/>
            <w:vMerge w:val="restart"/>
            <w:tcBorders>
              <w:top w:val="single" w:sz="4" w:space="0" w:color="auto"/>
              <w:left w:val="single" w:sz="4" w:space="0" w:color="auto"/>
              <w:bottom w:val="single" w:sz="4" w:space="0" w:color="auto"/>
              <w:right w:val="single" w:sz="4" w:space="0" w:color="auto"/>
            </w:tcBorders>
            <w:noWrap/>
            <w:hideMark/>
          </w:tcPr>
          <w:p w14:paraId="33EBE522"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score 1 -low risk</w:t>
            </w:r>
          </w:p>
        </w:tc>
        <w:tc>
          <w:tcPr>
            <w:tcW w:w="805" w:type="dxa"/>
            <w:tcBorders>
              <w:top w:val="single" w:sz="4" w:space="0" w:color="auto"/>
              <w:left w:val="single" w:sz="4" w:space="0" w:color="auto"/>
              <w:bottom w:val="single" w:sz="4" w:space="0" w:color="auto"/>
              <w:right w:val="single" w:sz="4" w:space="0" w:color="auto"/>
            </w:tcBorders>
            <w:hideMark/>
          </w:tcPr>
          <w:p w14:paraId="7BC21BD8"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Count</w:t>
            </w:r>
          </w:p>
        </w:tc>
        <w:tc>
          <w:tcPr>
            <w:tcW w:w="909" w:type="dxa"/>
            <w:tcBorders>
              <w:top w:val="single" w:sz="4" w:space="0" w:color="auto"/>
              <w:left w:val="single" w:sz="4" w:space="0" w:color="auto"/>
              <w:bottom w:val="single" w:sz="4" w:space="0" w:color="auto"/>
              <w:right w:val="single" w:sz="4" w:space="0" w:color="auto"/>
            </w:tcBorders>
            <w:noWrap/>
            <w:hideMark/>
          </w:tcPr>
          <w:p w14:paraId="60B32D25"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1165</w:t>
            </w:r>
          </w:p>
        </w:tc>
        <w:tc>
          <w:tcPr>
            <w:tcW w:w="909" w:type="dxa"/>
            <w:tcBorders>
              <w:top w:val="single" w:sz="4" w:space="0" w:color="auto"/>
              <w:left w:val="single" w:sz="4" w:space="0" w:color="auto"/>
              <w:bottom w:val="single" w:sz="4" w:space="0" w:color="auto"/>
              <w:right w:val="single" w:sz="4" w:space="0" w:color="auto"/>
            </w:tcBorders>
            <w:noWrap/>
            <w:hideMark/>
          </w:tcPr>
          <w:p w14:paraId="54D7D210"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246</w:t>
            </w:r>
          </w:p>
        </w:tc>
        <w:tc>
          <w:tcPr>
            <w:tcW w:w="1043" w:type="dxa"/>
            <w:tcBorders>
              <w:top w:val="single" w:sz="4" w:space="0" w:color="auto"/>
              <w:left w:val="single" w:sz="4" w:space="0" w:color="auto"/>
              <w:bottom w:val="single" w:sz="4" w:space="0" w:color="auto"/>
              <w:right w:val="single" w:sz="4" w:space="0" w:color="auto"/>
            </w:tcBorders>
            <w:noWrap/>
            <w:hideMark/>
          </w:tcPr>
          <w:p w14:paraId="76A27FAF"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11</w:t>
            </w:r>
          </w:p>
        </w:tc>
        <w:tc>
          <w:tcPr>
            <w:tcW w:w="909" w:type="dxa"/>
            <w:tcBorders>
              <w:top w:val="single" w:sz="4" w:space="0" w:color="auto"/>
              <w:left w:val="single" w:sz="4" w:space="0" w:color="auto"/>
              <w:bottom w:val="single" w:sz="4" w:space="0" w:color="auto"/>
              <w:right w:val="single" w:sz="4" w:space="0" w:color="auto"/>
            </w:tcBorders>
            <w:noWrap/>
            <w:hideMark/>
          </w:tcPr>
          <w:p w14:paraId="53094E8A"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0</w:t>
            </w:r>
          </w:p>
        </w:tc>
        <w:tc>
          <w:tcPr>
            <w:tcW w:w="1075" w:type="dxa"/>
            <w:tcBorders>
              <w:top w:val="single" w:sz="4" w:space="0" w:color="auto"/>
              <w:left w:val="single" w:sz="4" w:space="0" w:color="auto"/>
              <w:bottom w:val="single" w:sz="4" w:space="0" w:color="auto"/>
              <w:right w:val="single" w:sz="4" w:space="0" w:color="auto"/>
            </w:tcBorders>
            <w:noWrap/>
            <w:hideMark/>
          </w:tcPr>
          <w:p w14:paraId="2716E89D"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0</w:t>
            </w:r>
          </w:p>
        </w:tc>
        <w:tc>
          <w:tcPr>
            <w:tcW w:w="909" w:type="dxa"/>
            <w:tcBorders>
              <w:top w:val="single" w:sz="4" w:space="0" w:color="auto"/>
              <w:left w:val="single" w:sz="4" w:space="0" w:color="auto"/>
              <w:bottom w:val="single" w:sz="4" w:space="0" w:color="auto"/>
              <w:right w:val="single" w:sz="4" w:space="0" w:color="auto"/>
            </w:tcBorders>
            <w:noWrap/>
            <w:hideMark/>
          </w:tcPr>
          <w:p w14:paraId="34E698C4"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1422</w:t>
            </w:r>
          </w:p>
        </w:tc>
        <w:tc>
          <w:tcPr>
            <w:tcW w:w="1201" w:type="dxa"/>
            <w:vMerge w:val="restart"/>
            <w:tcBorders>
              <w:top w:val="single" w:sz="4" w:space="0" w:color="auto"/>
              <w:left w:val="single" w:sz="4" w:space="0" w:color="auto"/>
              <w:bottom w:val="single" w:sz="4" w:space="0" w:color="auto"/>
              <w:right w:val="single" w:sz="4" w:space="0" w:color="auto"/>
            </w:tcBorders>
            <w:hideMark/>
          </w:tcPr>
          <w:p w14:paraId="0D7F66DB"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 xml:space="preserve">0.39 (measure of agreement) </w:t>
            </w:r>
          </w:p>
        </w:tc>
        <w:tc>
          <w:tcPr>
            <w:tcW w:w="792" w:type="dxa"/>
            <w:vMerge w:val="restart"/>
            <w:tcBorders>
              <w:top w:val="single" w:sz="4" w:space="0" w:color="auto"/>
              <w:left w:val="single" w:sz="4" w:space="0" w:color="auto"/>
              <w:bottom w:val="single" w:sz="4" w:space="0" w:color="auto"/>
              <w:right w:val="single" w:sz="4" w:space="0" w:color="auto"/>
            </w:tcBorders>
            <w:noWrap/>
            <w:hideMark/>
          </w:tcPr>
          <w:p w14:paraId="6B999641"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&lt;0.001</w:t>
            </w:r>
          </w:p>
        </w:tc>
      </w:tr>
      <w:tr w:rsidR="008B5873" w:rsidRPr="004043F7" w14:paraId="5ADAE066" w14:textId="77777777" w:rsidTr="00326EDB">
        <w:trPr>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19816D51" w14:textId="77777777" w:rsidR="008B5873" w:rsidRPr="004043F7" w:rsidRDefault="008B5873" w:rsidP="00326EDB">
            <w:pPr>
              <w:jc w:val="both"/>
              <w:rPr>
                <w:rFonts w:asciiTheme="majorBidi" w:hAnsiTheme="majorBidi" w:cstheme="majorBidi"/>
                <w:b w:val="0"/>
              </w:rPr>
            </w:pPr>
          </w:p>
        </w:tc>
        <w:tc>
          <w:tcPr>
            <w:tcW w:w="1043" w:type="dxa"/>
            <w:vMerge/>
            <w:tcBorders>
              <w:top w:val="single" w:sz="4" w:space="0" w:color="auto"/>
              <w:left w:val="single" w:sz="4" w:space="0" w:color="auto"/>
              <w:bottom w:val="single" w:sz="4" w:space="0" w:color="auto"/>
              <w:right w:val="single" w:sz="4" w:space="0" w:color="auto"/>
            </w:tcBorders>
            <w:hideMark/>
          </w:tcPr>
          <w:p w14:paraId="154B7B72"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p>
        </w:tc>
        <w:tc>
          <w:tcPr>
            <w:tcW w:w="805" w:type="dxa"/>
            <w:tcBorders>
              <w:top w:val="single" w:sz="4" w:space="0" w:color="auto"/>
              <w:left w:val="single" w:sz="4" w:space="0" w:color="auto"/>
              <w:bottom w:val="single" w:sz="4" w:space="0" w:color="auto"/>
              <w:right w:val="single" w:sz="4" w:space="0" w:color="auto"/>
            </w:tcBorders>
            <w:hideMark/>
          </w:tcPr>
          <w:p w14:paraId="0BCB6EAD"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w:t>
            </w:r>
          </w:p>
        </w:tc>
        <w:tc>
          <w:tcPr>
            <w:tcW w:w="909" w:type="dxa"/>
            <w:tcBorders>
              <w:top w:val="single" w:sz="4" w:space="0" w:color="auto"/>
              <w:left w:val="single" w:sz="4" w:space="0" w:color="auto"/>
              <w:bottom w:val="single" w:sz="4" w:space="0" w:color="auto"/>
              <w:right w:val="single" w:sz="4" w:space="0" w:color="auto"/>
            </w:tcBorders>
            <w:noWrap/>
            <w:hideMark/>
          </w:tcPr>
          <w:p w14:paraId="1661A769"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1"/>
                <w:sz w:val="20"/>
                <w:szCs w:val="20"/>
                <w:lang w:eastAsia="en-US"/>
              </w:rPr>
            </w:pPr>
            <w:r w:rsidRPr="00820FB4">
              <w:rPr>
                <w:rFonts w:ascii="Times New Roman" w:hAnsi="Times New Roman" w:cs="Times New Roman"/>
                <w:b/>
                <w:bCs/>
                <w:spacing w:val="-1"/>
                <w:sz w:val="20"/>
                <w:szCs w:val="20"/>
                <w:lang w:eastAsia="en-US"/>
              </w:rPr>
              <w:t>81.9%</w:t>
            </w:r>
          </w:p>
        </w:tc>
        <w:tc>
          <w:tcPr>
            <w:tcW w:w="909" w:type="dxa"/>
            <w:tcBorders>
              <w:top w:val="single" w:sz="4" w:space="0" w:color="auto"/>
              <w:left w:val="single" w:sz="4" w:space="0" w:color="auto"/>
              <w:bottom w:val="single" w:sz="4" w:space="0" w:color="auto"/>
              <w:right w:val="single" w:sz="4" w:space="0" w:color="auto"/>
            </w:tcBorders>
            <w:noWrap/>
            <w:hideMark/>
          </w:tcPr>
          <w:p w14:paraId="3B602257"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43.4%</w:t>
            </w:r>
          </w:p>
        </w:tc>
        <w:tc>
          <w:tcPr>
            <w:tcW w:w="1043" w:type="dxa"/>
            <w:tcBorders>
              <w:top w:val="single" w:sz="4" w:space="0" w:color="auto"/>
              <w:left w:val="single" w:sz="4" w:space="0" w:color="auto"/>
              <w:bottom w:val="single" w:sz="4" w:space="0" w:color="auto"/>
              <w:right w:val="single" w:sz="4" w:space="0" w:color="auto"/>
            </w:tcBorders>
            <w:noWrap/>
            <w:hideMark/>
          </w:tcPr>
          <w:p w14:paraId="72122A1C"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6.3%</w:t>
            </w:r>
          </w:p>
        </w:tc>
        <w:tc>
          <w:tcPr>
            <w:tcW w:w="909" w:type="dxa"/>
            <w:tcBorders>
              <w:top w:val="single" w:sz="4" w:space="0" w:color="auto"/>
              <w:left w:val="single" w:sz="4" w:space="0" w:color="auto"/>
              <w:bottom w:val="single" w:sz="4" w:space="0" w:color="auto"/>
              <w:right w:val="single" w:sz="4" w:space="0" w:color="auto"/>
            </w:tcBorders>
            <w:noWrap/>
            <w:hideMark/>
          </w:tcPr>
          <w:p w14:paraId="3DE67174"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0.0%</w:t>
            </w:r>
          </w:p>
        </w:tc>
        <w:tc>
          <w:tcPr>
            <w:tcW w:w="1075" w:type="dxa"/>
            <w:tcBorders>
              <w:top w:val="single" w:sz="4" w:space="0" w:color="auto"/>
              <w:left w:val="single" w:sz="4" w:space="0" w:color="auto"/>
              <w:bottom w:val="single" w:sz="4" w:space="0" w:color="auto"/>
              <w:right w:val="single" w:sz="4" w:space="0" w:color="auto"/>
            </w:tcBorders>
            <w:noWrap/>
            <w:hideMark/>
          </w:tcPr>
          <w:p w14:paraId="4C9B3D97"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0.0%</w:t>
            </w:r>
          </w:p>
        </w:tc>
        <w:tc>
          <w:tcPr>
            <w:tcW w:w="909" w:type="dxa"/>
            <w:tcBorders>
              <w:top w:val="single" w:sz="4" w:space="0" w:color="auto"/>
              <w:left w:val="single" w:sz="4" w:space="0" w:color="auto"/>
              <w:bottom w:val="single" w:sz="4" w:space="0" w:color="auto"/>
              <w:right w:val="single" w:sz="4" w:space="0" w:color="auto"/>
            </w:tcBorders>
            <w:noWrap/>
            <w:hideMark/>
          </w:tcPr>
          <w:p w14:paraId="7A96AA82"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60.6%</w:t>
            </w:r>
          </w:p>
        </w:tc>
        <w:tc>
          <w:tcPr>
            <w:tcW w:w="1201" w:type="dxa"/>
            <w:vMerge/>
            <w:tcBorders>
              <w:top w:val="single" w:sz="4" w:space="0" w:color="auto"/>
              <w:left w:val="single" w:sz="4" w:space="0" w:color="auto"/>
              <w:bottom w:val="single" w:sz="4" w:space="0" w:color="auto"/>
              <w:right w:val="single" w:sz="4" w:space="0" w:color="auto"/>
            </w:tcBorders>
            <w:hideMark/>
          </w:tcPr>
          <w:p w14:paraId="01184992"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hideMark/>
          </w:tcPr>
          <w:p w14:paraId="1BCB21C2"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r>
      <w:tr w:rsidR="008B5873" w:rsidRPr="004043F7" w14:paraId="1BF635F6" w14:textId="77777777" w:rsidTr="00326ED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19DF94FE" w14:textId="77777777" w:rsidR="008B5873" w:rsidRPr="004043F7" w:rsidRDefault="008B5873" w:rsidP="00326EDB">
            <w:pPr>
              <w:jc w:val="both"/>
              <w:rPr>
                <w:rFonts w:asciiTheme="majorBidi" w:hAnsiTheme="majorBidi" w:cstheme="majorBidi"/>
                <w:b w:val="0"/>
              </w:rPr>
            </w:pPr>
          </w:p>
        </w:tc>
        <w:tc>
          <w:tcPr>
            <w:tcW w:w="1043" w:type="dxa"/>
            <w:vMerge w:val="restart"/>
            <w:tcBorders>
              <w:top w:val="single" w:sz="4" w:space="0" w:color="auto"/>
              <w:left w:val="single" w:sz="4" w:space="0" w:color="auto"/>
              <w:bottom w:val="single" w:sz="4" w:space="0" w:color="auto"/>
              <w:right w:val="single" w:sz="4" w:space="0" w:color="auto"/>
            </w:tcBorders>
            <w:noWrap/>
            <w:hideMark/>
          </w:tcPr>
          <w:p w14:paraId="31638DAB"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2 - at risk</w:t>
            </w:r>
          </w:p>
        </w:tc>
        <w:tc>
          <w:tcPr>
            <w:tcW w:w="805" w:type="dxa"/>
            <w:tcBorders>
              <w:top w:val="single" w:sz="4" w:space="0" w:color="auto"/>
              <w:left w:val="single" w:sz="4" w:space="0" w:color="auto"/>
              <w:bottom w:val="single" w:sz="4" w:space="0" w:color="auto"/>
              <w:right w:val="single" w:sz="4" w:space="0" w:color="auto"/>
            </w:tcBorders>
            <w:hideMark/>
          </w:tcPr>
          <w:p w14:paraId="533EB834"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Count</w:t>
            </w:r>
          </w:p>
        </w:tc>
        <w:tc>
          <w:tcPr>
            <w:tcW w:w="909" w:type="dxa"/>
            <w:tcBorders>
              <w:top w:val="single" w:sz="4" w:space="0" w:color="auto"/>
              <w:left w:val="single" w:sz="4" w:space="0" w:color="auto"/>
              <w:bottom w:val="single" w:sz="4" w:space="0" w:color="auto"/>
              <w:right w:val="single" w:sz="4" w:space="0" w:color="auto"/>
            </w:tcBorders>
            <w:noWrap/>
            <w:hideMark/>
          </w:tcPr>
          <w:p w14:paraId="282D8FFD"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250</w:t>
            </w:r>
          </w:p>
        </w:tc>
        <w:tc>
          <w:tcPr>
            <w:tcW w:w="909" w:type="dxa"/>
            <w:tcBorders>
              <w:top w:val="single" w:sz="4" w:space="0" w:color="auto"/>
              <w:left w:val="single" w:sz="4" w:space="0" w:color="auto"/>
              <w:bottom w:val="single" w:sz="4" w:space="0" w:color="auto"/>
              <w:right w:val="single" w:sz="4" w:space="0" w:color="auto"/>
            </w:tcBorders>
            <w:noWrap/>
            <w:hideMark/>
          </w:tcPr>
          <w:p w14:paraId="76F9A25E"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259</w:t>
            </w:r>
          </w:p>
        </w:tc>
        <w:tc>
          <w:tcPr>
            <w:tcW w:w="1043" w:type="dxa"/>
            <w:tcBorders>
              <w:top w:val="single" w:sz="4" w:space="0" w:color="auto"/>
              <w:left w:val="single" w:sz="4" w:space="0" w:color="auto"/>
              <w:bottom w:val="single" w:sz="4" w:space="0" w:color="auto"/>
              <w:right w:val="single" w:sz="4" w:space="0" w:color="auto"/>
            </w:tcBorders>
            <w:noWrap/>
            <w:hideMark/>
          </w:tcPr>
          <w:p w14:paraId="61D6D899"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48</w:t>
            </w:r>
          </w:p>
        </w:tc>
        <w:tc>
          <w:tcPr>
            <w:tcW w:w="909" w:type="dxa"/>
            <w:tcBorders>
              <w:top w:val="single" w:sz="4" w:space="0" w:color="auto"/>
              <w:left w:val="single" w:sz="4" w:space="0" w:color="auto"/>
              <w:bottom w:val="single" w:sz="4" w:space="0" w:color="auto"/>
              <w:right w:val="single" w:sz="4" w:space="0" w:color="auto"/>
            </w:tcBorders>
            <w:noWrap/>
            <w:hideMark/>
          </w:tcPr>
          <w:p w14:paraId="0A404784"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22</w:t>
            </w:r>
          </w:p>
        </w:tc>
        <w:tc>
          <w:tcPr>
            <w:tcW w:w="1075" w:type="dxa"/>
            <w:tcBorders>
              <w:top w:val="single" w:sz="4" w:space="0" w:color="auto"/>
              <w:left w:val="single" w:sz="4" w:space="0" w:color="auto"/>
              <w:bottom w:val="single" w:sz="4" w:space="0" w:color="auto"/>
              <w:right w:val="single" w:sz="4" w:space="0" w:color="auto"/>
            </w:tcBorders>
            <w:noWrap/>
            <w:hideMark/>
          </w:tcPr>
          <w:p w14:paraId="5F0455F0"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3</w:t>
            </w:r>
          </w:p>
        </w:tc>
        <w:tc>
          <w:tcPr>
            <w:tcW w:w="909" w:type="dxa"/>
            <w:tcBorders>
              <w:top w:val="single" w:sz="4" w:space="0" w:color="auto"/>
              <w:left w:val="single" w:sz="4" w:space="0" w:color="auto"/>
              <w:bottom w:val="single" w:sz="4" w:space="0" w:color="auto"/>
              <w:right w:val="single" w:sz="4" w:space="0" w:color="auto"/>
            </w:tcBorders>
            <w:noWrap/>
            <w:hideMark/>
          </w:tcPr>
          <w:p w14:paraId="4461C0DD"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582</w:t>
            </w:r>
          </w:p>
        </w:tc>
        <w:tc>
          <w:tcPr>
            <w:tcW w:w="1201" w:type="dxa"/>
            <w:vMerge/>
            <w:tcBorders>
              <w:top w:val="single" w:sz="4" w:space="0" w:color="auto"/>
              <w:left w:val="single" w:sz="4" w:space="0" w:color="auto"/>
              <w:bottom w:val="single" w:sz="4" w:space="0" w:color="auto"/>
              <w:right w:val="single" w:sz="4" w:space="0" w:color="auto"/>
            </w:tcBorders>
            <w:hideMark/>
          </w:tcPr>
          <w:p w14:paraId="7530AE9B"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hideMark/>
          </w:tcPr>
          <w:p w14:paraId="67A765B8"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p>
        </w:tc>
      </w:tr>
      <w:tr w:rsidR="008B5873" w:rsidRPr="004043F7" w14:paraId="14708FD7" w14:textId="77777777" w:rsidTr="00326EDB">
        <w:trPr>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4F80EA58" w14:textId="77777777" w:rsidR="008B5873" w:rsidRPr="004043F7" w:rsidRDefault="008B5873" w:rsidP="00326EDB">
            <w:pPr>
              <w:jc w:val="both"/>
              <w:rPr>
                <w:rFonts w:asciiTheme="majorBidi" w:hAnsiTheme="majorBidi" w:cstheme="majorBidi"/>
                <w:b w:val="0"/>
              </w:rPr>
            </w:pPr>
          </w:p>
        </w:tc>
        <w:tc>
          <w:tcPr>
            <w:tcW w:w="1043" w:type="dxa"/>
            <w:vMerge/>
            <w:tcBorders>
              <w:top w:val="single" w:sz="4" w:space="0" w:color="auto"/>
              <w:left w:val="single" w:sz="4" w:space="0" w:color="auto"/>
              <w:bottom w:val="single" w:sz="4" w:space="0" w:color="auto"/>
              <w:right w:val="single" w:sz="4" w:space="0" w:color="auto"/>
            </w:tcBorders>
            <w:hideMark/>
          </w:tcPr>
          <w:p w14:paraId="1FAB12DA"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p>
        </w:tc>
        <w:tc>
          <w:tcPr>
            <w:tcW w:w="805" w:type="dxa"/>
            <w:tcBorders>
              <w:top w:val="single" w:sz="4" w:space="0" w:color="auto"/>
              <w:left w:val="single" w:sz="4" w:space="0" w:color="auto"/>
              <w:bottom w:val="single" w:sz="4" w:space="0" w:color="auto"/>
              <w:right w:val="single" w:sz="4" w:space="0" w:color="auto"/>
            </w:tcBorders>
            <w:hideMark/>
          </w:tcPr>
          <w:p w14:paraId="00FF09B8"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w:t>
            </w:r>
          </w:p>
        </w:tc>
        <w:tc>
          <w:tcPr>
            <w:tcW w:w="909" w:type="dxa"/>
            <w:tcBorders>
              <w:top w:val="single" w:sz="4" w:space="0" w:color="auto"/>
              <w:left w:val="single" w:sz="4" w:space="0" w:color="auto"/>
              <w:bottom w:val="single" w:sz="4" w:space="0" w:color="auto"/>
              <w:right w:val="single" w:sz="4" w:space="0" w:color="auto"/>
            </w:tcBorders>
            <w:noWrap/>
            <w:hideMark/>
          </w:tcPr>
          <w:p w14:paraId="5324871F"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17.6%</w:t>
            </w:r>
          </w:p>
        </w:tc>
        <w:tc>
          <w:tcPr>
            <w:tcW w:w="909" w:type="dxa"/>
            <w:tcBorders>
              <w:top w:val="single" w:sz="4" w:space="0" w:color="auto"/>
              <w:left w:val="single" w:sz="4" w:space="0" w:color="auto"/>
              <w:bottom w:val="single" w:sz="4" w:space="0" w:color="auto"/>
              <w:right w:val="single" w:sz="4" w:space="0" w:color="auto"/>
            </w:tcBorders>
            <w:noWrap/>
            <w:hideMark/>
          </w:tcPr>
          <w:p w14:paraId="3B60A1B4"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1"/>
                <w:sz w:val="20"/>
                <w:szCs w:val="20"/>
                <w:lang w:eastAsia="en-US"/>
              </w:rPr>
            </w:pPr>
            <w:r w:rsidRPr="00820FB4">
              <w:rPr>
                <w:rFonts w:ascii="Times New Roman" w:hAnsi="Times New Roman" w:cs="Times New Roman"/>
                <w:b/>
                <w:bCs/>
                <w:spacing w:val="-1"/>
                <w:sz w:val="20"/>
                <w:szCs w:val="20"/>
                <w:lang w:eastAsia="en-US"/>
              </w:rPr>
              <w:t>45.7%</w:t>
            </w:r>
          </w:p>
        </w:tc>
        <w:tc>
          <w:tcPr>
            <w:tcW w:w="1043" w:type="dxa"/>
            <w:tcBorders>
              <w:top w:val="single" w:sz="4" w:space="0" w:color="auto"/>
              <w:left w:val="single" w:sz="4" w:space="0" w:color="auto"/>
              <w:bottom w:val="single" w:sz="4" w:space="0" w:color="auto"/>
              <w:right w:val="single" w:sz="4" w:space="0" w:color="auto"/>
            </w:tcBorders>
            <w:noWrap/>
            <w:hideMark/>
          </w:tcPr>
          <w:p w14:paraId="05285BD9"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27.6%</w:t>
            </w:r>
          </w:p>
        </w:tc>
        <w:tc>
          <w:tcPr>
            <w:tcW w:w="909" w:type="dxa"/>
            <w:tcBorders>
              <w:top w:val="single" w:sz="4" w:space="0" w:color="auto"/>
              <w:left w:val="single" w:sz="4" w:space="0" w:color="auto"/>
              <w:bottom w:val="single" w:sz="4" w:space="0" w:color="auto"/>
              <w:right w:val="single" w:sz="4" w:space="0" w:color="auto"/>
            </w:tcBorders>
            <w:noWrap/>
            <w:hideMark/>
          </w:tcPr>
          <w:p w14:paraId="7858450F"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15.6%</w:t>
            </w:r>
          </w:p>
        </w:tc>
        <w:tc>
          <w:tcPr>
            <w:tcW w:w="1075" w:type="dxa"/>
            <w:tcBorders>
              <w:top w:val="single" w:sz="4" w:space="0" w:color="auto"/>
              <w:left w:val="single" w:sz="4" w:space="0" w:color="auto"/>
              <w:bottom w:val="single" w:sz="4" w:space="0" w:color="auto"/>
              <w:right w:val="single" w:sz="4" w:space="0" w:color="auto"/>
            </w:tcBorders>
            <w:noWrap/>
            <w:hideMark/>
          </w:tcPr>
          <w:p w14:paraId="6D5E3740"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7.1%</w:t>
            </w:r>
          </w:p>
        </w:tc>
        <w:tc>
          <w:tcPr>
            <w:tcW w:w="909" w:type="dxa"/>
            <w:tcBorders>
              <w:top w:val="single" w:sz="4" w:space="0" w:color="auto"/>
              <w:left w:val="single" w:sz="4" w:space="0" w:color="auto"/>
              <w:bottom w:val="single" w:sz="4" w:space="0" w:color="auto"/>
              <w:right w:val="single" w:sz="4" w:space="0" w:color="auto"/>
            </w:tcBorders>
            <w:noWrap/>
            <w:hideMark/>
          </w:tcPr>
          <w:p w14:paraId="527A742E"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24.8%</w:t>
            </w:r>
          </w:p>
        </w:tc>
        <w:tc>
          <w:tcPr>
            <w:tcW w:w="1201" w:type="dxa"/>
            <w:vMerge/>
            <w:tcBorders>
              <w:top w:val="single" w:sz="4" w:space="0" w:color="auto"/>
              <w:left w:val="single" w:sz="4" w:space="0" w:color="auto"/>
              <w:bottom w:val="single" w:sz="4" w:space="0" w:color="auto"/>
              <w:right w:val="single" w:sz="4" w:space="0" w:color="auto"/>
            </w:tcBorders>
            <w:hideMark/>
          </w:tcPr>
          <w:p w14:paraId="3EC7F223"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hideMark/>
          </w:tcPr>
          <w:p w14:paraId="17A0F1FF"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r>
      <w:tr w:rsidR="008B5873" w:rsidRPr="004043F7" w14:paraId="76FC3C59" w14:textId="77777777" w:rsidTr="00326ED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3D4AFA88" w14:textId="77777777" w:rsidR="008B5873" w:rsidRPr="004043F7" w:rsidRDefault="008B5873" w:rsidP="00326EDB">
            <w:pPr>
              <w:jc w:val="both"/>
              <w:rPr>
                <w:rFonts w:asciiTheme="majorBidi" w:hAnsiTheme="majorBidi" w:cstheme="majorBidi"/>
                <w:b w:val="0"/>
              </w:rPr>
            </w:pPr>
          </w:p>
        </w:tc>
        <w:tc>
          <w:tcPr>
            <w:tcW w:w="1043" w:type="dxa"/>
            <w:vMerge w:val="restart"/>
            <w:tcBorders>
              <w:top w:val="single" w:sz="4" w:space="0" w:color="auto"/>
              <w:left w:val="single" w:sz="4" w:space="0" w:color="auto"/>
              <w:bottom w:val="single" w:sz="4" w:space="0" w:color="auto"/>
              <w:right w:val="single" w:sz="4" w:space="0" w:color="auto"/>
            </w:tcBorders>
            <w:noWrap/>
            <w:hideMark/>
          </w:tcPr>
          <w:p w14:paraId="0079FB91"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3 - moderate risk</w:t>
            </w:r>
          </w:p>
        </w:tc>
        <w:tc>
          <w:tcPr>
            <w:tcW w:w="805" w:type="dxa"/>
            <w:tcBorders>
              <w:top w:val="single" w:sz="4" w:space="0" w:color="auto"/>
              <w:left w:val="single" w:sz="4" w:space="0" w:color="auto"/>
              <w:bottom w:val="single" w:sz="4" w:space="0" w:color="auto"/>
              <w:right w:val="single" w:sz="4" w:space="0" w:color="auto"/>
            </w:tcBorders>
            <w:hideMark/>
          </w:tcPr>
          <w:p w14:paraId="62B49A14"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Count</w:t>
            </w:r>
          </w:p>
        </w:tc>
        <w:tc>
          <w:tcPr>
            <w:tcW w:w="909" w:type="dxa"/>
            <w:tcBorders>
              <w:top w:val="single" w:sz="4" w:space="0" w:color="auto"/>
              <w:left w:val="single" w:sz="4" w:space="0" w:color="auto"/>
              <w:bottom w:val="single" w:sz="4" w:space="0" w:color="auto"/>
              <w:right w:val="single" w:sz="4" w:space="0" w:color="auto"/>
            </w:tcBorders>
            <w:noWrap/>
            <w:hideMark/>
          </w:tcPr>
          <w:p w14:paraId="4587D825"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6</w:t>
            </w:r>
          </w:p>
        </w:tc>
        <w:tc>
          <w:tcPr>
            <w:tcW w:w="909" w:type="dxa"/>
            <w:tcBorders>
              <w:top w:val="single" w:sz="4" w:space="0" w:color="auto"/>
              <w:left w:val="single" w:sz="4" w:space="0" w:color="auto"/>
              <w:bottom w:val="single" w:sz="4" w:space="0" w:color="auto"/>
              <w:right w:val="single" w:sz="4" w:space="0" w:color="auto"/>
            </w:tcBorders>
            <w:noWrap/>
            <w:hideMark/>
          </w:tcPr>
          <w:p w14:paraId="077BD172"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45</w:t>
            </w:r>
          </w:p>
        </w:tc>
        <w:tc>
          <w:tcPr>
            <w:tcW w:w="1043" w:type="dxa"/>
            <w:tcBorders>
              <w:top w:val="single" w:sz="4" w:space="0" w:color="auto"/>
              <w:left w:val="single" w:sz="4" w:space="0" w:color="auto"/>
              <w:bottom w:val="single" w:sz="4" w:space="0" w:color="auto"/>
              <w:right w:val="single" w:sz="4" w:space="0" w:color="auto"/>
            </w:tcBorders>
            <w:noWrap/>
            <w:hideMark/>
          </w:tcPr>
          <w:p w14:paraId="341EB943"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52</w:t>
            </w:r>
          </w:p>
        </w:tc>
        <w:tc>
          <w:tcPr>
            <w:tcW w:w="909" w:type="dxa"/>
            <w:tcBorders>
              <w:top w:val="single" w:sz="4" w:space="0" w:color="auto"/>
              <w:left w:val="single" w:sz="4" w:space="0" w:color="auto"/>
              <w:bottom w:val="single" w:sz="4" w:space="0" w:color="auto"/>
              <w:right w:val="single" w:sz="4" w:space="0" w:color="auto"/>
            </w:tcBorders>
            <w:noWrap/>
            <w:hideMark/>
          </w:tcPr>
          <w:p w14:paraId="19B617AF"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47</w:t>
            </w:r>
          </w:p>
        </w:tc>
        <w:tc>
          <w:tcPr>
            <w:tcW w:w="1075" w:type="dxa"/>
            <w:tcBorders>
              <w:top w:val="single" w:sz="4" w:space="0" w:color="auto"/>
              <w:left w:val="single" w:sz="4" w:space="0" w:color="auto"/>
              <w:bottom w:val="single" w:sz="4" w:space="0" w:color="auto"/>
              <w:right w:val="single" w:sz="4" w:space="0" w:color="auto"/>
            </w:tcBorders>
            <w:noWrap/>
            <w:hideMark/>
          </w:tcPr>
          <w:p w14:paraId="79B74DF7"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10</w:t>
            </w:r>
          </w:p>
        </w:tc>
        <w:tc>
          <w:tcPr>
            <w:tcW w:w="909" w:type="dxa"/>
            <w:tcBorders>
              <w:top w:val="single" w:sz="4" w:space="0" w:color="auto"/>
              <w:left w:val="single" w:sz="4" w:space="0" w:color="auto"/>
              <w:bottom w:val="single" w:sz="4" w:space="0" w:color="auto"/>
              <w:right w:val="single" w:sz="4" w:space="0" w:color="auto"/>
            </w:tcBorders>
            <w:noWrap/>
            <w:hideMark/>
          </w:tcPr>
          <w:p w14:paraId="0837022E"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160</w:t>
            </w:r>
          </w:p>
        </w:tc>
        <w:tc>
          <w:tcPr>
            <w:tcW w:w="1201" w:type="dxa"/>
            <w:vMerge/>
            <w:tcBorders>
              <w:top w:val="single" w:sz="4" w:space="0" w:color="auto"/>
              <w:left w:val="single" w:sz="4" w:space="0" w:color="auto"/>
              <w:bottom w:val="single" w:sz="4" w:space="0" w:color="auto"/>
              <w:right w:val="single" w:sz="4" w:space="0" w:color="auto"/>
            </w:tcBorders>
            <w:hideMark/>
          </w:tcPr>
          <w:p w14:paraId="415B6585"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hideMark/>
          </w:tcPr>
          <w:p w14:paraId="6A526BBE"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p>
        </w:tc>
      </w:tr>
      <w:tr w:rsidR="008B5873" w:rsidRPr="004043F7" w14:paraId="61AF1710" w14:textId="77777777" w:rsidTr="00326EDB">
        <w:trPr>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45A42ADA" w14:textId="77777777" w:rsidR="008B5873" w:rsidRPr="004043F7" w:rsidRDefault="008B5873" w:rsidP="00326EDB">
            <w:pPr>
              <w:jc w:val="both"/>
              <w:rPr>
                <w:rFonts w:asciiTheme="majorBidi" w:hAnsiTheme="majorBidi" w:cstheme="majorBidi"/>
                <w:b w:val="0"/>
              </w:rPr>
            </w:pPr>
          </w:p>
        </w:tc>
        <w:tc>
          <w:tcPr>
            <w:tcW w:w="1043" w:type="dxa"/>
            <w:vMerge/>
            <w:tcBorders>
              <w:top w:val="single" w:sz="4" w:space="0" w:color="auto"/>
              <w:left w:val="single" w:sz="4" w:space="0" w:color="auto"/>
              <w:bottom w:val="single" w:sz="4" w:space="0" w:color="auto"/>
              <w:right w:val="single" w:sz="4" w:space="0" w:color="auto"/>
            </w:tcBorders>
            <w:hideMark/>
          </w:tcPr>
          <w:p w14:paraId="460CC53C"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p>
        </w:tc>
        <w:tc>
          <w:tcPr>
            <w:tcW w:w="805" w:type="dxa"/>
            <w:tcBorders>
              <w:top w:val="single" w:sz="4" w:space="0" w:color="auto"/>
              <w:left w:val="single" w:sz="4" w:space="0" w:color="auto"/>
              <w:bottom w:val="single" w:sz="4" w:space="0" w:color="auto"/>
              <w:right w:val="single" w:sz="4" w:space="0" w:color="auto"/>
            </w:tcBorders>
            <w:hideMark/>
          </w:tcPr>
          <w:p w14:paraId="72F7790B"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w:t>
            </w:r>
          </w:p>
        </w:tc>
        <w:tc>
          <w:tcPr>
            <w:tcW w:w="909" w:type="dxa"/>
            <w:tcBorders>
              <w:top w:val="single" w:sz="4" w:space="0" w:color="auto"/>
              <w:left w:val="single" w:sz="4" w:space="0" w:color="auto"/>
              <w:bottom w:val="single" w:sz="4" w:space="0" w:color="auto"/>
              <w:right w:val="single" w:sz="4" w:space="0" w:color="auto"/>
            </w:tcBorders>
            <w:noWrap/>
            <w:hideMark/>
          </w:tcPr>
          <w:p w14:paraId="1AEB8A91"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0.4%</w:t>
            </w:r>
          </w:p>
        </w:tc>
        <w:tc>
          <w:tcPr>
            <w:tcW w:w="909" w:type="dxa"/>
            <w:tcBorders>
              <w:top w:val="single" w:sz="4" w:space="0" w:color="auto"/>
              <w:left w:val="single" w:sz="4" w:space="0" w:color="auto"/>
              <w:bottom w:val="single" w:sz="4" w:space="0" w:color="auto"/>
              <w:right w:val="single" w:sz="4" w:space="0" w:color="auto"/>
            </w:tcBorders>
            <w:noWrap/>
            <w:hideMark/>
          </w:tcPr>
          <w:p w14:paraId="592FA1FC"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7.9%</w:t>
            </w:r>
          </w:p>
        </w:tc>
        <w:tc>
          <w:tcPr>
            <w:tcW w:w="1043" w:type="dxa"/>
            <w:tcBorders>
              <w:top w:val="single" w:sz="4" w:space="0" w:color="auto"/>
              <w:left w:val="single" w:sz="4" w:space="0" w:color="auto"/>
              <w:bottom w:val="single" w:sz="4" w:space="0" w:color="auto"/>
              <w:right w:val="single" w:sz="4" w:space="0" w:color="auto"/>
            </w:tcBorders>
            <w:noWrap/>
            <w:hideMark/>
          </w:tcPr>
          <w:p w14:paraId="13661B10"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1"/>
                <w:sz w:val="20"/>
                <w:szCs w:val="20"/>
                <w:lang w:eastAsia="en-US"/>
              </w:rPr>
            </w:pPr>
            <w:r w:rsidRPr="00820FB4">
              <w:rPr>
                <w:rFonts w:ascii="Times New Roman" w:hAnsi="Times New Roman" w:cs="Times New Roman"/>
                <w:b/>
                <w:bCs/>
                <w:spacing w:val="-1"/>
                <w:sz w:val="20"/>
                <w:szCs w:val="20"/>
                <w:lang w:eastAsia="en-US"/>
              </w:rPr>
              <w:t>29.9%</w:t>
            </w:r>
          </w:p>
        </w:tc>
        <w:tc>
          <w:tcPr>
            <w:tcW w:w="909" w:type="dxa"/>
            <w:tcBorders>
              <w:top w:val="single" w:sz="4" w:space="0" w:color="auto"/>
              <w:left w:val="single" w:sz="4" w:space="0" w:color="auto"/>
              <w:bottom w:val="single" w:sz="4" w:space="0" w:color="auto"/>
              <w:right w:val="single" w:sz="4" w:space="0" w:color="auto"/>
            </w:tcBorders>
            <w:noWrap/>
            <w:hideMark/>
          </w:tcPr>
          <w:p w14:paraId="4F28F879"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33.3%</w:t>
            </w:r>
          </w:p>
        </w:tc>
        <w:tc>
          <w:tcPr>
            <w:tcW w:w="1075" w:type="dxa"/>
            <w:tcBorders>
              <w:top w:val="single" w:sz="4" w:space="0" w:color="auto"/>
              <w:left w:val="single" w:sz="4" w:space="0" w:color="auto"/>
              <w:bottom w:val="single" w:sz="4" w:space="0" w:color="auto"/>
              <w:right w:val="single" w:sz="4" w:space="0" w:color="auto"/>
            </w:tcBorders>
            <w:noWrap/>
            <w:hideMark/>
          </w:tcPr>
          <w:p w14:paraId="71D1149E"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23.8%</w:t>
            </w:r>
          </w:p>
        </w:tc>
        <w:tc>
          <w:tcPr>
            <w:tcW w:w="909" w:type="dxa"/>
            <w:tcBorders>
              <w:top w:val="single" w:sz="4" w:space="0" w:color="auto"/>
              <w:left w:val="single" w:sz="4" w:space="0" w:color="auto"/>
              <w:bottom w:val="single" w:sz="4" w:space="0" w:color="auto"/>
              <w:right w:val="single" w:sz="4" w:space="0" w:color="auto"/>
            </w:tcBorders>
            <w:noWrap/>
            <w:hideMark/>
          </w:tcPr>
          <w:p w14:paraId="7D10E95B"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6.8%</w:t>
            </w:r>
          </w:p>
        </w:tc>
        <w:tc>
          <w:tcPr>
            <w:tcW w:w="1201" w:type="dxa"/>
            <w:vMerge/>
            <w:tcBorders>
              <w:top w:val="single" w:sz="4" w:space="0" w:color="auto"/>
              <w:left w:val="single" w:sz="4" w:space="0" w:color="auto"/>
              <w:bottom w:val="single" w:sz="4" w:space="0" w:color="auto"/>
              <w:right w:val="single" w:sz="4" w:space="0" w:color="auto"/>
            </w:tcBorders>
            <w:hideMark/>
          </w:tcPr>
          <w:p w14:paraId="0CD540EC"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hideMark/>
          </w:tcPr>
          <w:p w14:paraId="6C2850C2"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r>
      <w:tr w:rsidR="008B5873" w:rsidRPr="004043F7" w14:paraId="67418594" w14:textId="77777777" w:rsidTr="00326ED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1514B2EE" w14:textId="77777777" w:rsidR="008B5873" w:rsidRPr="004043F7" w:rsidRDefault="008B5873" w:rsidP="00326EDB">
            <w:pPr>
              <w:jc w:val="both"/>
              <w:rPr>
                <w:rFonts w:asciiTheme="majorBidi" w:hAnsiTheme="majorBidi" w:cstheme="majorBidi"/>
                <w:b w:val="0"/>
              </w:rPr>
            </w:pPr>
          </w:p>
        </w:tc>
        <w:tc>
          <w:tcPr>
            <w:tcW w:w="1043" w:type="dxa"/>
            <w:vMerge w:val="restart"/>
            <w:tcBorders>
              <w:top w:val="single" w:sz="4" w:space="0" w:color="auto"/>
              <w:left w:val="single" w:sz="4" w:space="0" w:color="auto"/>
              <w:bottom w:val="single" w:sz="4" w:space="0" w:color="auto"/>
              <w:right w:val="single" w:sz="4" w:space="0" w:color="auto"/>
            </w:tcBorders>
            <w:noWrap/>
            <w:hideMark/>
          </w:tcPr>
          <w:p w14:paraId="56212070"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4 - high risk</w:t>
            </w:r>
          </w:p>
        </w:tc>
        <w:tc>
          <w:tcPr>
            <w:tcW w:w="805" w:type="dxa"/>
            <w:tcBorders>
              <w:top w:val="single" w:sz="4" w:space="0" w:color="auto"/>
              <w:left w:val="single" w:sz="4" w:space="0" w:color="auto"/>
              <w:bottom w:val="single" w:sz="4" w:space="0" w:color="auto"/>
              <w:right w:val="single" w:sz="4" w:space="0" w:color="auto"/>
            </w:tcBorders>
            <w:hideMark/>
          </w:tcPr>
          <w:p w14:paraId="4FE64992"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Count</w:t>
            </w:r>
          </w:p>
        </w:tc>
        <w:tc>
          <w:tcPr>
            <w:tcW w:w="909" w:type="dxa"/>
            <w:tcBorders>
              <w:top w:val="single" w:sz="4" w:space="0" w:color="auto"/>
              <w:left w:val="single" w:sz="4" w:space="0" w:color="auto"/>
              <w:bottom w:val="single" w:sz="4" w:space="0" w:color="auto"/>
              <w:right w:val="single" w:sz="4" w:space="0" w:color="auto"/>
            </w:tcBorders>
            <w:noWrap/>
            <w:hideMark/>
          </w:tcPr>
          <w:p w14:paraId="50A13A8F"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w:t>
            </w:r>
          </w:p>
        </w:tc>
        <w:tc>
          <w:tcPr>
            <w:tcW w:w="909" w:type="dxa"/>
            <w:tcBorders>
              <w:top w:val="single" w:sz="4" w:space="0" w:color="auto"/>
              <w:left w:val="single" w:sz="4" w:space="0" w:color="auto"/>
              <w:bottom w:val="single" w:sz="4" w:space="0" w:color="auto"/>
              <w:right w:val="single" w:sz="4" w:space="0" w:color="auto"/>
            </w:tcBorders>
            <w:noWrap/>
            <w:hideMark/>
          </w:tcPr>
          <w:p w14:paraId="54505597"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15</w:t>
            </w:r>
          </w:p>
        </w:tc>
        <w:tc>
          <w:tcPr>
            <w:tcW w:w="1043" w:type="dxa"/>
            <w:tcBorders>
              <w:top w:val="single" w:sz="4" w:space="0" w:color="auto"/>
              <w:left w:val="single" w:sz="4" w:space="0" w:color="auto"/>
              <w:bottom w:val="single" w:sz="4" w:space="0" w:color="auto"/>
              <w:right w:val="single" w:sz="4" w:space="0" w:color="auto"/>
            </w:tcBorders>
            <w:noWrap/>
            <w:hideMark/>
          </w:tcPr>
          <w:p w14:paraId="28F0734C"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49</w:t>
            </w:r>
          </w:p>
        </w:tc>
        <w:tc>
          <w:tcPr>
            <w:tcW w:w="909" w:type="dxa"/>
            <w:tcBorders>
              <w:top w:val="single" w:sz="4" w:space="0" w:color="auto"/>
              <w:left w:val="single" w:sz="4" w:space="0" w:color="auto"/>
              <w:bottom w:val="single" w:sz="4" w:space="0" w:color="auto"/>
              <w:right w:val="single" w:sz="4" w:space="0" w:color="auto"/>
            </w:tcBorders>
            <w:noWrap/>
            <w:hideMark/>
          </w:tcPr>
          <w:p w14:paraId="2B84049A"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55</w:t>
            </w:r>
          </w:p>
        </w:tc>
        <w:tc>
          <w:tcPr>
            <w:tcW w:w="1075" w:type="dxa"/>
            <w:tcBorders>
              <w:top w:val="single" w:sz="4" w:space="0" w:color="auto"/>
              <w:left w:val="single" w:sz="4" w:space="0" w:color="auto"/>
              <w:bottom w:val="single" w:sz="4" w:space="0" w:color="auto"/>
              <w:right w:val="single" w:sz="4" w:space="0" w:color="auto"/>
            </w:tcBorders>
            <w:noWrap/>
            <w:hideMark/>
          </w:tcPr>
          <w:p w14:paraId="02B14132"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20</w:t>
            </w:r>
          </w:p>
        </w:tc>
        <w:tc>
          <w:tcPr>
            <w:tcW w:w="909" w:type="dxa"/>
            <w:tcBorders>
              <w:top w:val="single" w:sz="4" w:space="0" w:color="auto"/>
              <w:left w:val="single" w:sz="4" w:space="0" w:color="auto"/>
              <w:bottom w:val="single" w:sz="4" w:space="0" w:color="auto"/>
              <w:right w:val="single" w:sz="4" w:space="0" w:color="auto"/>
            </w:tcBorders>
            <w:noWrap/>
            <w:hideMark/>
          </w:tcPr>
          <w:p w14:paraId="651EC5F2"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140</w:t>
            </w:r>
          </w:p>
        </w:tc>
        <w:tc>
          <w:tcPr>
            <w:tcW w:w="1201" w:type="dxa"/>
            <w:vMerge/>
            <w:tcBorders>
              <w:top w:val="single" w:sz="4" w:space="0" w:color="auto"/>
              <w:left w:val="single" w:sz="4" w:space="0" w:color="auto"/>
              <w:bottom w:val="single" w:sz="4" w:space="0" w:color="auto"/>
              <w:right w:val="single" w:sz="4" w:space="0" w:color="auto"/>
            </w:tcBorders>
            <w:hideMark/>
          </w:tcPr>
          <w:p w14:paraId="689CCA41"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hideMark/>
          </w:tcPr>
          <w:p w14:paraId="6207FB53"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p>
        </w:tc>
      </w:tr>
      <w:tr w:rsidR="008B5873" w:rsidRPr="004043F7" w14:paraId="40373490" w14:textId="77777777" w:rsidTr="00326EDB">
        <w:trPr>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57AE6438" w14:textId="77777777" w:rsidR="008B5873" w:rsidRPr="004043F7" w:rsidRDefault="008B5873" w:rsidP="00326EDB">
            <w:pPr>
              <w:jc w:val="both"/>
              <w:rPr>
                <w:rFonts w:asciiTheme="majorBidi" w:hAnsiTheme="majorBidi" w:cstheme="majorBidi"/>
                <w:b w:val="0"/>
              </w:rPr>
            </w:pPr>
          </w:p>
        </w:tc>
        <w:tc>
          <w:tcPr>
            <w:tcW w:w="1043" w:type="dxa"/>
            <w:vMerge/>
            <w:tcBorders>
              <w:top w:val="single" w:sz="4" w:space="0" w:color="auto"/>
              <w:left w:val="single" w:sz="4" w:space="0" w:color="auto"/>
              <w:bottom w:val="single" w:sz="4" w:space="0" w:color="auto"/>
              <w:right w:val="single" w:sz="4" w:space="0" w:color="auto"/>
            </w:tcBorders>
            <w:hideMark/>
          </w:tcPr>
          <w:p w14:paraId="58478FEF"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p>
        </w:tc>
        <w:tc>
          <w:tcPr>
            <w:tcW w:w="805" w:type="dxa"/>
            <w:tcBorders>
              <w:top w:val="single" w:sz="4" w:space="0" w:color="auto"/>
              <w:left w:val="single" w:sz="4" w:space="0" w:color="auto"/>
              <w:bottom w:val="single" w:sz="4" w:space="0" w:color="auto"/>
              <w:right w:val="single" w:sz="4" w:space="0" w:color="auto"/>
            </w:tcBorders>
            <w:hideMark/>
          </w:tcPr>
          <w:p w14:paraId="4C69AAA0"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w:t>
            </w:r>
          </w:p>
        </w:tc>
        <w:tc>
          <w:tcPr>
            <w:tcW w:w="909" w:type="dxa"/>
            <w:tcBorders>
              <w:top w:val="single" w:sz="4" w:space="0" w:color="auto"/>
              <w:left w:val="single" w:sz="4" w:space="0" w:color="auto"/>
              <w:bottom w:val="single" w:sz="4" w:space="0" w:color="auto"/>
              <w:right w:val="single" w:sz="4" w:space="0" w:color="auto"/>
            </w:tcBorders>
            <w:noWrap/>
            <w:hideMark/>
          </w:tcPr>
          <w:p w14:paraId="0CC39E0F"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0.1%</w:t>
            </w:r>
          </w:p>
        </w:tc>
        <w:tc>
          <w:tcPr>
            <w:tcW w:w="909" w:type="dxa"/>
            <w:tcBorders>
              <w:top w:val="single" w:sz="4" w:space="0" w:color="auto"/>
              <w:left w:val="single" w:sz="4" w:space="0" w:color="auto"/>
              <w:bottom w:val="single" w:sz="4" w:space="0" w:color="auto"/>
              <w:right w:val="single" w:sz="4" w:space="0" w:color="auto"/>
            </w:tcBorders>
            <w:noWrap/>
            <w:hideMark/>
          </w:tcPr>
          <w:p w14:paraId="4793686F"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2.6%</w:t>
            </w:r>
          </w:p>
        </w:tc>
        <w:tc>
          <w:tcPr>
            <w:tcW w:w="1043" w:type="dxa"/>
            <w:tcBorders>
              <w:top w:val="single" w:sz="4" w:space="0" w:color="auto"/>
              <w:left w:val="single" w:sz="4" w:space="0" w:color="auto"/>
              <w:bottom w:val="single" w:sz="4" w:space="0" w:color="auto"/>
              <w:right w:val="single" w:sz="4" w:space="0" w:color="auto"/>
            </w:tcBorders>
            <w:noWrap/>
            <w:hideMark/>
          </w:tcPr>
          <w:p w14:paraId="7D1A52FF"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28.2%</w:t>
            </w:r>
          </w:p>
        </w:tc>
        <w:tc>
          <w:tcPr>
            <w:tcW w:w="909" w:type="dxa"/>
            <w:tcBorders>
              <w:top w:val="single" w:sz="4" w:space="0" w:color="auto"/>
              <w:left w:val="single" w:sz="4" w:space="0" w:color="auto"/>
              <w:bottom w:val="single" w:sz="4" w:space="0" w:color="auto"/>
              <w:right w:val="single" w:sz="4" w:space="0" w:color="auto"/>
            </w:tcBorders>
            <w:noWrap/>
            <w:hideMark/>
          </w:tcPr>
          <w:p w14:paraId="75EEF752"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1"/>
                <w:sz w:val="20"/>
                <w:szCs w:val="20"/>
                <w:lang w:eastAsia="en-US"/>
              </w:rPr>
            </w:pPr>
            <w:r w:rsidRPr="00820FB4">
              <w:rPr>
                <w:rFonts w:ascii="Times New Roman" w:hAnsi="Times New Roman" w:cs="Times New Roman"/>
                <w:b/>
                <w:bCs/>
                <w:spacing w:val="-1"/>
                <w:sz w:val="20"/>
                <w:szCs w:val="20"/>
                <w:lang w:eastAsia="en-US"/>
              </w:rPr>
              <w:t>39.0%</w:t>
            </w:r>
          </w:p>
        </w:tc>
        <w:tc>
          <w:tcPr>
            <w:tcW w:w="1075" w:type="dxa"/>
            <w:tcBorders>
              <w:top w:val="single" w:sz="4" w:space="0" w:color="auto"/>
              <w:left w:val="single" w:sz="4" w:space="0" w:color="auto"/>
              <w:bottom w:val="single" w:sz="4" w:space="0" w:color="auto"/>
              <w:right w:val="single" w:sz="4" w:space="0" w:color="auto"/>
            </w:tcBorders>
            <w:noWrap/>
            <w:hideMark/>
          </w:tcPr>
          <w:p w14:paraId="6B92FA33"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47.6%</w:t>
            </w:r>
          </w:p>
        </w:tc>
        <w:tc>
          <w:tcPr>
            <w:tcW w:w="909" w:type="dxa"/>
            <w:tcBorders>
              <w:top w:val="single" w:sz="4" w:space="0" w:color="auto"/>
              <w:left w:val="single" w:sz="4" w:space="0" w:color="auto"/>
              <w:bottom w:val="single" w:sz="4" w:space="0" w:color="auto"/>
              <w:right w:val="single" w:sz="4" w:space="0" w:color="auto"/>
            </w:tcBorders>
            <w:noWrap/>
            <w:hideMark/>
          </w:tcPr>
          <w:p w14:paraId="009568A6"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6.0%</w:t>
            </w:r>
          </w:p>
        </w:tc>
        <w:tc>
          <w:tcPr>
            <w:tcW w:w="1201" w:type="dxa"/>
            <w:vMerge/>
            <w:tcBorders>
              <w:top w:val="single" w:sz="4" w:space="0" w:color="auto"/>
              <w:left w:val="single" w:sz="4" w:space="0" w:color="auto"/>
              <w:bottom w:val="single" w:sz="4" w:space="0" w:color="auto"/>
              <w:right w:val="single" w:sz="4" w:space="0" w:color="auto"/>
            </w:tcBorders>
            <w:hideMark/>
          </w:tcPr>
          <w:p w14:paraId="7EDC4DFD"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hideMark/>
          </w:tcPr>
          <w:p w14:paraId="64A8F120"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r>
      <w:tr w:rsidR="008B5873" w:rsidRPr="004043F7" w14:paraId="1253BAAA" w14:textId="77777777" w:rsidTr="00326ED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20E84D49" w14:textId="77777777" w:rsidR="008B5873" w:rsidRPr="004043F7" w:rsidRDefault="008B5873" w:rsidP="00326EDB">
            <w:pPr>
              <w:jc w:val="both"/>
              <w:rPr>
                <w:rFonts w:asciiTheme="majorBidi" w:hAnsiTheme="majorBidi" w:cstheme="majorBidi"/>
                <w:b w:val="0"/>
              </w:rPr>
            </w:pPr>
          </w:p>
        </w:tc>
        <w:tc>
          <w:tcPr>
            <w:tcW w:w="1043" w:type="dxa"/>
            <w:vMerge w:val="restart"/>
            <w:tcBorders>
              <w:top w:val="single" w:sz="4" w:space="0" w:color="auto"/>
              <w:left w:val="single" w:sz="4" w:space="0" w:color="auto"/>
              <w:bottom w:val="single" w:sz="4" w:space="0" w:color="auto"/>
              <w:right w:val="single" w:sz="4" w:space="0" w:color="auto"/>
            </w:tcBorders>
            <w:noWrap/>
            <w:hideMark/>
          </w:tcPr>
          <w:p w14:paraId="0AE99C40"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5 - very high risk</w:t>
            </w:r>
          </w:p>
        </w:tc>
        <w:tc>
          <w:tcPr>
            <w:tcW w:w="805" w:type="dxa"/>
            <w:tcBorders>
              <w:top w:val="single" w:sz="4" w:space="0" w:color="auto"/>
              <w:left w:val="single" w:sz="4" w:space="0" w:color="auto"/>
              <w:bottom w:val="single" w:sz="4" w:space="0" w:color="auto"/>
              <w:right w:val="single" w:sz="4" w:space="0" w:color="auto"/>
            </w:tcBorders>
            <w:hideMark/>
          </w:tcPr>
          <w:p w14:paraId="3F1BF59A"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Count</w:t>
            </w:r>
          </w:p>
        </w:tc>
        <w:tc>
          <w:tcPr>
            <w:tcW w:w="909" w:type="dxa"/>
            <w:tcBorders>
              <w:top w:val="single" w:sz="4" w:space="0" w:color="auto"/>
              <w:left w:val="single" w:sz="4" w:space="0" w:color="auto"/>
              <w:bottom w:val="single" w:sz="4" w:space="0" w:color="auto"/>
              <w:right w:val="single" w:sz="4" w:space="0" w:color="auto"/>
            </w:tcBorders>
            <w:noWrap/>
            <w:hideMark/>
          </w:tcPr>
          <w:p w14:paraId="2EA9F12F"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0</w:t>
            </w:r>
          </w:p>
        </w:tc>
        <w:tc>
          <w:tcPr>
            <w:tcW w:w="909" w:type="dxa"/>
            <w:tcBorders>
              <w:top w:val="single" w:sz="4" w:space="0" w:color="auto"/>
              <w:left w:val="single" w:sz="4" w:space="0" w:color="auto"/>
              <w:bottom w:val="single" w:sz="4" w:space="0" w:color="auto"/>
              <w:right w:val="single" w:sz="4" w:space="0" w:color="auto"/>
            </w:tcBorders>
            <w:noWrap/>
            <w:hideMark/>
          </w:tcPr>
          <w:p w14:paraId="4896628E"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w:t>
            </w:r>
          </w:p>
        </w:tc>
        <w:tc>
          <w:tcPr>
            <w:tcW w:w="1043" w:type="dxa"/>
            <w:tcBorders>
              <w:top w:val="single" w:sz="4" w:space="0" w:color="auto"/>
              <w:left w:val="single" w:sz="4" w:space="0" w:color="auto"/>
              <w:bottom w:val="single" w:sz="4" w:space="0" w:color="auto"/>
              <w:right w:val="single" w:sz="4" w:space="0" w:color="auto"/>
            </w:tcBorders>
            <w:noWrap/>
            <w:hideMark/>
          </w:tcPr>
          <w:p w14:paraId="4C4FAA31"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14</w:t>
            </w:r>
          </w:p>
        </w:tc>
        <w:tc>
          <w:tcPr>
            <w:tcW w:w="909" w:type="dxa"/>
            <w:tcBorders>
              <w:top w:val="single" w:sz="4" w:space="0" w:color="auto"/>
              <w:left w:val="single" w:sz="4" w:space="0" w:color="auto"/>
              <w:bottom w:val="single" w:sz="4" w:space="0" w:color="auto"/>
              <w:right w:val="single" w:sz="4" w:space="0" w:color="auto"/>
            </w:tcBorders>
            <w:noWrap/>
            <w:hideMark/>
          </w:tcPr>
          <w:p w14:paraId="2740F404"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17</w:t>
            </w:r>
          </w:p>
        </w:tc>
        <w:tc>
          <w:tcPr>
            <w:tcW w:w="1075" w:type="dxa"/>
            <w:tcBorders>
              <w:top w:val="single" w:sz="4" w:space="0" w:color="auto"/>
              <w:left w:val="single" w:sz="4" w:space="0" w:color="auto"/>
              <w:bottom w:val="single" w:sz="4" w:space="0" w:color="auto"/>
              <w:right w:val="single" w:sz="4" w:space="0" w:color="auto"/>
            </w:tcBorders>
            <w:noWrap/>
            <w:hideMark/>
          </w:tcPr>
          <w:p w14:paraId="01DE0B9C"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9</w:t>
            </w:r>
          </w:p>
        </w:tc>
        <w:tc>
          <w:tcPr>
            <w:tcW w:w="909" w:type="dxa"/>
            <w:tcBorders>
              <w:top w:val="single" w:sz="4" w:space="0" w:color="auto"/>
              <w:left w:val="single" w:sz="4" w:space="0" w:color="auto"/>
              <w:bottom w:val="single" w:sz="4" w:space="0" w:color="auto"/>
              <w:right w:val="single" w:sz="4" w:space="0" w:color="auto"/>
            </w:tcBorders>
            <w:noWrap/>
            <w:hideMark/>
          </w:tcPr>
          <w:p w14:paraId="3E6FFE18"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42</w:t>
            </w:r>
          </w:p>
        </w:tc>
        <w:tc>
          <w:tcPr>
            <w:tcW w:w="1201" w:type="dxa"/>
            <w:vMerge/>
            <w:tcBorders>
              <w:top w:val="single" w:sz="4" w:space="0" w:color="auto"/>
              <w:left w:val="single" w:sz="4" w:space="0" w:color="auto"/>
              <w:bottom w:val="single" w:sz="4" w:space="0" w:color="auto"/>
              <w:right w:val="single" w:sz="4" w:space="0" w:color="auto"/>
            </w:tcBorders>
            <w:hideMark/>
          </w:tcPr>
          <w:p w14:paraId="6973AED1"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hideMark/>
          </w:tcPr>
          <w:p w14:paraId="16067F70"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p>
        </w:tc>
      </w:tr>
      <w:tr w:rsidR="008B5873" w:rsidRPr="004043F7" w14:paraId="647CE864" w14:textId="77777777" w:rsidTr="00326EDB">
        <w:trPr>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312CD078" w14:textId="77777777" w:rsidR="008B5873" w:rsidRPr="004043F7" w:rsidRDefault="008B5873" w:rsidP="00326EDB">
            <w:pPr>
              <w:jc w:val="both"/>
              <w:rPr>
                <w:rFonts w:asciiTheme="majorBidi" w:hAnsiTheme="majorBidi" w:cstheme="majorBidi"/>
                <w:b w:val="0"/>
              </w:rPr>
            </w:pPr>
          </w:p>
        </w:tc>
        <w:tc>
          <w:tcPr>
            <w:tcW w:w="1043" w:type="dxa"/>
            <w:vMerge/>
            <w:tcBorders>
              <w:top w:val="single" w:sz="4" w:space="0" w:color="auto"/>
              <w:left w:val="single" w:sz="4" w:space="0" w:color="auto"/>
              <w:bottom w:val="single" w:sz="4" w:space="0" w:color="auto"/>
              <w:right w:val="single" w:sz="4" w:space="0" w:color="auto"/>
            </w:tcBorders>
            <w:hideMark/>
          </w:tcPr>
          <w:p w14:paraId="1F4654BA"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p>
        </w:tc>
        <w:tc>
          <w:tcPr>
            <w:tcW w:w="805" w:type="dxa"/>
            <w:tcBorders>
              <w:top w:val="single" w:sz="4" w:space="0" w:color="auto"/>
              <w:left w:val="single" w:sz="4" w:space="0" w:color="auto"/>
              <w:bottom w:val="single" w:sz="4" w:space="0" w:color="auto"/>
              <w:right w:val="single" w:sz="4" w:space="0" w:color="auto"/>
            </w:tcBorders>
            <w:hideMark/>
          </w:tcPr>
          <w:p w14:paraId="682D21D5"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w:t>
            </w:r>
          </w:p>
        </w:tc>
        <w:tc>
          <w:tcPr>
            <w:tcW w:w="909" w:type="dxa"/>
            <w:tcBorders>
              <w:top w:val="single" w:sz="4" w:space="0" w:color="auto"/>
              <w:left w:val="single" w:sz="4" w:space="0" w:color="auto"/>
              <w:bottom w:val="single" w:sz="4" w:space="0" w:color="auto"/>
              <w:right w:val="single" w:sz="4" w:space="0" w:color="auto"/>
            </w:tcBorders>
            <w:noWrap/>
            <w:hideMark/>
          </w:tcPr>
          <w:p w14:paraId="2677E669"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0.0%</w:t>
            </w:r>
          </w:p>
        </w:tc>
        <w:tc>
          <w:tcPr>
            <w:tcW w:w="909" w:type="dxa"/>
            <w:tcBorders>
              <w:top w:val="single" w:sz="4" w:space="0" w:color="auto"/>
              <w:left w:val="single" w:sz="4" w:space="0" w:color="auto"/>
              <w:bottom w:val="single" w:sz="4" w:space="0" w:color="auto"/>
              <w:right w:val="single" w:sz="4" w:space="0" w:color="auto"/>
            </w:tcBorders>
            <w:noWrap/>
            <w:hideMark/>
          </w:tcPr>
          <w:p w14:paraId="60CF118D"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0.4%</w:t>
            </w:r>
          </w:p>
        </w:tc>
        <w:tc>
          <w:tcPr>
            <w:tcW w:w="1043" w:type="dxa"/>
            <w:tcBorders>
              <w:top w:val="single" w:sz="4" w:space="0" w:color="auto"/>
              <w:left w:val="single" w:sz="4" w:space="0" w:color="auto"/>
              <w:bottom w:val="single" w:sz="4" w:space="0" w:color="auto"/>
              <w:right w:val="single" w:sz="4" w:space="0" w:color="auto"/>
            </w:tcBorders>
            <w:noWrap/>
            <w:hideMark/>
          </w:tcPr>
          <w:p w14:paraId="02E12C09"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8.0%</w:t>
            </w:r>
          </w:p>
        </w:tc>
        <w:tc>
          <w:tcPr>
            <w:tcW w:w="909" w:type="dxa"/>
            <w:tcBorders>
              <w:top w:val="single" w:sz="4" w:space="0" w:color="auto"/>
              <w:left w:val="single" w:sz="4" w:space="0" w:color="auto"/>
              <w:bottom w:val="single" w:sz="4" w:space="0" w:color="auto"/>
              <w:right w:val="single" w:sz="4" w:space="0" w:color="auto"/>
            </w:tcBorders>
            <w:noWrap/>
            <w:hideMark/>
          </w:tcPr>
          <w:p w14:paraId="136318A2"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12.1%</w:t>
            </w:r>
          </w:p>
        </w:tc>
        <w:tc>
          <w:tcPr>
            <w:tcW w:w="1075" w:type="dxa"/>
            <w:tcBorders>
              <w:top w:val="single" w:sz="4" w:space="0" w:color="auto"/>
              <w:left w:val="single" w:sz="4" w:space="0" w:color="auto"/>
              <w:bottom w:val="single" w:sz="4" w:space="0" w:color="auto"/>
              <w:right w:val="single" w:sz="4" w:space="0" w:color="auto"/>
            </w:tcBorders>
            <w:noWrap/>
            <w:hideMark/>
          </w:tcPr>
          <w:p w14:paraId="5BB4BDA4"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1"/>
                <w:sz w:val="20"/>
                <w:szCs w:val="20"/>
                <w:lang w:eastAsia="en-US"/>
              </w:rPr>
            </w:pPr>
            <w:r w:rsidRPr="00820FB4">
              <w:rPr>
                <w:rFonts w:ascii="Times New Roman" w:hAnsi="Times New Roman" w:cs="Times New Roman"/>
                <w:b/>
                <w:bCs/>
                <w:spacing w:val="-1"/>
                <w:sz w:val="20"/>
                <w:szCs w:val="20"/>
                <w:lang w:eastAsia="en-US"/>
              </w:rPr>
              <w:t>21.4%</w:t>
            </w:r>
          </w:p>
        </w:tc>
        <w:tc>
          <w:tcPr>
            <w:tcW w:w="909" w:type="dxa"/>
            <w:tcBorders>
              <w:top w:val="single" w:sz="4" w:space="0" w:color="auto"/>
              <w:left w:val="single" w:sz="4" w:space="0" w:color="auto"/>
              <w:bottom w:val="single" w:sz="4" w:space="0" w:color="auto"/>
              <w:right w:val="single" w:sz="4" w:space="0" w:color="auto"/>
            </w:tcBorders>
            <w:noWrap/>
            <w:hideMark/>
          </w:tcPr>
          <w:p w14:paraId="3FDC35AA"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1.8%</w:t>
            </w:r>
          </w:p>
        </w:tc>
        <w:tc>
          <w:tcPr>
            <w:tcW w:w="1201" w:type="dxa"/>
            <w:vMerge/>
            <w:tcBorders>
              <w:top w:val="single" w:sz="4" w:space="0" w:color="auto"/>
              <w:left w:val="single" w:sz="4" w:space="0" w:color="auto"/>
              <w:bottom w:val="single" w:sz="4" w:space="0" w:color="auto"/>
              <w:right w:val="single" w:sz="4" w:space="0" w:color="auto"/>
            </w:tcBorders>
            <w:hideMark/>
          </w:tcPr>
          <w:p w14:paraId="7E03829C"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c>
          <w:tcPr>
            <w:tcW w:w="792" w:type="dxa"/>
            <w:vMerge/>
            <w:tcBorders>
              <w:top w:val="single" w:sz="4" w:space="0" w:color="auto"/>
              <w:left w:val="single" w:sz="4" w:space="0" w:color="auto"/>
              <w:bottom w:val="single" w:sz="4" w:space="0" w:color="auto"/>
              <w:right w:val="single" w:sz="4" w:space="0" w:color="auto"/>
            </w:tcBorders>
            <w:hideMark/>
          </w:tcPr>
          <w:p w14:paraId="67B6A24A" w14:textId="77777777" w:rsidR="008B5873" w:rsidRPr="00820FB4" w:rsidRDefault="008B5873" w:rsidP="00326E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0"/>
                <w:szCs w:val="20"/>
                <w:lang w:eastAsia="en-US"/>
              </w:rPr>
            </w:pPr>
          </w:p>
        </w:tc>
      </w:tr>
      <w:tr w:rsidR="008B5873" w:rsidRPr="004043F7" w14:paraId="436E8357" w14:textId="77777777" w:rsidTr="00326EDB">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auto"/>
              <w:bottom w:val="single" w:sz="4" w:space="0" w:color="auto"/>
              <w:right w:val="single" w:sz="4" w:space="0" w:color="auto"/>
            </w:tcBorders>
          </w:tcPr>
          <w:p w14:paraId="26EC39AB" w14:textId="77777777" w:rsidR="008B5873" w:rsidRPr="004043F7" w:rsidRDefault="008B5873" w:rsidP="00326EDB">
            <w:pPr>
              <w:jc w:val="both"/>
              <w:rPr>
                <w:rFonts w:asciiTheme="majorBidi" w:hAnsiTheme="majorBidi" w:cstheme="majorBidi"/>
                <w:b w:val="0"/>
              </w:rPr>
            </w:pPr>
          </w:p>
        </w:tc>
        <w:tc>
          <w:tcPr>
            <w:tcW w:w="1043" w:type="dxa"/>
            <w:vMerge w:val="restart"/>
            <w:tcBorders>
              <w:top w:val="single" w:sz="4" w:space="0" w:color="auto"/>
              <w:left w:val="single" w:sz="4" w:space="0" w:color="auto"/>
              <w:bottom w:val="single" w:sz="4" w:space="0" w:color="auto"/>
              <w:right w:val="single" w:sz="4" w:space="0" w:color="auto"/>
            </w:tcBorders>
            <w:hideMark/>
          </w:tcPr>
          <w:p w14:paraId="4F6D19D4" w14:textId="77777777" w:rsidR="008B5873" w:rsidRPr="00D91AC5"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1"/>
                <w:sz w:val="20"/>
                <w:szCs w:val="20"/>
                <w:lang w:eastAsia="en-US"/>
              </w:rPr>
            </w:pPr>
            <w:r w:rsidRPr="00D91AC5">
              <w:rPr>
                <w:rFonts w:ascii="Times New Roman" w:hAnsi="Times New Roman" w:cs="Times New Roman"/>
                <w:b/>
                <w:bCs/>
                <w:spacing w:val="-1"/>
                <w:sz w:val="20"/>
                <w:szCs w:val="20"/>
                <w:lang w:eastAsia="en-US"/>
              </w:rPr>
              <w:t>Total</w:t>
            </w:r>
          </w:p>
        </w:tc>
        <w:tc>
          <w:tcPr>
            <w:tcW w:w="805" w:type="dxa"/>
            <w:tcBorders>
              <w:top w:val="single" w:sz="4" w:space="0" w:color="auto"/>
              <w:left w:val="single" w:sz="4" w:space="0" w:color="auto"/>
              <w:bottom w:val="single" w:sz="4" w:space="0" w:color="auto"/>
              <w:right w:val="single" w:sz="4" w:space="0" w:color="auto"/>
            </w:tcBorders>
            <w:hideMark/>
          </w:tcPr>
          <w:p w14:paraId="2784C983" w14:textId="77777777" w:rsidR="008B5873" w:rsidRPr="00D91AC5"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pacing w:val="-1"/>
                <w:sz w:val="20"/>
                <w:szCs w:val="20"/>
                <w:lang w:eastAsia="en-US"/>
              </w:rPr>
            </w:pPr>
            <w:r w:rsidRPr="00D91AC5">
              <w:rPr>
                <w:rFonts w:ascii="Times New Roman" w:hAnsi="Times New Roman" w:cs="Times New Roman"/>
                <w:b/>
                <w:bCs/>
                <w:spacing w:val="-1"/>
                <w:sz w:val="20"/>
                <w:szCs w:val="20"/>
                <w:lang w:eastAsia="en-US"/>
              </w:rPr>
              <w:t>Count</w:t>
            </w:r>
          </w:p>
        </w:tc>
        <w:tc>
          <w:tcPr>
            <w:tcW w:w="909" w:type="dxa"/>
            <w:tcBorders>
              <w:top w:val="single" w:sz="4" w:space="0" w:color="auto"/>
              <w:left w:val="single" w:sz="4" w:space="0" w:color="auto"/>
              <w:bottom w:val="single" w:sz="4" w:space="0" w:color="auto"/>
              <w:right w:val="single" w:sz="4" w:space="0" w:color="auto"/>
            </w:tcBorders>
            <w:noWrap/>
            <w:hideMark/>
          </w:tcPr>
          <w:p w14:paraId="2C3364DB"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1422</w:t>
            </w:r>
          </w:p>
        </w:tc>
        <w:tc>
          <w:tcPr>
            <w:tcW w:w="909" w:type="dxa"/>
            <w:tcBorders>
              <w:top w:val="single" w:sz="4" w:space="0" w:color="auto"/>
              <w:left w:val="single" w:sz="4" w:space="0" w:color="auto"/>
              <w:bottom w:val="single" w:sz="4" w:space="0" w:color="auto"/>
              <w:right w:val="single" w:sz="4" w:space="0" w:color="auto"/>
            </w:tcBorders>
            <w:noWrap/>
            <w:hideMark/>
          </w:tcPr>
          <w:p w14:paraId="4AB0FD39"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567</w:t>
            </w:r>
          </w:p>
        </w:tc>
        <w:tc>
          <w:tcPr>
            <w:tcW w:w="1043" w:type="dxa"/>
            <w:tcBorders>
              <w:top w:val="single" w:sz="4" w:space="0" w:color="auto"/>
              <w:left w:val="single" w:sz="4" w:space="0" w:color="auto"/>
              <w:bottom w:val="single" w:sz="4" w:space="0" w:color="auto"/>
              <w:right w:val="single" w:sz="4" w:space="0" w:color="auto"/>
            </w:tcBorders>
            <w:noWrap/>
            <w:hideMark/>
          </w:tcPr>
          <w:p w14:paraId="02EF617B"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174</w:t>
            </w:r>
          </w:p>
        </w:tc>
        <w:tc>
          <w:tcPr>
            <w:tcW w:w="909" w:type="dxa"/>
            <w:tcBorders>
              <w:top w:val="single" w:sz="4" w:space="0" w:color="auto"/>
              <w:left w:val="single" w:sz="4" w:space="0" w:color="auto"/>
              <w:bottom w:val="single" w:sz="4" w:space="0" w:color="auto"/>
              <w:right w:val="single" w:sz="4" w:space="0" w:color="auto"/>
            </w:tcBorders>
            <w:noWrap/>
            <w:hideMark/>
          </w:tcPr>
          <w:p w14:paraId="347B6322"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141</w:t>
            </w:r>
          </w:p>
        </w:tc>
        <w:tc>
          <w:tcPr>
            <w:tcW w:w="1075" w:type="dxa"/>
            <w:tcBorders>
              <w:top w:val="single" w:sz="4" w:space="0" w:color="auto"/>
              <w:left w:val="single" w:sz="4" w:space="0" w:color="auto"/>
              <w:bottom w:val="single" w:sz="4" w:space="0" w:color="auto"/>
              <w:right w:val="single" w:sz="4" w:space="0" w:color="auto"/>
            </w:tcBorders>
            <w:noWrap/>
            <w:hideMark/>
          </w:tcPr>
          <w:p w14:paraId="7C96D2B6"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42</w:t>
            </w:r>
          </w:p>
        </w:tc>
        <w:tc>
          <w:tcPr>
            <w:tcW w:w="909" w:type="dxa"/>
            <w:tcBorders>
              <w:top w:val="single" w:sz="4" w:space="0" w:color="auto"/>
              <w:left w:val="single" w:sz="4" w:space="0" w:color="auto"/>
              <w:bottom w:val="single" w:sz="4" w:space="0" w:color="auto"/>
              <w:right w:val="single" w:sz="4" w:space="0" w:color="auto"/>
            </w:tcBorders>
            <w:noWrap/>
            <w:hideMark/>
          </w:tcPr>
          <w:p w14:paraId="411E8C46"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2346</w:t>
            </w:r>
          </w:p>
        </w:tc>
        <w:tc>
          <w:tcPr>
            <w:tcW w:w="1994" w:type="dxa"/>
            <w:gridSpan w:val="2"/>
            <w:vMerge w:val="restart"/>
            <w:tcBorders>
              <w:top w:val="single" w:sz="4" w:space="0" w:color="auto"/>
              <w:left w:val="single" w:sz="4" w:space="0" w:color="auto"/>
              <w:bottom w:val="single" w:sz="4" w:space="0" w:color="auto"/>
              <w:right w:val="single" w:sz="4" w:space="0" w:color="auto"/>
            </w:tcBorders>
            <w:noWrap/>
            <w:hideMark/>
          </w:tcPr>
          <w:p w14:paraId="4BF83285"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 </w:t>
            </w:r>
          </w:p>
          <w:p w14:paraId="0BB6F109"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 </w:t>
            </w:r>
          </w:p>
          <w:p w14:paraId="04499C26"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szCs w:val="20"/>
              </w:rPr>
            </w:pPr>
            <w:r w:rsidRPr="00820FB4">
              <w:rPr>
                <w:rFonts w:ascii="Times New Roman" w:hAnsi="Times New Roman" w:cs="Times New Roman"/>
                <w:b/>
                <w:bCs/>
                <w:iCs/>
                <w:sz w:val="20"/>
                <w:szCs w:val="20"/>
              </w:rPr>
              <w:t> Interpretation – fair agreement</w:t>
            </w:r>
          </w:p>
          <w:p w14:paraId="16F801EC" w14:textId="77777777" w:rsidR="008B5873" w:rsidRPr="00820FB4" w:rsidRDefault="008B5873" w:rsidP="00326E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
                <w:sz w:val="20"/>
                <w:szCs w:val="20"/>
                <w:lang w:eastAsia="en-US"/>
              </w:rPr>
            </w:pPr>
            <w:r w:rsidRPr="00820FB4">
              <w:rPr>
                <w:rFonts w:ascii="Times New Roman" w:hAnsi="Times New Roman" w:cs="Times New Roman"/>
                <w:spacing w:val="-1"/>
                <w:sz w:val="20"/>
                <w:szCs w:val="20"/>
                <w:lang w:eastAsia="en-US"/>
              </w:rPr>
              <w:t> </w:t>
            </w:r>
          </w:p>
        </w:tc>
      </w:tr>
      <w:tr w:rsidR="008B5873" w:rsidRPr="004043F7" w14:paraId="7F25D604" w14:textId="77777777" w:rsidTr="00326EDB">
        <w:trPr>
          <w:trHeight w:val="266"/>
        </w:trPr>
        <w:tc>
          <w:tcPr>
            <w:cnfStyle w:val="001000000000" w:firstRow="0" w:lastRow="0" w:firstColumn="1" w:lastColumn="0" w:oddVBand="0" w:evenVBand="0" w:oddHBand="0" w:evenHBand="0" w:firstRowFirstColumn="0" w:firstRowLastColumn="0" w:lastRowFirstColumn="0" w:lastRowLastColumn="0"/>
            <w:tcW w:w="994" w:type="dxa"/>
            <w:vMerge/>
            <w:tcBorders>
              <w:top w:val="single" w:sz="4" w:space="0" w:color="auto"/>
              <w:left w:val="single" w:sz="4" w:space="0" w:color="000000"/>
              <w:bottom w:val="single" w:sz="4" w:space="0" w:color="000000"/>
              <w:right w:val="single" w:sz="4" w:space="0" w:color="000000"/>
            </w:tcBorders>
          </w:tcPr>
          <w:p w14:paraId="01B17AD3" w14:textId="77777777" w:rsidR="008B5873" w:rsidRPr="004043F7" w:rsidRDefault="008B5873" w:rsidP="00326EDB">
            <w:pPr>
              <w:spacing w:line="480" w:lineRule="auto"/>
              <w:rPr>
                <w:rFonts w:ascii="Arial" w:eastAsia="Times New Roman" w:hAnsi="Arial" w:cs="Arial"/>
                <w:sz w:val="18"/>
                <w:szCs w:val="18"/>
              </w:rPr>
            </w:pPr>
          </w:p>
        </w:tc>
        <w:tc>
          <w:tcPr>
            <w:tcW w:w="1043" w:type="dxa"/>
            <w:vMerge/>
            <w:tcBorders>
              <w:top w:val="single" w:sz="4" w:space="0" w:color="auto"/>
              <w:left w:val="single" w:sz="4" w:space="0" w:color="000000"/>
              <w:bottom w:val="single" w:sz="4" w:space="0" w:color="000000"/>
            </w:tcBorders>
            <w:hideMark/>
          </w:tcPr>
          <w:p w14:paraId="10C19871" w14:textId="77777777" w:rsidR="008B5873" w:rsidRPr="00D91AC5" w:rsidRDefault="008B5873" w:rsidP="00326EDB">
            <w:pPr>
              <w:spacing w:line="48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rPr>
            </w:pPr>
          </w:p>
        </w:tc>
        <w:tc>
          <w:tcPr>
            <w:tcW w:w="805" w:type="dxa"/>
            <w:tcBorders>
              <w:top w:val="single" w:sz="4" w:space="0" w:color="auto"/>
              <w:bottom w:val="single" w:sz="4" w:space="0" w:color="000000"/>
              <w:right w:val="nil"/>
            </w:tcBorders>
            <w:hideMark/>
          </w:tcPr>
          <w:p w14:paraId="6E01EBD6" w14:textId="77777777" w:rsidR="008B5873" w:rsidRPr="00D91AC5" w:rsidRDefault="008B5873" w:rsidP="00326EDB">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91AC5">
              <w:rPr>
                <w:rFonts w:asciiTheme="majorBidi" w:hAnsiTheme="majorBidi" w:cstheme="majorBidi"/>
                <w:b/>
                <w:bCs/>
              </w:rPr>
              <w:t>%</w:t>
            </w:r>
          </w:p>
        </w:tc>
        <w:tc>
          <w:tcPr>
            <w:tcW w:w="909" w:type="dxa"/>
            <w:tcBorders>
              <w:top w:val="single" w:sz="4" w:space="0" w:color="auto"/>
              <w:left w:val="nil"/>
              <w:bottom w:val="single" w:sz="4" w:space="0" w:color="000000"/>
            </w:tcBorders>
            <w:noWrap/>
            <w:hideMark/>
          </w:tcPr>
          <w:p w14:paraId="5AC157D8" w14:textId="77777777" w:rsidR="008B5873" w:rsidRPr="004043F7" w:rsidRDefault="008B5873" w:rsidP="00326EDB">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4043F7">
              <w:rPr>
                <w:rFonts w:asciiTheme="majorBidi" w:hAnsiTheme="majorBidi" w:cstheme="majorBidi"/>
                <w:bCs/>
              </w:rPr>
              <w:t>100.0%</w:t>
            </w:r>
          </w:p>
        </w:tc>
        <w:tc>
          <w:tcPr>
            <w:tcW w:w="909" w:type="dxa"/>
            <w:tcBorders>
              <w:top w:val="single" w:sz="4" w:space="0" w:color="auto"/>
              <w:bottom w:val="single" w:sz="4" w:space="0" w:color="000000"/>
            </w:tcBorders>
            <w:noWrap/>
            <w:hideMark/>
          </w:tcPr>
          <w:p w14:paraId="4653D0E9" w14:textId="77777777" w:rsidR="008B5873" w:rsidRPr="004043F7" w:rsidRDefault="008B5873" w:rsidP="00326EDB">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4043F7">
              <w:rPr>
                <w:rFonts w:asciiTheme="majorBidi" w:hAnsiTheme="majorBidi" w:cstheme="majorBidi"/>
                <w:bCs/>
              </w:rPr>
              <w:t>100.0%</w:t>
            </w:r>
          </w:p>
        </w:tc>
        <w:tc>
          <w:tcPr>
            <w:tcW w:w="1043" w:type="dxa"/>
            <w:tcBorders>
              <w:top w:val="single" w:sz="4" w:space="0" w:color="auto"/>
              <w:bottom w:val="single" w:sz="4" w:space="0" w:color="000000"/>
            </w:tcBorders>
            <w:noWrap/>
            <w:hideMark/>
          </w:tcPr>
          <w:p w14:paraId="18825383" w14:textId="77777777" w:rsidR="008B5873" w:rsidRPr="004043F7" w:rsidRDefault="008B5873" w:rsidP="00326EDB">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4043F7">
              <w:rPr>
                <w:rFonts w:asciiTheme="majorBidi" w:hAnsiTheme="majorBidi" w:cstheme="majorBidi"/>
                <w:bCs/>
              </w:rPr>
              <w:t>100.0%</w:t>
            </w:r>
          </w:p>
        </w:tc>
        <w:tc>
          <w:tcPr>
            <w:tcW w:w="909" w:type="dxa"/>
            <w:tcBorders>
              <w:top w:val="single" w:sz="4" w:space="0" w:color="auto"/>
              <w:bottom w:val="single" w:sz="4" w:space="0" w:color="000000"/>
            </w:tcBorders>
            <w:noWrap/>
            <w:hideMark/>
          </w:tcPr>
          <w:p w14:paraId="5ACA8C66" w14:textId="77777777" w:rsidR="008B5873" w:rsidRPr="004043F7" w:rsidRDefault="008B5873" w:rsidP="00326EDB">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4043F7">
              <w:rPr>
                <w:rFonts w:asciiTheme="majorBidi" w:hAnsiTheme="majorBidi" w:cstheme="majorBidi"/>
                <w:bCs/>
              </w:rPr>
              <w:t>100.0%</w:t>
            </w:r>
          </w:p>
        </w:tc>
        <w:tc>
          <w:tcPr>
            <w:tcW w:w="1075" w:type="dxa"/>
            <w:tcBorders>
              <w:top w:val="single" w:sz="4" w:space="0" w:color="auto"/>
              <w:bottom w:val="single" w:sz="4" w:space="0" w:color="000000"/>
            </w:tcBorders>
            <w:noWrap/>
            <w:hideMark/>
          </w:tcPr>
          <w:p w14:paraId="27790DA8" w14:textId="77777777" w:rsidR="008B5873" w:rsidRPr="004043F7" w:rsidRDefault="008B5873" w:rsidP="00326EDB">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4043F7">
              <w:rPr>
                <w:rFonts w:asciiTheme="majorBidi" w:hAnsiTheme="majorBidi" w:cstheme="majorBidi"/>
                <w:bCs/>
              </w:rPr>
              <w:t>100.0%</w:t>
            </w:r>
          </w:p>
        </w:tc>
        <w:tc>
          <w:tcPr>
            <w:tcW w:w="909" w:type="dxa"/>
            <w:tcBorders>
              <w:top w:val="single" w:sz="4" w:space="0" w:color="auto"/>
              <w:bottom w:val="single" w:sz="4" w:space="0" w:color="000000"/>
            </w:tcBorders>
            <w:noWrap/>
            <w:hideMark/>
          </w:tcPr>
          <w:p w14:paraId="6A0DAF62" w14:textId="77777777" w:rsidR="008B5873" w:rsidRPr="004043F7" w:rsidRDefault="008B5873" w:rsidP="00326EDB">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4043F7">
              <w:rPr>
                <w:rFonts w:asciiTheme="majorBidi" w:hAnsiTheme="majorBidi" w:cstheme="majorBidi"/>
                <w:bCs/>
              </w:rPr>
              <w:t>100.0%</w:t>
            </w:r>
          </w:p>
        </w:tc>
        <w:tc>
          <w:tcPr>
            <w:tcW w:w="1994" w:type="dxa"/>
            <w:gridSpan w:val="2"/>
            <w:vMerge/>
            <w:tcBorders>
              <w:top w:val="single" w:sz="4" w:space="0" w:color="auto"/>
              <w:bottom w:val="single" w:sz="4" w:space="0" w:color="000000"/>
              <w:right w:val="single" w:sz="4" w:space="0" w:color="000000"/>
            </w:tcBorders>
            <w:noWrap/>
            <w:hideMark/>
          </w:tcPr>
          <w:p w14:paraId="2A0E3C23" w14:textId="77777777" w:rsidR="008B5873" w:rsidRPr="004043F7" w:rsidRDefault="008B5873" w:rsidP="00326EDB">
            <w:pPr>
              <w:spacing w:line="48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bl>
    <w:p w14:paraId="5EE79793" w14:textId="2E2E76A7" w:rsidR="008B5873" w:rsidRPr="00385BC4" w:rsidRDefault="008B5873" w:rsidP="00385BC4">
      <w:pPr>
        <w:pStyle w:val="BodyText"/>
        <w:rPr>
          <w:color w:val="000000"/>
          <w:spacing w:val="0"/>
        </w:rPr>
      </w:pPr>
      <w:r w:rsidRPr="00385BC4">
        <w:rPr>
          <w:color w:val="000000"/>
          <w:spacing w:val="0"/>
        </w:rPr>
        <w:t>With each Braden Scale scoring, the overall labeling of each categorical risk assessment across the five classifications was also collected and analyzed to determine the percentage of agreement or discrepancy in assessing and documenting Braden Scale risk levels. A cross‑tabulation format was used to reveal the rate of agreement between day‑ and night‑shift nurses for each case, as presented in Table 5.</w:t>
      </w:r>
    </w:p>
    <w:p w14:paraId="2C406680" w14:textId="77777777" w:rsidR="00385BC4" w:rsidRDefault="00385BC4" w:rsidP="00385BC4">
      <w:pPr>
        <w:pStyle w:val="BodyText"/>
        <w:rPr>
          <w:lang w:eastAsia="en-US"/>
        </w:rPr>
      </w:pPr>
    </w:p>
    <w:p w14:paraId="19ED833D" w14:textId="77777777" w:rsidR="00385BC4" w:rsidRDefault="00385BC4" w:rsidP="00385BC4">
      <w:pPr>
        <w:pStyle w:val="BodyText"/>
        <w:rPr>
          <w:lang w:eastAsia="en-US"/>
        </w:rPr>
      </w:pPr>
    </w:p>
    <w:p w14:paraId="1EDE82F6" w14:textId="5EE5A39F" w:rsidR="00321D80" w:rsidRPr="00385BC4" w:rsidRDefault="008B5873" w:rsidP="00C7336E">
      <w:pPr>
        <w:pStyle w:val="BodyText"/>
        <w:rPr>
          <w:color w:val="000000"/>
          <w:spacing w:val="0"/>
        </w:rPr>
      </w:pPr>
      <w:r w:rsidRPr="00385BC4">
        <w:rPr>
          <w:color w:val="000000"/>
          <w:spacing w:val="0"/>
        </w:rPr>
        <w:t xml:space="preserve">The kappa </w:t>
      </w:r>
      <w:r w:rsidR="00385BC4" w:rsidRPr="00385BC4">
        <w:rPr>
          <w:color w:val="000000"/>
          <w:spacing w:val="0"/>
        </w:rPr>
        <w:t>statistics were</w:t>
      </w:r>
      <w:r w:rsidRPr="00385BC4">
        <w:rPr>
          <w:color w:val="000000"/>
          <w:spacing w:val="0"/>
        </w:rPr>
        <w:t xml:space="preserve"> utilized to identify discrepancies between raters. The analysis revealed that 82% of the records demonstrated consistent ratings by day‑ and night‑shift nurses. Additionally, 45.7% of the records were rated as “at risk.” For the moderate‑risk category, agreement between raters was observed in approximately 30% of the records. In the high‑risk category, 39% of the records showed agreement between nurses, whereas in the very high‑risk category, agreement was observed in 21.4% of the records. Overall, only fair agreement was observed for risk‑level labeling and across the six elements of the Braden Scale scoring tool. However, a statistically significant agreement was identified based on the intraclass correlation coefficient (ICC) values, reflecting intra‑rater agreement. This finding indicates that inter‑rater agreement was fair, whereas intra‑rater agreement was adequate and strong. Intra‑rater agreement measures the consistency with which nurses assess the same subject repeatedly at </w:t>
      </w:r>
      <w:r w:rsidRPr="00385BC4">
        <w:rPr>
          <w:color w:val="000000"/>
          <w:spacing w:val="0"/>
        </w:rPr>
        <w:lastRenderedPageBreak/>
        <w:t>different time points, while inter‑rater reliability refers to the consistency between different nurses assessing the same patient at a single time point or for a single record.</w:t>
      </w:r>
    </w:p>
    <w:p w14:paraId="29880F04" w14:textId="77777777" w:rsidR="00385BC4" w:rsidRPr="00385BC4" w:rsidRDefault="00385BC4" w:rsidP="008B5873">
      <w:pPr>
        <w:pStyle w:val="BodyText"/>
        <w:rPr>
          <w:color w:val="000000"/>
          <w:spacing w:val="0"/>
        </w:rPr>
      </w:pPr>
    </w:p>
    <w:p w14:paraId="5015D30B" w14:textId="77777777" w:rsidR="008B5873" w:rsidRPr="00385BC4" w:rsidRDefault="008B5873" w:rsidP="008B5873">
      <w:pPr>
        <w:pStyle w:val="BodyText"/>
        <w:rPr>
          <w:color w:val="000000"/>
          <w:spacing w:val="0"/>
        </w:rPr>
      </w:pPr>
      <w:r w:rsidRPr="00385BC4">
        <w:rPr>
          <w:color w:val="000000"/>
          <w:spacing w:val="0"/>
        </w:rPr>
        <w:t>Analysis also was performed on a two-classification model, which in fact kappa test is more suitable on binary categories (2x2), showing more relevant results in table 6:</w:t>
      </w:r>
    </w:p>
    <w:p w14:paraId="704E20B0" w14:textId="7687DFA5" w:rsidR="008B5873" w:rsidRDefault="008B5873" w:rsidP="008B5873">
      <w:pPr>
        <w:pStyle w:val="BodyText"/>
        <w:jc w:val="center"/>
        <w:rPr>
          <w:lang w:eastAsia="en-US"/>
        </w:rPr>
      </w:pPr>
      <w:r w:rsidRPr="0066129D">
        <w:rPr>
          <w:lang w:eastAsia="en-US"/>
        </w:rPr>
        <w:t xml:space="preserve">Table </w:t>
      </w:r>
      <w:r>
        <w:rPr>
          <w:lang w:eastAsia="en-US"/>
        </w:rPr>
        <w:t>6</w:t>
      </w:r>
      <w:r w:rsidRPr="0066129D">
        <w:rPr>
          <w:lang w:eastAsia="en-US"/>
        </w:rPr>
        <w:t xml:space="preserve">: Agreement between nurses on </w:t>
      </w:r>
      <w:r w:rsidRPr="00820FB4">
        <w:rPr>
          <w:iCs/>
        </w:rPr>
        <w:t xml:space="preserve">overall </w:t>
      </w:r>
      <w:r w:rsidRPr="00627676">
        <w:rPr>
          <w:lang w:eastAsia="en-US"/>
        </w:rPr>
        <w:t xml:space="preserve">risk assessment </w:t>
      </w:r>
      <w:r w:rsidRPr="0066129D">
        <w:rPr>
          <w:lang w:eastAsia="en-US"/>
        </w:rPr>
        <w:t>labeling (Binary categories)</w:t>
      </w:r>
    </w:p>
    <w:tbl>
      <w:tblPr>
        <w:tblW w:w="9880" w:type="dxa"/>
        <w:tblLook w:val="04A0" w:firstRow="1" w:lastRow="0" w:firstColumn="1" w:lastColumn="0" w:noHBand="0" w:noVBand="1"/>
      </w:tblPr>
      <w:tblGrid>
        <w:gridCol w:w="865"/>
        <w:gridCol w:w="2192"/>
        <w:gridCol w:w="789"/>
        <w:gridCol w:w="1099"/>
        <w:gridCol w:w="1170"/>
        <w:gridCol w:w="1349"/>
        <w:gridCol w:w="1206"/>
        <w:gridCol w:w="1210"/>
      </w:tblGrid>
      <w:tr w:rsidR="008B5873" w:rsidRPr="004043F7" w14:paraId="12922059" w14:textId="77777777" w:rsidTr="00326EDB">
        <w:trPr>
          <w:trHeight w:val="332"/>
        </w:trPr>
        <w:tc>
          <w:tcPr>
            <w:tcW w:w="3846" w:type="dxa"/>
            <w:gridSpan w:val="3"/>
            <w:vMerge w:val="restart"/>
            <w:tcBorders>
              <w:top w:val="single" w:sz="4" w:space="0" w:color="auto"/>
              <w:left w:val="single" w:sz="4" w:space="0" w:color="auto"/>
              <w:right w:val="single" w:sz="4" w:space="0" w:color="auto"/>
            </w:tcBorders>
            <w:shd w:val="clear" w:color="000000" w:fill="FFFFFF"/>
            <w:vAlign w:val="bottom"/>
            <w:hideMark/>
          </w:tcPr>
          <w:p w14:paraId="0048FC06" w14:textId="77777777" w:rsidR="008B5873" w:rsidRPr="00437175" w:rsidRDefault="008B5873" w:rsidP="00326EDB">
            <w:pPr>
              <w:jc w:val="both"/>
              <w:rPr>
                <w:b/>
                <w:bCs/>
                <w:spacing w:val="-1"/>
                <w:lang w:eastAsia="en-US"/>
              </w:rPr>
            </w:pPr>
            <w:r w:rsidRPr="00437175">
              <w:rPr>
                <w:b/>
                <w:bCs/>
                <w:spacing w:val="-1"/>
                <w:lang w:eastAsia="en-US"/>
              </w:rPr>
              <w:t>Agreement between nurses on overall labeling (on 2 classifications)</w:t>
            </w:r>
          </w:p>
        </w:tc>
        <w:tc>
          <w:tcPr>
            <w:tcW w:w="3618" w:type="dxa"/>
            <w:gridSpan w:val="3"/>
            <w:tcBorders>
              <w:top w:val="single" w:sz="4" w:space="0" w:color="auto"/>
              <w:left w:val="nil"/>
              <w:bottom w:val="single" w:sz="4" w:space="0" w:color="auto"/>
              <w:right w:val="single" w:sz="4" w:space="0" w:color="auto"/>
            </w:tcBorders>
            <w:shd w:val="clear" w:color="000000" w:fill="FFFFFF"/>
            <w:vAlign w:val="bottom"/>
            <w:hideMark/>
          </w:tcPr>
          <w:p w14:paraId="0AF91DDE" w14:textId="60DC24F4" w:rsidR="008B5873" w:rsidRPr="00E554C0" w:rsidRDefault="008B5873" w:rsidP="00326EDB">
            <w:pPr>
              <w:jc w:val="both"/>
              <w:rPr>
                <w:b/>
                <w:bCs/>
                <w:spacing w:val="-1"/>
                <w:lang w:eastAsia="en-US"/>
              </w:rPr>
            </w:pPr>
            <w:r w:rsidRPr="00E554C0">
              <w:rPr>
                <w:b/>
                <w:bCs/>
                <w:spacing w:val="-1"/>
                <w:lang w:eastAsia="en-US"/>
              </w:rPr>
              <w:t>Day Shift Nurse BS Risk Scoring</w:t>
            </w:r>
          </w:p>
          <w:p w14:paraId="11FB7D28" w14:textId="77777777" w:rsidR="008B5873" w:rsidRPr="00E554C0" w:rsidRDefault="008B5873" w:rsidP="00326EDB">
            <w:pPr>
              <w:jc w:val="both"/>
              <w:rPr>
                <w:b/>
                <w:bCs/>
                <w:spacing w:val="-1"/>
                <w:lang w:eastAsia="en-US"/>
              </w:rPr>
            </w:pPr>
          </w:p>
        </w:tc>
        <w:tc>
          <w:tcPr>
            <w:tcW w:w="1206" w:type="dxa"/>
            <w:vMerge w:val="restart"/>
            <w:tcBorders>
              <w:top w:val="single" w:sz="4" w:space="0" w:color="auto"/>
              <w:left w:val="nil"/>
              <w:right w:val="single" w:sz="4" w:space="0" w:color="auto"/>
            </w:tcBorders>
            <w:shd w:val="clear" w:color="000000" w:fill="FFFFFF"/>
            <w:noWrap/>
            <w:hideMark/>
          </w:tcPr>
          <w:p w14:paraId="77FD2F86" w14:textId="77777777" w:rsidR="008B5873" w:rsidRPr="00F000C8" w:rsidRDefault="008B5873" w:rsidP="00326EDB">
            <w:pPr>
              <w:rPr>
                <w:b/>
                <w:bCs/>
                <w:spacing w:val="-1"/>
                <w:lang w:eastAsia="en-US"/>
              </w:rPr>
            </w:pPr>
            <w:r w:rsidRPr="00F000C8">
              <w:rPr>
                <w:b/>
                <w:bCs/>
                <w:spacing w:val="-1"/>
                <w:lang w:eastAsia="en-US"/>
              </w:rPr>
              <w:t>kappa statistic</w:t>
            </w:r>
          </w:p>
        </w:tc>
        <w:tc>
          <w:tcPr>
            <w:tcW w:w="1210" w:type="dxa"/>
            <w:vMerge w:val="restart"/>
            <w:tcBorders>
              <w:top w:val="single" w:sz="4" w:space="0" w:color="auto"/>
              <w:left w:val="nil"/>
              <w:right w:val="single" w:sz="4" w:space="0" w:color="auto"/>
            </w:tcBorders>
            <w:shd w:val="clear" w:color="000000" w:fill="FFFFFF"/>
            <w:noWrap/>
            <w:hideMark/>
          </w:tcPr>
          <w:p w14:paraId="47152DFD" w14:textId="77777777" w:rsidR="008B5873" w:rsidRPr="00F000C8" w:rsidRDefault="008B5873" w:rsidP="00326EDB">
            <w:pPr>
              <w:rPr>
                <w:b/>
                <w:bCs/>
                <w:spacing w:val="-1"/>
                <w:lang w:eastAsia="en-US"/>
              </w:rPr>
            </w:pPr>
            <w:r>
              <w:rPr>
                <w:b/>
                <w:bCs/>
                <w:spacing w:val="-1"/>
                <w:lang w:eastAsia="en-US"/>
              </w:rPr>
              <w:t>P</w:t>
            </w:r>
            <w:r w:rsidRPr="00F000C8">
              <w:rPr>
                <w:b/>
                <w:bCs/>
                <w:spacing w:val="-1"/>
                <w:lang w:eastAsia="en-US"/>
              </w:rPr>
              <w:t xml:space="preserve"> value</w:t>
            </w:r>
          </w:p>
        </w:tc>
      </w:tr>
      <w:tr w:rsidR="008B5873" w:rsidRPr="004043F7" w14:paraId="29BC3577" w14:textId="77777777" w:rsidTr="00326EDB">
        <w:trPr>
          <w:trHeight w:val="970"/>
        </w:trPr>
        <w:tc>
          <w:tcPr>
            <w:tcW w:w="3846" w:type="dxa"/>
            <w:gridSpan w:val="3"/>
            <w:vMerge/>
            <w:tcBorders>
              <w:left w:val="single" w:sz="4" w:space="0" w:color="auto"/>
              <w:bottom w:val="single" w:sz="4" w:space="0" w:color="auto"/>
              <w:right w:val="single" w:sz="4" w:space="0" w:color="auto"/>
            </w:tcBorders>
            <w:shd w:val="clear" w:color="000000" w:fill="FFFFFF"/>
            <w:vAlign w:val="bottom"/>
          </w:tcPr>
          <w:p w14:paraId="0AEFBD38" w14:textId="77777777" w:rsidR="008B5873" w:rsidRPr="00437175" w:rsidRDefault="008B5873" w:rsidP="00326EDB">
            <w:pPr>
              <w:jc w:val="both"/>
              <w:rPr>
                <w:b/>
                <w:bCs/>
                <w:spacing w:val="-1"/>
                <w:lang w:eastAsia="en-US"/>
              </w:rPr>
            </w:pPr>
          </w:p>
        </w:tc>
        <w:tc>
          <w:tcPr>
            <w:tcW w:w="1099" w:type="dxa"/>
            <w:tcBorders>
              <w:top w:val="single" w:sz="4" w:space="0" w:color="auto"/>
              <w:left w:val="nil"/>
              <w:bottom w:val="single" w:sz="4" w:space="0" w:color="auto"/>
              <w:right w:val="single" w:sz="4" w:space="0" w:color="auto"/>
            </w:tcBorders>
            <w:shd w:val="clear" w:color="000000" w:fill="FFFFFF"/>
            <w:vAlign w:val="bottom"/>
          </w:tcPr>
          <w:p w14:paraId="2A3ABA61" w14:textId="77777777" w:rsidR="008B5873" w:rsidRPr="00E554C0" w:rsidRDefault="008B5873" w:rsidP="00326EDB">
            <w:pPr>
              <w:jc w:val="both"/>
              <w:rPr>
                <w:b/>
                <w:bCs/>
                <w:spacing w:val="-1"/>
                <w:lang w:eastAsia="en-US"/>
              </w:rPr>
            </w:pPr>
            <w:r w:rsidRPr="00E554C0">
              <w:rPr>
                <w:b/>
                <w:bCs/>
                <w:spacing w:val="-1"/>
                <w:lang w:eastAsia="en-US"/>
              </w:rPr>
              <w:t>low risk score (19-23)</w:t>
            </w:r>
          </w:p>
        </w:tc>
        <w:tc>
          <w:tcPr>
            <w:tcW w:w="1170" w:type="dxa"/>
            <w:tcBorders>
              <w:top w:val="single" w:sz="4" w:space="0" w:color="auto"/>
              <w:left w:val="nil"/>
              <w:bottom w:val="single" w:sz="4" w:space="0" w:color="auto"/>
              <w:right w:val="single" w:sz="4" w:space="0" w:color="auto"/>
            </w:tcBorders>
            <w:shd w:val="clear" w:color="000000" w:fill="FFFFFF"/>
            <w:vAlign w:val="bottom"/>
          </w:tcPr>
          <w:p w14:paraId="2A0CD516" w14:textId="77777777" w:rsidR="008B5873" w:rsidRPr="00E554C0" w:rsidRDefault="008B5873" w:rsidP="00326EDB">
            <w:pPr>
              <w:jc w:val="both"/>
              <w:rPr>
                <w:b/>
                <w:bCs/>
                <w:spacing w:val="-1"/>
                <w:lang w:eastAsia="en-US"/>
              </w:rPr>
            </w:pPr>
            <w:r w:rsidRPr="00E554C0">
              <w:rPr>
                <w:b/>
                <w:bCs/>
                <w:spacing w:val="-1"/>
                <w:lang w:eastAsia="en-US"/>
              </w:rPr>
              <w:t>RISK group score (18-6)</w:t>
            </w:r>
          </w:p>
        </w:tc>
        <w:tc>
          <w:tcPr>
            <w:tcW w:w="1349" w:type="dxa"/>
            <w:tcBorders>
              <w:top w:val="single" w:sz="4" w:space="0" w:color="auto"/>
              <w:left w:val="nil"/>
              <w:bottom w:val="single" w:sz="4" w:space="0" w:color="auto"/>
              <w:right w:val="single" w:sz="4" w:space="0" w:color="auto"/>
            </w:tcBorders>
            <w:shd w:val="clear" w:color="000000" w:fill="FFFFFF"/>
            <w:vAlign w:val="bottom"/>
          </w:tcPr>
          <w:p w14:paraId="49576929" w14:textId="37D4174C" w:rsidR="008B5873" w:rsidRPr="00E554C0" w:rsidRDefault="008B5873" w:rsidP="00326EDB">
            <w:pPr>
              <w:jc w:val="both"/>
              <w:rPr>
                <w:b/>
                <w:bCs/>
                <w:spacing w:val="-1"/>
                <w:lang w:eastAsia="en-US"/>
              </w:rPr>
            </w:pPr>
            <w:r w:rsidRPr="00E554C0">
              <w:rPr>
                <w:b/>
                <w:bCs/>
                <w:spacing w:val="-1"/>
                <w:lang w:eastAsia="en-US"/>
              </w:rPr>
              <w:t>Total</w:t>
            </w:r>
          </w:p>
        </w:tc>
        <w:tc>
          <w:tcPr>
            <w:tcW w:w="1206" w:type="dxa"/>
            <w:vMerge/>
            <w:tcBorders>
              <w:left w:val="nil"/>
              <w:bottom w:val="single" w:sz="4" w:space="0" w:color="auto"/>
              <w:right w:val="single" w:sz="4" w:space="0" w:color="auto"/>
            </w:tcBorders>
            <w:shd w:val="clear" w:color="000000" w:fill="FFFFFF"/>
            <w:noWrap/>
          </w:tcPr>
          <w:p w14:paraId="396A1E44" w14:textId="77777777" w:rsidR="008B5873" w:rsidRPr="00437175" w:rsidRDefault="008B5873" w:rsidP="00326EDB">
            <w:pPr>
              <w:rPr>
                <w:spacing w:val="-1"/>
                <w:lang w:eastAsia="en-US"/>
              </w:rPr>
            </w:pPr>
          </w:p>
        </w:tc>
        <w:tc>
          <w:tcPr>
            <w:tcW w:w="1210" w:type="dxa"/>
            <w:vMerge/>
            <w:tcBorders>
              <w:left w:val="nil"/>
              <w:bottom w:val="single" w:sz="4" w:space="0" w:color="auto"/>
              <w:right w:val="single" w:sz="4" w:space="0" w:color="auto"/>
            </w:tcBorders>
            <w:shd w:val="clear" w:color="000000" w:fill="FFFFFF"/>
            <w:noWrap/>
          </w:tcPr>
          <w:p w14:paraId="3717DE69" w14:textId="77777777" w:rsidR="008B5873" w:rsidRPr="00437175" w:rsidRDefault="008B5873" w:rsidP="00326EDB">
            <w:pPr>
              <w:rPr>
                <w:spacing w:val="-1"/>
                <w:lang w:eastAsia="en-US"/>
              </w:rPr>
            </w:pPr>
          </w:p>
        </w:tc>
      </w:tr>
      <w:tr w:rsidR="00385BC4" w:rsidRPr="004043F7" w14:paraId="4FC6C15D" w14:textId="77777777" w:rsidTr="00326EDB">
        <w:trPr>
          <w:trHeight w:val="240"/>
        </w:trPr>
        <w:tc>
          <w:tcPr>
            <w:tcW w:w="865" w:type="dxa"/>
            <w:vMerge w:val="restart"/>
            <w:tcBorders>
              <w:top w:val="nil"/>
              <w:left w:val="single" w:sz="4" w:space="0" w:color="auto"/>
              <w:right w:val="single" w:sz="4" w:space="0" w:color="auto"/>
            </w:tcBorders>
            <w:shd w:val="clear" w:color="000000" w:fill="FFFFFF"/>
            <w:hideMark/>
          </w:tcPr>
          <w:p w14:paraId="345BEF79" w14:textId="77777777" w:rsidR="008B5873" w:rsidRPr="00437175" w:rsidRDefault="008B5873" w:rsidP="00326EDB">
            <w:pPr>
              <w:jc w:val="both"/>
              <w:rPr>
                <w:b/>
                <w:bCs/>
                <w:spacing w:val="-1"/>
                <w:lang w:eastAsia="en-US"/>
              </w:rPr>
            </w:pPr>
            <w:r w:rsidRPr="00437175">
              <w:rPr>
                <w:b/>
                <w:bCs/>
                <w:spacing w:val="-1"/>
                <w:lang w:eastAsia="en-US"/>
              </w:rPr>
              <w:t>Night Shift Nurse BS Risk Scoring</w:t>
            </w:r>
          </w:p>
        </w:tc>
        <w:tc>
          <w:tcPr>
            <w:tcW w:w="2192" w:type="dxa"/>
            <w:vMerge w:val="restart"/>
            <w:tcBorders>
              <w:top w:val="nil"/>
              <w:left w:val="single" w:sz="4" w:space="0" w:color="auto"/>
              <w:bottom w:val="single" w:sz="4" w:space="0" w:color="auto"/>
              <w:right w:val="single" w:sz="4" w:space="0" w:color="auto"/>
            </w:tcBorders>
            <w:shd w:val="clear" w:color="000000" w:fill="FFFFFF"/>
          </w:tcPr>
          <w:p w14:paraId="45FEB53F" w14:textId="77777777" w:rsidR="008B5873" w:rsidRPr="00437175" w:rsidRDefault="008B5873" w:rsidP="00326EDB">
            <w:pPr>
              <w:jc w:val="both"/>
              <w:rPr>
                <w:b/>
                <w:bCs/>
                <w:spacing w:val="-1"/>
                <w:lang w:eastAsia="en-US"/>
              </w:rPr>
            </w:pPr>
            <w:r w:rsidRPr="00437175">
              <w:rPr>
                <w:b/>
                <w:bCs/>
                <w:spacing w:val="-1"/>
                <w:lang w:eastAsia="en-US"/>
              </w:rPr>
              <w:t>low risk (score 19-23)</w:t>
            </w:r>
          </w:p>
        </w:tc>
        <w:tc>
          <w:tcPr>
            <w:tcW w:w="789" w:type="dxa"/>
            <w:tcBorders>
              <w:top w:val="nil"/>
              <w:left w:val="nil"/>
              <w:bottom w:val="single" w:sz="4" w:space="0" w:color="auto"/>
              <w:right w:val="single" w:sz="4" w:space="0" w:color="auto"/>
            </w:tcBorders>
            <w:shd w:val="clear" w:color="000000" w:fill="FFFFFF"/>
            <w:hideMark/>
          </w:tcPr>
          <w:p w14:paraId="577C05E1" w14:textId="77777777" w:rsidR="008B5873" w:rsidRPr="00437175" w:rsidRDefault="008B5873" w:rsidP="00326EDB">
            <w:pPr>
              <w:jc w:val="both"/>
              <w:rPr>
                <w:b/>
                <w:bCs/>
                <w:spacing w:val="-1"/>
                <w:lang w:eastAsia="en-US"/>
              </w:rPr>
            </w:pPr>
            <w:r w:rsidRPr="00437175">
              <w:rPr>
                <w:b/>
                <w:bCs/>
                <w:spacing w:val="-1"/>
                <w:lang w:eastAsia="en-US"/>
              </w:rPr>
              <w:t>Count</w:t>
            </w:r>
          </w:p>
        </w:tc>
        <w:tc>
          <w:tcPr>
            <w:tcW w:w="1099" w:type="dxa"/>
            <w:tcBorders>
              <w:top w:val="nil"/>
              <w:left w:val="nil"/>
              <w:bottom w:val="single" w:sz="4" w:space="0" w:color="auto"/>
              <w:right w:val="single" w:sz="4" w:space="0" w:color="auto"/>
            </w:tcBorders>
            <w:shd w:val="clear" w:color="000000" w:fill="FFFFFF"/>
            <w:noWrap/>
            <w:hideMark/>
          </w:tcPr>
          <w:p w14:paraId="4BFA7A54" w14:textId="77777777" w:rsidR="008B5873" w:rsidRPr="00437175" w:rsidRDefault="008B5873" w:rsidP="00326EDB">
            <w:pPr>
              <w:jc w:val="both"/>
              <w:rPr>
                <w:spacing w:val="-1"/>
                <w:lang w:eastAsia="en-US"/>
              </w:rPr>
            </w:pPr>
            <w:r w:rsidRPr="00437175">
              <w:rPr>
                <w:spacing w:val="-1"/>
                <w:lang w:eastAsia="en-US"/>
              </w:rPr>
              <w:t>1165</w:t>
            </w:r>
          </w:p>
        </w:tc>
        <w:tc>
          <w:tcPr>
            <w:tcW w:w="1170" w:type="dxa"/>
            <w:tcBorders>
              <w:top w:val="nil"/>
              <w:left w:val="nil"/>
              <w:bottom w:val="single" w:sz="4" w:space="0" w:color="auto"/>
              <w:right w:val="single" w:sz="4" w:space="0" w:color="auto"/>
            </w:tcBorders>
            <w:shd w:val="clear" w:color="000000" w:fill="FFFFFF"/>
            <w:noWrap/>
            <w:hideMark/>
          </w:tcPr>
          <w:p w14:paraId="6333D070" w14:textId="77777777" w:rsidR="008B5873" w:rsidRPr="00437175" w:rsidRDefault="008B5873" w:rsidP="00326EDB">
            <w:pPr>
              <w:jc w:val="both"/>
              <w:rPr>
                <w:spacing w:val="-1"/>
                <w:lang w:eastAsia="en-US"/>
              </w:rPr>
            </w:pPr>
            <w:r w:rsidRPr="00437175">
              <w:rPr>
                <w:spacing w:val="-1"/>
                <w:lang w:eastAsia="en-US"/>
              </w:rPr>
              <w:t>257</w:t>
            </w:r>
          </w:p>
        </w:tc>
        <w:tc>
          <w:tcPr>
            <w:tcW w:w="1349" w:type="dxa"/>
            <w:tcBorders>
              <w:top w:val="nil"/>
              <w:left w:val="nil"/>
              <w:bottom w:val="single" w:sz="4" w:space="0" w:color="auto"/>
              <w:right w:val="single" w:sz="4" w:space="0" w:color="auto"/>
            </w:tcBorders>
            <w:shd w:val="clear" w:color="000000" w:fill="FFFFFF"/>
            <w:noWrap/>
            <w:hideMark/>
          </w:tcPr>
          <w:p w14:paraId="55D0566B" w14:textId="77777777" w:rsidR="008B5873" w:rsidRPr="00437175" w:rsidRDefault="008B5873" w:rsidP="00326EDB">
            <w:pPr>
              <w:jc w:val="both"/>
              <w:rPr>
                <w:spacing w:val="-1"/>
                <w:lang w:eastAsia="en-US"/>
              </w:rPr>
            </w:pPr>
            <w:r w:rsidRPr="00437175">
              <w:rPr>
                <w:spacing w:val="-1"/>
                <w:lang w:eastAsia="en-US"/>
              </w:rPr>
              <w:t>1422</w:t>
            </w:r>
          </w:p>
        </w:tc>
        <w:tc>
          <w:tcPr>
            <w:tcW w:w="1206" w:type="dxa"/>
            <w:vMerge w:val="restart"/>
            <w:tcBorders>
              <w:top w:val="nil"/>
              <w:left w:val="single" w:sz="4" w:space="0" w:color="auto"/>
              <w:bottom w:val="single" w:sz="4" w:space="0" w:color="auto"/>
              <w:right w:val="single" w:sz="4" w:space="0" w:color="auto"/>
            </w:tcBorders>
            <w:shd w:val="clear" w:color="000000" w:fill="FFFFFF"/>
            <w:noWrap/>
            <w:hideMark/>
          </w:tcPr>
          <w:p w14:paraId="349018C5" w14:textId="77777777" w:rsidR="008B5873" w:rsidRPr="00437175" w:rsidRDefault="008B5873" w:rsidP="00326EDB">
            <w:pPr>
              <w:rPr>
                <w:spacing w:val="-1"/>
                <w:lang w:eastAsia="en-US"/>
              </w:rPr>
            </w:pPr>
            <w:r w:rsidRPr="00437175">
              <w:rPr>
                <w:spacing w:val="-1"/>
                <w:lang w:eastAsia="en-US"/>
              </w:rPr>
              <w:t>0.54</w:t>
            </w:r>
          </w:p>
        </w:tc>
        <w:tc>
          <w:tcPr>
            <w:tcW w:w="1210" w:type="dxa"/>
            <w:vMerge w:val="restart"/>
            <w:tcBorders>
              <w:top w:val="nil"/>
              <w:left w:val="single" w:sz="4" w:space="0" w:color="auto"/>
              <w:bottom w:val="single" w:sz="4" w:space="0" w:color="auto"/>
              <w:right w:val="single" w:sz="4" w:space="0" w:color="auto"/>
            </w:tcBorders>
            <w:shd w:val="clear" w:color="000000" w:fill="FFFFFF"/>
            <w:noWrap/>
            <w:hideMark/>
          </w:tcPr>
          <w:p w14:paraId="17130580" w14:textId="77777777" w:rsidR="008B5873" w:rsidRPr="00437175" w:rsidRDefault="008B5873" w:rsidP="00326EDB">
            <w:pPr>
              <w:rPr>
                <w:spacing w:val="-1"/>
                <w:lang w:eastAsia="en-US"/>
              </w:rPr>
            </w:pPr>
            <w:r w:rsidRPr="00437175">
              <w:rPr>
                <w:spacing w:val="-1"/>
                <w:lang w:eastAsia="en-US"/>
              </w:rPr>
              <w:t>&lt;0.001</w:t>
            </w:r>
          </w:p>
        </w:tc>
      </w:tr>
      <w:tr w:rsidR="00385BC4" w:rsidRPr="004043F7" w14:paraId="1E1DE42D" w14:textId="77777777" w:rsidTr="00326EDB">
        <w:trPr>
          <w:trHeight w:val="240"/>
        </w:trPr>
        <w:tc>
          <w:tcPr>
            <w:tcW w:w="865" w:type="dxa"/>
            <w:vMerge/>
            <w:tcBorders>
              <w:left w:val="single" w:sz="4" w:space="0" w:color="auto"/>
              <w:right w:val="single" w:sz="4" w:space="0" w:color="auto"/>
            </w:tcBorders>
            <w:vAlign w:val="center"/>
            <w:hideMark/>
          </w:tcPr>
          <w:p w14:paraId="16F4D9AA" w14:textId="77777777" w:rsidR="008B5873" w:rsidRPr="00437175" w:rsidRDefault="008B5873" w:rsidP="00326EDB">
            <w:pPr>
              <w:jc w:val="both"/>
              <w:rPr>
                <w:spacing w:val="-1"/>
                <w:lang w:eastAsia="en-US"/>
              </w:rPr>
            </w:pPr>
          </w:p>
        </w:tc>
        <w:tc>
          <w:tcPr>
            <w:tcW w:w="2192" w:type="dxa"/>
            <w:vMerge/>
            <w:tcBorders>
              <w:top w:val="nil"/>
              <w:left w:val="single" w:sz="4" w:space="0" w:color="auto"/>
              <w:bottom w:val="single" w:sz="4" w:space="0" w:color="auto"/>
              <w:right w:val="single" w:sz="4" w:space="0" w:color="auto"/>
            </w:tcBorders>
            <w:vAlign w:val="center"/>
          </w:tcPr>
          <w:p w14:paraId="4A4F102B" w14:textId="77777777" w:rsidR="008B5873" w:rsidRPr="00437175" w:rsidRDefault="008B5873" w:rsidP="00326EDB">
            <w:pPr>
              <w:jc w:val="both"/>
              <w:rPr>
                <w:b/>
                <w:bCs/>
                <w:spacing w:val="-1"/>
                <w:lang w:eastAsia="en-US"/>
              </w:rPr>
            </w:pPr>
          </w:p>
        </w:tc>
        <w:tc>
          <w:tcPr>
            <w:tcW w:w="789" w:type="dxa"/>
            <w:tcBorders>
              <w:top w:val="nil"/>
              <w:left w:val="nil"/>
              <w:bottom w:val="single" w:sz="4" w:space="0" w:color="auto"/>
              <w:right w:val="single" w:sz="4" w:space="0" w:color="auto"/>
            </w:tcBorders>
            <w:shd w:val="clear" w:color="000000" w:fill="FFFFFF"/>
            <w:hideMark/>
          </w:tcPr>
          <w:p w14:paraId="562C316A" w14:textId="77777777" w:rsidR="008B5873" w:rsidRPr="00437175" w:rsidRDefault="008B5873" w:rsidP="00326EDB">
            <w:pPr>
              <w:jc w:val="both"/>
              <w:rPr>
                <w:b/>
                <w:bCs/>
                <w:spacing w:val="-1"/>
                <w:lang w:eastAsia="en-US"/>
              </w:rPr>
            </w:pPr>
            <w:r w:rsidRPr="00437175">
              <w:rPr>
                <w:b/>
                <w:bCs/>
                <w:spacing w:val="-1"/>
                <w:lang w:eastAsia="en-US"/>
              </w:rPr>
              <w:t>%</w:t>
            </w:r>
          </w:p>
        </w:tc>
        <w:tc>
          <w:tcPr>
            <w:tcW w:w="1099" w:type="dxa"/>
            <w:tcBorders>
              <w:top w:val="nil"/>
              <w:left w:val="nil"/>
              <w:bottom w:val="single" w:sz="4" w:space="0" w:color="auto"/>
              <w:right w:val="single" w:sz="4" w:space="0" w:color="auto"/>
            </w:tcBorders>
            <w:shd w:val="clear" w:color="000000" w:fill="FFFFFF"/>
            <w:noWrap/>
            <w:hideMark/>
          </w:tcPr>
          <w:p w14:paraId="787089A5" w14:textId="77777777" w:rsidR="008B5873" w:rsidRPr="00A716E9" w:rsidRDefault="008B5873" w:rsidP="00326EDB">
            <w:pPr>
              <w:jc w:val="both"/>
              <w:rPr>
                <w:b/>
                <w:bCs/>
                <w:spacing w:val="-1"/>
                <w:lang w:eastAsia="en-US"/>
              </w:rPr>
            </w:pPr>
            <w:r w:rsidRPr="00A716E9">
              <w:rPr>
                <w:b/>
                <w:bCs/>
                <w:spacing w:val="-1"/>
                <w:lang w:eastAsia="en-US"/>
              </w:rPr>
              <w:t>81.9%</w:t>
            </w:r>
          </w:p>
        </w:tc>
        <w:tc>
          <w:tcPr>
            <w:tcW w:w="1170" w:type="dxa"/>
            <w:tcBorders>
              <w:top w:val="nil"/>
              <w:left w:val="nil"/>
              <w:bottom w:val="single" w:sz="4" w:space="0" w:color="auto"/>
              <w:right w:val="single" w:sz="4" w:space="0" w:color="auto"/>
            </w:tcBorders>
            <w:shd w:val="clear" w:color="000000" w:fill="FFFFFF"/>
            <w:noWrap/>
            <w:hideMark/>
          </w:tcPr>
          <w:p w14:paraId="105D6C7D" w14:textId="77777777" w:rsidR="008B5873" w:rsidRPr="00437175" w:rsidRDefault="008B5873" w:rsidP="00326EDB">
            <w:pPr>
              <w:jc w:val="both"/>
              <w:rPr>
                <w:spacing w:val="-1"/>
                <w:lang w:eastAsia="en-US"/>
              </w:rPr>
            </w:pPr>
            <w:r w:rsidRPr="00437175">
              <w:rPr>
                <w:spacing w:val="-1"/>
                <w:lang w:eastAsia="en-US"/>
              </w:rPr>
              <w:t>27.8%</w:t>
            </w:r>
          </w:p>
        </w:tc>
        <w:tc>
          <w:tcPr>
            <w:tcW w:w="1349" w:type="dxa"/>
            <w:tcBorders>
              <w:top w:val="nil"/>
              <w:left w:val="nil"/>
              <w:bottom w:val="single" w:sz="4" w:space="0" w:color="auto"/>
              <w:right w:val="single" w:sz="4" w:space="0" w:color="auto"/>
            </w:tcBorders>
            <w:shd w:val="clear" w:color="000000" w:fill="FFFFFF"/>
            <w:noWrap/>
            <w:hideMark/>
          </w:tcPr>
          <w:p w14:paraId="6B17C077" w14:textId="77777777" w:rsidR="008B5873" w:rsidRPr="00437175" w:rsidRDefault="008B5873" w:rsidP="00326EDB">
            <w:pPr>
              <w:jc w:val="both"/>
              <w:rPr>
                <w:spacing w:val="-1"/>
                <w:lang w:eastAsia="en-US"/>
              </w:rPr>
            </w:pPr>
            <w:r w:rsidRPr="00437175">
              <w:rPr>
                <w:spacing w:val="-1"/>
                <w:lang w:eastAsia="en-US"/>
              </w:rPr>
              <w:t>60.6%</w:t>
            </w:r>
          </w:p>
        </w:tc>
        <w:tc>
          <w:tcPr>
            <w:tcW w:w="1206" w:type="dxa"/>
            <w:vMerge/>
            <w:tcBorders>
              <w:top w:val="nil"/>
              <w:left w:val="single" w:sz="4" w:space="0" w:color="auto"/>
              <w:bottom w:val="single" w:sz="4" w:space="0" w:color="auto"/>
              <w:right w:val="single" w:sz="4" w:space="0" w:color="auto"/>
            </w:tcBorders>
            <w:vAlign w:val="center"/>
            <w:hideMark/>
          </w:tcPr>
          <w:p w14:paraId="093F72E5" w14:textId="77777777" w:rsidR="008B5873" w:rsidRPr="00437175" w:rsidRDefault="008B5873" w:rsidP="00326EDB">
            <w:pPr>
              <w:rPr>
                <w:spacing w:val="-1"/>
                <w:lang w:eastAsia="en-US"/>
              </w:rPr>
            </w:pPr>
          </w:p>
        </w:tc>
        <w:tc>
          <w:tcPr>
            <w:tcW w:w="1210" w:type="dxa"/>
            <w:vMerge/>
            <w:tcBorders>
              <w:top w:val="nil"/>
              <w:left w:val="single" w:sz="4" w:space="0" w:color="auto"/>
              <w:bottom w:val="single" w:sz="4" w:space="0" w:color="auto"/>
              <w:right w:val="single" w:sz="4" w:space="0" w:color="auto"/>
            </w:tcBorders>
            <w:vAlign w:val="center"/>
            <w:hideMark/>
          </w:tcPr>
          <w:p w14:paraId="622770C3" w14:textId="77777777" w:rsidR="008B5873" w:rsidRPr="00437175" w:rsidRDefault="008B5873" w:rsidP="00326EDB">
            <w:pPr>
              <w:rPr>
                <w:spacing w:val="-1"/>
                <w:lang w:eastAsia="en-US"/>
              </w:rPr>
            </w:pPr>
          </w:p>
        </w:tc>
      </w:tr>
      <w:tr w:rsidR="00385BC4" w:rsidRPr="004043F7" w14:paraId="4901C79C" w14:textId="77777777" w:rsidTr="00326EDB">
        <w:trPr>
          <w:trHeight w:val="240"/>
        </w:trPr>
        <w:tc>
          <w:tcPr>
            <w:tcW w:w="865" w:type="dxa"/>
            <w:vMerge/>
            <w:tcBorders>
              <w:left w:val="single" w:sz="4" w:space="0" w:color="auto"/>
              <w:right w:val="single" w:sz="4" w:space="0" w:color="auto"/>
            </w:tcBorders>
            <w:shd w:val="clear" w:color="000000" w:fill="FFFFFF"/>
            <w:hideMark/>
          </w:tcPr>
          <w:p w14:paraId="7BC74512" w14:textId="77777777" w:rsidR="008B5873" w:rsidRPr="00437175" w:rsidRDefault="008B5873" w:rsidP="00326EDB">
            <w:pPr>
              <w:jc w:val="both"/>
              <w:rPr>
                <w:spacing w:val="-1"/>
                <w:lang w:eastAsia="en-US"/>
              </w:rPr>
            </w:pPr>
          </w:p>
        </w:tc>
        <w:tc>
          <w:tcPr>
            <w:tcW w:w="2192" w:type="dxa"/>
            <w:vMerge w:val="restart"/>
            <w:tcBorders>
              <w:top w:val="nil"/>
              <w:left w:val="single" w:sz="4" w:space="0" w:color="auto"/>
              <w:bottom w:val="single" w:sz="4" w:space="0" w:color="auto"/>
              <w:right w:val="single" w:sz="4" w:space="0" w:color="auto"/>
            </w:tcBorders>
            <w:shd w:val="clear" w:color="000000" w:fill="FFFFFF"/>
          </w:tcPr>
          <w:p w14:paraId="26B1C29F" w14:textId="77777777" w:rsidR="008B5873" w:rsidRPr="00437175" w:rsidRDefault="008B5873" w:rsidP="00326EDB">
            <w:pPr>
              <w:jc w:val="both"/>
              <w:rPr>
                <w:b/>
                <w:bCs/>
                <w:spacing w:val="-1"/>
                <w:lang w:eastAsia="en-US"/>
              </w:rPr>
            </w:pPr>
            <w:r w:rsidRPr="00437175">
              <w:rPr>
                <w:b/>
                <w:bCs/>
                <w:spacing w:val="-1"/>
                <w:lang w:eastAsia="en-US"/>
              </w:rPr>
              <w:t>RISK group (score 18-6)</w:t>
            </w:r>
          </w:p>
        </w:tc>
        <w:tc>
          <w:tcPr>
            <w:tcW w:w="789" w:type="dxa"/>
            <w:tcBorders>
              <w:top w:val="nil"/>
              <w:left w:val="nil"/>
              <w:bottom w:val="single" w:sz="4" w:space="0" w:color="auto"/>
              <w:right w:val="single" w:sz="4" w:space="0" w:color="auto"/>
            </w:tcBorders>
            <w:shd w:val="clear" w:color="000000" w:fill="FFFFFF"/>
            <w:hideMark/>
          </w:tcPr>
          <w:p w14:paraId="0C8403A3" w14:textId="77777777" w:rsidR="008B5873" w:rsidRPr="00437175" w:rsidRDefault="008B5873" w:rsidP="00326EDB">
            <w:pPr>
              <w:jc w:val="both"/>
              <w:rPr>
                <w:b/>
                <w:bCs/>
                <w:spacing w:val="-1"/>
                <w:lang w:eastAsia="en-US"/>
              </w:rPr>
            </w:pPr>
            <w:r w:rsidRPr="00437175">
              <w:rPr>
                <w:b/>
                <w:bCs/>
                <w:spacing w:val="-1"/>
                <w:lang w:eastAsia="en-US"/>
              </w:rPr>
              <w:t>Count</w:t>
            </w:r>
          </w:p>
        </w:tc>
        <w:tc>
          <w:tcPr>
            <w:tcW w:w="1099" w:type="dxa"/>
            <w:tcBorders>
              <w:top w:val="nil"/>
              <w:left w:val="nil"/>
              <w:bottom w:val="single" w:sz="4" w:space="0" w:color="auto"/>
              <w:right w:val="single" w:sz="4" w:space="0" w:color="auto"/>
            </w:tcBorders>
            <w:shd w:val="clear" w:color="000000" w:fill="FFFFFF"/>
            <w:noWrap/>
            <w:hideMark/>
          </w:tcPr>
          <w:p w14:paraId="3F8C4EB2" w14:textId="77777777" w:rsidR="008B5873" w:rsidRPr="00437175" w:rsidRDefault="008B5873" w:rsidP="00326EDB">
            <w:pPr>
              <w:jc w:val="both"/>
              <w:rPr>
                <w:spacing w:val="-1"/>
                <w:lang w:eastAsia="en-US"/>
              </w:rPr>
            </w:pPr>
            <w:r w:rsidRPr="00437175">
              <w:rPr>
                <w:spacing w:val="-1"/>
                <w:lang w:eastAsia="en-US"/>
              </w:rPr>
              <w:t>257</w:t>
            </w:r>
          </w:p>
        </w:tc>
        <w:tc>
          <w:tcPr>
            <w:tcW w:w="1170" w:type="dxa"/>
            <w:tcBorders>
              <w:top w:val="nil"/>
              <w:left w:val="nil"/>
              <w:bottom w:val="single" w:sz="4" w:space="0" w:color="auto"/>
              <w:right w:val="single" w:sz="4" w:space="0" w:color="auto"/>
            </w:tcBorders>
            <w:shd w:val="clear" w:color="000000" w:fill="FFFFFF"/>
            <w:noWrap/>
            <w:hideMark/>
          </w:tcPr>
          <w:p w14:paraId="04B3CB46" w14:textId="77777777" w:rsidR="008B5873" w:rsidRPr="00437175" w:rsidRDefault="008B5873" w:rsidP="00326EDB">
            <w:pPr>
              <w:jc w:val="both"/>
              <w:rPr>
                <w:spacing w:val="-1"/>
                <w:lang w:eastAsia="en-US"/>
              </w:rPr>
            </w:pPr>
            <w:r w:rsidRPr="00437175">
              <w:rPr>
                <w:spacing w:val="-1"/>
                <w:lang w:eastAsia="en-US"/>
              </w:rPr>
              <w:t>667</w:t>
            </w:r>
          </w:p>
        </w:tc>
        <w:tc>
          <w:tcPr>
            <w:tcW w:w="1349" w:type="dxa"/>
            <w:tcBorders>
              <w:top w:val="nil"/>
              <w:left w:val="nil"/>
              <w:bottom w:val="single" w:sz="4" w:space="0" w:color="auto"/>
              <w:right w:val="single" w:sz="4" w:space="0" w:color="auto"/>
            </w:tcBorders>
            <w:shd w:val="clear" w:color="000000" w:fill="FFFFFF"/>
            <w:noWrap/>
            <w:hideMark/>
          </w:tcPr>
          <w:p w14:paraId="0089F049" w14:textId="1A122B4A" w:rsidR="008B5873" w:rsidRPr="00437175" w:rsidRDefault="008B5873" w:rsidP="00326EDB">
            <w:pPr>
              <w:jc w:val="both"/>
              <w:rPr>
                <w:spacing w:val="-1"/>
                <w:lang w:eastAsia="en-US"/>
              </w:rPr>
            </w:pPr>
            <w:r w:rsidRPr="00437175">
              <w:rPr>
                <w:spacing w:val="-1"/>
                <w:lang w:eastAsia="en-US"/>
              </w:rPr>
              <w:t>924</w:t>
            </w:r>
          </w:p>
        </w:tc>
        <w:tc>
          <w:tcPr>
            <w:tcW w:w="1206" w:type="dxa"/>
            <w:vMerge/>
            <w:tcBorders>
              <w:top w:val="nil"/>
              <w:left w:val="single" w:sz="4" w:space="0" w:color="auto"/>
              <w:bottom w:val="single" w:sz="4" w:space="0" w:color="auto"/>
              <w:right w:val="single" w:sz="4" w:space="0" w:color="auto"/>
            </w:tcBorders>
            <w:vAlign w:val="center"/>
            <w:hideMark/>
          </w:tcPr>
          <w:p w14:paraId="46D3C84E" w14:textId="77777777" w:rsidR="008B5873" w:rsidRPr="00437175" w:rsidRDefault="008B5873" w:rsidP="00326EDB">
            <w:pPr>
              <w:rPr>
                <w:spacing w:val="-1"/>
                <w:lang w:eastAsia="en-US"/>
              </w:rPr>
            </w:pPr>
          </w:p>
        </w:tc>
        <w:tc>
          <w:tcPr>
            <w:tcW w:w="1210" w:type="dxa"/>
            <w:vMerge/>
            <w:tcBorders>
              <w:top w:val="nil"/>
              <w:left w:val="single" w:sz="4" w:space="0" w:color="auto"/>
              <w:bottom w:val="single" w:sz="4" w:space="0" w:color="auto"/>
              <w:right w:val="single" w:sz="4" w:space="0" w:color="auto"/>
            </w:tcBorders>
            <w:vAlign w:val="center"/>
            <w:hideMark/>
          </w:tcPr>
          <w:p w14:paraId="45B8437C" w14:textId="77777777" w:rsidR="008B5873" w:rsidRPr="00437175" w:rsidRDefault="008B5873" w:rsidP="00326EDB">
            <w:pPr>
              <w:rPr>
                <w:spacing w:val="-1"/>
                <w:lang w:eastAsia="en-US"/>
              </w:rPr>
            </w:pPr>
          </w:p>
        </w:tc>
      </w:tr>
      <w:tr w:rsidR="00385BC4" w:rsidRPr="004043F7" w14:paraId="5F3FBE94" w14:textId="77777777" w:rsidTr="00326EDB">
        <w:trPr>
          <w:trHeight w:val="240"/>
        </w:trPr>
        <w:tc>
          <w:tcPr>
            <w:tcW w:w="865" w:type="dxa"/>
            <w:vMerge/>
            <w:tcBorders>
              <w:left w:val="single" w:sz="4" w:space="0" w:color="auto"/>
              <w:right w:val="single" w:sz="4" w:space="0" w:color="auto"/>
            </w:tcBorders>
            <w:vAlign w:val="center"/>
            <w:hideMark/>
          </w:tcPr>
          <w:p w14:paraId="64538429" w14:textId="77777777" w:rsidR="008B5873" w:rsidRPr="00437175" w:rsidRDefault="008B5873" w:rsidP="00326EDB">
            <w:pPr>
              <w:jc w:val="both"/>
              <w:rPr>
                <w:spacing w:val="-1"/>
                <w:lang w:eastAsia="en-US"/>
              </w:rPr>
            </w:pPr>
          </w:p>
        </w:tc>
        <w:tc>
          <w:tcPr>
            <w:tcW w:w="2192" w:type="dxa"/>
            <w:vMerge/>
            <w:tcBorders>
              <w:top w:val="nil"/>
              <w:left w:val="single" w:sz="4" w:space="0" w:color="auto"/>
              <w:bottom w:val="single" w:sz="4" w:space="0" w:color="auto"/>
              <w:right w:val="single" w:sz="4" w:space="0" w:color="auto"/>
            </w:tcBorders>
            <w:vAlign w:val="center"/>
          </w:tcPr>
          <w:p w14:paraId="73020696" w14:textId="77777777" w:rsidR="008B5873" w:rsidRPr="00437175" w:rsidRDefault="008B5873" w:rsidP="00326EDB">
            <w:pPr>
              <w:jc w:val="both"/>
              <w:rPr>
                <w:b/>
                <w:bCs/>
                <w:spacing w:val="-1"/>
                <w:lang w:eastAsia="en-US"/>
              </w:rPr>
            </w:pPr>
          </w:p>
        </w:tc>
        <w:tc>
          <w:tcPr>
            <w:tcW w:w="789" w:type="dxa"/>
            <w:tcBorders>
              <w:top w:val="nil"/>
              <w:left w:val="nil"/>
              <w:bottom w:val="single" w:sz="4" w:space="0" w:color="auto"/>
              <w:right w:val="single" w:sz="4" w:space="0" w:color="auto"/>
            </w:tcBorders>
            <w:shd w:val="clear" w:color="000000" w:fill="FFFFFF"/>
            <w:hideMark/>
          </w:tcPr>
          <w:p w14:paraId="2FC3A5B3" w14:textId="77777777" w:rsidR="008B5873" w:rsidRPr="00437175" w:rsidRDefault="008B5873" w:rsidP="00326EDB">
            <w:pPr>
              <w:jc w:val="both"/>
              <w:rPr>
                <w:b/>
                <w:bCs/>
                <w:spacing w:val="-1"/>
                <w:lang w:eastAsia="en-US"/>
              </w:rPr>
            </w:pPr>
            <w:r w:rsidRPr="00437175">
              <w:rPr>
                <w:b/>
                <w:bCs/>
                <w:spacing w:val="-1"/>
                <w:lang w:eastAsia="en-US"/>
              </w:rPr>
              <w:t>%</w:t>
            </w:r>
          </w:p>
        </w:tc>
        <w:tc>
          <w:tcPr>
            <w:tcW w:w="1099" w:type="dxa"/>
            <w:tcBorders>
              <w:top w:val="nil"/>
              <w:left w:val="nil"/>
              <w:bottom w:val="single" w:sz="4" w:space="0" w:color="auto"/>
              <w:right w:val="single" w:sz="4" w:space="0" w:color="auto"/>
            </w:tcBorders>
            <w:shd w:val="clear" w:color="000000" w:fill="FFFFFF"/>
            <w:noWrap/>
            <w:hideMark/>
          </w:tcPr>
          <w:p w14:paraId="7FB88B95" w14:textId="77777777" w:rsidR="008B5873" w:rsidRPr="00437175" w:rsidRDefault="008B5873" w:rsidP="00326EDB">
            <w:pPr>
              <w:jc w:val="both"/>
              <w:rPr>
                <w:spacing w:val="-1"/>
                <w:lang w:eastAsia="en-US"/>
              </w:rPr>
            </w:pPr>
            <w:r w:rsidRPr="00437175">
              <w:rPr>
                <w:spacing w:val="-1"/>
                <w:lang w:eastAsia="en-US"/>
              </w:rPr>
              <w:t>18.1%</w:t>
            </w:r>
          </w:p>
        </w:tc>
        <w:tc>
          <w:tcPr>
            <w:tcW w:w="1170" w:type="dxa"/>
            <w:tcBorders>
              <w:top w:val="nil"/>
              <w:left w:val="nil"/>
              <w:bottom w:val="single" w:sz="4" w:space="0" w:color="auto"/>
              <w:right w:val="single" w:sz="4" w:space="0" w:color="auto"/>
            </w:tcBorders>
            <w:shd w:val="clear" w:color="000000" w:fill="FFFFFF"/>
            <w:noWrap/>
            <w:hideMark/>
          </w:tcPr>
          <w:p w14:paraId="65CFBEE0" w14:textId="77777777" w:rsidR="008B5873" w:rsidRPr="00A716E9" w:rsidRDefault="008B5873" w:rsidP="00326EDB">
            <w:pPr>
              <w:jc w:val="both"/>
              <w:rPr>
                <w:b/>
                <w:bCs/>
                <w:spacing w:val="-1"/>
                <w:lang w:eastAsia="en-US"/>
              </w:rPr>
            </w:pPr>
            <w:r w:rsidRPr="00A716E9">
              <w:rPr>
                <w:b/>
                <w:bCs/>
                <w:spacing w:val="-1"/>
                <w:lang w:eastAsia="en-US"/>
              </w:rPr>
              <w:t>72.2%</w:t>
            </w:r>
          </w:p>
        </w:tc>
        <w:tc>
          <w:tcPr>
            <w:tcW w:w="1349" w:type="dxa"/>
            <w:tcBorders>
              <w:top w:val="nil"/>
              <w:left w:val="nil"/>
              <w:bottom w:val="single" w:sz="4" w:space="0" w:color="auto"/>
              <w:right w:val="single" w:sz="4" w:space="0" w:color="auto"/>
            </w:tcBorders>
            <w:shd w:val="clear" w:color="000000" w:fill="FFFFFF"/>
            <w:noWrap/>
            <w:hideMark/>
          </w:tcPr>
          <w:p w14:paraId="6DDA7901" w14:textId="706CA061" w:rsidR="008B5873" w:rsidRPr="00437175" w:rsidRDefault="008B5873" w:rsidP="00326EDB">
            <w:pPr>
              <w:jc w:val="both"/>
              <w:rPr>
                <w:spacing w:val="-1"/>
                <w:lang w:eastAsia="en-US"/>
              </w:rPr>
            </w:pPr>
            <w:r w:rsidRPr="00437175">
              <w:rPr>
                <w:spacing w:val="-1"/>
                <w:lang w:eastAsia="en-US"/>
              </w:rPr>
              <w:t>39.4%</w:t>
            </w:r>
          </w:p>
        </w:tc>
        <w:tc>
          <w:tcPr>
            <w:tcW w:w="1206" w:type="dxa"/>
            <w:vMerge/>
            <w:tcBorders>
              <w:top w:val="nil"/>
              <w:left w:val="single" w:sz="4" w:space="0" w:color="auto"/>
              <w:bottom w:val="single" w:sz="4" w:space="0" w:color="auto"/>
              <w:right w:val="single" w:sz="4" w:space="0" w:color="auto"/>
            </w:tcBorders>
            <w:vAlign w:val="center"/>
            <w:hideMark/>
          </w:tcPr>
          <w:p w14:paraId="71610F33" w14:textId="77777777" w:rsidR="008B5873" w:rsidRPr="00437175" w:rsidRDefault="008B5873" w:rsidP="00326EDB">
            <w:pPr>
              <w:rPr>
                <w:spacing w:val="-1"/>
                <w:lang w:eastAsia="en-US"/>
              </w:rPr>
            </w:pPr>
          </w:p>
        </w:tc>
        <w:tc>
          <w:tcPr>
            <w:tcW w:w="1210" w:type="dxa"/>
            <w:vMerge/>
            <w:tcBorders>
              <w:top w:val="nil"/>
              <w:left w:val="single" w:sz="4" w:space="0" w:color="auto"/>
              <w:bottom w:val="single" w:sz="4" w:space="0" w:color="auto"/>
              <w:right w:val="single" w:sz="4" w:space="0" w:color="auto"/>
            </w:tcBorders>
            <w:vAlign w:val="center"/>
            <w:hideMark/>
          </w:tcPr>
          <w:p w14:paraId="339110D6" w14:textId="77777777" w:rsidR="008B5873" w:rsidRPr="00437175" w:rsidRDefault="008B5873" w:rsidP="00326EDB">
            <w:pPr>
              <w:rPr>
                <w:spacing w:val="-1"/>
                <w:lang w:eastAsia="en-US"/>
              </w:rPr>
            </w:pPr>
          </w:p>
        </w:tc>
      </w:tr>
      <w:tr w:rsidR="008B5873" w:rsidRPr="004043F7" w14:paraId="2BB93CEB" w14:textId="77777777" w:rsidTr="00326EDB">
        <w:trPr>
          <w:trHeight w:val="240"/>
        </w:trPr>
        <w:tc>
          <w:tcPr>
            <w:tcW w:w="865" w:type="dxa"/>
            <w:vMerge/>
            <w:tcBorders>
              <w:left w:val="single" w:sz="4" w:space="0" w:color="auto"/>
              <w:right w:val="single" w:sz="4" w:space="0" w:color="auto"/>
            </w:tcBorders>
            <w:shd w:val="clear" w:color="000000" w:fill="FFFFFF"/>
            <w:hideMark/>
          </w:tcPr>
          <w:p w14:paraId="2B7F0FA1" w14:textId="77777777" w:rsidR="008B5873" w:rsidRPr="00437175" w:rsidRDefault="008B5873" w:rsidP="00326EDB">
            <w:pPr>
              <w:jc w:val="both"/>
              <w:rPr>
                <w:spacing w:val="-1"/>
                <w:lang w:eastAsia="en-US"/>
              </w:rPr>
            </w:pPr>
          </w:p>
        </w:tc>
        <w:tc>
          <w:tcPr>
            <w:tcW w:w="2192" w:type="dxa"/>
            <w:vMerge w:val="restart"/>
            <w:tcBorders>
              <w:top w:val="nil"/>
              <w:left w:val="single" w:sz="4" w:space="0" w:color="auto"/>
              <w:bottom w:val="single" w:sz="4" w:space="0" w:color="auto"/>
              <w:right w:val="single" w:sz="4" w:space="0" w:color="auto"/>
            </w:tcBorders>
            <w:shd w:val="clear" w:color="000000" w:fill="FFFFFF"/>
          </w:tcPr>
          <w:p w14:paraId="4487617D" w14:textId="77777777" w:rsidR="008B5873" w:rsidRPr="00437175" w:rsidRDefault="008B5873" w:rsidP="00326EDB">
            <w:pPr>
              <w:jc w:val="both"/>
              <w:rPr>
                <w:b/>
                <w:bCs/>
                <w:spacing w:val="-1"/>
                <w:lang w:eastAsia="en-US"/>
              </w:rPr>
            </w:pPr>
            <w:r w:rsidRPr="00437175">
              <w:rPr>
                <w:b/>
                <w:bCs/>
                <w:spacing w:val="-1"/>
                <w:lang w:eastAsia="en-US"/>
              </w:rPr>
              <w:t>Total</w:t>
            </w:r>
          </w:p>
        </w:tc>
        <w:tc>
          <w:tcPr>
            <w:tcW w:w="789" w:type="dxa"/>
            <w:tcBorders>
              <w:top w:val="nil"/>
              <w:left w:val="nil"/>
              <w:bottom w:val="single" w:sz="4" w:space="0" w:color="auto"/>
              <w:right w:val="single" w:sz="4" w:space="0" w:color="auto"/>
            </w:tcBorders>
            <w:shd w:val="clear" w:color="000000" w:fill="FFFFFF"/>
            <w:hideMark/>
          </w:tcPr>
          <w:p w14:paraId="18B3D5A0" w14:textId="77777777" w:rsidR="008B5873" w:rsidRPr="00437175" w:rsidRDefault="008B5873" w:rsidP="00326EDB">
            <w:pPr>
              <w:jc w:val="both"/>
              <w:rPr>
                <w:b/>
                <w:bCs/>
                <w:spacing w:val="-1"/>
                <w:lang w:eastAsia="en-US"/>
              </w:rPr>
            </w:pPr>
            <w:r w:rsidRPr="00437175">
              <w:rPr>
                <w:b/>
                <w:bCs/>
                <w:spacing w:val="-1"/>
                <w:lang w:eastAsia="en-US"/>
              </w:rPr>
              <w:t>Count</w:t>
            </w:r>
          </w:p>
        </w:tc>
        <w:tc>
          <w:tcPr>
            <w:tcW w:w="1099" w:type="dxa"/>
            <w:tcBorders>
              <w:top w:val="nil"/>
              <w:left w:val="nil"/>
              <w:bottom w:val="single" w:sz="4" w:space="0" w:color="auto"/>
              <w:right w:val="single" w:sz="4" w:space="0" w:color="auto"/>
            </w:tcBorders>
            <w:shd w:val="clear" w:color="000000" w:fill="FFFFFF"/>
            <w:noWrap/>
            <w:hideMark/>
          </w:tcPr>
          <w:p w14:paraId="46170D1A" w14:textId="77777777" w:rsidR="008B5873" w:rsidRPr="00437175" w:rsidRDefault="008B5873" w:rsidP="00326EDB">
            <w:pPr>
              <w:jc w:val="both"/>
              <w:rPr>
                <w:spacing w:val="-1"/>
                <w:lang w:eastAsia="en-US"/>
              </w:rPr>
            </w:pPr>
            <w:r w:rsidRPr="00437175">
              <w:rPr>
                <w:spacing w:val="-1"/>
                <w:lang w:eastAsia="en-US"/>
              </w:rPr>
              <w:t>1422</w:t>
            </w:r>
          </w:p>
        </w:tc>
        <w:tc>
          <w:tcPr>
            <w:tcW w:w="1170" w:type="dxa"/>
            <w:tcBorders>
              <w:top w:val="nil"/>
              <w:left w:val="nil"/>
              <w:bottom w:val="single" w:sz="4" w:space="0" w:color="auto"/>
              <w:right w:val="single" w:sz="4" w:space="0" w:color="auto"/>
            </w:tcBorders>
            <w:shd w:val="clear" w:color="000000" w:fill="FFFFFF"/>
            <w:noWrap/>
            <w:hideMark/>
          </w:tcPr>
          <w:p w14:paraId="7D5E7E33" w14:textId="77777777" w:rsidR="008B5873" w:rsidRPr="00437175" w:rsidRDefault="008B5873" w:rsidP="00326EDB">
            <w:pPr>
              <w:jc w:val="both"/>
              <w:rPr>
                <w:spacing w:val="-1"/>
                <w:lang w:eastAsia="en-US"/>
              </w:rPr>
            </w:pPr>
            <w:r w:rsidRPr="00437175">
              <w:rPr>
                <w:spacing w:val="-1"/>
                <w:lang w:eastAsia="en-US"/>
              </w:rPr>
              <w:t>924</w:t>
            </w:r>
          </w:p>
        </w:tc>
        <w:tc>
          <w:tcPr>
            <w:tcW w:w="1349" w:type="dxa"/>
            <w:tcBorders>
              <w:top w:val="nil"/>
              <w:left w:val="nil"/>
              <w:bottom w:val="single" w:sz="4" w:space="0" w:color="auto"/>
              <w:right w:val="single" w:sz="4" w:space="0" w:color="auto"/>
            </w:tcBorders>
            <w:shd w:val="clear" w:color="000000" w:fill="FFFFFF"/>
            <w:noWrap/>
            <w:hideMark/>
          </w:tcPr>
          <w:p w14:paraId="2D1C6FFA" w14:textId="5C5615A7" w:rsidR="008B5873" w:rsidRPr="00437175" w:rsidRDefault="008B5873" w:rsidP="00326EDB">
            <w:pPr>
              <w:jc w:val="both"/>
              <w:rPr>
                <w:spacing w:val="-1"/>
                <w:lang w:eastAsia="en-US"/>
              </w:rPr>
            </w:pPr>
            <w:r w:rsidRPr="00437175">
              <w:rPr>
                <w:spacing w:val="-1"/>
                <w:lang w:eastAsia="en-US"/>
              </w:rPr>
              <w:t>2346</w:t>
            </w:r>
          </w:p>
        </w:tc>
        <w:tc>
          <w:tcPr>
            <w:tcW w:w="2416"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090A1" w14:textId="77777777" w:rsidR="008B5873" w:rsidRPr="002D2B54" w:rsidRDefault="008B5873" w:rsidP="00326EDB">
            <w:pPr>
              <w:rPr>
                <w:b/>
                <w:bCs/>
                <w:spacing w:val="-1"/>
                <w:lang w:eastAsia="en-US"/>
              </w:rPr>
            </w:pPr>
            <w:r w:rsidRPr="002D2B54">
              <w:rPr>
                <w:b/>
                <w:bCs/>
                <w:spacing w:val="-1"/>
                <w:lang w:eastAsia="en-US"/>
              </w:rPr>
              <w:t>Moderate agreement</w:t>
            </w:r>
          </w:p>
        </w:tc>
      </w:tr>
      <w:tr w:rsidR="008B5873" w:rsidRPr="004043F7" w14:paraId="55F61E29" w14:textId="77777777" w:rsidTr="00326EDB">
        <w:trPr>
          <w:trHeight w:val="240"/>
        </w:trPr>
        <w:tc>
          <w:tcPr>
            <w:tcW w:w="865" w:type="dxa"/>
            <w:vMerge/>
            <w:tcBorders>
              <w:left w:val="single" w:sz="4" w:space="0" w:color="auto"/>
              <w:bottom w:val="single" w:sz="4" w:space="0" w:color="auto"/>
              <w:right w:val="single" w:sz="4" w:space="0" w:color="auto"/>
            </w:tcBorders>
            <w:vAlign w:val="center"/>
            <w:hideMark/>
          </w:tcPr>
          <w:p w14:paraId="7C62C155" w14:textId="77777777" w:rsidR="008B5873" w:rsidRPr="004043F7" w:rsidRDefault="008B5873" w:rsidP="00326EDB">
            <w:pPr>
              <w:spacing w:line="480" w:lineRule="auto"/>
              <w:jc w:val="both"/>
              <w:rPr>
                <w:rFonts w:ascii="Arial" w:eastAsia="Times New Roman" w:hAnsi="Arial" w:cs="Arial"/>
                <w:color w:val="333399"/>
                <w:sz w:val="18"/>
                <w:szCs w:val="18"/>
              </w:rPr>
            </w:pPr>
          </w:p>
        </w:tc>
        <w:tc>
          <w:tcPr>
            <w:tcW w:w="2192" w:type="dxa"/>
            <w:vMerge/>
            <w:tcBorders>
              <w:top w:val="nil"/>
              <w:left w:val="single" w:sz="4" w:space="0" w:color="auto"/>
              <w:bottom w:val="single" w:sz="4" w:space="0" w:color="auto"/>
              <w:right w:val="single" w:sz="4" w:space="0" w:color="auto"/>
            </w:tcBorders>
            <w:vAlign w:val="center"/>
          </w:tcPr>
          <w:p w14:paraId="739FE265" w14:textId="77777777" w:rsidR="008B5873" w:rsidRPr="00437175" w:rsidRDefault="008B5873" w:rsidP="00326EDB">
            <w:pPr>
              <w:spacing w:line="480" w:lineRule="auto"/>
              <w:jc w:val="both"/>
              <w:rPr>
                <w:rFonts w:ascii="Arial" w:eastAsia="Times New Roman" w:hAnsi="Arial" w:cs="Arial"/>
                <w:b/>
                <w:bCs/>
                <w:color w:val="333399"/>
                <w:sz w:val="18"/>
                <w:szCs w:val="18"/>
              </w:rPr>
            </w:pPr>
          </w:p>
        </w:tc>
        <w:tc>
          <w:tcPr>
            <w:tcW w:w="789" w:type="dxa"/>
            <w:tcBorders>
              <w:top w:val="nil"/>
              <w:left w:val="nil"/>
              <w:bottom w:val="single" w:sz="4" w:space="0" w:color="auto"/>
              <w:right w:val="single" w:sz="4" w:space="0" w:color="auto"/>
            </w:tcBorders>
            <w:shd w:val="clear" w:color="000000" w:fill="FFFFFF"/>
            <w:hideMark/>
          </w:tcPr>
          <w:p w14:paraId="57BD3B18" w14:textId="77777777" w:rsidR="008B5873" w:rsidRPr="00437175" w:rsidRDefault="008B5873" w:rsidP="00326EDB">
            <w:pPr>
              <w:jc w:val="both"/>
              <w:rPr>
                <w:rFonts w:asciiTheme="majorBidi" w:hAnsiTheme="majorBidi" w:cstheme="majorBidi"/>
                <w:b/>
                <w:bCs/>
                <w:sz w:val="24"/>
                <w:szCs w:val="24"/>
              </w:rPr>
            </w:pPr>
            <w:r w:rsidRPr="00437175">
              <w:rPr>
                <w:b/>
                <w:bCs/>
                <w:spacing w:val="-1"/>
                <w:lang w:eastAsia="en-US"/>
              </w:rPr>
              <w:t>%</w:t>
            </w:r>
          </w:p>
        </w:tc>
        <w:tc>
          <w:tcPr>
            <w:tcW w:w="1099" w:type="dxa"/>
            <w:tcBorders>
              <w:top w:val="nil"/>
              <w:left w:val="nil"/>
              <w:bottom w:val="single" w:sz="4" w:space="0" w:color="auto"/>
              <w:right w:val="single" w:sz="4" w:space="0" w:color="auto"/>
            </w:tcBorders>
            <w:shd w:val="clear" w:color="000000" w:fill="FFFFFF"/>
            <w:noWrap/>
            <w:hideMark/>
          </w:tcPr>
          <w:p w14:paraId="1190F20C" w14:textId="77777777" w:rsidR="008B5873" w:rsidRPr="00437175" w:rsidRDefault="008B5873" w:rsidP="00326EDB">
            <w:pPr>
              <w:jc w:val="both"/>
              <w:rPr>
                <w:spacing w:val="-1"/>
                <w:lang w:eastAsia="en-US"/>
              </w:rPr>
            </w:pPr>
            <w:r w:rsidRPr="00437175">
              <w:rPr>
                <w:spacing w:val="-1"/>
                <w:lang w:eastAsia="en-US"/>
              </w:rPr>
              <w:t>100.0%</w:t>
            </w:r>
          </w:p>
        </w:tc>
        <w:tc>
          <w:tcPr>
            <w:tcW w:w="1170" w:type="dxa"/>
            <w:tcBorders>
              <w:top w:val="nil"/>
              <w:left w:val="nil"/>
              <w:bottom w:val="single" w:sz="4" w:space="0" w:color="auto"/>
              <w:right w:val="single" w:sz="4" w:space="0" w:color="auto"/>
            </w:tcBorders>
            <w:shd w:val="clear" w:color="000000" w:fill="FFFFFF"/>
            <w:noWrap/>
            <w:hideMark/>
          </w:tcPr>
          <w:p w14:paraId="00A2602C" w14:textId="77777777" w:rsidR="008B5873" w:rsidRPr="00437175" w:rsidRDefault="008B5873" w:rsidP="00326EDB">
            <w:pPr>
              <w:jc w:val="both"/>
              <w:rPr>
                <w:spacing w:val="-1"/>
                <w:lang w:eastAsia="en-US"/>
              </w:rPr>
            </w:pPr>
            <w:r w:rsidRPr="00437175">
              <w:rPr>
                <w:spacing w:val="-1"/>
                <w:lang w:eastAsia="en-US"/>
              </w:rPr>
              <w:t>100.0%</w:t>
            </w:r>
          </w:p>
        </w:tc>
        <w:tc>
          <w:tcPr>
            <w:tcW w:w="1349" w:type="dxa"/>
            <w:tcBorders>
              <w:top w:val="nil"/>
              <w:left w:val="nil"/>
              <w:bottom w:val="single" w:sz="4" w:space="0" w:color="auto"/>
              <w:right w:val="single" w:sz="4" w:space="0" w:color="auto"/>
            </w:tcBorders>
            <w:shd w:val="clear" w:color="000000" w:fill="FFFFFF"/>
            <w:noWrap/>
            <w:hideMark/>
          </w:tcPr>
          <w:p w14:paraId="70503918" w14:textId="1A28418A" w:rsidR="008B5873" w:rsidRPr="00437175" w:rsidRDefault="008B5873" w:rsidP="00326EDB">
            <w:pPr>
              <w:jc w:val="both"/>
              <w:rPr>
                <w:spacing w:val="-1"/>
                <w:lang w:eastAsia="en-US"/>
              </w:rPr>
            </w:pPr>
            <w:r w:rsidRPr="00437175">
              <w:rPr>
                <w:spacing w:val="-1"/>
                <w:lang w:eastAsia="en-US"/>
              </w:rPr>
              <w:t>100.0%</w:t>
            </w:r>
          </w:p>
        </w:tc>
        <w:tc>
          <w:tcPr>
            <w:tcW w:w="2416" w:type="dxa"/>
            <w:gridSpan w:val="2"/>
            <w:vMerge/>
            <w:tcBorders>
              <w:top w:val="nil"/>
              <w:left w:val="nil"/>
              <w:bottom w:val="single" w:sz="4" w:space="0" w:color="auto"/>
              <w:right w:val="single" w:sz="4" w:space="0" w:color="auto"/>
            </w:tcBorders>
            <w:vAlign w:val="center"/>
            <w:hideMark/>
          </w:tcPr>
          <w:p w14:paraId="50AB4801" w14:textId="77777777" w:rsidR="008B5873" w:rsidRPr="004043F7" w:rsidRDefault="008B5873" w:rsidP="00326EDB">
            <w:pPr>
              <w:spacing w:line="480" w:lineRule="auto"/>
              <w:rPr>
                <w:rFonts w:ascii="Arial" w:eastAsia="Times New Roman" w:hAnsi="Arial" w:cs="Arial"/>
              </w:rPr>
            </w:pPr>
          </w:p>
        </w:tc>
      </w:tr>
      <w:tr w:rsidR="008B5873" w:rsidRPr="004043F7" w14:paraId="40B1D60B" w14:textId="77777777" w:rsidTr="00326EDB">
        <w:trPr>
          <w:trHeight w:val="240"/>
        </w:trPr>
        <w:tc>
          <w:tcPr>
            <w:tcW w:w="9880" w:type="dxa"/>
            <w:gridSpan w:val="8"/>
            <w:tcBorders>
              <w:top w:val="single" w:sz="4" w:space="0" w:color="auto"/>
              <w:left w:val="single" w:sz="4" w:space="0" w:color="auto"/>
              <w:bottom w:val="single" w:sz="4" w:space="0" w:color="auto"/>
              <w:right w:val="single" w:sz="4" w:space="0" w:color="auto"/>
            </w:tcBorders>
            <w:vAlign w:val="center"/>
          </w:tcPr>
          <w:p w14:paraId="5DEFF5E4" w14:textId="53D60CD2" w:rsidR="008B5873" w:rsidRPr="004043F7" w:rsidRDefault="008B5873" w:rsidP="00326EDB">
            <w:pPr>
              <w:jc w:val="both"/>
            </w:pPr>
            <w:r w:rsidRPr="004043F7">
              <w:t>Kappa &lt; 0:</w:t>
            </w:r>
          </w:p>
          <w:p w14:paraId="59B9145A" w14:textId="77777777" w:rsidR="008B5873" w:rsidRPr="004043F7" w:rsidRDefault="008B5873" w:rsidP="00326EDB">
            <w:pPr>
              <w:jc w:val="both"/>
            </w:pPr>
            <w:r w:rsidRPr="004043F7">
              <w:t>Interpretation: Less agreement than chance.</w:t>
            </w:r>
          </w:p>
          <w:p w14:paraId="2C4EA972" w14:textId="77777777" w:rsidR="008B5873" w:rsidRPr="004043F7" w:rsidRDefault="008B5873" w:rsidP="00326EDB">
            <w:pPr>
              <w:jc w:val="both"/>
            </w:pPr>
            <w:r w:rsidRPr="004043F7">
              <w:t>0.01 ≤ Kappa ≤ 0.20:</w:t>
            </w:r>
          </w:p>
          <w:p w14:paraId="60C751B4" w14:textId="77777777" w:rsidR="008B5873" w:rsidRPr="004043F7" w:rsidRDefault="008B5873" w:rsidP="00326EDB">
            <w:pPr>
              <w:jc w:val="both"/>
            </w:pPr>
            <w:r w:rsidRPr="004043F7">
              <w:t>Interpretation: Slight agreement.</w:t>
            </w:r>
          </w:p>
          <w:p w14:paraId="599657AE" w14:textId="77777777" w:rsidR="008B5873" w:rsidRPr="004043F7" w:rsidRDefault="008B5873" w:rsidP="00326EDB">
            <w:pPr>
              <w:jc w:val="both"/>
            </w:pPr>
            <w:r w:rsidRPr="004043F7">
              <w:t>0.21 ≤ Kappa ≤ 0.40:</w:t>
            </w:r>
          </w:p>
          <w:p w14:paraId="77AEA0A0" w14:textId="77777777" w:rsidR="008B5873" w:rsidRPr="004043F7" w:rsidRDefault="008B5873" w:rsidP="00326EDB">
            <w:pPr>
              <w:jc w:val="both"/>
            </w:pPr>
            <w:r w:rsidRPr="004043F7">
              <w:t>Interpretation: Fair agreement.</w:t>
            </w:r>
          </w:p>
          <w:p w14:paraId="015501FB" w14:textId="77777777" w:rsidR="008B5873" w:rsidRPr="004043F7" w:rsidRDefault="008B5873" w:rsidP="00326EDB">
            <w:pPr>
              <w:jc w:val="both"/>
            </w:pPr>
            <w:r w:rsidRPr="004043F7">
              <w:t>0.41 ≤ Kappa ≤ 0.60:</w:t>
            </w:r>
          </w:p>
          <w:p w14:paraId="3539A45F" w14:textId="77777777" w:rsidR="008B5873" w:rsidRPr="004043F7" w:rsidRDefault="008B5873" w:rsidP="00326EDB">
            <w:pPr>
              <w:jc w:val="both"/>
            </w:pPr>
            <w:r w:rsidRPr="004043F7">
              <w:t>Interpretation: Moderate agreement.</w:t>
            </w:r>
          </w:p>
          <w:p w14:paraId="7F638E1A" w14:textId="77777777" w:rsidR="008B5873" w:rsidRPr="004043F7" w:rsidRDefault="008B5873" w:rsidP="00326EDB">
            <w:pPr>
              <w:jc w:val="both"/>
            </w:pPr>
            <w:r w:rsidRPr="004043F7">
              <w:t>0.61 ≤ Kappa ≤ 0.80:</w:t>
            </w:r>
          </w:p>
          <w:p w14:paraId="294F6CA0" w14:textId="77777777" w:rsidR="008B5873" w:rsidRPr="004043F7" w:rsidRDefault="008B5873" w:rsidP="00326EDB">
            <w:pPr>
              <w:jc w:val="both"/>
            </w:pPr>
            <w:r w:rsidRPr="004043F7">
              <w:t>Interpretation: Substantial agreement.</w:t>
            </w:r>
          </w:p>
          <w:p w14:paraId="67070B04" w14:textId="77777777" w:rsidR="008B5873" w:rsidRPr="004043F7" w:rsidRDefault="008B5873" w:rsidP="00326EDB">
            <w:pPr>
              <w:jc w:val="both"/>
            </w:pPr>
            <w:r w:rsidRPr="004043F7">
              <w:t>0.81 ≤ Kappa ≤ 1:</w:t>
            </w:r>
          </w:p>
          <w:p w14:paraId="143E90F1" w14:textId="77777777" w:rsidR="008B5873" w:rsidRPr="004043F7" w:rsidRDefault="008B5873" w:rsidP="00326EDB">
            <w:pPr>
              <w:jc w:val="both"/>
            </w:pPr>
            <w:r w:rsidRPr="004043F7">
              <w:t>Interpretation: excellent agreement / Almost perfect agreement.</w:t>
            </w:r>
          </w:p>
          <w:p w14:paraId="3F4B2406" w14:textId="77777777" w:rsidR="008B5873" w:rsidRPr="004043F7" w:rsidRDefault="008B5873" w:rsidP="00326EDB">
            <w:pPr>
              <w:jc w:val="both"/>
            </w:pPr>
            <w:r w:rsidRPr="004043F7">
              <w:t>Kappa=1, perfect agreement</w:t>
            </w:r>
          </w:p>
        </w:tc>
      </w:tr>
    </w:tbl>
    <w:p w14:paraId="016D3200" w14:textId="77777777" w:rsidR="008B5873" w:rsidRPr="00385BC4" w:rsidRDefault="008B5873" w:rsidP="008B5873">
      <w:pPr>
        <w:pStyle w:val="BodyText"/>
        <w:rPr>
          <w:color w:val="000000"/>
          <w:spacing w:val="0"/>
        </w:rPr>
      </w:pPr>
    </w:p>
    <w:p w14:paraId="5523E0D9" w14:textId="68FE0D07" w:rsidR="008B5873" w:rsidRPr="00385BC4" w:rsidRDefault="008B5873" w:rsidP="008B5873">
      <w:pPr>
        <w:pStyle w:val="BodyText"/>
        <w:rPr>
          <w:color w:val="000000"/>
          <w:spacing w:val="0"/>
        </w:rPr>
      </w:pPr>
      <w:r w:rsidRPr="00385BC4">
        <w:rPr>
          <w:color w:val="000000"/>
          <w:spacing w:val="0"/>
        </w:rPr>
        <w:t xml:space="preserve">These statistics indicated that approximately 82% of the records showed the same level of rating by day‑ and night‑shift nurses in the low‑risk category (scores 19–23). Additionally, 72.2% of the records demonstrated agreement between the two nurses within the high‑risk group (scores 6–18). The kappa </w:t>
      </w:r>
      <w:r w:rsidR="00321D80" w:rsidRPr="00385BC4">
        <w:rPr>
          <w:color w:val="000000"/>
          <w:spacing w:val="0"/>
        </w:rPr>
        <w:t>statistics</w:t>
      </w:r>
      <w:r w:rsidRPr="00385BC4">
        <w:rPr>
          <w:color w:val="000000"/>
          <w:spacing w:val="0"/>
        </w:rPr>
        <w:t xml:space="preserve"> comparing binary categories showed a moderate level of agreement between nurses in overall Braden Scale scoring documentation.</w:t>
      </w:r>
    </w:p>
    <w:p w14:paraId="5C75BD2C" w14:textId="3600AD84" w:rsidR="008B5873" w:rsidRPr="00385BC4" w:rsidRDefault="008B5873" w:rsidP="008B5873">
      <w:pPr>
        <w:pStyle w:val="BodyText"/>
        <w:rPr>
          <w:color w:val="000000"/>
          <w:spacing w:val="0"/>
        </w:rPr>
      </w:pPr>
      <w:r w:rsidRPr="00385BC4">
        <w:rPr>
          <w:color w:val="000000"/>
          <w:spacing w:val="0"/>
        </w:rPr>
        <w:t>Data analysis was conducted using both multiple classifications and two‑group categorizations to compare consistency across results and ensure the absence of contradictions. Accordingly, all formats of analysis were discussed and demonstrated no contradictory findings. In summary, there was fair to moderate agreement between nurses regarding Braden Scale score documentation. Overall, the statistical results indicated fair to moderate agreement between the two raters, reflecting acceptable inter‑rater reliability.</w:t>
      </w:r>
    </w:p>
    <w:p w14:paraId="2BE72C35" w14:textId="193071F2" w:rsidR="008B5873" w:rsidRDefault="008B5873" w:rsidP="008B5873">
      <w:pPr>
        <w:pStyle w:val="BodyText"/>
        <w:rPr>
          <w:lang w:eastAsia="en-US"/>
        </w:rPr>
      </w:pPr>
    </w:p>
    <w:p w14:paraId="23CB603E" w14:textId="0FBE50F0" w:rsidR="00385BC4" w:rsidRDefault="008B5873" w:rsidP="00385BC4">
      <w:pPr>
        <w:spacing w:line="480" w:lineRule="auto"/>
        <w:jc w:val="left"/>
        <w:rPr>
          <w:b/>
          <w:bCs/>
        </w:rPr>
      </w:pPr>
      <w:r>
        <w:rPr>
          <w:b/>
          <w:bCs/>
        </w:rPr>
        <w:t xml:space="preserve">3.3 </w:t>
      </w:r>
      <w:r w:rsidRPr="00F23F8B">
        <w:rPr>
          <w:b/>
          <w:bCs/>
        </w:rPr>
        <w:t>Analysis of Skin Integrity protocol selections</w:t>
      </w:r>
    </w:p>
    <w:p w14:paraId="7F535A2C" w14:textId="161F2D4E" w:rsidR="008B5873" w:rsidRPr="00385BC4" w:rsidRDefault="00385BC4" w:rsidP="00385BC4">
      <w:pPr>
        <w:spacing w:line="276" w:lineRule="auto"/>
        <w:jc w:val="left"/>
        <w:rPr>
          <w:b/>
          <w:bCs/>
        </w:rPr>
      </w:pPr>
      <w:r w:rsidRPr="00385BC4">
        <w:rPr>
          <w:noProof/>
          <w:color w:val="000000"/>
        </w:rPr>
        <w:drawing>
          <wp:anchor distT="0" distB="0" distL="114300" distR="114300" simplePos="0" relativeHeight="251662336" behindDoc="1" locked="0" layoutInCell="1" allowOverlap="1" wp14:anchorId="548010B1" wp14:editId="453EC478">
            <wp:simplePos x="0" y="0"/>
            <wp:positionH relativeFrom="margin">
              <wp:posOffset>3811996</wp:posOffset>
            </wp:positionH>
            <wp:positionV relativeFrom="paragraph">
              <wp:posOffset>-105048</wp:posOffset>
            </wp:positionV>
            <wp:extent cx="2579914" cy="2901043"/>
            <wp:effectExtent l="0" t="0" r="11430" b="13970"/>
            <wp:wrapTight wrapText="bothSides">
              <wp:wrapPolygon edited="0">
                <wp:start x="0" y="0"/>
                <wp:lineTo x="0" y="21562"/>
                <wp:lineTo x="21536" y="21562"/>
                <wp:lineTo x="21536" y="0"/>
                <wp:lineTo x="0" y="0"/>
              </wp:wrapPolygon>
            </wp:wrapTight>
            <wp:docPr id="1822275239" name="Chart 1">
              <a:extLst xmlns:a="http://schemas.openxmlformats.org/drawingml/2006/main">
                <a:ext uri="{FF2B5EF4-FFF2-40B4-BE49-F238E27FC236}">
                  <a16:creationId xmlns:a16="http://schemas.microsoft.com/office/drawing/2014/main" id="{B64E0834-CD67-CB6C-FC5E-93ABA1647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8B5873" w:rsidRPr="00F23F8B">
        <w:rPr>
          <w:b/>
          <w:bCs/>
        </w:rPr>
        <w:t xml:space="preserve"> </w:t>
      </w:r>
      <w:r>
        <w:rPr>
          <w:b/>
          <w:bCs/>
        </w:rPr>
        <w:t xml:space="preserve">       </w:t>
      </w:r>
      <w:r w:rsidR="008B5873" w:rsidRPr="00385BC4">
        <w:rPr>
          <w:color w:val="000000"/>
        </w:rPr>
        <w:t>The analysis focused on evaluating the rate of agreement between two nurses in selecting the skin integrity protocol—either mobile or immobile—based on the Braden Scale assessment protocol. According to the Braden Scale guidelines, a score of less than 15 triggers the documentation and implementation of skin integrity protocols, requiring nurses to select either the mobile or immobile protocol and carry out the corresponding interventions. Conversely, if the Braden Scale score is 15 or above, there is no requirement to document either protocol or to implement related interventions.</w:t>
      </w:r>
    </w:p>
    <w:p w14:paraId="3BB748C3" w14:textId="3D0E467B" w:rsidR="008B5873" w:rsidRPr="00385BC4" w:rsidRDefault="008B5873" w:rsidP="00385BC4">
      <w:pPr>
        <w:pStyle w:val="BodyText"/>
        <w:spacing w:line="276" w:lineRule="auto"/>
        <w:rPr>
          <w:color w:val="000000"/>
          <w:spacing w:val="0"/>
        </w:rPr>
      </w:pPr>
      <w:r w:rsidRPr="00385BC4">
        <w:rPr>
          <w:color w:val="000000"/>
          <w:spacing w:val="0"/>
        </w:rPr>
        <w:t xml:space="preserve">In this study, the selection of skin integrity protocols (mobile or </w:t>
      </w:r>
    </w:p>
    <w:p w14:paraId="016F4792" w14:textId="77777777" w:rsidR="008B5873" w:rsidRPr="00385BC4" w:rsidRDefault="008B5873" w:rsidP="00385BC4">
      <w:pPr>
        <w:pStyle w:val="BodyText"/>
        <w:rPr>
          <w:color w:val="000000"/>
          <w:spacing w:val="0"/>
        </w:rPr>
      </w:pPr>
      <w:r w:rsidRPr="00385BC4">
        <w:rPr>
          <w:color w:val="000000"/>
          <w:spacing w:val="0"/>
        </w:rPr>
        <w:t xml:space="preserve">immobile) was examined to assess the rate of agreement and </w:t>
      </w:r>
    </w:p>
    <w:p w14:paraId="251960A4" w14:textId="77777777" w:rsidR="008B5873" w:rsidRPr="00385BC4" w:rsidRDefault="008B5873" w:rsidP="00385BC4">
      <w:pPr>
        <w:pStyle w:val="BodyText"/>
        <w:rPr>
          <w:color w:val="000000"/>
          <w:spacing w:val="0"/>
        </w:rPr>
      </w:pPr>
      <w:r w:rsidRPr="00385BC4">
        <w:rPr>
          <w:color w:val="000000"/>
          <w:spacing w:val="0"/>
        </w:rPr>
        <w:t xml:space="preserve">discrepancies among nurses. Using frequency and percentage </w:t>
      </w:r>
    </w:p>
    <w:p w14:paraId="599D3AAF" w14:textId="77777777" w:rsidR="008B5873" w:rsidRPr="00385BC4" w:rsidRDefault="008B5873" w:rsidP="00385BC4">
      <w:pPr>
        <w:pStyle w:val="BodyText"/>
        <w:rPr>
          <w:color w:val="000000"/>
          <w:spacing w:val="0"/>
        </w:rPr>
      </w:pPr>
      <w:r w:rsidRPr="00385BC4">
        <w:rPr>
          <w:color w:val="000000"/>
          <w:spacing w:val="0"/>
        </w:rPr>
        <w:t>analyses presented in Figure 2, the findings revealed that 75%</w:t>
      </w:r>
    </w:p>
    <w:p w14:paraId="7FE13F5F" w14:textId="77777777" w:rsidR="008B5873" w:rsidRPr="00385BC4" w:rsidRDefault="008B5873" w:rsidP="00385BC4">
      <w:pPr>
        <w:pStyle w:val="BodyText"/>
        <w:rPr>
          <w:color w:val="000000"/>
          <w:spacing w:val="0"/>
        </w:rPr>
      </w:pPr>
      <w:r w:rsidRPr="00385BC4">
        <w:rPr>
          <w:color w:val="000000"/>
          <w:spacing w:val="0"/>
        </w:rPr>
        <w:t xml:space="preserve">of nurses agreed on the same skin integrity protocol selection. </w:t>
      </w:r>
    </w:p>
    <w:p w14:paraId="3F714252" w14:textId="26B67262" w:rsidR="008B5873" w:rsidRPr="004C7824" w:rsidRDefault="008B5873" w:rsidP="004C7824">
      <w:pPr>
        <w:pStyle w:val="BodyText"/>
        <w:rPr>
          <w:color w:val="000000"/>
          <w:spacing w:val="0"/>
        </w:rPr>
      </w:pPr>
      <w:r w:rsidRPr="00385BC4">
        <w:rPr>
          <w:color w:val="000000"/>
          <w:spacing w:val="0"/>
        </w:rPr>
        <w:t xml:space="preserve">However, 25% of nurses demonstrated discrepancies by selecting different protocols for the same patients. These findings indicate a substantial level of agreement, while also highlighting a notable </w:t>
      </w:r>
      <w:r w:rsidRPr="00385BC4">
        <w:rPr>
          <w:color w:val="000000"/>
          <w:spacing w:val="0"/>
        </w:rPr>
        <w:lastRenderedPageBreak/>
        <w:t>proportion of discrepancies in protocol selection among the nursing staff. This analysis assessed only the rate of agreement and did not evaluate whether the selected skin integrity protocols were clinically appropriate.</w:t>
      </w:r>
    </w:p>
    <w:p w14:paraId="770A232B" w14:textId="77777777" w:rsidR="008B5873" w:rsidRPr="00385BC4" w:rsidRDefault="008B5873" w:rsidP="008B5873">
      <w:pPr>
        <w:pStyle w:val="BodyText"/>
        <w:rPr>
          <w:spacing w:val="0"/>
        </w:rPr>
      </w:pPr>
    </w:p>
    <w:p w14:paraId="5AF43197" w14:textId="77777777" w:rsidR="008B5873" w:rsidRPr="00385BC4" w:rsidRDefault="008B5873" w:rsidP="008B5873">
      <w:pPr>
        <w:pStyle w:val="BodyText"/>
        <w:rPr>
          <w:spacing w:val="0"/>
        </w:rPr>
      </w:pPr>
      <w:r w:rsidRPr="00385BC4">
        <w:rPr>
          <w:spacing w:val="0"/>
        </w:rPr>
        <w:t>Furthermore, to determine whether the nurses, as two raters, made appropriate and accurate selections when choosing the skin integrity protocol for their patients, the researchers conducted a detailed classification of the collected data. Two categories—adequate level of understanding and lower level of understanding—were introduced to assess nurses’ levels of understanding of the skin integrity protocol scoring system according to the Braden Scale guidelines.</w:t>
      </w:r>
    </w:p>
    <w:p w14:paraId="651F4931" w14:textId="77777777" w:rsidR="008B5873" w:rsidRPr="00385BC4" w:rsidRDefault="008B5873" w:rsidP="008B5873">
      <w:pPr>
        <w:pStyle w:val="BodyText"/>
        <w:rPr>
          <w:spacing w:val="0"/>
        </w:rPr>
      </w:pPr>
      <w:r w:rsidRPr="00385BC4">
        <w:rPr>
          <w:spacing w:val="0"/>
        </w:rPr>
        <w:t>The researchers analyzed 2,436 data entries of Braden Scale (BS) scores and skin integrity protocol selections, identifying each nurse’s correct and incorrect documentation and categorizing nurses’ levels of understanding of the Braden Scale assessment tool.</w:t>
      </w:r>
    </w:p>
    <w:p w14:paraId="7C47C6BF" w14:textId="5F344FBD" w:rsidR="008B5873" w:rsidRPr="00385BC4" w:rsidRDefault="008B5873" w:rsidP="008B5873">
      <w:pPr>
        <w:pStyle w:val="BodyText"/>
        <w:rPr>
          <w:spacing w:val="0"/>
        </w:rPr>
      </w:pPr>
      <w:r w:rsidRPr="00385BC4">
        <w:rPr>
          <w:spacing w:val="0"/>
        </w:rPr>
        <w:t xml:space="preserve">Cohen’s kappa </w:t>
      </w:r>
      <w:r w:rsidR="00385BC4" w:rsidRPr="00385BC4">
        <w:rPr>
          <w:spacing w:val="0"/>
        </w:rPr>
        <w:t>statistics were</w:t>
      </w:r>
      <w:r w:rsidRPr="00385BC4">
        <w:rPr>
          <w:spacing w:val="0"/>
        </w:rPr>
        <w:t xml:space="preserve"> selected to analyze these nominal data by measuring the level of agreement between raters in terms of adequate versus inadequate levels of understanding of the skin integrity protocol. Cohen’s kappa provides insight into inter‑rater reliability and assesses whether the raters consistently understood and applied the Braden Scale assessment tool correctly.</w:t>
      </w:r>
    </w:p>
    <w:p w14:paraId="68A08771" w14:textId="2D0C882F" w:rsidR="008B5873" w:rsidRPr="00385BC4" w:rsidRDefault="008B5873" w:rsidP="008B5873">
      <w:pPr>
        <w:pStyle w:val="BodyText"/>
        <w:rPr>
          <w:spacing w:val="0"/>
        </w:rPr>
      </w:pPr>
      <w:r w:rsidRPr="00385BC4">
        <w:rPr>
          <w:spacing w:val="0"/>
        </w:rPr>
        <w:t xml:space="preserve">The hypothesis tested whether there was a difference in nurses’ levels of understanding of Braden Scale element documentation related to skin integrity protocol selection. Cohen’s kappa test was performed on </w:t>
      </w:r>
      <w:r w:rsidR="00385BC4" w:rsidRPr="00385BC4">
        <w:rPr>
          <w:spacing w:val="0"/>
        </w:rPr>
        <w:t>adequate</w:t>
      </w:r>
      <w:r w:rsidRPr="00385BC4">
        <w:rPr>
          <w:spacing w:val="0"/>
        </w:rPr>
        <w:t xml:space="preserve"> and lower levels of understanding data using SPSS to determine the reliability of agreement and, in turn, the accuracy of documentation. As shown in Table 7 and 8, the cross‑tabulation analysis yielded a kappa value of 0.164, indicating a slight level of agreement between Nurse 1 and Nurse 2 regarding understanding levels. Although this value is relatively low, the test </w:t>
      </w:r>
      <w:r w:rsidR="00385BC4" w:rsidRPr="00385BC4">
        <w:rPr>
          <w:spacing w:val="0"/>
        </w:rPr>
        <w:t>statistics</w:t>
      </w:r>
      <w:r w:rsidRPr="00385BC4">
        <w:rPr>
          <w:spacing w:val="0"/>
        </w:rPr>
        <w:t xml:space="preserve"> of 7.935 and the </w:t>
      </w:r>
      <w:r w:rsidR="004C7824" w:rsidRPr="00385BC4">
        <w:rPr>
          <w:spacing w:val="0"/>
        </w:rPr>
        <w:t xml:space="preserve">corresponding </w:t>
      </w:r>
      <w:r w:rsidRPr="00385BC4">
        <w:rPr>
          <w:spacing w:val="0"/>
        </w:rPr>
        <w:t>value of less than 0.001 indicate that the observed agreement is statistically significant and not due to chance.</w:t>
      </w:r>
    </w:p>
    <w:p w14:paraId="7178F634" w14:textId="77777777" w:rsidR="008B5873" w:rsidRDefault="008B5873" w:rsidP="008B5873">
      <w:pPr>
        <w:pStyle w:val="BodyText"/>
        <w:rPr>
          <w:lang w:eastAsia="en-US"/>
        </w:rPr>
      </w:pPr>
    </w:p>
    <w:tbl>
      <w:tblPr>
        <w:tblW w:w="9809" w:type="dxa"/>
        <w:tblLayout w:type="fixed"/>
        <w:tblCellMar>
          <w:left w:w="0" w:type="dxa"/>
          <w:right w:w="0" w:type="dxa"/>
        </w:tblCellMar>
        <w:tblLook w:val="04A0" w:firstRow="1" w:lastRow="0" w:firstColumn="1" w:lastColumn="0" w:noHBand="0" w:noVBand="1"/>
      </w:tblPr>
      <w:tblGrid>
        <w:gridCol w:w="2070"/>
        <w:gridCol w:w="2808"/>
        <w:gridCol w:w="2029"/>
        <w:gridCol w:w="1713"/>
        <w:gridCol w:w="1189"/>
      </w:tblGrid>
      <w:tr w:rsidR="008B5873" w:rsidRPr="004043F7" w14:paraId="7737B0CF" w14:textId="77777777" w:rsidTr="00326EDB">
        <w:trPr>
          <w:cantSplit/>
        </w:trPr>
        <w:tc>
          <w:tcPr>
            <w:tcW w:w="9809" w:type="dxa"/>
            <w:gridSpan w:val="5"/>
            <w:shd w:val="clear" w:color="auto" w:fill="FFFFFF"/>
            <w:vAlign w:val="center"/>
            <w:hideMark/>
          </w:tcPr>
          <w:p w14:paraId="488A2845" w14:textId="77777777" w:rsidR="008B5873" w:rsidRPr="007C6A58" w:rsidRDefault="008B5873" w:rsidP="00326EDB">
            <w:pPr>
              <w:autoSpaceDE w:val="0"/>
              <w:autoSpaceDN w:val="0"/>
              <w:adjustRightInd w:val="0"/>
              <w:spacing w:line="320" w:lineRule="atLeast"/>
              <w:ind w:left="60" w:right="60"/>
              <w:jc w:val="both"/>
            </w:pPr>
          </w:p>
        </w:tc>
      </w:tr>
      <w:tr w:rsidR="008B5873" w:rsidRPr="004043F7" w14:paraId="0B7B56FE" w14:textId="77777777" w:rsidTr="00326EDB">
        <w:trPr>
          <w:cantSplit/>
          <w:trHeight w:val="387"/>
        </w:trPr>
        <w:tc>
          <w:tcPr>
            <w:tcW w:w="9809" w:type="dxa"/>
            <w:gridSpan w:val="5"/>
            <w:tcBorders>
              <w:bottom w:val="single" w:sz="4" w:space="0" w:color="auto"/>
            </w:tcBorders>
            <w:shd w:val="clear" w:color="auto" w:fill="FFFFFF"/>
            <w:vAlign w:val="bottom"/>
            <w:hideMark/>
          </w:tcPr>
          <w:p w14:paraId="2E86FBEC" w14:textId="77777777" w:rsidR="008B5873" w:rsidRPr="004043F7" w:rsidRDefault="008B5873" w:rsidP="00326EDB">
            <w:pPr>
              <w:autoSpaceDE w:val="0"/>
              <w:autoSpaceDN w:val="0"/>
              <w:adjustRightInd w:val="0"/>
              <w:spacing w:line="320" w:lineRule="atLeast"/>
            </w:pPr>
            <w:r w:rsidRPr="007C6A58">
              <w:t xml:space="preserve">Table </w:t>
            </w:r>
            <w:r>
              <w:t>7</w:t>
            </w:r>
            <w:r w:rsidRPr="007C6A58">
              <w:t>: Nurse 1 Understanding L</w:t>
            </w:r>
            <w:r>
              <w:t xml:space="preserve">evel </w:t>
            </w:r>
            <w:r w:rsidRPr="007C6A58">
              <w:t>VS</w:t>
            </w:r>
            <w:r>
              <w:t xml:space="preserve"> </w:t>
            </w:r>
            <w:r w:rsidRPr="007C6A58">
              <w:t>Nurse 2 Understanding L</w:t>
            </w:r>
            <w:r>
              <w:t>eve</w:t>
            </w:r>
            <w:r w:rsidRPr="007C6A58">
              <w:t>l Crosstabulation</w:t>
            </w:r>
          </w:p>
        </w:tc>
      </w:tr>
      <w:tr w:rsidR="008B5873" w:rsidRPr="004043F7" w14:paraId="278934F6" w14:textId="77777777" w:rsidTr="00326EDB">
        <w:trPr>
          <w:cantSplit/>
          <w:trHeight w:val="387"/>
        </w:trPr>
        <w:tc>
          <w:tcPr>
            <w:tcW w:w="487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5C501FA" w14:textId="77777777" w:rsidR="008B5873" w:rsidRPr="004043F7" w:rsidRDefault="008B5873" w:rsidP="00326EDB">
            <w:pPr>
              <w:autoSpaceDE w:val="0"/>
              <w:autoSpaceDN w:val="0"/>
              <w:adjustRightInd w:val="0"/>
              <w:jc w:val="both"/>
            </w:pPr>
          </w:p>
        </w:tc>
        <w:tc>
          <w:tcPr>
            <w:tcW w:w="3742"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1E99409" w14:textId="09ADAF61" w:rsidR="008B5873" w:rsidRPr="005044C1" w:rsidRDefault="008B5873" w:rsidP="00326EDB">
            <w:pPr>
              <w:autoSpaceDE w:val="0"/>
              <w:autoSpaceDN w:val="0"/>
              <w:adjustRightInd w:val="0"/>
              <w:spacing w:line="320" w:lineRule="atLeast"/>
              <w:ind w:left="60" w:right="60"/>
              <w:jc w:val="both"/>
              <w:rPr>
                <w:b/>
                <w:bCs/>
                <w:spacing w:val="-1"/>
                <w:lang w:eastAsia="en-US"/>
              </w:rPr>
            </w:pPr>
            <w:r w:rsidRPr="005044C1">
              <w:rPr>
                <w:b/>
                <w:bCs/>
                <w:spacing w:val="-1"/>
                <w:lang w:eastAsia="en-US"/>
              </w:rPr>
              <w:t>N</w:t>
            </w:r>
            <w:r w:rsidR="00C7336E">
              <w:rPr>
                <w:b/>
                <w:bCs/>
                <w:spacing w:val="-1"/>
                <w:lang w:eastAsia="en-US"/>
              </w:rPr>
              <w:t>urse</w:t>
            </w:r>
            <w:r w:rsidRPr="005044C1">
              <w:rPr>
                <w:b/>
                <w:bCs/>
                <w:spacing w:val="-1"/>
                <w:lang w:eastAsia="en-US"/>
              </w:rPr>
              <w:t>2 Understanding L</w:t>
            </w:r>
            <w:r>
              <w:rPr>
                <w:b/>
                <w:bCs/>
                <w:spacing w:val="-1"/>
                <w:lang w:eastAsia="en-US"/>
              </w:rPr>
              <w:t>evel</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38E0EA4C" w14:textId="77777777" w:rsidR="008B5873" w:rsidRPr="005044C1" w:rsidRDefault="008B5873" w:rsidP="00326EDB">
            <w:pPr>
              <w:autoSpaceDE w:val="0"/>
              <w:autoSpaceDN w:val="0"/>
              <w:adjustRightInd w:val="0"/>
              <w:spacing w:line="320" w:lineRule="atLeast"/>
              <w:ind w:left="60" w:right="60"/>
              <w:jc w:val="both"/>
              <w:rPr>
                <w:b/>
                <w:bCs/>
                <w:spacing w:val="-1"/>
                <w:lang w:eastAsia="en-US"/>
              </w:rPr>
            </w:pPr>
            <w:r w:rsidRPr="005044C1">
              <w:rPr>
                <w:b/>
                <w:bCs/>
                <w:spacing w:val="-1"/>
                <w:lang w:eastAsia="en-US"/>
              </w:rPr>
              <w:t>Total</w:t>
            </w:r>
          </w:p>
        </w:tc>
      </w:tr>
      <w:tr w:rsidR="008B5873" w:rsidRPr="004043F7" w14:paraId="7D418F90" w14:textId="77777777" w:rsidTr="00326EDB">
        <w:trPr>
          <w:cantSplit/>
          <w:trHeight w:val="176"/>
        </w:trPr>
        <w:tc>
          <w:tcPr>
            <w:tcW w:w="4878" w:type="dxa"/>
            <w:gridSpan w:val="2"/>
            <w:vMerge/>
            <w:tcBorders>
              <w:top w:val="single" w:sz="4" w:space="0" w:color="auto"/>
              <w:left w:val="single" w:sz="4" w:space="0" w:color="auto"/>
              <w:bottom w:val="single" w:sz="4" w:space="0" w:color="auto"/>
              <w:right w:val="single" w:sz="4" w:space="0" w:color="auto"/>
            </w:tcBorders>
            <w:vAlign w:val="center"/>
            <w:hideMark/>
          </w:tcPr>
          <w:p w14:paraId="55C1828E" w14:textId="77777777" w:rsidR="008B5873" w:rsidRPr="007C6A58" w:rsidRDefault="008B5873" w:rsidP="00326EDB">
            <w:pPr>
              <w:jc w:val="both"/>
            </w:pPr>
          </w:p>
        </w:tc>
        <w:tc>
          <w:tcPr>
            <w:tcW w:w="202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BA5C78" w14:textId="77777777" w:rsidR="008B5873" w:rsidRPr="005044C1" w:rsidRDefault="008B5873" w:rsidP="00326EDB">
            <w:pPr>
              <w:autoSpaceDE w:val="0"/>
              <w:autoSpaceDN w:val="0"/>
              <w:adjustRightInd w:val="0"/>
              <w:spacing w:line="320" w:lineRule="atLeast"/>
              <w:ind w:left="60" w:right="60"/>
              <w:jc w:val="both"/>
              <w:rPr>
                <w:b/>
                <w:bCs/>
                <w:spacing w:val="-1"/>
                <w:lang w:eastAsia="en-US"/>
              </w:rPr>
            </w:pPr>
            <w:r w:rsidRPr="005044C1">
              <w:rPr>
                <w:b/>
                <w:bCs/>
                <w:spacing w:val="-1"/>
                <w:lang w:eastAsia="en-US"/>
              </w:rPr>
              <w:t>Adequate understanding</w:t>
            </w:r>
          </w:p>
        </w:tc>
        <w:tc>
          <w:tcPr>
            <w:tcW w:w="171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7A7476" w14:textId="77777777" w:rsidR="008B5873" w:rsidRPr="005044C1" w:rsidRDefault="008B5873" w:rsidP="00326EDB">
            <w:pPr>
              <w:autoSpaceDE w:val="0"/>
              <w:autoSpaceDN w:val="0"/>
              <w:adjustRightInd w:val="0"/>
              <w:spacing w:line="320" w:lineRule="atLeast"/>
              <w:ind w:left="60" w:right="60"/>
              <w:jc w:val="both"/>
              <w:rPr>
                <w:b/>
                <w:bCs/>
                <w:spacing w:val="-1"/>
                <w:lang w:eastAsia="en-US"/>
              </w:rPr>
            </w:pPr>
            <w:r w:rsidRPr="005044C1">
              <w:rPr>
                <w:b/>
                <w:bCs/>
                <w:spacing w:val="-1"/>
                <w:lang w:eastAsia="en-US"/>
              </w:rPr>
              <w:t>lower level of understanding</w:t>
            </w: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6FD298EC" w14:textId="77777777" w:rsidR="008B5873" w:rsidRPr="005044C1" w:rsidRDefault="008B5873" w:rsidP="00326EDB">
            <w:pPr>
              <w:jc w:val="both"/>
              <w:rPr>
                <w:b/>
                <w:bCs/>
                <w:spacing w:val="-1"/>
                <w:lang w:eastAsia="en-US"/>
              </w:rPr>
            </w:pPr>
          </w:p>
        </w:tc>
      </w:tr>
      <w:tr w:rsidR="008B5873" w:rsidRPr="004043F7" w14:paraId="10473CBD" w14:textId="77777777" w:rsidTr="00326EDB">
        <w:trPr>
          <w:cantSplit/>
          <w:trHeight w:val="387"/>
        </w:trPr>
        <w:tc>
          <w:tcPr>
            <w:tcW w:w="2070" w:type="dxa"/>
            <w:vMerge w:val="restart"/>
            <w:tcBorders>
              <w:top w:val="single" w:sz="4" w:space="0" w:color="auto"/>
              <w:left w:val="single" w:sz="4" w:space="0" w:color="auto"/>
              <w:bottom w:val="single" w:sz="4" w:space="0" w:color="auto"/>
              <w:right w:val="single" w:sz="4" w:space="0" w:color="auto"/>
            </w:tcBorders>
            <w:hideMark/>
          </w:tcPr>
          <w:p w14:paraId="572D9500" w14:textId="617A1130" w:rsidR="008B5873" w:rsidRPr="005044C1" w:rsidRDefault="008B5873" w:rsidP="00326EDB">
            <w:pPr>
              <w:autoSpaceDE w:val="0"/>
              <w:autoSpaceDN w:val="0"/>
              <w:adjustRightInd w:val="0"/>
              <w:spacing w:line="320" w:lineRule="atLeast"/>
              <w:ind w:left="60" w:right="60"/>
              <w:jc w:val="both"/>
              <w:rPr>
                <w:b/>
                <w:bCs/>
                <w:spacing w:val="-1"/>
                <w:lang w:eastAsia="en-US"/>
              </w:rPr>
            </w:pPr>
            <w:r w:rsidRPr="005044C1">
              <w:rPr>
                <w:b/>
                <w:bCs/>
                <w:spacing w:val="-1"/>
                <w:lang w:eastAsia="en-US"/>
              </w:rPr>
              <w:t>N</w:t>
            </w:r>
            <w:r w:rsidR="00C7336E">
              <w:rPr>
                <w:b/>
                <w:bCs/>
                <w:spacing w:val="-1"/>
                <w:lang w:eastAsia="en-US"/>
              </w:rPr>
              <w:t>urse</w:t>
            </w:r>
            <w:r w:rsidRPr="005044C1">
              <w:rPr>
                <w:b/>
                <w:bCs/>
                <w:spacing w:val="-1"/>
                <w:lang w:eastAsia="en-US"/>
              </w:rPr>
              <w:t>1 Understanding L</w:t>
            </w:r>
            <w:r>
              <w:rPr>
                <w:b/>
                <w:bCs/>
                <w:spacing w:val="-1"/>
                <w:lang w:eastAsia="en-US"/>
              </w:rPr>
              <w:t>evel</w:t>
            </w:r>
          </w:p>
        </w:tc>
        <w:tc>
          <w:tcPr>
            <w:tcW w:w="2807" w:type="dxa"/>
            <w:tcBorders>
              <w:top w:val="single" w:sz="4" w:space="0" w:color="auto"/>
              <w:left w:val="single" w:sz="4" w:space="0" w:color="auto"/>
              <w:bottom w:val="single" w:sz="4" w:space="0" w:color="auto"/>
              <w:right w:val="single" w:sz="4" w:space="0" w:color="auto"/>
            </w:tcBorders>
            <w:hideMark/>
          </w:tcPr>
          <w:p w14:paraId="0ABA0D6D" w14:textId="77777777" w:rsidR="008B5873" w:rsidRPr="005044C1" w:rsidRDefault="008B5873" w:rsidP="00326EDB">
            <w:pPr>
              <w:autoSpaceDE w:val="0"/>
              <w:autoSpaceDN w:val="0"/>
              <w:adjustRightInd w:val="0"/>
              <w:spacing w:line="320" w:lineRule="atLeast"/>
              <w:ind w:left="60" w:right="60"/>
              <w:jc w:val="both"/>
              <w:rPr>
                <w:b/>
                <w:bCs/>
                <w:spacing w:val="-1"/>
                <w:lang w:eastAsia="en-US"/>
              </w:rPr>
            </w:pPr>
            <w:r w:rsidRPr="005044C1">
              <w:rPr>
                <w:b/>
                <w:bCs/>
                <w:spacing w:val="-1"/>
                <w:lang w:eastAsia="en-US"/>
              </w:rPr>
              <w:t>Adequate understanding</w:t>
            </w:r>
          </w:p>
        </w:tc>
        <w:tc>
          <w:tcPr>
            <w:tcW w:w="2029" w:type="dxa"/>
            <w:tcBorders>
              <w:top w:val="single" w:sz="4" w:space="0" w:color="auto"/>
              <w:left w:val="single" w:sz="4" w:space="0" w:color="auto"/>
              <w:bottom w:val="single" w:sz="4" w:space="0" w:color="auto"/>
              <w:right w:val="single" w:sz="4" w:space="0" w:color="auto"/>
            </w:tcBorders>
            <w:hideMark/>
          </w:tcPr>
          <w:p w14:paraId="1EA1BBB5" w14:textId="77777777" w:rsidR="008B5873" w:rsidRPr="007C6A58" w:rsidRDefault="008B5873" w:rsidP="00326EDB">
            <w:pPr>
              <w:autoSpaceDE w:val="0"/>
              <w:autoSpaceDN w:val="0"/>
              <w:adjustRightInd w:val="0"/>
              <w:spacing w:line="320" w:lineRule="atLeast"/>
              <w:ind w:left="60" w:right="60"/>
              <w:jc w:val="both"/>
            </w:pPr>
            <w:r w:rsidRPr="007C6A58">
              <w:t>1630</w:t>
            </w:r>
          </w:p>
        </w:tc>
        <w:tc>
          <w:tcPr>
            <w:tcW w:w="1712" w:type="dxa"/>
            <w:tcBorders>
              <w:top w:val="single" w:sz="4" w:space="0" w:color="auto"/>
              <w:left w:val="single" w:sz="4" w:space="0" w:color="auto"/>
              <w:bottom w:val="single" w:sz="4" w:space="0" w:color="auto"/>
              <w:right w:val="single" w:sz="4" w:space="0" w:color="auto"/>
            </w:tcBorders>
            <w:hideMark/>
          </w:tcPr>
          <w:p w14:paraId="3DAACF91" w14:textId="77777777" w:rsidR="008B5873" w:rsidRPr="007C6A58" w:rsidRDefault="008B5873" w:rsidP="00326EDB">
            <w:pPr>
              <w:autoSpaceDE w:val="0"/>
              <w:autoSpaceDN w:val="0"/>
              <w:adjustRightInd w:val="0"/>
              <w:spacing w:line="320" w:lineRule="atLeast"/>
              <w:ind w:left="60" w:right="60"/>
              <w:jc w:val="both"/>
            </w:pPr>
            <w:r w:rsidRPr="007C6A58">
              <w:t>294</w:t>
            </w:r>
          </w:p>
        </w:tc>
        <w:tc>
          <w:tcPr>
            <w:tcW w:w="1189" w:type="dxa"/>
            <w:tcBorders>
              <w:top w:val="single" w:sz="4" w:space="0" w:color="auto"/>
              <w:left w:val="single" w:sz="4" w:space="0" w:color="auto"/>
              <w:bottom w:val="single" w:sz="4" w:space="0" w:color="auto"/>
              <w:right w:val="single" w:sz="4" w:space="0" w:color="auto"/>
            </w:tcBorders>
            <w:hideMark/>
          </w:tcPr>
          <w:p w14:paraId="5CE9CC16" w14:textId="77777777" w:rsidR="008B5873" w:rsidRPr="007C6A58" w:rsidRDefault="008B5873" w:rsidP="00326EDB">
            <w:pPr>
              <w:autoSpaceDE w:val="0"/>
              <w:autoSpaceDN w:val="0"/>
              <w:adjustRightInd w:val="0"/>
              <w:spacing w:line="320" w:lineRule="atLeast"/>
              <w:ind w:left="60" w:right="60"/>
              <w:jc w:val="both"/>
            </w:pPr>
            <w:r w:rsidRPr="007C6A58">
              <w:t>1924</w:t>
            </w:r>
          </w:p>
        </w:tc>
      </w:tr>
      <w:tr w:rsidR="008B5873" w:rsidRPr="004043F7" w14:paraId="666B7BB1" w14:textId="77777777" w:rsidTr="00326EDB">
        <w:trPr>
          <w:cantSplit/>
          <w:trHeight w:val="176"/>
        </w:trPr>
        <w:tc>
          <w:tcPr>
            <w:tcW w:w="2070" w:type="dxa"/>
            <w:vMerge/>
            <w:tcBorders>
              <w:top w:val="single" w:sz="4" w:space="0" w:color="auto"/>
              <w:left w:val="single" w:sz="4" w:space="0" w:color="auto"/>
              <w:bottom w:val="single" w:sz="4" w:space="0" w:color="auto"/>
              <w:right w:val="single" w:sz="4" w:space="0" w:color="auto"/>
            </w:tcBorders>
            <w:vAlign w:val="center"/>
            <w:hideMark/>
          </w:tcPr>
          <w:p w14:paraId="17F1E2D9" w14:textId="77777777" w:rsidR="008B5873" w:rsidRPr="005044C1" w:rsidRDefault="008B5873" w:rsidP="00326EDB">
            <w:pPr>
              <w:autoSpaceDE w:val="0"/>
              <w:autoSpaceDN w:val="0"/>
              <w:adjustRightInd w:val="0"/>
              <w:spacing w:line="320" w:lineRule="atLeast"/>
              <w:ind w:left="60" w:right="60"/>
              <w:jc w:val="both"/>
              <w:rPr>
                <w:b/>
                <w:bCs/>
                <w:spacing w:val="-1"/>
                <w:lang w:eastAsia="en-US"/>
              </w:rPr>
            </w:pPr>
          </w:p>
        </w:tc>
        <w:tc>
          <w:tcPr>
            <w:tcW w:w="2807" w:type="dxa"/>
            <w:tcBorders>
              <w:top w:val="single" w:sz="4" w:space="0" w:color="auto"/>
              <w:left w:val="single" w:sz="4" w:space="0" w:color="auto"/>
              <w:bottom w:val="single" w:sz="4" w:space="0" w:color="auto"/>
              <w:right w:val="single" w:sz="4" w:space="0" w:color="auto"/>
            </w:tcBorders>
            <w:hideMark/>
          </w:tcPr>
          <w:p w14:paraId="35985D8C" w14:textId="77777777" w:rsidR="008B5873" w:rsidRPr="005044C1" w:rsidRDefault="008B5873" w:rsidP="00326EDB">
            <w:pPr>
              <w:autoSpaceDE w:val="0"/>
              <w:autoSpaceDN w:val="0"/>
              <w:adjustRightInd w:val="0"/>
              <w:spacing w:line="320" w:lineRule="atLeast"/>
              <w:ind w:left="60" w:right="60"/>
              <w:jc w:val="both"/>
              <w:rPr>
                <w:b/>
                <w:bCs/>
                <w:spacing w:val="-1"/>
                <w:lang w:eastAsia="en-US"/>
              </w:rPr>
            </w:pPr>
            <w:r w:rsidRPr="005044C1">
              <w:rPr>
                <w:b/>
                <w:bCs/>
                <w:spacing w:val="-1"/>
                <w:lang w:eastAsia="en-US"/>
              </w:rPr>
              <w:t>lower level of understanding</w:t>
            </w:r>
          </w:p>
        </w:tc>
        <w:tc>
          <w:tcPr>
            <w:tcW w:w="2029" w:type="dxa"/>
            <w:tcBorders>
              <w:top w:val="single" w:sz="4" w:space="0" w:color="auto"/>
              <w:left w:val="single" w:sz="4" w:space="0" w:color="auto"/>
              <w:bottom w:val="single" w:sz="4" w:space="0" w:color="auto"/>
              <w:right w:val="single" w:sz="4" w:space="0" w:color="auto"/>
            </w:tcBorders>
            <w:hideMark/>
          </w:tcPr>
          <w:p w14:paraId="31499EF9" w14:textId="77777777" w:rsidR="008B5873" w:rsidRPr="007C6A58" w:rsidRDefault="008B5873" w:rsidP="00326EDB">
            <w:pPr>
              <w:autoSpaceDE w:val="0"/>
              <w:autoSpaceDN w:val="0"/>
              <w:adjustRightInd w:val="0"/>
              <w:spacing w:line="320" w:lineRule="atLeast"/>
              <w:ind w:left="60" w:right="60"/>
              <w:jc w:val="both"/>
            </w:pPr>
            <w:r w:rsidRPr="007C6A58">
              <w:t>288</w:t>
            </w:r>
          </w:p>
        </w:tc>
        <w:tc>
          <w:tcPr>
            <w:tcW w:w="1712" w:type="dxa"/>
            <w:tcBorders>
              <w:top w:val="single" w:sz="4" w:space="0" w:color="auto"/>
              <w:left w:val="single" w:sz="4" w:space="0" w:color="auto"/>
              <w:bottom w:val="single" w:sz="4" w:space="0" w:color="auto"/>
              <w:right w:val="single" w:sz="4" w:space="0" w:color="auto"/>
            </w:tcBorders>
            <w:hideMark/>
          </w:tcPr>
          <w:p w14:paraId="70648B7F" w14:textId="77777777" w:rsidR="008B5873" w:rsidRPr="007C6A58" w:rsidRDefault="008B5873" w:rsidP="00326EDB">
            <w:pPr>
              <w:autoSpaceDE w:val="0"/>
              <w:autoSpaceDN w:val="0"/>
              <w:adjustRightInd w:val="0"/>
              <w:spacing w:line="320" w:lineRule="atLeast"/>
              <w:ind w:left="60" w:right="60"/>
              <w:jc w:val="both"/>
            </w:pPr>
            <w:r w:rsidRPr="007C6A58">
              <w:t>134</w:t>
            </w:r>
          </w:p>
        </w:tc>
        <w:tc>
          <w:tcPr>
            <w:tcW w:w="1189" w:type="dxa"/>
            <w:tcBorders>
              <w:top w:val="single" w:sz="4" w:space="0" w:color="auto"/>
              <w:left w:val="single" w:sz="4" w:space="0" w:color="auto"/>
              <w:bottom w:val="single" w:sz="4" w:space="0" w:color="auto"/>
              <w:right w:val="single" w:sz="4" w:space="0" w:color="auto"/>
            </w:tcBorders>
            <w:hideMark/>
          </w:tcPr>
          <w:p w14:paraId="5C488D8F" w14:textId="77777777" w:rsidR="008B5873" w:rsidRPr="007C6A58" w:rsidRDefault="008B5873" w:rsidP="00326EDB">
            <w:pPr>
              <w:autoSpaceDE w:val="0"/>
              <w:autoSpaceDN w:val="0"/>
              <w:adjustRightInd w:val="0"/>
              <w:spacing w:line="320" w:lineRule="atLeast"/>
              <w:ind w:left="60" w:right="60"/>
              <w:jc w:val="both"/>
            </w:pPr>
            <w:r w:rsidRPr="007C6A58">
              <w:t>422</w:t>
            </w:r>
          </w:p>
        </w:tc>
      </w:tr>
      <w:tr w:rsidR="008B5873" w:rsidRPr="004043F7" w14:paraId="3998C260" w14:textId="77777777" w:rsidTr="00326EDB">
        <w:trPr>
          <w:cantSplit/>
          <w:trHeight w:val="387"/>
        </w:trPr>
        <w:tc>
          <w:tcPr>
            <w:tcW w:w="4878" w:type="dxa"/>
            <w:gridSpan w:val="2"/>
            <w:tcBorders>
              <w:top w:val="single" w:sz="4" w:space="0" w:color="auto"/>
              <w:left w:val="single" w:sz="4" w:space="0" w:color="auto"/>
              <w:bottom w:val="single" w:sz="4" w:space="0" w:color="auto"/>
              <w:right w:val="single" w:sz="4" w:space="0" w:color="auto"/>
            </w:tcBorders>
            <w:hideMark/>
          </w:tcPr>
          <w:p w14:paraId="44751FD9" w14:textId="77777777" w:rsidR="008B5873" w:rsidRPr="005044C1" w:rsidRDefault="008B5873" w:rsidP="00326EDB">
            <w:pPr>
              <w:autoSpaceDE w:val="0"/>
              <w:autoSpaceDN w:val="0"/>
              <w:adjustRightInd w:val="0"/>
              <w:spacing w:line="320" w:lineRule="atLeast"/>
              <w:ind w:left="60" w:right="60"/>
              <w:jc w:val="both"/>
              <w:rPr>
                <w:b/>
                <w:bCs/>
                <w:spacing w:val="-1"/>
                <w:lang w:eastAsia="en-US"/>
              </w:rPr>
            </w:pPr>
            <w:r w:rsidRPr="005044C1">
              <w:rPr>
                <w:b/>
                <w:bCs/>
                <w:spacing w:val="-1"/>
                <w:lang w:eastAsia="en-US"/>
              </w:rPr>
              <w:t>Total</w:t>
            </w:r>
          </w:p>
        </w:tc>
        <w:tc>
          <w:tcPr>
            <w:tcW w:w="2029" w:type="dxa"/>
            <w:tcBorders>
              <w:top w:val="single" w:sz="4" w:space="0" w:color="auto"/>
              <w:left w:val="single" w:sz="4" w:space="0" w:color="auto"/>
              <w:bottom w:val="single" w:sz="4" w:space="0" w:color="auto"/>
              <w:right w:val="single" w:sz="4" w:space="0" w:color="auto"/>
            </w:tcBorders>
            <w:hideMark/>
          </w:tcPr>
          <w:p w14:paraId="5C53ACE9" w14:textId="77777777" w:rsidR="008B5873" w:rsidRPr="007C6A58" w:rsidRDefault="008B5873" w:rsidP="00326EDB">
            <w:pPr>
              <w:autoSpaceDE w:val="0"/>
              <w:autoSpaceDN w:val="0"/>
              <w:adjustRightInd w:val="0"/>
              <w:spacing w:line="320" w:lineRule="atLeast"/>
              <w:ind w:left="60" w:right="60"/>
              <w:jc w:val="both"/>
            </w:pPr>
            <w:r w:rsidRPr="007C6A58">
              <w:t>1918</w:t>
            </w:r>
          </w:p>
        </w:tc>
        <w:tc>
          <w:tcPr>
            <w:tcW w:w="1712" w:type="dxa"/>
            <w:tcBorders>
              <w:top w:val="single" w:sz="4" w:space="0" w:color="auto"/>
              <w:left w:val="single" w:sz="4" w:space="0" w:color="auto"/>
              <w:bottom w:val="single" w:sz="4" w:space="0" w:color="auto"/>
              <w:right w:val="single" w:sz="4" w:space="0" w:color="auto"/>
            </w:tcBorders>
            <w:hideMark/>
          </w:tcPr>
          <w:p w14:paraId="111D41C3" w14:textId="77777777" w:rsidR="008B5873" w:rsidRPr="007C6A58" w:rsidRDefault="008B5873" w:rsidP="00326EDB">
            <w:pPr>
              <w:autoSpaceDE w:val="0"/>
              <w:autoSpaceDN w:val="0"/>
              <w:adjustRightInd w:val="0"/>
              <w:spacing w:line="320" w:lineRule="atLeast"/>
              <w:ind w:left="60" w:right="60"/>
              <w:jc w:val="both"/>
            </w:pPr>
            <w:r w:rsidRPr="007C6A58">
              <w:t>428</w:t>
            </w:r>
          </w:p>
        </w:tc>
        <w:tc>
          <w:tcPr>
            <w:tcW w:w="1189" w:type="dxa"/>
            <w:tcBorders>
              <w:top w:val="single" w:sz="4" w:space="0" w:color="auto"/>
              <w:left w:val="single" w:sz="4" w:space="0" w:color="auto"/>
              <w:bottom w:val="single" w:sz="4" w:space="0" w:color="auto"/>
              <w:right w:val="single" w:sz="4" w:space="0" w:color="auto"/>
            </w:tcBorders>
            <w:hideMark/>
          </w:tcPr>
          <w:p w14:paraId="2A708486" w14:textId="77777777" w:rsidR="008B5873" w:rsidRPr="007C6A58" w:rsidRDefault="008B5873" w:rsidP="00326EDB">
            <w:pPr>
              <w:autoSpaceDE w:val="0"/>
              <w:autoSpaceDN w:val="0"/>
              <w:adjustRightInd w:val="0"/>
              <w:spacing w:line="320" w:lineRule="atLeast"/>
              <w:ind w:left="60" w:right="60"/>
              <w:jc w:val="both"/>
            </w:pPr>
            <w:r w:rsidRPr="007C6A58">
              <w:t>2346</w:t>
            </w:r>
          </w:p>
        </w:tc>
      </w:tr>
    </w:tbl>
    <w:p w14:paraId="3465B178" w14:textId="77777777" w:rsidR="008B5873" w:rsidRDefault="008B5873" w:rsidP="008B5873">
      <w:pPr>
        <w:pStyle w:val="BodyText"/>
        <w:rPr>
          <w:lang w:eastAsia="en-US"/>
        </w:rPr>
      </w:pPr>
    </w:p>
    <w:p w14:paraId="3C562535" w14:textId="77777777" w:rsidR="008B5873" w:rsidRDefault="008B5873" w:rsidP="008B5873">
      <w:pPr>
        <w:pStyle w:val="BodyText"/>
        <w:rPr>
          <w:lang w:eastAsia="en-US"/>
        </w:rPr>
      </w:pPr>
    </w:p>
    <w:p w14:paraId="4FDE2936" w14:textId="77777777" w:rsidR="008B5873" w:rsidRDefault="008B5873" w:rsidP="008B5873">
      <w:pPr>
        <w:pStyle w:val="BodyText"/>
        <w:rPr>
          <w:lang w:eastAsia="en-US"/>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77"/>
        <w:gridCol w:w="951"/>
        <w:gridCol w:w="1219"/>
        <w:gridCol w:w="1759"/>
        <w:gridCol w:w="1759"/>
        <w:gridCol w:w="1763"/>
      </w:tblGrid>
      <w:tr w:rsidR="008B5873" w:rsidRPr="004043F7" w14:paraId="5E473745" w14:textId="77777777" w:rsidTr="00326EDB">
        <w:trPr>
          <w:cantSplit/>
          <w:trHeight w:val="320"/>
        </w:trPr>
        <w:tc>
          <w:tcPr>
            <w:tcW w:w="9928" w:type="dxa"/>
            <w:gridSpan w:val="6"/>
            <w:tcBorders>
              <w:top w:val="nil"/>
              <w:left w:val="nil"/>
              <w:bottom w:val="single" w:sz="4" w:space="0" w:color="auto"/>
              <w:right w:val="nil"/>
            </w:tcBorders>
            <w:vAlign w:val="center"/>
            <w:hideMark/>
          </w:tcPr>
          <w:p w14:paraId="18DFD6FC" w14:textId="77777777" w:rsidR="008B5873" w:rsidRPr="00A61F07" w:rsidRDefault="008B5873" w:rsidP="00326EDB">
            <w:pPr>
              <w:autoSpaceDE w:val="0"/>
              <w:autoSpaceDN w:val="0"/>
              <w:adjustRightInd w:val="0"/>
              <w:rPr>
                <w:b/>
                <w:bCs/>
                <w:spacing w:val="-1"/>
                <w:lang w:eastAsia="en-US"/>
              </w:rPr>
            </w:pPr>
            <w:r w:rsidRPr="007C6A58">
              <w:t xml:space="preserve">Table </w:t>
            </w:r>
            <w:r>
              <w:t xml:space="preserve">8: </w:t>
            </w:r>
            <w:r w:rsidRPr="0049086F">
              <w:rPr>
                <w:spacing w:val="-1"/>
                <w:lang w:eastAsia="en-US"/>
              </w:rPr>
              <w:t>Symmetric Measures</w:t>
            </w:r>
          </w:p>
        </w:tc>
      </w:tr>
      <w:tr w:rsidR="008B5873" w:rsidRPr="004043F7" w14:paraId="7FB4EAAA" w14:textId="77777777" w:rsidTr="00326EDB">
        <w:trPr>
          <w:cantSplit/>
          <w:trHeight w:val="641"/>
        </w:trPr>
        <w:tc>
          <w:tcPr>
            <w:tcW w:w="3428" w:type="dxa"/>
            <w:gridSpan w:val="2"/>
            <w:tcBorders>
              <w:top w:val="single" w:sz="4" w:space="0" w:color="auto"/>
            </w:tcBorders>
            <w:vAlign w:val="bottom"/>
          </w:tcPr>
          <w:p w14:paraId="6D2034F8" w14:textId="77777777" w:rsidR="008B5873" w:rsidRPr="00A61F07" w:rsidRDefault="008B5873" w:rsidP="00326EDB">
            <w:pPr>
              <w:autoSpaceDE w:val="0"/>
              <w:autoSpaceDN w:val="0"/>
              <w:adjustRightInd w:val="0"/>
              <w:jc w:val="both"/>
              <w:rPr>
                <w:b/>
                <w:bCs/>
                <w:spacing w:val="-1"/>
                <w:lang w:eastAsia="en-US"/>
              </w:rPr>
            </w:pPr>
          </w:p>
        </w:tc>
        <w:tc>
          <w:tcPr>
            <w:tcW w:w="1219" w:type="dxa"/>
            <w:tcBorders>
              <w:top w:val="single" w:sz="4" w:space="0" w:color="auto"/>
            </w:tcBorders>
            <w:vAlign w:val="bottom"/>
            <w:hideMark/>
          </w:tcPr>
          <w:p w14:paraId="079D054F" w14:textId="77777777" w:rsidR="008B5873" w:rsidRPr="00A61F07" w:rsidRDefault="008B5873" w:rsidP="00326EDB">
            <w:pPr>
              <w:autoSpaceDE w:val="0"/>
              <w:autoSpaceDN w:val="0"/>
              <w:adjustRightInd w:val="0"/>
              <w:jc w:val="both"/>
              <w:rPr>
                <w:b/>
                <w:bCs/>
                <w:spacing w:val="-1"/>
                <w:lang w:eastAsia="en-US"/>
              </w:rPr>
            </w:pPr>
            <w:r w:rsidRPr="00A61F07">
              <w:rPr>
                <w:b/>
                <w:bCs/>
                <w:spacing w:val="-1"/>
                <w:lang w:eastAsia="en-US"/>
              </w:rPr>
              <w:t>Value</w:t>
            </w:r>
          </w:p>
        </w:tc>
        <w:tc>
          <w:tcPr>
            <w:tcW w:w="1759" w:type="dxa"/>
            <w:tcBorders>
              <w:top w:val="single" w:sz="4" w:space="0" w:color="auto"/>
            </w:tcBorders>
            <w:vAlign w:val="bottom"/>
            <w:hideMark/>
          </w:tcPr>
          <w:p w14:paraId="2DE15AE0" w14:textId="77777777" w:rsidR="008B5873" w:rsidRPr="00A61F07" w:rsidRDefault="008B5873" w:rsidP="00326EDB">
            <w:pPr>
              <w:autoSpaceDE w:val="0"/>
              <w:autoSpaceDN w:val="0"/>
              <w:adjustRightInd w:val="0"/>
              <w:jc w:val="both"/>
              <w:rPr>
                <w:b/>
                <w:bCs/>
                <w:spacing w:val="-1"/>
                <w:lang w:eastAsia="en-US"/>
              </w:rPr>
            </w:pPr>
            <w:r w:rsidRPr="00A61F07">
              <w:rPr>
                <w:b/>
                <w:bCs/>
                <w:spacing w:val="-1"/>
                <w:lang w:eastAsia="en-US"/>
              </w:rPr>
              <w:t>Asymptotic Standard Error</w:t>
            </w:r>
          </w:p>
        </w:tc>
        <w:tc>
          <w:tcPr>
            <w:tcW w:w="1759" w:type="dxa"/>
            <w:tcBorders>
              <w:top w:val="single" w:sz="4" w:space="0" w:color="auto"/>
            </w:tcBorders>
            <w:vAlign w:val="bottom"/>
            <w:hideMark/>
          </w:tcPr>
          <w:p w14:paraId="39681F8A" w14:textId="77777777" w:rsidR="008B5873" w:rsidRPr="00A61F07" w:rsidRDefault="008B5873" w:rsidP="00326EDB">
            <w:pPr>
              <w:autoSpaceDE w:val="0"/>
              <w:autoSpaceDN w:val="0"/>
              <w:adjustRightInd w:val="0"/>
              <w:jc w:val="both"/>
              <w:rPr>
                <w:b/>
                <w:bCs/>
                <w:spacing w:val="-1"/>
                <w:lang w:eastAsia="en-US"/>
              </w:rPr>
            </w:pPr>
            <w:r w:rsidRPr="00A61F07">
              <w:rPr>
                <w:b/>
                <w:bCs/>
                <w:spacing w:val="-1"/>
                <w:lang w:eastAsia="en-US"/>
              </w:rPr>
              <w:t>Approximate Tb</w:t>
            </w:r>
          </w:p>
        </w:tc>
        <w:tc>
          <w:tcPr>
            <w:tcW w:w="1761" w:type="dxa"/>
            <w:tcBorders>
              <w:top w:val="single" w:sz="4" w:space="0" w:color="auto"/>
            </w:tcBorders>
            <w:vAlign w:val="bottom"/>
            <w:hideMark/>
          </w:tcPr>
          <w:p w14:paraId="6A8EB4A4" w14:textId="77777777" w:rsidR="008B5873" w:rsidRPr="00A61F07" w:rsidRDefault="008B5873" w:rsidP="00326EDB">
            <w:pPr>
              <w:autoSpaceDE w:val="0"/>
              <w:autoSpaceDN w:val="0"/>
              <w:adjustRightInd w:val="0"/>
              <w:jc w:val="both"/>
              <w:rPr>
                <w:b/>
                <w:bCs/>
                <w:spacing w:val="-1"/>
                <w:lang w:eastAsia="en-US"/>
              </w:rPr>
            </w:pPr>
            <w:r w:rsidRPr="00A61F07">
              <w:rPr>
                <w:b/>
                <w:bCs/>
                <w:spacing w:val="-1"/>
                <w:lang w:eastAsia="en-US"/>
              </w:rPr>
              <w:t>Approximate Significance</w:t>
            </w:r>
          </w:p>
        </w:tc>
      </w:tr>
      <w:tr w:rsidR="008B5873" w:rsidRPr="004043F7" w14:paraId="10EE462E" w14:textId="77777777" w:rsidTr="00326EDB">
        <w:trPr>
          <w:cantSplit/>
          <w:trHeight w:val="448"/>
        </w:trPr>
        <w:tc>
          <w:tcPr>
            <w:tcW w:w="2477" w:type="dxa"/>
            <w:hideMark/>
          </w:tcPr>
          <w:p w14:paraId="5A9B7BF5" w14:textId="77777777" w:rsidR="008B5873" w:rsidRPr="00A61F07" w:rsidRDefault="008B5873" w:rsidP="00326EDB">
            <w:pPr>
              <w:autoSpaceDE w:val="0"/>
              <w:autoSpaceDN w:val="0"/>
              <w:adjustRightInd w:val="0"/>
              <w:spacing w:line="320" w:lineRule="atLeast"/>
              <w:ind w:left="60" w:right="60"/>
              <w:jc w:val="both"/>
              <w:rPr>
                <w:b/>
                <w:bCs/>
                <w:spacing w:val="-1"/>
                <w:lang w:eastAsia="en-US"/>
              </w:rPr>
            </w:pPr>
            <w:r w:rsidRPr="00A61F07">
              <w:rPr>
                <w:b/>
                <w:bCs/>
                <w:spacing w:val="-1"/>
                <w:lang w:eastAsia="en-US"/>
              </w:rPr>
              <w:t>Measure of Agreement</w:t>
            </w:r>
          </w:p>
        </w:tc>
        <w:tc>
          <w:tcPr>
            <w:tcW w:w="950" w:type="dxa"/>
            <w:hideMark/>
          </w:tcPr>
          <w:p w14:paraId="19EF5E1E" w14:textId="77777777" w:rsidR="008B5873" w:rsidRPr="00A61F07" w:rsidRDefault="008B5873" w:rsidP="00326EDB">
            <w:pPr>
              <w:autoSpaceDE w:val="0"/>
              <w:autoSpaceDN w:val="0"/>
              <w:adjustRightInd w:val="0"/>
              <w:spacing w:line="320" w:lineRule="atLeast"/>
              <w:ind w:left="60" w:right="60"/>
              <w:jc w:val="both"/>
              <w:rPr>
                <w:b/>
                <w:bCs/>
                <w:spacing w:val="-1"/>
                <w:lang w:eastAsia="en-US"/>
              </w:rPr>
            </w:pPr>
            <w:r w:rsidRPr="00A61F07">
              <w:rPr>
                <w:b/>
                <w:bCs/>
                <w:spacing w:val="-1"/>
                <w:lang w:eastAsia="en-US"/>
              </w:rPr>
              <w:t>Kappa</w:t>
            </w:r>
          </w:p>
        </w:tc>
        <w:tc>
          <w:tcPr>
            <w:tcW w:w="1219" w:type="dxa"/>
            <w:hideMark/>
          </w:tcPr>
          <w:p w14:paraId="0EFA5EE5" w14:textId="2AC2FD67" w:rsidR="008B5873" w:rsidRPr="00A61F07" w:rsidRDefault="00C7336E" w:rsidP="00326EDB">
            <w:pPr>
              <w:autoSpaceDE w:val="0"/>
              <w:autoSpaceDN w:val="0"/>
              <w:adjustRightInd w:val="0"/>
              <w:spacing w:line="320" w:lineRule="atLeast"/>
              <w:ind w:left="60" w:right="60"/>
              <w:jc w:val="both"/>
            </w:pPr>
            <w:r>
              <w:t>0</w:t>
            </w:r>
            <w:r w:rsidR="008B5873" w:rsidRPr="00A61F07">
              <w:t>.164</w:t>
            </w:r>
          </w:p>
        </w:tc>
        <w:tc>
          <w:tcPr>
            <w:tcW w:w="1759" w:type="dxa"/>
            <w:hideMark/>
          </w:tcPr>
          <w:p w14:paraId="3617414C" w14:textId="15802ED0" w:rsidR="008B5873" w:rsidRPr="004043F7" w:rsidRDefault="00C7336E" w:rsidP="00326EDB">
            <w:pPr>
              <w:autoSpaceDE w:val="0"/>
              <w:autoSpaceDN w:val="0"/>
              <w:adjustRightInd w:val="0"/>
              <w:spacing w:line="320" w:lineRule="atLeast"/>
              <w:ind w:left="60" w:right="60"/>
              <w:jc w:val="both"/>
              <w:rPr>
                <w:rFonts w:asciiTheme="majorBidi" w:hAnsiTheme="majorBidi" w:cstheme="majorBidi"/>
              </w:rPr>
            </w:pPr>
            <w:r>
              <w:rPr>
                <w:rFonts w:asciiTheme="majorBidi" w:hAnsiTheme="majorBidi" w:cstheme="majorBidi"/>
              </w:rPr>
              <w:t>0</w:t>
            </w:r>
            <w:r w:rsidR="008B5873" w:rsidRPr="004043F7">
              <w:rPr>
                <w:rFonts w:asciiTheme="majorBidi" w:hAnsiTheme="majorBidi" w:cstheme="majorBidi"/>
              </w:rPr>
              <w:t>.024</w:t>
            </w:r>
          </w:p>
        </w:tc>
        <w:tc>
          <w:tcPr>
            <w:tcW w:w="1759" w:type="dxa"/>
            <w:hideMark/>
          </w:tcPr>
          <w:p w14:paraId="3530CCBD" w14:textId="77777777" w:rsidR="008B5873" w:rsidRPr="004043F7" w:rsidRDefault="008B5873" w:rsidP="00326EDB">
            <w:pPr>
              <w:autoSpaceDE w:val="0"/>
              <w:autoSpaceDN w:val="0"/>
              <w:adjustRightInd w:val="0"/>
              <w:spacing w:line="320" w:lineRule="atLeast"/>
              <w:ind w:left="60" w:right="60"/>
              <w:jc w:val="both"/>
              <w:rPr>
                <w:rFonts w:asciiTheme="majorBidi" w:hAnsiTheme="majorBidi" w:cstheme="majorBidi"/>
              </w:rPr>
            </w:pPr>
            <w:r w:rsidRPr="004043F7">
              <w:rPr>
                <w:rFonts w:asciiTheme="majorBidi" w:hAnsiTheme="majorBidi" w:cstheme="majorBidi"/>
              </w:rPr>
              <w:t>7.935</w:t>
            </w:r>
          </w:p>
        </w:tc>
        <w:tc>
          <w:tcPr>
            <w:tcW w:w="1761" w:type="dxa"/>
            <w:hideMark/>
          </w:tcPr>
          <w:p w14:paraId="2C2B371E" w14:textId="77777777" w:rsidR="008B5873" w:rsidRPr="004043F7" w:rsidRDefault="008B5873" w:rsidP="00326EDB">
            <w:pPr>
              <w:autoSpaceDE w:val="0"/>
              <w:autoSpaceDN w:val="0"/>
              <w:adjustRightInd w:val="0"/>
              <w:spacing w:line="320" w:lineRule="atLeast"/>
              <w:ind w:left="60" w:right="60"/>
              <w:jc w:val="both"/>
              <w:rPr>
                <w:rFonts w:asciiTheme="majorBidi" w:hAnsiTheme="majorBidi" w:cstheme="majorBidi"/>
              </w:rPr>
            </w:pPr>
            <w:r w:rsidRPr="004043F7">
              <w:rPr>
                <w:rFonts w:asciiTheme="majorBidi" w:hAnsiTheme="majorBidi" w:cstheme="majorBidi"/>
              </w:rPr>
              <w:t>&lt;.001</w:t>
            </w:r>
          </w:p>
        </w:tc>
      </w:tr>
      <w:tr w:rsidR="008B5873" w:rsidRPr="004043F7" w14:paraId="0EA7E9C0" w14:textId="77777777" w:rsidTr="00326EDB">
        <w:trPr>
          <w:cantSplit/>
          <w:trHeight w:val="448"/>
        </w:trPr>
        <w:tc>
          <w:tcPr>
            <w:tcW w:w="3428" w:type="dxa"/>
            <w:gridSpan w:val="2"/>
            <w:hideMark/>
          </w:tcPr>
          <w:p w14:paraId="200702BE" w14:textId="55A15DA3" w:rsidR="008B5873" w:rsidRPr="00A61F07" w:rsidRDefault="008B5873" w:rsidP="00326EDB">
            <w:pPr>
              <w:autoSpaceDE w:val="0"/>
              <w:autoSpaceDN w:val="0"/>
              <w:adjustRightInd w:val="0"/>
              <w:spacing w:line="320" w:lineRule="atLeast"/>
              <w:ind w:left="60" w:right="60"/>
              <w:jc w:val="both"/>
              <w:rPr>
                <w:b/>
                <w:bCs/>
                <w:spacing w:val="-1"/>
                <w:lang w:eastAsia="en-US"/>
              </w:rPr>
            </w:pPr>
            <w:r w:rsidRPr="00A61F07">
              <w:rPr>
                <w:b/>
                <w:bCs/>
                <w:spacing w:val="-1"/>
                <w:lang w:eastAsia="en-US"/>
              </w:rPr>
              <w:t>N</w:t>
            </w:r>
            <w:r w:rsidR="00C7336E">
              <w:rPr>
                <w:b/>
                <w:bCs/>
                <w:spacing w:val="-1"/>
                <w:lang w:eastAsia="en-US"/>
              </w:rPr>
              <w:t>o</w:t>
            </w:r>
            <w:r w:rsidRPr="00A61F07">
              <w:rPr>
                <w:b/>
                <w:bCs/>
                <w:spacing w:val="-1"/>
                <w:lang w:eastAsia="en-US"/>
              </w:rPr>
              <w:t xml:space="preserve"> of Valid Cases</w:t>
            </w:r>
          </w:p>
        </w:tc>
        <w:tc>
          <w:tcPr>
            <w:tcW w:w="1219" w:type="dxa"/>
            <w:hideMark/>
          </w:tcPr>
          <w:p w14:paraId="4800F70F" w14:textId="77777777" w:rsidR="008B5873" w:rsidRPr="00A61F07" w:rsidRDefault="008B5873" w:rsidP="00326EDB">
            <w:pPr>
              <w:autoSpaceDE w:val="0"/>
              <w:autoSpaceDN w:val="0"/>
              <w:adjustRightInd w:val="0"/>
              <w:spacing w:line="320" w:lineRule="atLeast"/>
              <w:ind w:left="60" w:right="60"/>
              <w:jc w:val="both"/>
            </w:pPr>
            <w:r w:rsidRPr="00A61F07">
              <w:t>2346</w:t>
            </w:r>
          </w:p>
        </w:tc>
        <w:tc>
          <w:tcPr>
            <w:tcW w:w="1759" w:type="dxa"/>
            <w:vAlign w:val="center"/>
          </w:tcPr>
          <w:p w14:paraId="6812D197" w14:textId="77777777" w:rsidR="008B5873" w:rsidRPr="004043F7" w:rsidRDefault="008B5873" w:rsidP="00326EDB">
            <w:pPr>
              <w:autoSpaceDE w:val="0"/>
              <w:autoSpaceDN w:val="0"/>
              <w:adjustRightInd w:val="0"/>
              <w:jc w:val="both"/>
              <w:rPr>
                <w:rFonts w:asciiTheme="majorBidi" w:hAnsiTheme="majorBidi" w:cstheme="majorBidi"/>
              </w:rPr>
            </w:pPr>
          </w:p>
        </w:tc>
        <w:tc>
          <w:tcPr>
            <w:tcW w:w="1759" w:type="dxa"/>
            <w:vAlign w:val="center"/>
          </w:tcPr>
          <w:p w14:paraId="34FF7136" w14:textId="77777777" w:rsidR="008B5873" w:rsidRPr="004043F7" w:rsidRDefault="008B5873" w:rsidP="00326EDB">
            <w:pPr>
              <w:autoSpaceDE w:val="0"/>
              <w:autoSpaceDN w:val="0"/>
              <w:adjustRightInd w:val="0"/>
              <w:jc w:val="both"/>
              <w:rPr>
                <w:rFonts w:asciiTheme="majorBidi" w:hAnsiTheme="majorBidi" w:cstheme="majorBidi"/>
              </w:rPr>
            </w:pPr>
          </w:p>
        </w:tc>
        <w:tc>
          <w:tcPr>
            <w:tcW w:w="1761" w:type="dxa"/>
            <w:vAlign w:val="center"/>
          </w:tcPr>
          <w:p w14:paraId="46A6F8E9" w14:textId="77777777" w:rsidR="008B5873" w:rsidRPr="004043F7" w:rsidRDefault="008B5873" w:rsidP="00326EDB">
            <w:pPr>
              <w:autoSpaceDE w:val="0"/>
              <w:autoSpaceDN w:val="0"/>
              <w:adjustRightInd w:val="0"/>
              <w:jc w:val="both"/>
              <w:rPr>
                <w:rFonts w:asciiTheme="majorBidi" w:hAnsiTheme="majorBidi" w:cstheme="majorBidi"/>
              </w:rPr>
            </w:pPr>
          </w:p>
        </w:tc>
      </w:tr>
      <w:tr w:rsidR="008B5873" w:rsidRPr="004043F7" w14:paraId="709B6CE1" w14:textId="77777777" w:rsidTr="00326EDB">
        <w:trPr>
          <w:cantSplit/>
          <w:trHeight w:val="448"/>
        </w:trPr>
        <w:tc>
          <w:tcPr>
            <w:tcW w:w="9928" w:type="dxa"/>
            <w:gridSpan w:val="6"/>
            <w:hideMark/>
          </w:tcPr>
          <w:p w14:paraId="5ABF1BD4" w14:textId="77777777" w:rsidR="008B5873" w:rsidRPr="00A61F07" w:rsidRDefault="008B5873" w:rsidP="00326EDB">
            <w:pPr>
              <w:autoSpaceDE w:val="0"/>
              <w:autoSpaceDN w:val="0"/>
              <w:adjustRightInd w:val="0"/>
              <w:spacing w:line="320" w:lineRule="atLeast"/>
              <w:ind w:left="60" w:right="60"/>
              <w:jc w:val="both"/>
            </w:pPr>
            <w:r w:rsidRPr="00A61F07">
              <w:t>a. Not assuming the null hypothesis.</w:t>
            </w:r>
          </w:p>
        </w:tc>
      </w:tr>
      <w:tr w:rsidR="008B5873" w:rsidRPr="004043F7" w14:paraId="23CA1C52" w14:textId="77777777" w:rsidTr="00326EDB">
        <w:trPr>
          <w:cantSplit/>
          <w:trHeight w:val="448"/>
        </w:trPr>
        <w:tc>
          <w:tcPr>
            <w:tcW w:w="9928" w:type="dxa"/>
            <w:gridSpan w:val="6"/>
            <w:hideMark/>
          </w:tcPr>
          <w:p w14:paraId="15ACDDEA" w14:textId="77777777" w:rsidR="008B5873" w:rsidRPr="00A61F07" w:rsidRDefault="008B5873" w:rsidP="00326EDB">
            <w:pPr>
              <w:autoSpaceDE w:val="0"/>
              <w:autoSpaceDN w:val="0"/>
              <w:adjustRightInd w:val="0"/>
              <w:spacing w:line="320" w:lineRule="atLeast"/>
              <w:ind w:left="60" w:right="60"/>
              <w:jc w:val="both"/>
            </w:pPr>
            <w:r w:rsidRPr="00A61F07">
              <w:t>b. Using the asymptotic standard error assuming the null hypothesis.</w:t>
            </w:r>
          </w:p>
        </w:tc>
      </w:tr>
    </w:tbl>
    <w:p w14:paraId="1BAD461D" w14:textId="77777777" w:rsidR="008B5873" w:rsidRPr="00385BC4" w:rsidRDefault="008B5873" w:rsidP="008B5873">
      <w:pPr>
        <w:pStyle w:val="BodyText"/>
        <w:rPr>
          <w:spacing w:val="0"/>
        </w:rPr>
      </w:pPr>
    </w:p>
    <w:p w14:paraId="61679595" w14:textId="0052AF66" w:rsidR="008B5873" w:rsidRPr="00385BC4" w:rsidRDefault="008B5873" w:rsidP="008B5873">
      <w:pPr>
        <w:pStyle w:val="BodyText"/>
        <w:rPr>
          <w:spacing w:val="0"/>
        </w:rPr>
      </w:pPr>
      <w:r w:rsidRPr="00385BC4">
        <w:rPr>
          <w:spacing w:val="0"/>
        </w:rPr>
        <w:t xml:space="preserve">Using frequencies and percentages, researchers have counted number of nurse’s charts entry of decision making in selecting skin integrity protocol. Per cases there is two nurse’s data and multiplying this with the total data 2346 entries, will result in 4692 decisions in total made by nurses in which 3842 nurses’ charts correctly as high level of understanding. This finding indicates that 81% of the charts </w:t>
      </w:r>
      <w:r w:rsidR="004C7824" w:rsidRPr="00385BC4">
        <w:rPr>
          <w:spacing w:val="0"/>
        </w:rPr>
        <w:t>were</w:t>
      </w:r>
      <w:r w:rsidRPr="00385BC4">
        <w:rPr>
          <w:spacing w:val="0"/>
        </w:rPr>
        <w:t xml:space="preserve"> correctly charted by the </w:t>
      </w:r>
      <w:r w:rsidR="004C7824" w:rsidRPr="00385BC4">
        <w:rPr>
          <w:spacing w:val="0"/>
        </w:rPr>
        <w:t>nurses,</w:t>
      </w:r>
      <w:r w:rsidRPr="00385BC4">
        <w:rPr>
          <w:spacing w:val="0"/>
        </w:rPr>
        <w:t xml:space="preserve"> showing that they understood the Braden score assessment protocol guideline.</w:t>
      </w:r>
    </w:p>
    <w:p w14:paraId="5DE2672B" w14:textId="77777777" w:rsidR="008B5873" w:rsidRDefault="008B5873" w:rsidP="008B5873">
      <w:pPr>
        <w:pStyle w:val="BodyText"/>
        <w:rPr>
          <w:lang w:eastAsia="en-US"/>
        </w:rPr>
      </w:pPr>
    </w:p>
    <w:p w14:paraId="519CC7FE" w14:textId="10271BBC" w:rsidR="008B5873" w:rsidRPr="004043F7" w:rsidRDefault="008B5873" w:rsidP="008B5873">
      <w:pPr>
        <w:spacing w:line="480" w:lineRule="auto"/>
        <w:jc w:val="left"/>
        <w:rPr>
          <w:rFonts w:asciiTheme="majorBidi" w:hAnsiTheme="majorBidi" w:cstheme="majorBidi"/>
          <w:b/>
          <w:bCs/>
        </w:rPr>
      </w:pPr>
      <w:r>
        <w:rPr>
          <w:rFonts w:asciiTheme="majorBidi" w:hAnsiTheme="majorBidi" w:cstheme="majorBidi"/>
          <w:b/>
          <w:bCs/>
        </w:rPr>
        <w:t>3.4</w:t>
      </w:r>
      <w:r w:rsidR="004F6F20">
        <w:rPr>
          <w:rFonts w:asciiTheme="majorBidi" w:hAnsiTheme="majorBidi" w:cstheme="majorBidi"/>
          <w:b/>
          <w:bCs/>
        </w:rPr>
        <w:t xml:space="preserve"> </w:t>
      </w:r>
      <w:r w:rsidRPr="004043F7">
        <w:rPr>
          <w:rFonts w:asciiTheme="majorBidi" w:hAnsiTheme="majorBidi" w:cstheme="majorBidi"/>
          <w:b/>
          <w:bCs/>
        </w:rPr>
        <w:t>Skin Integrity Protocol Interventions Definitions</w:t>
      </w:r>
      <w:r>
        <w:rPr>
          <w:rFonts w:asciiTheme="majorBidi" w:hAnsiTheme="majorBidi" w:cstheme="majorBidi"/>
          <w:b/>
          <w:bCs/>
        </w:rPr>
        <w:t xml:space="preserve"> and </w:t>
      </w:r>
      <w:r w:rsidRPr="004043F7">
        <w:rPr>
          <w:rFonts w:asciiTheme="majorBidi" w:hAnsiTheme="majorBidi" w:cstheme="majorBidi"/>
          <w:b/>
          <w:bCs/>
        </w:rPr>
        <w:t xml:space="preserve">Statistical Analysis </w:t>
      </w:r>
    </w:p>
    <w:p w14:paraId="06B14048" w14:textId="71B13782" w:rsidR="008B5873" w:rsidRPr="00385BC4" w:rsidRDefault="008B5873" w:rsidP="008B5873">
      <w:pPr>
        <w:pStyle w:val="BodyText"/>
        <w:rPr>
          <w:spacing w:val="0"/>
        </w:rPr>
      </w:pPr>
      <w:r w:rsidRPr="00385BC4">
        <w:rPr>
          <w:spacing w:val="0"/>
        </w:rPr>
        <w:t xml:space="preserve">Mobile Skin Integrity Protocol interventions refer to a set of preventive and therapeutic measures implemented to maintain and improve skin health in patients who </w:t>
      </w:r>
      <w:r w:rsidR="004C7824" w:rsidRPr="00385BC4">
        <w:rPr>
          <w:spacing w:val="0"/>
        </w:rPr>
        <w:t>can</w:t>
      </w:r>
      <w:r w:rsidRPr="00385BC4">
        <w:rPr>
          <w:spacing w:val="0"/>
        </w:rPr>
        <w:t xml:space="preserve"> move independently or with minimal assistance. These interventions aim to prevent skin breakdown, promote healing, and enhance overall skin integrity. Examples include encouraging active movement, ensuring adequate hydration, using cushions to relieve pressure, and conducting regular skin inspections.</w:t>
      </w:r>
    </w:p>
    <w:p w14:paraId="58FBB7F0" w14:textId="77777777" w:rsidR="008B5873" w:rsidRPr="00385BC4" w:rsidRDefault="008B5873" w:rsidP="008B5873">
      <w:pPr>
        <w:pStyle w:val="BodyText"/>
        <w:rPr>
          <w:spacing w:val="0"/>
        </w:rPr>
      </w:pPr>
      <w:r w:rsidRPr="00385BC4">
        <w:rPr>
          <w:spacing w:val="0"/>
        </w:rPr>
        <w:t>In contrast, Immobile Skin Integrity Protocol interventions refer to comprehensive strategies designed to preserve and protect the skin of patients who are unable to move independently and are confined to a bed or wheelchair. These interventions focus on preventing pressure ulcers, reducing friction and shear, and managing moisture to prevent skin breakdown. Common measures include regular repositioning, use of specialized mattresses or cushions, maintenance of skin hygiene, and ensuring proper nutrition and hydration.</w:t>
      </w:r>
    </w:p>
    <w:p w14:paraId="4BCC4B5A" w14:textId="77777777" w:rsidR="008B5873" w:rsidRPr="00385BC4" w:rsidRDefault="008B5873" w:rsidP="008B5873">
      <w:pPr>
        <w:pStyle w:val="BodyText"/>
        <w:rPr>
          <w:spacing w:val="0"/>
        </w:rPr>
      </w:pPr>
    </w:p>
    <w:p w14:paraId="77739B60" w14:textId="77777777" w:rsidR="008B5873" w:rsidRPr="00385BC4" w:rsidRDefault="008B5873" w:rsidP="008B5873">
      <w:pPr>
        <w:pStyle w:val="BodyText"/>
        <w:rPr>
          <w:spacing w:val="0"/>
        </w:rPr>
      </w:pPr>
      <w:r w:rsidRPr="00385BC4">
        <w:rPr>
          <w:spacing w:val="0"/>
        </w:rPr>
        <w:t>The objective of this analysis was to determine whether there was a difference in agreement between nurses when selecting interventions for mobile versus immobile protocols. To test this hypothesis, the rate of agreement and discrepancies for each protocol intervention were analyzed, as outlined below.</w:t>
      </w:r>
    </w:p>
    <w:p w14:paraId="291CB05B" w14:textId="77777777" w:rsidR="008B5873" w:rsidRPr="008C5CE8" w:rsidRDefault="008B5873" w:rsidP="008B5873">
      <w:pPr>
        <w:pStyle w:val="BodyText"/>
        <w:rPr>
          <w:rFonts w:asciiTheme="majorBidi" w:hAnsiTheme="majorBidi" w:cstheme="majorBidi"/>
        </w:rPr>
      </w:pPr>
    </w:p>
    <w:p w14:paraId="4CA65DE9" w14:textId="77777777" w:rsidR="008B5873" w:rsidRDefault="008B5873" w:rsidP="008B5873">
      <w:pPr>
        <w:pStyle w:val="BodyText"/>
        <w:ind w:firstLine="0"/>
        <w:rPr>
          <w:rFonts w:asciiTheme="majorBidi" w:hAnsiTheme="majorBidi" w:cstheme="majorBidi"/>
          <w:b/>
          <w:bCs/>
          <w:spacing w:val="0"/>
        </w:rPr>
      </w:pPr>
      <w:r>
        <w:rPr>
          <w:rFonts w:asciiTheme="majorBidi" w:hAnsiTheme="majorBidi" w:cstheme="majorBidi"/>
          <w:b/>
          <w:bCs/>
          <w:spacing w:val="0"/>
        </w:rPr>
        <w:t xml:space="preserve">3.4.1 </w:t>
      </w:r>
      <w:r w:rsidRPr="008C5CE8">
        <w:rPr>
          <w:rFonts w:asciiTheme="majorBidi" w:hAnsiTheme="majorBidi" w:cstheme="majorBidi"/>
          <w:b/>
          <w:bCs/>
          <w:spacing w:val="0"/>
        </w:rPr>
        <w:t>Mobile Protocol Interventions Analysis</w:t>
      </w:r>
    </w:p>
    <w:p w14:paraId="256D9F18" w14:textId="77777777" w:rsidR="008B5873" w:rsidRPr="008C5CE8" w:rsidRDefault="008B5873" w:rsidP="008B5873">
      <w:pPr>
        <w:pStyle w:val="BodyText"/>
        <w:ind w:firstLine="0"/>
        <w:rPr>
          <w:rFonts w:asciiTheme="majorBidi" w:hAnsiTheme="majorBidi" w:cstheme="majorBidi"/>
          <w:b/>
          <w:bCs/>
          <w:spacing w:val="0"/>
        </w:rPr>
      </w:pPr>
    </w:p>
    <w:p w14:paraId="797D2153" w14:textId="77777777" w:rsidR="008B5873" w:rsidRPr="00385BC4" w:rsidRDefault="008B5873" w:rsidP="008B5873">
      <w:pPr>
        <w:pStyle w:val="BodyText"/>
        <w:rPr>
          <w:spacing w:val="0"/>
        </w:rPr>
      </w:pPr>
      <w:r w:rsidRPr="00385BC4">
        <w:rPr>
          <w:spacing w:val="0"/>
        </w:rPr>
        <w:t>This analysis aimed to determine whether there was a difference in agreement between nurses when selecting interventions for mobile protocol interventions. The mobile protocol included 15 intervention elements, for which frequency and percentage analyses were employed to evaluate the rates of agreement and discrepancies between day‑ and night‑shift nurses. The findings, presented in Tables 9 and 10, indicated a high level of agreement across all mobile protocol interventions, with 74% of nurses demonstrating almost perfect agreement.</w:t>
      </w:r>
    </w:p>
    <w:p w14:paraId="5074638A" w14:textId="77777777" w:rsidR="008B5873" w:rsidRDefault="008B5873" w:rsidP="008B5873">
      <w:pPr>
        <w:pStyle w:val="BodyText"/>
        <w:rPr>
          <w:rFonts w:asciiTheme="majorBidi" w:hAnsiTheme="majorBidi" w:cstheme="majorBidi"/>
        </w:rPr>
      </w:pPr>
    </w:p>
    <w:tbl>
      <w:tblPr>
        <w:tblpPr w:leftFromText="180" w:rightFromText="180" w:vertAnchor="text" w:horzAnchor="margin" w:tblpY="366"/>
        <w:tblW w:w="9621" w:type="dxa"/>
        <w:tblLook w:val="04A0" w:firstRow="1" w:lastRow="0" w:firstColumn="1" w:lastColumn="0" w:noHBand="0" w:noVBand="1"/>
      </w:tblPr>
      <w:tblGrid>
        <w:gridCol w:w="3780"/>
        <w:gridCol w:w="1625"/>
        <w:gridCol w:w="1435"/>
        <w:gridCol w:w="1557"/>
        <w:gridCol w:w="1224"/>
      </w:tblGrid>
      <w:tr w:rsidR="008B5873" w:rsidRPr="004043F7" w14:paraId="65D768A5" w14:textId="77777777" w:rsidTr="00326EDB">
        <w:trPr>
          <w:trHeight w:val="171"/>
        </w:trPr>
        <w:tc>
          <w:tcPr>
            <w:tcW w:w="9621" w:type="dxa"/>
            <w:gridSpan w:val="5"/>
            <w:tcBorders>
              <w:bottom w:val="single" w:sz="4" w:space="0" w:color="auto"/>
            </w:tcBorders>
          </w:tcPr>
          <w:p w14:paraId="1C1B7EAD" w14:textId="77777777" w:rsidR="008B5873" w:rsidRPr="00B575CC" w:rsidRDefault="008B5873" w:rsidP="00326EDB">
            <w:pPr>
              <w:rPr>
                <w:rFonts w:asciiTheme="majorBidi" w:hAnsiTheme="majorBidi" w:cstheme="majorBidi"/>
                <w:spacing w:val="-1"/>
              </w:rPr>
            </w:pPr>
            <w:r w:rsidRPr="00B575CC">
              <w:rPr>
                <w:rFonts w:asciiTheme="majorBidi" w:hAnsiTheme="majorBidi" w:cstheme="majorBidi"/>
                <w:spacing w:val="-1"/>
              </w:rPr>
              <w:t>Table 9: Mobile protocol interventions</w:t>
            </w:r>
          </w:p>
        </w:tc>
      </w:tr>
      <w:tr w:rsidR="008B5873" w:rsidRPr="004043F7" w14:paraId="38B6BDF2" w14:textId="77777777" w:rsidTr="00326EDB">
        <w:trPr>
          <w:trHeight w:val="171"/>
        </w:trPr>
        <w:tc>
          <w:tcPr>
            <w:tcW w:w="3780" w:type="dxa"/>
            <w:vMerge w:val="restart"/>
            <w:tcBorders>
              <w:top w:val="single" w:sz="4" w:space="0" w:color="auto"/>
              <w:left w:val="single" w:sz="4" w:space="0" w:color="auto"/>
              <w:bottom w:val="single" w:sz="4" w:space="0" w:color="auto"/>
              <w:right w:val="single" w:sz="4" w:space="0" w:color="auto"/>
            </w:tcBorders>
            <w:hideMark/>
          </w:tcPr>
          <w:p w14:paraId="13D66BD1" w14:textId="77777777" w:rsidR="008B5873" w:rsidRPr="004235A7" w:rsidRDefault="008B5873" w:rsidP="00326EDB">
            <w:pPr>
              <w:jc w:val="both"/>
              <w:rPr>
                <w:rFonts w:asciiTheme="majorBidi" w:hAnsiTheme="majorBidi" w:cstheme="majorBidi"/>
                <w:b/>
                <w:bCs/>
                <w:spacing w:val="-1"/>
              </w:rPr>
            </w:pPr>
            <w:r w:rsidRPr="004235A7">
              <w:rPr>
                <w:rFonts w:asciiTheme="majorBidi" w:hAnsiTheme="majorBidi" w:cstheme="majorBidi"/>
                <w:b/>
                <w:bCs/>
                <w:spacing w:val="-1"/>
              </w:rPr>
              <w:t>Rate of Agreement and Discrepancy for Mobile Interventions</w:t>
            </w:r>
          </w:p>
        </w:tc>
        <w:tc>
          <w:tcPr>
            <w:tcW w:w="3060" w:type="dxa"/>
            <w:gridSpan w:val="2"/>
            <w:tcBorders>
              <w:top w:val="single" w:sz="4" w:space="0" w:color="auto"/>
              <w:left w:val="nil"/>
              <w:bottom w:val="single" w:sz="4" w:space="0" w:color="auto"/>
              <w:right w:val="single" w:sz="4" w:space="0" w:color="auto"/>
            </w:tcBorders>
            <w:noWrap/>
            <w:hideMark/>
          </w:tcPr>
          <w:p w14:paraId="23F2FDA8" w14:textId="77777777" w:rsidR="008B5873" w:rsidRPr="004235A7" w:rsidRDefault="008B5873" w:rsidP="00326EDB">
            <w:pPr>
              <w:jc w:val="both"/>
              <w:rPr>
                <w:rFonts w:asciiTheme="majorBidi" w:hAnsiTheme="majorBidi" w:cstheme="majorBidi"/>
                <w:b/>
                <w:bCs/>
                <w:spacing w:val="-1"/>
              </w:rPr>
            </w:pPr>
            <w:r w:rsidRPr="004235A7">
              <w:rPr>
                <w:rFonts w:asciiTheme="majorBidi" w:hAnsiTheme="majorBidi" w:cstheme="majorBidi"/>
                <w:b/>
                <w:bCs/>
                <w:spacing w:val="-1"/>
              </w:rPr>
              <w:t xml:space="preserve">Agreement </w:t>
            </w:r>
          </w:p>
          <w:p w14:paraId="3BF9C982" w14:textId="77777777" w:rsidR="008B5873" w:rsidRPr="004235A7" w:rsidRDefault="008B5873" w:rsidP="00326EDB">
            <w:pPr>
              <w:jc w:val="both"/>
              <w:rPr>
                <w:rFonts w:asciiTheme="majorBidi" w:hAnsiTheme="majorBidi" w:cstheme="majorBidi"/>
                <w:b/>
                <w:bCs/>
                <w:spacing w:val="-1"/>
              </w:rPr>
            </w:pPr>
            <w:r w:rsidRPr="004235A7">
              <w:rPr>
                <w:rFonts w:asciiTheme="majorBidi" w:hAnsiTheme="majorBidi" w:cstheme="majorBidi"/>
                <w:b/>
                <w:bCs/>
                <w:spacing w:val="-1"/>
              </w:rPr>
              <w:t>(score 0)</w:t>
            </w:r>
          </w:p>
        </w:tc>
        <w:tc>
          <w:tcPr>
            <w:tcW w:w="2781" w:type="dxa"/>
            <w:gridSpan w:val="2"/>
            <w:tcBorders>
              <w:top w:val="single" w:sz="4" w:space="0" w:color="auto"/>
              <w:left w:val="nil"/>
              <w:bottom w:val="single" w:sz="4" w:space="0" w:color="auto"/>
              <w:right w:val="single" w:sz="4" w:space="0" w:color="auto"/>
            </w:tcBorders>
            <w:noWrap/>
            <w:hideMark/>
          </w:tcPr>
          <w:p w14:paraId="78B451E5" w14:textId="77777777" w:rsidR="008B5873" w:rsidRPr="004235A7" w:rsidRDefault="008B5873" w:rsidP="00326EDB">
            <w:pPr>
              <w:jc w:val="both"/>
              <w:rPr>
                <w:rFonts w:asciiTheme="majorBidi" w:hAnsiTheme="majorBidi" w:cstheme="majorBidi"/>
                <w:b/>
                <w:bCs/>
                <w:spacing w:val="-1"/>
              </w:rPr>
            </w:pPr>
            <w:r w:rsidRPr="004235A7">
              <w:rPr>
                <w:rFonts w:asciiTheme="majorBidi" w:hAnsiTheme="majorBidi" w:cstheme="majorBidi"/>
                <w:b/>
                <w:bCs/>
                <w:spacing w:val="-1"/>
              </w:rPr>
              <w:t>Discrepancy (score 1)</w:t>
            </w:r>
          </w:p>
        </w:tc>
      </w:tr>
      <w:tr w:rsidR="008B5873" w:rsidRPr="004043F7" w14:paraId="7CC07216" w14:textId="77777777" w:rsidTr="00326EDB">
        <w:trPr>
          <w:trHeight w:val="171"/>
        </w:trPr>
        <w:tc>
          <w:tcPr>
            <w:tcW w:w="3780" w:type="dxa"/>
            <w:vMerge/>
            <w:tcBorders>
              <w:top w:val="single" w:sz="4" w:space="0" w:color="auto"/>
              <w:left w:val="single" w:sz="4" w:space="0" w:color="auto"/>
              <w:bottom w:val="single" w:sz="4" w:space="0" w:color="auto"/>
              <w:right w:val="single" w:sz="4" w:space="0" w:color="auto"/>
            </w:tcBorders>
            <w:vAlign w:val="center"/>
            <w:hideMark/>
          </w:tcPr>
          <w:p w14:paraId="55A1BB37" w14:textId="77777777" w:rsidR="008B5873" w:rsidRPr="00B575CC" w:rsidRDefault="008B5873" w:rsidP="00326EDB">
            <w:pPr>
              <w:jc w:val="both"/>
              <w:rPr>
                <w:rFonts w:asciiTheme="majorBidi" w:hAnsiTheme="majorBidi" w:cstheme="majorBidi"/>
                <w:spacing w:val="-1"/>
              </w:rPr>
            </w:pPr>
          </w:p>
        </w:tc>
        <w:tc>
          <w:tcPr>
            <w:tcW w:w="1625" w:type="dxa"/>
            <w:tcBorders>
              <w:top w:val="single" w:sz="4" w:space="0" w:color="auto"/>
              <w:left w:val="nil"/>
              <w:bottom w:val="single" w:sz="4" w:space="0" w:color="auto"/>
              <w:right w:val="single" w:sz="4" w:space="0" w:color="auto"/>
            </w:tcBorders>
            <w:noWrap/>
            <w:hideMark/>
          </w:tcPr>
          <w:p w14:paraId="3897FFB4" w14:textId="77777777" w:rsidR="008B5873" w:rsidRPr="004235A7" w:rsidRDefault="008B5873" w:rsidP="00326EDB">
            <w:pPr>
              <w:jc w:val="both"/>
              <w:rPr>
                <w:rFonts w:asciiTheme="majorBidi" w:hAnsiTheme="majorBidi" w:cstheme="majorBidi"/>
                <w:b/>
                <w:bCs/>
                <w:spacing w:val="-1"/>
              </w:rPr>
            </w:pPr>
            <w:r w:rsidRPr="004235A7">
              <w:rPr>
                <w:rFonts w:asciiTheme="majorBidi" w:hAnsiTheme="majorBidi" w:cstheme="majorBidi"/>
                <w:b/>
                <w:bCs/>
                <w:spacing w:val="-1"/>
              </w:rPr>
              <w:t>Frequency</w:t>
            </w:r>
          </w:p>
        </w:tc>
        <w:tc>
          <w:tcPr>
            <w:tcW w:w="1435" w:type="dxa"/>
            <w:tcBorders>
              <w:top w:val="single" w:sz="4" w:space="0" w:color="auto"/>
              <w:left w:val="nil"/>
              <w:bottom w:val="single" w:sz="4" w:space="0" w:color="auto"/>
              <w:right w:val="single" w:sz="4" w:space="0" w:color="auto"/>
            </w:tcBorders>
            <w:noWrap/>
            <w:hideMark/>
          </w:tcPr>
          <w:p w14:paraId="3A39643F" w14:textId="77777777" w:rsidR="008B5873" w:rsidRPr="004235A7" w:rsidRDefault="008B5873" w:rsidP="00326EDB">
            <w:pPr>
              <w:jc w:val="both"/>
              <w:rPr>
                <w:rFonts w:asciiTheme="majorBidi" w:hAnsiTheme="majorBidi" w:cstheme="majorBidi"/>
                <w:b/>
                <w:bCs/>
                <w:spacing w:val="-1"/>
              </w:rPr>
            </w:pPr>
            <w:r w:rsidRPr="004235A7">
              <w:rPr>
                <w:rFonts w:asciiTheme="majorBidi" w:hAnsiTheme="majorBidi" w:cstheme="majorBidi"/>
                <w:b/>
                <w:bCs/>
                <w:spacing w:val="-1"/>
              </w:rPr>
              <w:t>%</w:t>
            </w:r>
          </w:p>
        </w:tc>
        <w:tc>
          <w:tcPr>
            <w:tcW w:w="1557" w:type="dxa"/>
            <w:tcBorders>
              <w:top w:val="single" w:sz="4" w:space="0" w:color="auto"/>
              <w:left w:val="nil"/>
              <w:bottom w:val="single" w:sz="4" w:space="0" w:color="auto"/>
              <w:right w:val="single" w:sz="4" w:space="0" w:color="auto"/>
            </w:tcBorders>
            <w:noWrap/>
            <w:hideMark/>
          </w:tcPr>
          <w:p w14:paraId="46C7A625" w14:textId="77777777" w:rsidR="008B5873" w:rsidRPr="004235A7" w:rsidRDefault="008B5873" w:rsidP="00326EDB">
            <w:pPr>
              <w:jc w:val="both"/>
              <w:rPr>
                <w:rFonts w:asciiTheme="majorBidi" w:hAnsiTheme="majorBidi" w:cstheme="majorBidi"/>
                <w:b/>
                <w:bCs/>
                <w:spacing w:val="-1"/>
              </w:rPr>
            </w:pPr>
            <w:r w:rsidRPr="004235A7">
              <w:rPr>
                <w:rFonts w:asciiTheme="majorBidi" w:hAnsiTheme="majorBidi" w:cstheme="majorBidi"/>
                <w:b/>
                <w:bCs/>
                <w:spacing w:val="-1"/>
              </w:rPr>
              <w:t>Frequency</w:t>
            </w:r>
          </w:p>
        </w:tc>
        <w:tc>
          <w:tcPr>
            <w:tcW w:w="1224" w:type="dxa"/>
            <w:tcBorders>
              <w:top w:val="single" w:sz="4" w:space="0" w:color="auto"/>
              <w:left w:val="nil"/>
              <w:bottom w:val="single" w:sz="4" w:space="0" w:color="auto"/>
              <w:right w:val="single" w:sz="4" w:space="0" w:color="auto"/>
            </w:tcBorders>
            <w:noWrap/>
            <w:hideMark/>
          </w:tcPr>
          <w:p w14:paraId="743DAA70" w14:textId="77777777" w:rsidR="008B5873" w:rsidRPr="004235A7" w:rsidRDefault="008B5873" w:rsidP="00326EDB">
            <w:pPr>
              <w:jc w:val="both"/>
              <w:rPr>
                <w:rFonts w:asciiTheme="majorBidi" w:hAnsiTheme="majorBidi" w:cstheme="majorBidi"/>
                <w:b/>
                <w:bCs/>
                <w:spacing w:val="-1"/>
              </w:rPr>
            </w:pPr>
            <w:r w:rsidRPr="004235A7">
              <w:rPr>
                <w:rFonts w:asciiTheme="majorBidi" w:hAnsiTheme="majorBidi" w:cstheme="majorBidi"/>
                <w:b/>
                <w:bCs/>
                <w:spacing w:val="-1"/>
              </w:rPr>
              <w:t>%</w:t>
            </w:r>
          </w:p>
        </w:tc>
      </w:tr>
      <w:tr w:rsidR="008B5873" w:rsidRPr="004043F7" w14:paraId="784CF6FF"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hideMark/>
          </w:tcPr>
          <w:p w14:paraId="7DE5A94E"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Cushion heels in bed</w:t>
            </w:r>
          </w:p>
        </w:tc>
        <w:tc>
          <w:tcPr>
            <w:tcW w:w="1625" w:type="dxa"/>
            <w:tcBorders>
              <w:top w:val="single" w:sz="4" w:space="0" w:color="auto"/>
              <w:left w:val="nil"/>
              <w:bottom w:val="single" w:sz="4" w:space="0" w:color="auto"/>
              <w:right w:val="single" w:sz="4" w:space="0" w:color="auto"/>
            </w:tcBorders>
            <w:noWrap/>
            <w:hideMark/>
          </w:tcPr>
          <w:p w14:paraId="6E9D0427"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2244</w:t>
            </w:r>
          </w:p>
        </w:tc>
        <w:tc>
          <w:tcPr>
            <w:tcW w:w="1435" w:type="dxa"/>
            <w:tcBorders>
              <w:top w:val="single" w:sz="4" w:space="0" w:color="auto"/>
              <w:left w:val="nil"/>
              <w:bottom w:val="single" w:sz="4" w:space="0" w:color="auto"/>
              <w:right w:val="single" w:sz="4" w:space="0" w:color="auto"/>
            </w:tcBorders>
            <w:noWrap/>
            <w:hideMark/>
          </w:tcPr>
          <w:p w14:paraId="18B53EE3"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95.7</w:t>
            </w:r>
          </w:p>
        </w:tc>
        <w:tc>
          <w:tcPr>
            <w:tcW w:w="1557" w:type="dxa"/>
            <w:tcBorders>
              <w:top w:val="single" w:sz="4" w:space="0" w:color="auto"/>
              <w:left w:val="nil"/>
              <w:bottom w:val="single" w:sz="4" w:space="0" w:color="auto"/>
              <w:right w:val="single" w:sz="4" w:space="0" w:color="auto"/>
            </w:tcBorders>
            <w:noWrap/>
            <w:hideMark/>
          </w:tcPr>
          <w:p w14:paraId="7C3A4189"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102</w:t>
            </w:r>
          </w:p>
        </w:tc>
        <w:tc>
          <w:tcPr>
            <w:tcW w:w="1224" w:type="dxa"/>
            <w:tcBorders>
              <w:top w:val="single" w:sz="4" w:space="0" w:color="auto"/>
              <w:left w:val="nil"/>
              <w:bottom w:val="single" w:sz="4" w:space="0" w:color="auto"/>
              <w:right w:val="single" w:sz="4" w:space="0" w:color="auto"/>
            </w:tcBorders>
            <w:noWrap/>
            <w:hideMark/>
          </w:tcPr>
          <w:p w14:paraId="61F11203"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4.3</w:t>
            </w:r>
          </w:p>
        </w:tc>
      </w:tr>
      <w:tr w:rsidR="008B5873" w:rsidRPr="004043F7" w14:paraId="7F8E5654"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hideMark/>
          </w:tcPr>
          <w:p w14:paraId="3BAC82C8"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Encourage Active &amp; Passive ROM exercise</w:t>
            </w:r>
          </w:p>
        </w:tc>
        <w:tc>
          <w:tcPr>
            <w:tcW w:w="1625" w:type="dxa"/>
            <w:tcBorders>
              <w:top w:val="single" w:sz="4" w:space="0" w:color="auto"/>
              <w:left w:val="nil"/>
              <w:bottom w:val="single" w:sz="4" w:space="0" w:color="auto"/>
              <w:right w:val="single" w:sz="4" w:space="0" w:color="auto"/>
            </w:tcBorders>
            <w:noWrap/>
            <w:hideMark/>
          </w:tcPr>
          <w:p w14:paraId="64220D18"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2029</w:t>
            </w:r>
          </w:p>
        </w:tc>
        <w:tc>
          <w:tcPr>
            <w:tcW w:w="1435" w:type="dxa"/>
            <w:tcBorders>
              <w:top w:val="single" w:sz="4" w:space="0" w:color="auto"/>
              <w:left w:val="nil"/>
              <w:bottom w:val="single" w:sz="4" w:space="0" w:color="auto"/>
              <w:right w:val="single" w:sz="4" w:space="0" w:color="auto"/>
            </w:tcBorders>
            <w:noWrap/>
            <w:hideMark/>
          </w:tcPr>
          <w:p w14:paraId="095D34C7"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86.5</w:t>
            </w:r>
          </w:p>
        </w:tc>
        <w:tc>
          <w:tcPr>
            <w:tcW w:w="1557" w:type="dxa"/>
            <w:tcBorders>
              <w:top w:val="single" w:sz="4" w:space="0" w:color="auto"/>
              <w:left w:val="nil"/>
              <w:bottom w:val="single" w:sz="4" w:space="0" w:color="auto"/>
              <w:right w:val="single" w:sz="4" w:space="0" w:color="auto"/>
            </w:tcBorders>
            <w:noWrap/>
            <w:hideMark/>
          </w:tcPr>
          <w:p w14:paraId="57BE6EB6"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317</w:t>
            </w:r>
          </w:p>
        </w:tc>
        <w:tc>
          <w:tcPr>
            <w:tcW w:w="1224" w:type="dxa"/>
            <w:tcBorders>
              <w:top w:val="single" w:sz="4" w:space="0" w:color="auto"/>
              <w:left w:val="nil"/>
              <w:bottom w:val="single" w:sz="4" w:space="0" w:color="auto"/>
              <w:right w:val="single" w:sz="4" w:space="0" w:color="auto"/>
            </w:tcBorders>
            <w:noWrap/>
            <w:hideMark/>
          </w:tcPr>
          <w:p w14:paraId="3FAA33B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13.5</w:t>
            </w:r>
          </w:p>
        </w:tc>
      </w:tr>
      <w:tr w:rsidR="008B5873" w:rsidRPr="004043F7" w14:paraId="3BBB7A41"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hideMark/>
          </w:tcPr>
          <w:p w14:paraId="1292E1D5"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Reduce pressure on pressure points</w:t>
            </w:r>
          </w:p>
        </w:tc>
        <w:tc>
          <w:tcPr>
            <w:tcW w:w="1625" w:type="dxa"/>
            <w:tcBorders>
              <w:top w:val="single" w:sz="4" w:space="0" w:color="auto"/>
              <w:left w:val="nil"/>
              <w:bottom w:val="single" w:sz="4" w:space="0" w:color="auto"/>
              <w:right w:val="single" w:sz="4" w:space="0" w:color="auto"/>
            </w:tcBorders>
            <w:noWrap/>
            <w:hideMark/>
          </w:tcPr>
          <w:p w14:paraId="27EE7209"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2167</w:t>
            </w:r>
          </w:p>
        </w:tc>
        <w:tc>
          <w:tcPr>
            <w:tcW w:w="1435" w:type="dxa"/>
            <w:tcBorders>
              <w:top w:val="single" w:sz="4" w:space="0" w:color="auto"/>
              <w:left w:val="nil"/>
              <w:bottom w:val="single" w:sz="4" w:space="0" w:color="auto"/>
              <w:right w:val="single" w:sz="4" w:space="0" w:color="auto"/>
            </w:tcBorders>
            <w:noWrap/>
            <w:hideMark/>
          </w:tcPr>
          <w:p w14:paraId="01998BF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92.4</w:t>
            </w:r>
          </w:p>
        </w:tc>
        <w:tc>
          <w:tcPr>
            <w:tcW w:w="1557" w:type="dxa"/>
            <w:tcBorders>
              <w:top w:val="single" w:sz="4" w:space="0" w:color="auto"/>
              <w:left w:val="nil"/>
              <w:bottom w:val="single" w:sz="4" w:space="0" w:color="auto"/>
              <w:right w:val="single" w:sz="4" w:space="0" w:color="auto"/>
            </w:tcBorders>
            <w:noWrap/>
            <w:hideMark/>
          </w:tcPr>
          <w:p w14:paraId="7A9ACA75"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197</w:t>
            </w:r>
          </w:p>
        </w:tc>
        <w:tc>
          <w:tcPr>
            <w:tcW w:w="1224" w:type="dxa"/>
            <w:tcBorders>
              <w:top w:val="single" w:sz="4" w:space="0" w:color="auto"/>
              <w:left w:val="nil"/>
              <w:bottom w:val="single" w:sz="4" w:space="0" w:color="auto"/>
              <w:right w:val="single" w:sz="4" w:space="0" w:color="auto"/>
            </w:tcBorders>
            <w:noWrap/>
            <w:hideMark/>
          </w:tcPr>
          <w:p w14:paraId="1F55DAE6"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7.9</w:t>
            </w:r>
          </w:p>
        </w:tc>
      </w:tr>
      <w:tr w:rsidR="008B5873" w:rsidRPr="004043F7" w14:paraId="737D3A22"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hideMark/>
          </w:tcPr>
          <w:p w14:paraId="224DDB25"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Ensure Physio Referral</w:t>
            </w:r>
          </w:p>
        </w:tc>
        <w:tc>
          <w:tcPr>
            <w:tcW w:w="1625" w:type="dxa"/>
            <w:tcBorders>
              <w:top w:val="single" w:sz="4" w:space="0" w:color="auto"/>
              <w:left w:val="nil"/>
              <w:bottom w:val="single" w:sz="4" w:space="0" w:color="auto"/>
              <w:right w:val="single" w:sz="4" w:space="0" w:color="auto"/>
            </w:tcBorders>
            <w:noWrap/>
            <w:hideMark/>
          </w:tcPr>
          <w:p w14:paraId="1FDCD18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2244</w:t>
            </w:r>
          </w:p>
        </w:tc>
        <w:tc>
          <w:tcPr>
            <w:tcW w:w="1435" w:type="dxa"/>
            <w:tcBorders>
              <w:top w:val="single" w:sz="4" w:space="0" w:color="auto"/>
              <w:left w:val="nil"/>
              <w:bottom w:val="single" w:sz="4" w:space="0" w:color="auto"/>
              <w:right w:val="single" w:sz="4" w:space="0" w:color="auto"/>
            </w:tcBorders>
            <w:noWrap/>
            <w:hideMark/>
          </w:tcPr>
          <w:p w14:paraId="755E7BD5"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95.7</w:t>
            </w:r>
          </w:p>
        </w:tc>
        <w:tc>
          <w:tcPr>
            <w:tcW w:w="1557" w:type="dxa"/>
            <w:tcBorders>
              <w:top w:val="single" w:sz="4" w:space="0" w:color="auto"/>
              <w:left w:val="nil"/>
              <w:bottom w:val="single" w:sz="4" w:space="0" w:color="auto"/>
              <w:right w:val="single" w:sz="4" w:space="0" w:color="auto"/>
            </w:tcBorders>
            <w:noWrap/>
            <w:hideMark/>
          </w:tcPr>
          <w:p w14:paraId="44C19423"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102</w:t>
            </w:r>
          </w:p>
        </w:tc>
        <w:tc>
          <w:tcPr>
            <w:tcW w:w="1224" w:type="dxa"/>
            <w:tcBorders>
              <w:top w:val="single" w:sz="4" w:space="0" w:color="auto"/>
              <w:left w:val="nil"/>
              <w:bottom w:val="single" w:sz="4" w:space="0" w:color="auto"/>
              <w:right w:val="single" w:sz="4" w:space="0" w:color="auto"/>
            </w:tcBorders>
            <w:noWrap/>
            <w:hideMark/>
          </w:tcPr>
          <w:p w14:paraId="515CE2FF"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4.3</w:t>
            </w:r>
          </w:p>
        </w:tc>
      </w:tr>
      <w:tr w:rsidR="008B5873" w:rsidRPr="004043F7" w14:paraId="718305CF"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hideMark/>
          </w:tcPr>
          <w:p w14:paraId="262C20F7"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Ensure hydration</w:t>
            </w:r>
          </w:p>
        </w:tc>
        <w:tc>
          <w:tcPr>
            <w:tcW w:w="1625" w:type="dxa"/>
            <w:tcBorders>
              <w:top w:val="single" w:sz="4" w:space="0" w:color="auto"/>
              <w:left w:val="nil"/>
              <w:bottom w:val="single" w:sz="4" w:space="0" w:color="auto"/>
              <w:right w:val="single" w:sz="4" w:space="0" w:color="auto"/>
            </w:tcBorders>
            <w:noWrap/>
            <w:hideMark/>
          </w:tcPr>
          <w:p w14:paraId="05F96BE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1960</w:t>
            </w:r>
          </w:p>
        </w:tc>
        <w:tc>
          <w:tcPr>
            <w:tcW w:w="1435" w:type="dxa"/>
            <w:tcBorders>
              <w:top w:val="single" w:sz="4" w:space="0" w:color="auto"/>
              <w:left w:val="nil"/>
              <w:bottom w:val="single" w:sz="4" w:space="0" w:color="auto"/>
              <w:right w:val="single" w:sz="4" w:space="0" w:color="auto"/>
            </w:tcBorders>
            <w:noWrap/>
            <w:hideMark/>
          </w:tcPr>
          <w:p w14:paraId="4CACBA3B"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83.5</w:t>
            </w:r>
          </w:p>
        </w:tc>
        <w:tc>
          <w:tcPr>
            <w:tcW w:w="1557" w:type="dxa"/>
            <w:tcBorders>
              <w:top w:val="single" w:sz="4" w:space="0" w:color="auto"/>
              <w:left w:val="nil"/>
              <w:bottom w:val="single" w:sz="4" w:space="0" w:color="auto"/>
              <w:right w:val="single" w:sz="4" w:space="0" w:color="auto"/>
            </w:tcBorders>
            <w:noWrap/>
            <w:hideMark/>
          </w:tcPr>
          <w:p w14:paraId="19715050"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386</w:t>
            </w:r>
          </w:p>
        </w:tc>
        <w:tc>
          <w:tcPr>
            <w:tcW w:w="1224" w:type="dxa"/>
            <w:tcBorders>
              <w:top w:val="single" w:sz="4" w:space="0" w:color="auto"/>
              <w:left w:val="nil"/>
              <w:bottom w:val="single" w:sz="4" w:space="0" w:color="auto"/>
              <w:right w:val="single" w:sz="4" w:space="0" w:color="auto"/>
            </w:tcBorders>
            <w:noWrap/>
            <w:hideMark/>
          </w:tcPr>
          <w:p w14:paraId="2B22CF9A"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16.5</w:t>
            </w:r>
          </w:p>
        </w:tc>
      </w:tr>
      <w:tr w:rsidR="008B5873" w:rsidRPr="004043F7" w14:paraId="78C50301"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hideMark/>
          </w:tcPr>
          <w:p w14:paraId="4A82BF40" w14:textId="132A7B54"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 xml:space="preserve">Apply Dressing </w:t>
            </w:r>
            <w:r w:rsidR="00C7336E" w:rsidRPr="00B575CC">
              <w:rPr>
                <w:rFonts w:asciiTheme="majorBidi" w:hAnsiTheme="majorBidi" w:cstheme="majorBidi"/>
                <w:spacing w:val="-1"/>
              </w:rPr>
              <w:t>as</w:t>
            </w:r>
            <w:r w:rsidRPr="00B575CC">
              <w:rPr>
                <w:rFonts w:asciiTheme="majorBidi" w:hAnsiTheme="majorBidi" w:cstheme="majorBidi"/>
                <w:spacing w:val="-1"/>
              </w:rPr>
              <w:t xml:space="preserve"> Ordered</w:t>
            </w:r>
          </w:p>
        </w:tc>
        <w:tc>
          <w:tcPr>
            <w:tcW w:w="1625" w:type="dxa"/>
            <w:tcBorders>
              <w:top w:val="single" w:sz="4" w:space="0" w:color="auto"/>
              <w:left w:val="nil"/>
              <w:bottom w:val="single" w:sz="4" w:space="0" w:color="auto"/>
              <w:right w:val="single" w:sz="4" w:space="0" w:color="auto"/>
            </w:tcBorders>
            <w:noWrap/>
            <w:hideMark/>
          </w:tcPr>
          <w:p w14:paraId="14EFC73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2269</w:t>
            </w:r>
          </w:p>
        </w:tc>
        <w:tc>
          <w:tcPr>
            <w:tcW w:w="1435" w:type="dxa"/>
            <w:tcBorders>
              <w:top w:val="single" w:sz="4" w:space="0" w:color="auto"/>
              <w:left w:val="nil"/>
              <w:bottom w:val="single" w:sz="4" w:space="0" w:color="auto"/>
              <w:right w:val="single" w:sz="4" w:space="0" w:color="auto"/>
            </w:tcBorders>
            <w:noWrap/>
            <w:hideMark/>
          </w:tcPr>
          <w:p w14:paraId="4DB9DE45"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96.7</w:t>
            </w:r>
          </w:p>
        </w:tc>
        <w:tc>
          <w:tcPr>
            <w:tcW w:w="1557" w:type="dxa"/>
            <w:tcBorders>
              <w:top w:val="single" w:sz="4" w:space="0" w:color="auto"/>
              <w:left w:val="nil"/>
              <w:bottom w:val="single" w:sz="4" w:space="0" w:color="auto"/>
              <w:right w:val="single" w:sz="4" w:space="0" w:color="auto"/>
            </w:tcBorders>
            <w:noWrap/>
            <w:hideMark/>
          </w:tcPr>
          <w:p w14:paraId="6E90E8BC"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77</w:t>
            </w:r>
          </w:p>
        </w:tc>
        <w:tc>
          <w:tcPr>
            <w:tcW w:w="1224" w:type="dxa"/>
            <w:tcBorders>
              <w:top w:val="single" w:sz="4" w:space="0" w:color="auto"/>
              <w:left w:val="nil"/>
              <w:bottom w:val="single" w:sz="4" w:space="0" w:color="auto"/>
              <w:right w:val="single" w:sz="4" w:space="0" w:color="auto"/>
            </w:tcBorders>
            <w:noWrap/>
            <w:hideMark/>
          </w:tcPr>
          <w:p w14:paraId="483D752C"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3.3</w:t>
            </w:r>
          </w:p>
        </w:tc>
      </w:tr>
      <w:tr w:rsidR="008B5873" w:rsidRPr="004043F7" w14:paraId="2EBCFEF4"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tcPr>
          <w:p w14:paraId="39113E6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Apply Protective Dressing</w:t>
            </w:r>
          </w:p>
        </w:tc>
        <w:tc>
          <w:tcPr>
            <w:tcW w:w="1625" w:type="dxa"/>
            <w:tcBorders>
              <w:top w:val="single" w:sz="4" w:space="0" w:color="auto"/>
              <w:left w:val="nil"/>
              <w:bottom w:val="single" w:sz="4" w:space="0" w:color="auto"/>
              <w:right w:val="single" w:sz="4" w:space="0" w:color="auto"/>
            </w:tcBorders>
            <w:noWrap/>
          </w:tcPr>
          <w:p w14:paraId="65935413"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2256</w:t>
            </w:r>
          </w:p>
        </w:tc>
        <w:tc>
          <w:tcPr>
            <w:tcW w:w="1435" w:type="dxa"/>
            <w:tcBorders>
              <w:top w:val="single" w:sz="4" w:space="0" w:color="auto"/>
              <w:left w:val="nil"/>
              <w:bottom w:val="single" w:sz="4" w:space="0" w:color="auto"/>
              <w:right w:val="single" w:sz="4" w:space="0" w:color="auto"/>
            </w:tcBorders>
            <w:noWrap/>
          </w:tcPr>
          <w:p w14:paraId="600D3D42"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96.2</w:t>
            </w:r>
          </w:p>
        </w:tc>
        <w:tc>
          <w:tcPr>
            <w:tcW w:w="1557" w:type="dxa"/>
            <w:tcBorders>
              <w:top w:val="single" w:sz="4" w:space="0" w:color="auto"/>
              <w:left w:val="nil"/>
              <w:bottom w:val="single" w:sz="4" w:space="0" w:color="auto"/>
              <w:right w:val="single" w:sz="4" w:space="0" w:color="auto"/>
            </w:tcBorders>
            <w:noWrap/>
          </w:tcPr>
          <w:p w14:paraId="76F3FD71"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90</w:t>
            </w:r>
          </w:p>
        </w:tc>
        <w:tc>
          <w:tcPr>
            <w:tcW w:w="1224" w:type="dxa"/>
            <w:tcBorders>
              <w:top w:val="single" w:sz="4" w:space="0" w:color="auto"/>
              <w:left w:val="nil"/>
              <w:bottom w:val="single" w:sz="4" w:space="0" w:color="auto"/>
              <w:right w:val="single" w:sz="4" w:space="0" w:color="auto"/>
            </w:tcBorders>
            <w:noWrap/>
          </w:tcPr>
          <w:p w14:paraId="094ECA8B"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3.8</w:t>
            </w:r>
          </w:p>
        </w:tc>
      </w:tr>
      <w:tr w:rsidR="008B5873" w:rsidRPr="004043F7" w14:paraId="53723CAE"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tcPr>
          <w:p w14:paraId="238DA2EB"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Encourage Repositioning</w:t>
            </w:r>
          </w:p>
        </w:tc>
        <w:tc>
          <w:tcPr>
            <w:tcW w:w="1625" w:type="dxa"/>
            <w:tcBorders>
              <w:top w:val="single" w:sz="4" w:space="0" w:color="auto"/>
              <w:left w:val="nil"/>
              <w:bottom w:val="single" w:sz="4" w:space="0" w:color="auto"/>
              <w:right w:val="single" w:sz="4" w:space="0" w:color="auto"/>
            </w:tcBorders>
            <w:noWrap/>
          </w:tcPr>
          <w:p w14:paraId="0BAFE7C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1975</w:t>
            </w:r>
          </w:p>
        </w:tc>
        <w:tc>
          <w:tcPr>
            <w:tcW w:w="1435" w:type="dxa"/>
            <w:tcBorders>
              <w:top w:val="single" w:sz="4" w:space="0" w:color="auto"/>
              <w:left w:val="nil"/>
              <w:bottom w:val="single" w:sz="4" w:space="0" w:color="auto"/>
              <w:right w:val="single" w:sz="4" w:space="0" w:color="auto"/>
            </w:tcBorders>
            <w:noWrap/>
          </w:tcPr>
          <w:p w14:paraId="765B0E3C"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84.2</w:t>
            </w:r>
          </w:p>
        </w:tc>
        <w:tc>
          <w:tcPr>
            <w:tcW w:w="1557" w:type="dxa"/>
            <w:tcBorders>
              <w:top w:val="single" w:sz="4" w:space="0" w:color="auto"/>
              <w:left w:val="nil"/>
              <w:bottom w:val="single" w:sz="4" w:space="0" w:color="auto"/>
              <w:right w:val="single" w:sz="4" w:space="0" w:color="auto"/>
            </w:tcBorders>
            <w:noWrap/>
          </w:tcPr>
          <w:p w14:paraId="1E3E114E"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371</w:t>
            </w:r>
          </w:p>
        </w:tc>
        <w:tc>
          <w:tcPr>
            <w:tcW w:w="1224" w:type="dxa"/>
            <w:tcBorders>
              <w:top w:val="single" w:sz="4" w:space="0" w:color="auto"/>
              <w:left w:val="nil"/>
              <w:bottom w:val="single" w:sz="4" w:space="0" w:color="auto"/>
              <w:right w:val="single" w:sz="4" w:space="0" w:color="auto"/>
            </w:tcBorders>
            <w:noWrap/>
          </w:tcPr>
          <w:p w14:paraId="4E2A9A67"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15.8</w:t>
            </w:r>
          </w:p>
        </w:tc>
      </w:tr>
      <w:tr w:rsidR="008B5873" w:rsidRPr="004043F7" w14:paraId="25F4B4B4"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tcPr>
          <w:p w14:paraId="608EC231"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Prompt Toileting if needed</w:t>
            </w:r>
          </w:p>
        </w:tc>
        <w:tc>
          <w:tcPr>
            <w:tcW w:w="1625" w:type="dxa"/>
            <w:tcBorders>
              <w:top w:val="single" w:sz="4" w:space="0" w:color="auto"/>
              <w:left w:val="nil"/>
              <w:bottom w:val="single" w:sz="4" w:space="0" w:color="auto"/>
              <w:right w:val="single" w:sz="4" w:space="0" w:color="auto"/>
            </w:tcBorders>
            <w:noWrap/>
          </w:tcPr>
          <w:p w14:paraId="5FBCA99D"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2188</w:t>
            </w:r>
          </w:p>
        </w:tc>
        <w:tc>
          <w:tcPr>
            <w:tcW w:w="1435" w:type="dxa"/>
            <w:tcBorders>
              <w:top w:val="single" w:sz="4" w:space="0" w:color="auto"/>
              <w:left w:val="nil"/>
              <w:bottom w:val="single" w:sz="4" w:space="0" w:color="auto"/>
              <w:right w:val="single" w:sz="4" w:space="0" w:color="auto"/>
            </w:tcBorders>
            <w:noWrap/>
          </w:tcPr>
          <w:p w14:paraId="63C3E7BD"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93.3</w:t>
            </w:r>
          </w:p>
        </w:tc>
        <w:tc>
          <w:tcPr>
            <w:tcW w:w="1557" w:type="dxa"/>
            <w:tcBorders>
              <w:top w:val="single" w:sz="4" w:space="0" w:color="auto"/>
              <w:left w:val="nil"/>
              <w:bottom w:val="single" w:sz="4" w:space="0" w:color="auto"/>
              <w:right w:val="single" w:sz="4" w:space="0" w:color="auto"/>
            </w:tcBorders>
            <w:noWrap/>
          </w:tcPr>
          <w:p w14:paraId="6D9E3997"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158</w:t>
            </w:r>
          </w:p>
        </w:tc>
        <w:tc>
          <w:tcPr>
            <w:tcW w:w="1224" w:type="dxa"/>
            <w:tcBorders>
              <w:top w:val="single" w:sz="4" w:space="0" w:color="auto"/>
              <w:left w:val="nil"/>
              <w:bottom w:val="single" w:sz="4" w:space="0" w:color="auto"/>
              <w:right w:val="single" w:sz="4" w:space="0" w:color="auto"/>
            </w:tcBorders>
            <w:noWrap/>
          </w:tcPr>
          <w:p w14:paraId="6A14405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6.7</w:t>
            </w:r>
          </w:p>
        </w:tc>
      </w:tr>
      <w:tr w:rsidR="008B5873" w:rsidRPr="004043F7" w14:paraId="35FCBA17"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tcPr>
          <w:p w14:paraId="37C51D3B"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Use Barrier Cream PRN</w:t>
            </w:r>
          </w:p>
        </w:tc>
        <w:tc>
          <w:tcPr>
            <w:tcW w:w="1625" w:type="dxa"/>
            <w:tcBorders>
              <w:top w:val="single" w:sz="4" w:space="0" w:color="auto"/>
              <w:left w:val="nil"/>
              <w:bottom w:val="single" w:sz="4" w:space="0" w:color="auto"/>
              <w:right w:val="single" w:sz="4" w:space="0" w:color="auto"/>
            </w:tcBorders>
            <w:noWrap/>
          </w:tcPr>
          <w:p w14:paraId="1FFF30FC"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2267</w:t>
            </w:r>
          </w:p>
        </w:tc>
        <w:tc>
          <w:tcPr>
            <w:tcW w:w="1435" w:type="dxa"/>
            <w:tcBorders>
              <w:top w:val="single" w:sz="4" w:space="0" w:color="auto"/>
              <w:left w:val="nil"/>
              <w:bottom w:val="single" w:sz="4" w:space="0" w:color="auto"/>
              <w:right w:val="single" w:sz="4" w:space="0" w:color="auto"/>
            </w:tcBorders>
            <w:noWrap/>
          </w:tcPr>
          <w:p w14:paraId="1C06F12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96.6</w:t>
            </w:r>
          </w:p>
        </w:tc>
        <w:tc>
          <w:tcPr>
            <w:tcW w:w="1557" w:type="dxa"/>
            <w:tcBorders>
              <w:top w:val="single" w:sz="4" w:space="0" w:color="auto"/>
              <w:left w:val="nil"/>
              <w:bottom w:val="single" w:sz="4" w:space="0" w:color="auto"/>
              <w:right w:val="single" w:sz="4" w:space="0" w:color="auto"/>
            </w:tcBorders>
            <w:noWrap/>
          </w:tcPr>
          <w:p w14:paraId="515DB16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79</w:t>
            </w:r>
          </w:p>
        </w:tc>
        <w:tc>
          <w:tcPr>
            <w:tcW w:w="1224" w:type="dxa"/>
            <w:tcBorders>
              <w:top w:val="single" w:sz="4" w:space="0" w:color="auto"/>
              <w:left w:val="nil"/>
              <w:bottom w:val="single" w:sz="4" w:space="0" w:color="auto"/>
              <w:right w:val="single" w:sz="4" w:space="0" w:color="auto"/>
            </w:tcBorders>
            <w:noWrap/>
          </w:tcPr>
          <w:p w14:paraId="126B35D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3.4</w:t>
            </w:r>
          </w:p>
        </w:tc>
      </w:tr>
      <w:tr w:rsidR="008B5873" w:rsidRPr="004043F7" w14:paraId="675386C9"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tcPr>
          <w:p w14:paraId="3B7BE769"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Cushion device pressure points</w:t>
            </w:r>
          </w:p>
        </w:tc>
        <w:tc>
          <w:tcPr>
            <w:tcW w:w="1625" w:type="dxa"/>
            <w:tcBorders>
              <w:top w:val="single" w:sz="4" w:space="0" w:color="auto"/>
              <w:left w:val="nil"/>
              <w:bottom w:val="single" w:sz="4" w:space="0" w:color="auto"/>
              <w:right w:val="single" w:sz="4" w:space="0" w:color="auto"/>
            </w:tcBorders>
            <w:noWrap/>
          </w:tcPr>
          <w:p w14:paraId="1B6985EE"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2237</w:t>
            </w:r>
          </w:p>
        </w:tc>
        <w:tc>
          <w:tcPr>
            <w:tcW w:w="1435" w:type="dxa"/>
            <w:tcBorders>
              <w:top w:val="single" w:sz="4" w:space="0" w:color="auto"/>
              <w:left w:val="nil"/>
              <w:bottom w:val="single" w:sz="4" w:space="0" w:color="auto"/>
              <w:right w:val="single" w:sz="4" w:space="0" w:color="auto"/>
            </w:tcBorders>
            <w:noWrap/>
          </w:tcPr>
          <w:p w14:paraId="3A43CCAF"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95.4</w:t>
            </w:r>
          </w:p>
        </w:tc>
        <w:tc>
          <w:tcPr>
            <w:tcW w:w="1557" w:type="dxa"/>
            <w:tcBorders>
              <w:top w:val="single" w:sz="4" w:space="0" w:color="auto"/>
              <w:left w:val="nil"/>
              <w:bottom w:val="single" w:sz="4" w:space="0" w:color="auto"/>
              <w:right w:val="single" w:sz="4" w:space="0" w:color="auto"/>
            </w:tcBorders>
            <w:noWrap/>
          </w:tcPr>
          <w:p w14:paraId="56102B8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109</w:t>
            </w:r>
          </w:p>
        </w:tc>
        <w:tc>
          <w:tcPr>
            <w:tcW w:w="1224" w:type="dxa"/>
            <w:tcBorders>
              <w:top w:val="single" w:sz="4" w:space="0" w:color="auto"/>
              <w:left w:val="nil"/>
              <w:bottom w:val="single" w:sz="4" w:space="0" w:color="auto"/>
              <w:right w:val="single" w:sz="4" w:space="0" w:color="auto"/>
            </w:tcBorders>
            <w:noWrap/>
          </w:tcPr>
          <w:p w14:paraId="45624DE8"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4.6</w:t>
            </w:r>
          </w:p>
        </w:tc>
      </w:tr>
      <w:tr w:rsidR="008B5873" w:rsidRPr="004043F7" w14:paraId="1535589B"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tcPr>
          <w:p w14:paraId="0A66AE21"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Use incontinence pad if needed</w:t>
            </w:r>
          </w:p>
        </w:tc>
        <w:tc>
          <w:tcPr>
            <w:tcW w:w="1625" w:type="dxa"/>
            <w:tcBorders>
              <w:top w:val="single" w:sz="4" w:space="0" w:color="auto"/>
              <w:left w:val="nil"/>
              <w:bottom w:val="single" w:sz="4" w:space="0" w:color="auto"/>
              <w:right w:val="single" w:sz="4" w:space="0" w:color="auto"/>
            </w:tcBorders>
            <w:noWrap/>
          </w:tcPr>
          <w:p w14:paraId="2032EB0D"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2199</w:t>
            </w:r>
          </w:p>
        </w:tc>
        <w:tc>
          <w:tcPr>
            <w:tcW w:w="1435" w:type="dxa"/>
            <w:tcBorders>
              <w:top w:val="single" w:sz="4" w:space="0" w:color="auto"/>
              <w:left w:val="nil"/>
              <w:bottom w:val="single" w:sz="4" w:space="0" w:color="auto"/>
              <w:right w:val="single" w:sz="4" w:space="0" w:color="auto"/>
            </w:tcBorders>
            <w:noWrap/>
          </w:tcPr>
          <w:p w14:paraId="5C701B00"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93.7</w:t>
            </w:r>
          </w:p>
        </w:tc>
        <w:tc>
          <w:tcPr>
            <w:tcW w:w="1557" w:type="dxa"/>
            <w:tcBorders>
              <w:top w:val="single" w:sz="4" w:space="0" w:color="auto"/>
              <w:left w:val="nil"/>
              <w:bottom w:val="single" w:sz="4" w:space="0" w:color="auto"/>
              <w:right w:val="single" w:sz="4" w:space="0" w:color="auto"/>
            </w:tcBorders>
            <w:noWrap/>
          </w:tcPr>
          <w:p w14:paraId="53C8C191"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147</w:t>
            </w:r>
          </w:p>
        </w:tc>
        <w:tc>
          <w:tcPr>
            <w:tcW w:w="1224" w:type="dxa"/>
            <w:tcBorders>
              <w:top w:val="single" w:sz="4" w:space="0" w:color="auto"/>
              <w:left w:val="nil"/>
              <w:bottom w:val="single" w:sz="4" w:space="0" w:color="auto"/>
              <w:right w:val="single" w:sz="4" w:space="0" w:color="auto"/>
            </w:tcBorders>
            <w:noWrap/>
          </w:tcPr>
          <w:p w14:paraId="57B6A719"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6.3</w:t>
            </w:r>
          </w:p>
        </w:tc>
      </w:tr>
      <w:tr w:rsidR="008B5873" w:rsidRPr="004043F7" w14:paraId="113474CC" w14:textId="77777777" w:rsidTr="00326EDB">
        <w:trPr>
          <w:trHeight w:val="171"/>
        </w:trPr>
        <w:tc>
          <w:tcPr>
            <w:tcW w:w="3780" w:type="dxa"/>
            <w:tcBorders>
              <w:top w:val="single" w:sz="4" w:space="0" w:color="auto"/>
              <w:left w:val="single" w:sz="4" w:space="0" w:color="auto"/>
              <w:bottom w:val="single" w:sz="4" w:space="0" w:color="auto"/>
              <w:right w:val="single" w:sz="4" w:space="0" w:color="auto"/>
            </w:tcBorders>
            <w:noWrap/>
          </w:tcPr>
          <w:p w14:paraId="3A94E2B7"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Assist with feeds if needed</w:t>
            </w:r>
          </w:p>
        </w:tc>
        <w:tc>
          <w:tcPr>
            <w:tcW w:w="1625" w:type="dxa"/>
            <w:tcBorders>
              <w:top w:val="single" w:sz="4" w:space="0" w:color="auto"/>
              <w:left w:val="nil"/>
              <w:bottom w:val="single" w:sz="4" w:space="0" w:color="auto"/>
              <w:right w:val="single" w:sz="4" w:space="0" w:color="auto"/>
            </w:tcBorders>
            <w:noWrap/>
          </w:tcPr>
          <w:p w14:paraId="7CCA46FE"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2191</w:t>
            </w:r>
          </w:p>
        </w:tc>
        <w:tc>
          <w:tcPr>
            <w:tcW w:w="1435" w:type="dxa"/>
            <w:tcBorders>
              <w:top w:val="single" w:sz="4" w:space="0" w:color="auto"/>
              <w:left w:val="nil"/>
              <w:bottom w:val="single" w:sz="4" w:space="0" w:color="auto"/>
              <w:right w:val="single" w:sz="4" w:space="0" w:color="auto"/>
            </w:tcBorders>
            <w:noWrap/>
          </w:tcPr>
          <w:p w14:paraId="7712672C"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93.4</w:t>
            </w:r>
          </w:p>
        </w:tc>
        <w:tc>
          <w:tcPr>
            <w:tcW w:w="1557" w:type="dxa"/>
            <w:tcBorders>
              <w:top w:val="single" w:sz="4" w:space="0" w:color="auto"/>
              <w:left w:val="nil"/>
              <w:bottom w:val="single" w:sz="4" w:space="0" w:color="auto"/>
              <w:right w:val="single" w:sz="4" w:space="0" w:color="auto"/>
            </w:tcBorders>
            <w:noWrap/>
          </w:tcPr>
          <w:p w14:paraId="180CE837"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155</w:t>
            </w:r>
          </w:p>
        </w:tc>
        <w:tc>
          <w:tcPr>
            <w:tcW w:w="1224" w:type="dxa"/>
            <w:tcBorders>
              <w:top w:val="single" w:sz="4" w:space="0" w:color="auto"/>
              <w:left w:val="nil"/>
              <w:bottom w:val="single" w:sz="4" w:space="0" w:color="auto"/>
              <w:right w:val="single" w:sz="4" w:space="0" w:color="auto"/>
            </w:tcBorders>
            <w:noWrap/>
          </w:tcPr>
          <w:p w14:paraId="423548BE"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6.6</w:t>
            </w:r>
          </w:p>
        </w:tc>
      </w:tr>
      <w:tr w:rsidR="008B5873" w:rsidRPr="004043F7" w14:paraId="7D06CB50" w14:textId="77777777" w:rsidTr="00326EDB">
        <w:trPr>
          <w:trHeight w:val="62"/>
        </w:trPr>
        <w:tc>
          <w:tcPr>
            <w:tcW w:w="3780" w:type="dxa"/>
            <w:tcBorders>
              <w:top w:val="single" w:sz="4" w:space="0" w:color="auto"/>
              <w:left w:val="single" w:sz="4" w:space="0" w:color="auto"/>
              <w:bottom w:val="single" w:sz="4" w:space="0" w:color="auto"/>
              <w:right w:val="single" w:sz="4" w:space="0" w:color="auto"/>
            </w:tcBorders>
            <w:noWrap/>
          </w:tcPr>
          <w:p w14:paraId="24716C6F"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Ensure Dietician Referral</w:t>
            </w:r>
          </w:p>
        </w:tc>
        <w:tc>
          <w:tcPr>
            <w:tcW w:w="1625" w:type="dxa"/>
            <w:tcBorders>
              <w:top w:val="single" w:sz="4" w:space="0" w:color="auto"/>
              <w:left w:val="nil"/>
              <w:bottom w:val="single" w:sz="4" w:space="0" w:color="auto"/>
              <w:right w:val="single" w:sz="4" w:space="0" w:color="auto"/>
            </w:tcBorders>
            <w:noWrap/>
          </w:tcPr>
          <w:p w14:paraId="2E59AC40"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2260</w:t>
            </w:r>
          </w:p>
        </w:tc>
        <w:tc>
          <w:tcPr>
            <w:tcW w:w="1435" w:type="dxa"/>
            <w:tcBorders>
              <w:top w:val="single" w:sz="4" w:space="0" w:color="auto"/>
              <w:left w:val="nil"/>
              <w:bottom w:val="single" w:sz="4" w:space="0" w:color="auto"/>
              <w:right w:val="single" w:sz="4" w:space="0" w:color="auto"/>
            </w:tcBorders>
            <w:noWrap/>
          </w:tcPr>
          <w:p w14:paraId="4131E97E"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96.3</w:t>
            </w:r>
          </w:p>
        </w:tc>
        <w:tc>
          <w:tcPr>
            <w:tcW w:w="1557" w:type="dxa"/>
            <w:tcBorders>
              <w:top w:val="single" w:sz="4" w:space="0" w:color="auto"/>
              <w:left w:val="nil"/>
              <w:bottom w:val="single" w:sz="4" w:space="0" w:color="auto"/>
              <w:right w:val="single" w:sz="4" w:space="0" w:color="auto"/>
            </w:tcBorders>
            <w:noWrap/>
          </w:tcPr>
          <w:p w14:paraId="32D7633C"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86</w:t>
            </w:r>
          </w:p>
        </w:tc>
        <w:tc>
          <w:tcPr>
            <w:tcW w:w="1224" w:type="dxa"/>
            <w:tcBorders>
              <w:top w:val="single" w:sz="4" w:space="0" w:color="auto"/>
              <w:left w:val="nil"/>
              <w:bottom w:val="single" w:sz="4" w:space="0" w:color="auto"/>
              <w:right w:val="single" w:sz="4" w:space="0" w:color="auto"/>
            </w:tcBorders>
            <w:noWrap/>
          </w:tcPr>
          <w:p w14:paraId="0C06D42F"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3.7</w:t>
            </w:r>
          </w:p>
        </w:tc>
      </w:tr>
      <w:tr w:rsidR="008B5873" w:rsidRPr="004043F7" w14:paraId="15EC4175" w14:textId="77777777" w:rsidTr="00326EDB">
        <w:trPr>
          <w:trHeight w:val="98"/>
        </w:trPr>
        <w:tc>
          <w:tcPr>
            <w:tcW w:w="3780" w:type="dxa"/>
            <w:tcBorders>
              <w:top w:val="single" w:sz="4" w:space="0" w:color="auto"/>
              <w:left w:val="single" w:sz="4" w:space="0" w:color="auto"/>
              <w:bottom w:val="single" w:sz="4" w:space="0" w:color="auto"/>
              <w:right w:val="single" w:sz="4" w:space="0" w:color="auto"/>
            </w:tcBorders>
            <w:noWrap/>
          </w:tcPr>
          <w:p w14:paraId="08B2BDC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Avoid Silicon Sheet on Air Mattress</w:t>
            </w:r>
          </w:p>
        </w:tc>
        <w:tc>
          <w:tcPr>
            <w:tcW w:w="1625" w:type="dxa"/>
            <w:tcBorders>
              <w:top w:val="single" w:sz="4" w:space="0" w:color="auto"/>
              <w:left w:val="nil"/>
              <w:bottom w:val="single" w:sz="4" w:space="0" w:color="auto"/>
              <w:right w:val="single" w:sz="4" w:space="0" w:color="auto"/>
            </w:tcBorders>
            <w:noWrap/>
          </w:tcPr>
          <w:p w14:paraId="4C26CBDD"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2277</w:t>
            </w:r>
          </w:p>
        </w:tc>
        <w:tc>
          <w:tcPr>
            <w:tcW w:w="1435" w:type="dxa"/>
            <w:tcBorders>
              <w:top w:val="single" w:sz="4" w:space="0" w:color="auto"/>
              <w:left w:val="nil"/>
              <w:bottom w:val="single" w:sz="4" w:space="0" w:color="auto"/>
              <w:right w:val="single" w:sz="4" w:space="0" w:color="auto"/>
            </w:tcBorders>
            <w:noWrap/>
          </w:tcPr>
          <w:p w14:paraId="0767B7F4"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97.1</w:t>
            </w:r>
          </w:p>
        </w:tc>
        <w:tc>
          <w:tcPr>
            <w:tcW w:w="1557" w:type="dxa"/>
            <w:tcBorders>
              <w:top w:val="single" w:sz="4" w:space="0" w:color="auto"/>
              <w:left w:val="nil"/>
              <w:bottom w:val="single" w:sz="4" w:space="0" w:color="auto"/>
              <w:right w:val="single" w:sz="4" w:space="0" w:color="auto"/>
            </w:tcBorders>
            <w:noWrap/>
          </w:tcPr>
          <w:p w14:paraId="3108B6E0"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69</w:t>
            </w:r>
          </w:p>
        </w:tc>
        <w:tc>
          <w:tcPr>
            <w:tcW w:w="1224" w:type="dxa"/>
            <w:tcBorders>
              <w:top w:val="single" w:sz="4" w:space="0" w:color="auto"/>
              <w:left w:val="nil"/>
              <w:bottom w:val="single" w:sz="4" w:space="0" w:color="auto"/>
              <w:right w:val="single" w:sz="4" w:space="0" w:color="auto"/>
            </w:tcBorders>
            <w:noWrap/>
          </w:tcPr>
          <w:p w14:paraId="365C81CC" w14:textId="77777777" w:rsidR="008B5873" w:rsidRPr="00B575CC" w:rsidRDefault="008B5873" w:rsidP="00326EDB">
            <w:pPr>
              <w:jc w:val="both"/>
              <w:rPr>
                <w:rFonts w:asciiTheme="majorBidi" w:hAnsiTheme="majorBidi" w:cstheme="majorBidi"/>
                <w:spacing w:val="-1"/>
              </w:rPr>
            </w:pPr>
            <w:r w:rsidRPr="00B575CC">
              <w:rPr>
                <w:rFonts w:asciiTheme="majorBidi" w:hAnsiTheme="majorBidi" w:cstheme="majorBidi"/>
                <w:spacing w:val="-1"/>
              </w:rPr>
              <w:t>2.9</w:t>
            </w:r>
          </w:p>
        </w:tc>
      </w:tr>
    </w:tbl>
    <w:p w14:paraId="2397F0E2" w14:textId="77777777" w:rsidR="008B5873" w:rsidRDefault="008B5873" w:rsidP="008B5873">
      <w:pPr>
        <w:pStyle w:val="BodyText"/>
        <w:rPr>
          <w:rFonts w:asciiTheme="majorBidi" w:hAnsiTheme="majorBidi" w:cstheme="majorBidi"/>
        </w:rPr>
      </w:pPr>
    </w:p>
    <w:p w14:paraId="1700DD9A" w14:textId="77777777" w:rsidR="008B5873" w:rsidRDefault="008B5873" w:rsidP="008B5873">
      <w:pPr>
        <w:pStyle w:val="BodyText"/>
        <w:rPr>
          <w:rFonts w:asciiTheme="majorBidi" w:hAnsiTheme="majorBidi" w:cstheme="majorBidi"/>
        </w:rPr>
      </w:pPr>
    </w:p>
    <w:p w14:paraId="17422C13" w14:textId="77777777" w:rsidR="008B5873" w:rsidRDefault="008B5873" w:rsidP="008B5873">
      <w:pPr>
        <w:pStyle w:val="BodyText"/>
        <w:rPr>
          <w:lang w:eastAsia="en-US"/>
        </w:rPr>
      </w:pPr>
    </w:p>
    <w:p w14:paraId="60A1812F" w14:textId="77777777" w:rsidR="008B5873" w:rsidRDefault="008B5873" w:rsidP="008B5873">
      <w:pPr>
        <w:pStyle w:val="BodyText"/>
        <w:rPr>
          <w:lang w:eastAsia="en-US"/>
        </w:rPr>
      </w:pPr>
    </w:p>
    <w:p w14:paraId="2EE5CF54" w14:textId="77777777" w:rsidR="008B5873" w:rsidRDefault="008B5873" w:rsidP="008B5873">
      <w:pPr>
        <w:pStyle w:val="BodyText"/>
        <w:rPr>
          <w:lang w:eastAsia="en-US"/>
        </w:rPr>
      </w:pPr>
    </w:p>
    <w:p w14:paraId="414F8888" w14:textId="77777777" w:rsidR="008B5873" w:rsidRDefault="008B5873" w:rsidP="008B5873">
      <w:pPr>
        <w:pStyle w:val="BodyText"/>
        <w:rPr>
          <w:lang w:eastAsia="en-US"/>
        </w:rPr>
      </w:pPr>
    </w:p>
    <w:p w14:paraId="23359A08" w14:textId="77777777" w:rsidR="008B5873" w:rsidRDefault="008B5873" w:rsidP="008B5873">
      <w:pPr>
        <w:pStyle w:val="BodyText"/>
        <w:rPr>
          <w:lang w:eastAsia="en-US"/>
        </w:rPr>
      </w:pPr>
    </w:p>
    <w:p w14:paraId="5A62E977" w14:textId="77777777" w:rsidR="008B5873" w:rsidRDefault="008B5873" w:rsidP="008B5873">
      <w:pPr>
        <w:pStyle w:val="BodyText"/>
        <w:rPr>
          <w:lang w:eastAsia="en-US"/>
        </w:rPr>
      </w:pPr>
    </w:p>
    <w:p w14:paraId="1FA35BCA" w14:textId="77777777" w:rsidR="008B5873" w:rsidRDefault="008B5873" w:rsidP="008B5873">
      <w:pPr>
        <w:pStyle w:val="BodyText"/>
        <w:rPr>
          <w:lang w:eastAsia="en-US"/>
        </w:rPr>
      </w:pPr>
    </w:p>
    <w:p w14:paraId="59051AE4" w14:textId="77777777" w:rsidR="008B5873" w:rsidRDefault="008B5873" w:rsidP="008B5873">
      <w:pPr>
        <w:pStyle w:val="BodyText"/>
        <w:rPr>
          <w:lang w:eastAsia="en-US"/>
        </w:rPr>
      </w:pPr>
    </w:p>
    <w:p w14:paraId="33E573BF" w14:textId="77777777" w:rsidR="008B5873" w:rsidRDefault="008B5873" w:rsidP="008B5873">
      <w:pPr>
        <w:pStyle w:val="BodyText"/>
        <w:rPr>
          <w:lang w:eastAsia="en-US"/>
        </w:rPr>
      </w:pPr>
    </w:p>
    <w:p w14:paraId="049634D7" w14:textId="77777777" w:rsidR="008B5873" w:rsidRDefault="008B5873" w:rsidP="008B5873">
      <w:pPr>
        <w:pStyle w:val="BodyText"/>
        <w:rPr>
          <w:lang w:eastAsia="en-US"/>
        </w:rPr>
      </w:pPr>
    </w:p>
    <w:p w14:paraId="1175D667" w14:textId="77777777" w:rsidR="008B5873" w:rsidRDefault="008B5873" w:rsidP="008B5873">
      <w:pPr>
        <w:pStyle w:val="BodyText"/>
        <w:rPr>
          <w:lang w:eastAsia="en-US"/>
        </w:rPr>
      </w:pPr>
    </w:p>
    <w:p w14:paraId="70AEED08" w14:textId="77777777" w:rsidR="008B5873" w:rsidRDefault="008B5873" w:rsidP="008B5873">
      <w:pPr>
        <w:pStyle w:val="BodyText"/>
        <w:rPr>
          <w:lang w:eastAsia="en-US"/>
        </w:rPr>
      </w:pPr>
    </w:p>
    <w:p w14:paraId="01C82DEB" w14:textId="77777777" w:rsidR="008B5873" w:rsidRDefault="008B5873" w:rsidP="008B5873">
      <w:pPr>
        <w:pStyle w:val="BodyText"/>
        <w:rPr>
          <w:lang w:eastAsia="en-US"/>
        </w:rPr>
      </w:pPr>
    </w:p>
    <w:p w14:paraId="779633F5" w14:textId="77777777" w:rsidR="008B5873" w:rsidRDefault="008B5873" w:rsidP="008B5873">
      <w:pPr>
        <w:pStyle w:val="BodyText"/>
        <w:rPr>
          <w:lang w:eastAsia="en-US"/>
        </w:rPr>
      </w:pPr>
    </w:p>
    <w:p w14:paraId="585448EC" w14:textId="77777777" w:rsidR="008B5873" w:rsidRDefault="008B5873" w:rsidP="008B5873">
      <w:pPr>
        <w:pStyle w:val="BodyText"/>
        <w:rPr>
          <w:lang w:eastAsia="en-US"/>
        </w:rPr>
      </w:pPr>
    </w:p>
    <w:p w14:paraId="347E6D83" w14:textId="77777777" w:rsidR="008B5873" w:rsidRDefault="008B5873" w:rsidP="008B5873">
      <w:pPr>
        <w:pStyle w:val="BodyText"/>
        <w:rPr>
          <w:lang w:eastAsia="en-US"/>
        </w:rPr>
      </w:pPr>
    </w:p>
    <w:p w14:paraId="713C0404" w14:textId="77777777" w:rsidR="008B5873" w:rsidRDefault="008B5873" w:rsidP="008B5873">
      <w:pPr>
        <w:pStyle w:val="BodyText"/>
        <w:rPr>
          <w:lang w:eastAsia="en-US"/>
        </w:rPr>
      </w:pPr>
    </w:p>
    <w:p w14:paraId="26730DF5" w14:textId="77777777" w:rsidR="008B5873" w:rsidRDefault="008B5873" w:rsidP="008B5873">
      <w:pPr>
        <w:pStyle w:val="BodyText"/>
        <w:rPr>
          <w:lang w:eastAsia="en-US"/>
        </w:rPr>
      </w:pPr>
    </w:p>
    <w:p w14:paraId="26EB3743" w14:textId="77777777" w:rsidR="008B5873" w:rsidRDefault="008B5873" w:rsidP="008B5873">
      <w:pPr>
        <w:pStyle w:val="BodyText"/>
        <w:rPr>
          <w:lang w:eastAsia="en-US"/>
        </w:rPr>
      </w:pPr>
    </w:p>
    <w:p w14:paraId="28B3D537" w14:textId="77777777" w:rsidR="008B5873" w:rsidRDefault="008B5873" w:rsidP="008B5873">
      <w:pPr>
        <w:pStyle w:val="BodyText"/>
        <w:rPr>
          <w:lang w:eastAsia="en-US"/>
        </w:rPr>
      </w:pPr>
    </w:p>
    <w:p w14:paraId="16076A96" w14:textId="77777777" w:rsidR="008B5873" w:rsidRDefault="008B5873" w:rsidP="008B5873">
      <w:pPr>
        <w:pStyle w:val="BodyText"/>
        <w:rPr>
          <w:lang w:eastAsia="en-US"/>
        </w:rPr>
      </w:pPr>
    </w:p>
    <w:p w14:paraId="3590BA89" w14:textId="77777777" w:rsidR="008B5873" w:rsidRDefault="008B5873" w:rsidP="008B5873">
      <w:pPr>
        <w:pStyle w:val="BodyText"/>
        <w:rPr>
          <w:lang w:eastAsia="en-US"/>
        </w:rPr>
      </w:pPr>
    </w:p>
    <w:tbl>
      <w:tblPr>
        <w:tblW w:w="9630" w:type="dxa"/>
        <w:tblInd w:w="-10" w:type="dxa"/>
        <w:tblLook w:val="04A0" w:firstRow="1" w:lastRow="0" w:firstColumn="1" w:lastColumn="0" w:noHBand="0" w:noVBand="1"/>
      </w:tblPr>
      <w:tblGrid>
        <w:gridCol w:w="267"/>
        <w:gridCol w:w="3785"/>
        <w:gridCol w:w="2970"/>
        <w:gridCol w:w="2608"/>
      </w:tblGrid>
      <w:tr w:rsidR="008B5873" w:rsidRPr="004043F7" w14:paraId="65EA9808" w14:textId="77777777" w:rsidTr="00326EDB">
        <w:trPr>
          <w:trHeight w:val="220"/>
        </w:trPr>
        <w:tc>
          <w:tcPr>
            <w:tcW w:w="9630" w:type="dxa"/>
            <w:gridSpan w:val="4"/>
            <w:tcBorders>
              <w:bottom w:val="single" w:sz="4" w:space="0" w:color="auto"/>
            </w:tcBorders>
            <w:shd w:val="clear" w:color="000000" w:fill="FFFFFF"/>
            <w:vAlign w:val="center"/>
            <w:hideMark/>
          </w:tcPr>
          <w:p w14:paraId="0C50DC89" w14:textId="77777777" w:rsidR="008B5873" w:rsidRPr="00C53BDF" w:rsidRDefault="008B5873" w:rsidP="00326EDB">
            <w:pPr>
              <w:rPr>
                <w:rFonts w:asciiTheme="majorBidi" w:hAnsiTheme="majorBidi" w:cstheme="majorBidi"/>
                <w:spacing w:val="-1"/>
              </w:rPr>
            </w:pPr>
            <w:r w:rsidRPr="00C53BDF">
              <w:rPr>
                <w:rFonts w:asciiTheme="majorBidi" w:hAnsiTheme="majorBidi" w:cstheme="majorBidi"/>
                <w:spacing w:val="-1"/>
              </w:rPr>
              <w:t xml:space="preserve">Table 10: Overall Mobile protocol intervention total </w:t>
            </w:r>
          </w:p>
          <w:p w14:paraId="1529212E" w14:textId="77777777" w:rsidR="008B5873" w:rsidRPr="00C53BDF" w:rsidRDefault="008B5873" w:rsidP="00326EDB">
            <w:pPr>
              <w:rPr>
                <w:rFonts w:asciiTheme="majorBidi" w:hAnsiTheme="majorBidi" w:cstheme="majorBidi"/>
                <w:spacing w:val="-1"/>
              </w:rPr>
            </w:pPr>
          </w:p>
        </w:tc>
      </w:tr>
      <w:tr w:rsidR="008B5873" w:rsidRPr="004043F7" w14:paraId="70C142C6" w14:textId="77777777" w:rsidTr="00326EDB">
        <w:trPr>
          <w:trHeight w:val="220"/>
        </w:trPr>
        <w:tc>
          <w:tcPr>
            <w:tcW w:w="405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3D75F31" w14:textId="77777777" w:rsidR="008B5873" w:rsidRPr="00C53BDF" w:rsidRDefault="008B5873" w:rsidP="00326EDB">
            <w:pPr>
              <w:jc w:val="both"/>
              <w:rPr>
                <w:rFonts w:asciiTheme="majorBidi" w:hAnsiTheme="majorBidi" w:cstheme="majorBidi"/>
                <w:b/>
                <w:bCs/>
                <w:spacing w:val="-1"/>
              </w:rPr>
            </w:pPr>
            <w:r w:rsidRPr="00C53BDF">
              <w:rPr>
                <w:rFonts w:asciiTheme="majorBidi" w:hAnsiTheme="majorBidi" w:cstheme="majorBidi"/>
                <w:b/>
                <w:bCs/>
                <w:spacing w:val="-1"/>
              </w:rPr>
              <w:t>No. of discrepancies</w:t>
            </w:r>
          </w:p>
        </w:tc>
        <w:tc>
          <w:tcPr>
            <w:tcW w:w="2970" w:type="dxa"/>
            <w:tcBorders>
              <w:top w:val="single" w:sz="4" w:space="0" w:color="auto"/>
              <w:left w:val="single" w:sz="4" w:space="0" w:color="auto"/>
              <w:bottom w:val="single" w:sz="4" w:space="0" w:color="auto"/>
              <w:right w:val="single" w:sz="4" w:space="0" w:color="auto"/>
            </w:tcBorders>
            <w:shd w:val="clear" w:color="000000" w:fill="FFFFFF"/>
            <w:hideMark/>
          </w:tcPr>
          <w:p w14:paraId="286BD769" w14:textId="77777777" w:rsidR="008B5873" w:rsidRPr="00C53BDF" w:rsidRDefault="008B5873" w:rsidP="00326EDB">
            <w:pPr>
              <w:jc w:val="both"/>
              <w:rPr>
                <w:rFonts w:asciiTheme="majorBidi" w:hAnsiTheme="majorBidi" w:cstheme="majorBidi"/>
                <w:b/>
                <w:bCs/>
                <w:spacing w:val="-1"/>
              </w:rPr>
            </w:pPr>
            <w:r w:rsidRPr="00C53BDF">
              <w:rPr>
                <w:rFonts w:asciiTheme="majorBidi" w:hAnsiTheme="majorBidi" w:cstheme="majorBidi"/>
                <w:b/>
                <w:bCs/>
                <w:spacing w:val="-1"/>
              </w:rPr>
              <w:t>No. of records on agreement and No. of records with discrepancies</w:t>
            </w:r>
          </w:p>
        </w:tc>
        <w:tc>
          <w:tcPr>
            <w:tcW w:w="2608" w:type="dxa"/>
            <w:tcBorders>
              <w:top w:val="single" w:sz="4" w:space="0" w:color="auto"/>
              <w:left w:val="single" w:sz="4" w:space="0" w:color="auto"/>
              <w:bottom w:val="single" w:sz="4" w:space="0" w:color="auto"/>
              <w:right w:val="single" w:sz="4" w:space="0" w:color="auto"/>
            </w:tcBorders>
            <w:shd w:val="clear" w:color="000000" w:fill="FFFFFF"/>
            <w:hideMark/>
          </w:tcPr>
          <w:p w14:paraId="4C338D51" w14:textId="77777777" w:rsidR="008B5873" w:rsidRPr="00C53BDF" w:rsidRDefault="008B5873" w:rsidP="00326EDB">
            <w:pPr>
              <w:jc w:val="both"/>
              <w:rPr>
                <w:rFonts w:asciiTheme="majorBidi" w:hAnsiTheme="majorBidi" w:cstheme="majorBidi"/>
                <w:b/>
                <w:bCs/>
                <w:spacing w:val="-1"/>
              </w:rPr>
            </w:pPr>
            <w:r w:rsidRPr="00C53BDF">
              <w:rPr>
                <w:rFonts w:asciiTheme="majorBidi" w:hAnsiTheme="majorBidi" w:cstheme="majorBidi"/>
                <w:b/>
                <w:bCs/>
                <w:spacing w:val="-1"/>
              </w:rPr>
              <w:t>Proportion of records in agreement/discrepancy</w:t>
            </w:r>
          </w:p>
        </w:tc>
      </w:tr>
      <w:tr w:rsidR="008B5873" w:rsidRPr="004043F7" w14:paraId="084F178A" w14:textId="77777777" w:rsidTr="00326EDB">
        <w:trPr>
          <w:trHeight w:val="220"/>
        </w:trPr>
        <w:tc>
          <w:tcPr>
            <w:tcW w:w="2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12BAAC7"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 </w:t>
            </w:r>
          </w:p>
        </w:tc>
        <w:tc>
          <w:tcPr>
            <w:tcW w:w="3785" w:type="dxa"/>
            <w:tcBorders>
              <w:top w:val="single" w:sz="4" w:space="0" w:color="auto"/>
              <w:left w:val="single" w:sz="4" w:space="0" w:color="auto"/>
              <w:bottom w:val="single" w:sz="4" w:space="0" w:color="auto"/>
              <w:right w:val="single" w:sz="4" w:space="0" w:color="auto"/>
            </w:tcBorders>
            <w:shd w:val="clear" w:color="000000" w:fill="FFFFFF"/>
            <w:noWrap/>
            <w:hideMark/>
          </w:tcPr>
          <w:p w14:paraId="43437015" w14:textId="77777777" w:rsidR="008B5873" w:rsidRPr="00C53BDF" w:rsidRDefault="008B5873" w:rsidP="00326EDB">
            <w:pPr>
              <w:jc w:val="both"/>
              <w:rPr>
                <w:rFonts w:asciiTheme="majorBidi" w:hAnsiTheme="majorBidi" w:cstheme="majorBidi"/>
                <w:b/>
                <w:bCs/>
                <w:spacing w:val="-1"/>
              </w:rPr>
            </w:pPr>
            <w:r w:rsidRPr="00C53BDF">
              <w:rPr>
                <w:rFonts w:asciiTheme="majorBidi" w:hAnsiTheme="majorBidi" w:cstheme="majorBidi"/>
                <w:b/>
                <w:bCs/>
                <w:spacing w:val="-1"/>
              </w:rPr>
              <w:t>0 - perfect agreement</w:t>
            </w: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0D2F9CAA" w14:textId="77777777" w:rsidR="008B5873" w:rsidRPr="00C53BDF" w:rsidRDefault="008B5873" w:rsidP="00326EDB">
            <w:pPr>
              <w:jc w:val="both"/>
              <w:rPr>
                <w:rFonts w:asciiTheme="majorBidi" w:hAnsiTheme="majorBidi" w:cstheme="majorBidi"/>
                <w:b/>
                <w:bCs/>
                <w:spacing w:val="-1"/>
              </w:rPr>
            </w:pPr>
            <w:r w:rsidRPr="00C53BDF">
              <w:rPr>
                <w:rFonts w:asciiTheme="majorBidi" w:hAnsiTheme="majorBidi" w:cstheme="majorBidi"/>
                <w:b/>
                <w:bCs/>
                <w:spacing w:val="-1"/>
              </w:rPr>
              <w:t>1744</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7699E0B9" w14:textId="77777777" w:rsidR="008B5873" w:rsidRPr="00C53BDF" w:rsidRDefault="008B5873" w:rsidP="00326EDB">
            <w:pPr>
              <w:jc w:val="both"/>
              <w:rPr>
                <w:rFonts w:asciiTheme="majorBidi" w:hAnsiTheme="majorBidi" w:cstheme="majorBidi"/>
                <w:b/>
                <w:bCs/>
                <w:spacing w:val="-1"/>
              </w:rPr>
            </w:pPr>
            <w:r w:rsidRPr="00C53BDF">
              <w:rPr>
                <w:rFonts w:asciiTheme="majorBidi" w:hAnsiTheme="majorBidi" w:cstheme="majorBidi"/>
                <w:b/>
                <w:bCs/>
                <w:spacing w:val="-1"/>
              </w:rPr>
              <w:t>74.3</w:t>
            </w:r>
          </w:p>
        </w:tc>
      </w:tr>
      <w:tr w:rsidR="008B5873" w:rsidRPr="004043F7" w14:paraId="0EE59D2A" w14:textId="77777777" w:rsidTr="00326EDB">
        <w:trPr>
          <w:trHeight w:val="63"/>
        </w:trPr>
        <w:tc>
          <w:tcPr>
            <w:tcW w:w="267" w:type="dxa"/>
            <w:vMerge/>
            <w:tcBorders>
              <w:top w:val="single" w:sz="4" w:space="0" w:color="auto"/>
              <w:left w:val="single" w:sz="8" w:space="0" w:color="auto"/>
              <w:bottom w:val="single" w:sz="8" w:space="0" w:color="000000"/>
              <w:right w:val="single" w:sz="4" w:space="0" w:color="auto"/>
            </w:tcBorders>
            <w:vAlign w:val="center"/>
            <w:hideMark/>
          </w:tcPr>
          <w:p w14:paraId="5D46C633"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7F2E6DC9" w14:textId="77777777" w:rsidR="008B5873" w:rsidRPr="00C53BDF" w:rsidRDefault="008B5873" w:rsidP="008B5873">
            <w:pPr>
              <w:pStyle w:val="ListParagraph"/>
              <w:numPr>
                <w:ilvl w:val="0"/>
                <w:numId w:val="11"/>
              </w:numPr>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3336C15D"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118</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56A4E4AD"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5.0</w:t>
            </w:r>
          </w:p>
        </w:tc>
      </w:tr>
      <w:tr w:rsidR="008B5873" w:rsidRPr="004043F7" w14:paraId="6E5409DA"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19CAFF58"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1BB29775" w14:textId="77777777" w:rsidR="008B5873" w:rsidRPr="00C53BDF" w:rsidRDefault="008B5873" w:rsidP="008B5873">
            <w:pPr>
              <w:pStyle w:val="ListParagraph"/>
              <w:numPr>
                <w:ilvl w:val="0"/>
                <w:numId w:val="11"/>
              </w:numPr>
              <w:tabs>
                <w:tab w:val="left" w:pos="1278"/>
              </w:tabs>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2D6917BB"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178</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33C02B90"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7.6</w:t>
            </w:r>
          </w:p>
        </w:tc>
      </w:tr>
      <w:tr w:rsidR="008B5873" w:rsidRPr="004043F7" w14:paraId="275BE6A2"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290AE888"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22877875" w14:textId="77777777" w:rsidR="008B5873" w:rsidRPr="00C53BDF" w:rsidRDefault="008B5873" w:rsidP="008B5873">
            <w:pPr>
              <w:pStyle w:val="ListParagraph"/>
              <w:numPr>
                <w:ilvl w:val="0"/>
                <w:numId w:val="11"/>
              </w:numPr>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4224EC2F"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75</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1D858C16"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3.2</w:t>
            </w:r>
          </w:p>
        </w:tc>
      </w:tr>
      <w:tr w:rsidR="008B5873" w:rsidRPr="004043F7" w14:paraId="09A73429"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0BABA900"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537F17CD" w14:textId="77777777" w:rsidR="008B5873" w:rsidRPr="00C53BDF" w:rsidRDefault="008B5873" w:rsidP="008B5873">
            <w:pPr>
              <w:pStyle w:val="ListParagraph"/>
              <w:numPr>
                <w:ilvl w:val="0"/>
                <w:numId w:val="11"/>
              </w:numPr>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4DC0F328"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59</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7E3D1DA5"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2.5</w:t>
            </w:r>
          </w:p>
        </w:tc>
      </w:tr>
      <w:tr w:rsidR="008B5873" w:rsidRPr="004043F7" w14:paraId="7DF3B01E"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6E88CE0D"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1155BBAA" w14:textId="77777777" w:rsidR="008B5873" w:rsidRPr="00C53BDF" w:rsidRDefault="008B5873" w:rsidP="008B5873">
            <w:pPr>
              <w:pStyle w:val="ListParagraph"/>
              <w:numPr>
                <w:ilvl w:val="0"/>
                <w:numId w:val="11"/>
              </w:numPr>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210D34D0"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27</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12AFD10E"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1.2</w:t>
            </w:r>
          </w:p>
        </w:tc>
      </w:tr>
      <w:tr w:rsidR="008B5873" w:rsidRPr="004043F7" w14:paraId="01CF911C"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08B86B48"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25F870B7" w14:textId="77777777" w:rsidR="008B5873" w:rsidRPr="00C53BDF" w:rsidRDefault="008B5873" w:rsidP="008B5873">
            <w:pPr>
              <w:pStyle w:val="ListParagraph"/>
              <w:numPr>
                <w:ilvl w:val="0"/>
                <w:numId w:val="11"/>
              </w:numPr>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4708E1DD"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26</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3ACDBCC4"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1.1</w:t>
            </w:r>
          </w:p>
        </w:tc>
      </w:tr>
      <w:tr w:rsidR="008B5873" w:rsidRPr="004043F7" w14:paraId="6F69448E"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12FE93D9"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4B7AB9E9" w14:textId="77777777" w:rsidR="008B5873" w:rsidRPr="00C53BDF" w:rsidRDefault="008B5873" w:rsidP="008B5873">
            <w:pPr>
              <w:pStyle w:val="ListParagraph"/>
              <w:numPr>
                <w:ilvl w:val="0"/>
                <w:numId w:val="11"/>
              </w:numPr>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3E3AF477"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25</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76C14461"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1.1</w:t>
            </w:r>
          </w:p>
        </w:tc>
      </w:tr>
      <w:tr w:rsidR="008B5873" w:rsidRPr="004043F7" w14:paraId="2D3D656A"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3477FD96"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7A484306" w14:textId="77777777" w:rsidR="008B5873" w:rsidRPr="00C53BDF" w:rsidRDefault="008B5873" w:rsidP="008B5873">
            <w:pPr>
              <w:pStyle w:val="ListParagraph"/>
              <w:numPr>
                <w:ilvl w:val="0"/>
                <w:numId w:val="11"/>
              </w:numPr>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41402DB9"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20</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5626E574"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0.9</w:t>
            </w:r>
          </w:p>
        </w:tc>
      </w:tr>
      <w:tr w:rsidR="008B5873" w:rsidRPr="004043F7" w14:paraId="1883C7FA"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276857EB"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6901A5FD" w14:textId="77777777" w:rsidR="008B5873" w:rsidRPr="00C53BDF" w:rsidRDefault="008B5873" w:rsidP="008B5873">
            <w:pPr>
              <w:pStyle w:val="ListParagraph"/>
              <w:numPr>
                <w:ilvl w:val="0"/>
                <w:numId w:val="11"/>
              </w:numPr>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7F49D005"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17</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4DBE4C59"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0.7</w:t>
            </w:r>
          </w:p>
        </w:tc>
      </w:tr>
      <w:tr w:rsidR="008B5873" w:rsidRPr="004043F7" w14:paraId="74D9A6FA"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129B8CE7"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74792D8A" w14:textId="77777777" w:rsidR="008B5873" w:rsidRPr="00C53BDF" w:rsidRDefault="008B5873" w:rsidP="008B5873">
            <w:pPr>
              <w:pStyle w:val="ListParagraph"/>
              <w:numPr>
                <w:ilvl w:val="0"/>
                <w:numId w:val="11"/>
              </w:numPr>
              <w:jc w:val="both"/>
              <w:rPr>
                <w:rFonts w:asciiTheme="majorBidi" w:eastAsia="SimSun" w:hAnsiTheme="majorBidi" w:cstheme="majorBidi"/>
                <w:spacing w:val="-1"/>
                <w:sz w:val="20"/>
                <w:szCs w:val="20"/>
                <w:lang w:val="en-US"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67D50D1A"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9</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736495F4"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0.4</w:t>
            </w:r>
          </w:p>
        </w:tc>
      </w:tr>
      <w:tr w:rsidR="008B5873" w:rsidRPr="004043F7" w14:paraId="30F2537B"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5CE7B00B"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3F596D23" w14:textId="77777777" w:rsidR="008B5873" w:rsidRPr="00C53BDF" w:rsidRDefault="008B5873" w:rsidP="008B5873">
            <w:pPr>
              <w:pStyle w:val="p1"/>
              <w:numPr>
                <w:ilvl w:val="0"/>
                <w:numId w:val="11"/>
              </w:numPr>
              <w:spacing w:before="0" w:beforeAutospacing="0" w:after="0" w:afterAutospacing="0"/>
              <w:jc w:val="both"/>
              <w:rPr>
                <w:rFonts w:asciiTheme="majorBidi" w:eastAsia="SimSun" w:hAnsiTheme="majorBidi" w:cstheme="majorBidi"/>
                <w:spacing w:val="-1"/>
                <w:sz w:val="20"/>
                <w:szCs w:val="20"/>
                <w:lang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64BCBB11"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9</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376175D6"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0.4</w:t>
            </w:r>
          </w:p>
        </w:tc>
      </w:tr>
      <w:tr w:rsidR="008B5873" w:rsidRPr="004043F7" w14:paraId="19FC594B"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5B796D20"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5C5C3D7D" w14:textId="77777777" w:rsidR="008B5873" w:rsidRPr="00C53BDF" w:rsidRDefault="008B5873" w:rsidP="008B5873">
            <w:pPr>
              <w:pStyle w:val="p1"/>
              <w:numPr>
                <w:ilvl w:val="0"/>
                <w:numId w:val="11"/>
              </w:numPr>
              <w:spacing w:before="0" w:beforeAutospacing="0" w:after="0" w:afterAutospacing="0"/>
              <w:jc w:val="both"/>
              <w:rPr>
                <w:rFonts w:asciiTheme="majorBidi" w:eastAsia="SimSun" w:hAnsiTheme="majorBidi" w:cstheme="majorBidi"/>
                <w:spacing w:val="-1"/>
                <w:sz w:val="20"/>
                <w:szCs w:val="20"/>
                <w:lang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59AFCE95"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5</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489512BB"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0.2</w:t>
            </w:r>
          </w:p>
        </w:tc>
      </w:tr>
      <w:tr w:rsidR="008B5873" w:rsidRPr="004043F7" w14:paraId="3E23060B"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00FA3F0F"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1B51C764" w14:textId="77777777" w:rsidR="008B5873" w:rsidRPr="00C53BDF" w:rsidRDefault="008B5873" w:rsidP="008B5873">
            <w:pPr>
              <w:pStyle w:val="p1"/>
              <w:numPr>
                <w:ilvl w:val="0"/>
                <w:numId w:val="11"/>
              </w:numPr>
              <w:spacing w:before="0" w:beforeAutospacing="0" w:after="0" w:afterAutospacing="0"/>
              <w:jc w:val="both"/>
              <w:rPr>
                <w:rFonts w:asciiTheme="majorBidi" w:eastAsia="SimSun" w:hAnsiTheme="majorBidi" w:cstheme="majorBidi"/>
                <w:spacing w:val="-1"/>
                <w:sz w:val="20"/>
                <w:szCs w:val="20"/>
                <w:lang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2B5B0FDD"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19</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5F7C49AB"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0.8</w:t>
            </w:r>
          </w:p>
        </w:tc>
      </w:tr>
      <w:tr w:rsidR="008B5873" w:rsidRPr="004043F7" w14:paraId="0EA1EDB9"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60AB98C7"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321100C1" w14:textId="77777777" w:rsidR="008B5873" w:rsidRPr="00C53BDF" w:rsidRDefault="008B5873" w:rsidP="008B5873">
            <w:pPr>
              <w:pStyle w:val="p1"/>
              <w:numPr>
                <w:ilvl w:val="0"/>
                <w:numId w:val="11"/>
              </w:numPr>
              <w:spacing w:before="0" w:beforeAutospacing="0" w:after="0" w:afterAutospacing="0"/>
              <w:jc w:val="both"/>
              <w:rPr>
                <w:rFonts w:asciiTheme="majorBidi" w:eastAsia="SimSun" w:hAnsiTheme="majorBidi" w:cstheme="majorBidi"/>
                <w:spacing w:val="-1"/>
                <w:sz w:val="20"/>
                <w:szCs w:val="20"/>
                <w:lang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5156CC9F"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8</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09F4C7CE"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0.3</w:t>
            </w:r>
          </w:p>
        </w:tc>
      </w:tr>
      <w:tr w:rsidR="008B5873" w:rsidRPr="004043F7" w14:paraId="7397D493" w14:textId="77777777" w:rsidTr="00326EDB">
        <w:trPr>
          <w:trHeight w:val="220"/>
        </w:trPr>
        <w:tc>
          <w:tcPr>
            <w:tcW w:w="267" w:type="dxa"/>
            <w:vMerge/>
            <w:tcBorders>
              <w:top w:val="nil"/>
              <w:left w:val="single" w:sz="8" w:space="0" w:color="auto"/>
              <w:bottom w:val="single" w:sz="8" w:space="0" w:color="000000"/>
              <w:right w:val="single" w:sz="4" w:space="0" w:color="auto"/>
            </w:tcBorders>
            <w:vAlign w:val="center"/>
            <w:hideMark/>
          </w:tcPr>
          <w:p w14:paraId="75299B69"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noWrap/>
          </w:tcPr>
          <w:p w14:paraId="583BF6BE" w14:textId="77777777" w:rsidR="008B5873" w:rsidRPr="00C53BDF" w:rsidRDefault="008B5873" w:rsidP="008B5873">
            <w:pPr>
              <w:pStyle w:val="p1"/>
              <w:numPr>
                <w:ilvl w:val="0"/>
                <w:numId w:val="11"/>
              </w:numPr>
              <w:spacing w:before="0" w:beforeAutospacing="0" w:after="0" w:afterAutospacing="0"/>
              <w:jc w:val="both"/>
              <w:rPr>
                <w:rFonts w:asciiTheme="majorBidi" w:eastAsia="SimSun" w:hAnsiTheme="majorBidi" w:cstheme="majorBidi"/>
                <w:spacing w:val="-1"/>
                <w:sz w:val="20"/>
                <w:szCs w:val="20"/>
                <w:lang w:eastAsia="zh-CN"/>
              </w:rPr>
            </w:pP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0F75AA92"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7</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301D6AD2"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0.3</w:t>
            </w:r>
          </w:p>
        </w:tc>
      </w:tr>
      <w:tr w:rsidR="008B5873" w:rsidRPr="004043F7" w14:paraId="228724FF" w14:textId="77777777" w:rsidTr="00326EDB">
        <w:trPr>
          <w:trHeight w:val="229"/>
        </w:trPr>
        <w:tc>
          <w:tcPr>
            <w:tcW w:w="267" w:type="dxa"/>
            <w:vMerge/>
            <w:tcBorders>
              <w:top w:val="nil"/>
              <w:left w:val="single" w:sz="8" w:space="0" w:color="auto"/>
              <w:bottom w:val="single" w:sz="8" w:space="0" w:color="000000"/>
              <w:right w:val="single" w:sz="4" w:space="0" w:color="auto"/>
            </w:tcBorders>
            <w:vAlign w:val="center"/>
            <w:hideMark/>
          </w:tcPr>
          <w:p w14:paraId="22C306E3" w14:textId="77777777" w:rsidR="008B5873" w:rsidRPr="00C53BDF" w:rsidRDefault="008B5873" w:rsidP="00326EDB">
            <w:pPr>
              <w:jc w:val="both"/>
              <w:rPr>
                <w:rFonts w:asciiTheme="majorBidi" w:hAnsiTheme="majorBidi" w:cstheme="majorBidi"/>
                <w:spacing w:val="-1"/>
              </w:rPr>
            </w:pPr>
          </w:p>
        </w:tc>
        <w:tc>
          <w:tcPr>
            <w:tcW w:w="3785" w:type="dxa"/>
            <w:tcBorders>
              <w:top w:val="single" w:sz="4" w:space="0" w:color="auto"/>
              <w:left w:val="single" w:sz="4" w:space="0" w:color="auto"/>
              <w:bottom w:val="single" w:sz="4" w:space="0" w:color="auto"/>
              <w:right w:val="single" w:sz="4" w:space="0" w:color="auto"/>
            </w:tcBorders>
            <w:shd w:val="clear" w:color="000000" w:fill="FFFFFF"/>
            <w:hideMark/>
          </w:tcPr>
          <w:p w14:paraId="2EEBF321"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Total</w:t>
            </w:r>
          </w:p>
        </w:tc>
        <w:tc>
          <w:tcPr>
            <w:tcW w:w="2970" w:type="dxa"/>
            <w:tcBorders>
              <w:top w:val="single" w:sz="4" w:space="0" w:color="auto"/>
              <w:left w:val="single" w:sz="4" w:space="0" w:color="auto"/>
              <w:bottom w:val="single" w:sz="4" w:space="0" w:color="auto"/>
              <w:right w:val="single" w:sz="4" w:space="0" w:color="auto"/>
            </w:tcBorders>
            <w:shd w:val="clear" w:color="000000" w:fill="FFFFFF"/>
            <w:noWrap/>
            <w:hideMark/>
          </w:tcPr>
          <w:p w14:paraId="2CDB0976"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2346</w:t>
            </w:r>
          </w:p>
        </w:tc>
        <w:tc>
          <w:tcPr>
            <w:tcW w:w="2608" w:type="dxa"/>
            <w:tcBorders>
              <w:top w:val="single" w:sz="4" w:space="0" w:color="auto"/>
              <w:left w:val="single" w:sz="4" w:space="0" w:color="auto"/>
              <w:bottom w:val="single" w:sz="4" w:space="0" w:color="auto"/>
              <w:right w:val="single" w:sz="4" w:space="0" w:color="auto"/>
            </w:tcBorders>
            <w:shd w:val="clear" w:color="000000" w:fill="FFFFFF"/>
            <w:noWrap/>
            <w:hideMark/>
          </w:tcPr>
          <w:p w14:paraId="6A06D0DA" w14:textId="77777777" w:rsidR="008B5873" w:rsidRPr="00C53BDF" w:rsidRDefault="008B5873" w:rsidP="00326EDB">
            <w:pPr>
              <w:jc w:val="both"/>
              <w:rPr>
                <w:rFonts w:asciiTheme="majorBidi" w:hAnsiTheme="majorBidi" w:cstheme="majorBidi"/>
                <w:spacing w:val="-1"/>
              </w:rPr>
            </w:pPr>
            <w:r w:rsidRPr="00C53BDF">
              <w:rPr>
                <w:rFonts w:asciiTheme="majorBidi" w:hAnsiTheme="majorBidi" w:cstheme="majorBidi"/>
                <w:spacing w:val="-1"/>
              </w:rPr>
              <w:t>100.0</w:t>
            </w:r>
          </w:p>
        </w:tc>
      </w:tr>
    </w:tbl>
    <w:p w14:paraId="35A31065" w14:textId="77777777" w:rsidR="008B5873" w:rsidRDefault="008B5873" w:rsidP="008B5873">
      <w:pPr>
        <w:pStyle w:val="BodyText"/>
        <w:rPr>
          <w:lang w:eastAsia="en-US"/>
        </w:rPr>
      </w:pPr>
    </w:p>
    <w:p w14:paraId="785F2B40" w14:textId="77777777" w:rsidR="004C7824" w:rsidRDefault="004C7824" w:rsidP="008B5873">
      <w:pPr>
        <w:spacing w:line="480" w:lineRule="auto"/>
        <w:jc w:val="both"/>
        <w:rPr>
          <w:rFonts w:asciiTheme="majorBidi" w:hAnsiTheme="majorBidi" w:cstheme="majorBidi"/>
          <w:b/>
          <w:bCs/>
        </w:rPr>
      </w:pPr>
    </w:p>
    <w:p w14:paraId="33A7A9E4" w14:textId="77777777" w:rsidR="00321D80" w:rsidRDefault="00321D80" w:rsidP="008B5873">
      <w:pPr>
        <w:spacing w:line="480" w:lineRule="auto"/>
        <w:jc w:val="both"/>
        <w:rPr>
          <w:rFonts w:asciiTheme="majorBidi" w:hAnsiTheme="majorBidi" w:cstheme="majorBidi"/>
          <w:b/>
          <w:bCs/>
        </w:rPr>
      </w:pPr>
    </w:p>
    <w:p w14:paraId="4BB8D0A7" w14:textId="7F1F8C88" w:rsidR="008B5873" w:rsidRPr="000D27FF" w:rsidRDefault="008B5873" w:rsidP="008B5873">
      <w:pPr>
        <w:spacing w:line="480" w:lineRule="auto"/>
        <w:jc w:val="both"/>
        <w:rPr>
          <w:rFonts w:asciiTheme="majorBidi" w:hAnsiTheme="majorBidi" w:cstheme="majorBidi"/>
          <w:b/>
          <w:bCs/>
        </w:rPr>
      </w:pPr>
      <w:r>
        <w:rPr>
          <w:rFonts w:asciiTheme="majorBidi" w:hAnsiTheme="majorBidi" w:cstheme="majorBidi"/>
          <w:b/>
          <w:bCs/>
        </w:rPr>
        <w:lastRenderedPageBreak/>
        <w:t xml:space="preserve">3.4.2 </w:t>
      </w:r>
      <w:r w:rsidRPr="004043F7">
        <w:rPr>
          <w:rFonts w:asciiTheme="majorBidi" w:hAnsiTheme="majorBidi" w:cstheme="majorBidi"/>
          <w:b/>
          <w:bCs/>
        </w:rPr>
        <w:t>Immobile Protocol Intervention Analysis</w:t>
      </w:r>
    </w:p>
    <w:p w14:paraId="75C03374" w14:textId="50D472CF" w:rsidR="008B5873" w:rsidRPr="00385BC4" w:rsidRDefault="008B5873" w:rsidP="00385BC4">
      <w:pPr>
        <w:pStyle w:val="BodyText"/>
        <w:rPr>
          <w:spacing w:val="0"/>
        </w:rPr>
      </w:pPr>
      <w:r w:rsidRPr="00385BC4">
        <w:rPr>
          <w:spacing w:val="0"/>
        </w:rPr>
        <w:t>Similarly, the objective was to determine whether there was a difference in agreement between nurses when selecting interventions for immobile protocols. For the immobile protocol, which comprised 18 elements, frequency and percentage analyses revealed a high level of agreement, with 82% of nurses demonstrating perfect agreement in their selection of interventions, as detailed in Tables 11 and 12.</w:t>
      </w:r>
    </w:p>
    <w:p w14:paraId="6982E5F8" w14:textId="77777777" w:rsidR="008B5873" w:rsidRDefault="008B5873" w:rsidP="008B5873">
      <w:pPr>
        <w:pStyle w:val="BodyText"/>
        <w:rPr>
          <w:lang w:eastAsia="en-US"/>
        </w:rPr>
      </w:pPr>
    </w:p>
    <w:p w14:paraId="5DBD4C9C" w14:textId="77777777" w:rsidR="008B5873" w:rsidRDefault="008B5873" w:rsidP="008B5873">
      <w:pPr>
        <w:pStyle w:val="BodyText"/>
        <w:rPr>
          <w:lang w:eastAsia="en-US"/>
        </w:rPr>
      </w:pPr>
    </w:p>
    <w:p w14:paraId="4230DDA1" w14:textId="77777777" w:rsidR="008B5873" w:rsidRDefault="008B5873" w:rsidP="008B5873">
      <w:pPr>
        <w:pStyle w:val="BodyText"/>
        <w:rPr>
          <w:lang w:eastAsia="en-US"/>
        </w:rPr>
      </w:pPr>
    </w:p>
    <w:tbl>
      <w:tblPr>
        <w:tblpPr w:leftFromText="180" w:rightFromText="180" w:vertAnchor="text" w:horzAnchor="page" w:tblpX="1343" w:tblpY="89"/>
        <w:tblW w:w="9582" w:type="dxa"/>
        <w:tblLook w:val="04A0" w:firstRow="1" w:lastRow="0" w:firstColumn="1" w:lastColumn="0" w:noHBand="0" w:noVBand="1"/>
      </w:tblPr>
      <w:tblGrid>
        <w:gridCol w:w="3739"/>
        <w:gridCol w:w="1818"/>
        <w:gridCol w:w="1298"/>
        <w:gridCol w:w="1558"/>
        <w:gridCol w:w="1169"/>
      </w:tblGrid>
      <w:tr w:rsidR="008B5873" w:rsidRPr="00990BD1" w14:paraId="6369FC57" w14:textId="77777777" w:rsidTr="00326EDB">
        <w:trPr>
          <w:trHeight w:val="270"/>
        </w:trPr>
        <w:tc>
          <w:tcPr>
            <w:tcW w:w="9582" w:type="dxa"/>
            <w:gridSpan w:val="5"/>
            <w:tcBorders>
              <w:bottom w:val="single" w:sz="4" w:space="0" w:color="auto"/>
            </w:tcBorders>
          </w:tcPr>
          <w:p w14:paraId="67B344F9" w14:textId="77777777" w:rsidR="008B5873" w:rsidRPr="00990BD1" w:rsidRDefault="008B5873" w:rsidP="00326EDB">
            <w:pPr>
              <w:rPr>
                <w:rFonts w:asciiTheme="majorBidi" w:hAnsiTheme="majorBidi" w:cstheme="majorBidi"/>
                <w:spacing w:val="-1"/>
              </w:rPr>
            </w:pPr>
            <w:r w:rsidRPr="00990BD1">
              <w:rPr>
                <w:rFonts w:asciiTheme="majorBidi" w:hAnsiTheme="majorBidi" w:cstheme="majorBidi"/>
                <w:spacing w:val="-1"/>
              </w:rPr>
              <w:t>Table 11: Immobile protocol interventions</w:t>
            </w:r>
          </w:p>
        </w:tc>
      </w:tr>
      <w:tr w:rsidR="008B5873" w:rsidRPr="00990BD1" w14:paraId="53AA7974" w14:textId="77777777" w:rsidTr="00326EDB">
        <w:trPr>
          <w:trHeight w:val="239"/>
        </w:trPr>
        <w:tc>
          <w:tcPr>
            <w:tcW w:w="3739" w:type="dxa"/>
            <w:vMerge w:val="restart"/>
            <w:tcBorders>
              <w:top w:val="single" w:sz="4" w:space="0" w:color="auto"/>
              <w:left w:val="single" w:sz="4" w:space="0" w:color="auto"/>
              <w:bottom w:val="single" w:sz="4" w:space="0" w:color="auto"/>
              <w:right w:val="single" w:sz="4" w:space="0" w:color="auto"/>
            </w:tcBorders>
            <w:hideMark/>
          </w:tcPr>
          <w:p w14:paraId="7402876B" w14:textId="77777777" w:rsidR="008B5873" w:rsidRPr="00990BD1" w:rsidRDefault="008B5873" w:rsidP="00326EDB">
            <w:pPr>
              <w:rPr>
                <w:rFonts w:asciiTheme="majorBidi" w:hAnsiTheme="majorBidi" w:cstheme="majorBidi"/>
                <w:b/>
                <w:bCs/>
                <w:spacing w:val="-1"/>
              </w:rPr>
            </w:pPr>
            <w:r w:rsidRPr="00990BD1">
              <w:rPr>
                <w:rFonts w:asciiTheme="majorBidi" w:hAnsiTheme="majorBidi" w:cstheme="majorBidi"/>
                <w:b/>
                <w:bCs/>
                <w:spacing w:val="-1"/>
              </w:rPr>
              <w:t>Rate of Agreement and Discrepancy for Immobile Interventions</w:t>
            </w:r>
          </w:p>
        </w:tc>
        <w:tc>
          <w:tcPr>
            <w:tcW w:w="3116" w:type="dxa"/>
            <w:gridSpan w:val="2"/>
            <w:tcBorders>
              <w:top w:val="single" w:sz="4" w:space="0" w:color="auto"/>
              <w:left w:val="nil"/>
              <w:bottom w:val="single" w:sz="4" w:space="0" w:color="auto"/>
              <w:right w:val="single" w:sz="4" w:space="0" w:color="auto"/>
            </w:tcBorders>
            <w:noWrap/>
            <w:hideMark/>
          </w:tcPr>
          <w:p w14:paraId="201210B4" w14:textId="77777777" w:rsidR="008B5873" w:rsidRPr="00990BD1" w:rsidRDefault="008B5873" w:rsidP="00326EDB">
            <w:pPr>
              <w:rPr>
                <w:rFonts w:asciiTheme="majorBidi" w:hAnsiTheme="majorBidi" w:cstheme="majorBidi"/>
                <w:b/>
                <w:bCs/>
                <w:spacing w:val="-1"/>
              </w:rPr>
            </w:pPr>
            <w:r w:rsidRPr="00990BD1">
              <w:rPr>
                <w:rFonts w:asciiTheme="majorBidi" w:hAnsiTheme="majorBidi" w:cstheme="majorBidi"/>
                <w:b/>
                <w:bCs/>
                <w:spacing w:val="-1"/>
              </w:rPr>
              <w:t>Agreement (score 0)</w:t>
            </w:r>
          </w:p>
        </w:tc>
        <w:tc>
          <w:tcPr>
            <w:tcW w:w="2727" w:type="dxa"/>
            <w:gridSpan w:val="2"/>
            <w:tcBorders>
              <w:top w:val="single" w:sz="4" w:space="0" w:color="auto"/>
              <w:left w:val="nil"/>
              <w:bottom w:val="single" w:sz="4" w:space="0" w:color="auto"/>
              <w:right w:val="single" w:sz="4" w:space="0" w:color="auto"/>
            </w:tcBorders>
            <w:noWrap/>
            <w:hideMark/>
          </w:tcPr>
          <w:p w14:paraId="7017948B" w14:textId="77777777" w:rsidR="008B5873" w:rsidRPr="00990BD1" w:rsidRDefault="008B5873" w:rsidP="00326EDB">
            <w:pPr>
              <w:rPr>
                <w:rFonts w:asciiTheme="majorBidi" w:hAnsiTheme="majorBidi" w:cstheme="majorBidi"/>
                <w:b/>
                <w:bCs/>
                <w:spacing w:val="-1"/>
              </w:rPr>
            </w:pPr>
            <w:r w:rsidRPr="00990BD1">
              <w:rPr>
                <w:rFonts w:asciiTheme="majorBidi" w:hAnsiTheme="majorBidi" w:cstheme="majorBidi"/>
                <w:b/>
                <w:bCs/>
                <w:spacing w:val="-1"/>
              </w:rPr>
              <w:t>Discrepancy (score 1)</w:t>
            </w:r>
          </w:p>
        </w:tc>
      </w:tr>
      <w:tr w:rsidR="008B5873" w:rsidRPr="00990BD1" w14:paraId="008BE722" w14:textId="77777777" w:rsidTr="00326EDB">
        <w:trPr>
          <w:trHeight w:val="239"/>
        </w:trPr>
        <w:tc>
          <w:tcPr>
            <w:tcW w:w="3739" w:type="dxa"/>
            <w:vMerge/>
            <w:tcBorders>
              <w:top w:val="single" w:sz="4" w:space="0" w:color="auto"/>
              <w:left w:val="single" w:sz="4" w:space="0" w:color="auto"/>
              <w:bottom w:val="single" w:sz="4" w:space="0" w:color="auto"/>
              <w:right w:val="single" w:sz="4" w:space="0" w:color="auto"/>
            </w:tcBorders>
            <w:vAlign w:val="center"/>
            <w:hideMark/>
          </w:tcPr>
          <w:p w14:paraId="4E0232C7" w14:textId="77777777" w:rsidR="008B5873" w:rsidRPr="00990BD1" w:rsidRDefault="008B5873" w:rsidP="00326EDB">
            <w:pPr>
              <w:jc w:val="both"/>
              <w:rPr>
                <w:rFonts w:asciiTheme="majorBidi" w:hAnsiTheme="majorBidi" w:cstheme="majorBidi"/>
                <w:b/>
                <w:bCs/>
                <w:spacing w:val="-1"/>
              </w:rPr>
            </w:pPr>
          </w:p>
        </w:tc>
        <w:tc>
          <w:tcPr>
            <w:tcW w:w="1818" w:type="dxa"/>
            <w:tcBorders>
              <w:top w:val="single" w:sz="4" w:space="0" w:color="auto"/>
              <w:left w:val="nil"/>
              <w:bottom w:val="single" w:sz="4" w:space="0" w:color="auto"/>
              <w:right w:val="single" w:sz="4" w:space="0" w:color="auto"/>
            </w:tcBorders>
            <w:noWrap/>
            <w:hideMark/>
          </w:tcPr>
          <w:p w14:paraId="4562DBC0" w14:textId="77777777" w:rsidR="008B5873" w:rsidRPr="00990BD1" w:rsidRDefault="008B5873" w:rsidP="00326EDB">
            <w:pPr>
              <w:jc w:val="both"/>
              <w:rPr>
                <w:rFonts w:asciiTheme="majorBidi" w:hAnsiTheme="majorBidi" w:cstheme="majorBidi"/>
                <w:b/>
                <w:bCs/>
                <w:spacing w:val="-1"/>
              </w:rPr>
            </w:pPr>
            <w:r w:rsidRPr="00990BD1">
              <w:rPr>
                <w:rFonts w:asciiTheme="majorBidi" w:hAnsiTheme="majorBidi" w:cstheme="majorBidi"/>
                <w:b/>
                <w:bCs/>
                <w:spacing w:val="-1"/>
              </w:rPr>
              <w:t>No.</w:t>
            </w:r>
          </w:p>
        </w:tc>
        <w:tc>
          <w:tcPr>
            <w:tcW w:w="1298" w:type="dxa"/>
            <w:tcBorders>
              <w:top w:val="single" w:sz="4" w:space="0" w:color="auto"/>
              <w:left w:val="nil"/>
              <w:bottom w:val="single" w:sz="4" w:space="0" w:color="auto"/>
              <w:right w:val="single" w:sz="4" w:space="0" w:color="auto"/>
            </w:tcBorders>
            <w:noWrap/>
            <w:hideMark/>
          </w:tcPr>
          <w:p w14:paraId="7C953E52" w14:textId="77777777" w:rsidR="008B5873" w:rsidRPr="00990BD1" w:rsidRDefault="008B5873" w:rsidP="00326EDB">
            <w:pPr>
              <w:jc w:val="both"/>
              <w:rPr>
                <w:rFonts w:asciiTheme="majorBidi" w:hAnsiTheme="majorBidi" w:cstheme="majorBidi"/>
                <w:b/>
                <w:bCs/>
                <w:spacing w:val="-1"/>
              </w:rPr>
            </w:pPr>
            <w:r w:rsidRPr="00990BD1">
              <w:rPr>
                <w:rFonts w:asciiTheme="majorBidi" w:hAnsiTheme="majorBidi" w:cstheme="majorBidi"/>
                <w:b/>
                <w:bCs/>
                <w:spacing w:val="-1"/>
              </w:rPr>
              <w:t>%</w:t>
            </w:r>
          </w:p>
        </w:tc>
        <w:tc>
          <w:tcPr>
            <w:tcW w:w="1558" w:type="dxa"/>
            <w:tcBorders>
              <w:top w:val="single" w:sz="4" w:space="0" w:color="auto"/>
              <w:left w:val="nil"/>
              <w:bottom w:val="single" w:sz="4" w:space="0" w:color="auto"/>
              <w:right w:val="single" w:sz="4" w:space="0" w:color="auto"/>
            </w:tcBorders>
            <w:noWrap/>
            <w:hideMark/>
          </w:tcPr>
          <w:p w14:paraId="0484CD5F" w14:textId="77777777" w:rsidR="008B5873" w:rsidRPr="00990BD1" w:rsidRDefault="008B5873" w:rsidP="00326EDB">
            <w:pPr>
              <w:jc w:val="both"/>
              <w:rPr>
                <w:rFonts w:asciiTheme="majorBidi" w:hAnsiTheme="majorBidi" w:cstheme="majorBidi"/>
                <w:b/>
                <w:bCs/>
                <w:spacing w:val="-1"/>
              </w:rPr>
            </w:pPr>
            <w:r w:rsidRPr="00990BD1">
              <w:rPr>
                <w:rFonts w:asciiTheme="majorBidi" w:hAnsiTheme="majorBidi" w:cstheme="majorBidi"/>
                <w:b/>
                <w:bCs/>
                <w:spacing w:val="-1"/>
              </w:rPr>
              <w:t>No.</w:t>
            </w:r>
          </w:p>
        </w:tc>
        <w:tc>
          <w:tcPr>
            <w:tcW w:w="1169" w:type="dxa"/>
            <w:tcBorders>
              <w:top w:val="nil"/>
              <w:left w:val="nil"/>
              <w:bottom w:val="single" w:sz="4" w:space="0" w:color="auto"/>
              <w:right w:val="single" w:sz="4" w:space="0" w:color="auto"/>
            </w:tcBorders>
            <w:noWrap/>
            <w:hideMark/>
          </w:tcPr>
          <w:p w14:paraId="75C77978" w14:textId="77777777" w:rsidR="008B5873" w:rsidRPr="00990BD1" w:rsidRDefault="008B5873" w:rsidP="00326EDB">
            <w:pPr>
              <w:jc w:val="both"/>
              <w:rPr>
                <w:rFonts w:asciiTheme="majorBidi" w:hAnsiTheme="majorBidi" w:cstheme="majorBidi"/>
                <w:b/>
                <w:bCs/>
                <w:spacing w:val="-1"/>
              </w:rPr>
            </w:pPr>
            <w:r w:rsidRPr="00990BD1">
              <w:rPr>
                <w:rFonts w:asciiTheme="majorBidi" w:hAnsiTheme="majorBidi" w:cstheme="majorBidi"/>
                <w:b/>
                <w:bCs/>
                <w:spacing w:val="-1"/>
              </w:rPr>
              <w:t>%</w:t>
            </w:r>
          </w:p>
        </w:tc>
      </w:tr>
      <w:tr w:rsidR="008B5873" w:rsidRPr="00990BD1" w14:paraId="5CB7A53E"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hideMark/>
          </w:tcPr>
          <w:p w14:paraId="122EC49E" w14:textId="77777777" w:rsidR="008B5873" w:rsidRPr="00990BD1" w:rsidRDefault="008B5873" w:rsidP="00326EDB">
            <w:pPr>
              <w:jc w:val="both"/>
              <w:rPr>
                <w:spacing w:val="-1"/>
                <w:lang w:eastAsia="en-US"/>
              </w:rPr>
            </w:pPr>
            <w:r w:rsidRPr="00990BD1">
              <w:rPr>
                <w:spacing w:val="-1"/>
                <w:lang w:eastAsia="en-US"/>
              </w:rPr>
              <w:t>Turn and reposition 02hrs</w:t>
            </w:r>
          </w:p>
        </w:tc>
        <w:tc>
          <w:tcPr>
            <w:tcW w:w="1818" w:type="dxa"/>
            <w:tcBorders>
              <w:top w:val="single" w:sz="4" w:space="0" w:color="auto"/>
              <w:left w:val="nil"/>
              <w:bottom w:val="single" w:sz="4" w:space="0" w:color="auto"/>
              <w:right w:val="single" w:sz="4" w:space="0" w:color="auto"/>
            </w:tcBorders>
            <w:noWrap/>
          </w:tcPr>
          <w:p w14:paraId="27399CE5" w14:textId="77777777" w:rsidR="008B5873" w:rsidRPr="00990BD1" w:rsidRDefault="008B5873" w:rsidP="00326EDB">
            <w:pPr>
              <w:jc w:val="both"/>
              <w:rPr>
                <w:spacing w:val="-1"/>
                <w:lang w:eastAsia="en-US"/>
              </w:rPr>
            </w:pPr>
            <w:r w:rsidRPr="00990BD1">
              <w:rPr>
                <w:spacing w:val="-1"/>
                <w:lang w:eastAsia="en-US"/>
              </w:rPr>
              <w:t>2243</w:t>
            </w:r>
          </w:p>
        </w:tc>
        <w:tc>
          <w:tcPr>
            <w:tcW w:w="1298" w:type="dxa"/>
            <w:tcBorders>
              <w:top w:val="single" w:sz="4" w:space="0" w:color="auto"/>
              <w:left w:val="nil"/>
              <w:bottom w:val="single" w:sz="4" w:space="0" w:color="auto"/>
              <w:right w:val="single" w:sz="4" w:space="0" w:color="auto"/>
            </w:tcBorders>
            <w:noWrap/>
          </w:tcPr>
          <w:p w14:paraId="6844C4B5" w14:textId="77777777" w:rsidR="008B5873" w:rsidRPr="00990BD1" w:rsidRDefault="008B5873" w:rsidP="00326EDB">
            <w:pPr>
              <w:jc w:val="both"/>
              <w:rPr>
                <w:spacing w:val="-1"/>
                <w:lang w:eastAsia="en-US"/>
              </w:rPr>
            </w:pPr>
            <w:r w:rsidRPr="00990BD1">
              <w:rPr>
                <w:spacing w:val="-1"/>
                <w:lang w:eastAsia="en-US"/>
              </w:rPr>
              <w:t>95.6</w:t>
            </w:r>
          </w:p>
        </w:tc>
        <w:tc>
          <w:tcPr>
            <w:tcW w:w="1558" w:type="dxa"/>
            <w:tcBorders>
              <w:top w:val="single" w:sz="4" w:space="0" w:color="auto"/>
              <w:left w:val="nil"/>
              <w:bottom w:val="single" w:sz="4" w:space="0" w:color="auto"/>
              <w:right w:val="single" w:sz="4" w:space="0" w:color="auto"/>
            </w:tcBorders>
            <w:noWrap/>
          </w:tcPr>
          <w:p w14:paraId="313B4F33" w14:textId="77777777" w:rsidR="008B5873" w:rsidRPr="00990BD1" w:rsidRDefault="008B5873" w:rsidP="00326EDB">
            <w:pPr>
              <w:jc w:val="both"/>
              <w:rPr>
                <w:spacing w:val="-1"/>
                <w:lang w:eastAsia="en-US"/>
              </w:rPr>
            </w:pPr>
            <w:r w:rsidRPr="00990BD1">
              <w:rPr>
                <w:spacing w:val="-1"/>
                <w:lang w:eastAsia="en-US"/>
              </w:rPr>
              <w:t>103</w:t>
            </w:r>
          </w:p>
        </w:tc>
        <w:tc>
          <w:tcPr>
            <w:tcW w:w="1169" w:type="dxa"/>
            <w:tcBorders>
              <w:top w:val="single" w:sz="4" w:space="0" w:color="auto"/>
              <w:left w:val="nil"/>
              <w:bottom w:val="single" w:sz="4" w:space="0" w:color="auto"/>
              <w:right w:val="single" w:sz="4" w:space="0" w:color="auto"/>
            </w:tcBorders>
            <w:noWrap/>
          </w:tcPr>
          <w:p w14:paraId="4B5A27DA" w14:textId="77777777" w:rsidR="008B5873" w:rsidRPr="00990BD1" w:rsidRDefault="008B5873" w:rsidP="00326EDB">
            <w:pPr>
              <w:jc w:val="both"/>
              <w:rPr>
                <w:spacing w:val="-1"/>
                <w:lang w:eastAsia="en-US"/>
              </w:rPr>
            </w:pPr>
            <w:r w:rsidRPr="00990BD1">
              <w:rPr>
                <w:spacing w:val="-1"/>
                <w:lang w:eastAsia="en-US"/>
              </w:rPr>
              <w:t>4.4</w:t>
            </w:r>
          </w:p>
        </w:tc>
      </w:tr>
      <w:tr w:rsidR="008B5873" w:rsidRPr="00990BD1" w14:paraId="5DCB72E2" w14:textId="77777777" w:rsidTr="00326EDB">
        <w:trPr>
          <w:trHeight w:val="70"/>
        </w:trPr>
        <w:tc>
          <w:tcPr>
            <w:tcW w:w="3739" w:type="dxa"/>
            <w:tcBorders>
              <w:top w:val="single" w:sz="4" w:space="0" w:color="auto"/>
              <w:left w:val="single" w:sz="4" w:space="0" w:color="auto"/>
              <w:bottom w:val="single" w:sz="4" w:space="0" w:color="auto"/>
              <w:right w:val="single" w:sz="4" w:space="0" w:color="auto"/>
            </w:tcBorders>
            <w:noWrap/>
            <w:hideMark/>
          </w:tcPr>
          <w:p w14:paraId="0C4B2D91" w14:textId="77777777" w:rsidR="008B5873" w:rsidRPr="00990BD1" w:rsidRDefault="008B5873" w:rsidP="00326EDB">
            <w:pPr>
              <w:jc w:val="both"/>
              <w:rPr>
                <w:spacing w:val="-1"/>
                <w:lang w:eastAsia="en-US"/>
              </w:rPr>
            </w:pPr>
            <w:r w:rsidRPr="00990BD1">
              <w:rPr>
                <w:spacing w:val="-1"/>
                <w:lang w:eastAsia="en-US"/>
              </w:rPr>
              <w:t>Cushion heels in bed</w:t>
            </w:r>
          </w:p>
        </w:tc>
        <w:tc>
          <w:tcPr>
            <w:tcW w:w="1818" w:type="dxa"/>
            <w:tcBorders>
              <w:top w:val="single" w:sz="4" w:space="0" w:color="auto"/>
              <w:left w:val="nil"/>
              <w:bottom w:val="single" w:sz="4" w:space="0" w:color="auto"/>
              <w:right w:val="single" w:sz="4" w:space="0" w:color="auto"/>
            </w:tcBorders>
            <w:noWrap/>
          </w:tcPr>
          <w:p w14:paraId="3B1FD8AF" w14:textId="77777777" w:rsidR="008B5873" w:rsidRPr="00990BD1" w:rsidRDefault="008B5873" w:rsidP="00326EDB">
            <w:pPr>
              <w:jc w:val="both"/>
              <w:rPr>
                <w:spacing w:val="-1"/>
                <w:lang w:eastAsia="en-US"/>
              </w:rPr>
            </w:pPr>
            <w:r w:rsidRPr="00990BD1">
              <w:rPr>
                <w:spacing w:val="-1"/>
                <w:lang w:eastAsia="en-US"/>
              </w:rPr>
              <w:t>2211</w:t>
            </w:r>
          </w:p>
        </w:tc>
        <w:tc>
          <w:tcPr>
            <w:tcW w:w="1298" w:type="dxa"/>
            <w:tcBorders>
              <w:top w:val="single" w:sz="4" w:space="0" w:color="auto"/>
              <w:left w:val="nil"/>
              <w:bottom w:val="single" w:sz="4" w:space="0" w:color="auto"/>
              <w:right w:val="single" w:sz="4" w:space="0" w:color="auto"/>
            </w:tcBorders>
            <w:noWrap/>
          </w:tcPr>
          <w:p w14:paraId="4FC89694" w14:textId="77777777" w:rsidR="008B5873" w:rsidRPr="00990BD1" w:rsidRDefault="008B5873" w:rsidP="00326EDB">
            <w:pPr>
              <w:jc w:val="both"/>
              <w:rPr>
                <w:spacing w:val="-1"/>
                <w:lang w:eastAsia="en-US"/>
              </w:rPr>
            </w:pPr>
            <w:r w:rsidRPr="00990BD1">
              <w:rPr>
                <w:spacing w:val="-1"/>
                <w:lang w:eastAsia="en-US"/>
              </w:rPr>
              <w:t>94.2</w:t>
            </w:r>
          </w:p>
        </w:tc>
        <w:tc>
          <w:tcPr>
            <w:tcW w:w="1558" w:type="dxa"/>
            <w:tcBorders>
              <w:top w:val="single" w:sz="4" w:space="0" w:color="auto"/>
              <w:left w:val="nil"/>
              <w:bottom w:val="single" w:sz="4" w:space="0" w:color="auto"/>
              <w:right w:val="single" w:sz="4" w:space="0" w:color="auto"/>
            </w:tcBorders>
            <w:noWrap/>
          </w:tcPr>
          <w:p w14:paraId="5D457FE9" w14:textId="77777777" w:rsidR="008B5873" w:rsidRPr="00990BD1" w:rsidRDefault="008B5873" w:rsidP="00326EDB">
            <w:pPr>
              <w:jc w:val="both"/>
              <w:rPr>
                <w:spacing w:val="-1"/>
                <w:lang w:eastAsia="en-US"/>
              </w:rPr>
            </w:pPr>
            <w:r w:rsidRPr="00990BD1">
              <w:rPr>
                <w:spacing w:val="-1"/>
                <w:lang w:eastAsia="en-US"/>
              </w:rPr>
              <w:t>135</w:t>
            </w:r>
          </w:p>
        </w:tc>
        <w:tc>
          <w:tcPr>
            <w:tcW w:w="1169" w:type="dxa"/>
            <w:tcBorders>
              <w:top w:val="single" w:sz="4" w:space="0" w:color="auto"/>
              <w:left w:val="nil"/>
              <w:bottom w:val="single" w:sz="4" w:space="0" w:color="auto"/>
              <w:right w:val="single" w:sz="4" w:space="0" w:color="auto"/>
            </w:tcBorders>
            <w:noWrap/>
          </w:tcPr>
          <w:p w14:paraId="4E48E6CF" w14:textId="77777777" w:rsidR="008B5873" w:rsidRPr="00990BD1" w:rsidRDefault="008B5873" w:rsidP="00326EDB">
            <w:pPr>
              <w:jc w:val="both"/>
              <w:rPr>
                <w:spacing w:val="-1"/>
                <w:lang w:eastAsia="en-US"/>
              </w:rPr>
            </w:pPr>
            <w:r w:rsidRPr="00990BD1">
              <w:rPr>
                <w:spacing w:val="-1"/>
                <w:lang w:eastAsia="en-US"/>
              </w:rPr>
              <w:t>5.8</w:t>
            </w:r>
          </w:p>
        </w:tc>
      </w:tr>
      <w:tr w:rsidR="008B5873" w:rsidRPr="00990BD1" w14:paraId="3BD03A24"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hideMark/>
          </w:tcPr>
          <w:p w14:paraId="61032037" w14:textId="77777777" w:rsidR="008B5873" w:rsidRPr="00990BD1" w:rsidRDefault="008B5873" w:rsidP="00326EDB">
            <w:pPr>
              <w:jc w:val="both"/>
              <w:rPr>
                <w:spacing w:val="-1"/>
                <w:lang w:eastAsia="en-US"/>
              </w:rPr>
            </w:pPr>
            <w:r w:rsidRPr="00990BD1">
              <w:rPr>
                <w:spacing w:val="-1"/>
                <w:lang w:eastAsia="en-US"/>
              </w:rPr>
              <w:t>Encourage Active &amp; Passive HOM exercise</w:t>
            </w:r>
          </w:p>
        </w:tc>
        <w:tc>
          <w:tcPr>
            <w:tcW w:w="1818" w:type="dxa"/>
            <w:tcBorders>
              <w:top w:val="single" w:sz="4" w:space="0" w:color="auto"/>
              <w:left w:val="nil"/>
              <w:bottom w:val="single" w:sz="4" w:space="0" w:color="auto"/>
              <w:right w:val="single" w:sz="4" w:space="0" w:color="auto"/>
            </w:tcBorders>
            <w:noWrap/>
          </w:tcPr>
          <w:p w14:paraId="4FF7CF32" w14:textId="77777777" w:rsidR="008B5873" w:rsidRPr="00990BD1" w:rsidRDefault="008B5873" w:rsidP="00326EDB">
            <w:pPr>
              <w:jc w:val="both"/>
              <w:rPr>
                <w:spacing w:val="-1"/>
                <w:lang w:eastAsia="en-US"/>
              </w:rPr>
            </w:pPr>
            <w:r w:rsidRPr="00990BD1">
              <w:rPr>
                <w:spacing w:val="-1"/>
                <w:lang w:eastAsia="en-US"/>
              </w:rPr>
              <w:t>2169</w:t>
            </w:r>
          </w:p>
        </w:tc>
        <w:tc>
          <w:tcPr>
            <w:tcW w:w="1298" w:type="dxa"/>
            <w:tcBorders>
              <w:top w:val="single" w:sz="4" w:space="0" w:color="auto"/>
              <w:left w:val="nil"/>
              <w:bottom w:val="single" w:sz="4" w:space="0" w:color="auto"/>
              <w:right w:val="single" w:sz="4" w:space="0" w:color="auto"/>
            </w:tcBorders>
            <w:noWrap/>
          </w:tcPr>
          <w:p w14:paraId="70D49C9C" w14:textId="77777777" w:rsidR="008B5873" w:rsidRPr="00990BD1" w:rsidRDefault="008B5873" w:rsidP="00326EDB">
            <w:pPr>
              <w:jc w:val="both"/>
              <w:rPr>
                <w:spacing w:val="-1"/>
                <w:lang w:eastAsia="en-US"/>
              </w:rPr>
            </w:pPr>
            <w:r w:rsidRPr="00990BD1">
              <w:rPr>
                <w:spacing w:val="-1"/>
                <w:lang w:eastAsia="en-US"/>
              </w:rPr>
              <w:t>92.5</w:t>
            </w:r>
          </w:p>
        </w:tc>
        <w:tc>
          <w:tcPr>
            <w:tcW w:w="1558" w:type="dxa"/>
            <w:tcBorders>
              <w:top w:val="single" w:sz="4" w:space="0" w:color="auto"/>
              <w:left w:val="nil"/>
              <w:bottom w:val="single" w:sz="4" w:space="0" w:color="auto"/>
              <w:right w:val="single" w:sz="4" w:space="0" w:color="auto"/>
            </w:tcBorders>
            <w:noWrap/>
          </w:tcPr>
          <w:p w14:paraId="2788F8A5" w14:textId="77777777" w:rsidR="008B5873" w:rsidRPr="00990BD1" w:rsidRDefault="008B5873" w:rsidP="00326EDB">
            <w:pPr>
              <w:jc w:val="both"/>
              <w:rPr>
                <w:spacing w:val="-1"/>
                <w:lang w:eastAsia="en-US"/>
              </w:rPr>
            </w:pPr>
            <w:r w:rsidRPr="00990BD1">
              <w:rPr>
                <w:spacing w:val="-1"/>
                <w:lang w:eastAsia="en-US"/>
              </w:rPr>
              <w:t>177</w:t>
            </w:r>
          </w:p>
        </w:tc>
        <w:tc>
          <w:tcPr>
            <w:tcW w:w="1169" w:type="dxa"/>
            <w:tcBorders>
              <w:top w:val="single" w:sz="4" w:space="0" w:color="auto"/>
              <w:left w:val="nil"/>
              <w:bottom w:val="single" w:sz="4" w:space="0" w:color="auto"/>
              <w:right w:val="single" w:sz="4" w:space="0" w:color="auto"/>
            </w:tcBorders>
            <w:noWrap/>
          </w:tcPr>
          <w:p w14:paraId="4CB7A20A" w14:textId="77777777" w:rsidR="008B5873" w:rsidRPr="00990BD1" w:rsidRDefault="008B5873" w:rsidP="00326EDB">
            <w:pPr>
              <w:jc w:val="both"/>
              <w:rPr>
                <w:spacing w:val="-1"/>
                <w:lang w:eastAsia="en-US"/>
              </w:rPr>
            </w:pPr>
            <w:r w:rsidRPr="00990BD1">
              <w:rPr>
                <w:spacing w:val="-1"/>
                <w:lang w:eastAsia="en-US"/>
              </w:rPr>
              <w:t>7.5</w:t>
            </w:r>
          </w:p>
        </w:tc>
      </w:tr>
      <w:tr w:rsidR="008B5873" w:rsidRPr="00990BD1" w14:paraId="210E2CD0"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hideMark/>
          </w:tcPr>
          <w:p w14:paraId="3E534F1F" w14:textId="77777777" w:rsidR="008B5873" w:rsidRPr="00990BD1" w:rsidRDefault="008B5873" w:rsidP="00326EDB">
            <w:pPr>
              <w:jc w:val="both"/>
              <w:rPr>
                <w:spacing w:val="-1"/>
                <w:lang w:eastAsia="en-US"/>
              </w:rPr>
            </w:pPr>
            <w:r w:rsidRPr="00990BD1">
              <w:rPr>
                <w:spacing w:val="-1"/>
                <w:lang w:eastAsia="en-US"/>
              </w:rPr>
              <w:t>Ensure hydration</w:t>
            </w:r>
          </w:p>
        </w:tc>
        <w:tc>
          <w:tcPr>
            <w:tcW w:w="1818" w:type="dxa"/>
            <w:tcBorders>
              <w:top w:val="single" w:sz="4" w:space="0" w:color="auto"/>
              <w:left w:val="nil"/>
              <w:bottom w:val="single" w:sz="4" w:space="0" w:color="auto"/>
              <w:right w:val="single" w:sz="4" w:space="0" w:color="auto"/>
            </w:tcBorders>
            <w:noWrap/>
          </w:tcPr>
          <w:p w14:paraId="1D0F1C26" w14:textId="77777777" w:rsidR="008B5873" w:rsidRPr="00990BD1" w:rsidRDefault="008B5873" w:rsidP="00326EDB">
            <w:pPr>
              <w:jc w:val="both"/>
              <w:rPr>
                <w:spacing w:val="-1"/>
                <w:lang w:eastAsia="en-US"/>
              </w:rPr>
            </w:pPr>
            <w:r w:rsidRPr="00990BD1">
              <w:rPr>
                <w:spacing w:val="-1"/>
                <w:lang w:eastAsia="en-US"/>
              </w:rPr>
              <w:t>2169</w:t>
            </w:r>
          </w:p>
        </w:tc>
        <w:tc>
          <w:tcPr>
            <w:tcW w:w="1298" w:type="dxa"/>
            <w:tcBorders>
              <w:top w:val="single" w:sz="4" w:space="0" w:color="auto"/>
              <w:left w:val="nil"/>
              <w:bottom w:val="single" w:sz="4" w:space="0" w:color="auto"/>
              <w:right w:val="single" w:sz="4" w:space="0" w:color="auto"/>
            </w:tcBorders>
            <w:noWrap/>
          </w:tcPr>
          <w:p w14:paraId="67B7A702" w14:textId="77777777" w:rsidR="008B5873" w:rsidRPr="00990BD1" w:rsidRDefault="008B5873" w:rsidP="00326EDB">
            <w:pPr>
              <w:jc w:val="both"/>
              <w:rPr>
                <w:spacing w:val="-1"/>
                <w:lang w:eastAsia="en-US"/>
              </w:rPr>
            </w:pPr>
            <w:r w:rsidRPr="00990BD1">
              <w:rPr>
                <w:spacing w:val="-1"/>
                <w:lang w:eastAsia="en-US"/>
              </w:rPr>
              <w:t>92.1</w:t>
            </w:r>
          </w:p>
        </w:tc>
        <w:tc>
          <w:tcPr>
            <w:tcW w:w="1558" w:type="dxa"/>
            <w:tcBorders>
              <w:top w:val="single" w:sz="4" w:space="0" w:color="auto"/>
              <w:left w:val="nil"/>
              <w:bottom w:val="single" w:sz="4" w:space="0" w:color="auto"/>
              <w:right w:val="single" w:sz="4" w:space="0" w:color="auto"/>
            </w:tcBorders>
            <w:noWrap/>
          </w:tcPr>
          <w:p w14:paraId="0B8EE354" w14:textId="77777777" w:rsidR="008B5873" w:rsidRPr="00990BD1" w:rsidRDefault="008B5873" w:rsidP="00326EDB">
            <w:pPr>
              <w:jc w:val="both"/>
              <w:rPr>
                <w:spacing w:val="-1"/>
                <w:lang w:eastAsia="en-US"/>
              </w:rPr>
            </w:pPr>
            <w:r w:rsidRPr="00990BD1">
              <w:rPr>
                <w:spacing w:val="-1"/>
                <w:lang w:eastAsia="en-US"/>
              </w:rPr>
              <w:t>186</w:t>
            </w:r>
          </w:p>
        </w:tc>
        <w:tc>
          <w:tcPr>
            <w:tcW w:w="1169" w:type="dxa"/>
            <w:tcBorders>
              <w:top w:val="single" w:sz="4" w:space="0" w:color="auto"/>
              <w:left w:val="nil"/>
              <w:bottom w:val="single" w:sz="4" w:space="0" w:color="auto"/>
              <w:right w:val="single" w:sz="4" w:space="0" w:color="auto"/>
            </w:tcBorders>
            <w:noWrap/>
          </w:tcPr>
          <w:p w14:paraId="03B3BAB4" w14:textId="77777777" w:rsidR="008B5873" w:rsidRPr="00990BD1" w:rsidRDefault="008B5873" w:rsidP="00326EDB">
            <w:pPr>
              <w:jc w:val="both"/>
              <w:rPr>
                <w:spacing w:val="-1"/>
                <w:lang w:eastAsia="en-US"/>
              </w:rPr>
            </w:pPr>
            <w:r w:rsidRPr="00990BD1">
              <w:rPr>
                <w:spacing w:val="-1"/>
                <w:lang w:eastAsia="en-US"/>
              </w:rPr>
              <w:t>7.9</w:t>
            </w:r>
          </w:p>
        </w:tc>
      </w:tr>
      <w:tr w:rsidR="008B5873" w:rsidRPr="00990BD1" w14:paraId="2C18A6B4"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hideMark/>
          </w:tcPr>
          <w:p w14:paraId="37D9DB7D" w14:textId="77777777" w:rsidR="008B5873" w:rsidRPr="00990BD1" w:rsidRDefault="008B5873" w:rsidP="00326EDB">
            <w:pPr>
              <w:jc w:val="both"/>
              <w:rPr>
                <w:spacing w:val="-1"/>
                <w:lang w:eastAsia="en-US"/>
              </w:rPr>
            </w:pPr>
            <w:r w:rsidRPr="00990BD1">
              <w:rPr>
                <w:spacing w:val="-1"/>
                <w:lang w:eastAsia="en-US"/>
              </w:rPr>
              <w:t>Assist with feeds if needed</w:t>
            </w:r>
          </w:p>
        </w:tc>
        <w:tc>
          <w:tcPr>
            <w:tcW w:w="1818" w:type="dxa"/>
            <w:tcBorders>
              <w:top w:val="single" w:sz="4" w:space="0" w:color="auto"/>
              <w:left w:val="nil"/>
              <w:bottom w:val="single" w:sz="4" w:space="0" w:color="auto"/>
              <w:right w:val="single" w:sz="4" w:space="0" w:color="auto"/>
            </w:tcBorders>
            <w:noWrap/>
          </w:tcPr>
          <w:p w14:paraId="3BC61F87" w14:textId="77777777" w:rsidR="008B5873" w:rsidRPr="00990BD1" w:rsidRDefault="008B5873" w:rsidP="00326EDB">
            <w:pPr>
              <w:jc w:val="both"/>
              <w:rPr>
                <w:spacing w:val="-1"/>
                <w:lang w:eastAsia="en-US"/>
              </w:rPr>
            </w:pPr>
            <w:r w:rsidRPr="00990BD1">
              <w:rPr>
                <w:spacing w:val="-1"/>
                <w:lang w:eastAsia="en-US"/>
              </w:rPr>
              <w:t>2144</w:t>
            </w:r>
          </w:p>
        </w:tc>
        <w:tc>
          <w:tcPr>
            <w:tcW w:w="1298" w:type="dxa"/>
            <w:tcBorders>
              <w:top w:val="single" w:sz="4" w:space="0" w:color="auto"/>
              <w:left w:val="nil"/>
              <w:bottom w:val="single" w:sz="4" w:space="0" w:color="auto"/>
              <w:right w:val="single" w:sz="4" w:space="0" w:color="auto"/>
            </w:tcBorders>
            <w:noWrap/>
          </w:tcPr>
          <w:p w14:paraId="3AB46512" w14:textId="77777777" w:rsidR="008B5873" w:rsidRPr="00990BD1" w:rsidRDefault="008B5873" w:rsidP="00326EDB">
            <w:pPr>
              <w:jc w:val="both"/>
              <w:rPr>
                <w:spacing w:val="-1"/>
                <w:lang w:eastAsia="en-US"/>
              </w:rPr>
            </w:pPr>
            <w:r w:rsidRPr="00990BD1">
              <w:rPr>
                <w:spacing w:val="-1"/>
                <w:lang w:eastAsia="en-US"/>
              </w:rPr>
              <w:t>91.4</w:t>
            </w:r>
          </w:p>
        </w:tc>
        <w:tc>
          <w:tcPr>
            <w:tcW w:w="1558" w:type="dxa"/>
            <w:tcBorders>
              <w:top w:val="single" w:sz="4" w:space="0" w:color="auto"/>
              <w:left w:val="nil"/>
              <w:bottom w:val="single" w:sz="4" w:space="0" w:color="auto"/>
              <w:right w:val="single" w:sz="4" w:space="0" w:color="auto"/>
            </w:tcBorders>
            <w:noWrap/>
          </w:tcPr>
          <w:p w14:paraId="35963403" w14:textId="77777777" w:rsidR="008B5873" w:rsidRPr="00990BD1" w:rsidRDefault="008B5873" w:rsidP="00326EDB">
            <w:pPr>
              <w:jc w:val="both"/>
              <w:rPr>
                <w:spacing w:val="-1"/>
                <w:lang w:eastAsia="en-US"/>
              </w:rPr>
            </w:pPr>
            <w:r w:rsidRPr="00990BD1">
              <w:rPr>
                <w:spacing w:val="-1"/>
                <w:lang w:eastAsia="en-US"/>
              </w:rPr>
              <w:t>202</w:t>
            </w:r>
          </w:p>
        </w:tc>
        <w:tc>
          <w:tcPr>
            <w:tcW w:w="1169" w:type="dxa"/>
            <w:tcBorders>
              <w:top w:val="single" w:sz="4" w:space="0" w:color="auto"/>
              <w:left w:val="nil"/>
              <w:bottom w:val="single" w:sz="4" w:space="0" w:color="auto"/>
              <w:right w:val="single" w:sz="4" w:space="0" w:color="auto"/>
            </w:tcBorders>
            <w:noWrap/>
          </w:tcPr>
          <w:p w14:paraId="5E563413" w14:textId="77777777" w:rsidR="008B5873" w:rsidRPr="00990BD1" w:rsidRDefault="008B5873" w:rsidP="00326EDB">
            <w:pPr>
              <w:jc w:val="both"/>
              <w:rPr>
                <w:spacing w:val="-1"/>
                <w:lang w:eastAsia="en-US"/>
              </w:rPr>
            </w:pPr>
            <w:r w:rsidRPr="00990BD1">
              <w:rPr>
                <w:spacing w:val="-1"/>
                <w:lang w:eastAsia="en-US"/>
              </w:rPr>
              <w:t>8.6</w:t>
            </w:r>
          </w:p>
        </w:tc>
      </w:tr>
      <w:tr w:rsidR="008B5873" w:rsidRPr="00990BD1" w14:paraId="15AE01B4"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hideMark/>
          </w:tcPr>
          <w:p w14:paraId="48C00D26" w14:textId="77777777" w:rsidR="008B5873" w:rsidRPr="00990BD1" w:rsidRDefault="008B5873" w:rsidP="00326EDB">
            <w:pPr>
              <w:jc w:val="both"/>
              <w:rPr>
                <w:spacing w:val="-1"/>
                <w:lang w:eastAsia="en-US"/>
              </w:rPr>
            </w:pPr>
            <w:r w:rsidRPr="00990BD1">
              <w:rPr>
                <w:spacing w:val="-1"/>
                <w:lang w:eastAsia="en-US"/>
              </w:rPr>
              <w:t>Apply Dressing as Ordered</w:t>
            </w:r>
          </w:p>
        </w:tc>
        <w:tc>
          <w:tcPr>
            <w:tcW w:w="1818" w:type="dxa"/>
            <w:tcBorders>
              <w:top w:val="single" w:sz="4" w:space="0" w:color="auto"/>
              <w:left w:val="nil"/>
              <w:bottom w:val="single" w:sz="4" w:space="0" w:color="auto"/>
              <w:right w:val="single" w:sz="4" w:space="0" w:color="auto"/>
            </w:tcBorders>
            <w:noWrap/>
          </w:tcPr>
          <w:p w14:paraId="0AC548C5" w14:textId="77777777" w:rsidR="008B5873" w:rsidRPr="00990BD1" w:rsidRDefault="008B5873" w:rsidP="00326EDB">
            <w:pPr>
              <w:jc w:val="both"/>
              <w:rPr>
                <w:spacing w:val="-1"/>
                <w:lang w:eastAsia="en-US"/>
              </w:rPr>
            </w:pPr>
            <w:r w:rsidRPr="00990BD1">
              <w:rPr>
                <w:spacing w:val="-1"/>
                <w:lang w:eastAsia="en-US"/>
              </w:rPr>
              <w:t>2196</w:t>
            </w:r>
          </w:p>
        </w:tc>
        <w:tc>
          <w:tcPr>
            <w:tcW w:w="1298" w:type="dxa"/>
            <w:tcBorders>
              <w:top w:val="single" w:sz="4" w:space="0" w:color="auto"/>
              <w:left w:val="nil"/>
              <w:bottom w:val="single" w:sz="4" w:space="0" w:color="auto"/>
              <w:right w:val="single" w:sz="4" w:space="0" w:color="auto"/>
            </w:tcBorders>
            <w:noWrap/>
          </w:tcPr>
          <w:p w14:paraId="4D855880" w14:textId="77777777" w:rsidR="008B5873" w:rsidRPr="00990BD1" w:rsidRDefault="008B5873" w:rsidP="00326EDB">
            <w:pPr>
              <w:jc w:val="both"/>
              <w:rPr>
                <w:spacing w:val="-1"/>
                <w:lang w:eastAsia="en-US"/>
              </w:rPr>
            </w:pPr>
            <w:r w:rsidRPr="00990BD1">
              <w:rPr>
                <w:spacing w:val="-1"/>
                <w:lang w:eastAsia="en-US"/>
              </w:rPr>
              <w:t>93.6</w:t>
            </w:r>
          </w:p>
        </w:tc>
        <w:tc>
          <w:tcPr>
            <w:tcW w:w="1558" w:type="dxa"/>
            <w:tcBorders>
              <w:top w:val="single" w:sz="4" w:space="0" w:color="auto"/>
              <w:left w:val="nil"/>
              <w:bottom w:val="single" w:sz="4" w:space="0" w:color="auto"/>
              <w:right w:val="single" w:sz="4" w:space="0" w:color="auto"/>
            </w:tcBorders>
            <w:noWrap/>
          </w:tcPr>
          <w:p w14:paraId="0FA1036A" w14:textId="77777777" w:rsidR="008B5873" w:rsidRPr="00990BD1" w:rsidRDefault="008B5873" w:rsidP="00326EDB">
            <w:pPr>
              <w:jc w:val="both"/>
              <w:rPr>
                <w:spacing w:val="-1"/>
                <w:lang w:eastAsia="en-US"/>
              </w:rPr>
            </w:pPr>
            <w:r w:rsidRPr="00990BD1">
              <w:rPr>
                <w:spacing w:val="-1"/>
                <w:lang w:eastAsia="en-US"/>
              </w:rPr>
              <w:t>150</w:t>
            </w:r>
          </w:p>
        </w:tc>
        <w:tc>
          <w:tcPr>
            <w:tcW w:w="1169" w:type="dxa"/>
            <w:tcBorders>
              <w:top w:val="single" w:sz="4" w:space="0" w:color="auto"/>
              <w:left w:val="nil"/>
              <w:bottom w:val="single" w:sz="4" w:space="0" w:color="auto"/>
              <w:right w:val="single" w:sz="4" w:space="0" w:color="auto"/>
            </w:tcBorders>
            <w:noWrap/>
          </w:tcPr>
          <w:p w14:paraId="2F0CB5FA" w14:textId="77777777" w:rsidR="008B5873" w:rsidRPr="00990BD1" w:rsidRDefault="008B5873" w:rsidP="00326EDB">
            <w:pPr>
              <w:jc w:val="both"/>
              <w:rPr>
                <w:spacing w:val="-1"/>
                <w:lang w:eastAsia="en-US"/>
              </w:rPr>
            </w:pPr>
            <w:r w:rsidRPr="00990BD1">
              <w:rPr>
                <w:spacing w:val="-1"/>
                <w:lang w:eastAsia="en-US"/>
              </w:rPr>
              <w:t>6.5</w:t>
            </w:r>
          </w:p>
        </w:tc>
      </w:tr>
      <w:tr w:rsidR="008B5873" w:rsidRPr="00990BD1" w14:paraId="28BAF098"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4F840D9D" w14:textId="77777777" w:rsidR="008B5873" w:rsidRPr="00990BD1" w:rsidRDefault="008B5873" w:rsidP="00326EDB">
            <w:pPr>
              <w:jc w:val="both"/>
              <w:rPr>
                <w:spacing w:val="-1"/>
                <w:lang w:eastAsia="en-US"/>
              </w:rPr>
            </w:pPr>
            <w:r w:rsidRPr="00990BD1">
              <w:rPr>
                <w:spacing w:val="-1"/>
                <w:lang w:eastAsia="en-US"/>
              </w:rPr>
              <w:t>Reposition Using Pillows</w:t>
            </w:r>
          </w:p>
        </w:tc>
        <w:tc>
          <w:tcPr>
            <w:tcW w:w="1818" w:type="dxa"/>
            <w:tcBorders>
              <w:top w:val="single" w:sz="4" w:space="0" w:color="auto"/>
              <w:left w:val="nil"/>
              <w:bottom w:val="single" w:sz="4" w:space="0" w:color="auto"/>
              <w:right w:val="single" w:sz="4" w:space="0" w:color="auto"/>
            </w:tcBorders>
            <w:noWrap/>
          </w:tcPr>
          <w:p w14:paraId="180B14DB" w14:textId="77777777" w:rsidR="008B5873" w:rsidRPr="00990BD1" w:rsidRDefault="008B5873" w:rsidP="00326EDB">
            <w:pPr>
              <w:jc w:val="both"/>
              <w:rPr>
                <w:spacing w:val="-1"/>
                <w:lang w:eastAsia="en-US"/>
              </w:rPr>
            </w:pPr>
            <w:r w:rsidRPr="00990BD1">
              <w:rPr>
                <w:spacing w:val="-1"/>
                <w:lang w:eastAsia="en-US"/>
              </w:rPr>
              <w:t>2193</w:t>
            </w:r>
          </w:p>
        </w:tc>
        <w:tc>
          <w:tcPr>
            <w:tcW w:w="1298" w:type="dxa"/>
            <w:tcBorders>
              <w:top w:val="single" w:sz="4" w:space="0" w:color="auto"/>
              <w:left w:val="nil"/>
              <w:bottom w:val="single" w:sz="4" w:space="0" w:color="auto"/>
              <w:right w:val="single" w:sz="4" w:space="0" w:color="auto"/>
            </w:tcBorders>
            <w:noWrap/>
          </w:tcPr>
          <w:p w14:paraId="7C2BE0B5" w14:textId="77777777" w:rsidR="008B5873" w:rsidRPr="00990BD1" w:rsidRDefault="008B5873" w:rsidP="00326EDB">
            <w:pPr>
              <w:jc w:val="both"/>
              <w:rPr>
                <w:spacing w:val="-1"/>
                <w:lang w:eastAsia="en-US"/>
              </w:rPr>
            </w:pPr>
            <w:r w:rsidRPr="00990BD1">
              <w:rPr>
                <w:spacing w:val="-1"/>
                <w:lang w:eastAsia="en-US"/>
              </w:rPr>
              <w:t>93.5</w:t>
            </w:r>
          </w:p>
        </w:tc>
        <w:tc>
          <w:tcPr>
            <w:tcW w:w="1558" w:type="dxa"/>
            <w:tcBorders>
              <w:top w:val="single" w:sz="4" w:space="0" w:color="auto"/>
              <w:left w:val="nil"/>
              <w:bottom w:val="single" w:sz="4" w:space="0" w:color="auto"/>
              <w:right w:val="single" w:sz="4" w:space="0" w:color="auto"/>
            </w:tcBorders>
            <w:noWrap/>
          </w:tcPr>
          <w:p w14:paraId="3A588713" w14:textId="77777777" w:rsidR="008B5873" w:rsidRPr="00990BD1" w:rsidRDefault="008B5873" w:rsidP="00326EDB">
            <w:pPr>
              <w:jc w:val="both"/>
              <w:rPr>
                <w:spacing w:val="-1"/>
                <w:lang w:eastAsia="en-US"/>
              </w:rPr>
            </w:pPr>
            <w:r w:rsidRPr="00990BD1">
              <w:rPr>
                <w:spacing w:val="-1"/>
                <w:lang w:eastAsia="en-US"/>
              </w:rPr>
              <w:t>153</w:t>
            </w:r>
          </w:p>
        </w:tc>
        <w:tc>
          <w:tcPr>
            <w:tcW w:w="1169" w:type="dxa"/>
            <w:tcBorders>
              <w:top w:val="single" w:sz="4" w:space="0" w:color="auto"/>
              <w:left w:val="nil"/>
              <w:bottom w:val="single" w:sz="4" w:space="0" w:color="auto"/>
              <w:right w:val="single" w:sz="4" w:space="0" w:color="auto"/>
            </w:tcBorders>
            <w:noWrap/>
          </w:tcPr>
          <w:p w14:paraId="7142BF89" w14:textId="77777777" w:rsidR="008B5873" w:rsidRPr="00990BD1" w:rsidRDefault="008B5873" w:rsidP="00326EDB">
            <w:pPr>
              <w:jc w:val="both"/>
              <w:rPr>
                <w:spacing w:val="-1"/>
                <w:lang w:eastAsia="en-US"/>
              </w:rPr>
            </w:pPr>
            <w:r w:rsidRPr="00990BD1">
              <w:rPr>
                <w:spacing w:val="-1"/>
                <w:lang w:eastAsia="en-US"/>
              </w:rPr>
              <w:t>6.5</w:t>
            </w:r>
          </w:p>
        </w:tc>
      </w:tr>
      <w:tr w:rsidR="008B5873" w:rsidRPr="00990BD1" w14:paraId="243C1BF6"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26ACBA95" w14:textId="77777777" w:rsidR="008B5873" w:rsidRPr="00990BD1" w:rsidRDefault="008B5873" w:rsidP="00326EDB">
            <w:pPr>
              <w:jc w:val="both"/>
              <w:rPr>
                <w:spacing w:val="-1"/>
                <w:lang w:eastAsia="en-US"/>
              </w:rPr>
            </w:pPr>
            <w:r w:rsidRPr="00990BD1">
              <w:rPr>
                <w:spacing w:val="-1"/>
                <w:lang w:eastAsia="en-US"/>
              </w:rPr>
              <w:t>Turn Using sheet/device</w:t>
            </w:r>
          </w:p>
        </w:tc>
        <w:tc>
          <w:tcPr>
            <w:tcW w:w="1818" w:type="dxa"/>
            <w:tcBorders>
              <w:top w:val="single" w:sz="4" w:space="0" w:color="auto"/>
              <w:left w:val="nil"/>
              <w:bottom w:val="single" w:sz="4" w:space="0" w:color="auto"/>
              <w:right w:val="single" w:sz="4" w:space="0" w:color="auto"/>
            </w:tcBorders>
            <w:noWrap/>
          </w:tcPr>
          <w:p w14:paraId="4B7EA4EB" w14:textId="77777777" w:rsidR="008B5873" w:rsidRPr="00990BD1" w:rsidRDefault="008B5873" w:rsidP="00326EDB">
            <w:pPr>
              <w:jc w:val="both"/>
              <w:rPr>
                <w:spacing w:val="-1"/>
                <w:lang w:eastAsia="en-US"/>
              </w:rPr>
            </w:pPr>
            <w:r w:rsidRPr="00990BD1">
              <w:rPr>
                <w:spacing w:val="-1"/>
                <w:lang w:eastAsia="en-US"/>
              </w:rPr>
              <w:t>2145</w:t>
            </w:r>
          </w:p>
        </w:tc>
        <w:tc>
          <w:tcPr>
            <w:tcW w:w="1298" w:type="dxa"/>
            <w:tcBorders>
              <w:top w:val="single" w:sz="4" w:space="0" w:color="auto"/>
              <w:left w:val="nil"/>
              <w:bottom w:val="single" w:sz="4" w:space="0" w:color="auto"/>
              <w:right w:val="single" w:sz="4" w:space="0" w:color="auto"/>
            </w:tcBorders>
            <w:noWrap/>
          </w:tcPr>
          <w:p w14:paraId="5489AD74" w14:textId="77777777" w:rsidR="008B5873" w:rsidRPr="00990BD1" w:rsidRDefault="008B5873" w:rsidP="00326EDB">
            <w:pPr>
              <w:jc w:val="both"/>
              <w:rPr>
                <w:spacing w:val="-1"/>
                <w:lang w:eastAsia="en-US"/>
              </w:rPr>
            </w:pPr>
            <w:r w:rsidRPr="00990BD1">
              <w:rPr>
                <w:spacing w:val="-1"/>
                <w:lang w:eastAsia="en-US"/>
              </w:rPr>
              <w:t>91.4</w:t>
            </w:r>
          </w:p>
        </w:tc>
        <w:tc>
          <w:tcPr>
            <w:tcW w:w="1558" w:type="dxa"/>
            <w:tcBorders>
              <w:top w:val="single" w:sz="4" w:space="0" w:color="auto"/>
              <w:left w:val="nil"/>
              <w:bottom w:val="single" w:sz="4" w:space="0" w:color="auto"/>
              <w:right w:val="single" w:sz="4" w:space="0" w:color="auto"/>
            </w:tcBorders>
            <w:noWrap/>
          </w:tcPr>
          <w:p w14:paraId="40D00C10" w14:textId="77777777" w:rsidR="008B5873" w:rsidRPr="00990BD1" w:rsidRDefault="008B5873" w:rsidP="00326EDB">
            <w:pPr>
              <w:jc w:val="both"/>
              <w:rPr>
                <w:spacing w:val="-1"/>
                <w:lang w:eastAsia="en-US"/>
              </w:rPr>
            </w:pPr>
            <w:r w:rsidRPr="00990BD1">
              <w:rPr>
                <w:spacing w:val="-1"/>
                <w:lang w:eastAsia="en-US"/>
              </w:rPr>
              <w:t>201</w:t>
            </w:r>
          </w:p>
        </w:tc>
        <w:tc>
          <w:tcPr>
            <w:tcW w:w="1169" w:type="dxa"/>
            <w:tcBorders>
              <w:top w:val="single" w:sz="4" w:space="0" w:color="auto"/>
              <w:left w:val="nil"/>
              <w:bottom w:val="single" w:sz="4" w:space="0" w:color="auto"/>
              <w:right w:val="single" w:sz="4" w:space="0" w:color="auto"/>
            </w:tcBorders>
            <w:noWrap/>
          </w:tcPr>
          <w:p w14:paraId="086BA240" w14:textId="77777777" w:rsidR="008B5873" w:rsidRPr="00990BD1" w:rsidRDefault="008B5873" w:rsidP="00326EDB">
            <w:pPr>
              <w:jc w:val="both"/>
              <w:rPr>
                <w:spacing w:val="-1"/>
                <w:lang w:eastAsia="en-US"/>
              </w:rPr>
            </w:pPr>
            <w:r w:rsidRPr="00990BD1">
              <w:rPr>
                <w:spacing w:val="-1"/>
                <w:lang w:eastAsia="en-US"/>
              </w:rPr>
              <w:t>8.6</w:t>
            </w:r>
          </w:p>
        </w:tc>
      </w:tr>
      <w:tr w:rsidR="008B5873" w:rsidRPr="00990BD1" w14:paraId="1FAFEC57"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31097460" w14:textId="77777777" w:rsidR="008B5873" w:rsidRPr="00990BD1" w:rsidRDefault="008B5873" w:rsidP="00326EDB">
            <w:pPr>
              <w:jc w:val="both"/>
              <w:rPr>
                <w:spacing w:val="-1"/>
                <w:lang w:eastAsia="en-US"/>
              </w:rPr>
            </w:pPr>
            <w:r w:rsidRPr="00990BD1">
              <w:rPr>
                <w:spacing w:val="-1"/>
                <w:lang w:eastAsia="en-US"/>
              </w:rPr>
              <w:t>Reposition Chairfast Q2hrs</w:t>
            </w:r>
          </w:p>
        </w:tc>
        <w:tc>
          <w:tcPr>
            <w:tcW w:w="1818" w:type="dxa"/>
            <w:tcBorders>
              <w:top w:val="single" w:sz="4" w:space="0" w:color="auto"/>
              <w:left w:val="nil"/>
              <w:bottom w:val="single" w:sz="4" w:space="0" w:color="auto"/>
              <w:right w:val="single" w:sz="4" w:space="0" w:color="auto"/>
            </w:tcBorders>
            <w:noWrap/>
          </w:tcPr>
          <w:p w14:paraId="52C24FB4" w14:textId="77777777" w:rsidR="008B5873" w:rsidRPr="00990BD1" w:rsidRDefault="008B5873" w:rsidP="00326EDB">
            <w:pPr>
              <w:jc w:val="both"/>
              <w:rPr>
                <w:spacing w:val="-1"/>
                <w:lang w:eastAsia="en-US"/>
              </w:rPr>
            </w:pPr>
            <w:r w:rsidRPr="00990BD1">
              <w:rPr>
                <w:spacing w:val="-1"/>
                <w:lang w:eastAsia="en-US"/>
              </w:rPr>
              <w:t>2246</w:t>
            </w:r>
          </w:p>
        </w:tc>
        <w:tc>
          <w:tcPr>
            <w:tcW w:w="1298" w:type="dxa"/>
            <w:tcBorders>
              <w:top w:val="single" w:sz="4" w:space="0" w:color="auto"/>
              <w:left w:val="nil"/>
              <w:bottom w:val="single" w:sz="4" w:space="0" w:color="auto"/>
              <w:right w:val="single" w:sz="4" w:space="0" w:color="auto"/>
            </w:tcBorders>
            <w:noWrap/>
          </w:tcPr>
          <w:p w14:paraId="03789B83" w14:textId="77777777" w:rsidR="008B5873" w:rsidRPr="00990BD1" w:rsidRDefault="008B5873" w:rsidP="00326EDB">
            <w:pPr>
              <w:jc w:val="both"/>
              <w:rPr>
                <w:spacing w:val="-1"/>
                <w:lang w:eastAsia="en-US"/>
              </w:rPr>
            </w:pPr>
            <w:r w:rsidRPr="00990BD1">
              <w:rPr>
                <w:spacing w:val="-1"/>
                <w:lang w:eastAsia="en-US"/>
              </w:rPr>
              <w:t>95.7</w:t>
            </w:r>
          </w:p>
        </w:tc>
        <w:tc>
          <w:tcPr>
            <w:tcW w:w="1558" w:type="dxa"/>
            <w:tcBorders>
              <w:top w:val="single" w:sz="4" w:space="0" w:color="auto"/>
              <w:left w:val="nil"/>
              <w:bottom w:val="single" w:sz="4" w:space="0" w:color="auto"/>
              <w:right w:val="single" w:sz="4" w:space="0" w:color="auto"/>
            </w:tcBorders>
            <w:noWrap/>
          </w:tcPr>
          <w:p w14:paraId="44F2B260" w14:textId="77777777" w:rsidR="008B5873" w:rsidRPr="00990BD1" w:rsidRDefault="008B5873" w:rsidP="00326EDB">
            <w:pPr>
              <w:jc w:val="both"/>
              <w:rPr>
                <w:spacing w:val="-1"/>
                <w:lang w:eastAsia="en-US"/>
              </w:rPr>
            </w:pPr>
            <w:r w:rsidRPr="00990BD1">
              <w:rPr>
                <w:spacing w:val="-1"/>
                <w:lang w:eastAsia="en-US"/>
              </w:rPr>
              <w:t>100</w:t>
            </w:r>
          </w:p>
        </w:tc>
        <w:tc>
          <w:tcPr>
            <w:tcW w:w="1169" w:type="dxa"/>
            <w:tcBorders>
              <w:top w:val="single" w:sz="4" w:space="0" w:color="auto"/>
              <w:left w:val="nil"/>
              <w:bottom w:val="single" w:sz="4" w:space="0" w:color="auto"/>
              <w:right w:val="single" w:sz="4" w:space="0" w:color="auto"/>
            </w:tcBorders>
            <w:noWrap/>
          </w:tcPr>
          <w:p w14:paraId="2DB1F926" w14:textId="77777777" w:rsidR="008B5873" w:rsidRPr="00990BD1" w:rsidRDefault="008B5873" w:rsidP="00326EDB">
            <w:pPr>
              <w:jc w:val="both"/>
              <w:rPr>
                <w:spacing w:val="-1"/>
                <w:lang w:eastAsia="en-US"/>
              </w:rPr>
            </w:pPr>
            <w:r w:rsidRPr="00990BD1">
              <w:rPr>
                <w:spacing w:val="-1"/>
                <w:lang w:eastAsia="en-US"/>
              </w:rPr>
              <w:t>4.3</w:t>
            </w:r>
          </w:p>
        </w:tc>
      </w:tr>
      <w:tr w:rsidR="008B5873" w:rsidRPr="00990BD1" w14:paraId="4B4ABE80"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3B0A8EA9" w14:textId="77777777" w:rsidR="008B5873" w:rsidRPr="00990BD1" w:rsidRDefault="008B5873" w:rsidP="00326EDB">
            <w:pPr>
              <w:jc w:val="both"/>
              <w:rPr>
                <w:spacing w:val="-1"/>
                <w:lang w:eastAsia="en-US"/>
              </w:rPr>
            </w:pPr>
            <w:r w:rsidRPr="00990BD1">
              <w:rPr>
                <w:spacing w:val="-1"/>
                <w:lang w:eastAsia="en-US"/>
              </w:rPr>
              <w:t>Use incontinence pad if needed</w:t>
            </w:r>
          </w:p>
        </w:tc>
        <w:tc>
          <w:tcPr>
            <w:tcW w:w="1818" w:type="dxa"/>
            <w:tcBorders>
              <w:top w:val="single" w:sz="4" w:space="0" w:color="auto"/>
              <w:left w:val="nil"/>
              <w:bottom w:val="single" w:sz="4" w:space="0" w:color="auto"/>
              <w:right w:val="single" w:sz="4" w:space="0" w:color="auto"/>
            </w:tcBorders>
            <w:noWrap/>
          </w:tcPr>
          <w:p w14:paraId="1F0FC70F" w14:textId="77777777" w:rsidR="008B5873" w:rsidRPr="00990BD1" w:rsidRDefault="008B5873" w:rsidP="00326EDB">
            <w:pPr>
              <w:jc w:val="both"/>
              <w:rPr>
                <w:spacing w:val="-1"/>
                <w:lang w:eastAsia="en-US"/>
              </w:rPr>
            </w:pPr>
            <w:r w:rsidRPr="00990BD1">
              <w:rPr>
                <w:spacing w:val="-1"/>
                <w:lang w:eastAsia="en-US"/>
              </w:rPr>
              <w:t>2122</w:t>
            </w:r>
          </w:p>
        </w:tc>
        <w:tc>
          <w:tcPr>
            <w:tcW w:w="1298" w:type="dxa"/>
            <w:tcBorders>
              <w:top w:val="single" w:sz="4" w:space="0" w:color="auto"/>
              <w:left w:val="nil"/>
              <w:bottom w:val="single" w:sz="4" w:space="0" w:color="auto"/>
              <w:right w:val="single" w:sz="4" w:space="0" w:color="auto"/>
            </w:tcBorders>
            <w:noWrap/>
          </w:tcPr>
          <w:p w14:paraId="3B543FE0" w14:textId="77777777" w:rsidR="008B5873" w:rsidRPr="00990BD1" w:rsidRDefault="008B5873" w:rsidP="00326EDB">
            <w:pPr>
              <w:jc w:val="both"/>
              <w:rPr>
                <w:spacing w:val="-1"/>
                <w:lang w:eastAsia="en-US"/>
              </w:rPr>
            </w:pPr>
            <w:r w:rsidRPr="00990BD1">
              <w:rPr>
                <w:spacing w:val="-1"/>
                <w:lang w:eastAsia="en-US"/>
              </w:rPr>
              <w:t>90.5</w:t>
            </w:r>
          </w:p>
        </w:tc>
        <w:tc>
          <w:tcPr>
            <w:tcW w:w="1558" w:type="dxa"/>
            <w:tcBorders>
              <w:top w:val="single" w:sz="4" w:space="0" w:color="auto"/>
              <w:left w:val="nil"/>
              <w:bottom w:val="single" w:sz="4" w:space="0" w:color="auto"/>
              <w:right w:val="single" w:sz="4" w:space="0" w:color="auto"/>
            </w:tcBorders>
            <w:noWrap/>
          </w:tcPr>
          <w:p w14:paraId="2A233B69" w14:textId="77777777" w:rsidR="008B5873" w:rsidRPr="00990BD1" w:rsidRDefault="008B5873" w:rsidP="00326EDB">
            <w:pPr>
              <w:jc w:val="both"/>
              <w:rPr>
                <w:spacing w:val="-1"/>
                <w:lang w:eastAsia="en-US"/>
              </w:rPr>
            </w:pPr>
            <w:r w:rsidRPr="00990BD1">
              <w:rPr>
                <w:spacing w:val="-1"/>
                <w:lang w:eastAsia="en-US"/>
              </w:rPr>
              <w:t>224</w:t>
            </w:r>
          </w:p>
        </w:tc>
        <w:tc>
          <w:tcPr>
            <w:tcW w:w="1169" w:type="dxa"/>
            <w:tcBorders>
              <w:top w:val="single" w:sz="4" w:space="0" w:color="auto"/>
              <w:left w:val="nil"/>
              <w:bottom w:val="single" w:sz="4" w:space="0" w:color="auto"/>
              <w:right w:val="single" w:sz="4" w:space="0" w:color="auto"/>
            </w:tcBorders>
            <w:noWrap/>
          </w:tcPr>
          <w:p w14:paraId="24AAE61D" w14:textId="77777777" w:rsidR="008B5873" w:rsidRPr="00990BD1" w:rsidRDefault="008B5873" w:rsidP="00326EDB">
            <w:pPr>
              <w:jc w:val="both"/>
              <w:rPr>
                <w:spacing w:val="-1"/>
                <w:lang w:eastAsia="en-US"/>
              </w:rPr>
            </w:pPr>
            <w:r w:rsidRPr="00990BD1">
              <w:rPr>
                <w:spacing w:val="-1"/>
                <w:lang w:eastAsia="en-US"/>
              </w:rPr>
              <w:t>9.5</w:t>
            </w:r>
          </w:p>
        </w:tc>
      </w:tr>
      <w:tr w:rsidR="008B5873" w:rsidRPr="00990BD1" w14:paraId="2F4CCD80"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0D7B17C9" w14:textId="77777777" w:rsidR="008B5873" w:rsidRPr="00990BD1" w:rsidRDefault="008B5873" w:rsidP="00326EDB">
            <w:pPr>
              <w:jc w:val="both"/>
              <w:rPr>
                <w:spacing w:val="-1"/>
                <w:lang w:eastAsia="en-US"/>
              </w:rPr>
            </w:pPr>
            <w:r w:rsidRPr="00990BD1">
              <w:rPr>
                <w:spacing w:val="-1"/>
                <w:lang w:eastAsia="en-US"/>
              </w:rPr>
              <w:t xml:space="preserve">Use barrier cream for moist skin </w:t>
            </w:r>
          </w:p>
        </w:tc>
        <w:tc>
          <w:tcPr>
            <w:tcW w:w="1818" w:type="dxa"/>
            <w:tcBorders>
              <w:top w:val="single" w:sz="4" w:space="0" w:color="auto"/>
              <w:left w:val="nil"/>
              <w:bottom w:val="single" w:sz="4" w:space="0" w:color="auto"/>
              <w:right w:val="single" w:sz="4" w:space="0" w:color="auto"/>
            </w:tcBorders>
            <w:noWrap/>
          </w:tcPr>
          <w:p w14:paraId="464C20FB" w14:textId="77777777" w:rsidR="008B5873" w:rsidRPr="00990BD1" w:rsidRDefault="008B5873" w:rsidP="00326EDB">
            <w:pPr>
              <w:jc w:val="both"/>
              <w:rPr>
                <w:spacing w:val="-1"/>
                <w:lang w:eastAsia="en-US"/>
              </w:rPr>
            </w:pPr>
            <w:r w:rsidRPr="00990BD1">
              <w:rPr>
                <w:spacing w:val="-1"/>
                <w:lang w:eastAsia="en-US"/>
              </w:rPr>
              <w:t>2147</w:t>
            </w:r>
          </w:p>
        </w:tc>
        <w:tc>
          <w:tcPr>
            <w:tcW w:w="1298" w:type="dxa"/>
            <w:tcBorders>
              <w:top w:val="single" w:sz="4" w:space="0" w:color="auto"/>
              <w:left w:val="nil"/>
              <w:bottom w:val="single" w:sz="4" w:space="0" w:color="auto"/>
              <w:right w:val="single" w:sz="4" w:space="0" w:color="auto"/>
            </w:tcBorders>
            <w:noWrap/>
          </w:tcPr>
          <w:p w14:paraId="719A2867" w14:textId="77777777" w:rsidR="008B5873" w:rsidRPr="00990BD1" w:rsidRDefault="008B5873" w:rsidP="00326EDB">
            <w:pPr>
              <w:jc w:val="both"/>
              <w:rPr>
                <w:spacing w:val="-1"/>
                <w:lang w:eastAsia="en-US"/>
              </w:rPr>
            </w:pPr>
            <w:r w:rsidRPr="00990BD1">
              <w:rPr>
                <w:spacing w:val="-1"/>
                <w:lang w:eastAsia="en-US"/>
              </w:rPr>
              <w:t>91.5</w:t>
            </w:r>
          </w:p>
        </w:tc>
        <w:tc>
          <w:tcPr>
            <w:tcW w:w="1558" w:type="dxa"/>
            <w:tcBorders>
              <w:top w:val="single" w:sz="4" w:space="0" w:color="auto"/>
              <w:left w:val="nil"/>
              <w:bottom w:val="single" w:sz="4" w:space="0" w:color="auto"/>
              <w:right w:val="single" w:sz="4" w:space="0" w:color="auto"/>
            </w:tcBorders>
            <w:noWrap/>
          </w:tcPr>
          <w:p w14:paraId="420CF4D9" w14:textId="77777777" w:rsidR="008B5873" w:rsidRPr="00990BD1" w:rsidRDefault="008B5873" w:rsidP="00326EDB">
            <w:pPr>
              <w:jc w:val="both"/>
              <w:rPr>
                <w:spacing w:val="-1"/>
                <w:lang w:eastAsia="en-US"/>
              </w:rPr>
            </w:pPr>
            <w:r w:rsidRPr="00990BD1">
              <w:rPr>
                <w:spacing w:val="-1"/>
                <w:lang w:eastAsia="en-US"/>
              </w:rPr>
              <w:t>199</w:t>
            </w:r>
          </w:p>
        </w:tc>
        <w:tc>
          <w:tcPr>
            <w:tcW w:w="1169" w:type="dxa"/>
            <w:tcBorders>
              <w:top w:val="single" w:sz="4" w:space="0" w:color="auto"/>
              <w:left w:val="nil"/>
              <w:bottom w:val="single" w:sz="4" w:space="0" w:color="auto"/>
              <w:right w:val="single" w:sz="4" w:space="0" w:color="auto"/>
            </w:tcBorders>
            <w:noWrap/>
          </w:tcPr>
          <w:p w14:paraId="061A055F" w14:textId="77777777" w:rsidR="008B5873" w:rsidRPr="00990BD1" w:rsidRDefault="008B5873" w:rsidP="00326EDB">
            <w:pPr>
              <w:jc w:val="both"/>
              <w:rPr>
                <w:spacing w:val="-1"/>
                <w:lang w:eastAsia="en-US"/>
              </w:rPr>
            </w:pPr>
            <w:r w:rsidRPr="00990BD1">
              <w:rPr>
                <w:spacing w:val="-1"/>
                <w:lang w:eastAsia="en-US"/>
              </w:rPr>
              <w:t>8.5</w:t>
            </w:r>
          </w:p>
        </w:tc>
      </w:tr>
      <w:tr w:rsidR="008B5873" w:rsidRPr="00990BD1" w14:paraId="52D196F6"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307485FC" w14:textId="77777777" w:rsidR="008B5873" w:rsidRPr="00990BD1" w:rsidRDefault="008B5873" w:rsidP="00326EDB">
            <w:pPr>
              <w:jc w:val="both"/>
              <w:rPr>
                <w:spacing w:val="-1"/>
                <w:lang w:eastAsia="en-US"/>
              </w:rPr>
            </w:pPr>
            <w:r w:rsidRPr="00990BD1">
              <w:rPr>
                <w:spacing w:val="-1"/>
                <w:lang w:eastAsia="en-US"/>
              </w:rPr>
              <w:t>Monitor for incontinence 02hrs</w:t>
            </w:r>
          </w:p>
        </w:tc>
        <w:tc>
          <w:tcPr>
            <w:tcW w:w="1818" w:type="dxa"/>
            <w:tcBorders>
              <w:top w:val="single" w:sz="4" w:space="0" w:color="auto"/>
              <w:left w:val="nil"/>
              <w:bottom w:val="single" w:sz="4" w:space="0" w:color="auto"/>
              <w:right w:val="single" w:sz="4" w:space="0" w:color="auto"/>
            </w:tcBorders>
            <w:noWrap/>
          </w:tcPr>
          <w:p w14:paraId="0144F043" w14:textId="77777777" w:rsidR="008B5873" w:rsidRPr="00990BD1" w:rsidRDefault="008B5873" w:rsidP="00326EDB">
            <w:pPr>
              <w:jc w:val="both"/>
              <w:rPr>
                <w:spacing w:val="-1"/>
                <w:lang w:eastAsia="en-US"/>
              </w:rPr>
            </w:pPr>
            <w:r w:rsidRPr="00990BD1">
              <w:rPr>
                <w:spacing w:val="-1"/>
                <w:lang w:eastAsia="en-US"/>
              </w:rPr>
              <w:t>2179</w:t>
            </w:r>
          </w:p>
        </w:tc>
        <w:tc>
          <w:tcPr>
            <w:tcW w:w="1298" w:type="dxa"/>
            <w:tcBorders>
              <w:top w:val="single" w:sz="4" w:space="0" w:color="auto"/>
              <w:left w:val="nil"/>
              <w:bottom w:val="single" w:sz="4" w:space="0" w:color="auto"/>
              <w:right w:val="single" w:sz="4" w:space="0" w:color="auto"/>
            </w:tcBorders>
            <w:noWrap/>
          </w:tcPr>
          <w:p w14:paraId="4CC1FA67" w14:textId="77777777" w:rsidR="008B5873" w:rsidRPr="00990BD1" w:rsidRDefault="008B5873" w:rsidP="00326EDB">
            <w:pPr>
              <w:jc w:val="both"/>
              <w:rPr>
                <w:spacing w:val="-1"/>
                <w:lang w:eastAsia="en-US"/>
              </w:rPr>
            </w:pPr>
            <w:r w:rsidRPr="00990BD1">
              <w:rPr>
                <w:spacing w:val="-1"/>
                <w:lang w:eastAsia="en-US"/>
              </w:rPr>
              <w:t>92.9</w:t>
            </w:r>
          </w:p>
        </w:tc>
        <w:tc>
          <w:tcPr>
            <w:tcW w:w="1558" w:type="dxa"/>
            <w:tcBorders>
              <w:top w:val="single" w:sz="4" w:space="0" w:color="auto"/>
              <w:left w:val="nil"/>
              <w:bottom w:val="single" w:sz="4" w:space="0" w:color="auto"/>
              <w:right w:val="single" w:sz="4" w:space="0" w:color="auto"/>
            </w:tcBorders>
            <w:noWrap/>
          </w:tcPr>
          <w:p w14:paraId="48B026DF" w14:textId="77777777" w:rsidR="008B5873" w:rsidRPr="00990BD1" w:rsidRDefault="008B5873" w:rsidP="00326EDB">
            <w:pPr>
              <w:jc w:val="both"/>
              <w:rPr>
                <w:spacing w:val="-1"/>
                <w:lang w:eastAsia="en-US"/>
              </w:rPr>
            </w:pPr>
            <w:r w:rsidRPr="00990BD1">
              <w:rPr>
                <w:spacing w:val="-1"/>
                <w:lang w:eastAsia="en-US"/>
              </w:rPr>
              <w:t>167</w:t>
            </w:r>
          </w:p>
        </w:tc>
        <w:tc>
          <w:tcPr>
            <w:tcW w:w="1169" w:type="dxa"/>
            <w:tcBorders>
              <w:top w:val="single" w:sz="4" w:space="0" w:color="auto"/>
              <w:left w:val="nil"/>
              <w:bottom w:val="single" w:sz="4" w:space="0" w:color="auto"/>
              <w:right w:val="single" w:sz="4" w:space="0" w:color="auto"/>
            </w:tcBorders>
            <w:noWrap/>
          </w:tcPr>
          <w:p w14:paraId="28D01C12" w14:textId="77777777" w:rsidR="008B5873" w:rsidRPr="00990BD1" w:rsidRDefault="008B5873" w:rsidP="00326EDB">
            <w:pPr>
              <w:jc w:val="both"/>
              <w:rPr>
                <w:spacing w:val="-1"/>
                <w:lang w:eastAsia="en-US"/>
              </w:rPr>
            </w:pPr>
            <w:r w:rsidRPr="00990BD1">
              <w:rPr>
                <w:spacing w:val="-1"/>
                <w:lang w:eastAsia="en-US"/>
              </w:rPr>
              <w:t>7.1</w:t>
            </w:r>
          </w:p>
        </w:tc>
      </w:tr>
      <w:tr w:rsidR="008B5873" w:rsidRPr="00990BD1" w14:paraId="505B14D4"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4D992C97" w14:textId="77777777" w:rsidR="008B5873" w:rsidRPr="00990BD1" w:rsidRDefault="008B5873" w:rsidP="00326EDB">
            <w:pPr>
              <w:jc w:val="both"/>
              <w:rPr>
                <w:spacing w:val="-1"/>
                <w:lang w:eastAsia="en-US"/>
              </w:rPr>
            </w:pPr>
            <w:r w:rsidRPr="00990BD1">
              <w:rPr>
                <w:spacing w:val="-1"/>
                <w:lang w:eastAsia="en-US"/>
              </w:rPr>
              <w:t>Cushion Wheelchair</w:t>
            </w:r>
          </w:p>
        </w:tc>
        <w:tc>
          <w:tcPr>
            <w:tcW w:w="1818" w:type="dxa"/>
            <w:tcBorders>
              <w:top w:val="single" w:sz="4" w:space="0" w:color="auto"/>
              <w:left w:val="nil"/>
              <w:bottom w:val="single" w:sz="4" w:space="0" w:color="auto"/>
              <w:right w:val="single" w:sz="4" w:space="0" w:color="auto"/>
            </w:tcBorders>
            <w:noWrap/>
          </w:tcPr>
          <w:p w14:paraId="085072CD" w14:textId="77777777" w:rsidR="008B5873" w:rsidRPr="00990BD1" w:rsidRDefault="008B5873" w:rsidP="00326EDB">
            <w:pPr>
              <w:jc w:val="both"/>
              <w:rPr>
                <w:spacing w:val="-1"/>
                <w:lang w:eastAsia="en-US"/>
              </w:rPr>
            </w:pPr>
            <w:r w:rsidRPr="00990BD1">
              <w:rPr>
                <w:spacing w:val="-1"/>
                <w:lang w:eastAsia="en-US"/>
              </w:rPr>
              <w:t>2308</w:t>
            </w:r>
          </w:p>
        </w:tc>
        <w:tc>
          <w:tcPr>
            <w:tcW w:w="1298" w:type="dxa"/>
            <w:tcBorders>
              <w:top w:val="single" w:sz="4" w:space="0" w:color="auto"/>
              <w:left w:val="nil"/>
              <w:bottom w:val="single" w:sz="4" w:space="0" w:color="auto"/>
              <w:right w:val="single" w:sz="4" w:space="0" w:color="auto"/>
            </w:tcBorders>
            <w:noWrap/>
          </w:tcPr>
          <w:p w14:paraId="1150E310" w14:textId="77777777" w:rsidR="008B5873" w:rsidRPr="00990BD1" w:rsidRDefault="008B5873" w:rsidP="00326EDB">
            <w:pPr>
              <w:jc w:val="both"/>
              <w:rPr>
                <w:spacing w:val="-1"/>
                <w:lang w:eastAsia="en-US"/>
              </w:rPr>
            </w:pPr>
            <w:r w:rsidRPr="00990BD1">
              <w:rPr>
                <w:spacing w:val="-1"/>
                <w:lang w:eastAsia="en-US"/>
              </w:rPr>
              <w:t>98.4</w:t>
            </w:r>
          </w:p>
        </w:tc>
        <w:tc>
          <w:tcPr>
            <w:tcW w:w="1558" w:type="dxa"/>
            <w:tcBorders>
              <w:top w:val="single" w:sz="4" w:space="0" w:color="auto"/>
              <w:left w:val="nil"/>
              <w:bottom w:val="single" w:sz="4" w:space="0" w:color="auto"/>
              <w:right w:val="single" w:sz="4" w:space="0" w:color="auto"/>
            </w:tcBorders>
            <w:noWrap/>
          </w:tcPr>
          <w:p w14:paraId="6723A651" w14:textId="77777777" w:rsidR="008B5873" w:rsidRPr="00990BD1" w:rsidRDefault="008B5873" w:rsidP="00326EDB">
            <w:pPr>
              <w:jc w:val="both"/>
              <w:rPr>
                <w:spacing w:val="-1"/>
                <w:lang w:eastAsia="en-US"/>
              </w:rPr>
            </w:pPr>
            <w:r w:rsidRPr="00990BD1">
              <w:rPr>
                <w:spacing w:val="-1"/>
                <w:lang w:eastAsia="en-US"/>
              </w:rPr>
              <w:t>38</w:t>
            </w:r>
          </w:p>
        </w:tc>
        <w:tc>
          <w:tcPr>
            <w:tcW w:w="1169" w:type="dxa"/>
            <w:tcBorders>
              <w:top w:val="single" w:sz="4" w:space="0" w:color="auto"/>
              <w:left w:val="nil"/>
              <w:bottom w:val="single" w:sz="4" w:space="0" w:color="auto"/>
              <w:right w:val="single" w:sz="4" w:space="0" w:color="auto"/>
            </w:tcBorders>
            <w:noWrap/>
          </w:tcPr>
          <w:p w14:paraId="5DB05288" w14:textId="77777777" w:rsidR="008B5873" w:rsidRPr="00990BD1" w:rsidRDefault="008B5873" w:rsidP="00326EDB">
            <w:pPr>
              <w:jc w:val="both"/>
              <w:rPr>
                <w:spacing w:val="-1"/>
                <w:lang w:eastAsia="en-US"/>
              </w:rPr>
            </w:pPr>
            <w:r w:rsidRPr="00990BD1">
              <w:rPr>
                <w:spacing w:val="-1"/>
                <w:lang w:eastAsia="en-US"/>
              </w:rPr>
              <w:t>1.6</w:t>
            </w:r>
          </w:p>
        </w:tc>
      </w:tr>
      <w:tr w:rsidR="008B5873" w:rsidRPr="00990BD1" w14:paraId="6793BB78"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513AF8A8" w14:textId="77777777" w:rsidR="008B5873" w:rsidRPr="00990BD1" w:rsidRDefault="008B5873" w:rsidP="00326EDB">
            <w:pPr>
              <w:jc w:val="both"/>
              <w:rPr>
                <w:spacing w:val="-1"/>
                <w:lang w:eastAsia="en-US"/>
              </w:rPr>
            </w:pPr>
            <w:r w:rsidRPr="00990BD1">
              <w:rPr>
                <w:spacing w:val="-1"/>
                <w:lang w:eastAsia="en-US"/>
              </w:rPr>
              <w:t>Ensure Dietician Referral</w:t>
            </w:r>
          </w:p>
        </w:tc>
        <w:tc>
          <w:tcPr>
            <w:tcW w:w="1818" w:type="dxa"/>
            <w:tcBorders>
              <w:top w:val="single" w:sz="4" w:space="0" w:color="auto"/>
              <w:left w:val="nil"/>
              <w:bottom w:val="single" w:sz="4" w:space="0" w:color="auto"/>
              <w:right w:val="single" w:sz="4" w:space="0" w:color="auto"/>
            </w:tcBorders>
            <w:noWrap/>
          </w:tcPr>
          <w:p w14:paraId="5E623798" w14:textId="77777777" w:rsidR="008B5873" w:rsidRPr="00990BD1" w:rsidRDefault="008B5873" w:rsidP="00326EDB">
            <w:pPr>
              <w:jc w:val="both"/>
              <w:rPr>
                <w:spacing w:val="-1"/>
                <w:lang w:eastAsia="en-US"/>
              </w:rPr>
            </w:pPr>
            <w:r w:rsidRPr="00990BD1">
              <w:rPr>
                <w:spacing w:val="-1"/>
                <w:lang w:eastAsia="en-US"/>
              </w:rPr>
              <w:t>2242</w:t>
            </w:r>
          </w:p>
        </w:tc>
        <w:tc>
          <w:tcPr>
            <w:tcW w:w="1298" w:type="dxa"/>
            <w:tcBorders>
              <w:top w:val="single" w:sz="4" w:space="0" w:color="auto"/>
              <w:left w:val="nil"/>
              <w:bottom w:val="single" w:sz="4" w:space="0" w:color="auto"/>
              <w:right w:val="single" w:sz="4" w:space="0" w:color="auto"/>
            </w:tcBorders>
            <w:noWrap/>
          </w:tcPr>
          <w:p w14:paraId="78FBB801" w14:textId="77777777" w:rsidR="008B5873" w:rsidRPr="00990BD1" w:rsidRDefault="008B5873" w:rsidP="00326EDB">
            <w:pPr>
              <w:jc w:val="both"/>
              <w:rPr>
                <w:spacing w:val="-1"/>
                <w:lang w:eastAsia="en-US"/>
              </w:rPr>
            </w:pPr>
            <w:r w:rsidRPr="00990BD1">
              <w:rPr>
                <w:spacing w:val="-1"/>
                <w:lang w:eastAsia="en-US"/>
              </w:rPr>
              <w:t>95.6</w:t>
            </w:r>
          </w:p>
        </w:tc>
        <w:tc>
          <w:tcPr>
            <w:tcW w:w="1558" w:type="dxa"/>
            <w:tcBorders>
              <w:top w:val="single" w:sz="4" w:space="0" w:color="auto"/>
              <w:left w:val="nil"/>
              <w:bottom w:val="single" w:sz="4" w:space="0" w:color="auto"/>
              <w:right w:val="single" w:sz="4" w:space="0" w:color="auto"/>
            </w:tcBorders>
            <w:noWrap/>
          </w:tcPr>
          <w:p w14:paraId="6BCEECE1" w14:textId="77777777" w:rsidR="008B5873" w:rsidRPr="00990BD1" w:rsidRDefault="008B5873" w:rsidP="00326EDB">
            <w:pPr>
              <w:jc w:val="both"/>
              <w:rPr>
                <w:spacing w:val="-1"/>
                <w:lang w:eastAsia="en-US"/>
              </w:rPr>
            </w:pPr>
            <w:r w:rsidRPr="00990BD1">
              <w:rPr>
                <w:spacing w:val="-1"/>
                <w:lang w:eastAsia="en-US"/>
              </w:rPr>
              <w:t>104</w:t>
            </w:r>
          </w:p>
        </w:tc>
        <w:tc>
          <w:tcPr>
            <w:tcW w:w="1169" w:type="dxa"/>
            <w:tcBorders>
              <w:top w:val="single" w:sz="4" w:space="0" w:color="auto"/>
              <w:left w:val="nil"/>
              <w:bottom w:val="single" w:sz="4" w:space="0" w:color="auto"/>
              <w:right w:val="single" w:sz="4" w:space="0" w:color="auto"/>
            </w:tcBorders>
            <w:noWrap/>
          </w:tcPr>
          <w:p w14:paraId="7C6270F1" w14:textId="77777777" w:rsidR="008B5873" w:rsidRPr="00990BD1" w:rsidRDefault="008B5873" w:rsidP="00326EDB">
            <w:pPr>
              <w:jc w:val="both"/>
              <w:rPr>
                <w:spacing w:val="-1"/>
                <w:lang w:eastAsia="en-US"/>
              </w:rPr>
            </w:pPr>
            <w:r w:rsidRPr="00990BD1">
              <w:rPr>
                <w:spacing w:val="-1"/>
                <w:lang w:eastAsia="en-US"/>
              </w:rPr>
              <w:t>4.4</w:t>
            </w:r>
          </w:p>
        </w:tc>
      </w:tr>
      <w:tr w:rsidR="008B5873" w:rsidRPr="00990BD1" w14:paraId="78997733"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298BD66B" w14:textId="77777777" w:rsidR="008B5873" w:rsidRPr="00990BD1" w:rsidRDefault="008B5873" w:rsidP="00326EDB">
            <w:pPr>
              <w:jc w:val="both"/>
              <w:rPr>
                <w:spacing w:val="-1"/>
                <w:lang w:eastAsia="en-US"/>
              </w:rPr>
            </w:pPr>
            <w:r w:rsidRPr="00990BD1">
              <w:rPr>
                <w:spacing w:val="-1"/>
                <w:lang w:eastAsia="en-US"/>
              </w:rPr>
              <w:t>Ensure Physio Referral</w:t>
            </w:r>
          </w:p>
        </w:tc>
        <w:tc>
          <w:tcPr>
            <w:tcW w:w="1818" w:type="dxa"/>
            <w:tcBorders>
              <w:top w:val="single" w:sz="4" w:space="0" w:color="auto"/>
              <w:left w:val="nil"/>
              <w:bottom w:val="single" w:sz="4" w:space="0" w:color="auto"/>
              <w:right w:val="single" w:sz="4" w:space="0" w:color="auto"/>
            </w:tcBorders>
            <w:noWrap/>
          </w:tcPr>
          <w:p w14:paraId="74AD88F4" w14:textId="77777777" w:rsidR="008B5873" w:rsidRPr="00990BD1" w:rsidRDefault="008B5873" w:rsidP="00326EDB">
            <w:pPr>
              <w:jc w:val="both"/>
              <w:rPr>
                <w:spacing w:val="-1"/>
                <w:lang w:eastAsia="en-US"/>
              </w:rPr>
            </w:pPr>
            <w:r w:rsidRPr="00990BD1">
              <w:rPr>
                <w:spacing w:val="-1"/>
                <w:lang w:eastAsia="en-US"/>
              </w:rPr>
              <w:t>2213</w:t>
            </w:r>
          </w:p>
        </w:tc>
        <w:tc>
          <w:tcPr>
            <w:tcW w:w="1298" w:type="dxa"/>
            <w:tcBorders>
              <w:top w:val="single" w:sz="4" w:space="0" w:color="auto"/>
              <w:left w:val="nil"/>
              <w:bottom w:val="single" w:sz="4" w:space="0" w:color="auto"/>
              <w:right w:val="single" w:sz="4" w:space="0" w:color="auto"/>
            </w:tcBorders>
            <w:noWrap/>
          </w:tcPr>
          <w:p w14:paraId="406C00C9" w14:textId="77777777" w:rsidR="008B5873" w:rsidRPr="00990BD1" w:rsidRDefault="008B5873" w:rsidP="00326EDB">
            <w:pPr>
              <w:jc w:val="both"/>
              <w:rPr>
                <w:spacing w:val="-1"/>
                <w:lang w:eastAsia="en-US"/>
              </w:rPr>
            </w:pPr>
            <w:r w:rsidRPr="00990BD1">
              <w:rPr>
                <w:spacing w:val="-1"/>
                <w:lang w:eastAsia="en-US"/>
              </w:rPr>
              <w:t>94.3</w:t>
            </w:r>
          </w:p>
        </w:tc>
        <w:tc>
          <w:tcPr>
            <w:tcW w:w="1558" w:type="dxa"/>
            <w:tcBorders>
              <w:top w:val="single" w:sz="4" w:space="0" w:color="auto"/>
              <w:left w:val="nil"/>
              <w:bottom w:val="single" w:sz="4" w:space="0" w:color="auto"/>
              <w:right w:val="single" w:sz="4" w:space="0" w:color="auto"/>
            </w:tcBorders>
            <w:noWrap/>
          </w:tcPr>
          <w:p w14:paraId="0A66FA83" w14:textId="77777777" w:rsidR="008B5873" w:rsidRPr="00990BD1" w:rsidRDefault="008B5873" w:rsidP="00326EDB">
            <w:pPr>
              <w:jc w:val="both"/>
              <w:rPr>
                <w:spacing w:val="-1"/>
                <w:lang w:eastAsia="en-US"/>
              </w:rPr>
            </w:pPr>
            <w:r w:rsidRPr="00990BD1">
              <w:rPr>
                <w:spacing w:val="-1"/>
                <w:lang w:eastAsia="en-US"/>
              </w:rPr>
              <w:t>133</w:t>
            </w:r>
          </w:p>
        </w:tc>
        <w:tc>
          <w:tcPr>
            <w:tcW w:w="1169" w:type="dxa"/>
            <w:tcBorders>
              <w:top w:val="single" w:sz="4" w:space="0" w:color="auto"/>
              <w:left w:val="nil"/>
              <w:bottom w:val="single" w:sz="4" w:space="0" w:color="auto"/>
              <w:right w:val="single" w:sz="4" w:space="0" w:color="auto"/>
            </w:tcBorders>
            <w:noWrap/>
          </w:tcPr>
          <w:p w14:paraId="2BA51EC0" w14:textId="77777777" w:rsidR="008B5873" w:rsidRPr="00990BD1" w:rsidRDefault="008B5873" w:rsidP="00326EDB">
            <w:pPr>
              <w:jc w:val="both"/>
              <w:rPr>
                <w:spacing w:val="-1"/>
                <w:lang w:eastAsia="en-US"/>
              </w:rPr>
            </w:pPr>
            <w:r w:rsidRPr="00990BD1">
              <w:rPr>
                <w:spacing w:val="-1"/>
                <w:lang w:eastAsia="en-US"/>
              </w:rPr>
              <w:t>5.7</w:t>
            </w:r>
          </w:p>
        </w:tc>
      </w:tr>
      <w:tr w:rsidR="008B5873" w:rsidRPr="00990BD1" w14:paraId="28805513"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327EDC5C" w14:textId="77777777" w:rsidR="008B5873" w:rsidRPr="00990BD1" w:rsidRDefault="008B5873" w:rsidP="00326EDB">
            <w:pPr>
              <w:jc w:val="both"/>
              <w:rPr>
                <w:spacing w:val="-1"/>
                <w:lang w:eastAsia="en-US"/>
              </w:rPr>
            </w:pPr>
            <w:r w:rsidRPr="00990BD1">
              <w:rPr>
                <w:spacing w:val="-1"/>
                <w:lang w:eastAsia="en-US"/>
              </w:rPr>
              <w:t>Offload pressure points</w:t>
            </w:r>
          </w:p>
        </w:tc>
        <w:tc>
          <w:tcPr>
            <w:tcW w:w="1818" w:type="dxa"/>
            <w:tcBorders>
              <w:top w:val="single" w:sz="4" w:space="0" w:color="auto"/>
              <w:left w:val="nil"/>
              <w:bottom w:val="single" w:sz="4" w:space="0" w:color="auto"/>
              <w:right w:val="single" w:sz="4" w:space="0" w:color="auto"/>
            </w:tcBorders>
            <w:noWrap/>
          </w:tcPr>
          <w:p w14:paraId="47D88093" w14:textId="77777777" w:rsidR="008B5873" w:rsidRPr="00990BD1" w:rsidRDefault="008B5873" w:rsidP="00326EDB">
            <w:pPr>
              <w:jc w:val="both"/>
              <w:rPr>
                <w:spacing w:val="-1"/>
                <w:lang w:eastAsia="en-US"/>
              </w:rPr>
            </w:pPr>
            <w:r w:rsidRPr="00990BD1">
              <w:rPr>
                <w:spacing w:val="-1"/>
                <w:lang w:eastAsia="en-US"/>
              </w:rPr>
              <w:t>2200</w:t>
            </w:r>
          </w:p>
        </w:tc>
        <w:tc>
          <w:tcPr>
            <w:tcW w:w="1298" w:type="dxa"/>
            <w:tcBorders>
              <w:top w:val="single" w:sz="4" w:space="0" w:color="auto"/>
              <w:left w:val="nil"/>
              <w:bottom w:val="single" w:sz="4" w:space="0" w:color="auto"/>
              <w:right w:val="single" w:sz="4" w:space="0" w:color="auto"/>
            </w:tcBorders>
            <w:noWrap/>
          </w:tcPr>
          <w:p w14:paraId="57C9685C" w14:textId="77777777" w:rsidR="008B5873" w:rsidRPr="00990BD1" w:rsidRDefault="008B5873" w:rsidP="00326EDB">
            <w:pPr>
              <w:jc w:val="both"/>
              <w:rPr>
                <w:spacing w:val="-1"/>
                <w:lang w:eastAsia="en-US"/>
              </w:rPr>
            </w:pPr>
            <w:r w:rsidRPr="00990BD1">
              <w:rPr>
                <w:spacing w:val="-1"/>
                <w:lang w:eastAsia="en-US"/>
              </w:rPr>
              <w:t>93.8</w:t>
            </w:r>
          </w:p>
        </w:tc>
        <w:tc>
          <w:tcPr>
            <w:tcW w:w="1558" w:type="dxa"/>
            <w:tcBorders>
              <w:top w:val="single" w:sz="4" w:space="0" w:color="auto"/>
              <w:left w:val="nil"/>
              <w:bottom w:val="single" w:sz="4" w:space="0" w:color="auto"/>
              <w:right w:val="single" w:sz="4" w:space="0" w:color="auto"/>
            </w:tcBorders>
            <w:noWrap/>
          </w:tcPr>
          <w:p w14:paraId="64B56CE8" w14:textId="77777777" w:rsidR="008B5873" w:rsidRPr="00990BD1" w:rsidRDefault="008B5873" w:rsidP="00326EDB">
            <w:pPr>
              <w:jc w:val="both"/>
              <w:rPr>
                <w:spacing w:val="-1"/>
                <w:lang w:eastAsia="en-US"/>
              </w:rPr>
            </w:pPr>
            <w:r w:rsidRPr="00990BD1">
              <w:rPr>
                <w:spacing w:val="-1"/>
                <w:lang w:eastAsia="en-US"/>
              </w:rPr>
              <w:t>146</w:t>
            </w:r>
          </w:p>
        </w:tc>
        <w:tc>
          <w:tcPr>
            <w:tcW w:w="1169" w:type="dxa"/>
            <w:tcBorders>
              <w:top w:val="single" w:sz="4" w:space="0" w:color="auto"/>
              <w:left w:val="nil"/>
              <w:bottom w:val="single" w:sz="4" w:space="0" w:color="auto"/>
              <w:right w:val="single" w:sz="4" w:space="0" w:color="auto"/>
            </w:tcBorders>
            <w:noWrap/>
          </w:tcPr>
          <w:p w14:paraId="1F1FF82B" w14:textId="77777777" w:rsidR="008B5873" w:rsidRPr="00990BD1" w:rsidRDefault="008B5873" w:rsidP="00326EDB">
            <w:pPr>
              <w:jc w:val="both"/>
              <w:rPr>
                <w:spacing w:val="-1"/>
                <w:lang w:eastAsia="en-US"/>
              </w:rPr>
            </w:pPr>
            <w:r w:rsidRPr="00990BD1">
              <w:rPr>
                <w:spacing w:val="-1"/>
                <w:lang w:eastAsia="en-US"/>
              </w:rPr>
              <w:t>6.2</w:t>
            </w:r>
          </w:p>
        </w:tc>
      </w:tr>
      <w:tr w:rsidR="008B5873" w:rsidRPr="00990BD1" w14:paraId="55ED60FC"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5E4C905E" w14:textId="77777777" w:rsidR="008B5873" w:rsidRPr="00990BD1" w:rsidRDefault="008B5873" w:rsidP="00326EDB">
            <w:pPr>
              <w:jc w:val="both"/>
              <w:rPr>
                <w:spacing w:val="-1"/>
                <w:lang w:eastAsia="en-US"/>
              </w:rPr>
            </w:pPr>
            <w:r w:rsidRPr="00990BD1">
              <w:rPr>
                <w:spacing w:val="-1"/>
                <w:lang w:eastAsia="en-US"/>
              </w:rPr>
              <w:t>Apply Protective Dressing</w:t>
            </w:r>
          </w:p>
        </w:tc>
        <w:tc>
          <w:tcPr>
            <w:tcW w:w="1818" w:type="dxa"/>
            <w:tcBorders>
              <w:top w:val="single" w:sz="4" w:space="0" w:color="auto"/>
              <w:left w:val="nil"/>
              <w:bottom w:val="single" w:sz="4" w:space="0" w:color="auto"/>
              <w:right w:val="single" w:sz="4" w:space="0" w:color="auto"/>
            </w:tcBorders>
            <w:noWrap/>
          </w:tcPr>
          <w:p w14:paraId="3A4B5784" w14:textId="77777777" w:rsidR="008B5873" w:rsidRPr="00990BD1" w:rsidRDefault="008B5873" w:rsidP="00326EDB">
            <w:pPr>
              <w:jc w:val="both"/>
              <w:rPr>
                <w:spacing w:val="-1"/>
                <w:lang w:eastAsia="en-US"/>
              </w:rPr>
            </w:pPr>
            <w:r w:rsidRPr="00990BD1">
              <w:rPr>
                <w:spacing w:val="-1"/>
                <w:lang w:eastAsia="en-US"/>
              </w:rPr>
              <w:t>2248</w:t>
            </w:r>
          </w:p>
        </w:tc>
        <w:tc>
          <w:tcPr>
            <w:tcW w:w="1298" w:type="dxa"/>
            <w:tcBorders>
              <w:top w:val="single" w:sz="4" w:space="0" w:color="auto"/>
              <w:left w:val="nil"/>
              <w:bottom w:val="single" w:sz="4" w:space="0" w:color="auto"/>
              <w:right w:val="single" w:sz="4" w:space="0" w:color="auto"/>
            </w:tcBorders>
            <w:noWrap/>
          </w:tcPr>
          <w:p w14:paraId="776935F8" w14:textId="77777777" w:rsidR="008B5873" w:rsidRPr="00990BD1" w:rsidRDefault="008B5873" w:rsidP="00326EDB">
            <w:pPr>
              <w:jc w:val="both"/>
              <w:rPr>
                <w:spacing w:val="-1"/>
                <w:lang w:eastAsia="en-US"/>
              </w:rPr>
            </w:pPr>
            <w:r w:rsidRPr="00990BD1">
              <w:rPr>
                <w:spacing w:val="-1"/>
                <w:lang w:eastAsia="en-US"/>
              </w:rPr>
              <w:t>95.8</w:t>
            </w:r>
          </w:p>
        </w:tc>
        <w:tc>
          <w:tcPr>
            <w:tcW w:w="1558" w:type="dxa"/>
            <w:tcBorders>
              <w:top w:val="single" w:sz="4" w:space="0" w:color="auto"/>
              <w:left w:val="nil"/>
              <w:bottom w:val="single" w:sz="4" w:space="0" w:color="auto"/>
              <w:right w:val="single" w:sz="4" w:space="0" w:color="auto"/>
            </w:tcBorders>
            <w:noWrap/>
          </w:tcPr>
          <w:p w14:paraId="1A487530" w14:textId="77777777" w:rsidR="008B5873" w:rsidRPr="00990BD1" w:rsidRDefault="008B5873" w:rsidP="00326EDB">
            <w:pPr>
              <w:jc w:val="both"/>
              <w:rPr>
                <w:spacing w:val="-1"/>
                <w:lang w:eastAsia="en-US"/>
              </w:rPr>
            </w:pPr>
            <w:r w:rsidRPr="00990BD1">
              <w:rPr>
                <w:spacing w:val="-1"/>
                <w:lang w:eastAsia="en-US"/>
              </w:rPr>
              <w:t>98</w:t>
            </w:r>
          </w:p>
        </w:tc>
        <w:tc>
          <w:tcPr>
            <w:tcW w:w="1169" w:type="dxa"/>
            <w:tcBorders>
              <w:top w:val="single" w:sz="4" w:space="0" w:color="auto"/>
              <w:left w:val="nil"/>
              <w:bottom w:val="single" w:sz="4" w:space="0" w:color="auto"/>
              <w:right w:val="single" w:sz="4" w:space="0" w:color="auto"/>
            </w:tcBorders>
            <w:noWrap/>
          </w:tcPr>
          <w:p w14:paraId="68C48348" w14:textId="77777777" w:rsidR="008B5873" w:rsidRPr="00990BD1" w:rsidRDefault="008B5873" w:rsidP="00326EDB">
            <w:pPr>
              <w:jc w:val="both"/>
              <w:rPr>
                <w:spacing w:val="-1"/>
                <w:lang w:eastAsia="en-US"/>
              </w:rPr>
            </w:pPr>
            <w:r w:rsidRPr="00990BD1">
              <w:rPr>
                <w:spacing w:val="-1"/>
                <w:lang w:eastAsia="en-US"/>
              </w:rPr>
              <w:t>4.2</w:t>
            </w:r>
          </w:p>
        </w:tc>
      </w:tr>
      <w:tr w:rsidR="008B5873" w:rsidRPr="00990BD1" w14:paraId="6C864932" w14:textId="77777777" w:rsidTr="00326EDB">
        <w:trPr>
          <w:trHeight w:val="239"/>
        </w:trPr>
        <w:tc>
          <w:tcPr>
            <w:tcW w:w="3739" w:type="dxa"/>
            <w:tcBorders>
              <w:top w:val="single" w:sz="4" w:space="0" w:color="auto"/>
              <w:left w:val="single" w:sz="4" w:space="0" w:color="auto"/>
              <w:bottom w:val="single" w:sz="4" w:space="0" w:color="auto"/>
              <w:right w:val="single" w:sz="4" w:space="0" w:color="auto"/>
            </w:tcBorders>
            <w:noWrap/>
          </w:tcPr>
          <w:p w14:paraId="0EAE78BE" w14:textId="77777777" w:rsidR="008B5873" w:rsidRPr="00990BD1" w:rsidRDefault="008B5873" w:rsidP="00326EDB">
            <w:pPr>
              <w:jc w:val="both"/>
              <w:rPr>
                <w:spacing w:val="-1"/>
                <w:lang w:eastAsia="en-US"/>
              </w:rPr>
            </w:pPr>
            <w:r w:rsidRPr="00990BD1">
              <w:rPr>
                <w:spacing w:val="-1"/>
                <w:lang w:eastAsia="en-US"/>
              </w:rPr>
              <w:t>Put on Air Mattress</w:t>
            </w:r>
          </w:p>
        </w:tc>
        <w:tc>
          <w:tcPr>
            <w:tcW w:w="1818" w:type="dxa"/>
            <w:tcBorders>
              <w:top w:val="single" w:sz="4" w:space="0" w:color="auto"/>
              <w:left w:val="nil"/>
              <w:bottom w:val="single" w:sz="4" w:space="0" w:color="auto"/>
              <w:right w:val="single" w:sz="4" w:space="0" w:color="auto"/>
            </w:tcBorders>
            <w:noWrap/>
          </w:tcPr>
          <w:p w14:paraId="565AD8A7" w14:textId="77777777" w:rsidR="008B5873" w:rsidRPr="00990BD1" w:rsidRDefault="008B5873" w:rsidP="00326EDB">
            <w:pPr>
              <w:jc w:val="both"/>
              <w:rPr>
                <w:spacing w:val="-1"/>
                <w:lang w:eastAsia="en-US"/>
              </w:rPr>
            </w:pPr>
            <w:r w:rsidRPr="00990BD1">
              <w:rPr>
                <w:spacing w:val="-1"/>
                <w:lang w:eastAsia="en-US"/>
              </w:rPr>
              <w:t>2167</w:t>
            </w:r>
          </w:p>
        </w:tc>
        <w:tc>
          <w:tcPr>
            <w:tcW w:w="1298" w:type="dxa"/>
            <w:tcBorders>
              <w:top w:val="single" w:sz="4" w:space="0" w:color="auto"/>
              <w:left w:val="nil"/>
              <w:bottom w:val="single" w:sz="4" w:space="0" w:color="auto"/>
              <w:right w:val="single" w:sz="4" w:space="0" w:color="auto"/>
            </w:tcBorders>
            <w:noWrap/>
          </w:tcPr>
          <w:p w14:paraId="76367161" w14:textId="77777777" w:rsidR="008B5873" w:rsidRPr="00990BD1" w:rsidRDefault="008B5873" w:rsidP="00326EDB">
            <w:pPr>
              <w:jc w:val="both"/>
              <w:rPr>
                <w:spacing w:val="-1"/>
                <w:lang w:eastAsia="en-US"/>
              </w:rPr>
            </w:pPr>
            <w:r w:rsidRPr="00990BD1">
              <w:rPr>
                <w:spacing w:val="-1"/>
                <w:lang w:eastAsia="en-US"/>
              </w:rPr>
              <w:t>92.4</w:t>
            </w:r>
          </w:p>
        </w:tc>
        <w:tc>
          <w:tcPr>
            <w:tcW w:w="1558" w:type="dxa"/>
            <w:tcBorders>
              <w:top w:val="single" w:sz="4" w:space="0" w:color="auto"/>
              <w:left w:val="nil"/>
              <w:bottom w:val="single" w:sz="4" w:space="0" w:color="auto"/>
              <w:right w:val="single" w:sz="4" w:space="0" w:color="auto"/>
            </w:tcBorders>
            <w:noWrap/>
          </w:tcPr>
          <w:p w14:paraId="21A899F7" w14:textId="77777777" w:rsidR="008B5873" w:rsidRPr="00990BD1" w:rsidRDefault="008B5873" w:rsidP="00326EDB">
            <w:pPr>
              <w:jc w:val="both"/>
              <w:rPr>
                <w:spacing w:val="-1"/>
                <w:lang w:eastAsia="en-US"/>
              </w:rPr>
            </w:pPr>
            <w:r w:rsidRPr="00990BD1">
              <w:rPr>
                <w:spacing w:val="-1"/>
                <w:lang w:eastAsia="en-US"/>
              </w:rPr>
              <w:t>179</w:t>
            </w:r>
          </w:p>
        </w:tc>
        <w:tc>
          <w:tcPr>
            <w:tcW w:w="1169" w:type="dxa"/>
            <w:tcBorders>
              <w:top w:val="single" w:sz="4" w:space="0" w:color="auto"/>
              <w:left w:val="nil"/>
              <w:bottom w:val="single" w:sz="4" w:space="0" w:color="auto"/>
              <w:right w:val="single" w:sz="4" w:space="0" w:color="auto"/>
            </w:tcBorders>
            <w:noWrap/>
          </w:tcPr>
          <w:p w14:paraId="5C2758CB" w14:textId="77777777" w:rsidR="008B5873" w:rsidRPr="00990BD1" w:rsidRDefault="008B5873" w:rsidP="00326EDB">
            <w:pPr>
              <w:jc w:val="both"/>
              <w:rPr>
                <w:spacing w:val="-1"/>
                <w:lang w:eastAsia="en-US"/>
              </w:rPr>
            </w:pPr>
            <w:r w:rsidRPr="00990BD1">
              <w:rPr>
                <w:spacing w:val="-1"/>
                <w:lang w:eastAsia="en-US"/>
              </w:rPr>
              <w:t>7.6</w:t>
            </w:r>
          </w:p>
        </w:tc>
      </w:tr>
    </w:tbl>
    <w:p w14:paraId="76B3011E" w14:textId="77777777" w:rsidR="008B5873" w:rsidRDefault="008B5873" w:rsidP="008B5873">
      <w:pPr>
        <w:pStyle w:val="BodyText"/>
        <w:rPr>
          <w:lang w:eastAsia="en-US"/>
        </w:rPr>
      </w:pPr>
    </w:p>
    <w:p w14:paraId="4C3EC2C6" w14:textId="77777777" w:rsidR="008B5873" w:rsidRDefault="008B5873" w:rsidP="008B5873">
      <w:pPr>
        <w:pStyle w:val="BodyText"/>
        <w:rPr>
          <w:lang w:eastAsia="en-US"/>
        </w:rPr>
      </w:pPr>
    </w:p>
    <w:p w14:paraId="1EC30EE8" w14:textId="77777777" w:rsidR="008B5873" w:rsidRDefault="008B5873" w:rsidP="008B5873">
      <w:pPr>
        <w:pStyle w:val="BodyText"/>
        <w:rPr>
          <w:lang w:eastAsia="en-US"/>
        </w:rPr>
      </w:pPr>
    </w:p>
    <w:p w14:paraId="3C1FA01D" w14:textId="77777777" w:rsidR="008B5873" w:rsidRDefault="008B5873" w:rsidP="008B5873">
      <w:pPr>
        <w:pStyle w:val="BodyText"/>
        <w:rPr>
          <w:lang w:eastAsia="en-US"/>
        </w:rPr>
      </w:pPr>
    </w:p>
    <w:p w14:paraId="244E5D77" w14:textId="77777777" w:rsidR="008B5873" w:rsidRDefault="008B5873" w:rsidP="008B5873">
      <w:pPr>
        <w:pStyle w:val="BodyText"/>
        <w:rPr>
          <w:lang w:eastAsia="en-US"/>
        </w:rPr>
      </w:pPr>
    </w:p>
    <w:p w14:paraId="6D646B67" w14:textId="77777777" w:rsidR="008B5873" w:rsidRDefault="008B5873" w:rsidP="008B5873">
      <w:pPr>
        <w:pStyle w:val="BodyText"/>
        <w:rPr>
          <w:lang w:eastAsia="en-US"/>
        </w:rPr>
      </w:pPr>
    </w:p>
    <w:p w14:paraId="40795211" w14:textId="77777777" w:rsidR="008B5873" w:rsidRDefault="008B5873" w:rsidP="008B5873">
      <w:pPr>
        <w:pStyle w:val="BodyText"/>
        <w:rPr>
          <w:lang w:eastAsia="en-US"/>
        </w:rPr>
      </w:pPr>
    </w:p>
    <w:p w14:paraId="094E3590" w14:textId="77777777" w:rsidR="008B5873" w:rsidRPr="000E155C" w:rsidRDefault="008B5873" w:rsidP="008B5873">
      <w:pPr>
        <w:pStyle w:val="BodyText"/>
        <w:rPr>
          <w:lang w:eastAsia="en-US"/>
        </w:rPr>
      </w:pPr>
    </w:p>
    <w:p w14:paraId="1869918F" w14:textId="77777777" w:rsidR="008B5873" w:rsidRDefault="008B5873" w:rsidP="008B5873">
      <w:pPr>
        <w:pStyle w:val="BodyText"/>
      </w:pPr>
    </w:p>
    <w:p w14:paraId="2501CFED" w14:textId="77777777" w:rsidR="008B5873" w:rsidRDefault="008B5873" w:rsidP="008B5873">
      <w:pPr>
        <w:pStyle w:val="BodyText"/>
      </w:pPr>
    </w:p>
    <w:p w14:paraId="51927AAF" w14:textId="77777777" w:rsidR="008B5873" w:rsidRDefault="008B5873" w:rsidP="008B5873">
      <w:pPr>
        <w:pStyle w:val="BodyText"/>
      </w:pPr>
    </w:p>
    <w:p w14:paraId="7B795F44" w14:textId="77777777" w:rsidR="008B5873" w:rsidRDefault="008B5873" w:rsidP="008B5873">
      <w:pPr>
        <w:pStyle w:val="BodyText"/>
      </w:pPr>
    </w:p>
    <w:p w14:paraId="7A48AFC8" w14:textId="77777777" w:rsidR="008B5873" w:rsidRDefault="008B5873" w:rsidP="008B5873">
      <w:pPr>
        <w:pStyle w:val="BodyText"/>
      </w:pPr>
    </w:p>
    <w:p w14:paraId="518C8411" w14:textId="77777777" w:rsidR="008B5873" w:rsidRDefault="008B5873" w:rsidP="008B5873">
      <w:pPr>
        <w:pStyle w:val="BodyText"/>
      </w:pPr>
    </w:p>
    <w:p w14:paraId="16B3561F" w14:textId="77777777" w:rsidR="008B5873" w:rsidRDefault="008B5873" w:rsidP="008B5873">
      <w:pPr>
        <w:pStyle w:val="BodyText"/>
      </w:pPr>
    </w:p>
    <w:p w14:paraId="78FBA3D9" w14:textId="77777777" w:rsidR="008B5873" w:rsidRDefault="008B5873" w:rsidP="008B5873">
      <w:pPr>
        <w:pStyle w:val="BodyText"/>
      </w:pPr>
    </w:p>
    <w:p w14:paraId="68C9ABB3" w14:textId="77777777" w:rsidR="008B5873" w:rsidRDefault="008B5873" w:rsidP="008B5873">
      <w:pPr>
        <w:pStyle w:val="BodyText"/>
      </w:pPr>
    </w:p>
    <w:p w14:paraId="1BCCD336" w14:textId="77777777" w:rsidR="008B5873" w:rsidRDefault="008B5873" w:rsidP="008B5873">
      <w:pPr>
        <w:pStyle w:val="BodyText"/>
      </w:pPr>
    </w:p>
    <w:p w14:paraId="1BCF88A6" w14:textId="77777777" w:rsidR="008B5873" w:rsidRDefault="008B5873" w:rsidP="008B5873">
      <w:pPr>
        <w:pStyle w:val="BodyText"/>
      </w:pPr>
    </w:p>
    <w:p w14:paraId="03BA0D78" w14:textId="77777777" w:rsidR="008B5873" w:rsidRDefault="008B5873" w:rsidP="008B5873">
      <w:pPr>
        <w:pStyle w:val="BodyText"/>
      </w:pPr>
    </w:p>
    <w:p w14:paraId="13A35ACF" w14:textId="77777777" w:rsidR="008B5873" w:rsidRDefault="008B5873" w:rsidP="008B5873">
      <w:pPr>
        <w:pStyle w:val="BodyText"/>
      </w:pPr>
    </w:p>
    <w:p w14:paraId="7CDF8319" w14:textId="77777777" w:rsidR="008B5873" w:rsidRDefault="008B5873" w:rsidP="008B5873">
      <w:pPr>
        <w:pStyle w:val="BodyText"/>
      </w:pPr>
    </w:p>
    <w:p w14:paraId="3D721D35" w14:textId="77777777" w:rsidR="00385BC4" w:rsidRDefault="00385BC4" w:rsidP="008B5873">
      <w:pPr>
        <w:pStyle w:val="BodyText"/>
      </w:pPr>
    </w:p>
    <w:p w14:paraId="26DF041F" w14:textId="77777777" w:rsidR="00385BC4" w:rsidRDefault="00385BC4" w:rsidP="008B5873">
      <w:pPr>
        <w:pStyle w:val="BodyText"/>
      </w:pPr>
    </w:p>
    <w:tbl>
      <w:tblPr>
        <w:tblW w:w="952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932"/>
        <w:gridCol w:w="2794"/>
        <w:gridCol w:w="2173"/>
      </w:tblGrid>
      <w:tr w:rsidR="008B5873" w:rsidRPr="004043F7" w14:paraId="689EB57E" w14:textId="77777777" w:rsidTr="00326EDB">
        <w:trPr>
          <w:trHeight w:val="236"/>
        </w:trPr>
        <w:tc>
          <w:tcPr>
            <w:tcW w:w="9522" w:type="dxa"/>
            <w:gridSpan w:val="4"/>
            <w:tcBorders>
              <w:top w:val="nil"/>
              <w:left w:val="nil"/>
              <w:bottom w:val="single" w:sz="4" w:space="0" w:color="auto"/>
              <w:right w:val="nil"/>
            </w:tcBorders>
            <w:shd w:val="clear" w:color="000000" w:fill="FFFFFF"/>
            <w:vAlign w:val="center"/>
            <w:hideMark/>
          </w:tcPr>
          <w:p w14:paraId="4B98433A" w14:textId="77777777" w:rsidR="008B5873" w:rsidRPr="00890401" w:rsidRDefault="008B5873" w:rsidP="00326EDB">
            <w:pPr>
              <w:rPr>
                <w:spacing w:val="-1"/>
                <w:lang w:eastAsia="en-US"/>
              </w:rPr>
            </w:pPr>
            <w:r w:rsidRPr="00890401">
              <w:rPr>
                <w:spacing w:val="-1"/>
                <w:lang w:eastAsia="en-US"/>
              </w:rPr>
              <w:t>Table 12: Overall Immobile protocol intervention total</w:t>
            </w:r>
          </w:p>
          <w:p w14:paraId="2B57F6AB" w14:textId="77777777" w:rsidR="008B5873" w:rsidRPr="00890401" w:rsidRDefault="008B5873" w:rsidP="00326EDB">
            <w:pPr>
              <w:rPr>
                <w:spacing w:val="-1"/>
                <w:lang w:eastAsia="en-US"/>
              </w:rPr>
            </w:pPr>
          </w:p>
        </w:tc>
      </w:tr>
      <w:tr w:rsidR="008B5873" w:rsidRPr="004043F7" w14:paraId="13A39ACC" w14:textId="77777777" w:rsidTr="00326EDB">
        <w:trPr>
          <w:trHeight w:val="236"/>
        </w:trPr>
        <w:tc>
          <w:tcPr>
            <w:tcW w:w="4632" w:type="dxa"/>
            <w:gridSpan w:val="2"/>
            <w:tcBorders>
              <w:top w:val="single" w:sz="4" w:space="0" w:color="auto"/>
            </w:tcBorders>
            <w:shd w:val="clear" w:color="000000" w:fill="FFFFFF"/>
            <w:hideMark/>
          </w:tcPr>
          <w:p w14:paraId="2BA58588" w14:textId="77777777" w:rsidR="008B5873" w:rsidRPr="00890401" w:rsidRDefault="008B5873" w:rsidP="00326EDB">
            <w:pPr>
              <w:jc w:val="both"/>
              <w:rPr>
                <w:rFonts w:asciiTheme="majorBidi" w:hAnsiTheme="majorBidi" w:cstheme="majorBidi"/>
                <w:b/>
                <w:bCs/>
                <w:spacing w:val="-1"/>
              </w:rPr>
            </w:pPr>
            <w:r w:rsidRPr="00890401">
              <w:rPr>
                <w:rFonts w:asciiTheme="majorBidi" w:hAnsiTheme="majorBidi" w:cstheme="majorBidi"/>
                <w:b/>
                <w:bCs/>
                <w:spacing w:val="-1"/>
              </w:rPr>
              <w:t>No. of discrepancies</w:t>
            </w:r>
          </w:p>
        </w:tc>
        <w:tc>
          <w:tcPr>
            <w:tcW w:w="2794" w:type="dxa"/>
            <w:tcBorders>
              <w:top w:val="single" w:sz="4" w:space="0" w:color="auto"/>
            </w:tcBorders>
            <w:shd w:val="clear" w:color="000000" w:fill="FFFFFF"/>
            <w:hideMark/>
          </w:tcPr>
          <w:p w14:paraId="08007552" w14:textId="77777777" w:rsidR="008B5873" w:rsidRPr="00890401" w:rsidRDefault="008B5873" w:rsidP="00326EDB">
            <w:pPr>
              <w:jc w:val="both"/>
              <w:rPr>
                <w:rFonts w:asciiTheme="majorBidi" w:hAnsiTheme="majorBidi" w:cstheme="majorBidi"/>
                <w:b/>
                <w:bCs/>
                <w:spacing w:val="-1"/>
              </w:rPr>
            </w:pPr>
            <w:r w:rsidRPr="00890401">
              <w:rPr>
                <w:rFonts w:asciiTheme="majorBidi" w:hAnsiTheme="majorBidi" w:cstheme="majorBidi"/>
                <w:b/>
                <w:bCs/>
                <w:spacing w:val="-1"/>
              </w:rPr>
              <w:t>No. of records on agreement and No. of records with discrepancies</w:t>
            </w:r>
          </w:p>
        </w:tc>
        <w:tc>
          <w:tcPr>
            <w:tcW w:w="2096" w:type="dxa"/>
            <w:tcBorders>
              <w:top w:val="single" w:sz="4" w:space="0" w:color="auto"/>
            </w:tcBorders>
            <w:shd w:val="clear" w:color="000000" w:fill="FFFFFF"/>
            <w:hideMark/>
          </w:tcPr>
          <w:p w14:paraId="14A18623" w14:textId="77777777" w:rsidR="008B5873" w:rsidRPr="00890401" w:rsidRDefault="008B5873" w:rsidP="00326EDB">
            <w:pPr>
              <w:jc w:val="both"/>
              <w:rPr>
                <w:rFonts w:asciiTheme="majorBidi" w:hAnsiTheme="majorBidi" w:cstheme="majorBidi"/>
                <w:b/>
                <w:bCs/>
                <w:spacing w:val="-1"/>
              </w:rPr>
            </w:pPr>
            <w:r w:rsidRPr="00890401">
              <w:rPr>
                <w:rFonts w:asciiTheme="majorBidi" w:hAnsiTheme="majorBidi" w:cstheme="majorBidi"/>
                <w:b/>
                <w:bCs/>
                <w:spacing w:val="-1"/>
              </w:rPr>
              <w:t>proportion of records in agreement/discrepancy</w:t>
            </w:r>
          </w:p>
        </w:tc>
      </w:tr>
      <w:tr w:rsidR="008B5873" w:rsidRPr="004043F7" w14:paraId="2B066D2E" w14:textId="77777777" w:rsidTr="00326EDB">
        <w:trPr>
          <w:trHeight w:val="236"/>
        </w:trPr>
        <w:tc>
          <w:tcPr>
            <w:tcW w:w="700" w:type="dxa"/>
            <w:vMerge w:val="restart"/>
            <w:shd w:val="clear" w:color="000000" w:fill="FFFFFF"/>
            <w:hideMark/>
          </w:tcPr>
          <w:p w14:paraId="067652CA" w14:textId="77777777" w:rsidR="008B5873" w:rsidRPr="00890401" w:rsidRDefault="008B5873" w:rsidP="00326EDB">
            <w:pPr>
              <w:spacing w:line="480" w:lineRule="auto"/>
              <w:jc w:val="both"/>
              <w:rPr>
                <w:spacing w:val="-1"/>
                <w:lang w:eastAsia="en-US"/>
              </w:rPr>
            </w:pPr>
            <w:r w:rsidRPr="00890401">
              <w:rPr>
                <w:spacing w:val="-1"/>
                <w:lang w:eastAsia="en-US"/>
              </w:rPr>
              <w:t> </w:t>
            </w:r>
          </w:p>
        </w:tc>
        <w:tc>
          <w:tcPr>
            <w:tcW w:w="3932" w:type="dxa"/>
            <w:shd w:val="clear" w:color="000000" w:fill="FFFFFF"/>
            <w:noWrap/>
            <w:hideMark/>
          </w:tcPr>
          <w:p w14:paraId="0452B839" w14:textId="77777777" w:rsidR="008B5873" w:rsidRPr="00890401" w:rsidRDefault="008B5873" w:rsidP="00326EDB">
            <w:pPr>
              <w:jc w:val="both"/>
              <w:rPr>
                <w:rFonts w:asciiTheme="majorBidi" w:hAnsiTheme="majorBidi" w:cstheme="majorBidi"/>
                <w:b/>
                <w:bCs/>
                <w:spacing w:val="-1"/>
              </w:rPr>
            </w:pPr>
            <w:r w:rsidRPr="00890401">
              <w:rPr>
                <w:rFonts w:asciiTheme="majorBidi" w:hAnsiTheme="majorBidi" w:cstheme="majorBidi"/>
                <w:b/>
                <w:bCs/>
                <w:spacing w:val="-1"/>
              </w:rPr>
              <w:t>0 - perfect agreement</w:t>
            </w:r>
          </w:p>
        </w:tc>
        <w:tc>
          <w:tcPr>
            <w:tcW w:w="2794" w:type="dxa"/>
            <w:shd w:val="clear" w:color="000000" w:fill="FFFFFF"/>
            <w:noWrap/>
            <w:hideMark/>
          </w:tcPr>
          <w:p w14:paraId="747215F5" w14:textId="77777777" w:rsidR="008B5873" w:rsidRPr="00890401" w:rsidRDefault="008B5873" w:rsidP="00326EDB">
            <w:pPr>
              <w:jc w:val="both"/>
              <w:rPr>
                <w:rFonts w:asciiTheme="majorBidi" w:hAnsiTheme="majorBidi" w:cstheme="majorBidi"/>
                <w:b/>
                <w:bCs/>
                <w:spacing w:val="-1"/>
              </w:rPr>
            </w:pPr>
            <w:r w:rsidRPr="00890401">
              <w:rPr>
                <w:rFonts w:asciiTheme="majorBidi" w:hAnsiTheme="majorBidi" w:cstheme="majorBidi"/>
                <w:b/>
                <w:bCs/>
                <w:spacing w:val="-1"/>
              </w:rPr>
              <w:t>1934</w:t>
            </w:r>
          </w:p>
        </w:tc>
        <w:tc>
          <w:tcPr>
            <w:tcW w:w="2096" w:type="dxa"/>
            <w:shd w:val="clear" w:color="000000" w:fill="FFFFFF"/>
            <w:noWrap/>
            <w:hideMark/>
          </w:tcPr>
          <w:p w14:paraId="57C13B22" w14:textId="77777777" w:rsidR="008B5873" w:rsidRPr="00890401" w:rsidRDefault="008B5873" w:rsidP="00326EDB">
            <w:pPr>
              <w:jc w:val="both"/>
              <w:rPr>
                <w:rFonts w:asciiTheme="majorBidi" w:hAnsiTheme="majorBidi" w:cstheme="majorBidi"/>
                <w:b/>
                <w:bCs/>
                <w:spacing w:val="-1"/>
              </w:rPr>
            </w:pPr>
            <w:r w:rsidRPr="00890401">
              <w:rPr>
                <w:rFonts w:asciiTheme="majorBidi" w:hAnsiTheme="majorBidi" w:cstheme="majorBidi"/>
                <w:b/>
                <w:bCs/>
                <w:spacing w:val="-1"/>
              </w:rPr>
              <w:t>82.4</w:t>
            </w:r>
          </w:p>
        </w:tc>
      </w:tr>
      <w:tr w:rsidR="008B5873" w:rsidRPr="004043F7" w14:paraId="21DBBC67" w14:textId="77777777" w:rsidTr="00326EDB">
        <w:trPr>
          <w:trHeight w:val="236"/>
        </w:trPr>
        <w:tc>
          <w:tcPr>
            <w:tcW w:w="700" w:type="dxa"/>
            <w:vMerge/>
            <w:vAlign w:val="center"/>
            <w:hideMark/>
          </w:tcPr>
          <w:p w14:paraId="309751C8"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382937DA"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20508A01" w14:textId="77777777" w:rsidR="008B5873" w:rsidRPr="00890401" w:rsidRDefault="008B5873" w:rsidP="00326EDB">
            <w:pPr>
              <w:jc w:val="both"/>
              <w:rPr>
                <w:spacing w:val="-1"/>
                <w:lang w:eastAsia="en-US"/>
              </w:rPr>
            </w:pPr>
            <w:r w:rsidRPr="00890401">
              <w:rPr>
                <w:spacing w:val="-1"/>
                <w:lang w:eastAsia="en-US"/>
              </w:rPr>
              <w:t>10</w:t>
            </w:r>
          </w:p>
        </w:tc>
        <w:tc>
          <w:tcPr>
            <w:tcW w:w="2096" w:type="dxa"/>
            <w:shd w:val="clear" w:color="000000" w:fill="FFFFFF"/>
            <w:noWrap/>
            <w:hideMark/>
          </w:tcPr>
          <w:p w14:paraId="4CCAF9BE" w14:textId="77777777" w:rsidR="008B5873" w:rsidRPr="00890401" w:rsidRDefault="008B5873" w:rsidP="00326EDB">
            <w:pPr>
              <w:jc w:val="both"/>
              <w:rPr>
                <w:spacing w:val="-1"/>
                <w:lang w:eastAsia="en-US"/>
              </w:rPr>
            </w:pPr>
            <w:r w:rsidRPr="00890401">
              <w:rPr>
                <w:spacing w:val="-1"/>
                <w:lang w:eastAsia="en-US"/>
              </w:rPr>
              <w:t>0.4</w:t>
            </w:r>
          </w:p>
        </w:tc>
      </w:tr>
      <w:tr w:rsidR="008B5873" w:rsidRPr="004043F7" w14:paraId="4CB24BEB" w14:textId="77777777" w:rsidTr="00326EDB">
        <w:trPr>
          <w:trHeight w:val="236"/>
        </w:trPr>
        <w:tc>
          <w:tcPr>
            <w:tcW w:w="700" w:type="dxa"/>
            <w:vMerge/>
            <w:vAlign w:val="center"/>
            <w:hideMark/>
          </w:tcPr>
          <w:p w14:paraId="05D76EBF"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34C0591F"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5227DBE4" w14:textId="77777777" w:rsidR="008B5873" w:rsidRPr="00890401" w:rsidRDefault="008B5873" w:rsidP="00326EDB">
            <w:pPr>
              <w:jc w:val="both"/>
              <w:rPr>
                <w:spacing w:val="-1"/>
                <w:lang w:eastAsia="en-US"/>
              </w:rPr>
            </w:pPr>
            <w:r w:rsidRPr="00890401">
              <w:rPr>
                <w:spacing w:val="-1"/>
                <w:lang w:eastAsia="en-US"/>
              </w:rPr>
              <w:t>30</w:t>
            </w:r>
          </w:p>
        </w:tc>
        <w:tc>
          <w:tcPr>
            <w:tcW w:w="2096" w:type="dxa"/>
            <w:shd w:val="clear" w:color="000000" w:fill="FFFFFF"/>
            <w:noWrap/>
            <w:hideMark/>
          </w:tcPr>
          <w:p w14:paraId="5E2BADAA" w14:textId="77777777" w:rsidR="008B5873" w:rsidRPr="00890401" w:rsidRDefault="008B5873" w:rsidP="00326EDB">
            <w:pPr>
              <w:jc w:val="both"/>
              <w:rPr>
                <w:spacing w:val="-1"/>
                <w:lang w:eastAsia="en-US"/>
              </w:rPr>
            </w:pPr>
            <w:r w:rsidRPr="00890401">
              <w:rPr>
                <w:spacing w:val="-1"/>
                <w:lang w:eastAsia="en-US"/>
              </w:rPr>
              <w:t>1.3</w:t>
            </w:r>
          </w:p>
        </w:tc>
      </w:tr>
      <w:tr w:rsidR="008B5873" w:rsidRPr="004043F7" w14:paraId="0550234F" w14:textId="77777777" w:rsidTr="00326EDB">
        <w:trPr>
          <w:trHeight w:val="236"/>
        </w:trPr>
        <w:tc>
          <w:tcPr>
            <w:tcW w:w="700" w:type="dxa"/>
            <w:vMerge/>
            <w:vAlign w:val="center"/>
            <w:hideMark/>
          </w:tcPr>
          <w:p w14:paraId="6F174531"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6AC66C4C"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5935976B" w14:textId="77777777" w:rsidR="008B5873" w:rsidRPr="00890401" w:rsidRDefault="008B5873" w:rsidP="00326EDB">
            <w:pPr>
              <w:jc w:val="both"/>
              <w:rPr>
                <w:spacing w:val="-1"/>
                <w:lang w:eastAsia="en-US"/>
              </w:rPr>
            </w:pPr>
            <w:r w:rsidRPr="00890401">
              <w:rPr>
                <w:spacing w:val="-1"/>
                <w:lang w:eastAsia="en-US"/>
              </w:rPr>
              <w:t>23</w:t>
            </w:r>
          </w:p>
        </w:tc>
        <w:tc>
          <w:tcPr>
            <w:tcW w:w="2096" w:type="dxa"/>
            <w:shd w:val="clear" w:color="000000" w:fill="FFFFFF"/>
            <w:noWrap/>
            <w:hideMark/>
          </w:tcPr>
          <w:p w14:paraId="77FECECA" w14:textId="77777777" w:rsidR="008B5873" w:rsidRPr="00890401" w:rsidRDefault="008B5873" w:rsidP="00326EDB">
            <w:pPr>
              <w:jc w:val="both"/>
              <w:rPr>
                <w:spacing w:val="-1"/>
                <w:lang w:eastAsia="en-US"/>
              </w:rPr>
            </w:pPr>
            <w:r w:rsidRPr="00890401">
              <w:rPr>
                <w:spacing w:val="-1"/>
                <w:lang w:eastAsia="en-US"/>
              </w:rPr>
              <w:t>1.0</w:t>
            </w:r>
          </w:p>
        </w:tc>
      </w:tr>
      <w:tr w:rsidR="008B5873" w:rsidRPr="004043F7" w14:paraId="7DAF14E7" w14:textId="77777777" w:rsidTr="00326EDB">
        <w:trPr>
          <w:trHeight w:val="236"/>
        </w:trPr>
        <w:tc>
          <w:tcPr>
            <w:tcW w:w="700" w:type="dxa"/>
            <w:vMerge/>
            <w:vAlign w:val="center"/>
            <w:hideMark/>
          </w:tcPr>
          <w:p w14:paraId="6E672DFE"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075C4E21"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7B2E0E58" w14:textId="77777777" w:rsidR="008B5873" w:rsidRPr="00890401" w:rsidRDefault="008B5873" w:rsidP="00326EDB">
            <w:pPr>
              <w:jc w:val="both"/>
              <w:rPr>
                <w:spacing w:val="-1"/>
                <w:lang w:eastAsia="en-US"/>
              </w:rPr>
            </w:pPr>
            <w:r w:rsidRPr="00890401">
              <w:rPr>
                <w:spacing w:val="-1"/>
                <w:lang w:eastAsia="en-US"/>
              </w:rPr>
              <w:t>50</w:t>
            </w:r>
          </w:p>
        </w:tc>
        <w:tc>
          <w:tcPr>
            <w:tcW w:w="2096" w:type="dxa"/>
            <w:shd w:val="clear" w:color="000000" w:fill="FFFFFF"/>
            <w:noWrap/>
            <w:hideMark/>
          </w:tcPr>
          <w:p w14:paraId="30E93550" w14:textId="77777777" w:rsidR="008B5873" w:rsidRPr="00890401" w:rsidRDefault="008B5873" w:rsidP="00326EDB">
            <w:pPr>
              <w:jc w:val="both"/>
              <w:rPr>
                <w:spacing w:val="-1"/>
                <w:lang w:eastAsia="en-US"/>
              </w:rPr>
            </w:pPr>
            <w:r w:rsidRPr="00890401">
              <w:rPr>
                <w:spacing w:val="-1"/>
                <w:lang w:eastAsia="en-US"/>
              </w:rPr>
              <w:t>2.1</w:t>
            </w:r>
          </w:p>
        </w:tc>
      </w:tr>
      <w:tr w:rsidR="008B5873" w:rsidRPr="004043F7" w14:paraId="6AA2E601" w14:textId="77777777" w:rsidTr="00326EDB">
        <w:trPr>
          <w:trHeight w:val="236"/>
        </w:trPr>
        <w:tc>
          <w:tcPr>
            <w:tcW w:w="700" w:type="dxa"/>
            <w:vMerge/>
            <w:vAlign w:val="center"/>
            <w:hideMark/>
          </w:tcPr>
          <w:p w14:paraId="40C1CFC3"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664C50C4"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18C362BF" w14:textId="77777777" w:rsidR="008B5873" w:rsidRPr="00890401" w:rsidRDefault="008B5873" w:rsidP="00326EDB">
            <w:pPr>
              <w:jc w:val="both"/>
              <w:rPr>
                <w:spacing w:val="-1"/>
                <w:lang w:eastAsia="en-US"/>
              </w:rPr>
            </w:pPr>
            <w:r w:rsidRPr="00890401">
              <w:rPr>
                <w:spacing w:val="-1"/>
                <w:lang w:eastAsia="en-US"/>
              </w:rPr>
              <w:t>48</w:t>
            </w:r>
          </w:p>
        </w:tc>
        <w:tc>
          <w:tcPr>
            <w:tcW w:w="2096" w:type="dxa"/>
            <w:shd w:val="clear" w:color="000000" w:fill="FFFFFF"/>
            <w:noWrap/>
            <w:hideMark/>
          </w:tcPr>
          <w:p w14:paraId="1AAFF050" w14:textId="77777777" w:rsidR="008B5873" w:rsidRPr="00890401" w:rsidRDefault="008B5873" w:rsidP="00326EDB">
            <w:pPr>
              <w:jc w:val="both"/>
              <w:rPr>
                <w:spacing w:val="-1"/>
                <w:lang w:eastAsia="en-US"/>
              </w:rPr>
            </w:pPr>
            <w:r w:rsidRPr="00890401">
              <w:rPr>
                <w:spacing w:val="-1"/>
                <w:lang w:eastAsia="en-US"/>
              </w:rPr>
              <w:t>2.0</w:t>
            </w:r>
          </w:p>
        </w:tc>
      </w:tr>
      <w:tr w:rsidR="008B5873" w:rsidRPr="004043F7" w14:paraId="000320CF" w14:textId="77777777" w:rsidTr="00326EDB">
        <w:trPr>
          <w:trHeight w:val="236"/>
        </w:trPr>
        <w:tc>
          <w:tcPr>
            <w:tcW w:w="700" w:type="dxa"/>
            <w:vMerge/>
            <w:vAlign w:val="center"/>
            <w:hideMark/>
          </w:tcPr>
          <w:p w14:paraId="065EB65E"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7A86ED3E"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25484D19" w14:textId="77777777" w:rsidR="008B5873" w:rsidRPr="00890401" w:rsidRDefault="008B5873" w:rsidP="00326EDB">
            <w:pPr>
              <w:jc w:val="both"/>
              <w:rPr>
                <w:spacing w:val="-1"/>
                <w:lang w:eastAsia="en-US"/>
              </w:rPr>
            </w:pPr>
            <w:r w:rsidRPr="00890401">
              <w:rPr>
                <w:spacing w:val="-1"/>
                <w:lang w:eastAsia="en-US"/>
              </w:rPr>
              <w:t>58</w:t>
            </w:r>
          </w:p>
        </w:tc>
        <w:tc>
          <w:tcPr>
            <w:tcW w:w="2096" w:type="dxa"/>
            <w:shd w:val="clear" w:color="000000" w:fill="FFFFFF"/>
            <w:noWrap/>
            <w:hideMark/>
          </w:tcPr>
          <w:p w14:paraId="61C28F5F" w14:textId="77777777" w:rsidR="008B5873" w:rsidRPr="00890401" w:rsidRDefault="008B5873" w:rsidP="00326EDB">
            <w:pPr>
              <w:jc w:val="both"/>
              <w:rPr>
                <w:spacing w:val="-1"/>
                <w:lang w:eastAsia="en-US"/>
              </w:rPr>
            </w:pPr>
            <w:r w:rsidRPr="00890401">
              <w:rPr>
                <w:spacing w:val="-1"/>
                <w:lang w:eastAsia="en-US"/>
              </w:rPr>
              <w:t>2.5</w:t>
            </w:r>
          </w:p>
        </w:tc>
      </w:tr>
      <w:tr w:rsidR="008B5873" w:rsidRPr="004043F7" w14:paraId="4EFCD3DE" w14:textId="77777777" w:rsidTr="00326EDB">
        <w:trPr>
          <w:trHeight w:val="236"/>
        </w:trPr>
        <w:tc>
          <w:tcPr>
            <w:tcW w:w="700" w:type="dxa"/>
            <w:vMerge/>
            <w:vAlign w:val="center"/>
            <w:hideMark/>
          </w:tcPr>
          <w:p w14:paraId="130E4AE4"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265BCE52"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2B06D7A6" w14:textId="77777777" w:rsidR="008B5873" w:rsidRPr="00890401" w:rsidRDefault="008B5873" w:rsidP="00326EDB">
            <w:pPr>
              <w:jc w:val="both"/>
              <w:rPr>
                <w:spacing w:val="-1"/>
                <w:lang w:eastAsia="en-US"/>
              </w:rPr>
            </w:pPr>
            <w:r w:rsidRPr="00890401">
              <w:rPr>
                <w:spacing w:val="-1"/>
                <w:lang w:eastAsia="en-US"/>
              </w:rPr>
              <w:t>56</w:t>
            </w:r>
          </w:p>
        </w:tc>
        <w:tc>
          <w:tcPr>
            <w:tcW w:w="2096" w:type="dxa"/>
            <w:shd w:val="clear" w:color="000000" w:fill="FFFFFF"/>
            <w:noWrap/>
            <w:hideMark/>
          </w:tcPr>
          <w:p w14:paraId="408BD1CF" w14:textId="77777777" w:rsidR="008B5873" w:rsidRPr="00890401" w:rsidRDefault="008B5873" w:rsidP="00326EDB">
            <w:pPr>
              <w:jc w:val="both"/>
              <w:rPr>
                <w:spacing w:val="-1"/>
                <w:lang w:eastAsia="en-US"/>
              </w:rPr>
            </w:pPr>
            <w:r w:rsidRPr="00890401">
              <w:rPr>
                <w:spacing w:val="-1"/>
                <w:lang w:eastAsia="en-US"/>
              </w:rPr>
              <w:t>2.4</w:t>
            </w:r>
          </w:p>
        </w:tc>
      </w:tr>
      <w:tr w:rsidR="008B5873" w:rsidRPr="004043F7" w14:paraId="667BD60A" w14:textId="77777777" w:rsidTr="00326EDB">
        <w:trPr>
          <w:trHeight w:val="236"/>
        </w:trPr>
        <w:tc>
          <w:tcPr>
            <w:tcW w:w="700" w:type="dxa"/>
            <w:vMerge/>
            <w:vAlign w:val="center"/>
            <w:hideMark/>
          </w:tcPr>
          <w:p w14:paraId="5458CFC0"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6E26EC5D"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6646900A" w14:textId="77777777" w:rsidR="008B5873" w:rsidRPr="00890401" w:rsidRDefault="008B5873" w:rsidP="00326EDB">
            <w:pPr>
              <w:jc w:val="both"/>
              <w:rPr>
                <w:spacing w:val="-1"/>
                <w:lang w:eastAsia="en-US"/>
              </w:rPr>
            </w:pPr>
            <w:r w:rsidRPr="00890401">
              <w:rPr>
                <w:spacing w:val="-1"/>
                <w:lang w:eastAsia="en-US"/>
              </w:rPr>
              <w:t>44</w:t>
            </w:r>
          </w:p>
        </w:tc>
        <w:tc>
          <w:tcPr>
            <w:tcW w:w="2096" w:type="dxa"/>
            <w:shd w:val="clear" w:color="000000" w:fill="FFFFFF"/>
            <w:noWrap/>
            <w:hideMark/>
          </w:tcPr>
          <w:p w14:paraId="3C10AAF9" w14:textId="77777777" w:rsidR="008B5873" w:rsidRPr="00890401" w:rsidRDefault="008B5873" w:rsidP="00326EDB">
            <w:pPr>
              <w:jc w:val="both"/>
              <w:rPr>
                <w:spacing w:val="-1"/>
                <w:lang w:eastAsia="en-US"/>
              </w:rPr>
            </w:pPr>
            <w:r w:rsidRPr="00890401">
              <w:rPr>
                <w:spacing w:val="-1"/>
                <w:lang w:eastAsia="en-US"/>
              </w:rPr>
              <w:t>1.9</w:t>
            </w:r>
          </w:p>
        </w:tc>
      </w:tr>
      <w:tr w:rsidR="008B5873" w:rsidRPr="004043F7" w14:paraId="28A1E827" w14:textId="77777777" w:rsidTr="00326EDB">
        <w:trPr>
          <w:trHeight w:val="236"/>
        </w:trPr>
        <w:tc>
          <w:tcPr>
            <w:tcW w:w="700" w:type="dxa"/>
            <w:vMerge/>
            <w:vAlign w:val="center"/>
            <w:hideMark/>
          </w:tcPr>
          <w:p w14:paraId="37CF37B1"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23985705"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264F2CDD" w14:textId="77777777" w:rsidR="008B5873" w:rsidRPr="00890401" w:rsidRDefault="008B5873" w:rsidP="00326EDB">
            <w:pPr>
              <w:jc w:val="both"/>
              <w:rPr>
                <w:spacing w:val="-1"/>
                <w:lang w:eastAsia="en-US"/>
              </w:rPr>
            </w:pPr>
            <w:r w:rsidRPr="00890401">
              <w:rPr>
                <w:spacing w:val="-1"/>
                <w:lang w:eastAsia="en-US"/>
              </w:rPr>
              <w:t>32</w:t>
            </w:r>
          </w:p>
        </w:tc>
        <w:tc>
          <w:tcPr>
            <w:tcW w:w="2096" w:type="dxa"/>
            <w:shd w:val="clear" w:color="000000" w:fill="FFFFFF"/>
            <w:noWrap/>
            <w:hideMark/>
          </w:tcPr>
          <w:p w14:paraId="4678F027" w14:textId="77777777" w:rsidR="008B5873" w:rsidRPr="00890401" w:rsidRDefault="008B5873" w:rsidP="00326EDB">
            <w:pPr>
              <w:jc w:val="both"/>
              <w:rPr>
                <w:spacing w:val="-1"/>
                <w:lang w:eastAsia="en-US"/>
              </w:rPr>
            </w:pPr>
            <w:r w:rsidRPr="00890401">
              <w:rPr>
                <w:spacing w:val="-1"/>
                <w:lang w:eastAsia="en-US"/>
              </w:rPr>
              <w:t>1.4</w:t>
            </w:r>
          </w:p>
        </w:tc>
      </w:tr>
      <w:tr w:rsidR="008B5873" w:rsidRPr="004043F7" w14:paraId="2D511730" w14:textId="77777777" w:rsidTr="00326EDB">
        <w:trPr>
          <w:trHeight w:val="236"/>
        </w:trPr>
        <w:tc>
          <w:tcPr>
            <w:tcW w:w="700" w:type="dxa"/>
            <w:vMerge/>
            <w:vAlign w:val="center"/>
            <w:hideMark/>
          </w:tcPr>
          <w:p w14:paraId="6653EDCB"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3CD6657B"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07FFE645" w14:textId="77777777" w:rsidR="008B5873" w:rsidRPr="00890401" w:rsidRDefault="008B5873" w:rsidP="00326EDB">
            <w:pPr>
              <w:jc w:val="both"/>
              <w:rPr>
                <w:spacing w:val="-1"/>
                <w:lang w:eastAsia="en-US"/>
              </w:rPr>
            </w:pPr>
            <w:r w:rsidRPr="00890401">
              <w:rPr>
                <w:spacing w:val="-1"/>
                <w:lang w:eastAsia="en-US"/>
              </w:rPr>
              <w:t>15</w:t>
            </w:r>
          </w:p>
        </w:tc>
        <w:tc>
          <w:tcPr>
            <w:tcW w:w="2096" w:type="dxa"/>
            <w:shd w:val="clear" w:color="000000" w:fill="FFFFFF"/>
            <w:noWrap/>
            <w:hideMark/>
          </w:tcPr>
          <w:p w14:paraId="7F319C96" w14:textId="77777777" w:rsidR="008B5873" w:rsidRPr="00890401" w:rsidRDefault="008B5873" w:rsidP="00326EDB">
            <w:pPr>
              <w:jc w:val="both"/>
              <w:rPr>
                <w:spacing w:val="-1"/>
                <w:lang w:eastAsia="en-US"/>
              </w:rPr>
            </w:pPr>
            <w:r w:rsidRPr="00890401">
              <w:rPr>
                <w:spacing w:val="-1"/>
                <w:lang w:eastAsia="en-US"/>
              </w:rPr>
              <w:t>0.6</w:t>
            </w:r>
          </w:p>
        </w:tc>
      </w:tr>
      <w:tr w:rsidR="008B5873" w:rsidRPr="004043F7" w14:paraId="5E337D29" w14:textId="77777777" w:rsidTr="00326EDB">
        <w:trPr>
          <w:trHeight w:val="236"/>
        </w:trPr>
        <w:tc>
          <w:tcPr>
            <w:tcW w:w="700" w:type="dxa"/>
            <w:vMerge/>
            <w:vAlign w:val="center"/>
            <w:hideMark/>
          </w:tcPr>
          <w:p w14:paraId="1AF3471C"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01FBB945"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30FF331B" w14:textId="77777777" w:rsidR="008B5873" w:rsidRPr="00890401" w:rsidRDefault="008B5873" w:rsidP="00326EDB">
            <w:pPr>
              <w:jc w:val="both"/>
              <w:rPr>
                <w:spacing w:val="-1"/>
                <w:lang w:eastAsia="en-US"/>
              </w:rPr>
            </w:pPr>
            <w:r w:rsidRPr="00890401">
              <w:rPr>
                <w:spacing w:val="-1"/>
                <w:lang w:eastAsia="en-US"/>
              </w:rPr>
              <w:t>17</w:t>
            </w:r>
          </w:p>
        </w:tc>
        <w:tc>
          <w:tcPr>
            <w:tcW w:w="2096" w:type="dxa"/>
            <w:shd w:val="clear" w:color="000000" w:fill="FFFFFF"/>
            <w:noWrap/>
            <w:hideMark/>
          </w:tcPr>
          <w:p w14:paraId="49585EA3" w14:textId="77777777" w:rsidR="008B5873" w:rsidRPr="00890401" w:rsidRDefault="008B5873" w:rsidP="00326EDB">
            <w:pPr>
              <w:jc w:val="both"/>
              <w:rPr>
                <w:spacing w:val="-1"/>
                <w:lang w:eastAsia="en-US"/>
              </w:rPr>
            </w:pPr>
            <w:r w:rsidRPr="00890401">
              <w:rPr>
                <w:spacing w:val="-1"/>
                <w:lang w:eastAsia="en-US"/>
              </w:rPr>
              <w:t>0.7</w:t>
            </w:r>
          </w:p>
        </w:tc>
      </w:tr>
      <w:tr w:rsidR="008B5873" w:rsidRPr="004043F7" w14:paraId="527463D9" w14:textId="77777777" w:rsidTr="00326EDB">
        <w:trPr>
          <w:trHeight w:val="236"/>
        </w:trPr>
        <w:tc>
          <w:tcPr>
            <w:tcW w:w="700" w:type="dxa"/>
            <w:vMerge/>
            <w:vAlign w:val="center"/>
            <w:hideMark/>
          </w:tcPr>
          <w:p w14:paraId="785587F3"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044D715D"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2A02A878" w14:textId="77777777" w:rsidR="008B5873" w:rsidRPr="00890401" w:rsidRDefault="008B5873" w:rsidP="00326EDB">
            <w:pPr>
              <w:jc w:val="both"/>
              <w:rPr>
                <w:spacing w:val="-1"/>
                <w:lang w:eastAsia="en-US"/>
              </w:rPr>
            </w:pPr>
            <w:r w:rsidRPr="00890401">
              <w:rPr>
                <w:spacing w:val="-1"/>
                <w:lang w:eastAsia="en-US"/>
              </w:rPr>
              <w:t>7</w:t>
            </w:r>
          </w:p>
        </w:tc>
        <w:tc>
          <w:tcPr>
            <w:tcW w:w="2096" w:type="dxa"/>
            <w:shd w:val="clear" w:color="000000" w:fill="FFFFFF"/>
            <w:noWrap/>
            <w:hideMark/>
          </w:tcPr>
          <w:p w14:paraId="4305D976" w14:textId="77777777" w:rsidR="008B5873" w:rsidRPr="00890401" w:rsidRDefault="008B5873" w:rsidP="00326EDB">
            <w:pPr>
              <w:jc w:val="both"/>
              <w:rPr>
                <w:spacing w:val="-1"/>
                <w:lang w:eastAsia="en-US"/>
              </w:rPr>
            </w:pPr>
            <w:r w:rsidRPr="00890401">
              <w:rPr>
                <w:spacing w:val="-1"/>
                <w:lang w:eastAsia="en-US"/>
              </w:rPr>
              <w:t>0.3</w:t>
            </w:r>
          </w:p>
        </w:tc>
      </w:tr>
      <w:tr w:rsidR="008B5873" w:rsidRPr="004043F7" w14:paraId="7EAF0FE5" w14:textId="77777777" w:rsidTr="00326EDB">
        <w:trPr>
          <w:trHeight w:val="236"/>
        </w:trPr>
        <w:tc>
          <w:tcPr>
            <w:tcW w:w="700" w:type="dxa"/>
            <w:vMerge/>
            <w:vAlign w:val="center"/>
            <w:hideMark/>
          </w:tcPr>
          <w:p w14:paraId="56276FD2"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41F9AC06"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224928C4" w14:textId="77777777" w:rsidR="008B5873" w:rsidRPr="00890401" w:rsidRDefault="008B5873" w:rsidP="00326EDB">
            <w:pPr>
              <w:jc w:val="both"/>
              <w:rPr>
                <w:spacing w:val="-1"/>
                <w:lang w:eastAsia="en-US"/>
              </w:rPr>
            </w:pPr>
            <w:r w:rsidRPr="00890401">
              <w:rPr>
                <w:spacing w:val="-1"/>
                <w:lang w:eastAsia="en-US"/>
              </w:rPr>
              <w:t>9</w:t>
            </w:r>
          </w:p>
        </w:tc>
        <w:tc>
          <w:tcPr>
            <w:tcW w:w="2096" w:type="dxa"/>
            <w:shd w:val="clear" w:color="000000" w:fill="FFFFFF"/>
            <w:noWrap/>
            <w:hideMark/>
          </w:tcPr>
          <w:p w14:paraId="6BAD9EB9" w14:textId="77777777" w:rsidR="008B5873" w:rsidRPr="00890401" w:rsidRDefault="008B5873" w:rsidP="00326EDB">
            <w:pPr>
              <w:jc w:val="both"/>
              <w:rPr>
                <w:spacing w:val="-1"/>
                <w:lang w:eastAsia="en-US"/>
              </w:rPr>
            </w:pPr>
            <w:r w:rsidRPr="00890401">
              <w:rPr>
                <w:spacing w:val="-1"/>
                <w:lang w:eastAsia="en-US"/>
              </w:rPr>
              <w:t>0.4</w:t>
            </w:r>
          </w:p>
        </w:tc>
      </w:tr>
      <w:tr w:rsidR="008B5873" w:rsidRPr="004043F7" w14:paraId="3B875BC8" w14:textId="77777777" w:rsidTr="00326EDB">
        <w:trPr>
          <w:trHeight w:val="236"/>
        </w:trPr>
        <w:tc>
          <w:tcPr>
            <w:tcW w:w="700" w:type="dxa"/>
            <w:vMerge/>
            <w:vAlign w:val="center"/>
            <w:hideMark/>
          </w:tcPr>
          <w:p w14:paraId="1D01CB97"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68EC1C05"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44FBE68D" w14:textId="77777777" w:rsidR="008B5873" w:rsidRPr="00890401" w:rsidRDefault="008B5873" w:rsidP="00326EDB">
            <w:pPr>
              <w:jc w:val="both"/>
              <w:rPr>
                <w:spacing w:val="-1"/>
                <w:lang w:eastAsia="en-US"/>
              </w:rPr>
            </w:pPr>
            <w:r w:rsidRPr="00890401">
              <w:rPr>
                <w:spacing w:val="-1"/>
                <w:lang w:eastAsia="en-US"/>
              </w:rPr>
              <w:t>4</w:t>
            </w:r>
          </w:p>
        </w:tc>
        <w:tc>
          <w:tcPr>
            <w:tcW w:w="2096" w:type="dxa"/>
            <w:shd w:val="clear" w:color="000000" w:fill="FFFFFF"/>
            <w:noWrap/>
            <w:hideMark/>
          </w:tcPr>
          <w:p w14:paraId="0EC876EF" w14:textId="77777777" w:rsidR="008B5873" w:rsidRPr="00890401" w:rsidRDefault="008B5873" w:rsidP="00326EDB">
            <w:pPr>
              <w:jc w:val="both"/>
              <w:rPr>
                <w:spacing w:val="-1"/>
                <w:lang w:eastAsia="en-US"/>
              </w:rPr>
            </w:pPr>
            <w:r w:rsidRPr="00890401">
              <w:rPr>
                <w:spacing w:val="-1"/>
                <w:lang w:eastAsia="en-US"/>
              </w:rPr>
              <w:t>0.2</w:t>
            </w:r>
          </w:p>
        </w:tc>
      </w:tr>
      <w:tr w:rsidR="008B5873" w:rsidRPr="004043F7" w14:paraId="2877C56E" w14:textId="77777777" w:rsidTr="00326EDB">
        <w:trPr>
          <w:trHeight w:val="236"/>
        </w:trPr>
        <w:tc>
          <w:tcPr>
            <w:tcW w:w="700" w:type="dxa"/>
            <w:vMerge/>
            <w:vAlign w:val="center"/>
            <w:hideMark/>
          </w:tcPr>
          <w:p w14:paraId="52D8E0E5"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653897D7"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47260D77" w14:textId="77777777" w:rsidR="008B5873" w:rsidRPr="00890401" w:rsidRDefault="008B5873" w:rsidP="00326EDB">
            <w:pPr>
              <w:jc w:val="both"/>
              <w:rPr>
                <w:spacing w:val="-1"/>
                <w:lang w:eastAsia="en-US"/>
              </w:rPr>
            </w:pPr>
            <w:r w:rsidRPr="00890401">
              <w:rPr>
                <w:spacing w:val="-1"/>
                <w:lang w:eastAsia="en-US"/>
              </w:rPr>
              <w:t>5</w:t>
            </w:r>
          </w:p>
        </w:tc>
        <w:tc>
          <w:tcPr>
            <w:tcW w:w="2096" w:type="dxa"/>
            <w:shd w:val="clear" w:color="000000" w:fill="FFFFFF"/>
            <w:noWrap/>
            <w:hideMark/>
          </w:tcPr>
          <w:p w14:paraId="19DF5976" w14:textId="77777777" w:rsidR="008B5873" w:rsidRPr="00890401" w:rsidRDefault="008B5873" w:rsidP="00326EDB">
            <w:pPr>
              <w:jc w:val="both"/>
              <w:rPr>
                <w:spacing w:val="-1"/>
                <w:lang w:eastAsia="en-US"/>
              </w:rPr>
            </w:pPr>
            <w:r w:rsidRPr="00890401">
              <w:rPr>
                <w:spacing w:val="-1"/>
                <w:lang w:eastAsia="en-US"/>
              </w:rPr>
              <w:t>0.2</w:t>
            </w:r>
          </w:p>
        </w:tc>
      </w:tr>
      <w:tr w:rsidR="008B5873" w:rsidRPr="004043F7" w14:paraId="5FBE73E2" w14:textId="77777777" w:rsidTr="00326EDB">
        <w:trPr>
          <w:trHeight w:val="236"/>
        </w:trPr>
        <w:tc>
          <w:tcPr>
            <w:tcW w:w="700" w:type="dxa"/>
            <w:vMerge/>
            <w:vAlign w:val="center"/>
            <w:hideMark/>
          </w:tcPr>
          <w:p w14:paraId="15DDE455"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7C8D3C69"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51537670" w14:textId="77777777" w:rsidR="008B5873" w:rsidRPr="00890401" w:rsidRDefault="008B5873" w:rsidP="00326EDB">
            <w:pPr>
              <w:jc w:val="both"/>
              <w:rPr>
                <w:spacing w:val="-1"/>
                <w:lang w:eastAsia="en-US"/>
              </w:rPr>
            </w:pPr>
            <w:r w:rsidRPr="00890401">
              <w:rPr>
                <w:spacing w:val="-1"/>
                <w:lang w:eastAsia="en-US"/>
              </w:rPr>
              <w:t>2</w:t>
            </w:r>
          </w:p>
        </w:tc>
        <w:tc>
          <w:tcPr>
            <w:tcW w:w="2096" w:type="dxa"/>
            <w:shd w:val="clear" w:color="000000" w:fill="FFFFFF"/>
            <w:noWrap/>
            <w:hideMark/>
          </w:tcPr>
          <w:p w14:paraId="09F38EEB" w14:textId="77777777" w:rsidR="008B5873" w:rsidRPr="00890401" w:rsidRDefault="008B5873" w:rsidP="00326EDB">
            <w:pPr>
              <w:jc w:val="both"/>
              <w:rPr>
                <w:spacing w:val="-1"/>
                <w:lang w:eastAsia="en-US"/>
              </w:rPr>
            </w:pPr>
            <w:r w:rsidRPr="00890401">
              <w:rPr>
                <w:spacing w:val="-1"/>
                <w:lang w:eastAsia="en-US"/>
              </w:rPr>
              <w:t>0.1</w:t>
            </w:r>
          </w:p>
        </w:tc>
      </w:tr>
      <w:tr w:rsidR="008B5873" w:rsidRPr="004043F7" w14:paraId="26BB6E97" w14:textId="77777777" w:rsidTr="00326EDB">
        <w:trPr>
          <w:trHeight w:val="236"/>
        </w:trPr>
        <w:tc>
          <w:tcPr>
            <w:tcW w:w="700" w:type="dxa"/>
            <w:vMerge/>
            <w:vAlign w:val="center"/>
            <w:hideMark/>
          </w:tcPr>
          <w:p w14:paraId="28708CE1"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00D95D2C"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2DD814C3" w14:textId="77777777" w:rsidR="008B5873" w:rsidRPr="00890401" w:rsidRDefault="008B5873" w:rsidP="00326EDB">
            <w:pPr>
              <w:jc w:val="both"/>
              <w:rPr>
                <w:spacing w:val="-1"/>
                <w:lang w:eastAsia="en-US"/>
              </w:rPr>
            </w:pPr>
            <w:r w:rsidRPr="00890401">
              <w:rPr>
                <w:spacing w:val="-1"/>
                <w:lang w:eastAsia="en-US"/>
              </w:rPr>
              <w:t>1</w:t>
            </w:r>
          </w:p>
        </w:tc>
        <w:tc>
          <w:tcPr>
            <w:tcW w:w="2096" w:type="dxa"/>
            <w:shd w:val="clear" w:color="000000" w:fill="FFFFFF"/>
            <w:noWrap/>
            <w:hideMark/>
          </w:tcPr>
          <w:p w14:paraId="55A14406" w14:textId="77777777" w:rsidR="008B5873" w:rsidRPr="00890401" w:rsidRDefault="008B5873" w:rsidP="00326EDB">
            <w:pPr>
              <w:jc w:val="both"/>
              <w:rPr>
                <w:spacing w:val="-1"/>
                <w:lang w:eastAsia="en-US"/>
              </w:rPr>
            </w:pPr>
            <w:r w:rsidRPr="00890401">
              <w:rPr>
                <w:spacing w:val="-1"/>
                <w:lang w:eastAsia="en-US"/>
              </w:rPr>
              <w:t>0.0</w:t>
            </w:r>
          </w:p>
        </w:tc>
      </w:tr>
      <w:tr w:rsidR="008B5873" w:rsidRPr="004043F7" w14:paraId="7320ECA4" w14:textId="77777777" w:rsidTr="00326EDB">
        <w:trPr>
          <w:trHeight w:val="236"/>
        </w:trPr>
        <w:tc>
          <w:tcPr>
            <w:tcW w:w="700" w:type="dxa"/>
            <w:vMerge/>
            <w:vAlign w:val="center"/>
            <w:hideMark/>
          </w:tcPr>
          <w:p w14:paraId="7F8E4EE6" w14:textId="77777777" w:rsidR="008B5873" w:rsidRPr="00890401" w:rsidRDefault="008B5873" w:rsidP="00326EDB">
            <w:pPr>
              <w:spacing w:line="480" w:lineRule="auto"/>
              <w:jc w:val="both"/>
              <w:rPr>
                <w:spacing w:val="-1"/>
                <w:lang w:eastAsia="en-US"/>
              </w:rPr>
            </w:pPr>
          </w:p>
        </w:tc>
        <w:tc>
          <w:tcPr>
            <w:tcW w:w="3932" w:type="dxa"/>
            <w:shd w:val="clear" w:color="000000" w:fill="FFFFFF"/>
            <w:noWrap/>
            <w:hideMark/>
          </w:tcPr>
          <w:p w14:paraId="1175C8AA" w14:textId="77777777" w:rsidR="008B5873" w:rsidRPr="00890401" w:rsidRDefault="008B5873" w:rsidP="008B5873">
            <w:pPr>
              <w:pStyle w:val="ListParagraph"/>
              <w:numPr>
                <w:ilvl w:val="0"/>
                <w:numId w:val="12"/>
              </w:numPr>
              <w:jc w:val="both"/>
              <w:rPr>
                <w:rFonts w:eastAsia="SimSun"/>
                <w:spacing w:val="-1"/>
                <w:sz w:val="20"/>
                <w:szCs w:val="20"/>
                <w:lang w:val="en-US" w:eastAsia="en-US"/>
              </w:rPr>
            </w:pPr>
          </w:p>
        </w:tc>
        <w:tc>
          <w:tcPr>
            <w:tcW w:w="2794" w:type="dxa"/>
            <w:shd w:val="clear" w:color="000000" w:fill="FFFFFF"/>
            <w:noWrap/>
            <w:hideMark/>
          </w:tcPr>
          <w:p w14:paraId="6E9FE604" w14:textId="77777777" w:rsidR="008B5873" w:rsidRPr="00890401" w:rsidRDefault="008B5873" w:rsidP="00326EDB">
            <w:pPr>
              <w:jc w:val="both"/>
              <w:rPr>
                <w:spacing w:val="-1"/>
                <w:lang w:eastAsia="en-US"/>
              </w:rPr>
            </w:pPr>
            <w:r w:rsidRPr="00890401">
              <w:rPr>
                <w:spacing w:val="-1"/>
                <w:lang w:eastAsia="en-US"/>
              </w:rPr>
              <w:t>1</w:t>
            </w:r>
          </w:p>
        </w:tc>
        <w:tc>
          <w:tcPr>
            <w:tcW w:w="2096" w:type="dxa"/>
            <w:shd w:val="clear" w:color="000000" w:fill="FFFFFF"/>
            <w:noWrap/>
            <w:hideMark/>
          </w:tcPr>
          <w:p w14:paraId="07481381" w14:textId="77777777" w:rsidR="008B5873" w:rsidRPr="00890401" w:rsidRDefault="008B5873" w:rsidP="00326EDB">
            <w:pPr>
              <w:jc w:val="both"/>
              <w:rPr>
                <w:spacing w:val="-1"/>
                <w:lang w:eastAsia="en-US"/>
              </w:rPr>
            </w:pPr>
            <w:r w:rsidRPr="00890401">
              <w:rPr>
                <w:spacing w:val="-1"/>
                <w:lang w:eastAsia="en-US"/>
              </w:rPr>
              <w:t>0.0</w:t>
            </w:r>
          </w:p>
        </w:tc>
      </w:tr>
      <w:tr w:rsidR="008B5873" w:rsidRPr="004043F7" w14:paraId="3EF6A452" w14:textId="77777777" w:rsidTr="00326EDB">
        <w:trPr>
          <w:trHeight w:val="246"/>
        </w:trPr>
        <w:tc>
          <w:tcPr>
            <w:tcW w:w="700" w:type="dxa"/>
            <w:vMerge/>
            <w:vAlign w:val="center"/>
            <w:hideMark/>
          </w:tcPr>
          <w:p w14:paraId="512332EF" w14:textId="77777777" w:rsidR="008B5873" w:rsidRPr="00890401" w:rsidRDefault="008B5873" w:rsidP="00326EDB">
            <w:pPr>
              <w:spacing w:line="480" w:lineRule="auto"/>
              <w:jc w:val="both"/>
              <w:rPr>
                <w:spacing w:val="-1"/>
                <w:lang w:eastAsia="en-US"/>
              </w:rPr>
            </w:pPr>
          </w:p>
        </w:tc>
        <w:tc>
          <w:tcPr>
            <w:tcW w:w="3932" w:type="dxa"/>
            <w:shd w:val="clear" w:color="000000" w:fill="FFFFFF"/>
            <w:hideMark/>
          </w:tcPr>
          <w:p w14:paraId="4E65CF45" w14:textId="77777777" w:rsidR="008B5873" w:rsidRPr="00890401" w:rsidRDefault="008B5873" w:rsidP="00326EDB">
            <w:pPr>
              <w:jc w:val="both"/>
              <w:rPr>
                <w:spacing w:val="-1"/>
                <w:lang w:eastAsia="en-US"/>
              </w:rPr>
            </w:pPr>
            <w:r w:rsidRPr="00890401">
              <w:rPr>
                <w:spacing w:val="-1"/>
                <w:lang w:eastAsia="en-US"/>
              </w:rPr>
              <w:t>Total</w:t>
            </w:r>
          </w:p>
        </w:tc>
        <w:tc>
          <w:tcPr>
            <w:tcW w:w="2794" w:type="dxa"/>
            <w:shd w:val="clear" w:color="000000" w:fill="FFFFFF"/>
            <w:noWrap/>
            <w:hideMark/>
          </w:tcPr>
          <w:p w14:paraId="32CD58BE" w14:textId="77777777" w:rsidR="008B5873" w:rsidRPr="00890401" w:rsidRDefault="008B5873" w:rsidP="00326EDB">
            <w:pPr>
              <w:jc w:val="both"/>
              <w:rPr>
                <w:spacing w:val="-1"/>
                <w:lang w:eastAsia="en-US"/>
              </w:rPr>
            </w:pPr>
            <w:r w:rsidRPr="00890401">
              <w:rPr>
                <w:spacing w:val="-1"/>
                <w:lang w:eastAsia="en-US"/>
              </w:rPr>
              <w:t>2346</w:t>
            </w:r>
          </w:p>
        </w:tc>
        <w:tc>
          <w:tcPr>
            <w:tcW w:w="2096" w:type="dxa"/>
            <w:shd w:val="clear" w:color="000000" w:fill="FFFFFF"/>
            <w:noWrap/>
            <w:hideMark/>
          </w:tcPr>
          <w:p w14:paraId="0AD2403A" w14:textId="77777777" w:rsidR="008B5873" w:rsidRPr="00890401" w:rsidRDefault="008B5873" w:rsidP="00326EDB">
            <w:pPr>
              <w:jc w:val="both"/>
              <w:rPr>
                <w:spacing w:val="-1"/>
                <w:lang w:eastAsia="en-US"/>
              </w:rPr>
            </w:pPr>
            <w:r w:rsidRPr="00890401">
              <w:rPr>
                <w:spacing w:val="-1"/>
                <w:lang w:eastAsia="en-US"/>
              </w:rPr>
              <w:t>100.0</w:t>
            </w:r>
          </w:p>
        </w:tc>
      </w:tr>
    </w:tbl>
    <w:p w14:paraId="170AC0EC" w14:textId="77777777" w:rsidR="008B5873" w:rsidRDefault="008B5873" w:rsidP="008B5873">
      <w:pPr>
        <w:pStyle w:val="BodyText"/>
        <w:jc w:val="left"/>
        <w:rPr>
          <w:lang w:eastAsia="en-US"/>
        </w:rPr>
      </w:pPr>
    </w:p>
    <w:p w14:paraId="3D534D02" w14:textId="77777777" w:rsidR="004F6F20" w:rsidRDefault="008B5873" w:rsidP="004C7824">
      <w:pPr>
        <w:pStyle w:val="BodyText"/>
        <w:rPr>
          <w:spacing w:val="0"/>
        </w:rPr>
      </w:pPr>
      <w:r w:rsidRPr="00385BC4">
        <w:rPr>
          <w:spacing w:val="0"/>
        </w:rPr>
        <w:t xml:space="preserve">   </w:t>
      </w:r>
    </w:p>
    <w:p w14:paraId="53189974" w14:textId="475FB298" w:rsidR="008B5873" w:rsidRPr="004C7824" w:rsidRDefault="008B5873" w:rsidP="004F6F20">
      <w:pPr>
        <w:pStyle w:val="BodyText"/>
        <w:ind w:firstLine="0"/>
        <w:rPr>
          <w:spacing w:val="0"/>
        </w:rPr>
      </w:pPr>
      <w:r w:rsidRPr="00385BC4">
        <w:rPr>
          <w:spacing w:val="0"/>
        </w:rPr>
        <w:t xml:space="preserve">  Inclusion, these results suggest that there is minimal discrepancy between nurses when selecting interventions for both mobile and immobile protocols, concluding that there is a perfect and significant rate of agreement among nurses for each protocol intervention.</w:t>
      </w:r>
    </w:p>
    <w:p w14:paraId="71C3DA1E" w14:textId="77777777" w:rsidR="008B5873" w:rsidRDefault="008B5873" w:rsidP="008B5873">
      <w:pPr>
        <w:pStyle w:val="BodyText"/>
      </w:pPr>
    </w:p>
    <w:p w14:paraId="0193AF15" w14:textId="77777777" w:rsidR="008B5873" w:rsidRPr="00923823" w:rsidRDefault="008B5873" w:rsidP="008B5873">
      <w:pPr>
        <w:pStyle w:val="BodyText"/>
        <w:rPr>
          <w:b/>
          <w:bCs/>
        </w:rPr>
      </w:pPr>
      <w:r w:rsidRPr="00923823">
        <w:rPr>
          <w:b/>
          <w:bCs/>
        </w:rPr>
        <w:t>To conclude, the study findings are summarized as follows:</w:t>
      </w:r>
    </w:p>
    <w:p w14:paraId="19B0679D" w14:textId="77777777" w:rsidR="008B5873" w:rsidRPr="00385BC4" w:rsidRDefault="008B5873" w:rsidP="008B5873">
      <w:pPr>
        <w:pStyle w:val="BodyText"/>
        <w:rPr>
          <w:spacing w:val="0"/>
        </w:rPr>
      </w:pPr>
      <w:r w:rsidRPr="00385BC4">
        <w:rPr>
          <w:spacing w:val="0"/>
        </w:rPr>
        <w:t>The analysis of data related to nurses’ documentation of Braden Scale (BS) elements revealed several key findings regarding agreement and discrepancies in documentation practices. Overall frequency and percentage analyses indicated that 66% of nurses demonstrated consistent agreement in documenting BS elements, whereas 34% showed discrepancies. Further analysis of total Braden Scale scores between two nurses demonstrated high intra‑rater reliability, suggesting minimal variation in BS documentation by the same nurse over time.</w:t>
      </w:r>
    </w:p>
    <w:p w14:paraId="1F83A13E" w14:textId="77777777" w:rsidR="008B5873" w:rsidRPr="00385BC4" w:rsidRDefault="008B5873" w:rsidP="008B5873">
      <w:pPr>
        <w:pStyle w:val="BodyText"/>
        <w:rPr>
          <w:spacing w:val="0"/>
        </w:rPr>
      </w:pPr>
      <w:r w:rsidRPr="00385BC4">
        <w:rPr>
          <w:spacing w:val="0"/>
        </w:rPr>
        <w:t>When examining agreement in documenting individual BS elements—namely sensory perception, moisture, activity, mobility, nutrition, and friction/shear—statistical results indicated fair to moderate agreement between the two raters, reflecting acceptable inter‑rater reliability. In relation to skin integrity protocol decisions, agreement analysis revealed that 75% of nurses selected the same skin integrity protocol, while 25% demonstrated discrepancies in protocol selection, despite uncertainties regarding the correctness of documentation.</w:t>
      </w:r>
    </w:p>
    <w:p w14:paraId="17CD9723" w14:textId="3C88D8EC" w:rsidR="008B5873" w:rsidRPr="00385BC4" w:rsidRDefault="008B5873" w:rsidP="008B5873">
      <w:pPr>
        <w:pStyle w:val="BodyText"/>
        <w:rPr>
          <w:spacing w:val="0"/>
        </w:rPr>
      </w:pPr>
      <w:r w:rsidRPr="00385BC4">
        <w:rPr>
          <w:spacing w:val="0"/>
        </w:rPr>
        <w:t xml:space="preserve">To evaluate the reliability and accuracy of nurses’ documentation related to skin integrity protocol decisions, Cohen’s kappa statistic was utilized. The results demonstrated statistically significant agreement, with analysis of 4,692 decision entries derived from 2,346 cases showing that 81% of the records were correctly documented by nurses. This high proportion suggests that </w:t>
      </w:r>
      <w:r w:rsidR="004C7824" w:rsidRPr="00385BC4">
        <w:rPr>
          <w:spacing w:val="0"/>
        </w:rPr>
        <w:t>most</w:t>
      </w:r>
      <w:r w:rsidRPr="00385BC4">
        <w:rPr>
          <w:spacing w:val="0"/>
        </w:rPr>
        <w:t xml:space="preserve"> nurses accurately understood and applied the Braden Scale assessment protocol guidelines.</w:t>
      </w:r>
    </w:p>
    <w:p w14:paraId="452BE01C" w14:textId="77777777" w:rsidR="008B5873" w:rsidRPr="00385BC4" w:rsidRDefault="008B5873" w:rsidP="008B5873">
      <w:pPr>
        <w:pStyle w:val="BodyText"/>
        <w:rPr>
          <w:spacing w:val="0"/>
        </w:rPr>
      </w:pPr>
      <w:r w:rsidRPr="00385BC4">
        <w:rPr>
          <w:spacing w:val="0"/>
        </w:rPr>
        <w:t xml:space="preserve">Additionally, agreement between nurses in selecting interventions for mobile versus immobile protocols was assessed. The findings showed a high level of agreement between day‑ and night‑shift nurses for mobile protocol interventions, with 74% demonstrating almost perfect agreement. Agreement for immobile protocol interventions was even higher, with 82% of nurses demonstrating perfect agreement. Collectively, these results underscore the reliability and consistency of nurses’ documentation and decision‑making related to Braden Scale elements and skin integrity protocols. </w:t>
      </w:r>
    </w:p>
    <w:p w14:paraId="01907FDB" w14:textId="77777777" w:rsidR="00C26B91" w:rsidRDefault="00C26B91" w:rsidP="00A7275D">
      <w:pPr>
        <w:jc w:val="both"/>
      </w:pPr>
    </w:p>
    <w:p w14:paraId="4EC3CF50" w14:textId="56226198" w:rsidR="00692375" w:rsidRDefault="004C7824" w:rsidP="00A7275D">
      <w:pPr>
        <w:pStyle w:val="Heading1"/>
        <w:numPr>
          <w:ilvl w:val="0"/>
          <w:numId w:val="1"/>
        </w:numPr>
        <w:jc w:val="left"/>
        <w:rPr>
          <w:b/>
        </w:rPr>
      </w:pPr>
      <w:r w:rsidRPr="00691748">
        <w:rPr>
          <w:b/>
        </w:rPr>
        <w:t>DISCUSSION</w:t>
      </w:r>
      <w:r w:rsidRPr="002C60BB">
        <w:rPr>
          <w:b/>
        </w:rPr>
        <w:t xml:space="preserve"> </w:t>
      </w:r>
    </w:p>
    <w:p w14:paraId="229F2995" w14:textId="77777777" w:rsidR="004C7824" w:rsidRDefault="004C7824" w:rsidP="004C7824">
      <w:pPr>
        <w:pStyle w:val="BodyText"/>
        <w:rPr>
          <w:lang w:eastAsia="en-US"/>
        </w:rPr>
      </w:pPr>
    </w:p>
    <w:p w14:paraId="7BA9E4FC" w14:textId="77777777" w:rsidR="007B1F07" w:rsidRDefault="00B860DA" w:rsidP="007B1F07">
      <w:pPr>
        <w:pStyle w:val="BodyText"/>
        <w:rPr>
          <w:lang w:eastAsia="en-US"/>
        </w:rPr>
      </w:pPr>
      <w:r w:rsidRPr="00B860DA">
        <w:rPr>
          <w:lang w:eastAsia="en-US"/>
        </w:rPr>
        <w:t>Approximately 34.36% of the Braden Scale assessments showed differences in documentation, of which 73.20% had compatible skin integrity protocol scoring, while 26.80% demonstrated variations. Documentation related to mobility showed a compatibility rate of 57.25%, whereas 42.75% reflected discrepancies. For the activity element, 61.08% of nurses’ documentation was consistent, while 38.92% showed differences. Documentation related to friction/shear demonstrated a higher level of agreement (75.02%), compared to 24.98% that showed disagreement.</w:t>
      </w:r>
      <w:r>
        <w:rPr>
          <w:lang w:eastAsia="en-US"/>
        </w:rPr>
        <w:t xml:space="preserve"> </w:t>
      </w:r>
      <w:r w:rsidR="007B1F07">
        <w:rPr>
          <w:lang w:eastAsia="en-US"/>
        </w:rPr>
        <w:t>Many nursing and medical encounters involve uncertainty, a complicated phenomenon that can vary across different dimensions. Although research exists on the theoretical definitions of uncertainty, few studies have examined nurses’ experiences in this area and the methods they use to deal with uncertain situations in nursing practice (Vaismoradi et al., 2011). The Braden Scale for Predicting Pressure Ulcer Risk describes patient characteristics at various severity levels and is frequently used to determine the risk of pressure ulcer development. Nevertheless, several of these characteristics are expressed in unclear ways that nurses may interpret differently, potentially compromising the reliability of the measure (Choi &amp; Kim, 2014).</w:t>
      </w:r>
    </w:p>
    <w:p w14:paraId="3FC288D7" w14:textId="77777777" w:rsidR="007B1F07" w:rsidRDefault="007B1F07" w:rsidP="007B1F07">
      <w:pPr>
        <w:pStyle w:val="BodyText"/>
        <w:rPr>
          <w:lang w:eastAsia="en-US"/>
        </w:rPr>
      </w:pPr>
      <w:r>
        <w:rPr>
          <w:lang w:eastAsia="en-US"/>
        </w:rPr>
        <w:t>Nurses, healthcare workers, and healthcare organizations worldwide are focused on preventing pressure ulcers. Individual nurse decision‑making is an important aspect of pressure ulcer prevention and care (Samuriwo et al., 2014). The choices made by nurses vary depending on a wide range of interrelated circumstances. Despite the availability of standardized treatment strategies, decision‑making is influenced by multiple sources of information (Rycroft‑Malone et al., 2009). It is essential to accurately identify risk factors and apply clinical judgment when assessing patients to prevent pressure ulcers, improve patient safety, reduce hospital length of stay, and lower healthcare costs (Cremasco et al., 2012). A better understanding of nurses’ uncertainty may lead to the development and implementation of strategies that support clinical judgment and practice.</w:t>
      </w:r>
    </w:p>
    <w:p w14:paraId="47721B8F" w14:textId="1E75DA01" w:rsidR="004C7824" w:rsidRDefault="007B1F07" w:rsidP="007B1F07">
      <w:pPr>
        <w:pStyle w:val="BodyText"/>
        <w:rPr>
          <w:lang w:eastAsia="en-US"/>
        </w:rPr>
      </w:pPr>
      <w:r>
        <w:rPr>
          <w:lang w:eastAsia="en-US"/>
        </w:rPr>
        <w:t>Braden Scale variable documentation among nurses showed that the highest non‑compatible variable in nursing documentation was moisture (52.17%). Determining factors associated with pressure injury development in critical care patients is essential for implementing risk‑based preventive measures. Although known risk factors include decreased mobility, surgical duration, vasopressor infusion, excessive moisture, altered perfusion, and a history of prior pressure injury, the relationship between hospital‑acquired pressure injury and skin status remains largely unexamined in the critical care population (Alderden et al., 2020). The minimum differences in Braden Scale documentation were observed in the sensory perception (21.57%) and nutrition (21.74%) elements. Sensory perception and nutrition are key risk factors for pressure injury among nurses and healthcare providers (Cheng et al., 2021). Ebi et al. (2019) discussed that nurses’ sources of instruction regarding pressure injury prevention and clinical nursing involvement showed no significant difference in pressure injury knowledge scores, indicating that nurses generally had good knowledge of sensory perception and nutrition as risk factors.</w:t>
      </w:r>
    </w:p>
    <w:p w14:paraId="439893AA" w14:textId="77777777" w:rsidR="004C7824" w:rsidRDefault="004C7824" w:rsidP="004C7824">
      <w:pPr>
        <w:pStyle w:val="BodyText"/>
        <w:ind w:firstLine="0"/>
        <w:rPr>
          <w:lang w:eastAsia="en-US"/>
        </w:rPr>
      </w:pPr>
    </w:p>
    <w:p w14:paraId="3C99BEA2" w14:textId="56C48607" w:rsidR="007A7721" w:rsidRPr="007A7721" w:rsidRDefault="007A7721" w:rsidP="007A7721">
      <w:pPr>
        <w:pStyle w:val="Heading1"/>
        <w:numPr>
          <w:ilvl w:val="0"/>
          <w:numId w:val="1"/>
        </w:numPr>
        <w:jc w:val="left"/>
        <w:rPr>
          <w:b/>
        </w:rPr>
      </w:pPr>
      <w:r>
        <w:rPr>
          <w:b/>
        </w:rPr>
        <w:t xml:space="preserve">Limitation </w:t>
      </w:r>
    </w:p>
    <w:p w14:paraId="63AE919E" w14:textId="2F11CE0A" w:rsidR="00321D80" w:rsidRDefault="00857257" w:rsidP="00857257">
      <w:pPr>
        <w:pStyle w:val="BodyText"/>
        <w:rPr>
          <w:lang w:eastAsia="en-US"/>
        </w:rPr>
      </w:pPr>
      <w:r w:rsidRPr="00857257">
        <w:rPr>
          <w:lang w:eastAsia="en-US"/>
        </w:rPr>
        <w:t>Despite the large final sample size and rigorous eligibility screening, several limitations should be acknowledged. Missing or incomplete documentation in the hospital records resulted in the exclusion of records that did not meet data completeness criteria, which is a common challenge in retrospective chart reviews. In addition, the study relied on manual data extraction from electronic health records, which may introduce the possibility of transcription or abstraction errors despite systematic verification procedures. Furthermore, 377 eligible records were not included in the final analysis due to the completion of the predefined data collection timeframe, which may have limited the inclusion of all potentially available data within the study period.</w:t>
      </w:r>
    </w:p>
    <w:p w14:paraId="3B7B6C0D" w14:textId="77777777" w:rsidR="00321D80" w:rsidRDefault="00321D80" w:rsidP="009451A5">
      <w:pPr>
        <w:pStyle w:val="BodyText"/>
        <w:rPr>
          <w:lang w:eastAsia="en-US"/>
        </w:rPr>
      </w:pPr>
    </w:p>
    <w:p w14:paraId="2454678B" w14:textId="4BF1B2F6" w:rsidR="007A7721" w:rsidRDefault="007A7721" w:rsidP="007A7721">
      <w:pPr>
        <w:pStyle w:val="Heading1"/>
        <w:numPr>
          <w:ilvl w:val="0"/>
          <w:numId w:val="1"/>
        </w:numPr>
        <w:jc w:val="left"/>
        <w:rPr>
          <w:b/>
        </w:rPr>
      </w:pPr>
      <w:r w:rsidRPr="007A7721">
        <w:rPr>
          <w:b/>
        </w:rPr>
        <w:lastRenderedPageBreak/>
        <w:t xml:space="preserve">Ethics approval </w:t>
      </w:r>
    </w:p>
    <w:p w14:paraId="6CF991B7" w14:textId="77777777" w:rsidR="007A7721" w:rsidRDefault="007A7721" w:rsidP="007A7721">
      <w:pPr>
        <w:pStyle w:val="BodyText"/>
        <w:rPr>
          <w:lang w:eastAsia="en-US"/>
        </w:rPr>
      </w:pPr>
    </w:p>
    <w:p w14:paraId="2FD143AC" w14:textId="77777777" w:rsidR="007A7721" w:rsidRPr="00337D93" w:rsidRDefault="007A7721" w:rsidP="007A7721">
      <w:pPr>
        <w:pStyle w:val="BodyText"/>
        <w:rPr>
          <w:spacing w:val="0"/>
        </w:rPr>
      </w:pPr>
      <w:r w:rsidRPr="00337D93">
        <w:rPr>
          <w:spacing w:val="0"/>
        </w:rPr>
        <w:t>Ethical approval was obtained from the Ethical Review Committee of the Ministry of Health and Prevention, approved on 17/02/2022 and updated on 03/01/2023 (Approval Reference No.: MOHAP/DXB‑REC/FFF/No.13/2022). Permission was also obtained from the Director of the selected hospital, and the permission‑seeking letter was attached to the ethical approval documents. The permission letter included details of the study aims, confidentiality measures, and the future use of the data.</w:t>
      </w:r>
    </w:p>
    <w:p w14:paraId="7731A814" w14:textId="0A1DD742" w:rsidR="007A7721" w:rsidRPr="00337D93" w:rsidRDefault="007A7721" w:rsidP="007A7721">
      <w:pPr>
        <w:pStyle w:val="BodyText"/>
        <w:rPr>
          <w:spacing w:val="0"/>
        </w:rPr>
      </w:pPr>
      <w:r w:rsidRPr="00337D93">
        <w:rPr>
          <w:spacing w:val="0"/>
        </w:rPr>
        <w:t>The principal investigator and research team committed to protecting the privacy of all extracted information in accordance with Good Clinical Practice (GCP) guidelines. All research team members held valid GCP certification. Access to uncoded data was restricted to the data collectors and the principal investigator only. All study data and subject information were coded, and privacy and confidentiality were maintained throughout the research process, with all records securely stored.</w:t>
      </w:r>
    </w:p>
    <w:p w14:paraId="3907C72E" w14:textId="77777777" w:rsidR="00A05D34" w:rsidRDefault="00A05D34" w:rsidP="009451A5">
      <w:pPr>
        <w:pStyle w:val="Heading1"/>
        <w:numPr>
          <w:ilvl w:val="0"/>
          <w:numId w:val="1"/>
        </w:numPr>
        <w:jc w:val="left"/>
        <w:rPr>
          <w:b/>
        </w:rPr>
      </w:pPr>
      <w:r w:rsidRPr="00A05D34">
        <w:rPr>
          <w:b/>
        </w:rPr>
        <w:t>Future Implication</w:t>
      </w:r>
    </w:p>
    <w:p w14:paraId="7DE45038" w14:textId="61EAF49F" w:rsidR="00A572DB" w:rsidRDefault="00A572DB" w:rsidP="00591DEC">
      <w:pPr>
        <w:pStyle w:val="BodyText"/>
        <w:rPr>
          <w:lang w:eastAsia="en-US"/>
        </w:rPr>
      </w:pPr>
      <w:r w:rsidRPr="00A572DB">
        <w:rPr>
          <w:lang w:eastAsia="en-US"/>
        </w:rPr>
        <w:t>The findings of this study have important implications for nursing practice. Based on the study results, a reference guide incorporating a more detailed Braden Scale (BS) tool with clearer and standardized definitions was provided across clinical units. As a future recommendation, this guide may be incorporated into the electronic medical record (EMR) system to further enhance the Braden Scale documentation tool. Such modifications would support consistent interpretation of Braden Scale terminology among nurses, improve consistency of care, and reduce the risk of misinterpretation that may contribute to pressure injury development.</w:t>
      </w:r>
    </w:p>
    <w:p w14:paraId="32FE540B" w14:textId="2E7708C0" w:rsidR="00A572DB" w:rsidRDefault="00A572DB" w:rsidP="00591DEC">
      <w:pPr>
        <w:pStyle w:val="BodyText"/>
        <w:rPr>
          <w:lang w:eastAsia="en-US"/>
        </w:rPr>
      </w:pPr>
      <w:r w:rsidRPr="00A572DB">
        <w:rPr>
          <w:lang w:eastAsia="en-US"/>
        </w:rPr>
        <w:t>In addition, the collected data may support future analyses examining relationships among Braden Scale variables. Advanced statistical methods, such as correlation analysis, could be applied to assess the association between nurses’ perceptions of Braden Scale scoring and the implemented interventions.</w:t>
      </w:r>
    </w:p>
    <w:p w14:paraId="37AAC630" w14:textId="33340289" w:rsidR="009451A5" w:rsidRDefault="00337D93" w:rsidP="009451A5">
      <w:pPr>
        <w:pStyle w:val="Heading1"/>
        <w:numPr>
          <w:ilvl w:val="0"/>
          <w:numId w:val="1"/>
        </w:numPr>
        <w:jc w:val="left"/>
        <w:rPr>
          <w:b/>
        </w:rPr>
      </w:pPr>
      <w:r>
        <w:rPr>
          <w:b/>
        </w:rPr>
        <w:t xml:space="preserve">Conclusion </w:t>
      </w:r>
    </w:p>
    <w:p w14:paraId="6DA9AD29" w14:textId="3885D13C" w:rsidR="00A05D34" w:rsidRPr="00337D93" w:rsidRDefault="00337D93" w:rsidP="00337D93">
      <w:pPr>
        <w:pStyle w:val="BodyText"/>
        <w:rPr>
          <w:spacing w:val="0"/>
        </w:rPr>
      </w:pPr>
      <w:r>
        <w:rPr>
          <w:lang w:eastAsia="en-US"/>
        </w:rPr>
        <w:t xml:space="preserve"> </w:t>
      </w:r>
      <w:r w:rsidRPr="00337D93">
        <w:rPr>
          <w:spacing w:val="0"/>
        </w:rPr>
        <w:t>Variation in nurses’ documentation related to the Braden Scale (BS) does exist. Standards of care should be embedded as a culture in healthcare settings; therefore, providing clear explanations of BS terminology or providing protocol‑based care is a strategy to reduce variability in clinical practice. It is essential for nurses to understand BS terminologies, preventive protocols, and accurate documentation requirements, which are necessary to reduce pressure injuries. Nurses’ professional practice environments and their capacity to accurately assess the level of risk associated with clinical activities should be considered when developing methods to support nurses’ decision‑making. As a result, this will support healthcare quality, patient safety, and cost‑effectiveness.</w:t>
      </w:r>
    </w:p>
    <w:p w14:paraId="0DC2851A" w14:textId="77777777" w:rsidR="004C7824" w:rsidRPr="007E68B1" w:rsidRDefault="004C7824" w:rsidP="004C7824">
      <w:pPr>
        <w:pStyle w:val="BodyText"/>
        <w:rPr>
          <w:b/>
          <w:bCs/>
          <w:spacing w:val="0"/>
        </w:rPr>
      </w:pPr>
    </w:p>
    <w:p w14:paraId="69E3C14D" w14:textId="6624E8F5" w:rsidR="00756A88" w:rsidRPr="007E68B1" w:rsidRDefault="007E68B1" w:rsidP="007E68B1">
      <w:pPr>
        <w:pStyle w:val="BodyText"/>
        <w:ind w:firstLine="0"/>
        <w:rPr>
          <w:b/>
          <w:bCs/>
          <w:spacing w:val="0"/>
        </w:rPr>
      </w:pPr>
      <w:r w:rsidRPr="007E68B1">
        <w:rPr>
          <w:b/>
          <w:bCs/>
        </w:rPr>
        <w:t>Acknowledgment</w:t>
      </w:r>
    </w:p>
    <w:p w14:paraId="5DB572F1" w14:textId="2464668E" w:rsidR="00756A88" w:rsidRDefault="007E68B1" w:rsidP="004C7824">
      <w:pPr>
        <w:pStyle w:val="BodyText"/>
        <w:rPr>
          <w:spacing w:val="0"/>
        </w:rPr>
      </w:pPr>
      <w:r>
        <w:rPr>
          <w:spacing w:val="0"/>
        </w:rPr>
        <w:t xml:space="preserve">Not Applicable. </w:t>
      </w:r>
    </w:p>
    <w:p w14:paraId="5C23B1F7" w14:textId="77777777" w:rsidR="00756A88" w:rsidRDefault="00756A88" w:rsidP="004C7824">
      <w:pPr>
        <w:pStyle w:val="BodyText"/>
        <w:rPr>
          <w:spacing w:val="0"/>
        </w:rPr>
      </w:pPr>
    </w:p>
    <w:p w14:paraId="274A6BFA" w14:textId="3B46A86D" w:rsidR="00756A88" w:rsidRDefault="007E68B1" w:rsidP="007E68B1">
      <w:pPr>
        <w:pStyle w:val="BodyText"/>
        <w:ind w:firstLine="0"/>
        <w:rPr>
          <w:b/>
          <w:bCs/>
        </w:rPr>
      </w:pPr>
      <w:r w:rsidRPr="007E68B1">
        <w:rPr>
          <w:b/>
          <w:bCs/>
        </w:rPr>
        <w:t xml:space="preserve">ABBREVIATIONS </w:t>
      </w:r>
    </w:p>
    <w:p w14:paraId="0BBFA359" w14:textId="57A4239E" w:rsidR="007E68B1" w:rsidRPr="001E35CC" w:rsidRDefault="001E35CC" w:rsidP="007E68B1">
      <w:pPr>
        <w:pStyle w:val="BodyText"/>
        <w:ind w:firstLine="0"/>
      </w:pPr>
      <w:r w:rsidRPr="001E35CC">
        <w:t>Braden Scale, Pressure Injury, Umm Al Quwain Hospital, Medical Record Review, Electronic Medical Record, Intraclass Correlation Coefficient, Range of Motion</w:t>
      </w:r>
    </w:p>
    <w:p w14:paraId="7BAF12E8" w14:textId="77777777" w:rsidR="00692375" w:rsidRPr="002C60BB" w:rsidRDefault="007D522D" w:rsidP="00A7275D">
      <w:pPr>
        <w:pStyle w:val="Heading1"/>
        <w:tabs>
          <w:tab w:val="clear" w:pos="0"/>
        </w:tabs>
        <w:ind w:firstLine="0"/>
        <w:jc w:val="left"/>
        <w:rPr>
          <w:b/>
        </w:rPr>
      </w:pPr>
      <w:r w:rsidRPr="002C60BB">
        <w:rPr>
          <w:b/>
        </w:rPr>
        <w:t>References</w:t>
      </w:r>
    </w:p>
    <w:p w14:paraId="37AF592A" w14:textId="103840A8" w:rsidR="007E68B1" w:rsidRDefault="007E68B1" w:rsidP="007E68B1">
      <w:pPr>
        <w:ind w:hanging="270"/>
        <w:jc w:val="left"/>
      </w:pPr>
      <w:r>
        <w:rPr>
          <w:b/>
          <w:bCs/>
        </w:rPr>
        <w:t>1.</w:t>
      </w:r>
      <w:r>
        <w:t>Ahsan A, Dewi ES, Suharsono T, Setyoadi S, Soplanit VG, Ekowati SI, Syahniar NP, Sirfefa RS, Kartika AW, Ningrum EH, Noviyanti LW, Laili N. Knowledge Management-Based Nursing Care Educational Training: A Key Strategy to Improve Healthcare Associated Infection Prevention Behavior. SAGE Open Nurs. 2021 Oct 5; 7:23779608211044601. doi: 10.1177/23779608211044601. PMID: 34869859; PMCID: PMC8642116.</w:t>
      </w:r>
    </w:p>
    <w:p w14:paraId="5CFC6AF6" w14:textId="656CF6E5" w:rsidR="007E68B1" w:rsidRDefault="007E68B1" w:rsidP="007E68B1">
      <w:pPr>
        <w:ind w:hanging="270"/>
        <w:jc w:val="left"/>
      </w:pPr>
      <w:r>
        <w:t>2</w:t>
      </w:r>
      <w:r w:rsidR="00C7336E">
        <w:t>. (</w:t>
      </w:r>
      <w:r>
        <w:t>What is nursing &amp;amp; what do nurses do?: Ana Enterprise. ANA. (n.d.). Retrieved June 2, 2022, from https://www.nursingworld.org/practice-policy/workforce/what-is-nursing)</w:t>
      </w:r>
    </w:p>
    <w:p w14:paraId="5AA03CE0" w14:textId="77777777" w:rsidR="007E68B1" w:rsidRDefault="007E68B1" w:rsidP="007E68B1">
      <w:pPr>
        <w:ind w:hanging="270"/>
        <w:jc w:val="left"/>
      </w:pPr>
      <w:r>
        <w:t>3.</w:t>
      </w:r>
      <w:r>
        <w:tab/>
        <w:t>Witczak, I., Rypicz, Ł., Karniej, P., Młynarska, A., Kubielas, G., &amp; Uchmanowicz, I. (2021). Rationing of Nursing Care and Patient Safety. Frontiers in psychology, 12, 676970. https://doi.org/10.3389/fpsyg.2021.676970</w:t>
      </w:r>
    </w:p>
    <w:p w14:paraId="504C5197" w14:textId="77777777" w:rsidR="007E68B1" w:rsidRDefault="007E68B1" w:rsidP="007E68B1">
      <w:pPr>
        <w:ind w:hanging="270"/>
        <w:jc w:val="left"/>
      </w:pPr>
      <w:r>
        <w:t>4.</w:t>
      </w:r>
      <w:r>
        <w:tab/>
        <w:t>Alderden J, Cowan LJ, Dimas JB, Chen D, Zhang Y, Cummins M, Yap TL. Risk Factors for Hospital-Acquired Pressure Injury in Surgical Critical Care Patients. Am J Crit Care. 2020 Nov 1;29(6):e128-e134. doi: 10.4037/ajcc2020810. PMID: 33130863; PMCID: PMC8717926.</w:t>
      </w:r>
    </w:p>
    <w:p w14:paraId="1AE2DD22" w14:textId="77777777" w:rsidR="007E68B1" w:rsidRDefault="007E68B1" w:rsidP="007E68B1">
      <w:pPr>
        <w:ind w:hanging="270"/>
        <w:jc w:val="left"/>
      </w:pPr>
      <w:r>
        <w:t>5.</w:t>
      </w:r>
      <w:r>
        <w:tab/>
        <w:t>Doody, O., Murphy, F., Lyons, R., Gallen, A., Ryan, J., Downey, J., &amp; Sezgin, D. (2019). Development of nursing quality care process metrics and indicators for intellectual disability services: a literature review and modified Delphi consensus study. BMC health services research, 19(1), 909. https://doi.org/10.1186/s12913-019-4749-y</w:t>
      </w:r>
    </w:p>
    <w:p w14:paraId="0C4A1B93" w14:textId="77777777" w:rsidR="007E68B1" w:rsidRDefault="007E68B1" w:rsidP="007E68B1">
      <w:pPr>
        <w:ind w:hanging="270"/>
        <w:jc w:val="left"/>
      </w:pPr>
      <w:r>
        <w:t>6.</w:t>
      </w:r>
      <w:r>
        <w:tab/>
        <w:t>Hadadian-Chaghaei, F., Haghani, F., Taleghani, F., Feizi, A., &amp; Alimohammadi, N. (2022). Nurses as Gifted Artists in Caring: An Analysis of Nursing Care Concept. Iranian journal of nursing and midwifery research, 27(2), 125–133. https://doi.org/10.4103/ijnmr.ijnmr_465_20</w:t>
      </w:r>
    </w:p>
    <w:p w14:paraId="12108F0D" w14:textId="77777777" w:rsidR="007E68B1" w:rsidRDefault="007E68B1" w:rsidP="007E68B1">
      <w:pPr>
        <w:ind w:hanging="270"/>
        <w:jc w:val="left"/>
      </w:pPr>
      <w:r>
        <w:t>7.</w:t>
      </w:r>
      <w:r>
        <w:tab/>
        <w:t>Kinyon, K., D’Alton, S., Poston, K., &amp; Navarrete, S. (2021). Improving Physical Assessment and Clinical Judgment Skills without Increasing Content in a Prelicensure Nursing Health Assessment Course. Nursing Reports, 11(3), 600-607.</w:t>
      </w:r>
    </w:p>
    <w:p w14:paraId="204CA57D" w14:textId="77777777" w:rsidR="007E68B1" w:rsidRDefault="007E68B1" w:rsidP="007E68B1">
      <w:pPr>
        <w:ind w:hanging="270"/>
        <w:jc w:val="left"/>
      </w:pPr>
      <w:r>
        <w:t>8.</w:t>
      </w:r>
      <w:r>
        <w:tab/>
        <w:t>Toney-Butler, T. J., &amp; Unison-Pace, W. J. (2018). Nursing admission assessment and examination.</w:t>
      </w:r>
    </w:p>
    <w:p w14:paraId="377575FE" w14:textId="77777777" w:rsidR="007E68B1" w:rsidRDefault="007E68B1" w:rsidP="007E68B1">
      <w:pPr>
        <w:ind w:hanging="270"/>
        <w:jc w:val="left"/>
      </w:pPr>
      <w:r>
        <w:t>9.</w:t>
      </w:r>
      <w:r>
        <w:tab/>
        <w:t>Kottner, J., Beeckman, D., Vogt, A., &amp; Blume-Peytavi, U. (2020). Skin health and integrity. In Innovations and Emerging Technologies in Wound Care (pp. 183-196). Academic Press.</w:t>
      </w:r>
    </w:p>
    <w:p w14:paraId="303C52FD" w14:textId="77777777" w:rsidR="007E68B1" w:rsidRDefault="007E68B1" w:rsidP="007E68B1">
      <w:pPr>
        <w:ind w:hanging="270"/>
        <w:jc w:val="left"/>
      </w:pPr>
      <w:r>
        <w:t>10.</w:t>
      </w:r>
      <w:r>
        <w:tab/>
        <w:t>Bonifant, H., &amp; Holloway, S. (2019). A review of the effects of ageing on skin integrity and wound healing. British journal of community nursing, 24(Sup3), S28-S33.</w:t>
      </w:r>
      <w:r>
        <w:tab/>
      </w:r>
    </w:p>
    <w:p w14:paraId="154872DA" w14:textId="77777777" w:rsidR="007E68B1" w:rsidRDefault="007E68B1" w:rsidP="007E68B1">
      <w:pPr>
        <w:ind w:hanging="270"/>
        <w:jc w:val="left"/>
      </w:pPr>
      <w:r>
        <w:t>11.</w:t>
      </w:r>
      <w:r>
        <w:tab/>
        <w:t>Murphree, R. W. (2017). Impairments in skin integrity. Nursing Clinics, 52(3), 405-417.</w:t>
      </w:r>
    </w:p>
    <w:p w14:paraId="176ADEDA" w14:textId="77777777" w:rsidR="007E68B1" w:rsidRDefault="007E68B1" w:rsidP="007E68B1">
      <w:pPr>
        <w:ind w:hanging="270"/>
        <w:jc w:val="left"/>
      </w:pPr>
      <w:r>
        <w:lastRenderedPageBreak/>
        <w:t>12.</w:t>
      </w:r>
      <w:r>
        <w:tab/>
        <w:t>Meneses, L. B. D. A., Medeiros, F. D. A. L., Oliveira, J. S., Nóbrega, M. M. L. D., Silva, M. A. D., &amp; Soares, M. J. G. O. (2020). Validation of interventions for risk of impaired skin integrity in adult and aged patients. Revista Brasileira de Enfermagem, 73.</w:t>
      </w:r>
    </w:p>
    <w:p w14:paraId="79F419DF" w14:textId="77777777" w:rsidR="007E68B1" w:rsidRDefault="007E68B1" w:rsidP="007E68B1">
      <w:pPr>
        <w:ind w:hanging="270"/>
        <w:jc w:val="left"/>
      </w:pPr>
      <w:r>
        <w:t>13.</w:t>
      </w:r>
      <w:r>
        <w:tab/>
        <w:t>CALLAGHAN, R. (2019). Case study series: managing skin integrity--octenicare® repair creme. Wounds UK, 15(1).</w:t>
      </w:r>
    </w:p>
    <w:p w14:paraId="2491878F" w14:textId="77777777" w:rsidR="007E68B1" w:rsidRDefault="007E68B1" w:rsidP="007E68B1">
      <w:pPr>
        <w:ind w:hanging="270"/>
        <w:jc w:val="left"/>
      </w:pPr>
      <w:r>
        <w:t>14.</w:t>
      </w:r>
      <w:r>
        <w:tab/>
        <w:t>Debon, R., Fortes, V. L. F., Rós, A. C. R., &amp; Scaratti, M. (2018). The nurses’ viewpoint regarding the use of the braden scale with the elderly patient. Revista de Pesquisa: Cuidado é fundamental online, 10(3), 817-823.</w:t>
      </w:r>
    </w:p>
    <w:p w14:paraId="7E0A430D" w14:textId="77777777" w:rsidR="007E68B1" w:rsidRDefault="007E68B1" w:rsidP="007E68B1">
      <w:pPr>
        <w:ind w:hanging="270"/>
        <w:jc w:val="left"/>
      </w:pPr>
      <w:r>
        <w:t>15.</w:t>
      </w:r>
      <w:r>
        <w:tab/>
        <w:t>Pandhare, S. P., &amp; Dhudum, B. (2018). Effectiveness of PtP Regarding Use of Braden Scale for Pressure Sore on Knowledge and Practices among Staff Nurses Working in selected Hospitals. Amarjeet Kaur Sandhu, 10(4), 139.</w:t>
      </w:r>
    </w:p>
    <w:p w14:paraId="6ABB3C36" w14:textId="77777777" w:rsidR="007E68B1" w:rsidRDefault="007E68B1" w:rsidP="007E68B1">
      <w:pPr>
        <w:ind w:hanging="270"/>
        <w:jc w:val="left"/>
      </w:pPr>
      <w:r>
        <w:t>16.</w:t>
      </w:r>
      <w:r>
        <w:tab/>
        <w:t>Jaganath, A. (2021). Level of practice of braden scale on prevention of pressure ulcers amongcritical care, post-operative and orthopedic nurses at pesimsr hospital, kuppam, andhrapradesh. International Journal of Orthopedic Nursing, 7(1), 14-20.</w:t>
      </w:r>
    </w:p>
    <w:p w14:paraId="2C01D270" w14:textId="77777777" w:rsidR="007E68B1" w:rsidRDefault="007E68B1" w:rsidP="007E68B1">
      <w:pPr>
        <w:ind w:hanging="270"/>
        <w:jc w:val="left"/>
      </w:pPr>
      <w:r>
        <w:t>17.</w:t>
      </w:r>
      <w:r>
        <w:tab/>
        <w:t>Song, W., Kang, M. J., Zhang, L., Jung, W., Song, J., Bates, D. W., &amp; Dykes, P. C. (2021). Predicting pressure injury using nursing assessment phenotypes and machine learning methods. Journal of the American Medical Informatics Association: JAMIA, 28(4), 759–765. https://doi.org/10.1093/jamia/ocaa336</w:t>
      </w:r>
    </w:p>
    <w:p w14:paraId="5CF2DEF7" w14:textId="77777777" w:rsidR="007E68B1" w:rsidRDefault="007E68B1" w:rsidP="007E68B1">
      <w:pPr>
        <w:ind w:hanging="270"/>
        <w:jc w:val="left"/>
      </w:pPr>
      <w:r>
        <w:t>18.</w:t>
      </w:r>
      <w:r>
        <w:tab/>
        <w:t>Adibelli, S., &amp; Korkmaz, F. (2019). Pressure injury risk assessment in intensive care units: Comparison of the reliability and predictive validity of the Braden and Jackson/Cubbin scales. Journal of Clinical Nursing, 28(23-24), 4595-4605.</w:t>
      </w:r>
    </w:p>
    <w:p w14:paraId="6C60801F" w14:textId="77777777" w:rsidR="007E68B1" w:rsidRDefault="007E68B1" w:rsidP="007E68B1">
      <w:pPr>
        <w:ind w:hanging="270"/>
        <w:jc w:val="left"/>
      </w:pPr>
      <w:r>
        <w:t>19.</w:t>
      </w:r>
      <w:r>
        <w:tab/>
        <w:t>Mordiffi, S. Z., Kent, B., Phillips, N. M., &amp; Choon Huat, G. K. (2018). Assessing pressure injury risk using a single mobility scale in hospitalised patients: a comparative study using case-control design. Journal of Research in Nursing, 23(5), 387-403.</w:t>
      </w:r>
    </w:p>
    <w:p w14:paraId="4D200FA9" w14:textId="77777777" w:rsidR="007E68B1" w:rsidRDefault="007E68B1" w:rsidP="007E68B1">
      <w:pPr>
        <w:ind w:hanging="270"/>
        <w:jc w:val="left"/>
      </w:pPr>
      <w:r>
        <w:t>20.</w:t>
      </w:r>
      <w:r>
        <w:tab/>
        <w:t>Samuriwo, R., &amp; Dowding, D. (2014). Nurses’ pressure ulcer related judgements and decisions in clinical practice: a systematic review. International journal of nursing studies, 51(12), 1667-1685.</w:t>
      </w:r>
    </w:p>
    <w:p w14:paraId="62059D89" w14:textId="77777777" w:rsidR="007E68B1" w:rsidRDefault="007E68B1" w:rsidP="007E68B1">
      <w:pPr>
        <w:ind w:hanging="270"/>
        <w:jc w:val="left"/>
      </w:pPr>
      <w:r>
        <w:t>21.</w:t>
      </w:r>
      <w:r>
        <w:tab/>
        <w:t>Gamze, S., &amp; Ayla, U. (2021). Nursing Care According to Activities of Daily Living in COVID-19 Pneumonia: A Case Report. International Journal of Caring Sciences, 14(3), 2066–2069</w:t>
      </w:r>
    </w:p>
    <w:p w14:paraId="0C797421" w14:textId="77777777" w:rsidR="007E68B1" w:rsidRDefault="007E68B1" w:rsidP="007E68B1">
      <w:pPr>
        <w:ind w:hanging="270"/>
        <w:jc w:val="left"/>
      </w:pPr>
      <w:r>
        <w:t>22.</w:t>
      </w:r>
      <w:r>
        <w:tab/>
        <w:t>Payne, D. (2020). Skin integrity in older adults: pressure-prone, inaccessible areas of the body. British journal of community nursing, 25(1), 22-26.</w:t>
      </w:r>
    </w:p>
    <w:p w14:paraId="2A68C3EC" w14:textId="77777777" w:rsidR="007E68B1" w:rsidRDefault="007E68B1" w:rsidP="007E68B1">
      <w:pPr>
        <w:ind w:hanging="270"/>
        <w:jc w:val="left"/>
      </w:pPr>
      <w:r>
        <w:rPr>
          <w:rFonts w:hint="eastAsia"/>
        </w:rPr>
        <w:t>23.</w:t>
      </w:r>
      <w:r>
        <w:rPr>
          <w:rFonts w:hint="eastAsia"/>
        </w:rPr>
        <w:tab/>
        <w:t>Lim, E., Mordiffi, Z., Chew, H. S., &amp; Lopez, V. (2019). Using the Braden subscales to assess risk of pressure injuries in adult patients: A retrospective case</w:t>
      </w:r>
      <w:r>
        <w:rPr>
          <w:rFonts w:hint="eastAsia"/>
        </w:rPr>
        <w:t>‐</w:t>
      </w:r>
      <w:r>
        <w:rPr>
          <w:rFonts w:hint="eastAsia"/>
        </w:rPr>
        <w:t>control study. International wound journal, 16(3), 665-673.</w:t>
      </w:r>
    </w:p>
    <w:p w14:paraId="1030F57A" w14:textId="77777777" w:rsidR="007E68B1" w:rsidRDefault="007E68B1" w:rsidP="007E68B1">
      <w:pPr>
        <w:ind w:hanging="270"/>
        <w:jc w:val="left"/>
      </w:pPr>
      <w:r>
        <w:t>24.</w:t>
      </w:r>
      <w:r>
        <w:tab/>
        <w:t>Kennerly, S., Boss, L., Yap, T. L., Batchelor-Murphy, M., Horn, S. D., &amp; Barrett, R. (2017). Utility of braden scale nutrition subscale ratings as an indicator of dietary intake and weight outcomes among nursing home residents at risk for pressure ulcers. Healthcare. 2015; 3 (4): 879-97.</w:t>
      </w:r>
    </w:p>
    <w:p w14:paraId="4145FA66" w14:textId="77777777" w:rsidR="007E68B1" w:rsidRDefault="007E68B1" w:rsidP="007E68B1">
      <w:pPr>
        <w:ind w:hanging="270"/>
        <w:jc w:val="left"/>
      </w:pPr>
      <w:r>
        <w:t>25.</w:t>
      </w:r>
      <w:r>
        <w:tab/>
        <w:t>Zhu, Z., Xu, B., Shao, J., Wang, S., Jin, R., Weng, T., ... &amp; Wang, X. (2022). Use of the Braden scale to predict injury severity in mass burn casualties. Medical Science Monitor: International Medical Journal of Experimental and Clinical Research, 28, e934039-1.</w:t>
      </w:r>
    </w:p>
    <w:p w14:paraId="34A3F3EC" w14:textId="77777777" w:rsidR="007E68B1" w:rsidRDefault="007E68B1" w:rsidP="007E68B1">
      <w:pPr>
        <w:ind w:hanging="270"/>
        <w:jc w:val="left"/>
      </w:pPr>
      <w:r>
        <w:t>26.</w:t>
      </w:r>
      <w:r>
        <w:tab/>
        <w:t>Mordiffi, S. Z., Kent, B., Phillips, N. M., &amp; Choon Huat, G. K. (2018). Assessing pressure injury risk using a single mobility scale in hospitalised patients: a comparative study using case-control design. Journal of Research in Nursing, 23(5), 387-403.</w:t>
      </w:r>
    </w:p>
    <w:p w14:paraId="10D1688C" w14:textId="77777777" w:rsidR="007E68B1" w:rsidRDefault="007E68B1" w:rsidP="007E68B1">
      <w:pPr>
        <w:ind w:hanging="270"/>
        <w:jc w:val="left"/>
      </w:pPr>
      <w:r>
        <w:rPr>
          <w:rFonts w:hint="eastAsia"/>
        </w:rPr>
        <w:t>27.</w:t>
      </w:r>
      <w:r>
        <w:rPr>
          <w:rFonts w:hint="eastAsia"/>
        </w:rPr>
        <w:tab/>
        <w:t>Huang, C., Ma, Y., Wang, C., Jiang, M., Yuet Foon, L., Lv, L., &amp; Han, L. (2021). Predictive validity of the braden scale for pressure injury risk assessment in adults: A systematic review and meta</w:t>
      </w:r>
      <w:r>
        <w:rPr>
          <w:rFonts w:hint="eastAsia"/>
        </w:rPr>
        <w:t>‐</w:t>
      </w:r>
      <w:r>
        <w:rPr>
          <w:rFonts w:hint="eastAsia"/>
        </w:rPr>
        <w:t>analysis. Nursing open, 8(5), 2194-2207.</w:t>
      </w:r>
    </w:p>
    <w:p w14:paraId="4CA48518" w14:textId="77777777" w:rsidR="007E68B1" w:rsidRDefault="007E68B1" w:rsidP="007E68B1">
      <w:pPr>
        <w:ind w:hanging="270"/>
        <w:jc w:val="left"/>
      </w:pPr>
      <w:r>
        <w:t>28.</w:t>
      </w:r>
      <w:r>
        <w:tab/>
        <w:t>Cowan, L., Garvan, C., Kent, C., &amp; Stechmiller, J. (2016). How well does the Braden nutrition subscale Agree with the VA nutrition classification scheme related to pressure ulcer risk? Federal Practitioner, 33(12), 12.</w:t>
      </w:r>
    </w:p>
    <w:p w14:paraId="5E92D96F" w14:textId="77777777" w:rsidR="007E68B1" w:rsidRDefault="007E68B1" w:rsidP="007E68B1">
      <w:pPr>
        <w:ind w:hanging="270"/>
        <w:jc w:val="left"/>
      </w:pPr>
      <w:r>
        <w:t>29.</w:t>
      </w:r>
      <w:r>
        <w:tab/>
        <w:t>Vaismoradi m., salsali m. &amp; ahmadi f. (2011) Nurses’ experiences of uncertainty in clinical practice: a descriptive study. Journal of Advanced Nursing 67(5), 991–999.</w:t>
      </w:r>
    </w:p>
    <w:p w14:paraId="42AC70DC" w14:textId="77777777" w:rsidR="007E68B1" w:rsidRDefault="007E68B1" w:rsidP="007E68B1">
      <w:pPr>
        <w:ind w:hanging="270"/>
        <w:jc w:val="left"/>
      </w:pPr>
      <w:r>
        <w:t>30.</w:t>
      </w:r>
      <w:r>
        <w:tab/>
        <w:t>Cranley, L., Doran, D., Tourangeau, A. E., Kushniruk, A., &amp; Nagle, L. M. (2012). Recognizing and Responding to Uncertainty: A Grounded Theory of Nurses’ Uncertainty. Worldviews on Evidence-Based Nursing, 9(3), 149–158.</w:t>
      </w:r>
    </w:p>
    <w:p w14:paraId="6C727339" w14:textId="77777777" w:rsidR="007E68B1" w:rsidRDefault="007E68B1" w:rsidP="007E68B1">
      <w:pPr>
        <w:ind w:hanging="270"/>
        <w:jc w:val="left"/>
      </w:pPr>
      <w:r>
        <w:t>31.</w:t>
      </w:r>
      <w:r>
        <w:tab/>
        <w:t xml:space="preserve">Cranley, L., Doran, D., Tourangeau, A. E., Kushniruk, A., &amp; Nagle, L. M. (2009). Nurses’ Uncertainty in Decision-Making: A Literature Review. Worldviews on Evidence-Based Nursing, 6(1), 3–15. </w:t>
      </w:r>
    </w:p>
    <w:p w14:paraId="7DBB4099" w14:textId="77777777" w:rsidR="007E68B1" w:rsidRDefault="007E68B1" w:rsidP="007E68B1">
      <w:pPr>
        <w:ind w:hanging="270"/>
        <w:jc w:val="left"/>
      </w:pPr>
      <w:r>
        <w:t>32.</w:t>
      </w:r>
      <w:r>
        <w:tab/>
        <w:t>Paans w., sermeus w., nieweg r.M.B. &amp; van der schans c.P. (2010) Prevalence of accurate nursing documentation in patient records. Journal of Advanced Nursing 66(11), 2481–2489.</w:t>
      </w:r>
    </w:p>
    <w:p w14:paraId="13AA2732" w14:textId="77777777" w:rsidR="007E68B1" w:rsidRDefault="007E68B1" w:rsidP="007E68B1">
      <w:pPr>
        <w:ind w:hanging="270"/>
        <w:jc w:val="left"/>
      </w:pPr>
      <w:r>
        <w:t>33.</w:t>
      </w:r>
      <w:r>
        <w:tab/>
        <w:t>McCarthy, B., Fitzgerald, S., O’Shea, M., Condon, C., Hartnett-Collins, G., Clancy, M., Sheehy, A., Denieffe, S., Bergin, M. H., &amp; Savage, E. (2019). Electronic nursing documentation interventions to promote or improve patient safety and quality care: A systematic review. Journal of Nursing Management, 27(3), 491–501</w:t>
      </w:r>
    </w:p>
    <w:p w14:paraId="01AE5527" w14:textId="77777777" w:rsidR="007E68B1" w:rsidRDefault="007E68B1" w:rsidP="007E68B1">
      <w:pPr>
        <w:ind w:hanging="270"/>
        <w:jc w:val="left"/>
      </w:pPr>
      <w:r>
        <w:rPr>
          <w:rFonts w:hint="eastAsia"/>
        </w:rPr>
        <w:t>34.</w:t>
      </w:r>
      <w:r>
        <w:rPr>
          <w:rFonts w:hint="eastAsia"/>
        </w:rPr>
        <w:tab/>
        <w:t>Akhu-Zaheya, L., AbuAlRub, R. F., &amp; Hani, S. H. B. (2018). Quality of nursing documentation: Paper</w:t>
      </w:r>
      <w:r>
        <w:rPr>
          <w:rFonts w:hint="eastAsia"/>
        </w:rPr>
        <w:t>‐</w:t>
      </w:r>
      <w:r>
        <w:rPr>
          <w:rFonts w:hint="eastAsia"/>
        </w:rPr>
        <w:t>based health records versus electronic</w:t>
      </w:r>
      <w:r>
        <w:rPr>
          <w:rFonts w:hint="eastAsia"/>
        </w:rPr>
        <w:t>‐</w:t>
      </w:r>
      <w:r>
        <w:rPr>
          <w:rFonts w:hint="eastAsia"/>
        </w:rPr>
        <w:t>based health records. Journal of Clinical Nursing, 27(3</w:t>
      </w:r>
      <w:r>
        <w:rPr>
          <w:rFonts w:hint="eastAsia"/>
        </w:rPr>
        <w:t>–</w:t>
      </w:r>
      <w:r>
        <w:rPr>
          <w:rFonts w:hint="eastAsia"/>
        </w:rPr>
        <w:t>4).</w:t>
      </w:r>
    </w:p>
    <w:p w14:paraId="18055E2F" w14:textId="77777777" w:rsidR="007E68B1" w:rsidRDefault="007E68B1" w:rsidP="007E68B1">
      <w:pPr>
        <w:ind w:hanging="270"/>
        <w:jc w:val="left"/>
      </w:pPr>
      <w:r>
        <w:t>35.</w:t>
      </w:r>
      <w:r>
        <w:tab/>
        <w:t>De Souza, M. F., Wenzel, F., Zanei, S. S. V., &amp; Whitaker, I. Y. (2013). Pressure ulcers in the intensive care unit: the relationship between nursing workload, illness severity and pressure ulcer risk. Journal of Clinical Nursing, 22(15–16), 2183–2191.</w:t>
      </w:r>
    </w:p>
    <w:p w14:paraId="20FB0094" w14:textId="77777777" w:rsidR="007E68B1" w:rsidRDefault="007E68B1" w:rsidP="007E68B1">
      <w:pPr>
        <w:ind w:hanging="270"/>
        <w:jc w:val="left"/>
      </w:pPr>
      <w:r>
        <w:t>36.</w:t>
      </w:r>
      <w:r>
        <w:tab/>
        <w:t>Rycroft-Malone, J., Fontenla, M., Seers, K., &amp; Bick, D. (2009). Protocol-based care: the standardisation of decision-making? Journal of Clinical Nursing, 18(10), 1490–1500.</w:t>
      </w:r>
    </w:p>
    <w:p w14:paraId="5851ED87" w14:textId="77777777" w:rsidR="007E68B1" w:rsidRDefault="007E68B1" w:rsidP="007E68B1">
      <w:pPr>
        <w:ind w:hanging="270"/>
        <w:jc w:val="left"/>
      </w:pPr>
      <w:r>
        <w:t>37.</w:t>
      </w:r>
      <w:r>
        <w:tab/>
        <w:t>Ebi, W. E., Hirko, G. F., &amp; Mijena, D. A. (2019). Nurses’ knowledge to pressure ulcer prevention in public hospitals in Wollega: a cross-sectional study design. BMC nursing, 18(1), 1-12.</w:t>
      </w:r>
      <w:r>
        <w:rPr>
          <w:rtl/>
        </w:rPr>
        <w:t>‏</w:t>
      </w:r>
    </w:p>
    <w:p w14:paraId="473BFD6D" w14:textId="5A1243FC" w:rsidR="007D522D" w:rsidRDefault="007E68B1" w:rsidP="007E68B1">
      <w:pPr>
        <w:ind w:hanging="270"/>
        <w:jc w:val="left"/>
      </w:pPr>
      <w:r>
        <w:t>38.</w:t>
      </w:r>
      <w:r>
        <w:tab/>
        <w:t>Cheng, F. M., Jin, Y. J., Chien, C. W., Chuang, Y. C., &amp; Tung, T. H. (2021). The application of braden scale and rough set theory for pressure injury risk in elderly male population. Journal of Men's Health, 17(4), 156-165.</w:t>
      </w:r>
      <w:r>
        <w:rPr>
          <w:rtl/>
        </w:rPr>
        <w:t>‏</w:t>
      </w:r>
    </w:p>
    <w:sectPr w:rsidR="007D522D" w:rsidSect="00AE7B98">
      <w:headerReference w:type="even" r:id="rId14"/>
      <w:headerReference w:type="default" r:id="rId15"/>
      <w:footerReference w:type="default" r:id="rId16"/>
      <w:headerReference w:type="first" r:id="rId17"/>
      <w:type w:val="continuous"/>
      <w:pgSz w:w="11906" w:h="16838"/>
      <w:pgMar w:top="1080" w:right="734" w:bottom="1080" w:left="734" w:header="274"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1929" w14:textId="77777777" w:rsidR="001A71F5" w:rsidRDefault="001A71F5" w:rsidP="003C5B4F">
      <w:r>
        <w:separator/>
      </w:r>
    </w:p>
  </w:endnote>
  <w:endnote w:type="continuationSeparator" w:id="0">
    <w:p w14:paraId="1060D05B" w14:textId="77777777" w:rsidR="001A71F5" w:rsidRDefault="001A71F5"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5" w:type="dxa"/>
      <w:jc w:val="center"/>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1614"/>
      <w:gridCol w:w="7920"/>
      <w:gridCol w:w="891"/>
    </w:tblGrid>
    <w:tr w:rsidR="00326EDB" w:rsidRPr="00C020F5" w14:paraId="141F0840" w14:textId="77777777" w:rsidTr="00326EDB">
      <w:trPr>
        <w:trHeight w:val="70"/>
        <w:jc w:val="center"/>
      </w:trPr>
      <w:tc>
        <w:tcPr>
          <w:tcW w:w="1614" w:type="dxa"/>
          <w:vAlign w:val="center"/>
          <w:hideMark/>
        </w:tcPr>
        <w:p w14:paraId="7A2C1989" w14:textId="77777777" w:rsidR="00326EDB" w:rsidRPr="00C020F5" w:rsidRDefault="00326EDB" w:rsidP="00326EDB">
          <w:pPr>
            <w:pStyle w:val="Footer"/>
            <w:spacing w:before="40" w:after="40"/>
            <w:rPr>
              <w:rFonts w:ascii="Arial" w:hAnsi="Arial" w:cs="Arial"/>
              <w:b/>
              <w:bCs/>
              <w:color w:val="1F3864"/>
            </w:rPr>
          </w:pPr>
          <w:r>
            <w:rPr>
              <w:rFonts w:ascii="Arial" w:hAnsi="Arial" w:cs="Arial"/>
              <w:b/>
              <w:bCs/>
              <w:color w:val="1F3864"/>
            </w:rPr>
            <w:t>Paper id</w:t>
          </w:r>
        </w:p>
      </w:tc>
      <w:tc>
        <w:tcPr>
          <w:tcW w:w="7920" w:type="dxa"/>
          <w:vAlign w:val="center"/>
          <w:hideMark/>
        </w:tcPr>
        <w:p w14:paraId="08DC982E" w14:textId="77777777" w:rsidR="00326EDB" w:rsidRPr="002D0803" w:rsidRDefault="00326EDB" w:rsidP="00C15795">
          <w:pPr>
            <w:pStyle w:val="Footer"/>
            <w:spacing w:before="40" w:after="40"/>
            <w:rPr>
              <w:rFonts w:ascii="Arial" w:hAnsi="Arial" w:cs="Arial"/>
              <w:b/>
              <w:bCs/>
              <w:color w:val="244061" w:themeColor="accent1" w:themeShade="80"/>
            </w:rPr>
          </w:pPr>
          <w:r w:rsidRPr="002D0803">
            <w:rPr>
              <w:rFonts w:ascii="Arial" w:eastAsia="PMingLiU" w:hAnsi="Arial" w:cs="Arial"/>
              <w:b/>
              <w:color w:val="244061" w:themeColor="accent1" w:themeShade="80"/>
              <w:lang w:eastAsia="zh-TW" w:bidi="hi-IN"/>
            </w:rPr>
            <w:t xml:space="preserve">Journal of Emerging Technologies and Innovative Research (JETIR) </w:t>
          </w:r>
          <w:hyperlink r:id="rId1" w:history="1">
            <w:r w:rsidRPr="002D0803">
              <w:rPr>
                <w:rFonts w:ascii="Arial" w:eastAsia="PMingLiU" w:hAnsi="Arial" w:cs="Arial"/>
                <w:color w:val="0070C0"/>
                <w:u w:val="single"/>
                <w:lang w:bidi="hi-IN"/>
              </w:rPr>
              <w:t>www.jetir.org</w:t>
            </w:r>
          </w:hyperlink>
        </w:p>
      </w:tc>
      <w:tc>
        <w:tcPr>
          <w:tcW w:w="891" w:type="dxa"/>
          <w:vAlign w:val="center"/>
          <w:hideMark/>
        </w:tcPr>
        <w:p w14:paraId="11C6D67C" w14:textId="77777777" w:rsidR="00326EDB" w:rsidRPr="00C020F5" w:rsidRDefault="00326EDB" w:rsidP="00326EDB">
          <w:pPr>
            <w:pStyle w:val="Header"/>
            <w:spacing w:before="40" w:after="40"/>
            <w:rPr>
              <w:rFonts w:ascii="Arial" w:hAnsi="Arial" w:cs="Arial"/>
              <w:b/>
              <w:color w:val="1F3864"/>
            </w:rPr>
          </w:pPr>
          <w:r w:rsidRPr="00C020F5">
            <w:rPr>
              <w:rFonts w:ascii="Arial" w:hAnsi="Arial" w:cs="Arial"/>
              <w:b/>
              <w:color w:val="1F3864"/>
            </w:rPr>
            <w:fldChar w:fldCharType="begin"/>
          </w:r>
          <w:r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Pr>
              <w:rFonts w:ascii="Arial" w:hAnsi="Arial" w:cs="Arial"/>
              <w:b/>
              <w:noProof/>
              <w:color w:val="1F3864"/>
            </w:rPr>
            <w:t>25</w:t>
          </w:r>
          <w:r w:rsidRPr="00C020F5">
            <w:rPr>
              <w:rFonts w:ascii="Arial" w:hAnsi="Arial" w:cs="Arial"/>
              <w:b/>
              <w:color w:val="1F3864"/>
            </w:rPr>
            <w:fldChar w:fldCharType="end"/>
          </w:r>
        </w:p>
      </w:tc>
    </w:tr>
  </w:tbl>
  <w:p w14:paraId="058C3162" w14:textId="77777777" w:rsidR="00326EDB" w:rsidRPr="002D0803" w:rsidRDefault="00326EDB" w:rsidP="00437460">
    <w:pPr>
      <w:pStyle w:val="Footer"/>
      <w:jc w:val="both"/>
      <w:rPr>
        <w:rFonts w:asciiTheme="majorHAnsi" w:hAnsiTheme="majorHAnsi"/>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D2CC" w14:textId="77777777" w:rsidR="001A71F5" w:rsidRDefault="001A71F5" w:rsidP="003C5B4F">
      <w:r>
        <w:separator/>
      </w:r>
    </w:p>
  </w:footnote>
  <w:footnote w:type="continuationSeparator" w:id="0">
    <w:p w14:paraId="2DCAAAFE" w14:textId="77777777" w:rsidR="001A71F5" w:rsidRDefault="001A71F5"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1E45" w14:textId="77777777" w:rsidR="00326EDB" w:rsidRDefault="001A71F5">
    <w:pPr>
      <w:pStyle w:val="Header"/>
    </w:pPr>
    <w:r>
      <w:rPr>
        <w:noProof/>
        <w:lang w:eastAsia="en-US"/>
      </w:rPr>
      <w:pict w14:anchorId="00EC1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1" o:spid="_x0000_s1032" type="#_x0000_t75" style="position:absolute;left:0;text-align:left;margin-left:0;margin-top:0;width:471.35pt;height:290.25pt;z-index:-251657728;mso-position-horizontal:center;mso-position-horizontal-relative:margin;mso-position-vertical:center;mso-position-vertical-relative:margin" o:allowincell="f">
          <v:imagedata r:id="rId1" o:title="smalled-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2515" w14:textId="77777777" w:rsidR="00326EDB" w:rsidRPr="000471C9" w:rsidRDefault="00326EDB" w:rsidP="002D0803">
    <w:pPr>
      <w:pStyle w:val="Header"/>
      <w:pBdr>
        <w:bottom w:val="single" w:sz="12" w:space="1" w:color="auto"/>
      </w:pBdr>
      <w:tabs>
        <w:tab w:val="clear" w:pos="9360"/>
        <w:tab w:val="right" w:pos="10800"/>
      </w:tabs>
      <w:jc w:val="both"/>
      <w:rPr>
        <w:rFonts w:ascii="Arial" w:eastAsia="Calibri" w:hAnsi="Arial" w:cs="Arial"/>
        <w:b/>
        <w:kern w:val="2"/>
        <w:lang w:eastAsia="zh-TW"/>
      </w:rPr>
    </w:pPr>
    <w:r w:rsidRPr="00C020F5">
      <w:rPr>
        <w:rFonts w:ascii="Arial" w:hAnsi="Arial" w:cs="Arial"/>
        <w:b/>
        <w:noProof/>
        <w:color w:val="215868" w:themeColor="accent5" w:themeShade="80"/>
        <w:sz w:val="22"/>
        <w:lang w:val="en-IN" w:eastAsia="en-US"/>
      </w:rPr>
      <w:t>©</w:t>
    </w:r>
    <w:r>
      <w:rPr>
        <w:rFonts w:ascii="Arial" w:hAnsi="Arial" w:cs="Arial"/>
        <w:b/>
        <w:noProof/>
        <w:color w:val="215868" w:themeColor="accent5" w:themeShade="80"/>
        <w:lang w:val="en-IN"/>
      </w:rPr>
      <w:t xml:space="preserve"> 20XX </w:t>
    </w:r>
    <w:r w:rsidRPr="00B61085">
      <w:rPr>
        <w:rFonts w:ascii="Arial" w:hAnsi="Arial" w:cs="Arial"/>
        <w:b/>
        <w:noProof/>
        <w:color w:val="215868" w:themeColor="accent5" w:themeShade="80"/>
        <w:sz w:val="22"/>
        <w:lang w:val="en-IN" w:eastAsia="en-US"/>
      </w:rPr>
      <w:t>JETIR</w:t>
    </w:r>
    <w:r w:rsidRPr="00C020F5">
      <w:rPr>
        <w:rFonts w:ascii="Arial" w:hAnsi="Arial" w:cs="Arial"/>
        <w:b/>
        <w:noProof/>
        <w:color w:val="215868" w:themeColor="accent5" w:themeShade="80"/>
        <w:lang w:val="en-IN"/>
      </w:rPr>
      <w:t xml:space="preserve"> </w:t>
    </w:r>
    <w:r>
      <w:rPr>
        <w:rFonts w:ascii="Arial" w:hAnsi="Arial" w:cs="Arial"/>
        <w:b/>
        <w:noProof/>
        <w:color w:val="215868" w:themeColor="accent5" w:themeShade="80"/>
        <w:sz w:val="22"/>
        <w:lang w:val="en-IN" w:eastAsia="en-US"/>
      </w:rPr>
      <w:t>Month</w:t>
    </w:r>
    <w:r w:rsidRPr="00B61085">
      <w:rPr>
        <w:rFonts w:ascii="Arial" w:hAnsi="Arial" w:cs="Arial"/>
        <w:b/>
        <w:noProof/>
        <w:color w:val="215868" w:themeColor="accent5" w:themeShade="80"/>
        <w:sz w:val="22"/>
        <w:lang w:val="en-IN"/>
      </w:rPr>
      <w:t xml:space="preserve"> </w:t>
    </w:r>
    <w:r w:rsidRPr="00B61085">
      <w:rPr>
        <w:rFonts w:ascii="Arial" w:hAnsi="Arial" w:cs="Arial"/>
        <w:b/>
        <w:noProof/>
        <w:color w:val="215868" w:themeColor="accent5" w:themeShade="80"/>
        <w:sz w:val="22"/>
        <w:lang w:val="en-IN" w:eastAsia="en-US"/>
      </w:rPr>
      <w:t>201</w:t>
    </w:r>
    <w:r>
      <w:rPr>
        <w:rFonts w:ascii="Arial" w:hAnsi="Arial" w:cs="Arial"/>
        <w:b/>
        <w:noProof/>
        <w:color w:val="215868" w:themeColor="accent5" w:themeShade="80"/>
        <w:sz w:val="22"/>
        <w:lang w:val="en-IN" w:eastAsia="en-US"/>
      </w:rPr>
      <w:t>X</w:t>
    </w:r>
    <w:r w:rsidRPr="00B61085">
      <w:rPr>
        <w:rFonts w:ascii="Arial" w:hAnsi="Arial" w:cs="Arial"/>
        <w:b/>
        <w:noProof/>
        <w:color w:val="215868" w:themeColor="accent5" w:themeShade="80"/>
        <w:sz w:val="22"/>
        <w:lang w:val="en-IN" w:eastAsia="en-US"/>
      </w:rPr>
      <w:t xml:space="preserve">, Volume </w:t>
    </w:r>
    <w:r>
      <w:rPr>
        <w:rFonts w:ascii="Arial" w:hAnsi="Arial" w:cs="Arial"/>
        <w:b/>
        <w:noProof/>
        <w:color w:val="215868" w:themeColor="accent5" w:themeShade="80"/>
        <w:sz w:val="22"/>
        <w:lang w:val="en-IN" w:eastAsia="en-US"/>
      </w:rPr>
      <w:t>X</w:t>
    </w:r>
    <w:r w:rsidRPr="00B61085">
      <w:rPr>
        <w:rFonts w:ascii="Arial" w:hAnsi="Arial" w:cs="Arial"/>
        <w:b/>
        <w:noProof/>
        <w:color w:val="215868" w:themeColor="accent5" w:themeShade="80"/>
        <w:sz w:val="22"/>
        <w:lang w:val="en-IN" w:eastAsia="en-US"/>
      </w:rPr>
      <w:t xml:space="preserve">, Issue </w:t>
    </w:r>
    <w:r>
      <w:rPr>
        <w:rFonts w:ascii="Arial" w:hAnsi="Arial" w:cs="Arial"/>
        <w:b/>
        <w:noProof/>
        <w:color w:val="215868" w:themeColor="accent5" w:themeShade="80"/>
        <w:sz w:val="22"/>
        <w:lang w:val="en-IN" w:eastAsia="en-US"/>
      </w:rPr>
      <w:t>X</w:t>
    </w:r>
    <w:r w:rsidRPr="00B61085">
      <w:rPr>
        <w:rFonts w:ascii="Arial" w:hAnsi="Arial" w:cs="Arial"/>
        <w:b/>
        <w:noProof/>
        <w:color w:val="215868" w:themeColor="accent5" w:themeShade="80"/>
        <w:lang w:val="en-IN"/>
      </w:rPr>
      <w:t xml:space="preserve"> </w:t>
    </w:r>
    <w:r>
      <w:rPr>
        <w:rFonts w:ascii="Arial" w:hAnsi="Arial" w:cs="Arial"/>
        <w:b/>
        <w:noProof/>
        <w:color w:val="215868" w:themeColor="accent5" w:themeShade="80"/>
        <w:lang w:val="en-IN"/>
      </w:rPr>
      <w:t xml:space="preserve">                                          </w:t>
    </w:r>
    <w:r w:rsidRPr="002D0803">
      <w:rPr>
        <w:rFonts w:ascii="Arial" w:hAnsi="Arial" w:cs="Arial"/>
        <w:b/>
        <w:noProof/>
        <w:color w:val="215868" w:themeColor="accent5" w:themeShade="80"/>
        <w:sz w:val="22"/>
        <w:lang w:val="en-IN"/>
      </w:rPr>
      <w:t xml:space="preserve">www.jetir.org </w:t>
    </w:r>
    <w:r w:rsidRPr="002D0803">
      <w:rPr>
        <w:b/>
        <w:noProof/>
        <w:sz w:val="22"/>
        <w:lang w:eastAsia="en-US"/>
      </w:rPr>
      <w:drawing>
        <wp:anchor distT="0" distB="0" distL="114300" distR="114300" simplePos="0" relativeHeight="251660800" behindDoc="1" locked="0" layoutInCell="0" allowOverlap="1" wp14:anchorId="7C7A53B8" wp14:editId="7BEABB9E">
          <wp:simplePos x="0" y="0"/>
          <wp:positionH relativeFrom="margin">
            <wp:align>center</wp:align>
          </wp:positionH>
          <wp:positionV relativeFrom="margin">
            <wp:align>center</wp:align>
          </wp:positionV>
          <wp:extent cx="4554855" cy="4554855"/>
          <wp:effectExtent l="0" t="0" r="0" b="0"/>
          <wp:wrapNone/>
          <wp:docPr id="8" name="Picture 8" descr="Final_Jet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nal_Jetir_Logo"/>
                  <pic:cNvPicPr>
                    <a:picLocks noChangeAspect="1" noChangeArrowheads="1"/>
                  </pic:cNvPicPr>
                </pic:nvPicPr>
                <pic:blipFill>
                  <a:blip r:embed="rId1" cstate="print">
                    <a:lum bright="70000" contrast="-70000"/>
                  </a:blip>
                  <a:srcRect/>
                  <a:stretch>
                    <a:fillRect/>
                  </a:stretch>
                </pic:blipFill>
                <pic:spPr bwMode="auto">
                  <a:xfrm>
                    <a:off x="0" y="0"/>
                    <a:ext cx="4554855" cy="4554855"/>
                  </a:xfrm>
                  <a:prstGeom prst="rect">
                    <a:avLst/>
                  </a:prstGeom>
                  <a:noFill/>
                  <a:ln w="9525">
                    <a:noFill/>
                    <a:miter lim="800000"/>
                    <a:headEnd/>
                    <a:tailEnd/>
                  </a:ln>
                </pic:spPr>
              </pic:pic>
            </a:graphicData>
          </a:graphic>
        </wp:anchor>
      </w:drawing>
    </w:r>
    <w:r w:rsidRPr="002D0803">
      <w:rPr>
        <w:rFonts w:ascii="Arial" w:hAnsi="Arial" w:cs="Arial"/>
        <w:b/>
        <w:noProof/>
        <w:color w:val="215868" w:themeColor="accent5" w:themeShade="80"/>
        <w:sz w:val="22"/>
        <w:lang w:val="en-IN"/>
      </w:rPr>
      <w:t xml:space="preserve"> </w:t>
    </w:r>
    <w:r w:rsidRPr="00B61085">
      <w:rPr>
        <w:rFonts w:ascii="Arial" w:hAnsi="Arial" w:cs="Arial"/>
        <w:b/>
        <w:noProof/>
        <w:color w:val="215868" w:themeColor="accent5" w:themeShade="80"/>
        <w:sz w:val="22"/>
        <w:lang w:val="en-IN" w:eastAsia="en-US"/>
      </w:rPr>
      <w:t>(ISSN-2349-5162)</w:t>
    </w:r>
    <w:r>
      <w:rPr>
        <w:rFonts w:ascii="Arial" w:hAnsi="Arial" w:cs="Arial"/>
        <w:b/>
        <w:noProof/>
        <w:color w:val="215868" w:themeColor="accent5" w:themeShade="80"/>
        <w:lang w:val="en-IN"/>
      </w:rPr>
      <w:t xml:space="preserve"> </w:t>
    </w:r>
  </w:p>
  <w:p w14:paraId="4CEE6275" w14:textId="77777777" w:rsidR="00326EDB" w:rsidRPr="002D0803" w:rsidRDefault="00326EDB" w:rsidP="002D0803">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40E1" w14:textId="77777777" w:rsidR="00326EDB" w:rsidRDefault="001A71F5">
    <w:pPr>
      <w:pStyle w:val="Header"/>
    </w:pPr>
    <w:r>
      <w:rPr>
        <w:noProof/>
        <w:lang w:eastAsia="en-US"/>
      </w:rPr>
      <w:pict w14:anchorId="772C9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0" o:spid="_x0000_s1031" type="#_x0000_t75" style="position:absolute;left:0;text-align:left;margin-left:0;margin-top:0;width:471.35pt;height:290.25pt;z-index:-251658752;mso-position-horizontal:center;mso-position-horizontal-relative:margin;mso-position-vertical:center;mso-position-vertical-relative:margin" o:allowincell="f">
          <v:imagedata r:id="rId1" o:title="smalled-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24940475"/>
    <w:multiLevelType w:val="hybridMultilevel"/>
    <w:tmpl w:val="57442CB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FFD7CB7"/>
    <w:multiLevelType w:val="hybridMultilevel"/>
    <w:tmpl w:val="98B6F0F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21935372">
    <w:abstractNumId w:val="0"/>
  </w:num>
  <w:num w:numId="2" w16cid:durableId="200047747">
    <w:abstractNumId w:val="1"/>
  </w:num>
  <w:num w:numId="3" w16cid:durableId="286355352">
    <w:abstractNumId w:val="2"/>
  </w:num>
  <w:num w:numId="4" w16cid:durableId="456145190">
    <w:abstractNumId w:val="3"/>
  </w:num>
  <w:num w:numId="5" w16cid:durableId="403139800">
    <w:abstractNumId w:val="4"/>
  </w:num>
  <w:num w:numId="6" w16cid:durableId="1848137131">
    <w:abstractNumId w:val="5"/>
  </w:num>
  <w:num w:numId="7" w16cid:durableId="388722435">
    <w:abstractNumId w:val="0"/>
  </w:num>
  <w:num w:numId="8" w16cid:durableId="451484988">
    <w:abstractNumId w:val="10"/>
  </w:num>
  <w:num w:numId="9" w16cid:durableId="556163121">
    <w:abstractNumId w:val="8"/>
  </w:num>
  <w:num w:numId="10" w16cid:durableId="1180044229">
    <w:abstractNumId w:val="7"/>
  </w:num>
  <w:num w:numId="11" w16cid:durableId="801775510">
    <w:abstractNumId w:val="6"/>
  </w:num>
  <w:num w:numId="12" w16cid:durableId="580523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D7"/>
    <w:rsid w:val="00001AB1"/>
    <w:rsid w:val="00006D28"/>
    <w:rsid w:val="00016C60"/>
    <w:rsid w:val="000276B9"/>
    <w:rsid w:val="000334C0"/>
    <w:rsid w:val="000433AA"/>
    <w:rsid w:val="00051DEF"/>
    <w:rsid w:val="000551EB"/>
    <w:rsid w:val="00073AF6"/>
    <w:rsid w:val="0008478E"/>
    <w:rsid w:val="0009019E"/>
    <w:rsid w:val="000909A4"/>
    <w:rsid w:val="00090C51"/>
    <w:rsid w:val="00090F66"/>
    <w:rsid w:val="00092B52"/>
    <w:rsid w:val="00094847"/>
    <w:rsid w:val="000A0616"/>
    <w:rsid w:val="000A1397"/>
    <w:rsid w:val="000A2CA5"/>
    <w:rsid w:val="000A459A"/>
    <w:rsid w:val="000A5952"/>
    <w:rsid w:val="000C05EA"/>
    <w:rsid w:val="000C787C"/>
    <w:rsid w:val="000D27FF"/>
    <w:rsid w:val="000D2C00"/>
    <w:rsid w:val="000E155C"/>
    <w:rsid w:val="000F325E"/>
    <w:rsid w:val="000F7D6F"/>
    <w:rsid w:val="001268F3"/>
    <w:rsid w:val="001348C1"/>
    <w:rsid w:val="00134E3C"/>
    <w:rsid w:val="00143329"/>
    <w:rsid w:val="00155BA8"/>
    <w:rsid w:val="001611D6"/>
    <w:rsid w:val="0018271C"/>
    <w:rsid w:val="0018284C"/>
    <w:rsid w:val="001832AE"/>
    <w:rsid w:val="00191A5B"/>
    <w:rsid w:val="00192B7C"/>
    <w:rsid w:val="001965AF"/>
    <w:rsid w:val="001A04A7"/>
    <w:rsid w:val="001A1321"/>
    <w:rsid w:val="001A55D0"/>
    <w:rsid w:val="001A71F5"/>
    <w:rsid w:val="001B1B9B"/>
    <w:rsid w:val="001B1F34"/>
    <w:rsid w:val="001C2F82"/>
    <w:rsid w:val="001C564F"/>
    <w:rsid w:val="001C5ADF"/>
    <w:rsid w:val="001E1ED1"/>
    <w:rsid w:val="001E35CC"/>
    <w:rsid w:val="001F0D66"/>
    <w:rsid w:val="001F510F"/>
    <w:rsid w:val="002232EE"/>
    <w:rsid w:val="00227F35"/>
    <w:rsid w:val="00231136"/>
    <w:rsid w:val="002369C1"/>
    <w:rsid w:val="00237F10"/>
    <w:rsid w:val="00266C38"/>
    <w:rsid w:val="00273665"/>
    <w:rsid w:val="002863F6"/>
    <w:rsid w:val="00291030"/>
    <w:rsid w:val="002A01FF"/>
    <w:rsid w:val="002C193A"/>
    <w:rsid w:val="002C60BB"/>
    <w:rsid w:val="002D0803"/>
    <w:rsid w:val="002D2B54"/>
    <w:rsid w:val="002D2D52"/>
    <w:rsid w:val="002F2BDD"/>
    <w:rsid w:val="002F4993"/>
    <w:rsid w:val="002F4DA0"/>
    <w:rsid w:val="00315A5D"/>
    <w:rsid w:val="003165B7"/>
    <w:rsid w:val="003219E0"/>
    <w:rsid w:val="00321D80"/>
    <w:rsid w:val="00324A8C"/>
    <w:rsid w:val="00326EDB"/>
    <w:rsid w:val="003351F3"/>
    <w:rsid w:val="00337D93"/>
    <w:rsid w:val="003659F6"/>
    <w:rsid w:val="00370FE0"/>
    <w:rsid w:val="0037519A"/>
    <w:rsid w:val="00384A58"/>
    <w:rsid w:val="00385BC4"/>
    <w:rsid w:val="003867C1"/>
    <w:rsid w:val="003949C2"/>
    <w:rsid w:val="003A02AC"/>
    <w:rsid w:val="003A2A8D"/>
    <w:rsid w:val="003A4DBC"/>
    <w:rsid w:val="003B23FF"/>
    <w:rsid w:val="003B4820"/>
    <w:rsid w:val="003B49B2"/>
    <w:rsid w:val="003C3228"/>
    <w:rsid w:val="003C5B4F"/>
    <w:rsid w:val="003D42C5"/>
    <w:rsid w:val="003D558C"/>
    <w:rsid w:val="003E0471"/>
    <w:rsid w:val="003E13F1"/>
    <w:rsid w:val="003E1D6B"/>
    <w:rsid w:val="003F3C7A"/>
    <w:rsid w:val="003F48E5"/>
    <w:rsid w:val="00404712"/>
    <w:rsid w:val="00404997"/>
    <w:rsid w:val="00422153"/>
    <w:rsid w:val="004235A7"/>
    <w:rsid w:val="00426065"/>
    <w:rsid w:val="00426691"/>
    <w:rsid w:val="00435054"/>
    <w:rsid w:val="00437175"/>
    <w:rsid w:val="00437460"/>
    <w:rsid w:val="00440668"/>
    <w:rsid w:val="004577F1"/>
    <w:rsid w:val="0046659E"/>
    <w:rsid w:val="004714B7"/>
    <w:rsid w:val="004754F6"/>
    <w:rsid w:val="004855FD"/>
    <w:rsid w:val="0048617F"/>
    <w:rsid w:val="0049086F"/>
    <w:rsid w:val="004930EB"/>
    <w:rsid w:val="004959E9"/>
    <w:rsid w:val="004A484F"/>
    <w:rsid w:val="004A7B49"/>
    <w:rsid w:val="004B0F55"/>
    <w:rsid w:val="004B1878"/>
    <w:rsid w:val="004B3703"/>
    <w:rsid w:val="004C32D7"/>
    <w:rsid w:val="004C3410"/>
    <w:rsid w:val="004C7824"/>
    <w:rsid w:val="004D55E5"/>
    <w:rsid w:val="004D5B0B"/>
    <w:rsid w:val="004F2693"/>
    <w:rsid w:val="004F3DA3"/>
    <w:rsid w:val="004F3F5F"/>
    <w:rsid w:val="004F6F20"/>
    <w:rsid w:val="005044C1"/>
    <w:rsid w:val="00504781"/>
    <w:rsid w:val="00504FB5"/>
    <w:rsid w:val="00515B09"/>
    <w:rsid w:val="00527CE5"/>
    <w:rsid w:val="0053674B"/>
    <w:rsid w:val="00541F15"/>
    <w:rsid w:val="005562E4"/>
    <w:rsid w:val="00564ACC"/>
    <w:rsid w:val="00580A4A"/>
    <w:rsid w:val="00581AFB"/>
    <w:rsid w:val="00582298"/>
    <w:rsid w:val="00583770"/>
    <w:rsid w:val="0059006B"/>
    <w:rsid w:val="00591DEC"/>
    <w:rsid w:val="00594FA0"/>
    <w:rsid w:val="005A173D"/>
    <w:rsid w:val="005B05C7"/>
    <w:rsid w:val="005D2EF1"/>
    <w:rsid w:val="005E1EA1"/>
    <w:rsid w:val="005E35DE"/>
    <w:rsid w:val="00600513"/>
    <w:rsid w:val="006005F8"/>
    <w:rsid w:val="00602C71"/>
    <w:rsid w:val="006112BB"/>
    <w:rsid w:val="00627676"/>
    <w:rsid w:val="0063041E"/>
    <w:rsid w:val="00655E23"/>
    <w:rsid w:val="00655F3C"/>
    <w:rsid w:val="0066129D"/>
    <w:rsid w:val="00682140"/>
    <w:rsid w:val="006862A2"/>
    <w:rsid w:val="00692375"/>
    <w:rsid w:val="00692A38"/>
    <w:rsid w:val="00695707"/>
    <w:rsid w:val="006A0CBE"/>
    <w:rsid w:val="006A18A8"/>
    <w:rsid w:val="006A5B99"/>
    <w:rsid w:val="006C5DAA"/>
    <w:rsid w:val="006C6174"/>
    <w:rsid w:val="006D47B6"/>
    <w:rsid w:val="006D762E"/>
    <w:rsid w:val="006E255F"/>
    <w:rsid w:val="006E4155"/>
    <w:rsid w:val="006E75A5"/>
    <w:rsid w:val="006F7D3D"/>
    <w:rsid w:val="0070086A"/>
    <w:rsid w:val="007079C8"/>
    <w:rsid w:val="007275C4"/>
    <w:rsid w:val="00727799"/>
    <w:rsid w:val="007354EB"/>
    <w:rsid w:val="00737E30"/>
    <w:rsid w:val="007423FC"/>
    <w:rsid w:val="00744FBA"/>
    <w:rsid w:val="00747DED"/>
    <w:rsid w:val="007500D1"/>
    <w:rsid w:val="00756A88"/>
    <w:rsid w:val="00762592"/>
    <w:rsid w:val="007633CC"/>
    <w:rsid w:val="007814DB"/>
    <w:rsid w:val="00782518"/>
    <w:rsid w:val="00782763"/>
    <w:rsid w:val="007A7721"/>
    <w:rsid w:val="007B1F07"/>
    <w:rsid w:val="007C6A58"/>
    <w:rsid w:val="007D0544"/>
    <w:rsid w:val="007D452E"/>
    <w:rsid w:val="007D522D"/>
    <w:rsid w:val="007E4755"/>
    <w:rsid w:val="007E68B1"/>
    <w:rsid w:val="007F3791"/>
    <w:rsid w:val="00800F2C"/>
    <w:rsid w:val="00806597"/>
    <w:rsid w:val="00820FB4"/>
    <w:rsid w:val="0083718D"/>
    <w:rsid w:val="00847E18"/>
    <w:rsid w:val="00854995"/>
    <w:rsid w:val="00857257"/>
    <w:rsid w:val="008572F1"/>
    <w:rsid w:val="00860DA1"/>
    <w:rsid w:val="00865276"/>
    <w:rsid w:val="00872542"/>
    <w:rsid w:val="00883331"/>
    <w:rsid w:val="00883A95"/>
    <w:rsid w:val="00890401"/>
    <w:rsid w:val="0089530A"/>
    <w:rsid w:val="008A6539"/>
    <w:rsid w:val="008B1AD4"/>
    <w:rsid w:val="008B5873"/>
    <w:rsid w:val="008B6E54"/>
    <w:rsid w:val="008C2B68"/>
    <w:rsid w:val="008C48BD"/>
    <w:rsid w:val="008C5CE8"/>
    <w:rsid w:val="008D547A"/>
    <w:rsid w:val="008E2F38"/>
    <w:rsid w:val="008E6D50"/>
    <w:rsid w:val="008F00F6"/>
    <w:rsid w:val="009006C6"/>
    <w:rsid w:val="009054B3"/>
    <w:rsid w:val="00905B07"/>
    <w:rsid w:val="00910F79"/>
    <w:rsid w:val="009176CA"/>
    <w:rsid w:val="00923823"/>
    <w:rsid w:val="00923A61"/>
    <w:rsid w:val="00923AAD"/>
    <w:rsid w:val="00927AD7"/>
    <w:rsid w:val="00944FB4"/>
    <w:rsid w:val="009451A5"/>
    <w:rsid w:val="00947495"/>
    <w:rsid w:val="009631EE"/>
    <w:rsid w:val="0098621B"/>
    <w:rsid w:val="00990BD1"/>
    <w:rsid w:val="00991FA3"/>
    <w:rsid w:val="009930B1"/>
    <w:rsid w:val="00995F59"/>
    <w:rsid w:val="009A4384"/>
    <w:rsid w:val="009A609C"/>
    <w:rsid w:val="009C5744"/>
    <w:rsid w:val="009D02C5"/>
    <w:rsid w:val="009D779B"/>
    <w:rsid w:val="009E0DB6"/>
    <w:rsid w:val="009E4FC3"/>
    <w:rsid w:val="009F5EEE"/>
    <w:rsid w:val="00A013B5"/>
    <w:rsid w:val="00A032F8"/>
    <w:rsid w:val="00A05D34"/>
    <w:rsid w:val="00A071CD"/>
    <w:rsid w:val="00A1438C"/>
    <w:rsid w:val="00A15322"/>
    <w:rsid w:val="00A22561"/>
    <w:rsid w:val="00A24272"/>
    <w:rsid w:val="00A26657"/>
    <w:rsid w:val="00A371AD"/>
    <w:rsid w:val="00A572DB"/>
    <w:rsid w:val="00A61F07"/>
    <w:rsid w:val="00A6442C"/>
    <w:rsid w:val="00A70961"/>
    <w:rsid w:val="00A709FC"/>
    <w:rsid w:val="00A716E9"/>
    <w:rsid w:val="00A7275D"/>
    <w:rsid w:val="00A74A9A"/>
    <w:rsid w:val="00A9368B"/>
    <w:rsid w:val="00A96917"/>
    <w:rsid w:val="00AA6FD2"/>
    <w:rsid w:val="00AB28BB"/>
    <w:rsid w:val="00AB6141"/>
    <w:rsid w:val="00AC6875"/>
    <w:rsid w:val="00AE07EF"/>
    <w:rsid w:val="00AE7B98"/>
    <w:rsid w:val="00AF17DE"/>
    <w:rsid w:val="00AF2191"/>
    <w:rsid w:val="00B032F6"/>
    <w:rsid w:val="00B10D3D"/>
    <w:rsid w:val="00B14568"/>
    <w:rsid w:val="00B2063E"/>
    <w:rsid w:val="00B22F54"/>
    <w:rsid w:val="00B2483C"/>
    <w:rsid w:val="00B353B1"/>
    <w:rsid w:val="00B44AEB"/>
    <w:rsid w:val="00B50318"/>
    <w:rsid w:val="00B50533"/>
    <w:rsid w:val="00B51093"/>
    <w:rsid w:val="00B54163"/>
    <w:rsid w:val="00B575CC"/>
    <w:rsid w:val="00B61CD0"/>
    <w:rsid w:val="00B7509C"/>
    <w:rsid w:val="00B80A56"/>
    <w:rsid w:val="00B82EDE"/>
    <w:rsid w:val="00B860DA"/>
    <w:rsid w:val="00B87775"/>
    <w:rsid w:val="00B91FED"/>
    <w:rsid w:val="00BA620B"/>
    <w:rsid w:val="00BB246A"/>
    <w:rsid w:val="00BC3B2D"/>
    <w:rsid w:val="00BD67B6"/>
    <w:rsid w:val="00BF6F75"/>
    <w:rsid w:val="00C00ED2"/>
    <w:rsid w:val="00C020F5"/>
    <w:rsid w:val="00C03BCA"/>
    <w:rsid w:val="00C06915"/>
    <w:rsid w:val="00C06BBC"/>
    <w:rsid w:val="00C10D2B"/>
    <w:rsid w:val="00C114E3"/>
    <w:rsid w:val="00C15795"/>
    <w:rsid w:val="00C16232"/>
    <w:rsid w:val="00C23B92"/>
    <w:rsid w:val="00C26B91"/>
    <w:rsid w:val="00C32C53"/>
    <w:rsid w:val="00C37710"/>
    <w:rsid w:val="00C53BDF"/>
    <w:rsid w:val="00C54310"/>
    <w:rsid w:val="00C62F4C"/>
    <w:rsid w:val="00C65D36"/>
    <w:rsid w:val="00C7336E"/>
    <w:rsid w:val="00C76472"/>
    <w:rsid w:val="00C804AA"/>
    <w:rsid w:val="00C86848"/>
    <w:rsid w:val="00C93644"/>
    <w:rsid w:val="00C9534D"/>
    <w:rsid w:val="00C9681C"/>
    <w:rsid w:val="00CB29EE"/>
    <w:rsid w:val="00CC794C"/>
    <w:rsid w:val="00CF163F"/>
    <w:rsid w:val="00D21527"/>
    <w:rsid w:val="00D21D57"/>
    <w:rsid w:val="00D26A10"/>
    <w:rsid w:val="00D26A36"/>
    <w:rsid w:val="00D3708F"/>
    <w:rsid w:val="00D435F3"/>
    <w:rsid w:val="00D561C2"/>
    <w:rsid w:val="00D5728A"/>
    <w:rsid w:val="00D64FC7"/>
    <w:rsid w:val="00D71D91"/>
    <w:rsid w:val="00D836FA"/>
    <w:rsid w:val="00D91AC5"/>
    <w:rsid w:val="00D91FB4"/>
    <w:rsid w:val="00DA0C18"/>
    <w:rsid w:val="00DA1C9C"/>
    <w:rsid w:val="00DA24F2"/>
    <w:rsid w:val="00DC7A3C"/>
    <w:rsid w:val="00DD209A"/>
    <w:rsid w:val="00DE1D46"/>
    <w:rsid w:val="00DF0E8C"/>
    <w:rsid w:val="00DF2ED0"/>
    <w:rsid w:val="00DF48AC"/>
    <w:rsid w:val="00E03662"/>
    <w:rsid w:val="00E0505A"/>
    <w:rsid w:val="00E12EBA"/>
    <w:rsid w:val="00E2296E"/>
    <w:rsid w:val="00E337BF"/>
    <w:rsid w:val="00E41C34"/>
    <w:rsid w:val="00E44378"/>
    <w:rsid w:val="00E47055"/>
    <w:rsid w:val="00E53A9B"/>
    <w:rsid w:val="00E554C0"/>
    <w:rsid w:val="00E5595D"/>
    <w:rsid w:val="00E57C87"/>
    <w:rsid w:val="00E82E88"/>
    <w:rsid w:val="00EA2DF1"/>
    <w:rsid w:val="00EA3176"/>
    <w:rsid w:val="00EC0A84"/>
    <w:rsid w:val="00EC2478"/>
    <w:rsid w:val="00ED0A8E"/>
    <w:rsid w:val="00ED17E0"/>
    <w:rsid w:val="00ED5C10"/>
    <w:rsid w:val="00EE6982"/>
    <w:rsid w:val="00EF683D"/>
    <w:rsid w:val="00F000C8"/>
    <w:rsid w:val="00F06556"/>
    <w:rsid w:val="00F11781"/>
    <w:rsid w:val="00F219F1"/>
    <w:rsid w:val="00F23F8B"/>
    <w:rsid w:val="00F2713B"/>
    <w:rsid w:val="00F350F9"/>
    <w:rsid w:val="00F4168E"/>
    <w:rsid w:val="00F63EF6"/>
    <w:rsid w:val="00F70712"/>
    <w:rsid w:val="00F7744A"/>
    <w:rsid w:val="00F80942"/>
    <w:rsid w:val="00F846D7"/>
    <w:rsid w:val="00F86310"/>
    <w:rsid w:val="00F8789A"/>
    <w:rsid w:val="00F87BA8"/>
    <w:rsid w:val="00F91E83"/>
    <w:rsid w:val="00F94C05"/>
    <w:rsid w:val="00FA1A9F"/>
    <w:rsid w:val="00FA2287"/>
    <w:rsid w:val="00FB1E65"/>
    <w:rsid w:val="00FE1469"/>
    <w:rsid w:val="00FE439F"/>
    <w:rsid w:val="00FE5D4F"/>
    <w:rsid w:val="00FF428B"/>
    <w:rsid w:val="00FF7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A16534"/>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58C"/>
    <w:pPr>
      <w:suppressAutoHyphens/>
      <w:jc w:val="center"/>
    </w:pPr>
    <w:rPr>
      <w:rFonts w:eastAsia="SimSun"/>
      <w:lang w:eastAsia="zh-CN"/>
    </w:rPr>
  </w:style>
  <w:style w:type="paragraph" w:styleId="Heading1">
    <w:name w:val="heading 1"/>
    <w:basedOn w:val="Normal"/>
    <w:next w:val="BodyText"/>
    <w:link w:val="Heading1Char"/>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link w:val="Heading2Char"/>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link w:val="Heading3Char"/>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link w:val="Heading4Char"/>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link w:val="Heading5Char"/>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link w:val="BodyTextChar"/>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character" w:styleId="Strong">
    <w:name w:val="Strong"/>
    <w:basedOn w:val="DefaultParagraphFont"/>
    <w:uiPriority w:val="22"/>
    <w:qFormat/>
    <w:rsid w:val="00B50318"/>
    <w:rPr>
      <w:b/>
      <w:bCs/>
    </w:rPr>
  </w:style>
  <w:style w:type="table" w:styleId="PlainTable2">
    <w:name w:val="Plain Table 2"/>
    <w:basedOn w:val="TableNormal"/>
    <w:uiPriority w:val="42"/>
    <w:rsid w:val="00910F79"/>
    <w:rPr>
      <w:rFonts w:asciiTheme="minorHAnsi" w:eastAsiaTheme="minorHAnsi" w:hAnsiTheme="minorHAnsi" w:cstheme="minorBidi"/>
      <w:sz w:val="22"/>
      <w:szCs w:val="22"/>
    </w:rPr>
    <w:tblPr>
      <w:tblStyleRowBandSize w:val="1"/>
      <w:tblStyleColBandSize w:val="1"/>
      <w:tblBorders>
        <w:top w:val="single" w:sz="4" w:space="0" w:color="0D0D0D" w:themeColor="text1" w:themeTint="F2"/>
        <w:bottom w:val="single" w:sz="4" w:space="0" w:color="0D0D0D" w:themeColor="text1" w:themeTint="F2"/>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435054"/>
    <w:pPr>
      <w:suppressAutoHyphens w:val="0"/>
      <w:spacing w:before="100" w:beforeAutospacing="1" w:after="100" w:afterAutospacing="1"/>
      <w:jc w:val="left"/>
    </w:pPr>
    <w:rPr>
      <w:rFonts w:ascii="Calibri" w:eastAsiaTheme="minorHAnsi" w:hAnsi="Calibri" w:cs="Calibri"/>
      <w:sz w:val="22"/>
      <w:szCs w:val="22"/>
      <w:lang w:eastAsia="en-US"/>
    </w:rPr>
  </w:style>
  <w:style w:type="character" w:customStyle="1" w:styleId="Heading1Char">
    <w:name w:val="Heading 1 Char"/>
    <w:basedOn w:val="DefaultParagraphFont"/>
    <w:link w:val="Heading1"/>
    <w:rsid w:val="008B5873"/>
    <w:rPr>
      <w:rFonts w:eastAsia="SimSun"/>
      <w:smallCaps/>
    </w:rPr>
  </w:style>
  <w:style w:type="character" w:customStyle="1" w:styleId="Heading2Char">
    <w:name w:val="Heading 2 Char"/>
    <w:basedOn w:val="DefaultParagraphFont"/>
    <w:link w:val="Heading2"/>
    <w:rsid w:val="008B5873"/>
    <w:rPr>
      <w:rFonts w:eastAsia="SimSun"/>
      <w:i/>
      <w:iCs/>
    </w:rPr>
  </w:style>
  <w:style w:type="character" w:customStyle="1" w:styleId="Heading3Char">
    <w:name w:val="Heading 3 Char"/>
    <w:basedOn w:val="DefaultParagraphFont"/>
    <w:link w:val="Heading3"/>
    <w:rsid w:val="008B5873"/>
    <w:rPr>
      <w:rFonts w:eastAsia="SimSun"/>
      <w:i/>
      <w:iCs/>
    </w:rPr>
  </w:style>
  <w:style w:type="character" w:customStyle="1" w:styleId="Heading4Char">
    <w:name w:val="Heading 4 Char"/>
    <w:basedOn w:val="DefaultParagraphFont"/>
    <w:link w:val="Heading4"/>
    <w:rsid w:val="008B5873"/>
    <w:rPr>
      <w:rFonts w:eastAsia="SimSun"/>
      <w:i/>
      <w:iCs/>
    </w:rPr>
  </w:style>
  <w:style w:type="character" w:customStyle="1" w:styleId="Heading5Char">
    <w:name w:val="Heading 5 Char"/>
    <w:basedOn w:val="DefaultParagraphFont"/>
    <w:link w:val="Heading5"/>
    <w:rsid w:val="008B5873"/>
    <w:rPr>
      <w:rFonts w:eastAsia="SimSun"/>
      <w:smallCaps/>
    </w:rPr>
  </w:style>
  <w:style w:type="character" w:customStyle="1" w:styleId="BodyTextChar">
    <w:name w:val="Body Text Char"/>
    <w:basedOn w:val="DefaultParagraphFont"/>
    <w:link w:val="BodyText"/>
    <w:rsid w:val="008B5873"/>
    <w:rPr>
      <w:rFonts w:eastAsia="SimSun"/>
      <w:spacing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eti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LENOVO\Desktop\maryam%20-%20kappa\score%20-%20BS%20scale%20document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000">
                <a:solidFill>
                  <a:schemeClr val="tx1"/>
                </a:solidFill>
                <a:latin typeface="Times New Roman" panose="02020603050405020304" pitchFamily="18" charset="0"/>
                <a:cs typeface="Times New Roman" panose="02020603050405020304" pitchFamily="18" charset="0"/>
              </a:rPr>
              <a:t>Rate of Agreement and Discrepancy for Braden Scale score assigned by nurses (n=2346 records)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Sheet2!$N$14</c:f>
              <c:strCache>
                <c:ptCount val="1"/>
                <c:pt idx="0">
                  <c:v>Agreement 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Sheet2!$M$15:$M$20</c:f>
              <c:strCache>
                <c:ptCount val="6"/>
                <c:pt idx="0">
                  <c:v>BS Sensory perception  </c:v>
                </c:pt>
                <c:pt idx="1">
                  <c:v>BS Moisture </c:v>
                </c:pt>
                <c:pt idx="2">
                  <c:v>BS Activity </c:v>
                </c:pt>
                <c:pt idx="3">
                  <c:v>BS Mobility </c:v>
                </c:pt>
                <c:pt idx="4">
                  <c:v>BS Friction/shear </c:v>
                </c:pt>
                <c:pt idx="5">
                  <c:v>overall label assigned</c:v>
                </c:pt>
              </c:strCache>
            </c:strRef>
          </c:cat>
          <c:val>
            <c:numRef>
              <c:f>Sheet2!$N$15:$N$20</c:f>
              <c:numCache>
                <c:formatCode>0%</c:formatCode>
                <c:ptCount val="6"/>
                <c:pt idx="0">
                  <c:v>0.78431372549019607</c:v>
                </c:pt>
                <c:pt idx="1">
                  <c:v>0.47826086956521741</c:v>
                </c:pt>
                <c:pt idx="2">
                  <c:v>0.61082693947144073</c:v>
                </c:pt>
                <c:pt idx="3">
                  <c:v>0.57246376811594202</c:v>
                </c:pt>
                <c:pt idx="4">
                  <c:v>0.75021312872975277</c:v>
                </c:pt>
                <c:pt idx="5">
                  <c:v>0.65643648763853368</c:v>
                </c:pt>
              </c:numCache>
            </c:numRef>
          </c:val>
          <c:extLst>
            <c:ext xmlns:c16="http://schemas.microsoft.com/office/drawing/2014/chart" uri="{C3380CC4-5D6E-409C-BE32-E72D297353CC}">
              <c16:uniqueId val="{00000000-402E-443F-8296-E48D25C6CD9A}"/>
            </c:ext>
          </c:extLst>
        </c:ser>
        <c:ser>
          <c:idx val="1"/>
          <c:order val="1"/>
          <c:tx>
            <c:strRef>
              <c:f>Sheet2!$O$14</c:f>
              <c:strCache>
                <c:ptCount val="1"/>
                <c:pt idx="0">
                  <c:v>Discrepancy Rate</c:v>
                </c:pt>
              </c:strCache>
            </c:strRef>
          </c:tx>
          <c:spPr>
            <a:solidFill>
              <a:schemeClr val="accent2"/>
            </a:solidFill>
            <a:ln>
              <a:noFill/>
            </a:ln>
            <a:effectLst/>
          </c:spPr>
          <c:invertIfNegative val="0"/>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2E-443F-8296-E48D25C6CD9A}"/>
                </c:ext>
              </c:extLst>
            </c:dLbl>
            <c:dLbl>
              <c:idx val="1"/>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2E-443F-8296-E48D25C6CD9A}"/>
                </c:ext>
              </c:extLst>
            </c:dLbl>
            <c:dLbl>
              <c:idx val="2"/>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2E-443F-8296-E48D25C6CD9A}"/>
                </c:ext>
              </c:extLst>
            </c:dLbl>
            <c:dLbl>
              <c:idx val="3"/>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2E-443F-8296-E48D25C6CD9A}"/>
                </c:ext>
              </c:extLst>
            </c:dLbl>
            <c:dLbl>
              <c:idx val="4"/>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2E-443F-8296-E48D25C6CD9A}"/>
                </c:ext>
              </c:extLst>
            </c:dLbl>
            <c:dLbl>
              <c:idx val="5"/>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2E-443F-8296-E48D25C6CD9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Sheet2!$M$15:$M$20</c:f>
              <c:strCache>
                <c:ptCount val="6"/>
                <c:pt idx="0">
                  <c:v>BS Sensory perception  </c:v>
                </c:pt>
                <c:pt idx="1">
                  <c:v>BS Moisture </c:v>
                </c:pt>
                <c:pt idx="2">
                  <c:v>BS Activity </c:v>
                </c:pt>
                <c:pt idx="3">
                  <c:v>BS Mobility </c:v>
                </c:pt>
                <c:pt idx="4">
                  <c:v>BS Friction/shear </c:v>
                </c:pt>
                <c:pt idx="5">
                  <c:v>overall label assigned</c:v>
                </c:pt>
              </c:strCache>
            </c:strRef>
          </c:cat>
          <c:val>
            <c:numRef>
              <c:f>Sheet2!$O$15:$O$20</c:f>
              <c:numCache>
                <c:formatCode>0%</c:formatCode>
                <c:ptCount val="6"/>
                <c:pt idx="0">
                  <c:v>0.21568627450980393</c:v>
                </c:pt>
                <c:pt idx="1">
                  <c:v>0.52173913043478259</c:v>
                </c:pt>
                <c:pt idx="2">
                  <c:v>0.38917306052855927</c:v>
                </c:pt>
                <c:pt idx="3">
                  <c:v>0.42753623188405798</c:v>
                </c:pt>
                <c:pt idx="4">
                  <c:v>0.24978687127024723</c:v>
                </c:pt>
                <c:pt idx="5">
                  <c:v>0.34356351236146632</c:v>
                </c:pt>
              </c:numCache>
            </c:numRef>
          </c:val>
          <c:extLst>
            <c:ext xmlns:c16="http://schemas.microsoft.com/office/drawing/2014/chart" uri="{C3380CC4-5D6E-409C-BE32-E72D297353CC}">
              <c16:uniqueId val="{00000007-402E-443F-8296-E48D25C6CD9A}"/>
            </c:ext>
          </c:extLst>
        </c:ser>
        <c:dLbls>
          <c:showLegendKey val="0"/>
          <c:showVal val="0"/>
          <c:showCatName val="0"/>
          <c:showSerName val="0"/>
          <c:showPercent val="0"/>
          <c:showBubbleSize val="0"/>
        </c:dLbls>
        <c:gapWidth val="150"/>
        <c:overlap val="100"/>
        <c:axId val="572302144"/>
        <c:axId val="572302864"/>
      </c:barChart>
      <c:catAx>
        <c:axId val="57230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en-US"/>
          </a:p>
        </c:txPr>
        <c:crossAx val="572302864"/>
        <c:crosses val="autoZero"/>
        <c:auto val="1"/>
        <c:lblAlgn val="ctr"/>
        <c:lblOffset val="100"/>
        <c:noMultiLvlLbl val="0"/>
      </c:catAx>
      <c:valAx>
        <c:axId val="57230286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en-US"/>
          </a:p>
        </c:txPr>
        <c:crossAx val="57230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mn-cs"/>
              </a:defRPr>
            </a:pPr>
            <a:r>
              <a:rPr lang="en-US" sz="1000" b="0" i="0" baseline="0">
                <a:solidFill>
                  <a:sysClr val="windowText" lastClr="000000"/>
                </a:solidFill>
                <a:latin typeface="Times New Roman" panose="02020603050405020304" pitchFamily="18" charset="0"/>
              </a:rPr>
              <a:t>Figure 2: Rate of Agreement/discrepancy </a:t>
            </a:r>
            <a:r>
              <a:rPr lang="en-US" sz="1000" b="0" i="0" u="none" strike="noStrike" baseline="0">
                <a:effectLst/>
              </a:rPr>
              <a:t>Skin Integrity </a:t>
            </a:r>
            <a:r>
              <a:rPr lang="en-US" sz="1000" b="0" i="0" baseline="0">
                <a:solidFill>
                  <a:sysClr val="windowText" lastClr="000000"/>
                </a:solidFill>
                <a:latin typeface="Times New Roman" panose="02020603050405020304" pitchFamily="18" charset="0"/>
              </a:rPr>
              <a:t> + protocol decided by nurses (n-2346 records)</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7236083702936636"/>
          <c:y val="0.23706290745914826"/>
          <c:w val="0.67595689806764236"/>
          <c:h val="0.6759568980676423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29-48EB-91B5-6B6984ABC0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29-48EB-91B5-6B6984ABC070}"/>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Sheet4!$F$7:$F$8</c:f>
              <c:strCache>
                <c:ptCount val="2"/>
                <c:pt idx="0">
                  <c:v>Agreement</c:v>
                </c:pt>
                <c:pt idx="1">
                  <c:v>Discrepancy</c:v>
                </c:pt>
              </c:strCache>
            </c:strRef>
          </c:cat>
          <c:val>
            <c:numRef>
              <c:f>Sheet4!$G$7:$G$8</c:f>
              <c:numCache>
                <c:formatCode>###0</c:formatCode>
                <c:ptCount val="2"/>
                <c:pt idx="0">
                  <c:v>1768</c:v>
                </c:pt>
                <c:pt idx="1">
                  <c:v>578</c:v>
                </c:pt>
              </c:numCache>
            </c:numRef>
          </c:val>
          <c:extLst>
            <c:ext xmlns:c16="http://schemas.microsoft.com/office/drawing/2014/chart" uri="{C3380CC4-5D6E-409C-BE32-E72D297353CC}">
              <c16:uniqueId val="{00000004-9C29-48EB-91B5-6B6984ABC07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98a130a-573c-4a0f-af42-79282c5bc0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BF8003D91FA4CA68AEE407FA5BFB4" ma:contentTypeVersion="54" ma:contentTypeDescription="Create a new document." ma:contentTypeScope="" ma:versionID="6d7af96135e4bf549a533f6c13777b72">
  <xsd:schema xmlns:xsd="http://www.w3.org/2001/XMLSchema" xmlns:xs="http://www.w3.org/2001/XMLSchema" xmlns:p="http://schemas.microsoft.com/office/2006/metadata/properties" xmlns:ns3="698a130a-573c-4a0f-af42-79282c5bc04f" xmlns:ns4="02084ec4-9e13-4862-b749-f735bcf0c0a1" xmlns:ns5="920c6bff-5493-470c-916e-1b0f5e6ab4e4" targetNamespace="http://schemas.microsoft.com/office/2006/metadata/properties" ma:root="true" ma:fieldsID="99133f48ba92a9e60373b4bb5a69560d" ns3:_="" ns4:_="" ns5:_="">
    <xsd:import namespace="698a130a-573c-4a0f-af42-79282c5bc04f"/>
    <xsd:import namespace="02084ec4-9e13-4862-b749-f735bcf0c0a1"/>
    <xsd:import namespace="920c6bff-5493-470c-916e-1b0f5e6ab4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5:MediaServiceObjectDetectorVersions" minOccurs="0"/>
                <xsd:element ref="ns5:MediaServiceSystemTags" minOccurs="0"/>
                <xsd:element ref="ns5:MediaServiceGenerationTime" minOccurs="0"/>
                <xsd:element ref="ns5:MediaServiceEventHashCode" minOccurs="0"/>
                <xsd:element ref="ns5:MediaServiceSearchProperties" minOccurs="0"/>
                <xsd:element ref="ns5:MediaServiceOCR" minOccurs="0"/>
                <xsd:element ref="ns5:MediaServiceBillingMetadata"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a130a-573c-4a0f-af42-79282c5bc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84ec4-9e13-4862-b749-f735bcf0c0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0c6bff-5493-470c-916e-1b0f5e6ab4e4" elementFormDefault="qualified">
    <xsd:import namespace="http://schemas.microsoft.com/office/2006/documentManagement/types"/>
    <xsd:import namespace="http://schemas.microsoft.com/office/infopath/2007/PartnerControls"/>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58DCE-4B03-4B9C-A0EE-C269A4972AB7}">
  <ds:schemaRefs>
    <ds:schemaRef ds:uri="http://schemas.openxmlformats.org/officeDocument/2006/bibliography"/>
  </ds:schemaRefs>
</ds:datastoreItem>
</file>

<file path=customXml/itemProps2.xml><?xml version="1.0" encoding="utf-8"?>
<ds:datastoreItem xmlns:ds="http://schemas.openxmlformats.org/officeDocument/2006/customXml" ds:itemID="{A18E3BC7-836D-46E0-86F4-76CA3521CC75}">
  <ds:schemaRefs>
    <ds:schemaRef ds:uri="http://schemas.microsoft.com/office/2006/metadata/properties"/>
    <ds:schemaRef ds:uri="http://schemas.microsoft.com/office/infopath/2007/PartnerControls"/>
    <ds:schemaRef ds:uri="698a130a-573c-4a0f-af42-79282c5bc04f"/>
  </ds:schemaRefs>
</ds:datastoreItem>
</file>

<file path=customXml/itemProps3.xml><?xml version="1.0" encoding="utf-8"?>
<ds:datastoreItem xmlns:ds="http://schemas.openxmlformats.org/officeDocument/2006/customXml" ds:itemID="{72728CA2-4729-492A-9281-74F6932D2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a130a-573c-4a0f-af42-79282c5bc04f"/>
    <ds:schemaRef ds:uri="02084ec4-9e13-4862-b749-f735bcf0c0a1"/>
    <ds:schemaRef ds:uri="920c6bff-5493-470c-916e-1b0f5e6ab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393FC-C4D3-4B1C-A004-9D717EC0C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7421</Words>
  <Characters>43565</Characters>
  <Application>Microsoft Office Word</Application>
  <DocSecurity>0</DocSecurity>
  <Lines>1361</Lines>
  <Paragraphs>849</Paragraphs>
  <ScaleCrop>false</ScaleCrop>
  <HeadingPairs>
    <vt:vector size="2" baseType="variant">
      <vt:variant>
        <vt:lpstr>Title</vt:lpstr>
      </vt:variant>
      <vt:variant>
        <vt:i4>1</vt:i4>
      </vt:variant>
    </vt:vector>
  </HeadingPairs>
  <TitlesOfParts>
    <vt:vector size="1" baseType="lpstr">
      <vt:lpstr>JETIR Research Journal</vt:lpstr>
    </vt:vector>
  </TitlesOfParts>
  <Company>www.ijrti.org</Company>
  <LinksUpToDate>false</LinksUpToDate>
  <CharactersWithSpaces>50137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JETIR Research Journal</dc:title>
  <dc:subject>JETIR Research Journal</dc:subject>
  <dc:creator>Rosemine kiruba darwin</dc:creator>
  <cp:keywords>JETIR Research Journal</cp:keywords>
  <dc:description>JETIR Research Journal</dc:description>
  <cp:lastModifiedBy>Amal Saif Abdullah Ahmed</cp:lastModifiedBy>
  <cp:revision>4</cp:revision>
  <cp:lastPrinted>1900-12-31T18:30:00Z</cp:lastPrinted>
  <dcterms:created xsi:type="dcterms:W3CDTF">2026-06-03T11:34:00Z</dcterms:created>
  <dcterms:modified xsi:type="dcterms:W3CDTF">2026-06-03T11:56:00Z</dcterms:modified>
  <cp:category>JETIR Research Journal</cp:category>
  <cp:contentStatus>JETIR Research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6ad74c-a235-47e7-a91d-3632a6f1d5fb_Enabled">
    <vt:lpwstr>true</vt:lpwstr>
  </property>
  <property fmtid="{D5CDD505-2E9C-101B-9397-08002B2CF9AE}" pid="3" name="MSIP_Label_096ad74c-a235-47e7-a91d-3632a6f1d5fb_SetDate">
    <vt:lpwstr>2026-04-16T03:33:19Z</vt:lpwstr>
  </property>
  <property fmtid="{D5CDD505-2E9C-101B-9397-08002B2CF9AE}" pid="4" name="MSIP_Label_096ad74c-a235-47e7-a91d-3632a6f1d5fb_Method">
    <vt:lpwstr>Privileged</vt:lpwstr>
  </property>
  <property fmtid="{D5CDD505-2E9C-101B-9397-08002B2CF9AE}" pid="5" name="MSIP_Label_096ad74c-a235-47e7-a91d-3632a6f1d5fb_Name">
    <vt:lpwstr>Internal</vt:lpwstr>
  </property>
  <property fmtid="{D5CDD505-2E9C-101B-9397-08002B2CF9AE}" pid="6" name="MSIP_Label_096ad74c-a235-47e7-a91d-3632a6f1d5fb_SiteId">
    <vt:lpwstr>988f94be-7208-4701-8289-28a718608374</vt:lpwstr>
  </property>
  <property fmtid="{D5CDD505-2E9C-101B-9397-08002B2CF9AE}" pid="7" name="MSIP_Label_096ad74c-a235-47e7-a91d-3632a6f1d5fb_ActionId">
    <vt:lpwstr>3c54afbb-a05c-4c1d-9c2d-dc05561e987f</vt:lpwstr>
  </property>
  <property fmtid="{D5CDD505-2E9C-101B-9397-08002B2CF9AE}" pid="8" name="MSIP_Label_096ad74c-a235-47e7-a91d-3632a6f1d5fb_ContentBits">
    <vt:lpwstr>3</vt:lpwstr>
  </property>
  <property fmtid="{D5CDD505-2E9C-101B-9397-08002B2CF9AE}" pid="9" name="MSIP_Label_096ad74c-a235-47e7-a91d-3632a6f1d5fb_Tag">
    <vt:lpwstr>10, 0, 1, 1</vt:lpwstr>
  </property>
  <property fmtid="{D5CDD505-2E9C-101B-9397-08002B2CF9AE}" pid="10" name="ContentTypeId">
    <vt:lpwstr>0x010100DF0BF8003D91FA4CA68AEE407FA5BFB4</vt:lpwstr>
  </property>
</Properties>
</file>