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348A1" w14:textId="77777777" w:rsidR="00B10B1A" w:rsidRDefault="00B10B1A" w:rsidP="00B10B1A">
      <w:pPr>
        <w:pStyle w:val="Header"/>
        <w:jc w:val="center"/>
      </w:pPr>
      <w:r w:rsidRPr="00DF04FF">
        <w:rPr>
          <w:b/>
          <w:bCs/>
          <w:sz w:val="40"/>
          <w:szCs w:val="40"/>
        </w:rPr>
        <w:t>Title Page</w:t>
      </w:r>
    </w:p>
    <w:p w14:paraId="0FB33662" w14:textId="77777777" w:rsidR="00B10B1A" w:rsidRDefault="00B10B1A" w:rsidP="003C20BC">
      <w:pPr>
        <w:spacing w:after="0" w:line="240" w:lineRule="auto"/>
        <w:rPr>
          <w:rFonts w:ascii="Arial" w:eastAsia="Times New Roman" w:hAnsi="Arial" w:cs="Arial"/>
          <w:b/>
          <w:bCs/>
          <w:color w:val="000000"/>
          <w:kern w:val="0"/>
          <w14:ligatures w14:val="none"/>
        </w:rPr>
      </w:pPr>
    </w:p>
    <w:p w14:paraId="457F4394" w14:textId="4203832F" w:rsidR="00001E03" w:rsidRDefault="00001E03" w:rsidP="003C20BC">
      <w:pPr>
        <w:spacing w:after="0" w:line="240" w:lineRule="auto"/>
        <w:rPr>
          <w:rFonts w:ascii="Arial" w:eastAsia="Times New Roman" w:hAnsi="Arial" w:cs="Arial"/>
          <w:color w:val="000000"/>
          <w:kern w:val="0"/>
          <w14:ligatures w14:val="none"/>
        </w:rPr>
      </w:pPr>
      <w:r>
        <w:rPr>
          <w:rFonts w:ascii="Arial" w:eastAsia="Times New Roman" w:hAnsi="Arial" w:cs="Arial"/>
          <w:b/>
          <w:bCs/>
          <w:color w:val="000000"/>
          <w:kern w:val="0"/>
          <w14:ligatures w14:val="none"/>
        </w:rPr>
        <w:t xml:space="preserve">Article </w:t>
      </w:r>
      <w:r w:rsidR="003C20BC" w:rsidRPr="003C20BC">
        <w:rPr>
          <w:rFonts w:ascii="Arial" w:eastAsia="Times New Roman" w:hAnsi="Arial" w:cs="Arial"/>
          <w:b/>
          <w:bCs/>
          <w:color w:val="000000"/>
          <w:kern w:val="0"/>
          <w14:ligatures w14:val="none"/>
        </w:rPr>
        <w:t>Title:</w:t>
      </w:r>
      <w:r w:rsidR="003C20BC" w:rsidRPr="003C20BC">
        <w:rPr>
          <w:rFonts w:ascii="Arial" w:eastAsia="Times New Roman" w:hAnsi="Arial" w:cs="Arial"/>
          <w:color w:val="000000"/>
          <w:kern w:val="0"/>
          <w14:ligatures w14:val="none"/>
        </w:rPr>
        <w:t xml:space="preserve"> </w:t>
      </w:r>
    </w:p>
    <w:p w14:paraId="6A62E2F6" w14:textId="075E3E0E"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xml:space="preserve">Design rationale for improvements in needle and guidewire for access of central veins and peripheral vasculature: Introduction of the Accelerated </w:t>
      </w:r>
      <w:proofErr w:type="spellStart"/>
      <w:r w:rsidRPr="003C20BC">
        <w:rPr>
          <w:rFonts w:ascii="Arial" w:eastAsia="Times New Roman" w:hAnsi="Arial" w:cs="Arial"/>
          <w:color w:val="000000"/>
          <w:kern w:val="0"/>
          <w14:ligatures w14:val="none"/>
        </w:rPr>
        <w:t>Seldinger</w:t>
      </w:r>
      <w:proofErr w:type="spellEnd"/>
      <w:r w:rsidRPr="003C20BC">
        <w:rPr>
          <w:rFonts w:ascii="Arial" w:eastAsia="Times New Roman" w:hAnsi="Arial" w:cs="Arial"/>
          <w:color w:val="000000"/>
          <w:kern w:val="0"/>
          <w14:ligatures w14:val="none"/>
        </w:rPr>
        <w:t xml:space="preserve"> Kit. </w:t>
      </w:r>
    </w:p>
    <w:p w14:paraId="6EA9E91B" w14:textId="1BCC8A4D" w:rsidR="003C20BC" w:rsidRDefault="003C20BC" w:rsidP="003C20BC">
      <w:pPr>
        <w:spacing w:after="0" w:line="240" w:lineRule="auto"/>
        <w:rPr>
          <w:rFonts w:ascii="Arial" w:eastAsia="Times New Roman" w:hAnsi="Arial" w:cs="Arial"/>
          <w:color w:val="000000"/>
          <w:kern w:val="0"/>
          <w14:ligatures w14:val="none"/>
        </w:rPr>
      </w:pPr>
    </w:p>
    <w:p w14:paraId="5B43049B" w14:textId="77777777" w:rsidR="00B10B1A" w:rsidRPr="003C20BC" w:rsidRDefault="00B10B1A" w:rsidP="003C20BC">
      <w:pPr>
        <w:spacing w:after="0" w:line="240" w:lineRule="auto"/>
        <w:rPr>
          <w:rFonts w:ascii="Times New Roman" w:eastAsia="Times New Roman" w:hAnsi="Times New Roman" w:cs="Times New Roman"/>
          <w:kern w:val="0"/>
          <w14:ligatures w14:val="none"/>
        </w:rPr>
      </w:pPr>
    </w:p>
    <w:p w14:paraId="06766223" w14:textId="6875A92C" w:rsidR="006746F5" w:rsidRDefault="003C20BC" w:rsidP="003C20BC">
      <w:pPr>
        <w:spacing w:after="0" w:line="240" w:lineRule="auto"/>
        <w:rPr>
          <w:rFonts w:ascii="Arial" w:eastAsia="Times New Roman" w:hAnsi="Arial" w:cs="Arial"/>
          <w:b/>
          <w:bCs/>
          <w:color w:val="000000"/>
          <w:kern w:val="0"/>
          <w14:ligatures w14:val="none"/>
        </w:rPr>
      </w:pPr>
      <w:r w:rsidRPr="003C20BC">
        <w:rPr>
          <w:rFonts w:ascii="Arial" w:eastAsia="Times New Roman" w:hAnsi="Arial" w:cs="Arial"/>
          <w:b/>
          <w:bCs/>
          <w:color w:val="000000"/>
          <w:kern w:val="0"/>
          <w14:ligatures w14:val="none"/>
        </w:rPr>
        <w:t/>
      </w:r>
      <w:r w:rsidR="002A118A">
        <w:rPr>
          <w:rFonts w:ascii="Arial" w:eastAsia="Times New Roman" w:hAnsi="Arial" w:cs="Arial"/>
          <w:b/>
          <w:bCs/>
          <w:color w:val="000000"/>
          <w:kern w:val="0"/>
          <w14:ligatures w14:val="none"/>
        </w:rPr>
        <w:t xml:space="preserve"/>
      </w:r>
      <w:r w:rsidRPr="003C20BC">
        <w:rPr>
          <w:rFonts w:ascii="Arial" w:eastAsia="Times New Roman" w:hAnsi="Arial" w:cs="Arial"/>
          <w:b/>
          <w:bCs/>
          <w:color w:val="000000"/>
          <w:kern w:val="0"/>
          <w14:ligatures w14:val="none"/>
        </w:rPr>
        <w:t xml:space="preserve"/>
      </w:r>
    </w:p>
    <w:p w14:paraId="04D2D970" w14:textId="77777777" w:rsidR="00C80483" w:rsidRDefault="00C80483" w:rsidP="00C80483">
      <w:pPr>
        <w:spacing w:after="0" w:line="240" w:lineRule="auto"/>
        <w:rPr>
          <w:rFonts w:ascii="Arial" w:eastAsia="Times New Roman" w:hAnsi="Arial" w:cs="Arial"/>
          <w:color w:val="000000"/>
          <w:kern w:val="0"/>
          <w14:ligatures w14:val="none"/>
        </w:rPr>
      </w:pPr>
      <w:r w:rsidRPr="003C20BC">
        <w:rPr>
          <w:rFonts w:ascii="Arial" w:eastAsia="Times New Roman" w:hAnsi="Arial" w:cs="Arial"/>
          <w:color w:val="000000"/>
          <w:kern w:val="0"/>
          <w14:ligatures w14:val="none"/>
        </w:rPr>
        <w:t/>
      </w:r>
      <w:r>
        <w:rPr>
          <w:rFonts w:ascii="Arial" w:eastAsia="Times New Roman" w:hAnsi="Arial" w:cs="Arial"/>
          <w:color w:val="000000"/>
          <w:kern w:val="0"/>
          <w14:ligatures w14:val="none"/>
        </w:rPr>
        <w:t/>
      </w:r>
      <w:r w:rsidRPr="003C20BC">
        <w:rPr>
          <w:rFonts w:ascii="Arial" w:eastAsia="Times New Roman" w:hAnsi="Arial" w:cs="Arial"/>
          <w:color w:val="000000"/>
          <w:kern w:val="0"/>
          <w14:ligatures w14:val="none"/>
        </w:rPr>
        <w:t xml:space="preserve"/>
      </w:r>
    </w:p>
    <w:p w14:paraId="4DA7BE65" w14:textId="209F5936" w:rsidR="00C80483" w:rsidRPr="00010E43" w:rsidRDefault="00C80483" w:rsidP="00C80483">
      <w:pPr>
        <w:spacing w:after="0" w:line="240" w:lineRule="auto"/>
        <w:rPr>
          <w:rFonts w:ascii="Arial" w:eastAsia="Times New Roman" w:hAnsi="Arial" w:cs="Arial"/>
          <w:kern w:val="0"/>
          <w14:ligatures w14:val="none"/>
        </w:rPr>
      </w:pPr>
      <w:r>
        <w:rPr>
          <w:rFonts w:ascii="Arial" w:eastAsia="Times New Roman" w:hAnsi="Arial" w:cs="Arial"/>
          <w:color w:val="000000"/>
          <w:kern w:val="0"/>
          <w14:ligatures w14:val="none"/>
        </w:rPr>
        <w:tab/>
      </w:r>
      <w:r w:rsidR="00917AF2" w:rsidRPr="00010E43">
        <w:rPr>
          <w:rFonts w:ascii="Arial" w:hAnsi="Arial" w:cs="Arial"/>
        </w:rPr>
        <w:t/>
      </w:r>
      <w:r w:rsidR="00D93974">
        <w:rPr>
          <w:rFonts w:ascii="Arial" w:hAnsi="Arial" w:cs="Arial"/>
        </w:rPr>
        <w:t/>
      </w:r>
    </w:p>
    <w:p w14:paraId="3360AA0F" w14:textId="77777777" w:rsidR="00D93974" w:rsidRDefault="00D93974" w:rsidP="006746F5">
      <w:pPr>
        <w:spacing w:after="0" w:line="240" w:lineRule="auto"/>
        <w:rPr>
          <w:rFonts w:ascii="Arial" w:eastAsia="Times New Roman" w:hAnsi="Arial" w:cs="Arial"/>
          <w:color w:val="000000"/>
          <w:kern w:val="0"/>
          <w14:ligatures w14:val="none"/>
        </w:rPr>
      </w:pPr>
    </w:p>
    <w:p w14:paraId="069F84A0" w14:textId="1C2E32D4" w:rsidR="006746F5" w:rsidRDefault="006746F5" w:rsidP="006746F5">
      <w:pPr>
        <w:spacing w:after="0" w:line="240" w:lineRule="auto"/>
        <w:rPr>
          <w:rFonts w:ascii="Arial" w:eastAsia="Times New Roman" w:hAnsi="Arial" w:cs="Arial"/>
          <w:color w:val="000000"/>
          <w:kern w:val="0"/>
          <w14:ligatures w14:val="none"/>
        </w:rPr>
      </w:pPr>
      <w:r w:rsidRPr="003C20BC">
        <w:rPr>
          <w:rFonts w:ascii="Arial" w:eastAsia="Times New Roman" w:hAnsi="Arial" w:cs="Arial"/>
          <w:color w:val="000000"/>
          <w:kern w:val="0"/>
          <w14:ligatures w14:val="none"/>
        </w:rPr>
        <w:t/>
      </w:r>
      <w:r>
        <w:rPr>
          <w:rFonts w:ascii="Arial" w:eastAsia="Times New Roman" w:hAnsi="Arial" w:cs="Arial"/>
          <w:color w:val="000000"/>
          <w:kern w:val="0"/>
          <w14:ligatures w14:val="none"/>
        </w:rPr>
        <w:t/>
      </w:r>
      <w:r w:rsidRPr="003C20BC">
        <w:rPr>
          <w:rFonts w:ascii="Arial" w:eastAsia="Times New Roman" w:hAnsi="Arial" w:cs="Arial"/>
          <w:color w:val="000000"/>
          <w:kern w:val="0"/>
          <w14:ligatures w14:val="none"/>
        </w:rPr>
        <w:t xml:space="preserve"/>
      </w:r>
      <w:proofErr w:type="spellStart"/>
      <w:r w:rsidRPr="003C20BC">
        <w:rPr>
          <w:rFonts w:ascii="Arial" w:eastAsia="Times New Roman" w:hAnsi="Arial" w:cs="Arial"/>
          <w:color w:val="000000"/>
          <w:kern w:val="0"/>
          <w14:ligatures w14:val="none"/>
        </w:rPr>
        <w:t/>
      </w:r>
      <w:proofErr w:type="spellEnd"/>
      <w:r w:rsidRPr="003C20BC">
        <w:rPr>
          <w:rFonts w:ascii="Arial" w:eastAsia="Times New Roman" w:hAnsi="Arial" w:cs="Arial"/>
          <w:color w:val="000000"/>
          <w:kern w:val="0"/>
          <w14:ligatures w14:val="none"/>
        </w:rPr>
        <w:t xml:space="preserve"/>
      </w:r>
    </w:p>
    <w:p w14:paraId="05984E66" w14:textId="22387BC6" w:rsidR="002A118A" w:rsidRPr="00B10B1A" w:rsidRDefault="001E3C7A" w:rsidP="00B10B1A">
      <w:pPr>
        <w:tabs>
          <w:tab w:val="left" w:pos="2160"/>
        </w:tabs>
        <w:spacing w:after="0" w:line="240" w:lineRule="auto"/>
        <w:rPr>
          <w:rFonts w:ascii="Times New Roman" w:eastAsia="Times New Roman" w:hAnsi="Times New Roman" w:cs="Times New Roman"/>
          <w:kern w:val="0"/>
          <w14:ligatures w14:val="none"/>
        </w:rPr>
      </w:pPr>
      <w:r>
        <w:rPr>
          <w:rFonts w:ascii="Arial" w:eastAsia="Times New Roman" w:hAnsi="Arial" w:cs="Arial"/>
          <w:color w:val="000000"/>
          <w:kern w:val="0"/>
          <w14:ligatures w14:val="none"/>
        </w:rPr>
        <w:tab/>
      </w:r>
      <w:r w:rsidR="00085A5A">
        <w:rPr>
          <w:rFonts w:ascii="Arial" w:eastAsia="Times New Roman" w:hAnsi="Arial" w:cs="Arial"/>
          <w:color w:val="000000"/>
          <w:kern w:val="0"/>
          <w14:ligatures w14:val="none"/>
        </w:rPr>
        <w:t xml:space="preserve"/>
      </w:r>
      <w:r>
        <w:rPr>
          <w:rFonts w:ascii="Arial" w:eastAsia="Times New Roman" w:hAnsi="Arial" w:cs="Arial"/>
          <w:color w:val="000000"/>
          <w:kern w:val="0"/>
          <w14:ligatures w14:val="none"/>
        </w:rPr>
        <w:t/>
      </w:r>
      <w:r w:rsidR="00F6344A">
        <w:rPr>
          <w:rFonts w:ascii="Arial" w:eastAsia="Times New Roman" w:hAnsi="Arial" w:cs="Arial"/>
          <w:color w:val="000000"/>
          <w:kern w:val="0"/>
          <w14:ligatures w14:val="none"/>
        </w:rPr>
        <w:t/>
      </w:r>
    </w:p>
    <w:p w14:paraId="21E6E3B0" w14:textId="2567DCBE" w:rsidR="003C20BC" w:rsidRDefault="00D93974" w:rsidP="003C20BC">
      <w:pPr>
        <w:spacing w:after="0" w:line="240" w:lineRule="auto"/>
        <w:rPr>
          <w:rFonts w:ascii="Arial" w:eastAsia="Times New Roman" w:hAnsi="Arial" w:cs="Arial"/>
          <w:color w:val="000000"/>
          <w:kern w:val="0"/>
          <w14:ligatures w14:val="none"/>
        </w:rPr>
      </w:pPr>
      <w:r>
        <w:rPr>
          <w:rFonts w:ascii="Arial" w:eastAsia="Times New Roman" w:hAnsi="Arial" w:cs="Arial"/>
          <w:color w:val="000000"/>
          <w:kern w:val="0"/>
          <w14:ligatures w14:val="none"/>
        </w:rPr>
        <w:tab/>
        <w:t xml:space="preserve"/>
      </w:r>
      <w:r w:rsidR="00EA7B93">
        <w:rPr>
          <w:rFonts w:ascii="Arial" w:eastAsia="Times New Roman" w:hAnsi="Arial" w:cs="Arial"/>
          <w:color w:val="000000"/>
          <w:kern w:val="0"/>
          <w14:ligatures w14:val="none"/>
        </w:rPr>
        <w:t/>
      </w:r>
    </w:p>
    <w:p w14:paraId="3468B2AD" w14:textId="77777777" w:rsidR="00B10B1A" w:rsidRPr="003C20BC" w:rsidRDefault="00B10B1A" w:rsidP="003C20BC">
      <w:pPr>
        <w:spacing w:after="0" w:line="240" w:lineRule="auto"/>
        <w:rPr>
          <w:rFonts w:ascii="Times New Roman" w:eastAsia="Times New Roman" w:hAnsi="Times New Roman" w:cs="Times New Roman"/>
          <w:kern w:val="0"/>
          <w14:ligatures w14:val="none"/>
        </w:rPr>
      </w:pPr>
    </w:p>
    <w:p w14:paraId="0B1C70D6" w14:textId="12FE4288" w:rsidR="005A7FFE" w:rsidRPr="003C20BC" w:rsidRDefault="005A7FFE" w:rsidP="005A7FFE">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b/>
          <w:bCs/>
          <w:color w:val="000000"/>
          <w:kern w:val="0"/>
          <w14:ligatures w14:val="none"/>
        </w:rPr>
        <w:t/>
      </w:r>
      <w:r w:rsidR="00521064">
        <w:rPr>
          <w:rFonts w:ascii="Arial" w:eastAsia="Times New Roman" w:hAnsi="Arial" w:cs="Arial"/>
          <w:b/>
          <w:bCs/>
          <w:color w:val="000000"/>
          <w:kern w:val="0"/>
          <w14:ligatures w14:val="none"/>
        </w:rPr>
        <w:t/>
      </w:r>
      <w:r>
        <w:rPr>
          <w:rFonts w:ascii="Arial" w:eastAsia="Times New Roman" w:hAnsi="Arial" w:cs="Arial"/>
          <w:b/>
          <w:bCs/>
          <w:color w:val="000000"/>
          <w:kern w:val="0"/>
          <w14:ligatures w14:val="none"/>
        </w:rPr>
        <w:t/>
      </w:r>
      <w:r w:rsidRPr="003C20BC">
        <w:rPr>
          <w:rFonts w:ascii="Arial" w:eastAsia="Times New Roman" w:hAnsi="Arial" w:cs="Arial"/>
          <w:b/>
          <w:bCs/>
          <w:color w:val="000000"/>
          <w:kern w:val="0"/>
          <w14:ligatures w14:val="none"/>
        </w:rPr>
        <w:t/>
      </w:r>
      <w:r w:rsidR="00521064">
        <w:rPr>
          <w:rFonts w:ascii="Arial" w:eastAsia="Times New Roman" w:hAnsi="Arial" w:cs="Arial"/>
          <w:b/>
          <w:bCs/>
          <w:color w:val="000000"/>
          <w:kern w:val="0"/>
          <w14:ligatures w14:val="none"/>
        </w:rPr>
        <w:t/>
      </w:r>
      <w:r w:rsidRPr="003C20BC">
        <w:rPr>
          <w:rFonts w:ascii="Arial" w:eastAsia="Times New Roman" w:hAnsi="Arial" w:cs="Arial"/>
          <w:b/>
          <w:bCs/>
          <w:color w:val="000000"/>
          <w:kern w:val="0"/>
          <w14:ligatures w14:val="none"/>
        </w:rPr>
        <w:t/>
      </w:r>
    </w:p>
    <w:p w14:paraId="4094A299" w14:textId="540966FA" w:rsidR="00521064" w:rsidRDefault="005A7FFE" w:rsidP="005A7FFE">
      <w:pPr>
        <w:spacing w:after="0" w:line="240" w:lineRule="auto"/>
        <w:rPr>
          <w:rFonts w:ascii="Arial" w:eastAsia="Times New Roman" w:hAnsi="Arial" w:cs="Arial"/>
          <w:color w:val="000000"/>
          <w:kern w:val="0"/>
          <w14:ligatures w14:val="none"/>
        </w:rPr>
      </w:pPr>
      <w:r w:rsidRPr="003C20BC">
        <w:rPr>
          <w:rFonts w:ascii="Arial" w:eastAsia="Times New Roman" w:hAnsi="Arial" w:cs="Arial"/>
          <w:color w:val="000000"/>
          <w:kern w:val="0"/>
          <w14:ligatures w14:val="none"/>
        </w:rPr>
        <w:t/>
      </w:r>
      <w:r>
        <w:rPr>
          <w:rFonts w:ascii="Arial" w:eastAsia="Times New Roman" w:hAnsi="Arial" w:cs="Arial"/>
          <w:color w:val="000000"/>
          <w:kern w:val="0"/>
          <w14:ligatures w14:val="none"/>
        </w:rPr>
        <w:t xml:space="preserve"/>
      </w:r>
    </w:p>
    <w:p w14:paraId="31B98A31" w14:textId="14A544E9" w:rsidR="00864AD7" w:rsidRDefault="00521064" w:rsidP="003C20BC">
      <w:pPr>
        <w:spacing w:after="0" w:line="240" w:lineRule="auto"/>
        <w:rPr>
          <w:rFonts w:ascii="Arial" w:eastAsia="Times New Roman" w:hAnsi="Arial" w:cs="Arial"/>
          <w:color w:val="000000"/>
          <w:kern w:val="0"/>
          <w14:ligatures w14:val="none"/>
        </w:rPr>
      </w:pPr>
      <w:r w:rsidRPr="00521064">
        <w:rPr>
          <w:rFonts w:ascii="Arial" w:eastAsia="Times New Roman" w:hAnsi="Arial" w:cs="Arial"/>
          <w:color w:val="000000"/>
          <w:kern w:val="0"/>
          <w14:ligatures w14:val="none"/>
        </w:rPr>
        <w:t/>
      </w:r>
    </w:p>
    <w:p w14:paraId="2C3B7FB8" w14:textId="49F6B4A4" w:rsidR="005C22DC" w:rsidRPr="003C20BC" w:rsidRDefault="005C22DC" w:rsidP="005C22D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xml:space="preserve"/>
      </w:r>
      <w:proofErr w:type="spellStart"/>
      <w:r w:rsidRPr="003C20BC">
        <w:rPr>
          <w:rFonts w:ascii="Arial" w:eastAsia="Times New Roman" w:hAnsi="Arial" w:cs="Arial"/>
          <w:color w:val="000000"/>
          <w:kern w:val="0"/>
          <w14:ligatures w14:val="none"/>
        </w:rPr>
        <w:t/>
      </w:r>
      <w:proofErr w:type="spellEnd"/>
      <w:r w:rsidRPr="003C20BC">
        <w:rPr>
          <w:rFonts w:ascii="Arial" w:eastAsia="Times New Roman" w:hAnsi="Arial" w:cs="Arial"/>
          <w:color w:val="000000"/>
          <w:kern w:val="0"/>
          <w14:ligatures w14:val="none"/>
        </w:rPr>
        <w:t xml:space="preserve"/>
      </w:r>
    </w:p>
    <w:p w14:paraId="03F307FA" w14:textId="587C1B98" w:rsidR="00521064" w:rsidRDefault="00521064" w:rsidP="003C20BC">
      <w:pPr>
        <w:spacing w:after="0" w:line="240" w:lineRule="auto"/>
        <w:rPr>
          <w:rFonts w:ascii="Arial" w:eastAsia="Times New Roman" w:hAnsi="Arial" w:cs="Arial"/>
          <w:color w:val="000000"/>
          <w:kern w:val="0"/>
          <w14:ligatures w14:val="none"/>
        </w:rPr>
      </w:pPr>
    </w:p>
    <w:p w14:paraId="518A38B9" w14:textId="77777777" w:rsidR="003C20BC" w:rsidRPr="003C20BC" w:rsidRDefault="00864AD7" w:rsidP="003C20BC">
      <w:pPr>
        <w:spacing w:after="0" w:line="240" w:lineRule="auto"/>
        <w:rPr>
          <w:rFonts w:ascii="Times New Roman" w:eastAsia="Times New Roman" w:hAnsi="Times New Roman" w:cs="Times New Roman"/>
          <w:kern w:val="0"/>
          <w14:ligatures w14:val="none"/>
        </w:rPr>
      </w:pPr>
      <w:r>
        <w:rPr>
          <w:rFonts w:ascii="Arial" w:eastAsia="Times New Roman" w:hAnsi="Arial" w:cs="Arial"/>
          <w:color w:val="000000"/>
          <w:kern w:val="0"/>
          <w14:ligatures w14:val="none"/>
        </w:rPr>
        <w:br w:type="column"/>
      </w:r>
    </w:p>
    <w:p w14:paraId="35F73692" w14:textId="75C24988"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b/>
          <w:bCs/>
          <w:color w:val="000000"/>
          <w:kern w:val="0"/>
          <w14:ligatures w14:val="none"/>
        </w:rPr>
        <w:t/>
      </w:r>
      <w:r w:rsidR="00591661">
        <w:rPr>
          <w:rFonts w:ascii="Arial" w:eastAsia="Times New Roman" w:hAnsi="Arial" w:cs="Arial"/>
          <w:b/>
          <w:bCs/>
          <w:color w:val="000000"/>
          <w:kern w:val="0"/>
          <w14:ligatures w14:val="none"/>
        </w:rPr>
        <w:t xml:space="preserve"/>
      </w:r>
      <w:r w:rsidR="007136E1">
        <w:rPr>
          <w:rFonts w:ascii="Arial" w:eastAsia="Times New Roman" w:hAnsi="Arial" w:cs="Arial"/>
          <w:b/>
          <w:bCs/>
          <w:color w:val="000000"/>
          <w:kern w:val="0"/>
          <w14:ligatures w14:val="none"/>
        </w:rPr>
        <w:t xml:space="preserve"/>
      </w:r>
      <w:r w:rsidRPr="003C20BC">
        <w:rPr>
          <w:rFonts w:ascii="Arial" w:eastAsia="Times New Roman" w:hAnsi="Arial" w:cs="Arial"/>
          <w:b/>
          <w:bCs/>
          <w:color w:val="000000"/>
          <w:kern w:val="0"/>
          <w14:ligatures w14:val="none"/>
        </w:rPr>
        <w:t xml:space="preserve"/>
      </w:r>
      <w:proofErr w:type="spellStart"/>
      <w:r w:rsidRPr="003C20BC">
        <w:rPr>
          <w:rFonts w:ascii="Arial" w:eastAsia="Times New Roman" w:hAnsi="Arial" w:cs="Arial"/>
          <w:b/>
          <w:bCs/>
          <w:color w:val="000000"/>
          <w:kern w:val="0"/>
          <w14:ligatures w14:val="none"/>
        </w:rPr>
        <w:t/>
      </w:r>
      <w:proofErr w:type="spellEnd"/>
      <w:r w:rsidRPr="003C20BC">
        <w:rPr>
          <w:rFonts w:ascii="Arial" w:eastAsia="Times New Roman" w:hAnsi="Arial" w:cs="Arial"/>
          <w:b/>
          <w:bCs/>
          <w:color w:val="000000"/>
          <w:kern w:val="0"/>
          <w14:ligatures w14:val="none"/>
        </w:rPr>
        <w:t xml:space="preserve"/>
      </w:r>
      <w:r w:rsidR="00A3484E">
        <w:rPr>
          <w:rFonts w:ascii="Arial" w:eastAsia="Times New Roman" w:hAnsi="Arial" w:cs="Arial"/>
          <w:b/>
          <w:bCs/>
          <w:color w:val="000000"/>
          <w:kern w:val="0"/>
          <w14:ligatures w14:val="none"/>
        </w:rPr>
        <w:t/>
      </w:r>
      <w:r w:rsidR="007136E1">
        <w:rPr>
          <w:rFonts w:ascii="Arial" w:eastAsia="Times New Roman" w:hAnsi="Arial" w:cs="Arial"/>
          <w:b/>
          <w:bCs/>
          <w:color w:val="000000"/>
          <w:kern w:val="0"/>
          <w14:ligatures w14:val="none"/>
        </w:rPr>
        <w:t/>
      </w:r>
    </w:p>
    <w:p w14:paraId="67F53E6D"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w:r>
    </w:p>
    <w:p w14:paraId="4668CF10"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w:r>
    </w:p>
    <w:p w14:paraId="3DDC6F21"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b/>
          <w:bCs/>
          <w:color w:val="000000"/>
          <w:kern w:val="0"/>
          <w14:ligatures w14:val="none"/>
        </w:rPr>
        <w:t>Abstract:</w:t>
      </w:r>
    </w:p>
    <w:p w14:paraId="4CA0286B" w14:textId="024A2709"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Access to central veins and peripheral arteries remain amongst the most commonly performed procedures in the world yet are associated with persistent low frequency complications.  We introduce improvements in the design of guide needles and guidewires, to be used for central venous and peripheral vascular access targeting improved patient safety and ease of use. The modifications include an echogenic needle bulb enhancing ultrasonic visualization and haptic feedback during insertion as well as an integrated guidewire. </w:t>
      </w:r>
    </w:p>
    <w:p w14:paraId="373B6C22"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w:t>
      </w:r>
    </w:p>
    <w:p w14:paraId="7DB03754"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w:t>
      </w:r>
    </w:p>
    <w:p w14:paraId="6C478FB1"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b/>
          <w:bCs/>
          <w:color w:val="000000"/>
          <w:kern w:val="0"/>
          <w14:ligatures w14:val="none"/>
        </w:rPr>
        <w:t>Manuscript:</w:t>
      </w:r>
    </w:p>
    <w:p w14:paraId="10607503"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w:t>
      </w:r>
    </w:p>
    <w:p w14:paraId="5F75A35E"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xml:space="preserve">The </w:t>
      </w:r>
      <w:proofErr w:type="spellStart"/>
      <w:r w:rsidRPr="003C20BC">
        <w:rPr>
          <w:rFonts w:ascii="Arial" w:eastAsia="Times New Roman" w:hAnsi="Arial" w:cs="Arial"/>
          <w:color w:val="000000"/>
          <w:kern w:val="0"/>
          <w14:ligatures w14:val="none"/>
        </w:rPr>
        <w:t>Seldinger</w:t>
      </w:r>
      <w:proofErr w:type="spellEnd"/>
      <w:r w:rsidRPr="003C20BC">
        <w:rPr>
          <w:rFonts w:ascii="Arial" w:eastAsia="Times New Roman" w:hAnsi="Arial" w:cs="Arial"/>
          <w:color w:val="000000"/>
          <w:kern w:val="0"/>
          <w14:ligatures w14:val="none"/>
        </w:rPr>
        <w:t xml:space="preserve"> technique is used for arterial and venous vascular access into large central veins such as internal jugular, subclavian or femoral vein. The technique, developed in 1953, involves puncturing the targeted artery or vein with a guide needle and syringe, blood aspiration to determine success in access, detaching of the syringe, insertion of a guidewire, removing the needle and sliding a catheter over the wire onto the artery or vein. </w:t>
      </w:r>
      <w:r w:rsidRPr="003C20BC">
        <w:rPr>
          <w:rFonts w:ascii="Arial" w:eastAsia="Times New Roman" w:hAnsi="Arial" w:cs="Arial"/>
          <w:color w:val="000000"/>
          <w:kern w:val="0"/>
          <w:sz w:val="14"/>
          <w:szCs w:val="14"/>
          <w:vertAlign w:val="superscript"/>
          <w14:ligatures w14:val="none"/>
        </w:rPr>
        <w:t>1,2</w:t>
      </w:r>
      <w:r w:rsidRPr="003C20BC">
        <w:rPr>
          <w:rFonts w:ascii="Arial" w:eastAsia="Times New Roman" w:hAnsi="Arial" w:cs="Arial"/>
          <w:color w:val="000000"/>
          <w:kern w:val="0"/>
          <w14:ligatures w14:val="none"/>
        </w:rPr>
        <w:t xml:space="preserve"> The initial description promoted through and through artery and vein punctures and pull back of the needle into the vascular lumen. </w:t>
      </w:r>
      <w:r w:rsidRPr="003C20BC">
        <w:rPr>
          <w:rFonts w:ascii="Arial" w:eastAsia="Times New Roman" w:hAnsi="Arial" w:cs="Arial"/>
          <w:color w:val="000000"/>
          <w:kern w:val="0"/>
          <w:sz w:val="14"/>
          <w:szCs w:val="14"/>
          <w:vertAlign w:val="superscript"/>
          <w14:ligatures w14:val="none"/>
        </w:rPr>
        <w:t>3,4</w:t>
      </w:r>
      <w:r w:rsidRPr="003C20BC">
        <w:rPr>
          <w:rFonts w:ascii="Arial" w:eastAsia="Times New Roman" w:hAnsi="Arial" w:cs="Arial"/>
          <w:color w:val="000000"/>
          <w:kern w:val="0"/>
          <w14:ligatures w14:val="none"/>
        </w:rPr>
        <w:t xml:space="preserve"> The procedure is now performed both emergently and electively, providing reliable vascular access for administration of medications, fluids, blood products and total parenteral nutrition, and facilitates rapid infusion of fluids in critically ill patients while allowing delivery of irritant or hypertonic medications which may otherwise damage smaller peripheral veins; it also enables hemodynamic monitoring, including measurement of central venous pressure, and repeated blood sampling. </w:t>
      </w:r>
      <w:r w:rsidRPr="003C20BC">
        <w:rPr>
          <w:rFonts w:ascii="Arial" w:eastAsia="Times New Roman" w:hAnsi="Arial" w:cs="Arial"/>
          <w:color w:val="000000"/>
          <w:kern w:val="0"/>
          <w:sz w:val="14"/>
          <w:szCs w:val="14"/>
          <w:vertAlign w:val="superscript"/>
          <w14:ligatures w14:val="none"/>
        </w:rPr>
        <w:t>5,6,</w:t>
      </w:r>
      <w:proofErr w:type="gramStart"/>
      <w:r w:rsidRPr="003C20BC">
        <w:rPr>
          <w:rFonts w:ascii="Arial" w:eastAsia="Times New Roman" w:hAnsi="Arial" w:cs="Arial"/>
          <w:color w:val="000000"/>
          <w:kern w:val="0"/>
          <w:sz w:val="14"/>
          <w:szCs w:val="14"/>
          <w:vertAlign w:val="superscript"/>
          <w14:ligatures w14:val="none"/>
        </w:rPr>
        <w:t xml:space="preserve">7 </w:t>
      </w:r>
      <w:r w:rsidRPr="003C20BC">
        <w:rPr>
          <w:rFonts w:ascii="Arial" w:eastAsia="Times New Roman" w:hAnsi="Arial" w:cs="Arial"/>
          <w:color w:val="000000"/>
          <w:kern w:val="0"/>
          <w14:ligatures w14:val="none"/>
        </w:rPr>
        <w:t> Broadening</w:t>
      </w:r>
      <w:proofErr w:type="gramEnd"/>
      <w:r w:rsidRPr="003C20BC">
        <w:rPr>
          <w:rFonts w:ascii="Arial" w:eastAsia="Times New Roman" w:hAnsi="Arial" w:cs="Arial"/>
          <w:color w:val="000000"/>
          <w:kern w:val="0"/>
          <w14:ligatures w14:val="none"/>
        </w:rPr>
        <w:t xml:space="preserve"> indications for central venous access has increased its applicable </w:t>
      </w:r>
      <w:proofErr w:type="gramStart"/>
      <w:r w:rsidRPr="003C20BC">
        <w:rPr>
          <w:rFonts w:ascii="Arial" w:eastAsia="Times New Roman" w:hAnsi="Arial" w:cs="Arial"/>
          <w:color w:val="000000"/>
          <w:kern w:val="0"/>
          <w14:ligatures w14:val="none"/>
        </w:rPr>
        <w:t>populations, and</w:t>
      </w:r>
      <w:proofErr w:type="gramEnd"/>
      <w:r w:rsidRPr="003C20BC">
        <w:rPr>
          <w:rFonts w:ascii="Arial" w:eastAsia="Times New Roman" w:hAnsi="Arial" w:cs="Arial"/>
          <w:color w:val="000000"/>
          <w:kern w:val="0"/>
          <w14:ligatures w14:val="none"/>
        </w:rPr>
        <w:t xml:space="preserve"> is often required for the management of acutely ill patients with more comorbidity and morbid risk of access complications or failure. </w:t>
      </w:r>
      <w:r w:rsidRPr="003C20BC">
        <w:rPr>
          <w:rFonts w:ascii="Arial" w:eastAsia="Times New Roman" w:hAnsi="Arial" w:cs="Arial"/>
          <w:color w:val="000000"/>
          <w:kern w:val="0"/>
          <w:sz w:val="14"/>
          <w:szCs w:val="14"/>
          <w:vertAlign w:val="superscript"/>
          <w14:ligatures w14:val="none"/>
        </w:rPr>
        <w:t>8,</w:t>
      </w:r>
      <w:proofErr w:type="gramStart"/>
      <w:r w:rsidRPr="003C20BC">
        <w:rPr>
          <w:rFonts w:ascii="Arial" w:eastAsia="Times New Roman" w:hAnsi="Arial" w:cs="Arial"/>
          <w:color w:val="000000"/>
          <w:kern w:val="0"/>
          <w:sz w:val="14"/>
          <w:szCs w:val="14"/>
          <w:vertAlign w:val="superscript"/>
          <w14:ligatures w14:val="none"/>
        </w:rPr>
        <w:t xml:space="preserve">9 </w:t>
      </w:r>
      <w:r w:rsidRPr="003C20BC">
        <w:rPr>
          <w:rFonts w:ascii="Arial" w:eastAsia="Times New Roman" w:hAnsi="Arial" w:cs="Arial"/>
          <w:color w:val="000000"/>
          <w:kern w:val="0"/>
          <w14:ligatures w14:val="none"/>
        </w:rPr>
        <w:t> In</w:t>
      </w:r>
      <w:proofErr w:type="gramEnd"/>
      <w:r w:rsidRPr="003C20BC">
        <w:rPr>
          <w:rFonts w:ascii="Arial" w:eastAsia="Times New Roman" w:hAnsi="Arial" w:cs="Arial"/>
          <w:color w:val="000000"/>
          <w:kern w:val="0"/>
          <w14:ligatures w14:val="none"/>
        </w:rPr>
        <w:t xml:space="preserve"> 1998, it was estimated that central venous catheters were inserted 5 million times in the USA; </w:t>
      </w:r>
      <w:r w:rsidRPr="003C20BC">
        <w:rPr>
          <w:rFonts w:ascii="Arial" w:eastAsia="Times New Roman" w:hAnsi="Arial" w:cs="Arial"/>
          <w:color w:val="000000"/>
          <w:kern w:val="0"/>
          <w:sz w:val="14"/>
          <w:szCs w:val="14"/>
          <w:vertAlign w:val="superscript"/>
          <w14:ligatures w14:val="none"/>
        </w:rPr>
        <w:t>10</w:t>
      </w:r>
      <w:r w:rsidRPr="003C20BC">
        <w:rPr>
          <w:rFonts w:ascii="Arial" w:eastAsia="Times New Roman" w:hAnsi="Arial" w:cs="Arial"/>
          <w:color w:val="000000"/>
          <w:kern w:val="0"/>
          <w14:ligatures w14:val="none"/>
        </w:rPr>
        <w:t xml:space="preserve"> current estimates are 27 million central venous catheters are inserted worldwide. </w:t>
      </w:r>
      <w:proofErr w:type="gramStart"/>
      <w:r w:rsidRPr="003C20BC">
        <w:rPr>
          <w:rFonts w:ascii="Arial" w:eastAsia="Times New Roman" w:hAnsi="Arial" w:cs="Arial"/>
          <w:color w:val="000000"/>
          <w:kern w:val="0"/>
          <w:sz w:val="14"/>
          <w:szCs w:val="14"/>
          <w:vertAlign w:val="superscript"/>
          <w14:ligatures w14:val="none"/>
        </w:rPr>
        <w:t>11</w:t>
      </w:r>
      <w:r w:rsidRPr="003C20BC">
        <w:rPr>
          <w:rFonts w:ascii="Arial" w:eastAsia="Times New Roman" w:hAnsi="Arial" w:cs="Arial"/>
          <w:color w:val="000000"/>
          <w:kern w:val="0"/>
          <w14:ligatures w14:val="none"/>
        </w:rPr>
        <w:t>  In</w:t>
      </w:r>
      <w:proofErr w:type="gramEnd"/>
      <w:r w:rsidRPr="003C20BC">
        <w:rPr>
          <w:rFonts w:ascii="Arial" w:eastAsia="Times New Roman" w:hAnsi="Arial" w:cs="Arial"/>
          <w:color w:val="000000"/>
          <w:kern w:val="0"/>
          <w14:ligatures w14:val="none"/>
        </w:rPr>
        <w:t xml:space="preserve"> addition to the venous access, approximately 8 million brachial and radial arterial lines are created with the </w:t>
      </w:r>
      <w:proofErr w:type="spellStart"/>
      <w:r w:rsidRPr="003C20BC">
        <w:rPr>
          <w:rFonts w:ascii="Arial" w:eastAsia="Times New Roman" w:hAnsi="Arial" w:cs="Arial"/>
          <w:color w:val="000000"/>
          <w:kern w:val="0"/>
          <w14:ligatures w14:val="none"/>
        </w:rPr>
        <w:t>Seldinger</w:t>
      </w:r>
      <w:proofErr w:type="spellEnd"/>
      <w:r w:rsidRPr="003C20BC">
        <w:rPr>
          <w:rFonts w:ascii="Arial" w:eastAsia="Times New Roman" w:hAnsi="Arial" w:cs="Arial"/>
          <w:color w:val="000000"/>
          <w:kern w:val="0"/>
          <w14:ligatures w14:val="none"/>
        </w:rPr>
        <w:t xml:space="preserve"> technique in the United States every year for numerous diagnostic and therapeutic procedures. </w:t>
      </w:r>
      <w:r w:rsidRPr="003C20BC">
        <w:rPr>
          <w:rFonts w:ascii="Arial" w:eastAsia="Times New Roman" w:hAnsi="Arial" w:cs="Arial"/>
          <w:color w:val="000000"/>
          <w:kern w:val="0"/>
          <w:sz w:val="14"/>
          <w:szCs w:val="14"/>
          <w:vertAlign w:val="superscript"/>
          <w14:ligatures w14:val="none"/>
        </w:rPr>
        <w:t>12</w:t>
      </w:r>
      <w:r w:rsidRPr="003C20BC">
        <w:rPr>
          <w:rFonts w:ascii="Arial" w:eastAsia="Times New Roman" w:hAnsi="Arial" w:cs="Arial"/>
          <w:color w:val="000000"/>
          <w:kern w:val="0"/>
          <w14:ligatures w14:val="none"/>
        </w:rPr>
        <w:t> </w:t>
      </w:r>
    </w:p>
    <w:p w14:paraId="3F093E97"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w:t>
      </w:r>
    </w:p>
    <w:p w14:paraId="60B300D8"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xml:space="preserve">Central venous catheter placement is associated with low but measurable rates of serious complications. </w:t>
      </w:r>
      <w:r w:rsidRPr="003C20BC">
        <w:rPr>
          <w:rFonts w:ascii="Arial" w:eastAsia="Times New Roman" w:hAnsi="Arial" w:cs="Arial"/>
          <w:color w:val="000000"/>
          <w:kern w:val="0"/>
          <w:sz w:val="14"/>
          <w:szCs w:val="14"/>
          <w:vertAlign w:val="superscript"/>
          <w14:ligatures w14:val="none"/>
        </w:rPr>
        <w:t>13,</w:t>
      </w:r>
      <w:proofErr w:type="gramStart"/>
      <w:r w:rsidRPr="003C20BC">
        <w:rPr>
          <w:rFonts w:ascii="Arial" w:eastAsia="Times New Roman" w:hAnsi="Arial" w:cs="Arial"/>
          <w:color w:val="000000"/>
          <w:kern w:val="0"/>
          <w:sz w:val="14"/>
          <w:szCs w:val="14"/>
          <w:vertAlign w:val="superscript"/>
          <w14:ligatures w14:val="none"/>
        </w:rPr>
        <w:t xml:space="preserve">14 </w:t>
      </w:r>
      <w:r w:rsidRPr="003C20BC">
        <w:rPr>
          <w:rFonts w:ascii="Arial" w:eastAsia="Times New Roman" w:hAnsi="Arial" w:cs="Arial"/>
          <w:color w:val="000000"/>
          <w:kern w:val="0"/>
          <w14:ligatures w14:val="none"/>
        </w:rPr>
        <w:t> Estimates</w:t>
      </w:r>
      <w:proofErr w:type="gramEnd"/>
      <w:r w:rsidRPr="003C20BC">
        <w:rPr>
          <w:rFonts w:ascii="Arial" w:eastAsia="Times New Roman" w:hAnsi="Arial" w:cs="Arial"/>
          <w:color w:val="000000"/>
          <w:kern w:val="0"/>
          <w14:ligatures w14:val="none"/>
        </w:rPr>
        <w:t xml:space="preserve"> of complications for central venous access range from 5%-19%. </w:t>
      </w:r>
      <w:r w:rsidRPr="003C20BC">
        <w:rPr>
          <w:rFonts w:ascii="Arial" w:eastAsia="Times New Roman" w:hAnsi="Arial" w:cs="Arial"/>
          <w:color w:val="000000"/>
          <w:kern w:val="0"/>
          <w:sz w:val="14"/>
          <w:szCs w:val="14"/>
          <w:vertAlign w:val="superscript"/>
          <w14:ligatures w14:val="none"/>
        </w:rPr>
        <w:t>15,16</w:t>
      </w:r>
      <w:r w:rsidRPr="003C20BC">
        <w:rPr>
          <w:rFonts w:ascii="Arial" w:eastAsia="Times New Roman" w:hAnsi="Arial" w:cs="Arial"/>
          <w:color w:val="000000"/>
          <w:kern w:val="0"/>
          <w14:ligatures w14:val="none"/>
        </w:rPr>
        <w:t xml:space="preserve"> A 2024 systematic review and meta-analysis published in JAMA Internal Medicine analyzing 130 separate studies from 2015-2023 found that while reported rates varied considerably, major complications occurred in an average of 3% of central venous catheter placements including placement failure occurring at a rate of 20.4 events per 1000, arterial puncture at 16.2 events per 1000, and pneumothorax at </w:t>
      </w:r>
      <w:r w:rsidRPr="003C20BC">
        <w:rPr>
          <w:rFonts w:ascii="Arial" w:eastAsia="Times New Roman" w:hAnsi="Arial" w:cs="Arial"/>
          <w:color w:val="000000"/>
          <w:kern w:val="0"/>
          <w14:ligatures w14:val="none"/>
        </w:rPr>
        <w:lastRenderedPageBreak/>
        <w:t xml:space="preserve">4.4 events per 1000, while use complications rates of 4.8 events per 1000 for infection and 2.7 events per 1000 for deep vein thrombosis. </w:t>
      </w:r>
      <w:r w:rsidRPr="003C20BC">
        <w:rPr>
          <w:rFonts w:ascii="Arial" w:eastAsia="Times New Roman" w:hAnsi="Arial" w:cs="Arial"/>
          <w:color w:val="000000"/>
          <w:kern w:val="0"/>
          <w:sz w:val="14"/>
          <w:szCs w:val="14"/>
          <w:vertAlign w:val="superscript"/>
          <w14:ligatures w14:val="none"/>
        </w:rPr>
        <w:t>11</w:t>
      </w:r>
      <w:r w:rsidRPr="003C20BC">
        <w:rPr>
          <w:rFonts w:ascii="Arial" w:eastAsia="Times New Roman" w:hAnsi="Arial" w:cs="Arial"/>
          <w:color w:val="000000"/>
          <w:kern w:val="0"/>
          <w14:ligatures w14:val="none"/>
        </w:rPr>
        <w:t> </w:t>
      </w:r>
    </w:p>
    <w:p w14:paraId="4E343E14"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w:t>
      </w:r>
    </w:p>
    <w:p w14:paraId="453E566A" w14:textId="155BA8A5"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xml:space="preserve">The introduction of real time ultrasound has become the gold standard for central venous access, possibly reducing many of the complications, in particular pneumothorax. </w:t>
      </w:r>
      <w:r w:rsidRPr="003C20BC">
        <w:rPr>
          <w:rFonts w:ascii="Arial" w:eastAsia="Times New Roman" w:hAnsi="Arial" w:cs="Arial"/>
          <w:color w:val="000000"/>
          <w:kern w:val="0"/>
          <w:sz w:val="14"/>
          <w:szCs w:val="14"/>
          <w:vertAlign w:val="superscript"/>
          <w14:ligatures w14:val="none"/>
        </w:rPr>
        <w:t xml:space="preserve">17,18,19,20 </w:t>
      </w:r>
      <w:r w:rsidRPr="003C20BC">
        <w:rPr>
          <w:rFonts w:ascii="Arial" w:eastAsia="Times New Roman" w:hAnsi="Arial" w:cs="Arial"/>
          <w:color w:val="000000"/>
          <w:kern w:val="0"/>
          <w14:ligatures w14:val="none"/>
        </w:rPr>
        <w:t xml:space="preserve"> However, the tools used for </w:t>
      </w:r>
      <w:proofErr w:type="spellStart"/>
      <w:r w:rsidRPr="003C20BC">
        <w:rPr>
          <w:rFonts w:ascii="Arial" w:eastAsia="Times New Roman" w:hAnsi="Arial" w:cs="Arial"/>
          <w:color w:val="000000"/>
          <w:kern w:val="0"/>
          <w14:ligatures w14:val="none"/>
        </w:rPr>
        <w:t>Seldinger</w:t>
      </w:r>
      <w:proofErr w:type="spellEnd"/>
      <w:r w:rsidRPr="003C20BC">
        <w:rPr>
          <w:rFonts w:ascii="Arial" w:eastAsia="Times New Roman" w:hAnsi="Arial" w:cs="Arial"/>
          <w:color w:val="000000"/>
          <w:kern w:val="0"/>
          <w14:ligatures w14:val="none"/>
        </w:rPr>
        <w:t xml:space="preserve"> access have neither been optimized for ultrasound visualization nor for guidewire manipulation: 1) the needle tip is not always readily visible under ultrasound necessitating a secondary blood flash-back confirmation, and 2) introduction of the guidewire still requires putting down the ultrasound probe while detaching the syringe from guide needle and inserting the guidewire into the needle hub.  These manipulations both risk inadvertent with-</w:t>
      </w:r>
      <w:proofErr w:type="spellStart"/>
      <w:r w:rsidRPr="003C20BC">
        <w:rPr>
          <w:rFonts w:ascii="Arial" w:eastAsia="Times New Roman" w:hAnsi="Arial" w:cs="Arial"/>
          <w:color w:val="000000"/>
          <w:kern w:val="0"/>
          <w14:ligatures w14:val="none"/>
        </w:rPr>
        <w:t>draw</w:t>
      </w:r>
      <w:r w:rsidR="00372CDD">
        <w:rPr>
          <w:rFonts w:ascii="Arial" w:eastAsia="Times New Roman" w:hAnsi="Arial" w:cs="Arial"/>
          <w:color w:val="000000"/>
          <w:kern w:val="0"/>
          <w14:ligatures w14:val="none"/>
        </w:rPr>
        <w:t>al</w:t>
      </w:r>
      <w:proofErr w:type="spellEnd"/>
      <w:r w:rsidRPr="003C20BC">
        <w:rPr>
          <w:rFonts w:ascii="Arial" w:eastAsia="Times New Roman" w:hAnsi="Arial" w:cs="Arial"/>
          <w:color w:val="000000"/>
          <w:kern w:val="0"/>
          <w14:ligatures w14:val="none"/>
        </w:rPr>
        <w:t xml:space="preserve"> of the needle from vascular lumen or advancing it through the posterior wall of the vein or artery. Additionally, the current access procedure causes the operator to often end visual ultrasound imaging while detaching the syringe and obtaining and advancing a guidewire (“third hand dilemma”).  The “blind” stabilization of the needle during manipulations risks dislodging or inadvertently advancing the needle should any operator or patient movement occur.  </w:t>
      </w:r>
      <w:r w:rsidR="00F22B0D">
        <w:rPr>
          <w:rFonts w:ascii="Arial" w:eastAsia="Times New Roman" w:hAnsi="Arial" w:cs="Arial"/>
          <w:color w:val="000000"/>
          <w:kern w:val="0"/>
          <w14:ligatures w14:val="none"/>
        </w:rPr>
        <w:t xml:space="preserve">This </w:t>
      </w:r>
      <w:r w:rsidR="006F6B62">
        <w:rPr>
          <w:rFonts w:ascii="Arial" w:eastAsia="Times New Roman" w:hAnsi="Arial" w:cs="Arial"/>
          <w:color w:val="000000"/>
          <w:kern w:val="0"/>
          <w14:ligatures w14:val="none"/>
        </w:rPr>
        <w:t>“</w:t>
      </w:r>
      <w:r w:rsidR="007D7435">
        <w:rPr>
          <w:rFonts w:ascii="Arial" w:eastAsia="Times New Roman" w:hAnsi="Arial" w:cs="Arial"/>
          <w:color w:val="000000"/>
          <w:kern w:val="0"/>
          <w14:ligatures w14:val="none"/>
        </w:rPr>
        <w:t>third ha</w:t>
      </w:r>
      <w:r w:rsidR="006F6B62">
        <w:rPr>
          <w:rFonts w:ascii="Arial" w:eastAsia="Times New Roman" w:hAnsi="Arial" w:cs="Arial"/>
          <w:color w:val="000000"/>
          <w:kern w:val="0"/>
          <w14:ligatures w14:val="none"/>
        </w:rPr>
        <w:t>n</w:t>
      </w:r>
      <w:r w:rsidR="007D7435">
        <w:rPr>
          <w:rFonts w:ascii="Arial" w:eastAsia="Times New Roman" w:hAnsi="Arial" w:cs="Arial"/>
          <w:color w:val="000000"/>
          <w:kern w:val="0"/>
          <w14:ligatures w14:val="none"/>
        </w:rPr>
        <w:t>d dilemma</w:t>
      </w:r>
      <w:r w:rsidR="006F6B62">
        <w:rPr>
          <w:rFonts w:ascii="Arial" w:eastAsia="Times New Roman" w:hAnsi="Arial" w:cs="Arial"/>
          <w:color w:val="000000"/>
          <w:kern w:val="0"/>
          <w14:ligatures w14:val="none"/>
        </w:rPr>
        <w:t>”</w:t>
      </w:r>
      <w:r w:rsidR="007D7435">
        <w:rPr>
          <w:rFonts w:ascii="Arial" w:eastAsia="Times New Roman" w:hAnsi="Arial" w:cs="Arial"/>
          <w:color w:val="000000"/>
          <w:kern w:val="0"/>
          <w14:ligatures w14:val="none"/>
        </w:rPr>
        <w:t xml:space="preserve"> also results in the blind introduction of the guidewire</w:t>
      </w:r>
      <w:r w:rsidR="00597B14">
        <w:rPr>
          <w:rFonts w:ascii="Arial" w:eastAsia="Times New Roman" w:hAnsi="Arial" w:cs="Arial"/>
          <w:color w:val="000000"/>
          <w:kern w:val="0"/>
          <w14:ligatures w14:val="none"/>
        </w:rPr>
        <w:t>,</w:t>
      </w:r>
      <w:r w:rsidR="007D7435">
        <w:rPr>
          <w:rFonts w:ascii="Arial" w:eastAsia="Times New Roman" w:hAnsi="Arial" w:cs="Arial"/>
          <w:color w:val="000000"/>
          <w:kern w:val="0"/>
          <w14:ligatures w14:val="none"/>
        </w:rPr>
        <w:t xml:space="preserve"> which </w:t>
      </w:r>
      <w:r w:rsidR="00597B14">
        <w:rPr>
          <w:rFonts w:ascii="Arial" w:eastAsia="Times New Roman" w:hAnsi="Arial" w:cs="Arial"/>
          <w:color w:val="000000"/>
          <w:kern w:val="0"/>
          <w14:ligatures w14:val="none"/>
        </w:rPr>
        <w:t xml:space="preserve">is not the standard of care. </w:t>
      </w:r>
      <w:r w:rsidRPr="003C20BC">
        <w:rPr>
          <w:rFonts w:ascii="Arial" w:eastAsia="Times New Roman" w:hAnsi="Arial" w:cs="Arial"/>
          <w:color w:val="000000"/>
          <w:kern w:val="0"/>
          <w14:ligatures w14:val="none"/>
        </w:rPr>
        <w:t>Continuous visualization of the needle tip could ensure persistent proper positioning of the needle bevel within the lumen of the target vessel. </w:t>
      </w:r>
      <w:proofErr w:type="gramStart"/>
      <w:r w:rsidR="00204C56">
        <w:rPr>
          <w:rFonts w:ascii="Arial" w:eastAsia="Times New Roman" w:hAnsi="Arial" w:cs="Arial"/>
          <w:color w:val="000000"/>
          <w:kern w:val="0"/>
          <w14:ligatures w14:val="none"/>
        </w:rPr>
        <w:t>And,</w:t>
      </w:r>
      <w:proofErr w:type="gramEnd"/>
      <w:r w:rsidR="00204C56">
        <w:rPr>
          <w:rFonts w:ascii="Arial" w:eastAsia="Times New Roman" w:hAnsi="Arial" w:cs="Arial"/>
          <w:color w:val="000000"/>
          <w:kern w:val="0"/>
          <w14:ligatures w14:val="none"/>
        </w:rPr>
        <w:t xml:space="preserve"> c</w:t>
      </w:r>
      <w:r w:rsidR="00464190">
        <w:rPr>
          <w:rFonts w:ascii="Arial" w:eastAsia="Times New Roman" w:hAnsi="Arial" w:cs="Arial"/>
          <w:color w:val="000000"/>
          <w:kern w:val="0"/>
          <w14:ligatures w14:val="none"/>
        </w:rPr>
        <w:t xml:space="preserve">ontinuous visualization </w:t>
      </w:r>
      <w:r w:rsidR="005D48AC">
        <w:rPr>
          <w:rFonts w:ascii="Arial" w:eastAsia="Times New Roman" w:hAnsi="Arial" w:cs="Arial"/>
          <w:color w:val="000000"/>
          <w:kern w:val="0"/>
          <w14:ligatures w14:val="none"/>
        </w:rPr>
        <w:t>c</w:t>
      </w:r>
      <w:r w:rsidR="00352867">
        <w:rPr>
          <w:rFonts w:ascii="Arial" w:eastAsia="Times New Roman" w:hAnsi="Arial" w:cs="Arial"/>
          <w:color w:val="000000"/>
          <w:kern w:val="0"/>
          <w14:ligatures w14:val="none"/>
        </w:rPr>
        <w:t xml:space="preserve">ould ensure safer </w:t>
      </w:r>
      <w:r w:rsidR="005D48AC">
        <w:rPr>
          <w:rFonts w:ascii="Arial" w:eastAsia="Times New Roman" w:hAnsi="Arial" w:cs="Arial"/>
          <w:color w:val="000000"/>
          <w:kern w:val="0"/>
          <w14:ligatures w14:val="none"/>
        </w:rPr>
        <w:t xml:space="preserve">introduction </w:t>
      </w:r>
      <w:r w:rsidR="00464190">
        <w:rPr>
          <w:rFonts w:ascii="Arial" w:eastAsia="Times New Roman" w:hAnsi="Arial" w:cs="Arial"/>
          <w:color w:val="000000"/>
          <w:kern w:val="0"/>
          <w14:ligatures w14:val="none"/>
        </w:rPr>
        <w:t>of the guidewire</w:t>
      </w:r>
      <w:r w:rsidR="005D48AC">
        <w:rPr>
          <w:rFonts w:ascii="Arial" w:eastAsia="Times New Roman" w:hAnsi="Arial" w:cs="Arial"/>
          <w:color w:val="000000"/>
          <w:kern w:val="0"/>
          <w14:ligatures w14:val="none"/>
        </w:rPr>
        <w:t>.</w:t>
      </w:r>
      <w:r w:rsidR="00464190">
        <w:rPr>
          <w:rFonts w:ascii="Arial" w:eastAsia="Times New Roman" w:hAnsi="Arial" w:cs="Arial"/>
          <w:color w:val="000000"/>
          <w:kern w:val="0"/>
          <w14:ligatures w14:val="none"/>
        </w:rPr>
        <w:t xml:space="preserve"> </w:t>
      </w:r>
    </w:p>
    <w:p w14:paraId="0385EF7C"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w:t>
      </w:r>
    </w:p>
    <w:p w14:paraId="44412CC2"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w:t>
      </w:r>
    </w:p>
    <w:p w14:paraId="135ED79C" w14:textId="0FFA8A5B"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xml:space="preserve">A novel Accelerated </w:t>
      </w:r>
      <w:proofErr w:type="spellStart"/>
      <w:r w:rsidRPr="003C20BC">
        <w:rPr>
          <w:rFonts w:ascii="Arial" w:eastAsia="Times New Roman" w:hAnsi="Arial" w:cs="Arial"/>
          <w:color w:val="000000"/>
          <w:kern w:val="0"/>
          <w14:ligatures w14:val="none"/>
        </w:rPr>
        <w:t>Seldinger</w:t>
      </w:r>
      <w:proofErr w:type="spellEnd"/>
      <w:r w:rsidRPr="003C20BC">
        <w:rPr>
          <w:rFonts w:ascii="Arial" w:eastAsia="Times New Roman" w:hAnsi="Arial" w:cs="Arial"/>
          <w:color w:val="000000"/>
          <w:kern w:val="0"/>
          <w14:ligatures w14:val="none"/>
        </w:rPr>
        <w:t xml:space="preserve"> Kit has recently been approved by the FDA for human use by the 510k pathway, which addresses these specific deficiencies by creating an echogenic bulb on the introduction needle, helping to both optically and haptically identify the outside of the vessel wall as the needle bevel advances into the vessel lumen, thereby reducing risk of posterior wall puncture or laceration.  Additionally, inclusion of an integrated guidewire, with advancer, pre-connected to the needle obviates the need for a syringe detachment and wire introduction into the needle </w:t>
      </w:r>
      <w:proofErr w:type="gramStart"/>
      <w:r w:rsidRPr="003C20BC">
        <w:rPr>
          <w:rFonts w:ascii="Arial" w:eastAsia="Times New Roman" w:hAnsi="Arial" w:cs="Arial"/>
          <w:color w:val="000000"/>
          <w:kern w:val="0"/>
          <w14:ligatures w14:val="none"/>
        </w:rPr>
        <w:t>hub, and</w:t>
      </w:r>
      <w:proofErr w:type="gramEnd"/>
      <w:r w:rsidRPr="003C20BC">
        <w:rPr>
          <w:rFonts w:ascii="Arial" w:eastAsia="Times New Roman" w:hAnsi="Arial" w:cs="Arial"/>
          <w:color w:val="000000"/>
          <w:kern w:val="0"/>
          <w14:ligatures w14:val="none"/>
        </w:rPr>
        <w:t xml:space="preserve"> simultaneously resolves the “third hand dilemma”.</w:t>
      </w:r>
    </w:p>
    <w:p w14:paraId="388239F0"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w:t>
      </w:r>
    </w:p>
    <w:p w14:paraId="76F583DA" w14:textId="7822D582"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xml:space="preserve">This novel Accelerated </w:t>
      </w:r>
      <w:proofErr w:type="spellStart"/>
      <w:r w:rsidRPr="003C20BC">
        <w:rPr>
          <w:rFonts w:ascii="Arial" w:eastAsia="Times New Roman" w:hAnsi="Arial" w:cs="Arial"/>
          <w:color w:val="000000"/>
          <w:kern w:val="0"/>
          <w14:ligatures w14:val="none"/>
        </w:rPr>
        <w:t>Seldinger</w:t>
      </w:r>
      <w:proofErr w:type="spellEnd"/>
      <w:r w:rsidRPr="003C20BC">
        <w:rPr>
          <w:rFonts w:ascii="Arial" w:eastAsia="Times New Roman" w:hAnsi="Arial" w:cs="Arial"/>
          <w:color w:val="000000"/>
          <w:kern w:val="0"/>
          <w14:ligatures w14:val="none"/>
        </w:rPr>
        <w:t xml:space="preserve"> Kit could represent a larger workflow redesign - creating a central venous access tool optimized for ultrasound visualization and facilitating </w:t>
      </w:r>
      <w:r w:rsidR="002A4027">
        <w:rPr>
          <w:rFonts w:ascii="Arial" w:eastAsia="Times New Roman" w:hAnsi="Arial" w:cs="Arial"/>
          <w:color w:val="000000"/>
          <w:kern w:val="0"/>
          <w14:ligatures w14:val="none"/>
        </w:rPr>
        <w:t xml:space="preserve">continuous </w:t>
      </w:r>
      <w:r w:rsidR="006F6B62">
        <w:rPr>
          <w:rFonts w:ascii="Arial" w:eastAsia="Times New Roman" w:hAnsi="Arial" w:cs="Arial"/>
          <w:color w:val="000000"/>
          <w:kern w:val="0"/>
          <w14:ligatures w14:val="none"/>
        </w:rPr>
        <w:t xml:space="preserve">visualization of </w:t>
      </w:r>
      <w:r w:rsidRPr="003C20BC">
        <w:rPr>
          <w:rFonts w:ascii="Arial" w:eastAsia="Times New Roman" w:hAnsi="Arial" w:cs="Arial"/>
          <w:color w:val="000000"/>
          <w:kern w:val="0"/>
          <w14:ligatures w14:val="none"/>
        </w:rPr>
        <w:t>guidewire insertion. The echogenic properties and haptic feel of the bulb transform the needle from a passive cylinder into a direct visual interface that constitutes a functional element of the image itself. Furthermore, the integrated guidewire system eliminates the “third-hand dilemma” and potentially minimizes the time between vessel puncture and guidewire placement, reducing both needle manipulations and maintaining continuous ultrasound visualizati</w:t>
      </w:r>
      <w:r w:rsidR="009E1597">
        <w:rPr>
          <w:rFonts w:ascii="Arial" w:eastAsia="Times New Roman" w:hAnsi="Arial" w:cs="Arial"/>
          <w:color w:val="000000"/>
          <w:kern w:val="0"/>
          <w14:ligatures w14:val="none"/>
        </w:rPr>
        <w:t>on</w:t>
      </w:r>
      <w:r w:rsidR="00681A92">
        <w:rPr>
          <w:rFonts w:ascii="Arial" w:eastAsia="Times New Roman" w:hAnsi="Arial" w:cs="Arial"/>
          <w:color w:val="000000"/>
          <w:kern w:val="0"/>
          <w14:ligatures w14:val="none"/>
        </w:rPr>
        <w:t xml:space="preserve"> of a</w:t>
      </w:r>
      <w:r w:rsidR="009E1597">
        <w:rPr>
          <w:rFonts w:ascii="Arial" w:eastAsia="Times New Roman" w:hAnsi="Arial" w:cs="Arial"/>
          <w:color w:val="000000"/>
          <w:kern w:val="0"/>
          <w14:ligatures w14:val="none"/>
        </w:rPr>
        <w:t>ll steps</w:t>
      </w:r>
      <w:r w:rsidRPr="003C20BC">
        <w:rPr>
          <w:rFonts w:ascii="Arial" w:eastAsia="Times New Roman" w:hAnsi="Arial" w:cs="Arial"/>
          <w:color w:val="000000"/>
          <w:kern w:val="0"/>
          <w14:ligatures w14:val="none"/>
        </w:rPr>
        <w:t>. </w:t>
      </w:r>
    </w:p>
    <w:p w14:paraId="43D02FF7"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w:t>
      </w:r>
    </w:p>
    <w:p w14:paraId="24CCF49E"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xml:space="preserve">This novel Accelerated </w:t>
      </w:r>
      <w:proofErr w:type="spellStart"/>
      <w:r w:rsidRPr="003C20BC">
        <w:rPr>
          <w:rFonts w:ascii="Arial" w:eastAsia="Times New Roman" w:hAnsi="Arial" w:cs="Arial"/>
          <w:color w:val="000000"/>
          <w:kern w:val="0"/>
          <w14:ligatures w14:val="none"/>
        </w:rPr>
        <w:t>Seldinger</w:t>
      </w:r>
      <w:proofErr w:type="spellEnd"/>
      <w:r w:rsidRPr="003C20BC">
        <w:rPr>
          <w:rFonts w:ascii="Arial" w:eastAsia="Times New Roman" w:hAnsi="Arial" w:cs="Arial"/>
          <w:color w:val="000000"/>
          <w:kern w:val="0"/>
          <w14:ligatures w14:val="none"/>
        </w:rPr>
        <w:t xml:space="preserve"> Kit potentially leads to improvements in patient safety and ease of use. Further studies are currently underway to prospectively capture the procedural and outcome-specific improvements associated with the Accelerated </w:t>
      </w:r>
      <w:proofErr w:type="spellStart"/>
      <w:r w:rsidRPr="003C20BC">
        <w:rPr>
          <w:rFonts w:ascii="Arial" w:eastAsia="Times New Roman" w:hAnsi="Arial" w:cs="Arial"/>
          <w:color w:val="000000"/>
          <w:kern w:val="0"/>
          <w14:ligatures w14:val="none"/>
        </w:rPr>
        <w:t>Seldinger</w:t>
      </w:r>
      <w:proofErr w:type="spellEnd"/>
      <w:r w:rsidRPr="003C20BC">
        <w:rPr>
          <w:rFonts w:ascii="Arial" w:eastAsia="Times New Roman" w:hAnsi="Arial" w:cs="Arial"/>
          <w:color w:val="000000"/>
          <w:kern w:val="0"/>
          <w14:ligatures w14:val="none"/>
        </w:rPr>
        <w:t xml:space="preserve"> Kit.</w:t>
      </w:r>
    </w:p>
    <w:p w14:paraId="65D11BBA"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w:t>
      </w:r>
    </w:p>
    <w:p w14:paraId="5ED669B7" w14:textId="77777777" w:rsidR="0068778C" w:rsidRDefault="003C20BC" w:rsidP="0068778C">
      <w:pPr>
        <w:spacing w:after="0"/>
      </w:pPr>
      <w:r w:rsidRPr="003C20BC">
        <w:rPr>
          <w:rFonts w:ascii="Arial" w:eastAsia="Times New Roman" w:hAnsi="Arial" w:cs="Arial"/>
          <w:color w:val="000000"/>
          <w:kern w:val="0"/>
          <w14:ligatures w14:val="none"/>
        </w:rPr>
        <w:lastRenderedPageBreak/>
        <w:t> </w:t>
      </w:r>
      <w:r w:rsidR="0068778C">
        <w:rPr>
          <w:noProof/>
        </w:rPr>
        <w:drawing>
          <wp:inline distT="0" distB="0" distL="0" distR="0" wp14:anchorId="73F5C73B" wp14:editId="36E92722">
            <wp:extent cx="5943600" cy="2160905"/>
            <wp:effectExtent l="0" t="0" r="0" b="0"/>
            <wp:docPr id="1629143205" name="Picture 17" descr="A close-up of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43205" name="Picture 17" descr="A close-up of a needl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160905"/>
                    </a:xfrm>
                    <a:prstGeom prst="rect">
                      <a:avLst/>
                    </a:prstGeom>
                  </pic:spPr>
                </pic:pic>
              </a:graphicData>
            </a:graphic>
          </wp:inline>
        </w:drawing>
      </w:r>
    </w:p>
    <w:p w14:paraId="62A28192" w14:textId="77777777" w:rsidR="0068778C" w:rsidRDefault="0068778C" w:rsidP="0068778C">
      <w:pPr>
        <w:spacing w:after="0"/>
        <w:jc w:val="center"/>
      </w:pPr>
      <w:r>
        <w:t>Figure 1-1. Primero SAS</w:t>
      </w:r>
    </w:p>
    <w:p w14:paraId="0F51B40E" w14:textId="77777777" w:rsidR="0068778C" w:rsidRDefault="0068778C" w:rsidP="0068778C">
      <w:pPr>
        <w:pStyle w:val="Caption"/>
        <w:ind w:left="0" w:firstLine="540"/>
        <w:rPr>
          <w:rFonts w:asciiTheme="minorHAnsi" w:hAnsiTheme="minorHAnsi"/>
        </w:rPr>
      </w:pPr>
      <w:bookmarkStart w:id="0" w:name="_Ref203498259"/>
      <w:r>
        <w:rPr>
          <w:rFonts w:asciiTheme="minorHAnsi" w:hAnsiTheme="minorHAnsi"/>
          <w14:ligatures w14:val="standardContextual"/>
        </w:rPr>
        <w:drawing>
          <wp:inline distT="0" distB="0" distL="0" distR="0" wp14:anchorId="298F1134" wp14:editId="7093C72A">
            <wp:extent cx="5943600" cy="2047875"/>
            <wp:effectExtent l="0" t="0" r="0" b="0"/>
            <wp:docPr id="486991396" name="Picture 18" descr="A close-up of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91396" name="Picture 18" descr="A close-up of a needl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047875"/>
                    </a:xfrm>
                    <a:prstGeom prst="rect">
                      <a:avLst/>
                    </a:prstGeom>
                  </pic:spPr>
                </pic:pic>
              </a:graphicData>
            </a:graphic>
          </wp:inline>
        </w:drawing>
      </w:r>
    </w:p>
    <w:p w14:paraId="4C7533C8" w14:textId="77777777" w:rsidR="0068778C" w:rsidRPr="00DA6997" w:rsidRDefault="0068778C" w:rsidP="0068778C">
      <w:pPr>
        <w:pStyle w:val="Caption"/>
        <w:ind w:left="0" w:firstLine="540"/>
        <w:rPr>
          <w:rFonts w:asciiTheme="minorHAnsi" w:hAnsiTheme="minorHAnsi"/>
        </w:rPr>
      </w:pPr>
      <w:r w:rsidRPr="00DA6997">
        <w:rPr>
          <w:rFonts w:asciiTheme="minorHAnsi" w:hAnsiTheme="minorHAnsi"/>
        </w:rPr>
        <w:t xml:space="preserve">Figure </w:t>
      </w:r>
      <w:r w:rsidRPr="00DA6997">
        <w:rPr>
          <w:rFonts w:asciiTheme="minorHAnsi" w:hAnsiTheme="minorHAnsi"/>
        </w:rPr>
        <w:fldChar w:fldCharType="begin"/>
      </w:r>
      <w:r w:rsidRPr="00DA6997">
        <w:rPr>
          <w:rFonts w:asciiTheme="minorHAnsi" w:hAnsiTheme="minorHAnsi"/>
        </w:rPr>
        <w:instrText xml:space="preserve"> STYLEREF 1 \s </w:instrText>
      </w:r>
      <w:r w:rsidRPr="00DA6997">
        <w:rPr>
          <w:rFonts w:asciiTheme="minorHAnsi" w:hAnsiTheme="minorHAnsi"/>
        </w:rPr>
        <w:fldChar w:fldCharType="separate"/>
      </w:r>
      <w:r w:rsidRPr="00DA6997">
        <w:rPr>
          <w:rFonts w:asciiTheme="minorHAnsi" w:hAnsiTheme="minorHAnsi"/>
        </w:rPr>
        <w:t>1</w:t>
      </w:r>
      <w:r w:rsidRPr="00DA6997">
        <w:rPr>
          <w:rFonts w:asciiTheme="minorHAnsi" w:hAnsiTheme="minorHAnsi"/>
        </w:rPr>
        <w:fldChar w:fldCharType="end"/>
      </w:r>
      <w:r w:rsidRPr="00DA6997">
        <w:rPr>
          <w:rFonts w:asciiTheme="minorHAnsi" w:hAnsiTheme="minorHAnsi"/>
        </w:rPr>
        <w:noBreakHyphen/>
      </w:r>
      <w:r w:rsidRPr="00DA6997">
        <w:rPr>
          <w:rFonts w:asciiTheme="minorHAnsi" w:hAnsiTheme="minorHAnsi"/>
        </w:rPr>
        <w:fldChar w:fldCharType="begin"/>
      </w:r>
      <w:r w:rsidRPr="00DA6997">
        <w:rPr>
          <w:rFonts w:asciiTheme="minorHAnsi" w:hAnsiTheme="minorHAnsi"/>
        </w:rPr>
        <w:instrText xml:space="preserve"> SEQ Figure \* ARABIC \s 1 </w:instrText>
      </w:r>
      <w:r w:rsidRPr="00DA6997">
        <w:rPr>
          <w:rFonts w:asciiTheme="minorHAnsi" w:hAnsiTheme="minorHAnsi"/>
        </w:rPr>
        <w:fldChar w:fldCharType="separate"/>
      </w:r>
      <w:r w:rsidRPr="00DA6997">
        <w:rPr>
          <w:rFonts w:asciiTheme="minorHAnsi" w:hAnsiTheme="minorHAnsi"/>
        </w:rPr>
        <w:t>2</w:t>
      </w:r>
      <w:r w:rsidRPr="00DA6997">
        <w:rPr>
          <w:rFonts w:asciiTheme="minorHAnsi" w:hAnsiTheme="minorHAnsi"/>
        </w:rPr>
        <w:fldChar w:fldCharType="end"/>
      </w:r>
      <w:bookmarkEnd w:id="0"/>
      <w:r w:rsidRPr="00DA6997">
        <w:rPr>
          <w:rFonts w:asciiTheme="minorHAnsi" w:hAnsiTheme="minorHAnsi"/>
        </w:rPr>
        <w:t>.  Primero Introducer Needle Echogenic Bulb</w:t>
      </w:r>
    </w:p>
    <w:p w14:paraId="22218F9B" w14:textId="4750706C" w:rsidR="003C20BC" w:rsidRPr="003C20BC" w:rsidRDefault="003C20BC" w:rsidP="003C20BC">
      <w:pPr>
        <w:spacing w:after="0" w:line="240" w:lineRule="auto"/>
        <w:rPr>
          <w:rFonts w:ascii="Times New Roman" w:eastAsia="Times New Roman" w:hAnsi="Times New Roman" w:cs="Times New Roman"/>
          <w:kern w:val="0"/>
          <w14:ligatures w14:val="none"/>
        </w:rPr>
      </w:pPr>
    </w:p>
    <w:p w14:paraId="7C8EE966"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w:t>
      </w:r>
    </w:p>
    <w:p w14:paraId="119CE1D2"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p>
    <w:p w14:paraId="3ED18D9B" w14:textId="77777777" w:rsidR="009E1597" w:rsidRDefault="003C20BC" w:rsidP="003C20BC">
      <w:pPr>
        <w:spacing w:after="0" w:line="240" w:lineRule="auto"/>
        <w:rPr>
          <w:rFonts w:ascii="Arial" w:eastAsia="Times New Roman" w:hAnsi="Arial" w:cs="Arial"/>
          <w:b/>
          <w:bCs/>
          <w:color w:val="000000"/>
          <w:kern w:val="0"/>
          <w14:ligatures w14:val="none"/>
        </w:rPr>
      </w:pPr>
      <w:r w:rsidRPr="003C20BC">
        <w:rPr>
          <w:rFonts w:ascii="Arial" w:eastAsia="Times New Roman" w:hAnsi="Arial" w:cs="Arial"/>
          <w:b/>
          <w:bCs/>
          <w:color w:val="000000"/>
          <w:kern w:val="0"/>
          <w14:ligatures w14:val="none"/>
        </w:rPr>
        <w:t xml:space="preserve">Acknowledgments: </w:t>
      </w:r>
    </w:p>
    <w:p w14:paraId="4A900131" w14:textId="6B65E365" w:rsidR="003C20BC" w:rsidRPr="003C20BC" w:rsidRDefault="003C20BC" w:rsidP="003C20BC">
      <w:pPr>
        <w:spacing w:after="0" w:line="240" w:lineRule="auto"/>
        <w:rPr>
          <w:rFonts w:ascii="Times New Roman" w:eastAsia="Times New Roman" w:hAnsi="Times New Roman" w:cs="Times New Roman"/>
          <w:kern w:val="0"/>
          <w14:ligatures w14:val="none"/>
        </w:rPr>
      </w:pPr>
      <w:r w:rsidRPr="009E1597">
        <w:rPr>
          <w:rFonts w:ascii="Arial" w:eastAsia="Times New Roman" w:hAnsi="Arial" w:cs="Arial"/>
          <w:color w:val="000000"/>
          <w:kern w:val="0"/>
          <w14:ligatures w14:val="none"/>
        </w:rPr>
        <w:t>Pictures provided by the manufacturer.</w:t>
      </w:r>
      <w:r w:rsidRPr="003C20BC">
        <w:rPr>
          <w:rFonts w:ascii="Arial" w:eastAsia="Times New Roman" w:hAnsi="Arial" w:cs="Arial"/>
          <w:b/>
          <w:bCs/>
          <w:color w:val="000000"/>
          <w:kern w:val="0"/>
          <w14:ligatures w14:val="none"/>
        </w:rPr>
        <w:t> </w:t>
      </w:r>
    </w:p>
    <w:p w14:paraId="118A8EB8"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w:t>
      </w:r>
    </w:p>
    <w:p w14:paraId="040B6D4A" w14:textId="77777777" w:rsidR="00FC42A9" w:rsidRPr="00353DEE" w:rsidRDefault="00FC42A9" w:rsidP="003C20BC">
      <w:pPr>
        <w:spacing w:after="0" w:line="240" w:lineRule="auto"/>
        <w:rPr>
          <w:rFonts w:ascii="Arial" w:eastAsia="Times New Roman" w:hAnsi="Arial" w:cs="Arial"/>
          <w:b/>
          <w:bCs/>
          <w:color w:val="000000"/>
          <w:kern w:val="0"/>
          <w14:ligatures w14:val="none"/>
        </w:rPr>
      </w:pPr>
      <w:r w:rsidRPr="00353DEE">
        <w:rPr>
          <w:rFonts w:ascii="Arial" w:eastAsia="Times New Roman" w:hAnsi="Arial" w:cs="Arial"/>
          <w:b/>
          <w:bCs/>
          <w:color w:val="000000"/>
          <w:kern w:val="0"/>
          <w14:ligatures w14:val="none"/>
        </w:rPr>
        <w:t>Ethical Statement:</w:t>
      </w:r>
    </w:p>
    <w:p w14:paraId="67B9EE49" w14:textId="605E445C" w:rsidR="00FC42A9" w:rsidRPr="00353DEE" w:rsidRDefault="00956031" w:rsidP="003C20BC">
      <w:pPr>
        <w:spacing w:after="0" w:line="240" w:lineRule="auto"/>
        <w:rPr>
          <w:rFonts w:ascii="Arial" w:eastAsia="Times New Roman" w:hAnsi="Arial" w:cs="Arial"/>
          <w:color w:val="000000"/>
          <w:kern w:val="0"/>
          <w14:ligatures w14:val="none"/>
        </w:rPr>
      </w:pPr>
      <w:r>
        <w:rPr>
          <w:rFonts w:ascii="Arial" w:hAnsi="Arial" w:cs="Arial"/>
          <w:color w:val="000000"/>
        </w:rPr>
        <w:t>T</w:t>
      </w:r>
      <w:r w:rsidR="00353DEE" w:rsidRPr="00353DEE">
        <w:rPr>
          <w:rFonts w:ascii="Arial" w:hAnsi="Arial" w:cs="Arial"/>
          <w:color w:val="000000"/>
        </w:rPr>
        <w:t>he preparation of this review included no human or animal subjects. All studies referenced come from peer reviewed and published sources</w:t>
      </w:r>
    </w:p>
    <w:p w14:paraId="0B91DB20" w14:textId="456C5306"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w:t>
      </w:r>
    </w:p>
    <w:p w14:paraId="75900987"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b/>
          <w:bCs/>
          <w:color w:val="000000"/>
          <w:kern w:val="0"/>
          <w14:ligatures w14:val="none"/>
        </w:rPr>
        <w:t>Statements and declarations:</w:t>
      </w:r>
    </w:p>
    <w:p w14:paraId="31CA7502"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xml:space="preserve">No Author has any financial conflicts of interest with the Accelerated </w:t>
      </w:r>
      <w:proofErr w:type="spellStart"/>
      <w:r w:rsidRPr="003C20BC">
        <w:rPr>
          <w:rFonts w:ascii="Arial" w:eastAsia="Times New Roman" w:hAnsi="Arial" w:cs="Arial"/>
          <w:color w:val="000000"/>
          <w:kern w:val="0"/>
          <w14:ligatures w14:val="none"/>
        </w:rPr>
        <w:t>Seldinger</w:t>
      </w:r>
      <w:proofErr w:type="spellEnd"/>
      <w:r w:rsidRPr="003C20BC">
        <w:rPr>
          <w:rFonts w:ascii="Arial" w:eastAsia="Times New Roman" w:hAnsi="Arial" w:cs="Arial"/>
          <w:color w:val="000000"/>
          <w:kern w:val="0"/>
          <w14:ligatures w14:val="none"/>
        </w:rPr>
        <w:t xml:space="preserve"> Kit. </w:t>
      </w:r>
    </w:p>
    <w:p w14:paraId="3EF79608"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w:t>
      </w:r>
    </w:p>
    <w:p w14:paraId="3B43959C"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b/>
          <w:bCs/>
          <w:color w:val="000000"/>
          <w:kern w:val="0"/>
          <w14:ligatures w14:val="none"/>
        </w:rPr>
        <w:t>Declaration of conflicting interest:</w:t>
      </w:r>
    </w:p>
    <w:p w14:paraId="2ACF604F"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xml:space="preserve">Paul A Sobotka – Employee at </w:t>
      </w:r>
      <w:proofErr w:type="spellStart"/>
      <w:r w:rsidRPr="003C20BC">
        <w:rPr>
          <w:rFonts w:ascii="Arial" w:eastAsia="Times New Roman" w:hAnsi="Arial" w:cs="Arial"/>
          <w:color w:val="000000"/>
          <w:kern w:val="0"/>
          <w14:ligatures w14:val="none"/>
        </w:rPr>
        <w:t>CoreAvie</w:t>
      </w:r>
      <w:proofErr w:type="spellEnd"/>
      <w:r w:rsidRPr="003C20BC">
        <w:rPr>
          <w:rFonts w:ascii="Arial" w:eastAsia="Times New Roman" w:hAnsi="Arial" w:cs="Arial"/>
          <w:color w:val="000000"/>
          <w:kern w:val="0"/>
          <w14:ligatures w14:val="none"/>
        </w:rPr>
        <w:t xml:space="preserve"> Medical</w:t>
      </w:r>
    </w:p>
    <w:p w14:paraId="70AE79FB"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Thomas J Allen – Employee at University of Minnesota</w:t>
      </w:r>
    </w:p>
    <w:p w14:paraId="0FC56A37" w14:textId="234CB116"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w:t>
      </w:r>
    </w:p>
    <w:p w14:paraId="23887136"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b/>
          <w:bCs/>
          <w:color w:val="000000"/>
          <w:kern w:val="0"/>
          <w14:ligatures w14:val="none"/>
        </w:rPr>
        <w:t>Funding statement: </w:t>
      </w:r>
    </w:p>
    <w:p w14:paraId="446BE50E" w14:textId="4E69A21D"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No funding</w:t>
      </w:r>
      <w:r w:rsidR="0068778C">
        <w:rPr>
          <w:rFonts w:ascii="Arial" w:eastAsia="Times New Roman" w:hAnsi="Arial" w:cs="Arial"/>
          <w:color w:val="000000"/>
          <w:kern w:val="0"/>
          <w14:ligatures w14:val="none"/>
        </w:rPr>
        <w:t xml:space="preserve"> provided</w:t>
      </w:r>
    </w:p>
    <w:p w14:paraId="7A3F2C04"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lastRenderedPageBreak/>
        <w:t> </w:t>
      </w:r>
    </w:p>
    <w:p w14:paraId="64887ECD"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w:t>
      </w:r>
    </w:p>
    <w:p w14:paraId="63756725"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b/>
          <w:bCs/>
          <w:color w:val="000000"/>
          <w:kern w:val="0"/>
          <w14:ligatures w14:val="none"/>
        </w:rPr>
        <w:t>References:</w:t>
      </w:r>
    </w:p>
    <w:p w14:paraId="2A02ED21" w14:textId="77777777" w:rsidR="003C20BC" w:rsidRPr="003C20BC" w:rsidRDefault="003C20BC" w:rsidP="003C20BC">
      <w:pPr>
        <w:numPr>
          <w:ilvl w:val="0"/>
          <w:numId w:val="1"/>
        </w:numPr>
        <w:spacing w:after="0" w:line="240" w:lineRule="auto"/>
        <w:textAlignment w:val="baseline"/>
        <w:rPr>
          <w:rFonts w:ascii="Arial" w:eastAsia="Times New Roman" w:hAnsi="Arial" w:cs="Arial"/>
          <w:color w:val="000000"/>
          <w:kern w:val="0"/>
          <w14:ligatures w14:val="none"/>
        </w:rPr>
      </w:pPr>
      <w:proofErr w:type="spellStart"/>
      <w:r w:rsidRPr="003C20BC">
        <w:rPr>
          <w:rFonts w:ascii="Arial" w:eastAsia="Times New Roman" w:hAnsi="Arial" w:cs="Arial"/>
          <w:color w:val="000000"/>
          <w:kern w:val="0"/>
          <w14:ligatures w14:val="none"/>
        </w:rPr>
        <w:t>Seldinger</w:t>
      </w:r>
      <w:proofErr w:type="spellEnd"/>
      <w:r w:rsidRPr="003C20BC">
        <w:rPr>
          <w:rFonts w:ascii="Arial" w:eastAsia="Times New Roman" w:hAnsi="Arial" w:cs="Arial"/>
          <w:color w:val="000000"/>
          <w:kern w:val="0"/>
          <w14:ligatures w14:val="none"/>
        </w:rPr>
        <w:t xml:space="preserve"> SI. Catheter replacement of the needle in percutaneous arteriography; a new technique. </w:t>
      </w:r>
      <w:r w:rsidRPr="003C20BC">
        <w:rPr>
          <w:rFonts w:ascii="Arial" w:eastAsia="Times New Roman" w:hAnsi="Arial" w:cs="Arial"/>
          <w:i/>
          <w:iCs/>
          <w:color w:val="000000"/>
          <w:kern w:val="0"/>
          <w14:ligatures w14:val="none"/>
        </w:rPr>
        <w:t xml:space="preserve">Acta </w:t>
      </w:r>
      <w:proofErr w:type="spellStart"/>
      <w:r w:rsidRPr="003C20BC">
        <w:rPr>
          <w:rFonts w:ascii="Arial" w:eastAsia="Times New Roman" w:hAnsi="Arial" w:cs="Arial"/>
          <w:i/>
          <w:iCs/>
          <w:color w:val="000000"/>
          <w:kern w:val="0"/>
          <w14:ligatures w14:val="none"/>
        </w:rPr>
        <w:t>Radiologica</w:t>
      </w:r>
      <w:proofErr w:type="spellEnd"/>
      <w:r w:rsidRPr="003C20BC">
        <w:rPr>
          <w:rFonts w:ascii="Arial" w:eastAsia="Times New Roman" w:hAnsi="Arial" w:cs="Arial"/>
          <w:i/>
          <w:iCs/>
          <w:color w:val="000000"/>
          <w:kern w:val="0"/>
          <w14:ligatures w14:val="none"/>
        </w:rPr>
        <w:t xml:space="preserve"> </w:t>
      </w:r>
      <w:r w:rsidRPr="003C20BC">
        <w:rPr>
          <w:rFonts w:ascii="Arial" w:eastAsia="Times New Roman" w:hAnsi="Arial" w:cs="Arial"/>
          <w:color w:val="000000"/>
          <w:kern w:val="0"/>
          <w14:ligatures w14:val="none"/>
        </w:rPr>
        <w:t>1953; 39(5): 368-376. </w:t>
      </w:r>
    </w:p>
    <w:p w14:paraId="4D4FDA0A" w14:textId="77777777" w:rsidR="003C20BC" w:rsidRPr="003C20BC" w:rsidRDefault="003C20BC" w:rsidP="003C20BC">
      <w:pPr>
        <w:numPr>
          <w:ilvl w:val="0"/>
          <w:numId w:val="1"/>
        </w:numPr>
        <w:spacing w:after="0" w:line="240" w:lineRule="auto"/>
        <w:textAlignment w:val="baseline"/>
        <w:rPr>
          <w:rFonts w:ascii="Arial" w:eastAsia="Times New Roman" w:hAnsi="Arial" w:cs="Arial"/>
          <w:color w:val="000000"/>
          <w:kern w:val="0"/>
          <w14:ligatures w14:val="none"/>
        </w:rPr>
      </w:pPr>
      <w:proofErr w:type="spellStart"/>
      <w:r w:rsidRPr="003C20BC">
        <w:rPr>
          <w:rFonts w:ascii="Arial" w:eastAsia="Times New Roman" w:hAnsi="Arial" w:cs="Arial"/>
          <w:color w:val="000000"/>
          <w:kern w:val="0"/>
          <w14:ligatures w14:val="none"/>
        </w:rPr>
        <w:t>Kolikof</w:t>
      </w:r>
      <w:proofErr w:type="spellEnd"/>
      <w:r w:rsidRPr="003C20BC">
        <w:rPr>
          <w:rFonts w:ascii="Arial" w:eastAsia="Times New Roman" w:hAnsi="Arial" w:cs="Arial"/>
          <w:color w:val="000000"/>
          <w:kern w:val="0"/>
          <w14:ligatures w14:val="none"/>
        </w:rPr>
        <w:t xml:space="preserve"> J, Peterson K, Williams C, et al.; Central Venous Catheter Insertion. In: </w:t>
      </w:r>
      <w:proofErr w:type="spellStart"/>
      <w:r w:rsidRPr="003C20BC">
        <w:rPr>
          <w:rFonts w:ascii="Arial" w:eastAsia="Times New Roman" w:hAnsi="Arial" w:cs="Arial"/>
          <w:color w:val="000000"/>
          <w:kern w:val="0"/>
          <w14:ligatures w14:val="none"/>
        </w:rPr>
        <w:t>StatPearls</w:t>
      </w:r>
      <w:proofErr w:type="spellEnd"/>
      <w:r w:rsidRPr="003C20BC">
        <w:rPr>
          <w:rFonts w:ascii="Arial" w:eastAsia="Times New Roman" w:hAnsi="Arial" w:cs="Arial"/>
          <w:color w:val="000000"/>
          <w:kern w:val="0"/>
          <w14:ligatures w14:val="none"/>
        </w:rPr>
        <w:t xml:space="preserve"> [Internet]. Treasure Island (FL): </w:t>
      </w:r>
      <w:proofErr w:type="spellStart"/>
      <w:r w:rsidRPr="003C20BC">
        <w:rPr>
          <w:rFonts w:ascii="Arial" w:eastAsia="Times New Roman" w:hAnsi="Arial" w:cs="Arial"/>
          <w:color w:val="000000"/>
          <w:kern w:val="0"/>
          <w14:ligatures w14:val="none"/>
        </w:rPr>
        <w:t>StatPearls</w:t>
      </w:r>
      <w:proofErr w:type="spellEnd"/>
      <w:r w:rsidRPr="003C20BC">
        <w:rPr>
          <w:rFonts w:ascii="Arial" w:eastAsia="Times New Roman" w:hAnsi="Arial" w:cs="Arial"/>
          <w:color w:val="000000"/>
          <w:kern w:val="0"/>
          <w14:ligatures w14:val="none"/>
        </w:rPr>
        <w:t xml:space="preserve"> Publishing, 2025. Available from: https://www.ncbi.nlm.nih.gov/books/NBK557798/</w:t>
      </w:r>
    </w:p>
    <w:p w14:paraId="0B6C7D50" w14:textId="77777777" w:rsidR="003C20BC" w:rsidRPr="003C20BC" w:rsidRDefault="003C20BC" w:rsidP="003C20BC">
      <w:pPr>
        <w:numPr>
          <w:ilvl w:val="0"/>
          <w:numId w:val="1"/>
        </w:numPr>
        <w:spacing w:after="0" w:line="240" w:lineRule="auto"/>
        <w:textAlignment w:val="baseline"/>
        <w:rPr>
          <w:rFonts w:ascii="Arial" w:eastAsia="Times New Roman" w:hAnsi="Arial" w:cs="Arial"/>
          <w:color w:val="000000"/>
          <w:kern w:val="0"/>
          <w14:ligatures w14:val="none"/>
        </w:rPr>
      </w:pPr>
      <w:r w:rsidRPr="003C20BC">
        <w:rPr>
          <w:rFonts w:ascii="Arial" w:eastAsia="Times New Roman" w:hAnsi="Arial" w:cs="Arial"/>
          <w:color w:val="000000"/>
          <w:kern w:val="0"/>
          <w14:ligatures w14:val="none"/>
        </w:rPr>
        <w:t xml:space="preserve">Mangar D, Thrush DN, Connell GR, et al.; Direct or modified </w:t>
      </w:r>
      <w:proofErr w:type="spellStart"/>
      <w:r w:rsidRPr="003C20BC">
        <w:rPr>
          <w:rFonts w:ascii="Arial" w:eastAsia="Times New Roman" w:hAnsi="Arial" w:cs="Arial"/>
          <w:color w:val="000000"/>
          <w:kern w:val="0"/>
          <w14:ligatures w14:val="none"/>
        </w:rPr>
        <w:t>Seldinger</w:t>
      </w:r>
      <w:proofErr w:type="spellEnd"/>
      <w:r w:rsidRPr="003C20BC">
        <w:rPr>
          <w:rFonts w:ascii="Arial" w:eastAsia="Times New Roman" w:hAnsi="Arial" w:cs="Arial"/>
          <w:color w:val="000000"/>
          <w:kern w:val="0"/>
          <w14:ligatures w14:val="none"/>
        </w:rPr>
        <w:t xml:space="preserve"> guide wire-directed technique for arterial catheter insertion. </w:t>
      </w:r>
      <w:proofErr w:type="spellStart"/>
      <w:r w:rsidRPr="003C20BC">
        <w:rPr>
          <w:rFonts w:ascii="Arial" w:eastAsia="Times New Roman" w:hAnsi="Arial" w:cs="Arial"/>
          <w:i/>
          <w:iCs/>
          <w:color w:val="000000"/>
          <w:kern w:val="0"/>
          <w14:ligatures w14:val="none"/>
        </w:rPr>
        <w:t>Anesth</w:t>
      </w:r>
      <w:proofErr w:type="spellEnd"/>
      <w:r w:rsidRPr="003C20BC">
        <w:rPr>
          <w:rFonts w:ascii="Arial" w:eastAsia="Times New Roman" w:hAnsi="Arial" w:cs="Arial"/>
          <w:i/>
          <w:iCs/>
          <w:color w:val="000000"/>
          <w:kern w:val="0"/>
          <w14:ligatures w14:val="none"/>
        </w:rPr>
        <w:t xml:space="preserve"> </w:t>
      </w:r>
      <w:proofErr w:type="spellStart"/>
      <w:r w:rsidRPr="003C20BC">
        <w:rPr>
          <w:rFonts w:ascii="Arial" w:eastAsia="Times New Roman" w:hAnsi="Arial" w:cs="Arial"/>
          <w:i/>
          <w:iCs/>
          <w:color w:val="000000"/>
          <w:kern w:val="0"/>
          <w14:ligatures w14:val="none"/>
        </w:rPr>
        <w:t>Analg</w:t>
      </w:r>
      <w:proofErr w:type="spellEnd"/>
      <w:r w:rsidRPr="003C20BC">
        <w:rPr>
          <w:rFonts w:ascii="Arial" w:eastAsia="Times New Roman" w:hAnsi="Arial" w:cs="Arial"/>
          <w:color w:val="000000"/>
          <w:kern w:val="0"/>
          <w14:ligatures w14:val="none"/>
        </w:rPr>
        <w:t xml:space="preserve"> 1993; 76(4): 714-717. </w:t>
      </w:r>
    </w:p>
    <w:p w14:paraId="5C102B12" w14:textId="77777777" w:rsidR="003C20BC" w:rsidRPr="003C20BC" w:rsidRDefault="003C20BC" w:rsidP="003C20BC">
      <w:pPr>
        <w:numPr>
          <w:ilvl w:val="0"/>
          <w:numId w:val="1"/>
        </w:numPr>
        <w:spacing w:after="0" w:line="240" w:lineRule="auto"/>
        <w:textAlignment w:val="baseline"/>
        <w:rPr>
          <w:rFonts w:ascii="Arial" w:eastAsia="Times New Roman" w:hAnsi="Arial" w:cs="Arial"/>
          <w:color w:val="000000"/>
          <w:kern w:val="0"/>
          <w14:ligatures w14:val="none"/>
        </w:rPr>
      </w:pPr>
      <w:r w:rsidRPr="003C20BC">
        <w:rPr>
          <w:rFonts w:ascii="Arial" w:eastAsia="Times New Roman" w:hAnsi="Arial" w:cs="Arial"/>
          <w:color w:val="000000"/>
          <w:kern w:val="0"/>
          <w14:ligatures w14:val="none"/>
        </w:rPr>
        <w:t xml:space="preserve">Nohara AM, </w:t>
      </w:r>
      <w:proofErr w:type="spellStart"/>
      <w:r w:rsidRPr="003C20BC">
        <w:rPr>
          <w:rFonts w:ascii="Arial" w:eastAsia="Times New Roman" w:hAnsi="Arial" w:cs="Arial"/>
          <w:color w:val="000000"/>
          <w:kern w:val="0"/>
          <w14:ligatures w14:val="none"/>
        </w:rPr>
        <w:t>Kallmes</w:t>
      </w:r>
      <w:proofErr w:type="spellEnd"/>
      <w:r w:rsidRPr="003C20BC">
        <w:rPr>
          <w:rFonts w:ascii="Arial" w:eastAsia="Times New Roman" w:hAnsi="Arial" w:cs="Arial"/>
          <w:color w:val="000000"/>
          <w:kern w:val="0"/>
          <w14:ligatures w14:val="none"/>
        </w:rPr>
        <w:t xml:space="preserve"> DF. </w:t>
      </w:r>
      <w:proofErr w:type="spellStart"/>
      <w:r w:rsidRPr="003C20BC">
        <w:rPr>
          <w:rFonts w:ascii="Arial" w:eastAsia="Times New Roman" w:hAnsi="Arial" w:cs="Arial"/>
          <w:color w:val="000000"/>
          <w:kern w:val="0"/>
          <w14:ligatures w14:val="none"/>
        </w:rPr>
        <w:t>Transradial</w:t>
      </w:r>
      <w:proofErr w:type="spellEnd"/>
      <w:r w:rsidRPr="003C20BC">
        <w:rPr>
          <w:rFonts w:ascii="Arial" w:eastAsia="Times New Roman" w:hAnsi="Arial" w:cs="Arial"/>
          <w:color w:val="000000"/>
          <w:kern w:val="0"/>
          <w14:ligatures w14:val="none"/>
        </w:rPr>
        <w:t xml:space="preserve"> cerebral angiography: technique and outcomes. </w:t>
      </w:r>
      <w:r w:rsidRPr="003C20BC">
        <w:rPr>
          <w:rFonts w:ascii="Arial" w:eastAsia="Times New Roman" w:hAnsi="Arial" w:cs="Arial"/>
          <w:i/>
          <w:iCs/>
          <w:color w:val="000000"/>
          <w:kern w:val="0"/>
          <w14:ligatures w14:val="none"/>
        </w:rPr>
        <w:t xml:space="preserve">AJNR Am J </w:t>
      </w:r>
      <w:proofErr w:type="spellStart"/>
      <w:r w:rsidRPr="003C20BC">
        <w:rPr>
          <w:rFonts w:ascii="Arial" w:eastAsia="Times New Roman" w:hAnsi="Arial" w:cs="Arial"/>
          <w:i/>
          <w:iCs/>
          <w:color w:val="000000"/>
          <w:kern w:val="0"/>
          <w14:ligatures w14:val="none"/>
        </w:rPr>
        <w:t>Neuroradiol</w:t>
      </w:r>
      <w:proofErr w:type="spellEnd"/>
      <w:r w:rsidRPr="003C20BC">
        <w:rPr>
          <w:rFonts w:ascii="Arial" w:eastAsia="Times New Roman" w:hAnsi="Arial" w:cs="Arial"/>
          <w:color w:val="000000"/>
          <w:kern w:val="0"/>
          <w14:ligatures w14:val="none"/>
        </w:rPr>
        <w:t xml:space="preserve"> 2003; 24(6): 1247-1250.</w:t>
      </w:r>
    </w:p>
    <w:p w14:paraId="7351368A" w14:textId="77777777" w:rsidR="003C20BC" w:rsidRPr="003C20BC" w:rsidRDefault="003C20BC" w:rsidP="003C20BC">
      <w:pPr>
        <w:numPr>
          <w:ilvl w:val="0"/>
          <w:numId w:val="1"/>
        </w:numPr>
        <w:spacing w:after="0" w:line="240" w:lineRule="auto"/>
        <w:textAlignment w:val="baseline"/>
        <w:rPr>
          <w:rFonts w:ascii="Arial" w:eastAsia="Times New Roman" w:hAnsi="Arial" w:cs="Arial"/>
          <w:color w:val="000000"/>
          <w:kern w:val="0"/>
          <w14:ligatures w14:val="none"/>
        </w:rPr>
      </w:pPr>
      <w:r w:rsidRPr="003C20BC">
        <w:rPr>
          <w:rFonts w:ascii="Arial" w:eastAsia="Times New Roman" w:hAnsi="Arial" w:cs="Arial"/>
          <w:color w:val="000000"/>
          <w:kern w:val="0"/>
          <w14:ligatures w14:val="none"/>
        </w:rPr>
        <w:t xml:space="preserve">Rupp SM, Apfelbaum JL, Blitt C, et al.; Practice guidelines for central venous access: a report by the American Society of Anesthesiologists Task Force on Central Venous Access. </w:t>
      </w:r>
      <w:r w:rsidRPr="003C20BC">
        <w:rPr>
          <w:rFonts w:ascii="Arial" w:eastAsia="Times New Roman" w:hAnsi="Arial" w:cs="Arial"/>
          <w:i/>
          <w:iCs/>
          <w:color w:val="000000"/>
          <w:kern w:val="0"/>
          <w14:ligatures w14:val="none"/>
        </w:rPr>
        <w:t>Anesthesiology</w:t>
      </w:r>
      <w:r w:rsidRPr="003C20BC">
        <w:rPr>
          <w:rFonts w:ascii="Arial" w:eastAsia="Times New Roman" w:hAnsi="Arial" w:cs="Arial"/>
          <w:color w:val="000000"/>
          <w:kern w:val="0"/>
          <w14:ligatures w14:val="none"/>
        </w:rPr>
        <w:t xml:space="preserve"> 2012; 116(3): 539-573.</w:t>
      </w:r>
    </w:p>
    <w:p w14:paraId="0DA646A5" w14:textId="77777777" w:rsidR="003C20BC" w:rsidRPr="003C20BC" w:rsidRDefault="003C20BC" w:rsidP="003C20BC">
      <w:pPr>
        <w:numPr>
          <w:ilvl w:val="0"/>
          <w:numId w:val="1"/>
        </w:numPr>
        <w:spacing w:after="0" w:line="240" w:lineRule="auto"/>
        <w:textAlignment w:val="baseline"/>
        <w:rPr>
          <w:rFonts w:ascii="Arial" w:eastAsia="Times New Roman" w:hAnsi="Arial" w:cs="Arial"/>
          <w:color w:val="000000"/>
          <w:kern w:val="0"/>
          <w14:ligatures w14:val="none"/>
        </w:rPr>
      </w:pPr>
      <w:proofErr w:type="spellStart"/>
      <w:r w:rsidRPr="003C20BC">
        <w:rPr>
          <w:rFonts w:ascii="Arial" w:eastAsia="Times New Roman" w:hAnsi="Arial" w:cs="Arial"/>
          <w:color w:val="000000"/>
          <w:kern w:val="0"/>
          <w14:ligatures w14:val="none"/>
        </w:rPr>
        <w:t>Mermel</w:t>
      </w:r>
      <w:proofErr w:type="spellEnd"/>
      <w:r w:rsidRPr="003C20BC">
        <w:rPr>
          <w:rFonts w:ascii="Arial" w:eastAsia="Times New Roman" w:hAnsi="Arial" w:cs="Arial"/>
          <w:color w:val="000000"/>
          <w:kern w:val="0"/>
          <w14:ligatures w14:val="none"/>
        </w:rPr>
        <w:t xml:space="preserve"> LA, Allon M, Bouza E, et al.; Clinical practice guidelines for the diagnosis and management of intravascular catheter-related infection: 2009 Update by the Infectious Diseases Society of America. </w:t>
      </w:r>
      <w:r w:rsidRPr="003C20BC">
        <w:rPr>
          <w:rFonts w:ascii="Arial" w:eastAsia="Times New Roman" w:hAnsi="Arial" w:cs="Arial"/>
          <w:i/>
          <w:iCs/>
          <w:color w:val="000000"/>
          <w:kern w:val="0"/>
          <w14:ligatures w14:val="none"/>
        </w:rPr>
        <w:t>Clin Infect Dis</w:t>
      </w:r>
      <w:r w:rsidRPr="003C20BC">
        <w:rPr>
          <w:rFonts w:ascii="Arial" w:eastAsia="Times New Roman" w:hAnsi="Arial" w:cs="Arial"/>
          <w:color w:val="000000"/>
          <w:kern w:val="0"/>
          <w14:ligatures w14:val="none"/>
        </w:rPr>
        <w:t xml:space="preserve"> 2009; 49(1): 1-45.</w:t>
      </w:r>
      <w:r w:rsidRPr="003C20BC">
        <w:rPr>
          <w:rFonts w:ascii="Arial" w:eastAsia="Times New Roman" w:hAnsi="Arial" w:cs="Arial"/>
          <w:b/>
          <w:bCs/>
          <w:color w:val="000000"/>
          <w:kern w:val="0"/>
          <w14:ligatures w14:val="none"/>
        </w:rPr>
        <w:t> </w:t>
      </w:r>
    </w:p>
    <w:p w14:paraId="3EF0DAD1" w14:textId="77777777" w:rsidR="003C20BC" w:rsidRPr="003C20BC" w:rsidRDefault="003C20BC" w:rsidP="003C20BC">
      <w:pPr>
        <w:numPr>
          <w:ilvl w:val="0"/>
          <w:numId w:val="1"/>
        </w:numPr>
        <w:spacing w:after="0" w:line="240" w:lineRule="auto"/>
        <w:textAlignment w:val="baseline"/>
        <w:rPr>
          <w:rFonts w:ascii="Arial" w:eastAsia="Times New Roman" w:hAnsi="Arial" w:cs="Arial"/>
          <w:color w:val="000000"/>
          <w:kern w:val="0"/>
          <w14:ligatures w14:val="none"/>
        </w:rPr>
      </w:pPr>
      <w:r w:rsidRPr="003C20BC">
        <w:rPr>
          <w:rFonts w:ascii="Arial" w:eastAsia="Times New Roman" w:hAnsi="Arial" w:cs="Arial"/>
          <w:color w:val="000000"/>
          <w:kern w:val="0"/>
          <w14:ligatures w14:val="none"/>
        </w:rPr>
        <w:t xml:space="preserve">Link MS, Berkow LC, </w:t>
      </w:r>
      <w:proofErr w:type="spellStart"/>
      <w:r w:rsidRPr="003C20BC">
        <w:rPr>
          <w:rFonts w:ascii="Arial" w:eastAsia="Times New Roman" w:hAnsi="Arial" w:cs="Arial"/>
          <w:color w:val="000000"/>
          <w:kern w:val="0"/>
          <w14:ligatures w14:val="none"/>
        </w:rPr>
        <w:t>Kudenchuk</w:t>
      </w:r>
      <w:proofErr w:type="spellEnd"/>
      <w:r w:rsidRPr="003C20BC">
        <w:rPr>
          <w:rFonts w:ascii="Arial" w:eastAsia="Times New Roman" w:hAnsi="Arial" w:cs="Arial"/>
          <w:color w:val="000000"/>
          <w:kern w:val="0"/>
          <w14:ligatures w14:val="none"/>
        </w:rPr>
        <w:t xml:space="preserve"> PJ, et al.; Part 7: Adult Advanced Cardiovascular Life Support: 2015 American Heart Association Guidelines Update for Cardiopulmonary Resuscitation and Emergency Cardiovascular Care. Circulation. 2015; 132(18): 444-464.</w:t>
      </w:r>
    </w:p>
    <w:p w14:paraId="39076A94" w14:textId="77777777" w:rsidR="003C20BC" w:rsidRPr="003C20BC" w:rsidRDefault="003C20BC" w:rsidP="003C20BC">
      <w:pPr>
        <w:numPr>
          <w:ilvl w:val="0"/>
          <w:numId w:val="1"/>
        </w:numPr>
        <w:spacing w:after="0" w:line="240" w:lineRule="auto"/>
        <w:textAlignment w:val="baseline"/>
        <w:rPr>
          <w:rFonts w:ascii="Arial" w:eastAsia="Times New Roman" w:hAnsi="Arial" w:cs="Arial"/>
          <w:color w:val="000000"/>
          <w:kern w:val="0"/>
          <w14:ligatures w14:val="none"/>
        </w:rPr>
      </w:pPr>
      <w:r w:rsidRPr="003C20BC">
        <w:rPr>
          <w:rFonts w:ascii="Arial" w:eastAsia="Times New Roman" w:hAnsi="Arial" w:cs="Arial"/>
          <w:color w:val="000000"/>
          <w:kern w:val="0"/>
          <w14:ligatures w14:val="none"/>
        </w:rPr>
        <w:t xml:space="preserve">O'Grady NP, Alexander M, Burns LA, et al.; Guidelines for the prevention of intravascular catheter-related infections. </w:t>
      </w:r>
      <w:r w:rsidRPr="003C20BC">
        <w:rPr>
          <w:rFonts w:ascii="Arial" w:eastAsia="Times New Roman" w:hAnsi="Arial" w:cs="Arial"/>
          <w:i/>
          <w:iCs/>
          <w:color w:val="000000"/>
          <w:kern w:val="0"/>
          <w14:ligatures w14:val="none"/>
        </w:rPr>
        <w:t>Clin Infect Dis</w:t>
      </w:r>
      <w:r w:rsidRPr="003C20BC">
        <w:rPr>
          <w:rFonts w:ascii="Arial" w:eastAsia="Times New Roman" w:hAnsi="Arial" w:cs="Arial"/>
          <w:color w:val="000000"/>
          <w:kern w:val="0"/>
          <w14:ligatures w14:val="none"/>
        </w:rPr>
        <w:t>. 2011; 52(9): 162-193.</w:t>
      </w:r>
    </w:p>
    <w:p w14:paraId="6C9083C2" w14:textId="77777777" w:rsidR="003C20BC" w:rsidRPr="003C20BC" w:rsidRDefault="003C20BC" w:rsidP="003C20BC">
      <w:pPr>
        <w:numPr>
          <w:ilvl w:val="0"/>
          <w:numId w:val="1"/>
        </w:numPr>
        <w:spacing w:after="0" w:line="240" w:lineRule="auto"/>
        <w:textAlignment w:val="baseline"/>
        <w:rPr>
          <w:rFonts w:ascii="Arial" w:eastAsia="Times New Roman" w:hAnsi="Arial" w:cs="Arial"/>
          <w:color w:val="000000"/>
          <w:kern w:val="0"/>
          <w14:ligatures w14:val="none"/>
        </w:rPr>
      </w:pPr>
      <w:r w:rsidRPr="003C20BC">
        <w:rPr>
          <w:rFonts w:ascii="Arial" w:eastAsia="Times New Roman" w:hAnsi="Arial" w:cs="Arial"/>
          <w:color w:val="000000"/>
          <w:kern w:val="0"/>
          <w14:ligatures w14:val="none"/>
        </w:rPr>
        <w:t xml:space="preserve">Schiffer CA, Mangu PB, Wade JC, et al.; Central venous catheter care for the patient with cancer: American Society of Clinical Oncology clinical practice guideline. </w:t>
      </w:r>
      <w:r w:rsidRPr="003C20BC">
        <w:rPr>
          <w:rFonts w:ascii="Arial" w:eastAsia="Times New Roman" w:hAnsi="Arial" w:cs="Arial"/>
          <w:i/>
          <w:iCs/>
          <w:color w:val="000000"/>
          <w:kern w:val="0"/>
          <w14:ligatures w14:val="none"/>
        </w:rPr>
        <w:t>J Clin Oncol</w:t>
      </w:r>
      <w:r w:rsidRPr="003C20BC">
        <w:rPr>
          <w:rFonts w:ascii="Arial" w:eastAsia="Times New Roman" w:hAnsi="Arial" w:cs="Arial"/>
          <w:color w:val="000000"/>
          <w:kern w:val="0"/>
          <w14:ligatures w14:val="none"/>
        </w:rPr>
        <w:t xml:space="preserve"> 2013; 31(10): 1357-1370.</w:t>
      </w:r>
    </w:p>
    <w:p w14:paraId="7F1B9B10" w14:textId="77777777" w:rsidR="003C20BC" w:rsidRPr="003C20BC" w:rsidRDefault="003C20BC" w:rsidP="003C20BC">
      <w:pPr>
        <w:numPr>
          <w:ilvl w:val="0"/>
          <w:numId w:val="1"/>
        </w:numPr>
        <w:spacing w:after="0" w:line="240" w:lineRule="auto"/>
        <w:textAlignment w:val="baseline"/>
        <w:rPr>
          <w:rFonts w:ascii="Arial" w:eastAsia="Times New Roman" w:hAnsi="Arial" w:cs="Arial"/>
          <w:color w:val="000000"/>
          <w:kern w:val="0"/>
          <w14:ligatures w14:val="none"/>
        </w:rPr>
      </w:pPr>
      <w:r w:rsidRPr="003C20BC">
        <w:rPr>
          <w:rFonts w:ascii="Arial" w:eastAsia="Times New Roman" w:hAnsi="Arial" w:cs="Arial"/>
          <w:color w:val="000000"/>
          <w:kern w:val="0"/>
          <w14:ligatures w14:val="none"/>
        </w:rPr>
        <w:t xml:space="preserve">Raad I. Intravascular-catheter-related infections. </w:t>
      </w:r>
      <w:r w:rsidRPr="003C20BC">
        <w:rPr>
          <w:rFonts w:ascii="Arial" w:eastAsia="Times New Roman" w:hAnsi="Arial" w:cs="Arial"/>
          <w:i/>
          <w:iCs/>
          <w:color w:val="000000"/>
          <w:kern w:val="0"/>
          <w14:ligatures w14:val="none"/>
        </w:rPr>
        <w:t>Lancet</w:t>
      </w:r>
      <w:r w:rsidRPr="003C20BC">
        <w:rPr>
          <w:rFonts w:ascii="Arial" w:eastAsia="Times New Roman" w:hAnsi="Arial" w:cs="Arial"/>
          <w:color w:val="000000"/>
          <w:kern w:val="0"/>
          <w14:ligatures w14:val="none"/>
        </w:rPr>
        <w:t xml:space="preserve"> 1998; 351: 893-898.</w:t>
      </w:r>
    </w:p>
    <w:p w14:paraId="6118C31A" w14:textId="77777777" w:rsidR="003C20BC" w:rsidRPr="003C20BC" w:rsidRDefault="003C20BC" w:rsidP="003C20BC">
      <w:pPr>
        <w:numPr>
          <w:ilvl w:val="0"/>
          <w:numId w:val="1"/>
        </w:numPr>
        <w:spacing w:after="0" w:line="240" w:lineRule="auto"/>
        <w:textAlignment w:val="baseline"/>
        <w:rPr>
          <w:rFonts w:ascii="Arial" w:eastAsia="Times New Roman" w:hAnsi="Arial" w:cs="Arial"/>
          <w:color w:val="000000"/>
          <w:kern w:val="0"/>
          <w14:ligatures w14:val="none"/>
        </w:rPr>
      </w:pPr>
      <w:r w:rsidRPr="003C20BC">
        <w:rPr>
          <w:rFonts w:ascii="Arial" w:eastAsia="Times New Roman" w:hAnsi="Arial" w:cs="Arial"/>
          <w:color w:val="000000"/>
          <w:kern w:val="0"/>
          <w14:ligatures w14:val="none"/>
        </w:rPr>
        <w:t xml:space="preserve">Teja B, Bosch NA, Diep C, et al.; Complication Rates of Central Venous Catheters: A Systematic Review and Meta-Analysis. </w:t>
      </w:r>
      <w:r w:rsidRPr="003C20BC">
        <w:rPr>
          <w:rFonts w:ascii="Arial" w:eastAsia="Times New Roman" w:hAnsi="Arial" w:cs="Arial"/>
          <w:i/>
          <w:iCs/>
          <w:color w:val="000000"/>
          <w:kern w:val="0"/>
          <w14:ligatures w14:val="none"/>
        </w:rPr>
        <w:t>JAMA Intern. Med</w:t>
      </w:r>
      <w:r w:rsidRPr="003C20BC">
        <w:rPr>
          <w:rFonts w:ascii="Arial" w:eastAsia="Times New Roman" w:hAnsi="Arial" w:cs="Arial"/>
          <w:color w:val="000000"/>
          <w:kern w:val="0"/>
          <w14:ligatures w14:val="none"/>
        </w:rPr>
        <w:t xml:space="preserve"> 2024; 184(5): 474-482.</w:t>
      </w:r>
    </w:p>
    <w:p w14:paraId="0E0193E4" w14:textId="77777777" w:rsidR="003C20BC" w:rsidRPr="003C20BC" w:rsidRDefault="003C20BC" w:rsidP="003C20BC">
      <w:pPr>
        <w:numPr>
          <w:ilvl w:val="0"/>
          <w:numId w:val="1"/>
        </w:numPr>
        <w:spacing w:after="0" w:line="240" w:lineRule="auto"/>
        <w:textAlignment w:val="baseline"/>
        <w:rPr>
          <w:rFonts w:ascii="Arial" w:eastAsia="Times New Roman" w:hAnsi="Arial" w:cs="Arial"/>
          <w:color w:val="000000"/>
          <w:kern w:val="0"/>
          <w14:ligatures w14:val="none"/>
        </w:rPr>
      </w:pPr>
      <w:r w:rsidRPr="003C20BC">
        <w:rPr>
          <w:rFonts w:ascii="Arial" w:eastAsia="Times New Roman" w:hAnsi="Arial" w:cs="Arial"/>
          <w:color w:val="000000"/>
          <w:kern w:val="0"/>
          <w14:ligatures w14:val="none"/>
        </w:rPr>
        <w:t xml:space="preserve">Gardner RM. Direct arterial pressure monitoring. </w:t>
      </w:r>
      <w:r w:rsidRPr="003C20BC">
        <w:rPr>
          <w:rFonts w:ascii="Arial" w:eastAsia="Times New Roman" w:hAnsi="Arial" w:cs="Arial"/>
          <w:i/>
          <w:iCs/>
          <w:color w:val="000000"/>
          <w:kern w:val="0"/>
          <w14:ligatures w14:val="none"/>
        </w:rPr>
        <w:t xml:space="preserve">Curr </w:t>
      </w:r>
      <w:proofErr w:type="spellStart"/>
      <w:r w:rsidRPr="003C20BC">
        <w:rPr>
          <w:rFonts w:ascii="Arial" w:eastAsia="Times New Roman" w:hAnsi="Arial" w:cs="Arial"/>
          <w:i/>
          <w:iCs/>
          <w:color w:val="000000"/>
          <w:kern w:val="0"/>
          <w14:ligatures w14:val="none"/>
        </w:rPr>
        <w:t>Anaesth</w:t>
      </w:r>
      <w:proofErr w:type="spellEnd"/>
      <w:r w:rsidRPr="003C20BC">
        <w:rPr>
          <w:rFonts w:ascii="Arial" w:eastAsia="Times New Roman" w:hAnsi="Arial" w:cs="Arial"/>
          <w:i/>
          <w:iCs/>
          <w:color w:val="000000"/>
          <w:kern w:val="0"/>
          <w14:ligatures w14:val="none"/>
        </w:rPr>
        <w:t xml:space="preserve"> Crit Care</w:t>
      </w:r>
      <w:r w:rsidRPr="003C20BC">
        <w:rPr>
          <w:rFonts w:ascii="Arial" w:eastAsia="Times New Roman" w:hAnsi="Arial" w:cs="Arial"/>
          <w:color w:val="000000"/>
          <w:kern w:val="0"/>
          <w14:ligatures w14:val="none"/>
        </w:rPr>
        <w:t xml:space="preserve"> 1990; 1(4): 239-46.</w:t>
      </w:r>
    </w:p>
    <w:p w14:paraId="6D934454" w14:textId="77777777" w:rsidR="003C20BC" w:rsidRPr="003C20BC" w:rsidRDefault="003C20BC" w:rsidP="003C20BC">
      <w:pPr>
        <w:numPr>
          <w:ilvl w:val="0"/>
          <w:numId w:val="1"/>
        </w:numPr>
        <w:spacing w:after="0" w:line="240" w:lineRule="auto"/>
        <w:textAlignment w:val="baseline"/>
        <w:rPr>
          <w:rFonts w:ascii="Arial" w:eastAsia="Times New Roman" w:hAnsi="Arial" w:cs="Arial"/>
          <w:color w:val="000000"/>
          <w:kern w:val="0"/>
          <w14:ligatures w14:val="none"/>
        </w:rPr>
      </w:pPr>
      <w:r w:rsidRPr="003C20BC">
        <w:rPr>
          <w:rFonts w:ascii="Arial" w:eastAsia="Times New Roman" w:hAnsi="Arial" w:cs="Arial"/>
          <w:color w:val="000000"/>
          <w:kern w:val="0"/>
          <w14:ligatures w14:val="none"/>
        </w:rPr>
        <w:t xml:space="preserve">Woodfall K, Van Zundert A. Central Venous Access: An Update on Modern Techniques to Avoid Complications. </w:t>
      </w:r>
      <w:r w:rsidRPr="003C20BC">
        <w:rPr>
          <w:rFonts w:ascii="Arial" w:eastAsia="Times New Roman" w:hAnsi="Arial" w:cs="Arial"/>
          <w:i/>
          <w:iCs/>
          <w:color w:val="000000"/>
          <w:kern w:val="0"/>
          <w14:ligatures w14:val="none"/>
        </w:rPr>
        <w:t>Healthcare</w:t>
      </w:r>
      <w:r w:rsidRPr="003C20BC">
        <w:rPr>
          <w:rFonts w:ascii="Arial" w:eastAsia="Times New Roman" w:hAnsi="Arial" w:cs="Arial"/>
          <w:color w:val="000000"/>
          <w:kern w:val="0"/>
          <w14:ligatures w14:val="none"/>
        </w:rPr>
        <w:t>. 2025; 13(10): 1168-1188. </w:t>
      </w:r>
    </w:p>
    <w:p w14:paraId="45B134B0" w14:textId="77777777" w:rsidR="003C20BC" w:rsidRPr="003C20BC" w:rsidRDefault="003C20BC" w:rsidP="003C20BC">
      <w:pPr>
        <w:numPr>
          <w:ilvl w:val="0"/>
          <w:numId w:val="1"/>
        </w:numPr>
        <w:spacing w:after="0" w:line="240" w:lineRule="auto"/>
        <w:textAlignment w:val="baseline"/>
        <w:rPr>
          <w:rFonts w:ascii="Arial" w:eastAsia="Times New Roman" w:hAnsi="Arial" w:cs="Arial"/>
          <w:color w:val="000000"/>
          <w:kern w:val="0"/>
          <w14:ligatures w14:val="none"/>
        </w:rPr>
      </w:pPr>
      <w:r w:rsidRPr="003C20BC">
        <w:rPr>
          <w:rFonts w:ascii="Arial" w:eastAsia="Times New Roman" w:hAnsi="Arial" w:cs="Arial"/>
          <w:color w:val="000000"/>
          <w:kern w:val="0"/>
          <w14:ligatures w14:val="none"/>
        </w:rPr>
        <w:t xml:space="preserve">Kornbau C, Lee KC, Hughes GD, et al.; Central line complications. </w:t>
      </w:r>
      <w:r w:rsidRPr="003C20BC">
        <w:rPr>
          <w:rFonts w:ascii="Arial" w:eastAsia="Times New Roman" w:hAnsi="Arial" w:cs="Arial"/>
          <w:i/>
          <w:iCs/>
          <w:color w:val="000000"/>
          <w:kern w:val="0"/>
          <w14:ligatures w14:val="none"/>
        </w:rPr>
        <w:t xml:space="preserve">Int J Crit </w:t>
      </w:r>
      <w:proofErr w:type="spellStart"/>
      <w:r w:rsidRPr="003C20BC">
        <w:rPr>
          <w:rFonts w:ascii="Arial" w:eastAsia="Times New Roman" w:hAnsi="Arial" w:cs="Arial"/>
          <w:i/>
          <w:iCs/>
          <w:color w:val="000000"/>
          <w:kern w:val="0"/>
          <w14:ligatures w14:val="none"/>
        </w:rPr>
        <w:t>Illn</w:t>
      </w:r>
      <w:proofErr w:type="spellEnd"/>
      <w:r w:rsidRPr="003C20BC">
        <w:rPr>
          <w:rFonts w:ascii="Arial" w:eastAsia="Times New Roman" w:hAnsi="Arial" w:cs="Arial"/>
          <w:i/>
          <w:iCs/>
          <w:color w:val="000000"/>
          <w:kern w:val="0"/>
          <w14:ligatures w14:val="none"/>
        </w:rPr>
        <w:t xml:space="preserve"> </w:t>
      </w:r>
      <w:proofErr w:type="spellStart"/>
      <w:r w:rsidRPr="003C20BC">
        <w:rPr>
          <w:rFonts w:ascii="Arial" w:eastAsia="Times New Roman" w:hAnsi="Arial" w:cs="Arial"/>
          <w:i/>
          <w:iCs/>
          <w:color w:val="000000"/>
          <w:kern w:val="0"/>
          <w14:ligatures w14:val="none"/>
        </w:rPr>
        <w:t>Inj</w:t>
      </w:r>
      <w:proofErr w:type="spellEnd"/>
      <w:r w:rsidRPr="003C20BC">
        <w:rPr>
          <w:rFonts w:ascii="Arial" w:eastAsia="Times New Roman" w:hAnsi="Arial" w:cs="Arial"/>
          <w:i/>
          <w:iCs/>
          <w:color w:val="000000"/>
          <w:kern w:val="0"/>
          <w14:ligatures w14:val="none"/>
        </w:rPr>
        <w:t xml:space="preserve"> Sci</w:t>
      </w:r>
      <w:r w:rsidRPr="003C20BC">
        <w:rPr>
          <w:rFonts w:ascii="Arial" w:eastAsia="Times New Roman" w:hAnsi="Arial" w:cs="Arial"/>
          <w:color w:val="000000"/>
          <w:kern w:val="0"/>
          <w14:ligatures w14:val="none"/>
        </w:rPr>
        <w:t xml:space="preserve"> 2015; 5(3): 170-178.</w:t>
      </w:r>
    </w:p>
    <w:p w14:paraId="3A3F2C9D" w14:textId="77777777" w:rsidR="003C20BC" w:rsidRPr="003C20BC" w:rsidRDefault="003C20BC" w:rsidP="003C20BC">
      <w:pPr>
        <w:numPr>
          <w:ilvl w:val="0"/>
          <w:numId w:val="1"/>
        </w:numPr>
        <w:spacing w:after="0" w:line="240" w:lineRule="auto"/>
        <w:textAlignment w:val="baseline"/>
        <w:rPr>
          <w:rFonts w:ascii="Arial" w:eastAsia="Times New Roman" w:hAnsi="Arial" w:cs="Arial"/>
          <w:color w:val="000000"/>
          <w:kern w:val="0"/>
          <w14:ligatures w14:val="none"/>
        </w:rPr>
      </w:pPr>
      <w:r w:rsidRPr="003C20BC">
        <w:rPr>
          <w:rFonts w:ascii="Arial" w:eastAsia="Times New Roman" w:hAnsi="Arial" w:cs="Arial"/>
          <w:color w:val="000000"/>
          <w:kern w:val="0"/>
          <w14:ligatures w14:val="none"/>
        </w:rPr>
        <w:t xml:space="preserve">McGee DC, Gould MK. Preventing complications of central venous catheterization. </w:t>
      </w:r>
      <w:r w:rsidRPr="003C20BC">
        <w:rPr>
          <w:rFonts w:ascii="Arial" w:eastAsia="Times New Roman" w:hAnsi="Arial" w:cs="Arial"/>
          <w:i/>
          <w:iCs/>
          <w:color w:val="000000"/>
          <w:kern w:val="0"/>
          <w14:ligatures w14:val="none"/>
        </w:rPr>
        <w:t>N Engl J Med</w:t>
      </w:r>
      <w:r w:rsidRPr="003C20BC">
        <w:rPr>
          <w:rFonts w:ascii="Arial" w:eastAsia="Times New Roman" w:hAnsi="Arial" w:cs="Arial"/>
          <w:color w:val="000000"/>
          <w:kern w:val="0"/>
          <w14:ligatures w14:val="none"/>
        </w:rPr>
        <w:t xml:space="preserve"> 2003; 348(12): 1123-1133.</w:t>
      </w:r>
    </w:p>
    <w:p w14:paraId="249F535C" w14:textId="77777777" w:rsidR="003C20BC" w:rsidRPr="003C20BC" w:rsidRDefault="003C20BC" w:rsidP="003C20BC">
      <w:pPr>
        <w:numPr>
          <w:ilvl w:val="0"/>
          <w:numId w:val="1"/>
        </w:numPr>
        <w:spacing w:after="0" w:line="240" w:lineRule="auto"/>
        <w:textAlignment w:val="baseline"/>
        <w:rPr>
          <w:rFonts w:ascii="Arial" w:eastAsia="Times New Roman" w:hAnsi="Arial" w:cs="Arial"/>
          <w:color w:val="000000"/>
          <w:kern w:val="0"/>
          <w14:ligatures w14:val="none"/>
        </w:rPr>
      </w:pPr>
      <w:proofErr w:type="spellStart"/>
      <w:r w:rsidRPr="003C20BC">
        <w:rPr>
          <w:rFonts w:ascii="Arial" w:eastAsia="Times New Roman" w:hAnsi="Arial" w:cs="Arial"/>
          <w:color w:val="000000"/>
          <w:kern w:val="0"/>
          <w14:ligatures w14:val="none"/>
        </w:rPr>
        <w:t>Tsotsolis</w:t>
      </w:r>
      <w:proofErr w:type="spellEnd"/>
      <w:r w:rsidRPr="003C20BC">
        <w:rPr>
          <w:rFonts w:ascii="Arial" w:eastAsia="Times New Roman" w:hAnsi="Arial" w:cs="Arial"/>
          <w:color w:val="000000"/>
          <w:kern w:val="0"/>
          <w14:ligatures w14:val="none"/>
        </w:rPr>
        <w:t xml:space="preserve"> N, </w:t>
      </w:r>
      <w:proofErr w:type="spellStart"/>
      <w:r w:rsidRPr="003C20BC">
        <w:rPr>
          <w:rFonts w:ascii="Arial" w:eastAsia="Times New Roman" w:hAnsi="Arial" w:cs="Arial"/>
          <w:color w:val="000000"/>
          <w:kern w:val="0"/>
          <w14:ligatures w14:val="none"/>
        </w:rPr>
        <w:t>Tsirgogianni</w:t>
      </w:r>
      <w:proofErr w:type="spellEnd"/>
      <w:r w:rsidRPr="003C20BC">
        <w:rPr>
          <w:rFonts w:ascii="Arial" w:eastAsia="Times New Roman" w:hAnsi="Arial" w:cs="Arial"/>
          <w:color w:val="000000"/>
          <w:kern w:val="0"/>
          <w14:ligatures w14:val="none"/>
        </w:rPr>
        <w:t xml:space="preserve"> K, </w:t>
      </w:r>
      <w:proofErr w:type="spellStart"/>
      <w:r w:rsidRPr="003C20BC">
        <w:rPr>
          <w:rFonts w:ascii="Arial" w:eastAsia="Times New Roman" w:hAnsi="Arial" w:cs="Arial"/>
          <w:color w:val="000000"/>
          <w:kern w:val="0"/>
          <w14:ligatures w14:val="none"/>
        </w:rPr>
        <w:t>Kioumis</w:t>
      </w:r>
      <w:proofErr w:type="spellEnd"/>
      <w:r w:rsidRPr="003C20BC">
        <w:rPr>
          <w:rFonts w:ascii="Arial" w:eastAsia="Times New Roman" w:hAnsi="Arial" w:cs="Arial"/>
          <w:color w:val="000000"/>
          <w:kern w:val="0"/>
          <w14:ligatures w14:val="none"/>
        </w:rPr>
        <w:t xml:space="preserve"> I, et al.; Pneumothorax as a complication of central venous catheter insertion. </w:t>
      </w:r>
      <w:r w:rsidRPr="003C20BC">
        <w:rPr>
          <w:rFonts w:ascii="Arial" w:eastAsia="Times New Roman" w:hAnsi="Arial" w:cs="Arial"/>
          <w:i/>
          <w:iCs/>
          <w:color w:val="000000"/>
          <w:kern w:val="0"/>
          <w14:ligatures w14:val="none"/>
        </w:rPr>
        <w:t>Ann Transl Med</w:t>
      </w:r>
      <w:r w:rsidRPr="003C20BC">
        <w:rPr>
          <w:rFonts w:ascii="Arial" w:eastAsia="Times New Roman" w:hAnsi="Arial" w:cs="Arial"/>
          <w:color w:val="000000"/>
          <w:kern w:val="0"/>
          <w14:ligatures w14:val="none"/>
        </w:rPr>
        <w:t xml:space="preserve"> 2015; 3(3): 40-49. </w:t>
      </w:r>
    </w:p>
    <w:p w14:paraId="0F4DBF79" w14:textId="77777777" w:rsidR="003C20BC" w:rsidRPr="003C20BC" w:rsidRDefault="003C20BC" w:rsidP="003C20BC">
      <w:pPr>
        <w:numPr>
          <w:ilvl w:val="0"/>
          <w:numId w:val="1"/>
        </w:numPr>
        <w:spacing w:after="0" w:line="240" w:lineRule="auto"/>
        <w:textAlignment w:val="baseline"/>
        <w:rPr>
          <w:rFonts w:ascii="Arial" w:eastAsia="Times New Roman" w:hAnsi="Arial" w:cs="Arial"/>
          <w:color w:val="000000"/>
          <w:kern w:val="0"/>
          <w14:ligatures w14:val="none"/>
        </w:rPr>
      </w:pPr>
      <w:r w:rsidRPr="003C20BC">
        <w:rPr>
          <w:rFonts w:ascii="Arial" w:eastAsia="Times New Roman" w:hAnsi="Arial" w:cs="Arial"/>
          <w:color w:val="000000"/>
          <w:kern w:val="0"/>
          <w14:ligatures w14:val="none"/>
        </w:rPr>
        <w:t xml:space="preserve">Lamperti M, Bodenham AR, </w:t>
      </w:r>
      <w:proofErr w:type="spellStart"/>
      <w:r w:rsidRPr="003C20BC">
        <w:rPr>
          <w:rFonts w:ascii="Arial" w:eastAsia="Times New Roman" w:hAnsi="Arial" w:cs="Arial"/>
          <w:color w:val="000000"/>
          <w:kern w:val="0"/>
          <w14:ligatures w14:val="none"/>
        </w:rPr>
        <w:t>Pittiruti</w:t>
      </w:r>
      <w:proofErr w:type="spellEnd"/>
      <w:r w:rsidRPr="003C20BC">
        <w:rPr>
          <w:rFonts w:ascii="Arial" w:eastAsia="Times New Roman" w:hAnsi="Arial" w:cs="Arial"/>
          <w:color w:val="000000"/>
          <w:kern w:val="0"/>
          <w14:ligatures w14:val="none"/>
        </w:rPr>
        <w:t xml:space="preserve"> M, et al.; International evidence-based recommendations on ultrasound-guided vascular access. </w:t>
      </w:r>
      <w:r w:rsidRPr="003C20BC">
        <w:rPr>
          <w:rFonts w:ascii="Arial" w:eastAsia="Times New Roman" w:hAnsi="Arial" w:cs="Arial"/>
          <w:i/>
          <w:iCs/>
          <w:color w:val="000000"/>
          <w:kern w:val="0"/>
          <w14:ligatures w14:val="none"/>
        </w:rPr>
        <w:t>Intensive Care Med</w:t>
      </w:r>
      <w:r w:rsidRPr="003C20BC">
        <w:rPr>
          <w:rFonts w:ascii="Arial" w:eastAsia="Times New Roman" w:hAnsi="Arial" w:cs="Arial"/>
          <w:color w:val="000000"/>
          <w:kern w:val="0"/>
          <w14:ligatures w14:val="none"/>
        </w:rPr>
        <w:t xml:space="preserve"> 2012; 38(7): 1105-1117.</w:t>
      </w:r>
    </w:p>
    <w:p w14:paraId="34B750A3" w14:textId="77777777" w:rsidR="003C20BC" w:rsidRPr="003C20BC" w:rsidRDefault="003C20BC" w:rsidP="003C20BC">
      <w:pPr>
        <w:numPr>
          <w:ilvl w:val="0"/>
          <w:numId w:val="1"/>
        </w:numPr>
        <w:spacing w:after="0" w:line="240" w:lineRule="auto"/>
        <w:textAlignment w:val="baseline"/>
        <w:rPr>
          <w:rFonts w:ascii="Arial" w:eastAsia="Times New Roman" w:hAnsi="Arial" w:cs="Arial"/>
          <w:color w:val="000000"/>
          <w:kern w:val="0"/>
          <w14:ligatures w14:val="none"/>
        </w:rPr>
      </w:pPr>
      <w:r w:rsidRPr="003C20BC">
        <w:rPr>
          <w:rFonts w:ascii="Arial" w:eastAsia="Times New Roman" w:hAnsi="Arial" w:cs="Arial"/>
          <w:color w:val="000000"/>
          <w:kern w:val="0"/>
          <w14:ligatures w14:val="none"/>
        </w:rPr>
        <w:lastRenderedPageBreak/>
        <w:t xml:space="preserve">Brass P, Hellmich M, Kolodziej L, et al.; Ultrasound guidance versus anatomical landmarks for internal jugular vein catheterization. </w:t>
      </w:r>
      <w:r w:rsidRPr="003C20BC">
        <w:rPr>
          <w:rFonts w:ascii="Arial" w:eastAsia="Times New Roman" w:hAnsi="Arial" w:cs="Arial"/>
          <w:i/>
          <w:iCs/>
          <w:color w:val="000000"/>
          <w:kern w:val="0"/>
          <w14:ligatures w14:val="none"/>
        </w:rPr>
        <w:t>Cochrane Database Syst. Rev</w:t>
      </w:r>
      <w:r w:rsidRPr="003C20BC">
        <w:rPr>
          <w:rFonts w:ascii="Arial" w:eastAsia="Times New Roman" w:hAnsi="Arial" w:cs="Arial"/>
          <w:color w:val="000000"/>
          <w:kern w:val="0"/>
          <w14:ligatures w14:val="none"/>
        </w:rPr>
        <w:t xml:space="preserve"> 2015; 1(1): CD006962. </w:t>
      </w:r>
    </w:p>
    <w:p w14:paraId="779D4239" w14:textId="77777777" w:rsidR="003C20BC" w:rsidRPr="003C20BC" w:rsidRDefault="003C20BC" w:rsidP="003C20BC">
      <w:pPr>
        <w:numPr>
          <w:ilvl w:val="0"/>
          <w:numId w:val="1"/>
        </w:numPr>
        <w:spacing w:after="0" w:line="240" w:lineRule="auto"/>
        <w:textAlignment w:val="baseline"/>
        <w:rPr>
          <w:rFonts w:ascii="Arial" w:eastAsia="Times New Roman" w:hAnsi="Arial" w:cs="Arial"/>
          <w:color w:val="000000"/>
          <w:kern w:val="0"/>
          <w14:ligatures w14:val="none"/>
        </w:rPr>
      </w:pPr>
      <w:r w:rsidRPr="003C20BC">
        <w:rPr>
          <w:rFonts w:ascii="Arial" w:eastAsia="Times New Roman" w:hAnsi="Arial" w:cs="Arial"/>
          <w:color w:val="000000"/>
          <w:kern w:val="0"/>
          <w14:ligatures w14:val="none"/>
        </w:rPr>
        <w:t xml:space="preserve">Pal R, Thakur VS, Gill RS, et al.; Comparison between landmark and ultrasound-guided techniques for internal jugular vein cannulation: A prospective observational study. </w:t>
      </w:r>
      <w:r w:rsidRPr="003C20BC">
        <w:rPr>
          <w:rFonts w:ascii="Arial" w:eastAsia="Times New Roman" w:hAnsi="Arial" w:cs="Arial"/>
          <w:i/>
          <w:iCs/>
          <w:color w:val="000000"/>
          <w:kern w:val="0"/>
          <w14:ligatures w14:val="none"/>
        </w:rPr>
        <w:t>Bioinformation</w:t>
      </w:r>
      <w:r w:rsidRPr="003C20BC">
        <w:rPr>
          <w:rFonts w:ascii="Arial" w:eastAsia="Times New Roman" w:hAnsi="Arial" w:cs="Arial"/>
          <w:color w:val="000000"/>
          <w:kern w:val="0"/>
          <w14:ligatures w14:val="none"/>
        </w:rPr>
        <w:t xml:space="preserve"> 2025; 21(9): 2946-2949. </w:t>
      </w:r>
    </w:p>
    <w:p w14:paraId="670269B5" w14:textId="77777777" w:rsidR="003C20BC" w:rsidRPr="003C20BC" w:rsidRDefault="003C20BC" w:rsidP="003C20BC">
      <w:pPr>
        <w:numPr>
          <w:ilvl w:val="0"/>
          <w:numId w:val="1"/>
        </w:numPr>
        <w:spacing w:after="0" w:line="240" w:lineRule="auto"/>
        <w:textAlignment w:val="baseline"/>
        <w:rPr>
          <w:rFonts w:ascii="Arial" w:eastAsia="Times New Roman" w:hAnsi="Arial" w:cs="Arial"/>
          <w:color w:val="000000"/>
          <w:kern w:val="0"/>
          <w14:ligatures w14:val="none"/>
        </w:rPr>
      </w:pPr>
      <w:r w:rsidRPr="003C20BC">
        <w:rPr>
          <w:rFonts w:ascii="Arial" w:eastAsia="Times New Roman" w:hAnsi="Arial" w:cs="Arial"/>
          <w:color w:val="000000"/>
          <w:kern w:val="0"/>
          <w14:ligatures w14:val="none"/>
        </w:rPr>
        <w:t xml:space="preserve">Vegas A, Wells B, Braum P, et al.; Guidelines for Performing Ultrasound-Guided Vascular Cannulation: Recommendations of the American Society of Echocardiography. </w:t>
      </w:r>
      <w:r w:rsidRPr="003C20BC">
        <w:rPr>
          <w:rFonts w:ascii="Arial" w:eastAsia="Times New Roman" w:hAnsi="Arial" w:cs="Arial"/>
          <w:i/>
          <w:iCs/>
          <w:color w:val="000000"/>
          <w:kern w:val="0"/>
          <w14:ligatures w14:val="none"/>
        </w:rPr>
        <w:t xml:space="preserve">J Am Soc </w:t>
      </w:r>
      <w:proofErr w:type="spellStart"/>
      <w:r w:rsidRPr="003C20BC">
        <w:rPr>
          <w:rFonts w:ascii="Arial" w:eastAsia="Times New Roman" w:hAnsi="Arial" w:cs="Arial"/>
          <w:i/>
          <w:iCs/>
          <w:color w:val="000000"/>
          <w:kern w:val="0"/>
          <w14:ligatures w14:val="none"/>
        </w:rPr>
        <w:t>Echocardiogr</w:t>
      </w:r>
      <w:proofErr w:type="spellEnd"/>
      <w:r w:rsidRPr="003C20BC">
        <w:rPr>
          <w:rFonts w:ascii="Arial" w:eastAsia="Times New Roman" w:hAnsi="Arial" w:cs="Arial"/>
          <w:color w:val="000000"/>
          <w:kern w:val="0"/>
          <w14:ligatures w14:val="none"/>
        </w:rPr>
        <w:t xml:space="preserve"> 2025; 38(2): 57-91.</w:t>
      </w:r>
    </w:p>
    <w:p w14:paraId="629E3F43"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r w:rsidRPr="003C20BC">
        <w:rPr>
          <w:rFonts w:ascii="Arial" w:eastAsia="Times New Roman" w:hAnsi="Arial" w:cs="Arial"/>
          <w:color w:val="000000"/>
          <w:kern w:val="0"/>
          <w14:ligatures w14:val="none"/>
        </w:rPr>
        <w:t> </w:t>
      </w:r>
    </w:p>
    <w:p w14:paraId="6BEDC681" w14:textId="77777777" w:rsidR="003C20BC" w:rsidRPr="003C20BC" w:rsidRDefault="003C20BC" w:rsidP="003C20BC">
      <w:pPr>
        <w:spacing w:after="0" w:line="240" w:lineRule="auto"/>
        <w:rPr>
          <w:rFonts w:ascii="Times New Roman" w:eastAsia="Times New Roman" w:hAnsi="Times New Roman" w:cs="Times New Roman"/>
          <w:kern w:val="0"/>
          <w14:ligatures w14:val="none"/>
        </w:rPr>
      </w:pPr>
    </w:p>
    <w:p w14:paraId="0697802B" w14:textId="77777777" w:rsidR="003C20BC" w:rsidRDefault="003C20BC"/>
    <w:sectPr w:rsidR="003C20B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558D3" w14:textId="77777777" w:rsidR="004843DD" w:rsidRDefault="004843DD" w:rsidP="003C20BC">
      <w:pPr>
        <w:spacing w:after="0" w:line="240" w:lineRule="auto"/>
      </w:pPr>
      <w:r>
        <w:separator/>
      </w:r>
    </w:p>
  </w:endnote>
  <w:endnote w:type="continuationSeparator" w:id="0">
    <w:p w14:paraId="373B67A4" w14:textId="77777777" w:rsidR="004843DD" w:rsidRDefault="004843DD" w:rsidP="003C2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1A78E" w14:textId="77777777" w:rsidR="004843DD" w:rsidRDefault="004843DD" w:rsidP="003C20BC">
      <w:pPr>
        <w:spacing w:after="0" w:line="240" w:lineRule="auto"/>
      </w:pPr>
      <w:r>
        <w:separator/>
      </w:r>
    </w:p>
  </w:footnote>
  <w:footnote w:type="continuationSeparator" w:id="0">
    <w:p w14:paraId="5634DEBE" w14:textId="77777777" w:rsidR="004843DD" w:rsidRDefault="004843DD" w:rsidP="003C2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57549" w14:textId="27D56CBD" w:rsidR="003C20BC" w:rsidRDefault="003C20BC" w:rsidP="00B10B1A">
    <w:pPr>
      <w:pStyle w:val="Header"/>
      <w:tabs>
        <w:tab w:val="clear" w:pos="4680"/>
      </w:tabs>
    </w:pPr>
    <w:r>
      <w:t>CONFIDENTIAL</w:t>
    </w:r>
    <w:r w:rsidR="00DF04F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43CB1"/>
    <w:multiLevelType w:val="multilevel"/>
    <w:tmpl w:val="11BC9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09278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0BC"/>
    <w:rsid w:val="00001E03"/>
    <w:rsid w:val="00010E43"/>
    <w:rsid w:val="00085A5A"/>
    <w:rsid w:val="001E3C7A"/>
    <w:rsid w:val="00204C56"/>
    <w:rsid w:val="00284A60"/>
    <w:rsid w:val="002A118A"/>
    <w:rsid w:val="002A4027"/>
    <w:rsid w:val="00352867"/>
    <w:rsid w:val="00353DEE"/>
    <w:rsid w:val="00372CDD"/>
    <w:rsid w:val="003C20BC"/>
    <w:rsid w:val="00464190"/>
    <w:rsid w:val="004843DD"/>
    <w:rsid w:val="00521064"/>
    <w:rsid w:val="00591661"/>
    <w:rsid w:val="00597B14"/>
    <w:rsid w:val="005A7FFE"/>
    <w:rsid w:val="005C22DC"/>
    <w:rsid w:val="005D48AC"/>
    <w:rsid w:val="006746F5"/>
    <w:rsid w:val="00681A92"/>
    <w:rsid w:val="0068778C"/>
    <w:rsid w:val="006D0A33"/>
    <w:rsid w:val="006F6B62"/>
    <w:rsid w:val="007136E1"/>
    <w:rsid w:val="007D7435"/>
    <w:rsid w:val="00864AD7"/>
    <w:rsid w:val="00917AF2"/>
    <w:rsid w:val="00956031"/>
    <w:rsid w:val="009E1597"/>
    <w:rsid w:val="00A3484E"/>
    <w:rsid w:val="00AA63CD"/>
    <w:rsid w:val="00B10B1A"/>
    <w:rsid w:val="00C80483"/>
    <w:rsid w:val="00D93974"/>
    <w:rsid w:val="00DF04FF"/>
    <w:rsid w:val="00EA7B93"/>
    <w:rsid w:val="00EE7AA7"/>
    <w:rsid w:val="00F22B0D"/>
    <w:rsid w:val="00F53D96"/>
    <w:rsid w:val="00F6344A"/>
    <w:rsid w:val="00FB7EAB"/>
    <w:rsid w:val="00FC42A9"/>
    <w:rsid w:val="00FD1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1E087B"/>
  <w15:chartTrackingRefBased/>
  <w15:docId w15:val="{C3213168-B20C-3742-A13B-640FB6A3F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2DC"/>
  </w:style>
  <w:style w:type="paragraph" w:styleId="Heading1">
    <w:name w:val="heading 1"/>
    <w:basedOn w:val="Normal"/>
    <w:next w:val="Normal"/>
    <w:link w:val="Heading1Char"/>
    <w:uiPriority w:val="9"/>
    <w:qFormat/>
    <w:rsid w:val="003C20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20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20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20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20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20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20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20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20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20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20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20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20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20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20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20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20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20BC"/>
    <w:rPr>
      <w:rFonts w:eastAsiaTheme="majorEastAsia" w:cstheme="majorBidi"/>
      <w:color w:val="272727" w:themeColor="text1" w:themeTint="D8"/>
    </w:rPr>
  </w:style>
  <w:style w:type="paragraph" w:styleId="Title">
    <w:name w:val="Title"/>
    <w:basedOn w:val="Normal"/>
    <w:next w:val="Normal"/>
    <w:link w:val="TitleChar"/>
    <w:uiPriority w:val="10"/>
    <w:qFormat/>
    <w:rsid w:val="003C20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20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20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20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20BC"/>
    <w:pPr>
      <w:spacing w:before="160"/>
      <w:jc w:val="center"/>
    </w:pPr>
    <w:rPr>
      <w:i/>
      <w:iCs/>
      <w:color w:val="404040" w:themeColor="text1" w:themeTint="BF"/>
    </w:rPr>
  </w:style>
  <w:style w:type="character" w:customStyle="1" w:styleId="QuoteChar">
    <w:name w:val="Quote Char"/>
    <w:basedOn w:val="DefaultParagraphFont"/>
    <w:link w:val="Quote"/>
    <w:uiPriority w:val="29"/>
    <w:rsid w:val="003C20BC"/>
    <w:rPr>
      <w:i/>
      <w:iCs/>
      <w:color w:val="404040" w:themeColor="text1" w:themeTint="BF"/>
    </w:rPr>
  </w:style>
  <w:style w:type="paragraph" w:styleId="ListParagraph">
    <w:name w:val="List Paragraph"/>
    <w:basedOn w:val="Normal"/>
    <w:uiPriority w:val="34"/>
    <w:qFormat/>
    <w:rsid w:val="003C20BC"/>
    <w:pPr>
      <w:ind w:left="720"/>
      <w:contextualSpacing/>
    </w:pPr>
  </w:style>
  <w:style w:type="character" w:styleId="IntenseEmphasis">
    <w:name w:val="Intense Emphasis"/>
    <w:basedOn w:val="DefaultParagraphFont"/>
    <w:uiPriority w:val="21"/>
    <w:qFormat/>
    <w:rsid w:val="003C20BC"/>
    <w:rPr>
      <w:i/>
      <w:iCs/>
      <w:color w:val="0F4761" w:themeColor="accent1" w:themeShade="BF"/>
    </w:rPr>
  </w:style>
  <w:style w:type="paragraph" w:styleId="IntenseQuote">
    <w:name w:val="Intense Quote"/>
    <w:basedOn w:val="Normal"/>
    <w:next w:val="Normal"/>
    <w:link w:val="IntenseQuoteChar"/>
    <w:uiPriority w:val="30"/>
    <w:qFormat/>
    <w:rsid w:val="003C20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20BC"/>
    <w:rPr>
      <w:i/>
      <w:iCs/>
      <w:color w:val="0F4761" w:themeColor="accent1" w:themeShade="BF"/>
    </w:rPr>
  </w:style>
  <w:style w:type="character" w:styleId="IntenseReference">
    <w:name w:val="Intense Reference"/>
    <w:basedOn w:val="DefaultParagraphFont"/>
    <w:uiPriority w:val="32"/>
    <w:qFormat/>
    <w:rsid w:val="003C20BC"/>
    <w:rPr>
      <w:b/>
      <w:bCs/>
      <w:smallCaps/>
      <w:color w:val="0F4761" w:themeColor="accent1" w:themeShade="BF"/>
      <w:spacing w:val="5"/>
    </w:rPr>
  </w:style>
  <w:style w:type="paragraph" w:styleId="NormalWeb">
    <w:name w:val="Normal (Web)"/>
    <w:basedOn w:val="Normal"/>
    <w:uiPriority w:val="99"/>
    <w:semiHidden/>
    <w:unhideWhenUsed/>
    <w:rsid w:val="003C20BC"/>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3C20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0BC"/>
  </w:style>
  <w:style w:type="paragraph" w:styleId="Footer">
    <w:name w:val="footer"/>
    <w:basedOn w:val="Normal"/>
    <w:link w:val="FooterChar"/>
    <w:uiPriority w:val="99"/>
    <w:unhideWhenUsed/>
    <w:rsid w:val="003C20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0BC"/>
  </w:style>
  <w:style w:type="paragraph" w:styleId="Caption">
    <w:name w:val="caption"/>
    <w:basedOn w:val="Normal"/>
    <w:next w:val="Normal"/>
    <w:qFormat/>
    <w:rsid w:val="0068778C"/>
    <w:pPr>
      <w:widowControl w:val="0"/>
      <w:autoSpaceDE w:val="0"/>
      <w:autoSpaceDN w:val="0"/>
      <w:adjustRightInd w:val="0"/>
      <w:spacing w:after="0" w:line="240" w:lineRule="auto"/>
      <w:ind w:left="1080"/>
      <w:jc w:val="center"/>
    </w:pPr>
    <w:rPr>
      <w:rFonts w:ascii="Times New Roman" w:eastAsia="Batang" w:hAnsi="Times New Roman" w:cs="Times New Roman"/>
      <w:noProof/>
      <w:kern w:val="28"/>
      <w14:ligatures w14:val="none"/>
    </w:rPr>
  </w:style>
  <w:style w:type="character" w:styleId="Hyperlink">
    <w:name w:val="Hyperlink"/>
    <w:basedOn w:val="DefaultParagraphFont"/>
    <w:uiPriority w:val="99"/>
    <w:semiHidden/>
    <w:unhideWhenUsed/>
    <w:rsid w:val="00917A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1555</Words>
  <Characters>9299</Characters>
  <Application>Microsoft Office Word</Application>
  <DocSecurity>0</DocSecurity>
  <Lines>185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Rodney Brenneman</dc:creator>
  <cp:keywords/>
  <dc:description/>
  <cp:lastModifiedBy>Rodney Brenneman</cp:lastModifiedBy>
  <cp:revision>2</cp:revision>
  <dcterms:created xsi:type="dcterms:W3CDTF">2026-03-27T18:51:00Z</dcterms:created>
  <dcterms:modified xsi:type="dcterms:W3CDTF">2026-03-27T18:51:00Z</dcterms:modified>
</cp:coreProperties>
</file>