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74A33F" w14:textId="77777777" w:rsidR="00E64B01" w:rsidRDefault="00E64B01">
      <w:pPr>
        <w:spacing w:after="400"/>
      </w:pPr>
    </w:p>
    <w:p w14:paraId="2CA768A0" w14:textId="77777777" w:rsidR="00E64B01" w:rsidRDefault="00000000">
      <w:pPr>
        <w:spacing w:after="240"/>
        <w:jc w:val="center"/>
      </w:pPr>
      <w:r>
        <w:rPr>
          <w:rFonts w:ascii="Arial" w:eastAsia="Arial" w:hAnsi="Arial" w:cs="Arial"/>
          <w:b/>
          <w:bCs/>
          <w:color w:val="1A237E"/>
          <w:sz w:val="36"/>
          <w:szCs w:val="36"/>
        </w:rPr>
        <w:t>Artificial Intelligence and Bias:</w:t>
      </w:r>
    </w:p>
    <w:p w14:paraId="2D659991" w14:textId="77777777" w:rsidR="00E64B01" w:rsidRDefault="00000000">
      <w:pPr>
        <w:spacing w:after="480"/>
        <w:jc w:val="center"/>
      </w:pPr>
      <w:r>
        <w:rPr>
          <w:rFonts w:ascii="Arial" w:eastAsia="Arial" w:hAnsi="Arial" w:cs="Arial"/>
          <w:b/>
          <w:bCs/>
          <w:color w:val="3949AB"/>
          <w:sz w:val="28"/>
          <w:szCs w:val="28"/>
        </w:rPr>
        <w:t/>
      </w:r>
    </w:p>
    <w:p w14:paraId="2DC1288B" w14:textId="77777777" w:rsidR="00E64B01" w:rsidRDefault="00E64B01">
      <w:pPr>
        <w:pBdr>
          <w:bottom w:val="single" w:sz="14" w:space="1" w:color="3949AB"/>
        </w:pBdr>
        <w:spacing w:after="100"/>
      </w:pPr>
    </w:p>
    <w:p w14:paraId="49DD1786" w14:textId="031A6038" w:rsidR="000C0B49" w:rsidRDefault="000C0B49">
      <w:pPr>
        <w:pBdr>
          <w:bottom w:val="single" w:sz="14" w:space="1" w:color="3949AB"/>
        </w:pBdr>
        <w:spacing w:after="100"/>
      </w:pPr>
      <w:r>
        <w:t/>
      </w:r>
    </w:p>
    <w:p w14:paraId="1D6A52BB" w14:textId="3C9926F6" w:rsidR="000C0B49" w:rsidRDefault="000C0B49">
      <w:pPr>
        <w:pBdr>
          <w:bottom w:val="single" w:sz="14" w:space="1" w:color="3949AB"/>
        </w:pBdr>
        <w:spacing w:after="100"/>
      </w:pPr>
      <w:proofErr w:type="spellStart"/>
      <w:r>
        <w:t/>
      </w:r>
      <w:proofErr w:type="spellEnd"/>
      <w:r>
        <w:t xml:space="preserve"/>
      </w:r>
    </w:p>
    <w:p w14:paraId="5CC631FC" w14:textId="35A55E97" w:rsidR="000C0B49" w:rsidRDefault="000C0B49">
      <w:pPr>
        <w:pBdr>
          <w:bottom w:val="single" w:sz="14" w:space="1" w:color="3949AB"/>
        </w:pBdr>
        <w:spacing w:after="100"/>
      </w:pPr>
      <w:r>
        <w:t xml:space="preserve"/>
      </w:r>
    </w:p>
    <w:p w14:paraId="12F9179D" w14:textId="7CE3A721" w:rsidR="000C0B49" w:rsidRDefault="000C0B49">
      <w:pPr>
        <w:pBdr>
          <w:bottom w:val="single" w:sz="14" w:space="1" w:color="3949AB"/>
        </w:pBdr>
        <w:spacing w:after="100"/>
      </w:pPr>
      <w:r>
        <w:t/>
      </w:r>
    </w:p>
    <w:p w14:paraId="663D204E" w14:textId="77777777" w:rsidR="00E64B01" w:rsidRDefault="00E64B01">
      <w:pPr>
        <w:spacing w:after="240"/>
      </w:pPr>
    </w:p>
    <w:p w14:paraId="520D38EF" w14:textId="77777777" w:rsidR="00E64B01" w:rsidRDefault="00000000">
      <w:pPr>
        <w:spacing w:after="100"/>
        <w:jc w:val="center"/>
      </w:pPr>
      <w:r>
        <w:rPr>
          <w:i/>
          <w:iCs/>
          <w:sz w:val="22"/>
          <w:szCs w:val="22"/>
        </w:rPr>
        <w:t xml:space="preserve"/>
      </w:r>
      <w:proofErr w:type="spellStart"/>
      <w:r>
        <w:rPr>
          <w:i/>
          <w:iCs/>
          <w:sz w:val="22"/>
          <w:szCs w:val="22"/>
        </w:rPr>
        <w:t/>
      </w:r>
      <w:proofErr w:type="spellEnd"/>
      <w:r>
        <w:rPr>
          <w:i/>
          <w:iCs/>
          <w:sz w:val="22"/>
          <w:szCs w:val="22"/>
        </w:rPr>
        <w:t xml:space="preserve"/>
      </w:r>
    </w:p>
    <w:p w14:paraId="604E188A" w14:textId="77777777" w:rsidR="00E64B01" w:rsidRDefault="00000000">
      <w:pPr>
        <w:spacing w:after="100"/>
        <w:jc w:val="center"/>
      </w:pPr>
      <w:r>
        <w:rPr>
          <w:i/>
          <w:iCs/>
          <w:sz w:val="22"/>
          <w:szCs w:val="22"/>
        </w:rPr>
        <w:t/>
      </w:r>
    </w:p>
    <w:p w14:paraId="2F105FAB" w14:textId="52ECD4D3" w:rsidR="00E64B01" w:rsidRDefault="00E64B01">
      <w:pPr>
        <w:spacing w:after="100"/>
        <w:jc w:val="center"/>
      </w:pPr>
    </w:p>
    <w:p w14:paraId="2232EE6D" w14:textId="458BB905" w:rsidR="00E64B01" w:rsidRDefault="00000000">
      <w:pPr>
        <w:spacing w:after="100"/>
        <w:jc w:val="center"/>
      </w:pPr>
      <w:r>
        <w:rPr>
          <w:sz w:val="22"/>
          <w:szCs w:val="22"/>
        </w:rPr>
        <w:t/>
      </w:r>
    </w:p>
    <w:p w14:paraId="16F19422" w14:textId="023EFDB7" w:rsidR="00E64B01" w:rsidRDefault="00000000">
      <w:pPr>
        <w:spacing w:after="100"/>
        <w:jc w:val="center"/>
      </w:pPr>
      <w:r>
        <w:rPr>
          <w:sz w:val="22"/>
          <w:szCs w:val="22"/>
        </w:rPr>
        <w:t xml:space="preserve"/>
      </w:r>
      <w:r w:rsidR="00D07098">
        <w:rPr>
          <w:sz w:val="22"/>
          <w:szCs w:val="22"/>
        </w:rPr>
        <w:t xml:space="preserve"/>
      </w:r>
      <w:r>
        <w:rPr>
          <w:sz w:val="22"/>
          <w:szCs w:val="22"/>
        </w:rPr>
        <w:t/>
      </w:r>
    </w:p>
    <w:p w14:paraId="4CCC893C" w14:textId="77777777" w:rsidR="00E64B01" w:rsidRDefault="00E64B01">
      <w:pPr>
        <w:spacing w:after="400"/>
      </w:pPr>
    </w:p>
    <w:p w14:paraId="5DB99511" w14:textId="77777777" w:rsidR="00E64B01" w:rsidRDefault="00000000">
      <w:pPr>
        <w:spacing w:before="240" w:after="100"/>
      </w:pPr>
      <w:r>
        <w:rPr>
          <w:rFonts w:ascii="Arial" w:eastAsia="Arial" w:hAnsi="Arial" w:cs="Arial"/>
          <w:b/>
          <w:bCs/>
          <w:color w:val="1A237E"/>
          <w:sz w:val="26"/>
          <w:szCs w:val="26"/>
        </w:rPr>
        <w:t/>
      </w:r>
    </w:p>
    <w:p w14:paraId="4B139500" w14:textId="77777777" w:rsidR="007C3523" w:rsidRDefault="007C3523">
      <w:pPr>
        <w:spacing w:after="80"/>
        <w:rPr>
          <w:b/>
          <w:bCs/>
        </w:rPr>
      </w:pPr>
    </w:p>
    <w:p w14:paraId="1E69FE4F" w14:textId="46BC9100" w:rsidR="00E64B01" w:rsidRDefault="00000000">
      <w:pPr>
        <w:spacing w:after="80"/>
      </w:pPr>
      <w:r>
        <w:rPr>
          <w:b/>
          <w:bCs/>
        </w:rPr>
        <w:t xml:space="preserve"/>
      </w:r>
      <w:r>
        <w:t/>
      </w:r>
    </w:p>
    <w:p w14:paraId="634DCC81" w14:textId="21E92EDA" w:rsidR="00E64B01" w:rsidRDefault="00000000">
      <w:pPr>
        <w:spacing w:after="80"/>
      </w:pPr>
      <w:r>
        <w:rPr>
          <w:b/>
          <w:bCs/>
        </w:rPr>
        <w:t xml:space="preserve"/>
      </w:r>
      <w:r>
        <w:t xml:space="preserve"/>
      </w:r>
      <w:r w:rsidR="00C53593">
        <w:t/>
      </w:r>
      <w:r>
        <w:t xml:space="preserve"/>
      </w:r>
    </w:p>
    <w:p w14:paraId="3AAB53FE" w14:textId="77777777" w:rsidR="00E64B01" w:rsidRDefault="00000000">
      <w:pPr>
        <w:spacing w:after="80"/>
      </w:pPr>
      <w:r>
        <w:rPr>
          <w:b/>
          <w:bCs/>
        </w:rPr>
        <w:t xml:space="preserve"/>
      </w:r>
      <w:r>
        <w:t/>
      </w:r>
    </w:p>
    <w:p w14:paraId="59C21D06" w14:textId="77777777" w:rsidR="00E64B01" w:rsidRDefault="00000000">
      <w:pPr>
        <w:spacing w:after="80"/>
      </w:pPr>
      <w:r>
        <w:rPr>
          <w:b/>
          <w:bCs/>
        </w:rPr>
        <w:t xml:space="preserve"/>
      </w:r>
      <w:r>
        <w:t/>
      </w:r>
    </w:p>
    <w:p w14:paraId="06E062A6" w14:textId="77777777" w:rsidR="00E64B01" w:rsidRDefault="00000000">
      <w:pPr>
        <w:spacing w:after="80"/>
      </w:pPr>
      <w:r>
        <w:rPr>
          <w:b/>
          <w:bCs/>
        </w:rPr>
        <w:lastRenderedPageBreak/>
        <w:t xml:space="preserve"/>
      </w:r>
      <w:r>
        <w:t/>
      </w:r>
    </w:p>
    <w:p w14:paraId="69352A42" w14:textId="77777777" w:rsidR="00E64B01" w:rsidRDefault="00000000">
      <w:pPr>
        <w:spacing w:after="80"/>
      </w:pPr>
      <w:r>
        <w:rPr>
          <w:b/>
          <w:bCs/>
        </w:rPr>
        <w:t xml:space="preserve"/>
      </w:r>
      <w:r>
        <w:t/>
      </w:r>
    </w:p>
    <w:p w14:paraId="37A30968" w14:textId="77777777" w:rsidR="00E64B01" w:rsidRDefault="00000000">
      <w:pPr>
        <w:spacing w:after="80"/>
      </w:pPr>
      <w:r>
        <w:rPr>
          <w:b/>
          <w:bCs/>
        </w:rPr>
        <w:t xml:space="preserve"/>
      </w:r>
      <w:r>
        <w:t/>
      </w:r>
    </w:p>
    <w:p w14:paraId="04ACB60C" w14:textId="77777777" w:rsidR="00E64B01" w:rsidRDefault="00E64B01">
      <w:pPr>
        <w:spacing w:after="120"/>
      </w:pPr>
    </w:p>
    <w:p w14:paraId="70D0A6F9" w14:textId="77777777" w:rsidR="00E64B01" w:rsidRDefault="00000000">
      <w:pPr>
        <w:spacing w:after="80"/>
      </w:pPr>
      <w:r>
        <w:rPr>
          <w:b/>
          <w:bCs/>
        </w:rPr>
        <w:t xml:space="preserve"/>
      </w:r>
      <w:r>
        <w:rPr>
          <w:i/>
          <w:iCs/>
        </w:rPr>
        <w:t/>
      </w:r>
    </w:p>
    <w:p w14:paraId="0FA29CA4" w14:textId="77777777" w:rsidR="00E64B01" w:rsidRDefault="00000000">
      <w:pPr>
        <w:spacing w:after="80"/>
      </w:pPr>
      <w:r>
        <w:rPr>
          <w:b/>
          <w:bCs/>
        </w:rPr>
        <w:t xml:space="preserve"/>
      </w:r>
      <w:r>
        <w:t/>
      </w:r>
    </w:p>
    <w:p w14:paraId="6C5FEE8E" w14:textId="77777777" w:rsidR="00E64B01" w:rsidRDefault="00E64B01">
      <w:pPr>
        <w:spacing w:after="200"/>
      </w:pPr>
    </w:p>
    <w:p w14:paraId="374FB985" w14:textId="77777777" w:rsidR="00E64B01" w:rsidRDefault="00000000">
      <w:r>
        <w:br w:type="page"/>
      </w:r>
    </w:p>
    <w:p w14:paraId="088CE794" w14:textId="77777777" w:rsidR="00E64B01" w:rsidRDefault="00000000">
      <w:pPr>
        <w:spacing w:before="320" w:after="100"/>
      </w:pPr>
      <w:r>
        <w:rPr>
          <w:rFonts w:ascii="Arial" w:eastAsia="Arial" w:hAnsi="Arial" w:cs="Arial"/>
          <w:b/>
          <w:bCs/>
          <w:color w:val="1A237E"/>
          <w:sz w:val="26"/>
          <w:szCs w:val="26"/>
        </w:rPr>
        <w:lastRenderedPageBreak/>
        <w:t>1. Introduction</w:t>
      </w:r>
    </w:p>
    <w:p w14:paraId="209CDE74" w14:textId="77777777" w:rsidR="00E64B01" w:rsidRDefault="00E64B01">
      <w:pPr>
        <w:pBdr>
          <w:bottom w:val="single" w:sz="6" w:space="1" w:color="3949AB"/>
        </w:pBdr>
        <w:spacing w:after="100"/>
      </w:pPr>
    </w:p>
    <w:p w14:paraId="3D0EB8C5" w14:textId="77777777" w:rsidR="00E64B01" w:rsidRDefault="00000000">
      <w:pPr>
        <w:spacing w:after="160" w:line="360" w:lineRule="auto"/>
        <w:ind w:firstLine="720"/>
        <w:jc w:val="both"/>
      </w:pPr>
      <w:r>
        <w:t>Artificial intelligence is reshaping entrepreneurship at every stage of the value creation process — from opportunity recognition and product development to capital allocation, talent acquisition, and organisational management (</w:t>
      </w:r>
      <w:proofErr w:type="spellStart"/>
      <w:r>
        <w:t>Giuggioli</w:t>
      </w:r>
      <w:proofErr w:type="spellEnd"/>
      <w:r>
        <w:t xml:space="preserve"> and Pellegrini, 2023; Dwivedi et al., 2021). By enhancing the speed and analytical depth of decision-making, AI is enabling entrepreneurs to process data volumes that would have been operationally inconceivable even a decade ago, to identify market patterns invisible to conventional analysis, and to personalise products and services at scale. The global expansion of AI adoption in entrepreneurial contexts is reflected in surveys suggesting that by 2025, more than 75 percent of venture capital and early-stage investor executive reviews were informed by AI and data analytics (Miami Law Review, 2025), and that 36 percent of entrepreneurs founded businesses in 2024 using generative AI tools compared with 21 percent in 2023 (Gusto Insights Group, 2025).</w:t>
      </w:r>
    </w:p>
    <w:p w14:paraId="78D332FB" w14:textId="77777777" w:rsidR="00E64B01" w:rsidRDefault="00000000">
      <w:pPr>
        <w:spacing w:after="160" w:line="360" w:lineRule="auto"/>
        <w:ind w:firstLine="720"/>
        <w:jc w:val="both"/>
      </w:pPr>
      <w:r>
        <w:t>Yet the same properties that make AI transformative for entrepreneurship — its capacity to process large and heterogeneous datasets and to identify statistical patterns at speed — make it a powerful amplifier of the biases, prejudices, and structural inequalities embedded in those datasets and in the human decisions that designed the algorithms. AI-generated outputs are demonstrably and systematically susceptible to bias arising from three distinct sources: the training data from which models learn, the algorithmic architectures through which they process information, and the human interaction dynamics through which they are queried and deployed (Mehrabi et al., 2021; Di Vaio et al., 2020). These biases are not incidental imperfections to be corrected at the margins; they are structural features of AI systems trained on historical data that reflects centuries of discrimination, exclusion, and unequal treatment of women, racial minorities, disabled people, older workers, and other underrepresented groups.</w:t>
      </w:r>
    </w:p>
    <w:p w14:paraId="5957CA15" w14:textId="77777777" w:rsidR="00E64B01" w:rsidRDefault="00000000">
      <w:pPr>
        <w:spacing w:after="160" w:line="360" w:lineRule="auto"/>
        <w:ind w:firstLine="720"/>
        <w:jc w:val="both"/>
      </w:pPr>
      <w:r>
        <w:t xml:space="preserve">The consequences of AI bias for entrepreneurship are significant and operate in two directions that this review treats as analytically distinct but empirically intertwined. First, AI bias within entrepreneurial processes: when entrepreneurs or their investors use AI systems for opportunity recognition, market assessment, talent recruitment, credit scoring, or customer targeting, the bias embedded in those systems systematically distorts the decisions made, producing outcomes that are not only commercially suboptimal but socially discriminatory. Second, AI bias as a source of entrepreneurial opportunity: the growing recognition of AI's bias problem — accelerated by high-profile regulatory interventions including the EU Artificial Intelligence Act (2024) — is creating a new market for bias detection, algorithmic auditing, </w:t>
      </w:r>
      <w:r>
        <w:lastRenderedPageBreak/>
        <w:t>fairness engineering, and responsible AI consulting that entrepreneurial actors are well positioned to serve (Jeremiah, 2024; Nishant et al., 2024).</w:t>
      </w:r>
    </w:p>
    <w:p w14:paraId="17F06E0F" w14:textId="3DB553FE" w:rsidR="00E64B01" w:rsidRDefault="00000000">
      <w:pPr>
        <w:spacing w:after="160" w:line="360" w:lineRule="auto"/>
        <w:ind w:firstLine="720"/>
        <w:jc w:val="both"/>
      </w:pPr>
      <w:r>
        <w:t xml:space="preserve">This paper addresses a significant gap in the existing scholarship. While </w:t>
      </w:r>
      <w:proofErr w:type="spellStart"/>
      <w:r>
        <w:t>Giuggioli</w:t>
      </w:r>
      <w:proofErr w:type="spellEnd"/>
      <w:r>
        <w:t xml:space="preserve"> and Pellegrini (2023) have produced an influential systematic review of AI as an enabler for entrepreneurs, the bias dimension of the AI-entrepreneurship relationship — both as a challenge to entrepreneurial processes and as a source of entrepreneurial opportunity — has not been systematically synthesised. This review fills that gap by examining </w:t>
      </w:r>
      <w:r w:rsidR="00C53593">
        <w:t>39</w:t>
      </w:r>
      <w:r>
        <w:t xml:space="preserve"> peer-reviewed articles and substantive reports published between 2018 and early 2026 across six thematic domains: the taxonomy and origins of AI bias; AI bias in opportunity recognition and entrepreneurial decision-making; AI bias in financing and resource acquisition; AI bias in sector-specific innovation processes; the regulatory landscape and its entrepreneurial implications; and entrepreneurial opportunities arising from bias mitigation. The review concludes by proposing the FAIR-E framework — a practitioner and research tool integrating findings on Fairness, Accountability, Interpretability, Responsibility, and Entrepreneurial opportunity into a coherent analytical architecture for the AI-bias-entrepreneurship field.</w:t>
      </w:r>
    </w:p>
    <w:p w14:paraId="7DBAF489" w14:textId="77777777" w:rsidR="00E64B01" w:rsidRDefault="00000000">
      <w:pPr>
        <w:spacing w:after="160" w:line="360" w:lineRule="auto"/>
        <w:ind w:firstLine="720"/>
        <w:jc w:val="both"/>
      </w:pPr>
      <w:r>
        <w:t>The paper is organised as follows. Section 2 presents the methodology. Sections 3 through 8 present the thematic findings. Section 9 discusses the integrated findings and proposes the FAIR-E framework. Section 10 concludes with a research agenda.</w:t>
      </w:r>
    </w:p>
    <w:p w14:paraId="084429BA" w14:textId="77777777" w:rsidR="00E64B01" w:rsidRDefault="00E64B01">
      <w:pPr>
        <w:spacing w:after="160"/>
      </w:pPr>
    </w:p>
    <w:p w14:paraId="3A018516" w14:textId="77777777" w:rsidR="00E64B01" w:rsidRDefault="00000000">
      <w:pPr>
        <w:spacing w:before="320" w:after="100"/>
      </w:pPr>
      <w:r>
        <w:rPr>
          <w:rFonts w:ascii="Arial" w:eastAsia="Arial" w:hAnsi="Arial" w:cs="Arial"/>
          <w:b/>
          <w:bCs/>
          <w:color w:val="1A237E"/>
          <w:sz w:val="26"/>
          <w:szCs w:val="26"/>
        </w:rPr>
        <w:t>2. Methodology</w:t>
      </w:r>
    </w:p>
    <w:p w14:paraId="675B5F87" w14:textId="77777777" w:rsidR="00E64B01" w:rsidRDefault="00E64B01">
      <w:pPr>
        <w:pBdr>
          <w:bottom w:val="single" w:sz="6" w:space="1" w:color="3949AB"/>
        </w:pBdr>
        <w:spacing w:after="100"/>
      </w:pPr>
    </w:p>
    <w:p w14:paraId="376CA346" w14:textId="77777777" w:rsidR="00E64B01" w:rsidRDefault="00000000">
      <w:pPr>
        <w:spacing w:before="240" w:after="80"/>
      </w:pPr>
      <w:r>
        <w:rPr>
          <w:rFonts w:ascii="Arial" w:eastAsia="Arial" w:hAnsi="Arial" w:cs="Arial"/>
          <w:b/>
          <w:bCs/>
          <w:i/>
          <w:iCs/>
          <w:color w:val="3949AB"/>
        </w:rPr>
        <w:t>2.1 Review Design</w:t>
      </w:r>
    </w:p>
    <w:p w14:paraId="5DC0771D" w14:textId="77777777" w:rsidR="00E64B01" w:rsidRDefault="00000000">
      <w:pPr>
        <w:spacing w:after="160" w:line="360" w:lineRule="auto"/>
        <w:ind w:firstLine="720"/>
        <w:jc w:val="both"/>
      </w:pPr>
      <w:r>
        <w:t>This systematic literature review follows the PRISMA 2020 guidelines (Page et al., 2021) and is designed to be transparent, reproducible, and comprehensive across the interdisciplinary terrain connecting AI bias scholarship, entrepreneurship research, and algorithmic fairness studies. The review addresses three primary research questions: (1) How does the literature conceptualise AI bias and its origins, and how does this conceptualisation apply to entrepreneurial contexts? (2) What empirical evidence exists regarding the effects of AI bias on specific entrepreneurial processes — including opportunity recognition, financing, and innovation? (3) What entrepreneurial opportunities does the AI bias challenge create, and what frameworks have been proposed for responsible AI entrepreneurship?</w:t>
      </w:r>
    </w:p>
    <w:p w14:paraId="3BA686B3" w14:textId="77777777" w:rsidR="00E64B01" w:rsidRDefault="00000000">
      <w:pPr>
        <w:spacing w:before="240" w:after="80"/>
      </w:pPr>
      <w:r>
        <w:rPr>
          <w:rFonts w:ascii="Arial" w:eastAsia="Arial" w:hAnsi="Arial" w:cs="Arial"/>
          <w:b/>
          <w:bCs/>
          <w:i/>
          <w:iCs/>
          <w:color w:val="3949AB"/>
        </w:rPr>
        <w:lastRenderedPageBreak/>
        <w:t>2.2 Search Strategy and Databases</w:t>
      </w:r>
    </w:p>
    <w:p w14:paraId="7E8A61D5" w14:textId="77777777" w:rsidR="00E64B01" w:rsidRDefault="00000000">
      <w:pPr>
        <w:spacing w:after="160" w:line="360" w:lineRule="auto"/>
        <w:ind w:firstLine="720"/>
        <w:jc w:val="both"/>
      </w:pPr>
      <w:r>
        <w:t>Searches were conducted in February 2026 across three databases: Scopus; Web of Science (Core Collection); and the ACM Digital Library, which provides specialised coverage of computing, machine learning, and algorithmic fairness scholarship. Search strings combined three conceptual clusters: (1) AI bias terms — ("artificial intelligence" OR "machine learning" OR "algorithmic bias" OR "AI fairness" OR "algorithmic fairness" OR "data bias"); (2) entrepreneurship terms — ("entrepreneurship" OR "startup" OR "venture capital" OR "entrepreneur" OR "SME" OR "innovation" OR "new venture"); and (3) outcome or process terms — ("decision-making" OR "opportunity recognition" OR "organisational culture" OR "bias mitigation" OR "responsible AI" OR "sustainable entrepreneurship"). The search was restricted to publications from January 2018 to February 2026, a period that captures the rapid acceleration of AI adoption in entrepreneurial contexts and the emergence of the AI bias literature as a significant field.</w:t>
      </w:r>
    </w:p>
    <w:p w14:paraId="1DD81C4C" w14:textId="77777777" w:rsidR="00E64B01" w:rsidRDefault="00000000">
      <w:pPr>
        <w:spacing w:before="240" w:after="80"/>
      </w:pPr>
      <w:r>
        <w:rPr>
          <w:rFonts w:ascii="Arial" w:eastAsia="Arial" w:hAnsi="Arial" w:cs="Arial"/>
          <w:b/>
          <w:bCs/>
          <w:i/>
          <w:iCs/>
          <w:color w:val="3949AB"/>
        </w:rPr>
        <w:t>2.3 Inclusion and Exclusion Criteria</w:t>
      </w:r>
    </w:p>
    <w:p w14:paraId="06C24317" w14:textId="77777777" w:rsidR="00E64B01" w:rsidRDefault="00000000">
      <w:pPr>
        <w:spacing w:after="160" w:line="360" w:lineRule="auto"/>
        <w:ind w:firstLine="720"/>
        <w:jc w:val="both"/>
      </w:pPr>
      <w:r>
        <w:t>Articles were included if they: addressed AI bias as a primary construct; connected AI bias to entrepreneurship, innovation, or business processes at least partially; were published in peer-reviewed journals or as substantive reports from internationally recognised research bodies; and were available in English. Articles were excluded if they were purely technical algorithmic papers without business or social implications; if they addressed AI bias only in the context of academic research methodology without enterprise application; or if they were below 3,000 words (conference abstracts or short letters). Table 1 summarises the selection process and Table 2 presents the thematic distribution.</w:t>
      </w:r>
    </w:p>
    <w:p w14:paraId="659474A9" w14:textId="77777777" w:rsidR="00E64B01" w:rsidRDefault="00E64B01">
      <w:pPr>
        <w:spacing w:after="120"/>
      </w:pPr>
    </w:p>
    <w:p w14:paraId="0B4C7727" w14:textId="77777777" w:rsidR="00E64B01" w:rsidRDefault="00000000">
      <w:pPr>
        <w:spacing w:before="120" w:after="80"/>
      </w:pPr>
      <w:r>
        <w:rPr>
          <w:rFonts w:ascii="Arial" w:eastAsia="Arial" w:hAnsi="Arial" w:cs="Arial"/>
          <w:b/>
          <w:bCs/>
          <w:color w:val="1A237E"/>
          <w:sz w:val="22"/>
          <w:szCs w:val="22"/>
        </w:rPr>
        <w:t>Table 1.</w:t>
      </w:r>
      <w:r>
        <w:rPr>
          <w:rFonts w:ascii="Arial" w:eastAsia="Arial" w:hAnsi="Arial" w:cs="Arial"/>
          <w:sz w:val="22"/>
          <w:szCs w:val="22"/>
        </w:rPr>
        <w:t xml:space="preserve"> PRISMA-Aligned Selection Summary</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800"/>
        <w:gridCol w:w="3226"/>
      </w:tblGrid>
      <w:tr w:rsidR="00E64B01" w14:paraId="776C385E" w14:textId="77777777">
        <w:tc>
          <w:tcPr>
            <w:tcW w:w="5800" w:type="dxa"/>
            <w:tcBorders>
              <w:top w:val="single" w:sz="4" w:space="0" w:color="9FA8DA"/>
              <w:left w:val="single" w:sz="4" w:space="0" w:color="9FA8DA"/>
              <w:bottom w:val="single" w:sz="4" w:space="0" w:color="9FA8DA"/>
              <w:right w:val="single" w:sz="4" w:space="0" w:color="9FA8DA"/>
            </w:tcBorders>
            <w:shd w:val="clear" w:color="auto" w:fill="E8EAF6"/>
            <w:tcMar>
              <w:top w:w="80" w:type="dxa"/>
              <w:left w:w="140" w:type="dxa"/>
              <w:bottom w:w="80" w:type="dxa"/>
              <w:right w:w="140" w:type="dxa"/>
            </w:tcMar>
          </w:tcPr>
          <w:p w14:paraId="0F83BB08" w14:textId="77777777" w:rsidR="00E64B01" w:rsidRDefault="00000000">
            <w:r>
              <w:rPr>
                <w:rFonts w:ascii="Arial" w:eastAsia="Arial" w:hAnsi="Arial" w:cs="Arial"/>
                <w:b/>
                <w:bCs/>
                <w:sz w:val="20"/>
                <w:szCs w:val="20"/>
              </w:rPr>
              <w:t>Selection Stage</w:t>
            </w:r>
          </w:p>
        </w:tc>
        <w:tc>
          <w:tcPr>
            <w:tcW w:w="3226" w:type="dxa"/>
            <w:tcBorders>
              <w:top w:val="single" w:sz="4" w:space="0" w:color="9FA8DA"/>
              <w:left w:val="single" w:sz="4" w:space="0" w:color="9FA8DA"/>
              <w:bottom w:val="single" w:sz="4" w:space="0" w:color="9FA8DA"/>
              <w:right w:val="single" w:sz="4" w:space="0" w:color="9FA8DA"/>
            </w:tcBorders>
            <w:shd w:val="clear" w:color="auto" w:fill="E8EAF6"/>
            <w:tcMar>
              <w:top w:w="80" w:type="dxa"/>
              <w:left w:w="140" w:type="dxa"/>
              <w:bottom w:w="80" w:type="dxa"/>
              <w:right w:w="140" w:type="dxa"/>
            </w:tcMar>
          </w:tcPr>
          <w:p w14:paraId="4BAAEDA9" w14:textId="77777777" w:rsidR="00E64B01" w:rsidRDefault="00000000">
            <w:r>
              <w:rPr>
                <w:rFonts w:ascii="Arial" w:eastAsia="Arial" w:hAnsi="Arial" w:cs="Arial"/>
                <w:b/>
                <w:bCs/>
                <w:sz w:val="20"/>
                <w:szCs w:val="20"/>
              </w:rPr>
              <w:t>Record Count</w:t>
            </w:r>
          </w:p>
        </w:tc>
      </w:tr>
      <w:tr w:rsidR="00E64B01" w14:paraId="137A6522" w14:textId="77777777">
        <w:tc>
          <w:tcPr>
            <w:tcW w:w="5800" w:type="dxa"/>
            <w:tcBorders>
              <w:top w:val="single" w:sz="4" w:space="0" w:color="9FA8DA"/>
              <w:left w:val="single" w:sz="4" w:space="0" w:color="9FA8DA"/>
              <w:bottom w:val="single" w:sz="4" w:space="0" w:color="9FA8DA"/>
              <w:right w:val="single" w:sz="4" w:space="0" w:color="9FA8DA"/>
            </w:tcBorders>
            <w:tcMar>
              <w:top w:w="80" w:type="dxa"/>
              <w:left w:w="140" w:type="dxa"/>
              <w:bottom w:w="80" w:type="dxa"/>
              <w:right w:w="140" w:type="dxa"/>
            </w:tcMar>
          </w:tcPr>
          <w:p w14:paraId="0DBB7566" w14:textId="77777777" w:rsidR="00E64B01" w:rsidRDefault="00000000">
            <w:r>
              <w:rPr>
                <w:rFonts w:ascii="Arial" w:eastAsia="Arial" w:hAnsi="Arial" w:cs="Arial"/>
                <w:sz w:val="20"/>
                <w:szCs w:val="20"/>
              </w:rPr>
              <w:t>Records identified via database searches</w:t>
            </w:r>
          </w:p>
        </w:tc>
        <w:tc>
          <w:tcPr>
            <w:tcW w:w="3226" w:type="dxa"/>
            <w:tcBorders>
              <w:top w:val="single" w:sz="4" w:space="0" w:color="9FA8DA"/>
              <w:left w:val="single" w:sz="4" w:space="0" w:color="9FA8DA"/>
              <w:bottom w:val="single" w:sz="4" w:space="0" w:color="9FA8DA"/>
              <w:right w:val="single" w:sz="4" w:space="0" w:color="9FA8DA"/>
            </w:tcBorders>
            <w:tcMar>
              <w:top w:w="80" w:type="dxa"/>
              <w:left w:w="140" w:type="dxa"/>
              <w:bottom w:w="80" w:type="dxa"/>
              <w:right w:w="140" w:type="dxa"/>
            </w:tcMar>
          </w:tcPr>
          <w:p w14:paraId="6B937848" w14:textId="77777777" w:rsidR="00E64B01" w:rsidRDefault="00000000">
            <w:r>
              <w:rPr>
                <w:rFonts w:ascii="Arial" w:eastAsia="Arial" w:hAnsi="Arial" w:cs="Arial"/>
                <w:sz w:val="20"/>
                <w:szCs w:val="20"/>
              </w:rPr>
              <w:t>2,317</w:t>
            </w:r>
          </w:p>
        </w:tc>
      </w:tr>
      <w:tr w:rsidR="00E64B01" w14:paraId="30449EE7" w14:textId="77777777">
        <w:tc>
          <w:tcPr>
            <w:tcW w:w="5800" w:type="dxa"/>
            <w:tcBorders>
              <w:top w:val="single" w:sz="4" w:space="0" w:color="9FA8DA"/>
              <w:left w:val="single" w:sz="4" w:space="0" w:color="9FA8DA"/>
              <w:bottom w:val="single" w:sz="4" w:space="0" w:color="9FA8DA"/>
              <w:right w:val="single" w:sz="4" w:space="0" w:color="9FA8DA"/>
            </w:tcBorders>
            <w:shd w:val="clear" w:color="auto" w:fill="F3F4FB"/>
            <w:tcMar>
              <w:top w:w="80" w:type="dxa"/>
              <w:left w:w="140" w:type="dxa"/>
              <w:bottom w:w="80" w:type="dxa"/>
              <w:right w:w="140" w:type="dxa"/>
            </w:tcMar>
          </w:tcPr>
          <w:p w14:paraId="5986904F" w14:textId="77777777" w:rsidR="00E64B01" w:rsidRDefault="00000000">
            <w:r>
              <w:rPr>
                <w:rFonts w:ascii="Arial" w:eastAsia="Arial" w:hAnsi="Arial" w:cs="Arial"/>
                <w:sz w:val="20"/>
                <w:szCs w:val="20"/>
              </w:rPr>
              <w:t>Records after de-duplication</w:t>
            </w:r>
          </w:p>
        </w:tc>
        <w:tc>
          <w:tcPr>
            <w:tcW w:w="3226" w:type="dxa"/>
            <w:tcBorders>
              <w:top w:val="single" w:sz="4" w:space="0" w:color="9FA8DA"/>
              <w:left w:val="single" w:sz="4" w:space="0" w:color="9FA8DA"/>
              <w:bottom w:val="single" w:sz="4" w:space="0" w:color="9FA8DA"/>
              <w:right w:val="single" w:sz="4" w:space="0" w:color="9FA8DA"/>
            </w:tcBorders>
            <w:shd w:val="clear" w:color="auto" w:fill="F3F4FB"/>
            <w:tcMar>
              <w:top w:w="80" w:type="dxa"/>
              <w:left w:w="140" w:type="dxa"/>
              <w:bottom w:w="80" w:type="dxa"/>
              <w:right w:w="140" w:type="dxa"/>
            </w:tcMar>
          </w:tcPr>
          <w:p w14:paraId="1A5B0111" w14:textId="77777777" w:rsidR="00E64B01" w:rsidRDefault="00000000">
            <w:r>
              <w:rPr>
                <w:rFonts w:ascii="Arial" w:eastAsia="Arial" w:hAnsi="Arial" w:cs="Arial"/>
                <w:sz w:val="20"/>
                <w:szCs w:val="20"/>
              </w:rPr>
              <w:t>1,682</w:t>
            </w:r>
          </w:p>
        </w:tc>
      </w:tr>
      <w:tr w:rsidR="00E64B01" w14:paraId="367D28F2" w14:textId="77777777">
        <w:tc>
          <w:tcPr>
            <w:tcW w:w="5800" w:type="dxa"/>
            <w:tcBorders>
              <w:top w:val="single" w:sz="4" w:space="0" w:color="9FA8DA"/>
              <w:left w:val="single" w:sz="4" w:space="0" w:color="9FA8DA"/>
              <w:bottom w:val="single" w:sz="4" w:space="0" w:color="9FA8DA"/>
              <w:right w:val="single" w:sz="4" w:space="0" w:color="9FA8DA"/>
            </w:tcBorders>
            <w:tcMar>
              <w:top w:w="80" w:type="dxa"/>
              <w:left w:w="140" w:type="dxa"/>
              <w:bottom w:w="80" w:type="dxa"/>
              <w:right w:w="140" w:type="dxa"/>
            </w:tcMar>
          </w:tcPr>
          <w:p w14:paraId="5390C076" w14:textId="77777777" w:rsidR="00E64B01" w:rsidRDefault="00000000">
            <w:r>
              <w:rPr>
                <w:rFonts w:ascii="Arial" w:eastAsia="Arial" w:hAnsi="Arial" w:cs="Arial"/>
                <w:sz w:val="20"/>
                <w:szCs w:val="20"/>
              </w:rPr>
              <w:t>Records screened (title/abstract)</w:t>
            </w:r>
          </w:p>
        </w:tc>
        <w:tc>
          <w:tcPr>
            <w:tcW w:w="3226" w:type="dxa"/>
            <w:tcBorders>
              <w:top w:val="single" w:sz="4" w:space="0" w:color="9FA8DA"/>
              <w:left w:val="single" w:sz="4" w:space="0" w:color="9FA8DA"/>
              <w:bottom w:val="single" w:sz="4" w:space="0" w:color="9FA8DA"/>
              <w:right w:val="single" w:sz="4" w:space="0" w:color="9FA8DA"/>
            </w:tcBorders>
            <w:tcMar>
              <w:top w:w="80" w:type="dxa"/>
              <w:left w:w="140" w:type="dxa"/>
              <w:bottom w:w="80" w:type="dxa"/>
              <w:right w:w="140" w:type="dxa"/>
            </w:tcMar>
          </w:tcPr>
          <w:p w14:paraId="73343FB6" w14:textId="77777777" w:rsidR="00E64B01" w:rsidRDefault="00000000">
            <w:r>
              <w:rPr>
                <w:rFonts w:ascii="Arial" w:eastAsia="Arial" w:hAnsi="Arial" w:cs="Arial"/>
                <w:sz w:val="20"/>
                <w:szCs w:val="20"/>
              </w:rPr>
              <w:t>1,682</w:t>
            </w:r>
          </w:p>
        </w:tc>
      </w:tr>
      <w:tr w:rsidR="00E64B01" w14:paraId="618C5D1E" w14:textId="77777777">
        <w:tc>
          <w:tcPr>
            <w:tcW w:w="5800" w:type="dxa"/>
            <w:tcBorders>
              <w:top w:val="single" w:sz="4" w:space="0" w:color="9FA8DA"/>
              <w:left w:val="single" w:sz="4" w:space="0" w:color="9FA8DA"/>
              <w:bottom w:val="single" w:sz="4" w:space="0" w:color="9FA8DA"/>
              <w:right w:val="single" w:sz="4" w:space="0" w:color="9FA8DA"/>
            </w:tcBorders>
            <w:shd w:val="clear" w:color="auto" w:fill="F3F4FB"/>
            <w:tcMar>
              <w:top w:w="80" w:type="dxa"/>
              <w:left w:w="140" w:type="dxa"/>
              <w:bottom w:w="80" w:type="dxa"/>
              <w:right w:w="140" w:type="dxa"/>
            </w:tcMar>
          </w:tcPr>
          <w:p w14:paraId="7A98A141" w14:textId="77777777" w:rsidR="00E64B01" w:rsidRDefault="00000000">
            <w:r>
              <w:rPr>
                <w:rFonts w:ascii="Arial" w:eastAsia="Arial" w:hAnsi="Arial" w:cs="Arial"/>
                <w:sz w:val="20"/>
                <w:szCs w:val="20"/>
              </w:rPr>
              <w:t>Excluded at screening</w:t>
            </w:r>
          </w:p>
        </w:tc>
        <w:tc>
          <w:tcPr>
            <w:tcW w:w="3226" w:type="dxa"/>
            <w:tcBorders>
              <w:top w:val="single" w:sz="4" w:space="0" w:color="9FA8DA"/>
              <w:left w:val="single" w:sz="4" w:space="0" w:color="9FA8DA"/>
              <w:bottom w:val="single" w:sz="4" w:space="0" w:color="9FA8DA"/>
              <w:right w:val="single" w:sz="4" w:space="0" w:color="9FA8DA"/>
            </w:tcBorders>
            <w:shd w:val="clear" w:color="auto" w:fill="F3F4FB"/>
            <w:tcMar>
              <w:top w:w="80" w:type="dxa"/>
              <w:left w:w="140" w:type="dxa"/>
              <w:bottom w:w="80" w:type="dxa"/>
              <w:right w:w="140" w:type="dxa"/>
            </w:tcMar>
          </w:tcPr>
          <w:p w14:paraId="4C6F368B" w14:textId="77777777" w:rsidR="00E64B01" w:rsidRDefault="00000000">
            <w:r>
              <w:rPr>
                <w:rFonts w:ascii="Arial" w:eastAsia="Arial" w:hAnsi="Arial" w:cs="Arial"/>
                <w:sz w:val="20"/>
                <w:szCs w:val="20"/>
              </w:rPr>
              <w:t>1,413</w:t>
            </w:r>
          </w:p>
        </w:tc>
      </w:tr>
      <w:tr w:rsidR="00E64B01" w14:paraId="2F3616B3" w14:textId="77777777">
        <w:tc>
          <w:tcPr>
            <w:tcW w:w="5800" w:type="dxa"/>
            <w:tcBorders>
              <w:top w:val="single" w:sz="4" w:space="0" w:color="9FA8DA"/>
              <w:left w:val="single" w:sz="4" w:space="0" w:color="9FA8DA"/>
              <w:bottom w:val="single" w:sz="4" w:space="0" w:color="9FA8DA"/>
              <w:right w:val="single" w:sz="4" w:space="0" w:color="9FA8DA"/>
            </w:tcBorders>
            <w:tcMar>
              <w:top w:w="80" w:type="dxa"/>
              <w:left w:w="140" w:type="dxa"/>
              <w:bottom w:w="80" w:type="dxa"/>
              <w:right w:w="140" w:type="dxa"/>
            </w:tcMar>
          </w:tcPr>
          <w:p w14:paraId="60DD33F1" w14:textId="77777777" w:rsidR="00E64B01" w:rsidRDefault="00000000">
            <w:r>
              <w:rPr>
                <w:rFonts w:ascii="Arial" w:eastAsia="Arial" w:hAnsi="Arial" w:cs="Arial"/>
                <w:sz w:val="20"/>
                <w:szCs w:val="20"/>
              </w:rPr>
              <w:t>Full-text assessed for eligibility</w:t>
            </w:r>
          </w:p>
        </w:tc>
        <w:tc>
          <w:tcPr>
            <w:tcW w:w="3226" w:type="dxa"/>
            <w:tcBorders>
              <w:top w:val="single" w:sz="4" w:space="0" w:color="9FA8DA"/>
              <w:left w:val="single" w:sz="4" w:space="0" w:color="9FA8DA"/>
              <w:bottom w:val="single" w:sz="4" w:space="0" w:color="9FA8DA"/>
              <w:right w:val="single" w:sz="4" w:space="0" w:color="9FA8DA"/>
            </w:tcBorders>
            <w:tcMar>
              <w:top w:w="80" w:type="dxa"/>
              <w:left w:w="140" w:type="dxa"/>
              <w:bottom w:w="80" w:type="dxa"/>
              <w:right w:w="140" w:type="dxa"/>
            </w:tcMar>
          </w:tcPr>
          <w:p w14:paraId="211EA1E8" w14:textId="77777777" w:rsidR="00E64B01" w:rsidRDefault="00000000">
            <w:r>
              <w:rPr>
                <w:rFonts w:ascii="Arial" w:eastAsia="Arial" w:hAnsi="Arial" w:cs="Arial"/>
                <w:sz w:val="20"/>
                <w:szCs w:val="20"/>
              </w:rPr>
              <w:t>269</w:t>
            </w:r>
          </w:p>
        </w:tc>
      </w:tr>
      <w:tr w:rsidR="00E64B01" w14:paraId="13627F3F" w14:textId="77777777">
        <w:tc>
          <w:tcPr>
            <w:tcW w:w="5800" w:type="dxa"/>
            <w:tcBorders>
              <w:top w:val="single" w:sz="4" w:space="0" w:color="9FA8DA"/>
              <w:left w:val="single" w:sz="4" w:space="0" w:color="9FA8DA"/>
              <w:bottom w:val="single" w:sz="4" w:space="0" w:color="9FA8DA"/>
              <w:right w:val="single" w:sz="4" w:space="0" w:color="9FA8DA"/>
            </w:tcBorders>
            <w:shd w:val="clear" w:color="auto" w:fill="F3F4FB"/>
            <w:tcMar>
              <w:top w:w="80" w:type="dxa"/>
              <w:left w:w="140" w:type="dxa"/>
              <w:bottom w:w="80" w:type="dxa"/>
              <w:right w:w="140" w:type="dxa"/>
            </w:tcMar>
          </w:tcPr>
          <w:p w14:paraId="4911AD90" w14:textId="77777777" w:rsidR="00E64B01" w:rsidRDefault="00000000">
            <w:r>
              <w:rPr>
                <w:rFonts w:ascii="Arial" w:eastAsia="Arial" w:hAnsi="Arial" w:cs="Arial"/>
                <w:sz w:val="20"/>
                <w:szCs w:val="20"/>
              </w:rPr>
              <w:t>Full-text excluded (scope or quality)</w:t>
            </w:r>
          </w:p>
        </w:tc>
        <w:tc>
          <w:tcPr>
            <w:tcW w:w="3226" w:type="dxa"/>
            <w:tcBorders>
              <w:top w:val="single" w:sz="4" w:space="0" w:color="9FA8DA"/>
              <w:left w:val="single" w:sz="4" w:space="0" w:color="9FA8DA"/>
              <w:bottom w:val="single" w:sz="4" w:space="0" w:color="9FA8DA"/>
              <w:right w:val="single" w:sz="4" w:space="0" w:color="9FA8DA"/>
            </w:tcBorders>
            <w:shd w:val="clear" w:color="auto" w:fill="F3F4FB"/>
            <w:tcMar>
              <w:top w:w="80" w:type="dxa"/>
              <w:left w:w="140" w:type="dxa"/>
              <w:bottom w:w="80" w:type="dxa"/>
              <w:right w:w="140" w:type="dxa"/>
            </w:tcMar>
          </w:tcPr>
          <w:p w14:paraId="463C53AA" w14:textId="77777777" w:rsidR="00E64B01" w:rsidRDefault="00000000">
            <w:r>
              <w:rPr>
                <w:rFonts w:ascii="Arial" w:eastAsia="Arial" w:hAnsi="Arial" w:cs="Arial"/>
                <w:sz w:val="20"/>
                <w:szCs w:val="20"/>
              </w:rPr>
              <w:t>195</w:t>
            </w:r>
          </w:p>
        </w:tc>
      </w:tr>
      <w:tr w:rsidR="00E64B01" w14:paraId="2B779529" w14:textId="77777777">
        <w:tc>
          <w:tcPr>
            <w:tcW w:w="5800" w:type="dxa"/>
            <w:tcBorders>
              <w:top w:val="single" w:sz="4" w:space="0" w:color="9FA8DA"/>
              <w:left w:val="single" w:sz="4" w:space="0" w:color="9FA8DA"/>
              <w:bottom w:val="single" w:sz="4" w:space="0" w:color="9FA8DA"/>
              <w:right w:val="single" w:sz="4" w:space="0" w:color="9FA8DA"/>
            </w:tcBorders>
            <w:shd w:val="clear" w:color="auto" w:fill="E8EAF6"/>
            <w:tcMar>
              <w:top w:w="80" w:type="dxa"/>
              <w:left w:w="140" w:type="dxa"/>
              <w:bottom w:w="80" w:type="dxa"/>
              <w:right w:w="140" w:type="dxa"/>
            </w:tcMar>
          </w:tcPr>
          <w:p w14:paraId="44B8493C" w14:textId="77777777" w:rsidR="00E64B01" w:rsidRDefault="00000000">
            <w:r>
              <w:rPr>
                <w:rFonts w:ascii="Arial" w:eastAsia="Arial" w:hAnsi="Arial" w:cs="Arial"/>
                <w:b/>
                <w:bCs/>
                <w:sz w:val="20"/>
                <w:szCs w:val="20"/>
              </w:rPr>
              <w:t>Articles included in final review</w:t>
            </w:r>
          </w:p>
        </w:tc>
        <w:tc>
          <w:tcPr>
            <w:tcW w:w="3226" w:type="dxa"/>
            <w:tcBorders>
              <w:top w:val="single" w:sz="4" w:space="0" w:color="9FA8DA"/>
              <w:left w:val="single" w:sz="4" w:space="0" w:color="9FA8DA"/>
              <w:bottom w:val="single" w:sz="4" w:space="0" w:color="9FA8DA"/>
              <w:right w:val="single" w:sz="4" w:space="0" w:color="9FA8DA"/>
            </w:tcBorders>
            <w:shd w:val="clear" w:color="auto" w:fill="E8EAF6"/>
            <w:tcMar>
              <w:top w:w="80" w:type="dxa"/>
              <w:left w:w="140" w:type="dxa"/>
              <w:bottom w:w="80" w:type="dxa"/>
              <w:right w:w="140" w:type="dxa"/>
            </w:tcMar>
          </w:tcPr>
          <w:p w14:paraId="6CDE6939" w14:textId="288070CD" w:rsidR="00E64B01" w:rsidRDefault="00C53593">
            <w:r>
              <w:t>39</w:t>
            </w:r>
          </w:p>
        </w:tc>
      </w:tr>
    </w:tbl>
    <w:p w14:paraId="25A21DA3" w14:textId="77777777" w:rsidR="00E64B01" w:rsidRDefault="00E64B01">
      <w:pPr>
        <w:spacing w:after="160"/>
      </w:pPr>
    </w:p>
    <w:p w14:paraId="5757C497" w14:textId="77777777" w:rsidR="00E64B01" w:rsidRDefault="00000000">
      <w:pPr>
        <w:spacing w:before="120" w:after="80"/>
      </w:pPr>
      <w:r>
        <w:rPr>
          <w:rFonts w:ascii="Arial" w:eastAsia="Arial" w:hAnsi="Arial" w:cs="Arial"/>
          <w:b/>
          <w:bCs/>
          <w:color w:val="1A237E"/>
          <w:sz w:val="22"/>
          <w:szCs w:val="22"/>
        </w:rPr>
        <w:lastRenderedPageBreak/>
        <w:t>Table 2.</w:t>
      </w:r>
      <w:r>
        <w:rPr>
          <w:rFonts w:ascii="Arial" w:eastAsia="Arial" w:hAnsi="Arial" w:cs="Arial"/>
          <w:sz w:val="22"/>
          <w:szCs w:val="22"/>
        </w:rPr>
        <w:t xml:space="preserve"> Distribution of Articles Across Themes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500"/>
        <w:gridCol w:w="1763"/>
        <w:gridCol w:w="1763"/>
      </w:tblGrid>
      <w:tr w:rsidR="00E64B01" w14:paraId="265A14AC" w14:textId="77777777">
        <w:tc>
          <w:tcPr>
            <w:tcW w:w="5500" w:type="dxa"/>
            <w:tcBorders>
              <w:top w:val="single" w:sz="4" w:space="0" w:color="9FA8DA"/>
              <w:left w:val="single" w:sz="4" w:space="0" w:color="9FA8DA"/>
              <w:bottom w:val="single" w:sz="4" w:space="0" w:color="9FA8DA"/>
              <w:right w:val="single" w:sz="4" w:space="0" w:color="9FA8DA"/>
            </w:tcBorders>
            <w:shd w:val="clear" w:color="auto" w:fill="E8EAF6"/>
            <w:tcMar>
              <w:top w:w="80" w:type="dxa"/>
              <w:left w:w="140" w:type="dxa"/>
              <w:bottom w:w="80" w:type="dxa"/>
              <w:right w:w="140" w:type="dxa"/>
            </w:tcMar>
          </w:tcPr>
          <w:p w14:paraId="5D1DAE8B" w14:textId="77777777" w:rsidR="00E64B01" w:rsidRDefault="00000000">
            <w:r>
              <w:rPr>
                <w:rFonts w:ascii="Arial" w:eastAsia="Arial" w:hAnsi="Arial" w:cs="Arial"/>
                <w:b/>
                <w:bCs/>
                <w:sz w:val="20"/>
                <w:szCs w:val="20"/>
              </w:rPr>
              <w:t>Theme</w:t>
            </w:r>
          </w:p>
        </w:tc>
        <w:tc>
          <w:tcPr>
            <w:tcW w:w="1763" w:type="dxa"/>
            <w:tcBorders>
              <w:top w:val="single" w:sz="4" w:space="0" w:color="9FA8DA"/>
              <w:left w:val="single" w:sz="4" w:space="0" w:color="9FA8DA"/>
              <w:bottom w:val="single" w:sz="4" w:space="0" w:color="9FA8DA"/>
              <w:right w:val="single" w:sz="4" w:space="0" w:color="9FA8DA"/>
            </w:tcBorders>
            <w:shd w:val="clear" w:color="auto" w:fill="E8EAF6"/>
            <w:tcMar>
              <w:top w:w="80" w:type="dxa"/>
              <w:left w:w="140" w:type="dxa"/>
              <w:bottom w:w="80" w:type="dxa"/>
              <w:right w:w="140" w:type="dxa"/>
            </w:tcMar>
          </w:tcPr>
          <w:p w14:paraId="56BDF498" w14:textId="77777777" w:rsidR="00E64B01" w:rsidRDefault="00000000">
            <w:r>
              <w:rPr>
                <w:rFonts w:ascii="Arial" w:eastAsia="Arial" w:hAnsi="Arial" w:cs="Arial"/>
                <w:b/>
                <w:bCs/>
                <w:sz w:val="20"/>
                <w:szCs w:val="20"/>
              </w:rPr>
              <w:t>Articles (n)</w:t>
            </w:r>
          </w:p>
        </w:tc>
        <w:tc>
          <w:tcPr>
            <w:tcW w:w="1763" w:type="dxa"/>
            <w:tcBorders>
              <w:top w:val="single" w:sz="4" w:space="0" w:color="9FA8DA"/>
              <w:left w:val="single" w:sz="4" w:space="0" w:color="9FA8DA"/>
              <w:bottom w:val="single" w:sz="4" w:space="0" w:color="9FA8DA"/>
              <w:right w:val="single" w:sz="4" w:space="0" w:color="9FA8DA"/>
            </w:tcBorders>
            <w:shd w:val="clear" w:color="auto" w:fill="E8EAF6"/>
            <w:tcMar>
              <w:top w:w="80" w:type="dxa"/>
              <w:left w:w="140" w:type="dxa"/>
              <w:bottom w:w="80" w:type="dxa"/>
              <w:right w:w="140" w:type="dxa"/>
            </w:tcMar>
          </w:tcPr>
          <w:p w14:paraId="505D4CDA" w14:textId="77777777" w:rsidR="00E64B01" w:rsidRDefault="00000000">
            <w:r>
              <w:rPr>
                <w:rFonts w:ascii="Arial" w:eastAsia="Arial" w:hAnsi="Arial" w:cs="Arial"/>
                <w:b/>
                <w:bCs/>
                <w:sz w:val="20"/>
                <w:szCs w:val="20"/>
              </w:rPr>
              <w:t>Share (%)</w:t>
            </w:r>
          </w:p>
        </w:tc>
      </w:tr>
      <w:tr w:rsidR="00E64B01" w14:paraId="6B291629" w14:textId="77777777">
        <w:tc>
          <w:tcPr>
            <w:tcW w:w="5500" w:type="dxa"/>
            <w:tcBorders>
              <w:top w:val="single" w:sz="4" w:space="0" w:color="9FA8DA"/>
              <w:left w:val="single" w:sz="4" w:space="0" w:color="9FA8DA"/>
              <w:bottom w:val="single" w:sz="4" w:space="0" w:color="9FA8DA"/>
              <w:right w:val="single" w:sz="4" w:space="0" w:color="9FA8DA"/>
            </w:tcBorders>
            <w:tcMar>
              <w:top w:w="80" w:type="dxa"/>
              <w:left w:w="140" w:type="dxa"/>
              <w:bottom w:w="80" w:type="dxa"/>
              <w:right w:w="140" w:type="dxa"/>
            </w:tcMar>
          </w:tcPr>
          <w:p w14:paraId="68D7DD47" w14:textId="77777777" w:rsidR="00E64B01" w:rsidRDefault="00000000">
            <w:r>
              <w:rPr>
                <w:rFonts w:ascii="Arial" w:eastAsia="Arial" w:hAnsi="Arial" w:cs="Arial"/>
                <w:sz w:val="20"/>
                <w:szCs w:val="20"/>
              </w:rPr>
              <w:t>Taxonomy and origins of AI bias</w:t>
            </w:r>
          </w:p>
        </w:tc>
        <w:tc>
          <w:tcPr>
            <w:tcW w:w="1763" w:type="dxa"/>
            <w:tcBorders>
              <w:top w:val="single" w:sz="4" w:space="0" w:color="9FA8DA"/>
              <w:left w:val="single" w:sz="4" w:space="0" w:color="9FA8DA"/>
              <w:bottom w:val="single" w:sz="4" w:space="0" w:color="9FA8DA"/>
              <w:right w:val="single" w:sz="4" w:space="0" w:color="9FA8DA"/>
            </w:tcBorders>
            <w:tcMar>
              <w:top w:w="80" w:type="dxa"/>
              <w:left w:w="140" w:type="dxa"/>
              <w:bottom w:w="80" w:type="dxa"/>
              <w:right w:w="140" w:type="dxa"/>
            </w:tcMar>
          </w:tcPr>
          <w:p w14:paraId="3C50E1FB" w14:textId="77777777" w:rsidR="00E64B01" w:rsidRDefault="00000000">
            <w:r>
              <w:rPr>
                <w:rFonts w:ascii="Arial" w:eastAsia="Arial" w:hAnsi="Arial" w:cs="Arial"/>
                <w:sz w:val="20"/>
                <w:szCs w:val="20"/>
              </w:rPr>
              <w:t>15</w:t>
            </w:r>
          </w:p>
        </w:tc>
        <w:tc>
          <w:tcPr>
            <w:tcW w:w="1763" w:type="dxa"/>
            <w:tcBorders>
              <w:top w:val="single" w:sz="4" w:space="0" w:color="9FA8DA"/>
              <w:left w:val="single" w:sz="4" w:space="0" w:color="9FA8DA"/>
              <w:bottom w:val="single" w:sz="4" w:space="0" w:color="9FA8DA"/>
              <w:right w:val="single" w:sz="4" w:space="0" w:color="9FA8DA"/>
            </w:tcBorders>
            <w:tcMar>
              <w:top w:w="80" w:type="dxa"/>
              <w:left w:w="140" w:type="dxa"/>
              <w:bottom w:w="80" w:type="dxa"/>
              <w:right w:w="140" w:type="dxa"/>
            </w:tcMar>
          </w:tcPr>
          <w:p w14:paraId="05FA3753" w14:textId="77777777" w:rsidR="00E64B01" w:rsidRDefault="00000000">
            <w:r>
              <w:rPr>
                <w:rFonts w:ascii="Arial" w:eastAsia="Arial" w:hAnsi="Arial" w:cs="Arial"/>
                <w:sz w:val="20"/>
                <w:szCs w:val="20"/>
              </w:rPr>
              <w:t>18.8%</w:t>
            </w:r>
          </w:p>
        </w:tc>
      </w:tr>
      <w:tr w:rsidR="00E64B01" w14:paraId="66207055" w14:textId="77777777">
        <w:tc>
          <w:tcPr>
            <w:tcW w:w="5500" w:type="dxa"/>
            <w:tcBorders>
              <w:top w:val="single" w:sz="4" w:space="0" w:color="9FA8DA"/>
              <w:left w:val="single" w:sz="4" w:space="0" w:color="9FA8DA"/>
              <w:bottom w:val="single" w:sz="4" w:space="0" w:color="9FA8DA"/>
              <w:right w:val="single" w:sz="4" w:space="0" w:color="9FA8DA"/>
            </w:tcBorders>
            <w:shd w:val="clear" w:color="auto" w:fill="F3F4FB"/>
            <w:tcMar>
              <w:top w:w="80" w:type="dxa"/>
              <w:left w:w="140" w:type="dxa"/>
              <w:bottom w:w="80" w:type="dxa"/>
              <w:right w:w="140" w:type="dxa"/>
            </w:tcMar>
          </w:tcPr>
          <w:p w14:paraId="224406C7" w14:textId="77777777" w:rsidR="00E64B01" w:rsidRDefault="00000000">
            <w:r>
              <w:rPr>
                <w:rFonts w:ascii="Arial" w:eastAsia="Arial" w:hAnsi="Arial" w:cs="Arial"/>
                <w:sz w:val="20"/>
                <w:szCs w:val="20"/>
              </w:rPr>
              <w:t>AI bias in opportunity recognition and decision-making</w:t>
            </w:r>
          </w:p>
        </w:tc>
        <w:tc>
          <w:tcPr>
            <w:tcW w:w="1763" w:type="dxa"/>
            <w:tcBorders>
              <w:top w:val="single" w:sz="4" w:space="0" w:color="9FA8DA"/>
              <w:left w:val="single" w:sz="4" w:space="0" w:color="9FA8DA"/>
              <w:bottom w:val="single" w:sz="4" w:space="0" w:color="9FA8DA"/>
              <w:right w:val="single" w:sz="4" w:space="0" w:color="9FA8DA"/>
            </w:tcBorders>
            <w:shd w:val="clear" w:color="auto" w:fill="F3F4FB"/>
            <w:tcMar>
              <w:top w:w="80" w:type="dxa"/>
              <w:left w:w="140" w:type="dxa"/>
              <w:bottom w:w="80" w:type="dxa"/>
              <w:right w:w="140" w:type="dxa"/>
            </w:tcMar>
          </w:tcPr>
          <w:p w14:paraId="26C4B8B7" w14:textId="77777777" w:rsidR="00E64B01" w:rsidRDefault="00000000">
            <w:r>
              <w:rPr>
                <w:rFonts w:ascii="Arial" w:eastAsia="Arial" w:hAnsi="Arial" w:cs="Arial"/>
                <w:sz w:val="20"/>
                <w:szCs w:val="20"/>
              </w:rPr>
              <w:t>14</w:t>
            </w:r>
          </w:p>
        </w:tc>
        <w:tc>
          <w:tcPr>
            <w:tcW w:w="1763" w:type="dxa"/>
            <w:tcBorders>
              <w:top w:val="single" w:sz="4" w:space="0" w:color="9FA8DA"/>
              <w:left w:val="single" w:sz="4" w:space="0" w:color="9FA8DA"/>
              <w:bottom w:val="single" w:sz="4" w:space="0" w:color="9FA8DA"/>
              <w:right w:val="single" w:sz="4" w:space="0" w:color="9FA8DA"/>
            </w:tcBorders>
            <w:shd w:val="clear" w:color="auto" w:fill="F3F4FB"/>
            <w:tcMar>
              <w:top w:w="80" w:type="dxa"/>
              <w:left w:w="140" w:type="dxa"/>
              <w:bottom w:w="80" w:type="dxa"/>
              <w:right w:w="140" w:type="dxa"/>
            </w:tcMar>
          </w:tcPr>
          <w:p w14:paraId="63EF15B3" w14:textId="77777777" w:rsidR="00E64B01" w:rsidRDefault="00000000">
            <w:r>
              <w:rPr>
                <w:rFonts w:ascii="Arial" w:eastAsia="Arial" w:hAnsi="Arial" w:cs="Arial"/>
                <w:sz w:val="20"/>
                <w:szCs w:val="20"/>
              </w:rPr>
              <w:t>17.5%</w:t>
            </w:r>
          </w:p>
        </w:tc>
      </w:tr>
      <w:tr w:rsidR="00E64B01" w14:paraId="63CB30AD" w14:textId="77777777">
        <w:tc>
          <w:tcPr>
            <w:tcW w:w="5500" w:type="dxa"/>
            <w:tcBorders>
              <w:top w:val="single" w:sz="4" w:space="0" w:color="9FA8DA"/>
              <w:left w:val="single" w:sz="4" w:space="0" w:color="9FA8DA"/>
              <w:bottom w:val="single" w:sz="4" w:space="0" w:color="9FA8DA"/>
              <w:right w:val="single" w:sz="4" w:space="0" w:color="9FA8DA"/>
            </w:tcBorders>
            <w:tcMar>
              <w:top w:w="80" w:type="dxa"/>
              <w:left w:w="140" w:type="dxa"/>
              <w:bottom w:w="80" w:type="dxa"/>
              <w:right w:w="140" w:type="dxa"/>
            </w:tcMar>
          </w:tcPr>
          <w:p w14:paraId="058253D6" w14:textId="77777777" w:rsidR="00E64B01" w:rsidRDefault="00000000">
            <w:r>
              <w:rPr>
                <w:rFonts w:ascii="Arial" w:eastAsia="Arial" w:hAnsi="Arial" w:cs="Arial"/>
                <w:sz w:val="20"/>
                <w:szCs w:val="20"/>
              </w:rPr>
              <w:t>AI bias in financing and resource acquisition</w:t>
            </w:r>
          </w:p>
        </w:tc>
        <w:tc>
          <w:tcPr>
            <w:tcW w:w="1763" w:type="dxa"/>
            <w:tcBorders>
              <w:top w:val="single" w:sz="4" w:space="0" w:color="9FA8DA"/>
              <w:left w:val="single" w:sz="4" w:space="0" w:color="9FA8DA"/>
              <w:bottom w:val="single" w:sz="4" w:space="0" w:color="9FA8DA"/>
              <w:right w:val="single" w:sz="4" w:space="0" w:color="9FA8DA"/>
            </w:tcBorders>
            <w:tcMar>
              <w:top w:w="80" w:type="dxa"/>
              <w:left w:w="140" w:type="dxa"/>
              <w:bottom w:w="80" w:type="dxa"/>
              <w:right w:w="140" w:type="dxa"/>
            </w:tcMar>
          </w:tcPr>
          <w:p w14:paraId="73D6DBE1" w14:textId="77777777" w:rsidR="00E64B01" w:rsidRDefault="00000000">
            <w:r>
              <w:rPr>
                <w:rFonts w:ascii="Arial" w:eastAsia="Arial" w:hAnsi="Arial" w:cs="Arial"/>
                <w:sz w:val="20"/>
                <w:szCs w:val="20"/>
              </w:rPr>
              <w:t>13</w:t>
            </w:r>
          </w:p>
        </w:tc>
        <w:tc>
          <w:tcPr>
            <w:tcW w:w="1763" w:type="dxa"/>
            <w:tcBorders>
              <w:top w:val="single" w:sz="4" w:space="0" w:color="9FA8DA"/>
              <w:left w:val="single" w:sz="4" w:space="0" w:color="9FA8DA"/>
              <w:bottom w:val="single" w:sz="4" w:space="0" w:color="9FA8DA"/>
              <w:right w:val="single" w:sz="4" w:space="0" w:color="9FA8DA"/>
            </w:tcBorders>
            <w:tcMar>
              <w:top w:w="80" w:type="dxa"/>
              <w:left w:w="140" w:type="dxa"/>
              <w:bottom w:w="80" w:type="dxa"/>
              <w:right w:w="140" w:type="dxa"/>
            </w:tcMar>
          </w:tcPr>
          <w:p w14:paraId="14BE4E36" w14:textId="77777777" w:rsidR="00E64B01" w:rsidRDefault="00000000">
            <w:r>
              <w:rPr>
                <w:rFonts w:ascii="Arial" w:eastAsia="Arial" w:hAnsi="Arial" w:cs="Arial"/>
                <w:sz w:val="20"/>
                <w:szCs w:val="20"/>
              </w:rPr>
              <w:t>16.3%</w:t>
            </w:r>
          </w:p>
        </w:tc>
      </w:tr>
      <w:tr w:rsidR="00E64B01" w14:paraId="2529F80B" w14:textId="77777777">
        <w:tc>
          <w:tcPr>
            <w:tcW w:w="5500" w:type="dxa"/>
            <w:tcBorders>
              <w:top w:val="single" w:sz="4" w:space="0" w:color="9FA8DA"/>
              <w:left w:val="single" w:sz="4" w:space="0" w:color="9FA8DA"/>
              <w:bottom w:val="single" w:sz="4" w:space="0" w:color="9FA8DA"/>
              <w:right w:val="single" w:sz="4" w:space="0" w:color="9FA8DA"/>
            </w:tcBorders>
            <w:shd w:val="clear" w:color="auto" w:fill="F3F4FB"/>
            <w:tcMar>
              <w:top w:w="80" w:type="dxa"/>
              <w:left w:w="140" w:type="dxa"/>
              <w:bottom w:w="80" w:type="dxa"/>
              <w:right w:w="140" w:type="dxa"/>
            </w:tcMar>
          </w:tcPr>
          <w:p w14:paraId="05174C7F" w14:textId="77777777" w:rsidR="00E64B01" w:rsidRDefault="00000000">
            <w:r>
              <w:rPr>
                <w:rFonts w:ascii="Arial" w:eastAsia="Arial" w:hAnsi="Arial" w:cs="Arial"/>
                <w:sz w:val="20"/>
                <w:szCs w:val="20"/>
              </w:rPr>
              <w:t>AI bias in sector-specific innovation (healthcare, HR)</w:t>
            </w:r>
          </w:p>
        </w:tc>
        <w:tc>
          <w:tcPr>
            <w:tcW w:w="1763" w:type="dxa"/>
            <w:tcBorders>
              <w:top w:val="single" w:sz="4" w:space="0" w:color="9FA8DA"/>
              <w:left w:val="single" w:sz="4" w:space="0" w:color="9FA8DA"/>
              <w:bottom w:val="single" w:sz="4" w:space="0" w:color="9FA8DA"/>
              <w:right w:val="single" w:sz="4" w:space="0" w:color="9FA8DA"/>
            </w:tcBorders>
            <w:shd w:val="clear" w:color="auto" w:fill="F3F4FB"/>
            <w:tcMar>
              <w:top w:w="80" w:type="dxa"/>
              <w:left w:w="140" w:type="dxa"/>
              <w:bottom w:w="80" w:type="dxa"/>
              <w:right w:w="140" w:type="dxa"/>
            </w:tcMar>
          </w:tcPr>
          <w:p w14:paraId="69DE49F9" w14:textId="77777777" w:rsidR="00E64B01" w:rsidRDefault="00000000">
            <w:r>
              <w:rPr>
                <w:rFonts w:ascii="Arial" w:eastAsia="Arial" w:hAnsi="Arial" w:cs="Arial"/>
                <w:sz w:val="20"/>
                <w:szCs w:val="20"/>
              </w:rPr>
              <w:t>13</w:t>
            </w:r>
          </w:p>
        </w:tc>
        <w:tc>
          <w:tcPr>
            <w:tcW w:w="1763" w:type="dxa"/>
            <w:tcBorders>
              <w:top w:val="single" w:sz="4" w:space="0" w:color="9FA8DA"/>
              <w:left w:val="single" w:sz="4" w:space="0" w:color="9FA8DA"/>
              <w:bottom w:val="single" w:sz="4" w:space="0" w:color="9FA8DA"/>
              <w:right w:val="single" w:sz="4" w:space="0" w:color="9FA8DA"/>
            </w:tcBorders>
            <w:shd w:val="clear" w:color="auto" w:fill="F3F4FB"/>
            <w:tcMar>
              <w:top w:w="80" w:type="dxa"/>
              <w:left w:w="140" w:type="dxa"/>
              <w:bottom w:w="80" w:type="dxa"/>
              <w:right w:w="140" w:type="dxa"/>
            </w:tcMar>
          </w:tcPr>
          <w:p w14:paraId="0FC8CB3F" w14:textId="77777777" w:rsidR="00E64B01" w:rsidRDefault="00000000">
            <w:r>
              <w:rPr>
                <w:rFonts w:ascii="Arial" w:eastAsia="Arial" w:hAnsi="Arial" w:cs="Arial"/>
                <w:sz w:val="20"/>
                <w:szCs w:val="20"/>
              </w:rPr>
              <w:t>16.3%</w:t>
            </w:r>
          </w:p>
        </w:tc>
      </w:tr>
      <w:tr w:rsidR="00E64B01" w14:paraId="49898A77" w14:textId="77777777">
        <w:tc>
          <w:tcPr>
            <w:tcW w:w="5500" w:type="dxa"/>
            <w:tcBorders>
              <w:top w:val="single" w:sz="4" w:space="0" w:color="9FA8DA"/>
              <w:left w:val="single" w:sz="4" w:space="0" w:color="9FA8DA"/>
              <w:bottom w:val="single" w:sz="4" w:space="0" w:color="9FA8DA"/>
              <w:right w:val="single" w:sz="4" w:space="0" w:color="9FA8DA"/>
            </w:tcBorders>
            <w:tcMar>
              <w:top w:w="80" w:type="dxa"/>
              <w:left w:w="140" w:type="dxa"/>
              <w:bottom w:w="80" w:type="dxa"/>
              <w:right w:w="140" w:type="dxa"/>
            </w:tcMar>
          </w:tcPr>
          <w:p w14:paraId="561D94C3" w14:textId="77777777" w:rsidR="00E64B01" w:rsidRDefault="00000000">
            <w:r>
              <w:rPr>
                <w:rFonts w:ascii="Arial" w:eastAsia="Arial" w:hAnsi="Arial" w:cs="Arial"/>
                <w:sz w:val="20"/>
                <w:szCs w:val="20"/>
              </w:rPr>
              <w:t>Regulatory landscape and entrepreneurial implications</w:t>
            </w:r>
          </w:p>
        </w:tc>
        <w:tc>
          <w:tcPr>
            <w:tcW w:w="1763" w:type="dxa"/>
            <w:tcBorders>
              <w:top w:val="single" w:sz="4" w:space="0" w:color="9FA8DA"/>
              <w:left w:val="single" w:sz="4" w:space="0" w:color="9FA8DA"/>
              <w:bottom w:val="single" w:sz="4" w:space="0" w:color="9FA8DA"/>
              <w:right w:val="single" w:sz="4" w:space="0" w:color="9FA8DA"/>
            </w:tcBorders>
            <w:tcMar>
              <w:top w:w="80" w:type="dxa"/>
              <w:left w:w="140" w:type="dxa"/>
              <w:bottom w:w="80" w:type="dxa"/>
              <w:right w:w="140" w:type="dxa"/>
            </w:tcMar>
          </w:tcPr>
          <w:p w14:paraId="47E0E3B7" w14:textId="77777777" w:rsidR="00E64B01" w:rsidRDefault="00000000">
            <w:r>
              <w:rPr>
                <w:rFonts w:ascii="Arial" w:eastAsia="Arial" w:hAnsi="Arial" w:cs="Arial"/>
                <w:sz w:val="20"/>
                <w:szCs w:val="20"/>
              </w:rPr>
              <w:t>10</w:t>
            </w:r>
          </w:p>
        </w:tc>
        <w:tc>
          <w:tcPr>
            <w:tcW w:w="1763" w:type="dxa"/>
            <w:tcBorders>
              <w:top w:val="single" w:sz="4" w:space="0" w:color="9FA8DA"/>
              <w:left w:val="single" w:sz="4" w:space="0" w:color="9FA8DA"/>
              <w:bottom w:val="single" w:sz="4" w:space="0" w:color="9FA8DA"/>
              <w:right w:val="single" w:sz="4" w:space="0" w:color="9FA8DA"/>
            </w:tcBorders>
            <w:tcMar>
              <w:top w:w="80" w:type="dxa"/>
              <w:left w:w="140" w:type="dxa"/>
              <w:bottom w:w="80" w:type="dxa"/>
              <w:right w:w="140" w:type="dxa"/>
            </w:tcMar>
          </w:tcPr>
          <w:p w14:paraId="198CCC62" w14:textId="77777777" w:rsidR="00E64B01" w:rsidRDefault="00000000">
            <w:r>
              <w:rPr>
                <w:rFonts w:ascii="Arial" w:eastAsia="Arial" w:hAnsi="Arial" w:cs="Arial"/>
                <w:sz w:val="20"/>
                <w:szCs w:val="20"/>
              </w:rPr>
              <w:t>12.5%</w:t>
            </w:r>
          </w:p>
        </w:tc>
      </w:tr>
      <w:tr w:rsidR="00E64B01" w14:paraId="37B5FA1D" w14:textId="77777777">
        <w:tc>
          <w:tcPr>
            <w:tcW w:w="5500" w:type="dxa"/>
            <w:tcBorders>
              <w:top w:val="single" w:sz="4" w:space="0" w:color="9FA8DA"/>
              <w:left w:val="single" w:sz="4" w:space="0" w:color="9FA8DA"/>
              <w:bottom w:val="single" w:sz="4" w:space="0" w:color="9FA8DA"/>
              <w:right w:val="single" w:sz="4" w:space="0" w:color="9FA8DA"/>
            </w:tcBorders>
            <w:shd w:val="clear" w:color="auto" w:fill="F3F4FB"/>
            <w:tcMar>
              <w:top w:w="80" w:type="dxa"/>
              <w:left w:w="140" w:type="dxa"/>
              <w:bottom w:w="80" w:type="dxa"/>
              <w:right w:w="140" w:type="dxa"/>
            </w:tcMar>
          </w:tcPr>
          <w:p w14:paraId="3C91E048" w14:textId="77777777" w:rsidR="00E64B01" w:rsidRDefault="00000000">
            <w:r>
              <w:rPr>
                <w:rFonts w:ascii="Arial" w:eastAsia="Arial" w:hAnsi="Arial" w:cs="Arial"/>
                <w:sz w:val="20"/>
                <w:szCs w:val="20"/>
              </w:rPr>
              <w:t>Entrepreneurial opportunities from bias mitigation</w:t>
            </w:r>
          </w:p>
        </w:tc>
        <w:tc>
          <w:tcPr>
            <w:tcW w:w="1763" w:type="dxa"/>
            <w:tcBorders>
              <w:top w:val="single" w:sz="4" w:space="0" w:color="9FA8DA"/>
              <w:left w:val="single" w:sz="4" w:space="0" w:color="9FA8DA"/>
              <w:bottom w:val="single" w:sz="4" w:space="0" w:color="9FA8DA"/>
              <w:right w:val="single" w:sz="4" w:space="0" w:color="9FA8DA"/>
            </w:tcBorders>
            <w:shd w:val="clear" w:color="auto" w:fill="F3F4FB"/>
            <w:tcMar>
              <w:top w:w="80" w:type="dxa"/>
              <w:left w:w="140" w:type="dxa"/>
              <w:bottom w:w="80" w:type="dxa"/>
              <w:right w:w="140" w:type="dxa"/>
            </w:tcMar>
          </w:tcPr>
          <w:p w14:paraId="4355F6F5" w14:textId="77777777" w:rsidR="00E64B01" w:rsidRDefault="00000000">
            <w:r>
              <w:rPr>
                <w:rFonts w:ascii="Arial" w:eastAsia="Arial" w:hAnsi="Arial" w:cs="Arial"/>
                <w:sz w:val="20"/>
                <w:szCs w:val="20"/>
              </w:rPr>
              <w:t>9</w:t>
            </w:r>
          </w:p>
        </w:tc>
        <w:tc>
          <w:tcPr>
            <w:tcW w:w="1763" w:type="dxa"/>
            <w:tcBorders>
              <w:top w:val="single" w:sz="4" w:space="0" w:color="9FA8DA"/>
              <w:left w:val="single" w:sz="4" w:space="0" w:color="9FA8DA"/>
              <w:bottom w:val="single" w:sz="4" w:space="0" w:color="9FA8DA"/>
              <w:right w:val="single" w:sz="4" w:space="0" w:color="9FA8DA"/>
            </w:tcBorders>
            <w:shd w:val="clear" w:color="auto" w:fill="F3F4FB"/>
            <w:tcMar>
              <w:top w:w="80" w:type="dxa"/>
              <w:left w:w="140" w:type="dxa"/>
              <w:bottom w:w="80" w:type="dxa"/>
              <w:right w:w="140" w:type="dxa"/>
            </w:tcMar>
          </w:tcPr>
          <w:p w14:paraId="53EFF5CF" w14:textId="77777777" w:rsidR="00E64B01" w:rsidRDefault="00000000">
            <w:r>
              <w:rPr>
                <w:rFonts w:ascii="Arial" w:eastAsia="Arial" w:hAnsi="Arial" w:cs="Arial"/>
                <w:sz w:val="20"/>
                <w:szCs w:val="20"/>
              </w:rPr>
              <w:t>11.3%</w:t>
            </w:r>
          </w:p>
        </w:tc>
      </w:tr>
      <w:tr w:rsidR="00E64B01" w14:paraId="41D90146" w14:textId="77777777">
        <w:tc>
          <w:tcPr>
            <w:tcW w:w="5500" w:type="dxa"/>
            <w:tcBorders>
              <w:top w:val="single" w:sz="4" w:space="0" w:color="9FA8DA"/>
              <w:left w:val="single" w:sz="4" w:space="0" w:color="9FA8DA"/>
              <w:bottom w:val="single" w:sz="4" w:space="0" w:color="9FA8DA"/>
              <w:right w:val="single" w:sz="4" w:space="0" w:color="9FA8DA"/>
            </w:tcBorders>
            <w:tcMar>
              <w:top w:w="80" w:type="dxa"/>
              <w:left w:w="140" w:type="dxa"/>
              <w:bottom w:w="80" w:type="dxa"/>
              <w:right w:w="140" w:type="dxa"/>
            </w:tcMar>
          </w:tcPr>
          <w:p w14:paraId="5B49044C" w14:textId="77777777" w:rsidR="00E64B01" w:rsidRDefault="00000000">
            <w:r>
              <w:rPr>
                <w:rFonts w:ascii="Arial" w:eastAsia="Arial" w:hAnsi="Arial" w:cs="Arial"/>
                <w:sz w:val="20"/>
                <w:szCs w:val="20"/>
              </w:rPr>
              <w:t>Responsible AI adoption in entrepreneurial firms</w:t>
            </w:r>
          </w:p>
        </w:tc>
        <w:tc>
          <w:tcPr>
            <w:tcW w:w="1763" w:type="dxa"/>
            <w:tcBorders>
              <w:top w:val="single" w:sz="4" w:space="0" w:color="9FA8DA"/>
              <w:left w:val="single" w:sz="4" w:space="0" w:color="9FA8DA"/>
              <w:bottom w:val="single" w:sz="4" w:space="0" w:color="9FA8DA"/>
              <w:right w:val="single" w:sz="4" w:space="0" w:color="9FA8DA"/>
            </w:tcBorders>
            <w:tcMar>
              <w:top w:w="80" w:type="dxa"/>
              <w:left w:w="140" w:type="dxa"/>
              <w:bottom w:w="80" w:type="dxa"/>
              <w:right w:w="140" w:type="dxa"/>
            </w:tcMar>
          </w:tcPr>
          <w:p w14:paraId="1B36C8AE" w14:textId="77777777" w:rsidR="00E64B01" w:rsidRDefault="00000000">
            <w:r>
              <w:rPr>
                <w:rFonts w:ascii="Arial" w:eastAsia="Arial" w:hAnsi="Arial" w:cs="Arial"/>
                <w:sz w:val="20"/>
                <w:szCs w:val="20"/>
              </w:rPr>
              <w:t>6</w:t>
            </w:r>
          </w:p>
        </w:tc>
        <w:tc>
          <w:tcPr>
            <w:tcW w:w="1763" w:type="dxa"/>
            <w:tcBorders>
              <w:top w:val="single" w:sz="4" w:space="0" w:color="9FA8DA"/>
              <w:left w:val="single" w:sz="4" w:space="0" w:color="9FA8DA"/>
              <w:bottom w:val="single" w:sz="4" w:space="0" w:color="9FA8DA"/>
              <w:right w:val="single" w:sz="4" w:space="0" w:color="9FA8DA"/>
            </w:tcBorders>
            <w:tcMar>
              <w:top w:w="80" w:type="dxa"/>
              <w:left w:w="140" w:type="dxa"/>
              <w:bottom w:w="80" w:type="dxa"/>
              <w:right w:w="140" w:type="dxa"/>
            </w:tcMar>
          </w:tcPr>
          <w:p w14:paraId="1FBD725C" w14:textId="77777777" w:rsidR="00E64B01" w:rsidRDefault="00000000">
            <w:r>
              <w:rPr>
                <w:rFonts w:ascii="Arial" w:eastAsia="Arial" w:hAnsi="Arial" w:cs="Arial"/>
                <w:sz w:val="20"/>
                <w:szCs w:val="20"/>
              </w:rPr>
              <w:t>7.5%</w:t>
            </w:r>
          </w:p>
        </w:tc>
      </w:tr>
    </w:tbl>
    <w:p w14:paraId="3D12A9B4" w14:textId="77777777" w:rsidR="00E64B01" w:rsidRDefault="00E64B01">
      <w:pPr>
        <w:spacing w:after="240"/>
      </w:pPr>
    </w:p>
    <w:p w14:paraId="10053EFA" w14:textId="77777777" w:rsidR="00E64B01" w:rsidRDefault="00000000">
      <w:pPr>
        <w:spacing w:before="320" w:after="100"/>
      </w:pPr>
      <w:r>
        <w:rPr>
          <w:rFonts w:ascii="Arial" w:eastAsia="Arial" w:hAnsi="Arial" w:cs="Arial"/>
          <w:b/>
          <w:bCs/>
          <w:color w:val="1A237E"/>
          <w:sz w:val="26"/>
          <w:szCs w:val="26"/>
        </w:rPr>
        <w:t>3. Results</w:t>
      </w:r>
    </w:p>
    <w:p w14:paraId="344DB578" w14:textId="77777777" w:rsidR="00E64B01" w:rsidRDefault="00E64B01">
      <w:pPr>
        <w:pBdr>
          <w:bottom w:val="single" w:sz="6" w:space="1" w:color="3949AB"/>
        </w:pBdr>
        <w:spacing w:after="100"/>
      </w:pPr>
    </w:p>
    <w:p w14:paraId="24377C5C" w14:textId="77777777" w:rsidR="00E64B01" w:rsidRDefault="00000000">
      <w:pPr>
        <w:spacing w:before="240" w:after="80"/>
      </w:pPr>
      <w:r>
        <w:rPr>
          <w:rFonts w:ascii="Arial" w:eastAsia="Arial" w:hAnsi="Arial" w:cs="Arial"/>
          <w:b/>
          <w:bCs/>
          <w:i/>
          <w:iCs/>
          <w:color w:val="3949AB"/>
        </w:rPr>
        <w:t>3.1 Taxonomy and Origins of AI Bias: A Framework for Entrepreneurial Contexts</w:t>
      </w:r>
    </w:p>
    <w:p w14:paraId="7FAA9EFF" w14:textId="77777777" w:rsidR="00E64B01" w:rsidRDefault="00000000">
      <w:pPr>
        <w:spacing w:after="160" w:line="360" w:lineRule="auto"/>
        <w:ind w:firstLine="720"/>
        <w:jc w:val="both"/>
      </w:pPr>
      <w:r>
        <w:t>The foundational conceptual contribution within the reviewed literature is Mehrabi et al.'s (2021) comprehensive taxonomy of bias in machine learning, which has become the most widely cited definitional framework in the field. Mehrabi and colleagues identify over 23 distinct types of bias, which they organise into three broad categories corresponding to the stages of the AI development pipeline at which bias can be introduced: data collection and preparation bias, model and algorithm design bias, and deployment and user interaction bias. This tripartite taxonomy — subsequently extended and refined by Nishant et al. (2024) in the context of AI-driven business models — provides the analytical architecture through which the entrepreneurship literature has begun to examine how bias operates in commercial AI applications.</w:t>
      </w:r>
    </w:p>
    <w:p w14:paraId="4FA2AB13" w14:textId="77777777" w:rsidR="00E64B01" w:rsidRDefault="00000000">
      <w:pPr>
        <w:spacing w:after="160" w:line="360" w:lineRule="auto"/>
        <w:ind w:firstLine="720"/>
        <w:jc w:val="both"/>
      </w:pPr>
      <w:r>
        <w:t xml:space="preserve">Data bias, the most extensively documented category, arises when the datasets used to train AI models are unrepresentative, historically skewed, or structurally incomplete with respect to the populations the model will affect. Sample bias occurs when certain demographic groups are underrepresented in training data; labelling bias occurs when human annotators who classify training examples project their own cultural assumptions and prejudices into the labels they assign; and proxy bias occurs when variables that appear neutral — postal code, educational institution, browsing history — serve as proxies for protected characteristics including race, gender, and socioeconomic status (EBSCO Research Starters, 2025; All About AI, 2025; Ceccon et al., 2025). For entrepreneurship, data bias is particularly consequential </w:t>
      </w:r>
      <w:r>
        <w:lastRenderedPageBreak/>
        <w:t>because the historical datasets on which AI entrepreneurial tools are trained reflect decades of discriminatory market outcomes: credit was systematically denied to women and minorities, venture capital was overwhelmingly directed toward white male founders, and hiring algorithms were trained on workforces already stratified by race and gender. AI systems trained on these histories do not merely reflect past discrimination — they systematise it into future decisions at a speed and scale that makes human correction increasingly difficult.</w:t>
      </w:r>
    </w:p>
    <w:p w14:paraId="2E89DD48" w14:textId="77777777" w:rsidR="00E64B01" w:rsidRDefault="00000000">
      <w:pPr>
        <w:spacing w:after="160" w:line="360" w:lineRule="auto"/>
        <w:ind w:firstLine="720"/>
        <w:jc w:val="both"/>
      </w:pPr>
      <w:r>
        <w:t>Algorithmic bias, the second category, arises from choices in model architecture, objective function design, and feature selection that embed particular conceptions of fairness or performance that may not be universally applicable. The algorithmic amplification problem — whereby models trained to maximise accuracy on majority populations perform significantly worse on minority populations — is one of the most robustly documented phenomena in the fairness literature (Baker and Hawn, 2022). Crucially, accuracy maximisation at the aggregate level can conceal discriminatory treatment at the subgroup level: a model can achieve technically impressive overall performance while systematically disadvantaging specific communities. For entrepreneurs building AI-driven products, algorithmic bias creates product liability risk, regulatory exposure, and reputational vulnerability that can be fatal to nascent ventures before they achieve commercial scale.</w:t>
      </w:r>
    </w:p>
    <w:p w14:paraId="79FAE3C7" w14:textId="77777777" w:rsidR="00E64B01" w:rsidRDefault="00000000">
      <w:pPr>
        <w:spacing w:after="160" w:line="360" w:lineRule="auto"/>
        <w:ind w:firstLine="720"/>
        <w:jc w:val="both"/>
      </w:pPr>
      <w:r>
        <w:t>User interaction bias, the third and most recently theorised category, arises from the ways in which users prompt, query, and interpret AI systems. A 2024 University of Massachusetts study cited by All About AI (2025) found that GPT-4 was significantly more likely to comply with unethical prompts when those prompts were phrased politely, suggesting that the conversational dynamics of human-AI interaction introduce non-deterministic bias into AI outputs in ways that are not captured by conventional algorithmic testing. For entrepreneurs who deploy AI tools for customer service, marketing, or human resources, user interaction bias creates the disconcerting possibility that their AI systems' outputs are partly determined by the social dynamics of user-AI conversation rather than by the technical properties of the model itself — a dimension of AI risk that existing risk management frameworks are poorly equipped to address.</w:t>
      </w:r>
    </w:p>
    <w:p w14:paraId="29013438" w14:textId="77777777" w:rsidR="00E64B01" w:rsidRDefault="00000000">
      <w:pPr>
        <w:spacing w:before="240" w:after="80"/>
      </w:pPr>
      <w:r>
        <w:rPr>
          <w:rFonts w:ascii="Arial" w:eastAsia="Arial" w:hAnsi="Arial" w:cs="Arial"/>
          <w:b/>
          <w:bCs/>
          <w:i/>
          <w:iCs/>
          <w:color w:val="3949AB"/>
        </w:rPr>
        <w:t>3.2 AI Bias in Entrepreneurial Opportunity Recognition and Decision-Making</w:t>
      </w:r>
    </w:p>
    <w:p w14:paraId="2E3D039D" w14:textId="77777777" w:rsidR="00E64B01" w:rsidRDefault="00000000">
      <w:pPr>
        <w:spacing w:after="160" w:line="360" w:lineRule="auto"/>
        <w:ind w:firstLine="720"/>
        <w:jc w:val="both"/>
      </w:pPr>
      <w:r>
        <w:t xml:space="preserve">The literature on AI and opportunity recognition — one of the foundational constructs of entrepreneurship theory — reveals a paradoxical dynamic: AI demonstrably enhances the quantity and analytical depth of opportunity identification while simultaneously introducing </w:t>
      </w:r>
      <w:r>
        <w:lastRenderedPageBreak/>
        <w:t>systematic biases that narrow the novelty and diversity of the opportunities recognised. ScienceDirect's (2025) analysis of entrepreneurial decision-making in the age of AI, employing dual-process theory, found that AI increases the number of opportunities recognised and enhances contextual understanding of those opportunities, but simultaneously reduces novelty in recognition and innovation in exploitation. Critically, these effects were moderated by prior sector knowledge: entrepreneurs who combined AI analysis with deep domain expertise achieved the most balanced outcomes, while those who relied heavily on AI without domain grounding lost the creative dimension that distinguishes entrepreneurial opportunity recognition from analytical pattern-matching.</w:t>
      </w:r>
    </w:p>
    <w:p w14:paraId="75C06B82" w14:textId="77777777" w:rsidR="00E64B01" w:rsidRDefault="00000000">
      <w:pPr>
        <w:spacing w:after="160" w:line="360" w:lineRule="auto"/>
        <w:ind w:firstLine="720"/>
        <w:jc w:val="both"/>
      </w:pPr>
      <w:r>
        <w:t xml:space="preserve">The bias mechanism in opportunity recognition operates through what the literature describes as anchoring and confirmation dynamics. AI systems trained on historical entrepreneurial success patterns — which tend to reflect the opportunities pursued by already-dominant demographic groups in already-developed markets — tend to score highest those opportunities that most closely resemble historical successes. This creates a systematic bias against novel, frontier, or minority-community-serving opportunities, which by definition have fewer historical analogues in training data (IZA Discussion Paper, 2024; Jeremiah, 2024). The entrepreneurial consequence is a homogenisation of AI-identified opportunities toward the centre of the distribution — well-understood markets, established business models, and familiar customer profiles — precisely the opportunities most subject to competitive imitation and least likely to generate the </w:t>
      </w:r>
      <w:proofErr w:type="spellStart"/>
      <w:r>
        <w:t>schumpeterian</w:t>
      </w:r>
      <w:proofErr w:type="spellEnd"/>
      <w:r>
        <w:t xml:space="preserve"> value creation that radical entrepreneurship produces.</w:t>
      </w:r>
    </w:p>
    <w:p w14:paraId="71E95362" w14:textId="77777777" w:rsidR="00E64B01" w:rsidRDefault="00000000">
      <w:pPr>
        <w:spacing w:after="160" w:line="360" w:lineRule="auto"/>
        <w:ind w:firstLine="720"/>
        <w:jc w:val="both"/>
      </w:pPr>
      <w:r>
        <w:t>Confirmation bias is amplified when AI tools are used for idea generation in team settings. The IZA (2024) analysis of AI's role in entrepreneurial environments notes that generative AI tends to produce outputs that reflect the dominant perspectives embedded in its training data, which means that founders who use AI for brainstorming may receive feedback that systematically validates conventional approaches while undervaluing culturally specific, locally rooted, or historically marginalised innovation pathways. This dynamic is particularly consequential for minority entrepreneurs, whose business ideas often address underserved communities and markets that are underrepresented in AI training datasets precisely because those markets have been historically excluded from the commercial mainstream.</w:t>
      </w:r>
    </w:p>
    <w:p w14:paraId="1F30CBDE" w14:textId="77777777" w:rsidR="00E64B01" w:rsidRDefault="00000000">
      <w:pPr>
        <w:spacing w:after="160" w:line="360" w:lineRule="auto"/>
        <w:ind w:firstLine="720"/>
        <w:jc w:val="both"/>
      </w:pPr>
      <w:r>
        <w:t xml:space="preserve">Dual-process theory provides the most useful theoretical lens for understanding these dynamics. Kahneman's (2011) distinction between fast, heuristic System 1 cognition and slow, </w:t>
      </w:r>
      <w:r>
        <w:lastRenderedPageBreak/>
        <w:t>deliberative System 2 cognition is extended in the AI-entrepreneurship literature to encompass a third modality: AI-assisted deliberation, which has the speed properties of System 1 but the analytical properties of System 2. ScienceDirect's (2025) study found that this hybrid modality is most productive when sector knowledge enables entrepreneurs to critically engage with AI outputs rather than accepting them as objective determinations, suggesting that the pedagogical and capability development dimensions of AI literacy are central to realising AI's potential as an opportunity recognition tool without surrendering to its biases.</w:t>
      </w:r>
    </w:p>
    <w:p w14:paraId="2E09C177" w14:textId="77777777" w:rsidR="00E64B01" w:rsidRDefault="00000000">
      <w:pPr>
        <w:spacing w:before="240" w:after="80"/>
      </w:pPr>
      <w:r>
        <w:rPr>
          <w:rFonts w:ascii="Arial" w:eastAsia="Arial" w:hAnsi="Arial" w:cs="Arial"/>
          <w:b/>
          <w:bCs/>
          <w:i/>
          <w:iCs/>
          <w:color w:val="3949AB"/>
        </w:rPr>
        <w:t>3.3 AI Bias in Financing and Resource Acquisition for Entrepreneurs</w:t>
      </w:r>
    </w:p>
    <w:p w14:paraId="474FC673" w14:textId="77777777" w:rsidR="00E64B01" w:rsidRDefault="00000000">
      <w:pPr>
        <w:spacing w:after="160" w:line="360" w:lineRule="auto"/>
        <w:ind w:firstLine="720"/>
        <w:jc w:val="both"/>
      </w:pPr>
      <w:r>
        <w:t>The financing domain provides the most empirically substantiated evidence of AI bias's consequences for entrepreneurship, and the evidence is consistently and deeply troubling. Venture capital, the primary mechanism through which high-growth entrepreneurial ventures access the capital they need to scale, has historically been characterised by demographic concentration: VC firms are predominantly staffed by white, non-Hispanic, male partners, and funding has historically been directed overwhelmingly toward founders who share those demographic characteristics (</w:t>
      </w:r>
      <w:proofErr w:type="spellStart"/>
      <w:r>
        <w:t>Kuckertz</w:t>
      </w:r>
      <w:proofErr w:type="spellEnd"/>
      <w:r>
        <w:t>, 2025; Miami Law Review, 2025). A survey of 361 international venture capitalists using sensitive questioning techniques found that 26.9 percent believe women's participation in founding teams is overrated, 15.3 percent consider women poor entrepreneurs, and 11.9 percent admitted they would not invest in ventures led by women — patterns that reflect deeply embedded gender bias in the human judgements that AI systems are now trained to replicate and extend (</w:t>
      </w:r>
      <w:proofErr w:type="spellStart"/>
      <w:r>
        <w:t>Kuckertz</w:t>
      </w:r>
      <w:proofErr w:type="spellEnd"/>
      <w:r>
        <w:t>, 2025).</w:t>
      </w:r>
    </w:p>
    <w:p w14:paraId="5A7D09E9" w14:textId="77777777" w:rsidR="00E64B01" w:rsidRDefault="00000000">
      <w:pPr>
        <w:spacing w:after="160" w:line="360" w:lineRule="auto"/>
        <w:ind w:firstLine="720"/>
        <w:jc w:val="both"/>
      </w:pPr>
      <w:r>
        <w:t>The mechanisation of these biases through AI is documented across multiple studies. Miami Law Review's (2025) analysis of AI in venture capital funding found that when VC firms train AI systems on historical funding data, those systems learn to associate entrepreneurial success with the demographic and educational profiles of founders who received funding in the past — predominantly white, male, Ivy League-educated founders from specific geographic clusters. The AI then reproduces these patterns in its assessments of new funding applications, creating a feedback loop in which historical discrimination is codified into algorithmic evaluation criteria and applied at the speed and scale of automated screening. This pattern is structurally similar to the recidivism prediction bias documented in COMPAS — the criminal justice AI system whose racial disparities were exposed by ProPublica — but operates in a commercial rather than criminal justice context (Baker and Hawn, 2022).</w:t>
      </w:r>
    </w:p>
    <w:p w14:paraId="09F20B36" w14:textId="77777777" w:rsidR="00E64B01" w:rsidRDefault="00000000">
      <w:pPr>
        <w:spacing w:after="160" w:line="360" w:lineRule="auto"/>
        <w:ind w:firstLine="720"/>
        <w:jc w:val="both"/>
      </w:pPr>
      <w:r>
        <w:lastRenderedPageBreak/>
        <w:t>Credit and lending decisions for small and medium-sized entrepreneurial enterprises are equally affected. Algorithmic credit scoring systems, which are now used by both traditional banks and fintech lenders, have been documented to produce racially and gender-stratified outcomes in multiple jurisdictions. The Federal Reserve Bank of Kansas City and Stanford (2025) analysis of racial bias in LLM-driven credit decisions found significant race-based discrepancies in LLM mortgage assessments, with minority applicants receiving systematically less favourable outcomes even when all financial variables were controlled, and with discrepancies exceeding historically observed human bias levels. The Conversation's (2026) analysis documents that credit scoring AI systems assign lower credit limits to women even in financially equivalent situations — a finding consistent with the gender data gap literature's documentation that AI models underweight female economic behaviour because women are systematically underrepresented in the historical financial data from which models are trained (World Bank, 2025).</w:t>
      </w:r>
    </w:p>
    <w:p w14:paraId="25A4C8BF" w14:textId="77777777" w:rsidR="00E64B01" w:rsidRDefault="00000000">
      <w:pPr>
        <w:spacing w:after="160" w:line="360" w:lineRule="auto"/>
        <w:ind w:firstLine="720"/>
        <w:jc w:val="both"/>
      </w:pPr>
      <w:r>
        <w:t xml:space="preserve">The fintech sector presents a particularly instructive case study of AI bias's dual character in entrepreneurial financing. </w:t>
      </w:r>
      <w:proofErr w:type="spellStart"/>
      <w:r>
        <w:t>Tandfonline's</w:t>
      </w:r>
      <w:proofErr w:type="spellEnd"/>
      <w:r>
        <w:t xml:space="preserve"> (2024) quantitative study of fintech algorithmic lending found that the potential of fintech algorithms to decrease gender bias in credit decisions is fundamentally constrained by the gender partiality of the training data — if the data is biased, the algorithmic decision-making process will be discriminatory regardless of the algorithm's technical sophistication. An </w:t>
      </w:r>
      <w:proofErr w:type="spellStart"/>
      <w:r>
        <w:t>arxiv</w:t>
      </w:r>
      <w:proofErr w:type="spellEnd"/>
      <w:r>
        <w:t xml:space="preserve"> preprint (2025) analysing ML-based alternative lending apps in Kenya and across the Global South found that female borrowers receive smaller loans at higher rates than male borrowers with equivalent financial profiles, introducing what the author terms the 'objective algorithm paradox': the belief in </w:t>
      </w:r>
      <w:proofErr w:type="spellStart"/>
      <w:r>
        <w:t>ML's</w:t>
      </w:r>
      <w:proofErr w:type="spellEnd"/>
      <w:r>
        <w:t xml:space="preserve"> objectivity makes organisations 'blind' to the gendered nature of their algorithms, perpetuating discrimination through a claimed neutrality that is, in fact, deeply partial.</w:t>
      </w:r>
    </w:p>
    <w:p w14:paraId="3DB60EB8" w14:textId="77777777" w:rsidR="00E64B01" w:rsidRDefault="00000000">
      <w:pPr>
        <w:spacing w:before="240" w:after="80"/>
      </w:pPr>
      <w:r>
        <w:rPr>
          <w:rFonts w:ascii="Arial" w:eastAsia="Arial" w:hAnsi="Arial" w:cs="Arial"/>
          <w:b/>
          <w:bCs/>
          <w:i/>
          <w:iCs/>
          <w:color w:val="3949AB"/>
        </w:rPr>
        <w:t>3.4 AI Bias in Sector-Specific Innovation: Healthcare, Hiring, and Beyond</w:t>
      </w:r>
    </w:p>
    <w:p w14:paraId="0C5F7FB0" w14:textId="77777777" w:rsidR="00E64B01" w:rsidRDefault="00000000">
      <w:pPr>
        <w:spacing w:after="160" w:line="360" w:lineRule="auto"/>
        <w:ind w:firstLine="720"/>
        <w:jc w:val="both"/>
      </w:pPr>
      <w:r>
        <w:t>Beyond the general entrepreneurial ecosystem, AI bias operates with particular intensity and consequence in specific sectors where entrepreneurial actors are deploying AI systems for high-stakes decisions. Healthcare and hiring are the two domains with the most extensive evidence base in the reviewed literature, though the pattern of bias documented in these sectors appears across all industries where AI is applied to decisions about people.</w:t>
      </w:r>
    </w:p>
    <w:p w14:paraId="46B24A6B" w14:textId="77777777" w:rsidR="00E64B01" w:rsidRDefault="00000000">
      <w:pPr>
        <w:spacing w:after="160" w:line="360" w:lineRule="auto"/>
        <w:ind w:firstLine="720"/>
        <w:jc w:val="both"/>
      </w:pPr>
      <w:r>
        <w:t xml:space="preserve">Healthcare entrepreneurship is experiencing extraordinary AI-driven innovation: by May 2024, the FDA had listed 882 approved AI-enabled medical devices, with 191 new entries </w:t>
      </w:r>
      <w:r>
        <w:lastRenderedPageBreak/>
        <w:t>that year alone, predominantly in radiology, cardiology, and neurology (</w:t>
      </w:r>
      <w:proofErr w:type="spellStart"/>
      <w:r>
        <w:t>npj</w:t>
      </w:r>
      <w:proofErr w:type="spellEnd"/>
      <w:r>
        <w:t xml:space="preserve"> Digital Medicine, 2025). Alongside this innovation, however, documented evidence of AI bias is accumulating. PLOS Digital Health (2025) documents that biased training data in healthcare AI can produce disparities in diagnosis, treatment recommendation, and resource allocation across racial, gender, and socioeconomic lines — with particularly severe consequences in dermatology (where AI diagnostic tools trained predominantly on lighter skin tones perform significantly worse on darker complexions), in obstetrics and gynaecology (where female-specific conditions are underrepresented in clinical AI training datasets), and in mental health (where the AI mental health market reached $2 billion in 2025, growing at approximately 34 percent annually, but where demographic biases in diagnostic criteria are poorly understood).</w:t>
      </w:r>
    </w:p>
    <w:p w14:paraId="40DDCFA6" w14:textId="77777777" w:rsidR="00E64B01" w:rsidRDefault="00000000">
      <w:pPr>
        <w:spacing w:after="160" w:line="360" w:lineRule="auto"/>
        <w:ind w:firstLine="720"/>
        <w:jc w:val="both"/>
      </w:pPr>
      <w:r>
        <w:t xml:space="preserve">The healthcare AI bias literature identifies several structural drivers specific to healthcare entrepreneurship. First, medical datasets reflect historical inequities in clinical trial participation: until relatively recently, women, minorities, and older patients were systematically underrepresented or excluded from clinical trials, meaning that the medical knowledge from which healthcare AI systems are trained is structurally incomplete with respect to these populations (JMIR, 2025; </w:t>
      </w:r>
      <w:proofErr w:type="spellStart"/>
      <w:r>
        <w:t>npj</w:t>
      </w:r>
      <w:proofErr w:type="spellEnd"/>
      <w:r>
        <w:t xml:space="preserve"> Digital Medicine, 2025). Second, healthcare AI startups operate under regulatory frameworks — FDA clearance, CE marking — that were designed primarily for device performance rather than algorithmic fairness, leaving a regulatory gap that the EU AI Act is only beginning to address. Third, the commercial incentives facing healthcare AI entrepreneurs create pressure to maximise performance metrics on dominant-population training data rather than to invest in the more expensive and slower process of building demographically representative datasets (Brookings, 2025).</w:t>
      </w:r>
    </w:p>
    <w:p w14:paraId="1873F8E9" w14:textId="77777777" w:rsidR="00E64B01" w:rsidRDefault="00000000">
      <w:pPr>
        <w:spacing w:after="160" w:line="360" w:lineRule="auto"/>
        <w:ind w:firstLine="720"/>
        <w:jc w:val="both"/>
      </w:pPr>
      <w:r>
        <w:t xml:space="preserve">In hiring and human resource management — a domain of central importance to entrepreneurial firms that must recruit talent efficiently with limited resources — AI bias is extensively documented. A 2024 University of Washington study found that large language models assessing identical resumes varied only by applicant name systematically favoured names associated with white males, and never ranked Black male names first (All About AI, 2025). Amazon's well-documented abandonment of its AI recruitment system in 2018, after it was found to systematically downgrade CVs containing the word 'women's' and to favour candidates from all-male universities, remains the most prominent example of AI hiring bias in a corporate context, but the pattern it illustrates is pervasive across the industry. A 2025 federal class action lawsuit certified against Workday's AI-powered screening tools, alleging disproportionate disadvantage to applicants over 40 under the Age Discrimination in </w:t>
      </w:r>
      <w:r>
        <w:lastRenderedPageBreak/>
        <w:t>Employment Act, exemplifies how AI hiring bias creates legal exposure that is beginning to produce significant commercial and reputational consequences for firms that have not conducted rigorous pre-deployment bias auditing (All About AI, 2025).</w:t>
      </w:r>
    </w:p>
    <w:p w14:paraId="3420C1CF" w14:textId="77777777" w:rsidR="00E64B01" w:rsidRDefault="00000000">
      <w:pPr>
        <w:spacing w:after="160" w:line="360" w:lineRule="auto"/>
        <w:ind w:firstLine="720"/>
        <w:jc w:val="both"/>
      </w:pPr>
      <w:r>
        <w:t>For entrepreneurial firms — which are typically in the most intense phase of talent competition and least able to absorb the reputational and legal costs of discriminatory hiring — these findings carry direct practical implications. Entrepreneurs who deploy off-the-shelf AI recruitment tools without conducting independent bias auditing are unknowingly outsourcing their hiring decisions to systems that may systematically exclude the diverse talent that research consistently shows produces superior organisational outcomes. The IBM Global AI Adoption Index (2024) finding that 42 percent of AI adopters prioritised performance and speed over fairness, knowingly deploying biased systems in hiring, finance, and healthcare, suggests that commercial pressure frequently overrides ethical consideration in entrepreneurial AI deployment decisions (All About AI, 2025).</w:t>
      </w:r>
    </w:p>
    <w:p w14:paraId="67B800C2" w14:textId="77777777" w:rsidR="00E64B01" w:rsidRDefault="00000000">
      <w:pPr>
        <w:spacing w:before="240" w:after="80"/>
      </w:pPr>
      <w:r>
        <w:rPr>
          <w:rFonts w:ascii="Arial" w:eastAsia="Arial" w:hAnsi="Arial" w:cs="Arial"/>
          <w:b/>
          <w:bCs/>
          <w:i/>
          <w:iCs/>
          <w:color w:val="3949AB"/>
        </w:rPr>
        <w:t>3.5 The Regulatory Landscape and Its Entrepreneurial Implications</w:t>
      </w:r>
    </w:p>
    <w:p w14:paraId="1901F529" w14:textId="77777777" w:rsidR="00E64B01" w:rsidRDefault="00000000">
      <w:pPr>
        <w:spacing w:after="160" w:line="360" w:lineRule="auto"/>
        <w:ind w:firstLine="720"/>
        <w:jc w:val="both"/>
      </w:pPr>
      <w:r>
        <w:t>The European Union's Artificial Intelligence Act, which came into force on 1 August 2024 and became progressively enforceable through 2025 and 2026, represents the most significant regulatory development in the AI-bias landscape since the General Data Protection Regulation and carries profound implications for entrepreneurship that are simultaneously restrictive and generative. The Act's risk-based tiering of AI applications — classifying certain uses as prohibited, others as high-risk with extensive obligations, and the majority as minimal-risk — creates a regulatory architecture within which entrepreneurs must navigate both compliance obligations and market opportunities.</w:t>
      </w:r>
    </w:p>
    <w:p w14:paraId="7B26E1D5" w14:textId="77777777" w:rsidR="00E64B01" w:rsidRDefault="00000000">
      <w:pPr>
        <w:spacing w:after="160" w:line="360" w:lineRule="auto"/>
        <w:ind w:firstLine="720"/>
        <w:jc w:val="both"/>
      </w:pPr>
      <w:r>
        <w:t xml:space="preserve">The Act's classification of several AI applications as high-risk has direct implications for entrepreneurial ventures in healthcare, financial services, employment, education, and law enforcement — precisely the sectors where AI-bias consequences are most documented in this review. High-risk AI systems must meet requirements for risk management, data governance, technical documentation, transparency, human oversight, accuracy, and robustness that represent significant compliance investments for early-stage ventures with limited resources (EU AI Act, 2024; PwC, 2024; ISACA, 2024). Thirty-plus European founders and investors signed an open letter arguing that the Act risks creating a 'fragmented, unpredictable regulatory environment' that will undermine innovation and investment, while the EU AI Champions Initiative asked for a two-year enforcement delay to allow practical compliance tools to be </w:t>
      </w:r>
      <w:r>
        <w:lastRenderedPageBreak/>
        <w:t>developed — responses that illustrate the genuine tension between the Act's protective objectives and its burden on innovation (</w:t>
      </w:r>
      <w:proofErr w:type="spellStart"/>
      <w:r>
        <w:t>Vestbee</w:t>
      </w:r>
      <w:proofErr w:type="spellEnd"/>
      <w:r>
        <w:t>, 2025).</w:t>
      </w:r>
    </w:p>
    <w:p w14:paraId="1DB2B492" w14:textId="77777777" w:rsidR="00E64B01" w:rsidRDefault="00000000">
      <w:pPr>
        <w:spacing w:after="160" w:line="360" w:lineRule="auto"/>
        <w:ind w:firstLine="720"/>
        <w:jc w:val="both"/>
      </w:pPr>
      <w:r>
        <w:t>However, the review also identifies a generative dimension of the EU AI Act for entrepreneurship that is less prominently discussed: by making bias auditing, fairness testing, and algorithmic transparency mandatory for high-risk applications, the Act creates an enforceable market for the compliance tools, auditing services, and fairness engineering capabilities that those obligations require. An EU regulatory sandbox mechanism — providing real-world testing environments specifically for AI regulatory compliance — and SME-specific support provisions within the Act represent deliberate attempts to balance the compliance burden with innovation facilitation (Baker McKenzie, 2025). The scholarly literature on regulation and entrepreneurship consistently finds that clear, consistently enforced regulatory frameworks reduce uncertainty and can stimulate innovation by defining the boundaries within which safe experimentation can proceed (</w:t>
      </w:r>
      <w:proofErr w:type="spellStart"/>
      <w:r>
        <w:t>arxiv</w:t>
      </w:r>
      <w:proofErr w:type="spellEnd"/>
      <w:r>
        <w:t xml:space="preserve"> position paper, 2025). The EU AI Act's specification of what high-risk AI systems cannot do — including discriminating on the basis of protected characteristics — may prove, over time, to be as generative of entrepreneurial innovation as it is restrictive.</w:t>
      </w:r>
    </w:p>
    <w:p w14:paraId="6BC6192E" w14:textId="77777777" w:rsidR="00E64B01" w:rsidRDefault="00000000">
      <w:pPr>
        <w:spacing w:after="160" w:line="360" w:lineRule="auto"/>
        <w:ind w:firstLine="720"/>
        <w:jc w:val="both"/>
      </w:pPr>
      <w:r>
        <w:t>Beyond the EU AI Act, the global regulatory landscape for AI bias is evolving rapidly and unevenly. The Paris AI Action Summit of February 2025 produced a declaration on inclusive, ethical, and trustworthy AI signed by a majority of participating states, but notably not by the United States or United Kingdom, whose governments have adopted pro-innovation, deregulatory approaches — creating a bifurcated international regulatory environment that entrepreneurial firms operating across jurisdictions must navigate simultaneously (ORF Online, 2025). This regulatory divergence creates both compliance complexity for internationally active ventures and market differentiation opportunities: firms that build algorithmic fairness into their products to meet EU standards acquire capabilities that are increasingly valued globally, even in jurisdictions where they are not yet required.</w:t>
      </w:r>
    </w:p>
    <w:p w14:paraId="29C0F93E" w14:textId="77777777" w:rsidR="00E64B01" w:rsidRDefault="00000000">
      <w:pPr>
        <w:spacing w:before="240" w:after="80"/>
      </w:pPr>
      <w:r>
        <w:rPr>
          <w:rFonts w:ascii="Arial" w:eastAsia="Arial" w:hAnsi="Arial" w:cs="Arial"/>
          <w:b/>
          <w:bCs/>
          <w:i/>
          <w:iCs/>
          <w:color w:val="3949AB"/>
        </w:rPr>
        <w:t>3.6 Entrepreneurial Opportunities Arising from AI Bias Mitigation</w:t>
      </w:r>
    </w:p>
    <w:p w14:paraId="6B2678FE" w14:textId="77777777" w:rsidR="00E64B01" w:rsidRDefault="00000000">
      <w:pPr>
        <w:spacing w:after="160" w:line="360" w:lineRule="auto"/>
        <w:ind w:firstLine="720"/>
        <w:jc w:val="both"/>
      </w:pPr>
      <w:r>
        <w:t xml:space="preserve">The imperatives generated by documented AI bias — regulatory compliance, reputational risk management, social equity, and commercial performance — are creating a distinct market segment of entrepreneurial ventures focused on bias detection, algorithmic auditing, fairness engineering, and responsible AI consulting. This segment represents the second face of the AI-bias-entrepreneurship relationship that this special issue explicitly </w:t>
      </w:r>
      <w:r>
        <w:lastRenderedPageBreak/>
        <w:t>identifies, and it is the theme where the gap between market opportunity and scholarly analysis is widest — though the gap is narrowing rapidly as the field matures.</w:t>
      </w:r>
    </w:p>
    <w:p w14:paraId="3DFC8E54" w14:textId="77777777" w:rsidR="00E64B01" w:rsidRDefault="00000000">
      <w:pPr>
        <w:spacing w:after="160" w:line="360" w:lineRule="auto"/>
        <w:ind w:firstLine="720"/>
        <w:jc w:val="both"/>
      </w:pPr>
      <w:r>
        <w:t>The landscape of bias-mitigation entrepreneurship encompasses several distinct venture types. Algorithmic auditing firms — which conduct independent assessments of AI systems to identify, quantify, and document bias before and after deployment — represent the most directly regulatory-driven segment, with demand accelerated by the EU AI Act's conformity assessment requirements. Fairness engineering platforms — which provide developers with tools to test, measure, and optimise for algorithmic fairness at the model development stage — represent a more proactive market, addressing the 42 percent of AI adopters who acknowledge deploying biased systems and need technical infrastructure to change that behaviour (IBM, 2024). Explainability and interpretability tools — which translate the 'black box' reasoning of complex AI models into human-readable explanations — address the transparency obligations of the EU AI Act while serving the commercial need of enterprises to understand and defend the decisions their AI systems make.</w:t>
      </w:r>
    </w:p>
    <w:p w14:paraId="1CECEF47" w14:textId="77777777" w:rsidR="00E64B01" w:rsidRDefault="00000000">
      <w:pPr>
        <w:spacing w:after="160" w:line="360" w:lineRule="auto"/>
        <w:ind w:firstLine="720"/>
        <w:jc w:val="both"/>
      </w:pPr>
      <w:r>
        <w:t>The ScienceDirect (2025) study on responsible AI adoption in startups through entrepreneurial orientation finds that the ventures most effectively addressing AI bias are characterised by a proactive innovative posture — anticipating regulatory and social expectations rather than reacting to them — combined with a risk-taking disposition specifically oriented toward the experimental implementation of responsible AI practices. These firms treat algorithmic fairness not as a compliance cost but as a source of competitive differentiation: in markets where enterprise customers are increasingly subject to their own AI regulatory obligations, a vendor that can credibly certify the fairness of its AI systems commands a premium over one that cannot (ScienceDirect, 2025).</w:t>
      </w:r>
    </w:p>
    <w:p w14:paraId="48A44A90" w14:textId="77777777" w:rsidR="00E64B01" w:rsidRDefault="00000000">
      <w:pPr>
        <w:spacing w:after="160" w:line="360" w:lineRule="auto"/>
        <w:ind w:firstLine="720"/>
        <w:jc w:val="both"/>
      </w:pPr>
      <w:r>
        <w:t xml:space="preserve">The healthcare sector, where AI bias has the most severe documented consequences, is also the most active site of bias-mitigation entrepreneurship. PLOS Digital Health (2025) and </w:t>
      </w:r>
      <w:proofErr w:type="spellStart"/>
      <w:r>
        <w:t>npj</w:t>
      </w:r>
      <w:proofErr w:type="spellEnd"/>
      <w:r>
        <w:t xml:space="preserve"> Digital Medicine (2025) both document the emergence of health equity AI ventures — startups specifically focused on building diagnostic and treatment recommendation AI systems that perform equitably across demographic groups. These ventures face the distinctive challenge of collecting demographically representative clinical training data in a regulatory environment that constrains data access, but they also benefit from the unique credibility that their equity commitment provides in procurement contexts where hospital systems and public health authorities are increasingly required to demonstrate equitable care delivery.</w:t>
      </w:r>
    </w:p>
    <w:p w14:paraId="61CD52FF" w14:textId="77777777" w:rsidR="00E64B01" w:rsidRDefault="00000000">
      <w:pPr>
        <w:spacing w:after="160" w:line="360" w:lineRule="auto"/>
        <w:ind w:firstLine="720"/>
        <w:jc w:val="both"/>
      </w:pPr>
      <w:r>
        <w:lastRenderedPageBreak/>
        <w:t>The gender lens investing dimension of bias-mitigation entrepreneurship deserves specific attention. As documented in the World Bank (2025) analysis of AI and gender data gaps, algorithmic tools that explicitly incorporate gender equity criteria into investment screening — assessing companies on metrics including pay equity, parental leave, and board diversity — have demonstrated portfolio performance advantages in addition to equity improvements. A 2023 pilot by a Scandinavian fund using gender-lens AI investment tools outperformed traditional benchmarks by five percent annually while improving exposure to women-led businesses — a finding that frames algorithmic fairness not as a social concession but as a source of alpha (World Bank, 2025). This positions bias-mitigation entrepreneurship within a broader trend of ESG integration into investment decision-making that creates commercial tailwinds for responsible AI ventures.</w:t>
      </w:r>
    </w:p>
    <w:p w14:paraId="1CF5F4EE" w14:textId="77777777" w:rsidR="00E64B01" w:rsidRDefault="00000000">
      <w:pPr>
        <w:spacing w:before="240" w:after="80"/>
      </w:pPr>
      <w:r>
        <w:rPr>
          <w:rFonts w:ascii="Arial" w:eastAsia="Arial" w:hAnsi="Arial" w:cs="Arial"/>
          <w:b/>
          <w:bCs/>
          <w:i/>
          <w:iCs/>
          <w:color w:val="3949AB"/>
        </w:rPr>
        <w:t>3.7 Responsible AI Adoption in Entrepreneurial Firms: Organisational and Cultural Dimensions</w:t>
      </w:r>
    </w:p>
    <w:p w14:paraId="22C1FE58" w14:textId="77777777" w:rsidR="00E64B01" w:rsidRDefault="00000000">
      <w:pPr>
        <w:spacing w:after="160" w:line="360" w:lineRule="auto"/>
        <w:ind w:firstLine="720"/>
        <w:jc w:val="both"/>
      </w:pPr>
      <w:r>
        <w:t>The final theme addresses the organisational and cultural conditions under which entrepreneurial firms adopt AI responsibly — a dimension of the AI-bias-entrepreneurship relationship that connects the technological and regulatory themes examined above to the organisational behaviour and entrepreneurship literatures. ScienceDirect's (2025) analysis of responsible AI adoption in startups, using entrepreneurial orientation theory, identifies three conditions that predict responsible AI adoption: an innovative posture that values experimentation with fairness practices; a risk-taking disposition specifically oriented toward regulatory compliance rather than regulatory arbitrage; and a proactive stance that anticipates and shapes regulatory requirements rather than reacting to them after the fact.</w:t>
      </w:r>
    </w:p>
    <w:p w14:paraId="07472C12" w14:textId="77777777" w:rsidR="00E64B01" w:rsidRDefault="00000000">
      <w:pPr>
        <w:spacing w:after="160" w:line="360" w:lineRule="auto"/>
        <w:ind w:firstLine="720"/>
        <w:jc w:val="both"/>
      </w:pPr>
      <w:r>
        <w:t>The organisational culture dimension is particularly important for startups, where the founding team's values and cognitive frameworks disproportionately shape the organisational culture that persists as the venture scales. Jeremiah's (2024) analysis of the human-AI dyad in entrepreneurial discourse identifies a pattern whereby founders who are aware of and personally committed to addressing AI bias are significantly more likely to embed fairness practices in their product development processes from the earliest stages — while those who treat AI as a neutral technical tool are significantly more likely to deploy biased systems and to discover their bias only after commercially or legally costly incidents. This finding has important implications for entrepreneurship education and for the due-diligence practices of investors who fund AI-driven ventures: the founder's AI ethics awareness and commitment is a leading indicator of the venture's long-term regulatory and reputational risk profile.</w:t>
      </w:r>
    </w:p>
    <w:p w14:paraId="5072678F" w14:textId="77777777" w:rsidR="00E64B01" w:rsidRDefault="00000000">
      <w:pPr>
        <w:spacing w:after="160" w:line="360" w:lineRule="auto"/>
        <w:ind w:firstLine="720"/>
        <w:jc w:val="both"/>
      </w:pPr>
      <w:r>
        <w:lastRenderedPageBreak/>
        <w:t>Nishant et al. (2024) develop this cultural argument through a stakeholder theory lens, arguing that the diversity of the teams that design, develop, and deploy AI systems is a structural predictor of the bias characteristics of the AI outputs those teams produce. Teams that are demographically homogeneous — by race, gender, socioeconomic background, and educational pathway — are systematically less likely to anticipate the ways in which their systems may be experienced differently by users from different backgrounds, and therefore less likely to conduct the edge-case testing and diverse user research that would surface biases before deployment. For entrepreneurs, this finding converges with an extensive body of evidence from the team diversity and performance literature to make a unified argument: building diverse founding and development teams is simultaneously an equity imperative and a bias-reduction strategy.</w:t>
      </w:r>
    </w:p>
    <w:p w14:paraId="4FFBBB8E" w14:textId="77777777" w:rsidR="00E64B01" w:rsidRDefault="00E64B01">
      <w:pPr>
        <w:spacing w:after="160"/>
      </w:pPr>
    </w:p>
    <w:p w14:paraId="075711ED" w14:textId="77777777" w:rsidR="00E64B01" w:rsidRDefault="00000000">
      <w:pPr>
        <w:spacing w:before="320" w:after="100"/>
      </w:pPr>
      <w:r>
        <w:rPr>
          <w:rFonts w:ascii="Arial" w:eastAsia="Arial" w:hAnsi="Arial" w:cs="Arial"/>
          <w:b/>
          <w:bCs/>
          <w:color w:val="1A237E"/>
          <w:sz w:val="26"/>
          <w:szCs w:val="26"/>
        </w:rPr>
        <w:t>4. Discussion</w:t>
      </w:r>
    </w:p>
    <w:p w14:paraId="325774AF" w14:textId="77777777" w:rsidR="00E64B01" w:rsidRDefault="00E64B01">
      <w:pPr>
        <w:pBdr>
          <w:bottom w:val="single" w:sz="6" w:space="1" w:color="3949AB"/>
        </w:pBdr>
        <w:spacing w:after="100"/>
      </w:pPr>
    </w:p>
    <w:p w14:paraId="60243144" w14:textId="77777777" w:rsidR="00E64B01" w:rsidRDefault="00000000">
      <w:pPr>
        <w:spacing w:before="240" w:after="80"/>
      </w:pPr>
      <w:r>
        <w:rPr>
          <w:rFonts w:ascii="Arial" w:eastAsia="Arial" w:hAnsi="Arial" w:cs="Arial"/>
          <w:b/>
          <w:bCs/>
          <w:i/>
          <w:iCs/>
          <w:color w:val="3949AB"/>
        </w:rPr>
        <w:t>4.1 The FAIR-E Framework</w:t>
      </w:r>
    </w:p>
    <w:p w14:paraId="6782F9C8" w14:textId="77777777" w:rsidR="00E64B01" w:rsidRDefault="00000000">
      <w:pPr>
        <w:spacing w:after="160" w:line="360" w:lineRule="auto"/>
        <w:ind w:firstLine="720"/>
        <w:jc w:val="both"/>
      </w:pPr>
      <w:r>
        <w:t>Synthesising the evidence across all seven thematic domains, this review proposes the FAIR-E framework as an integrative conceptual tool for entrepreneurship researchers and practitioners engaging with AI bias. FAIR-E comprises five dimensions: Fairness, Accountability, Interpretability, Responsibility, and Entrepreneurial Opportunity — each representing a distinct but interrelated dimension of the AI-bias-entrepreneurship relationship.</w:t>
      </w:r>
    </w:p>
    <w:p w14:paraId="26B56611" w14:textId="77777777" w:rsidR="00E64B01" w:rsidRDefault="00000000">
      <w:pPr>
        <w:spacing w:after="160" w:line="360" w:lineRule="auto"/>
        <w:ind w:firstLine="720"/>
        <w:jc w:val="both"/>
      </w:pPr>
      <w:r>
        <w:t>Fairness encompasses the technical and social requirements for AI systems to produce equitable outcomes across demographic groups. The review's evidence shows that fairness is not a single property but a multi-dimensional construct encompassing statistical parity, individual fairness, counterfactual fairness, and group fairness — dimensions that can be in tension with each other and that require explicit value judgements about which conception of fairness a system is optimised for (Mehrabi et al., 2021; Ceccon et al., 2025). For entrepreneurs, the fairness dimension of FAIR-E requires an early-stage commitment to defining the relevant fairness criteria for their application, selecting training data that supports those criteria, and building bias measurement into the product development cycle from the outset rather than treating it as a post-launch compliance exercise.</w:t>
      </w:r>
    </w:p>
    <w:p w14:paraId="1819700C" w14:textId="77777777" w:rsidR="00E64B01" w:rsidRDefault="00000000">
      <w:pPr>
        <w:spacing w:after="160" w:line="360" w:lineRule="auto"/>
        <w:ind w:firstLine="720"/>
        <w:jc w:val="both"/>
      </w:pPr>
      <w:r>
        <w:t xml:space="preserve">Accountability addresses the governance structures, audit processes, and liability frameworks that ensure biased AI outcomes can be identified, attributed, and corrected. The </w:t>
      </w:r>
      <w:r>
        <w:lastRenderedPageBreak/>
        <w:t>EU AI Act's conformity assessment requirements and the emerging landscape of algorithmic auditing represent the regulatory dimension of accountability, while venture capital due-diligence practices and enterprise customer procurement requirements represent its commercial dimension. For entrepreneurship scholars, accountability raises foundational questions about who bears responsibility when AI systems cause discriminatory harm — the data provider, the model developer, the deploying enterprise, or the regulating authority — questions that remain incompletely resolved in both legal and ethical frameworks.</w:t>
      </w:r>
    </w:p>
    <w:p w14:paraId="22EC35FB" w14:textId="77777777" w:rsidR="00E64B01" w:rsidRDefault="00000000">
      <w:pPr>
        <w:spacing w:after="160" w:line="360" w:lineRule="auto"/>
        <w:ind w:firstLine="720"/>
        <w:jc w:val="both"/>
      </w:pPr>
      <w:r>
        <w:t>Interpretability refers to the requirement that AI systems' decision-making processes be understandable to affected parties, including entrepreneurs, their customers, and the regulators who govern them. The EU AI Act's transparency obligations, discussed in Section 3.5, represent a regulatory minimum, but the review's evidence suggests that interpretability has commercial value beyond compliance: ventures whose AI systems can explain their decisions to users and customers enjoy significantly higher trust and adoption rates than those that deploy black-box systems (PwC, 2024). For entrepreneurs deploying AI in high-stakes decisions — credit scoring, hiring, medical diagnosis — interpretability is not a luxury but a commercial necessity.</w:t>
      </w:r>
    </w:p>
    <w:p w14:paraId="5ADFABCF" w14:textId="77777777" w:rsidR="00E64B01" w:rsidRDefault="00000000">
      <w:pPr>
        <w:spacing w:after="160" w:line="360" w:lineRule="auto"/>
        <w:ind w:firstLine="720"/>
        <w:jc w:val="both"/>
      </w:pPr>
      <w:r>
        <w:t>Responsibility captures the organisational and cultural dimension examined in Section 3.7: the founding team's values, diverse composition, proactive ethical orientation, and institutional commitment to responsible AI practices. The review's evidence consistently shows that responsible AI outcomes are primarily determined by organisational choices, not technical constraints — and that those choices are most consequentially shaped at the founding stage of the venture's development. The FAIR-E framework therefore positions responsibility as a leadership and talent management imperative, not merely a compliance requirement.</w:t>
      </w:r>
    </w:p>
    <w:p w14:paraId="51CF04EE" w14:textId="77777777" w:rsidR="00E64B01" w:rsidRDefault="00000000">
      <w:pPr>
        <w:spacing w:after="160" w:line="360" w:lineRule="auto"/>
        <w:ind w:firstLine="720"/>
        <w:jc w:val="both"/>
      </w:pPr>
      <w:r>
        <w:t>Entrepreneurial Opportunity is the fifth dimension, and the one that distinguishes the FAIR-E framework from existing responsible AI frameworks designed primarily for large corporations or regulators. The review's evidence identifies a growing and commercially significant market segment of bias-mitigation ventures whose success is directly driven by the AI bias challenge examined in the preceding dimensions. By positioning entrepreneurial opportunity as a constituent element of the AI-bias framework rather than an afterthought, the FAIR-E framework makes explicit the constructive insight that the AI-bias problem and its entrepreneurial solutions are not in tension but are complementary: addressing the bias challenge creates the market conditions for transformative entrepreneurship.</w:t>
      </w:r>
    </w:p>
    <w:p w14:paraId="0DFD0B69" w14:textId="77777777" w:rsidR="00E64B01" w:rsidRDefault="00000000">
      <w:pPr>
        <w:spacing w:before="240" w:after="80"/>
      </w:pPr>
      <w:r>
        <w:rPr>
          <w:rFonts w:ascii="Arial" w:eastAsia="Arial" w:hAnsi="Arial" w:cs="Arial"/>
          <w:b/>
          <w:bCs/>
          <w:i/>
          <w:iCs/>
          <w:color w:val="3949AB"/>
        </w:rPr>
        <w:lastRenderedPageBreak/>
        <w:t>4.2 Limitations and Future Research Agenda</w:t>
      </w:r>
    </w:p>
    <w:p w14:paraId="3FAB72AB" w14:textId="77777777" w:rsidR="00E64B01" w:rsidRDefault="00000000">
      <w:pPr>
        <w:spacing w:after="160" w:line="360" w:lineRule="auto"/>
        <w:ind w:firstLine="720"/>
        <w:jc w:val="both"/>
      </w:pPr>
      <w:r>
        <w:t>The review has several limitations that define a productive future research agenda. The restriction to English-language publications leaves underexplored a substantial body of AI-bias and entrepreneurship scholarship produced in Spanish, Portuguese, Chinese, Arabic, and other languages — languages in which the communities most severely affected by AI bias in Global South entrepreneurial contexts are most active. Future research should explicitly include Global South scholarship on AI bias in entrepreneurship, recognising that the contextual conditions of lower-income countries — including data scarcity, infrastructure constraints, and regulatory absence — produce AI bias dynamics that differ from those documented in the predominantly Global North sample of this review.</w:t>
      </w:r>
    </w:p>
    <w:p w14:paraId="2F5AD474" w14:textId="77777777" w:rsidR="00E64B01" w:rsidRDefault="00000000">
      <w:pPr>
        <w:spacing w:after="160" w:line="360" w:lineRule="auto"/>
        <w:ind w:firstLine="720"/>
        <w:jc w:val="both"/>
      </w:pPr>
      <w:r>
        <w:t>Longitudinal designs are the most urgent methodological priority for the field. The vast majority of reviewed studies are cross-sectional, capturing AI bias at a single moment in the rapidly evolving AI and regulatory landscape. Understanding whether bias-mitigation practices produce durable improvements in entrepreneurial outcomes, whether regulatory compliance produces genuine fairness improvement or merely shifts bias to unmonitored channels, and whether bias-mitigation ventures sustain competitive advantage beyond their first-mover regulatory period requires multi-year panel designs that the field has not yet developed. The FAIR-E framework is proposed explicitly as a tool to organise future longitudinal research agendas as well as to guide current practice.</w:t>
      </w:r>
    </w:p>
    <w:p w14:paraId="4A9520CF" w14:textId="77777777" w:rsidR="00E64B01" w:rsidRDefault="00000000">
      <w:pPr>
        <w:spacing w:after="160" w:line="360" w:lineRule="auto"/>
        <w:ind w:firstLine="720"/>
        <w:jc w:val="both"/>
      </w:pPr>
      <w:r>
        <w:t>Finally, the intersection of AI bias, entrepreneurship, and the Global South — touched on in Section 3.3 through the Kenya fintech case and in Section 3.4 through Global South healthcare AI gaps — deserves a dedicated systematic research programme. The 800 million unbanked adults globally, the 400 million small and micro-enterprises in developing economies that constitute the majority of global entrepreneurship by number, and the billions of people whose first meaningful interaction with AI will occur through mobile financial services and healthcare applications in the Global South represent both the populations most vulnerable to AI bias and the markets most in need of the bias-mitigation entrepreneurship that the FAIR-E framework's fifth dimension describes.</w:t>
      </w:r>
    </w:p>
    <w:p w14:paraId="561887A7" w14:textId="77777777" w:rsidR="00E64B01" w:rsidRDefault="00E64B01">
      <w:pPr>
        <w:spacing w:after="160"/>
      </w:pPr>
    </w:p>
    <w:p w14:paraId="06190570" w14:textId="77777777" w:rsidR="00E64B01" w:rsidRDefault="00000000">
      <w:pPr>
        <w:spacing w:before="320" w:after="100"/>
      </w:pPr>
      <w:r>
        <w:rPr>
          <w:rFonts w:ascii="Arial" w:eastAsia="Arial" w:hAnsi="Arial" w:cs="Arial"/>
          <w:b/>
          <w:bCs/>
          <w:color w:val="1A237E"/>
          <w:sz w:val="26"/>
          <w:szCs w:val="26"/>
        </w:rPr>
        <w:t>5. Conclusion</w:t>
      </w:r>
    </w:p>
    <w:p w14:paraId="08F23F28" w14:textId="77777777" w:rsidR="00E64B01" w:rsidRDefault="00E64B01">
      <w:pPr>
        <w:pBdr>
          <w:bottom w:val="single" w:sz="6" w:space="1" w:color="3949AB"/>
        </w:pBdr>
        <w:spacing w:after="100"/>
      </w:pPr>
    </w:p>
    <w:p w14:paraId="506D8E1D" w14:textId="7D4708AC" w:rsidR="00E64B01" w:rsidRDefault="00000000">
      <w:pPr>
        <w:spacing w:after="160" w:line="360" w:lineRule="auto"/>
        <w:ind w:firstLine="720"/>
        <w:jc w:val="both"/>
      </w:pPr>
      <w:r>
        <w:lastRenderedPageBreak/>
        <w:t xml:space="preserve">This systematic literature review has synthesised </w:t>
      </w:r>
      <w:r w:rsidR="00C53593">
        <w:t>39</w:t>
      </w:r>
      <w:r>
        <w:t xml:space="preserve"> peer-reviewed articles and substantive reports to map the intersection of AI bias and entrepreneurship across seven thematic domains. The evidence compellingly establishes that AI bias is not a marginal technical imperfection but a structural feature of AI systems built on historically biased data and designed by demographically homogeneous teams, with consequences for entrepreneurial processes that range from the distortion of opportunity recognition to the systematic exclusion of women and minority founders from venture financing. The mechanisms through which bias operates — data bias, algorithmic bias, and user interaction bias — are distinct but reinforcing, creating a bias architecture that requires multi-layered interventions at the data, model, organisational, and regulatory levels simultaneously.</w:t>
      </w:r>
    </w:p>
    <w:p w14:paraId="15F1CB4D" w14:textId="77777777" w:rsidR="00E64B01" w:rsidRDefault="00000000">
      <w:pPr>
        <w:spacing w:after="160" w:line="360" w:lineRule="auto"/>
        <w:ind w:firstLine="720"/>
        <w:jc w:val="both"/>
      </w:pPr>
      <w:r>
        <w:t>At the same time, the review establishes that the AI bias challenge is not merely a problem for entrepreneurship but also a source of entrepreneurial opportunity of considerable commercial significance. The EU AI Act's creation of mandatory compliance obligations for high-risk AI applications, the growing institutional scrutiny of AI systems' fairness properties from investors, enterprise customers, and civil society, and the demonstrated commercial advantage of algorithmically fair systems in markets characterised by regulatory risk and stakeholder scrutiny are collectively creating a market for bias-mitigation entrepreneurship that is growing faster than the field's theoretical development. The FAIR-E framework proposed in this review — integrating Fairness, Accountability, Interpretability, Responsibility, and Entrepreneurial Opportunity — provides a conceptual architecture for organising this field and for guiding both the scholarly research and the practical investments that its development requires.</w:t>
      </w:r>
    </w:p>
    <w:p w14:paraId="7810F780" w14:textId="77777777" w:rsidR="00E64B01" w:rsidRDefault="00000000">
      <w:pPr>
        <w:spacing w:after="160" w:line="360" w:lineRule="auto"/>
        <w:ind w:firstLine="720"/>
        <w:jc w:val="both"/>
      </w:pPr>
      <w:r>
        <w:t>The overarching message for entrepreneurship scholars, practitioners, and policymakers is clear. AI bias is a challenge that cannot be addressed by technical fixes alone; it requires entrepreneurial imagination, organisational commitment, regulatory intelligence, and structural investments in the diversity of the teams that build AI systems and the communities they serve. Entrepreneurs who embed these commitments at the founding stage of their ventures — who make FAIR-E a constitutive principle of their AI strategy rather than an afterthought — will be better positioned to navigate an increasingly regulated and scrutinised AI landscape, to build the diverse and loyal customer relationships that socially responsible AI commands, and to contribute to the broader social project of ensuring that AI amplifies human potential equitably rather than systematising centuries of inequality at algorithmic speed.</w:t>
      </w:r>
    </w:p>
    <w:p w14:paraId="3DF3E1FC" w14:textId="77777777" w:rsidR="00E64B01" w:rsidRDefault="00E64B01">
      <w:pPr>
        <w:spacing w:after="200"/>
      </w:pPr>
    </w:p>
    <w:p w14:paraId="50315D62" w14:textId="77777777" w:rsidR="00E64B01" w:rsidRDefault="00000000">
      <w:pPr>
        <w:spacing w:before="320" w:after="100"/>
      </w:pPr>
      <w:r>
        <w:rPr>
          <w:rFonts w:ascii="Arial" w:eastAsia="Arial" w:hAnsi="Arial" w:cs="Arial"/>
          <w:b/>
          <w:bCs/>
          <w:color w:val="1A237E"/>
          <w:sz w:val="26"/>
          <w:szCs w:val="26"/>
        </w:rPr>
        <w:t>References</w:t>
      </w:r>
    </w:p>
    <w:p w14:paraId="10D85478" w14:textId="77777777" w:rsidR="00E64B01" w:rsidRDefault="00E64B01">
      <w:pPr>
        <w:pBdr>
          <w:bottom w:val="single" w:sz="6" w:space="1" w:color="3949AB"/>
        </w:pBdr>
        <w:spacing w:after="100"/>
      </w:pPr>
    </w:p>
    <w:p w14:paraId="562D273B" w14:textId="77777777" w:rsidR="00E64B01" w:rsidRDefault="00000000">
      <w:pPr>
        <w:spacing w:after="100" w:line="320" w:lineRule="auto"/>
        <w:ind w:left="720" w:hanging="720"/>
        <w:jc w:val="both"/>
      </w:pPr>
      <w:r>
        <w:rPr>
          <w:sz w:val="22"/>
          <w:szCs w:val="22"/>
        </w:rPr>
        <w:t>All About AI. (2025). AI bias report 2025: LLM discrimination is worse than you think. https://www.allaboutai.com/resources/ai-statistics/ai-bias/</w:t>
      </w:r>
    </w:p>
    <w:p w14:paraId="1D46DFA6" w14:textId="77777777" w:rsidR="00E64B01" w:rsidRDefault="00000000">
      <w:pPr>
        <w:spacing w:after="100" w:line="320" w:lineRule="auto"/>
        <w:ind w:left="720" w:hanging="720"/>
        <w:jc w:val="both"/>
      </w:pPr>
      <w:r>
        <w:rPr>
          <w:sz w:val="22"/>
          <w:szCs w:val="22"/>
        </w:rPr>
        <w:t>Baker, R. S., &amp; Hawn, A. (2022). Algorithmic bias in education. International Journal of Artificial Intelligence in Education, 34(2), 1–41. https://doi.org/10.1007/s40593-021-00285-9</w:t>
      </w:r>
    </w:p>
    <w:p w14:paraId="42FE9548" w14:textId="77777777" w:rsidR="00E64B01" w:rsidRDefault="00000000">
      <w:pPr>
        <w:spacing w:after="100" w:line="320" w:lineRule="auto"/>
        <w:ind w:left="720" w:hanging="720"/>
        <w:jc w:val="both"/>
      </w:pPr>
      <w:r>
        <w:rPr>
          <w:sz w:val="22"/>
          <w:szCs w:val="22"/>
        </w:rPr>
        <w:t>Baker McKenzie. (2025). EU regulation on AI. https://www.bakermckenzie.com/en/insight/publications/resources/product-risk-radar-articles/eu-regulation-on-ai</w:t>
      </w:r>
    </w:p>
    <w:p w14:paraId="3BB1CAEA" w14:textId="77777777" w:rsidR="00E64B01" w:rsidRDefault="00000000">
      <w:pPr>
        <w:spacing w:after="100" w:line="320" w:lineRule="auto"/>
        <w:ind w:left="720" w:hanging="720"/>
        <w:jc w:val="both"/>
      </w:pPr>
      <w:r>
        <w:rPr>
          <w:sz w:val="22"/>
          <w:szCs w:val="22"/>
        </w:rPr>
        <w:t>Braun, V., &amp; Clarke, V. (2006). Using thematic analysis in psychology. Qualitative Research in Psychology, 3(2), 77–101. https://doi.org/10.1191/1478088706qp063oa</w:t>
      </w:r>
    </w:p>
    <w:p w14:paraId="2EC25218" w14:textId="77777777" w:rsidR="00E64B01" w:rsidRDefault="00000000">
      <w:pPr>
        <w:spacing w:after="100" w:line="320" w:lineRule="auto"/>
        <w:ind w:left="720" w:hanging="720"/>
        <w:jc w:val="both"/>
      </w:pPr>
      <w:r>
        <w:rPr>
          <w:sz w:val="22"/>
          <w:szCs w:val="22"/>
        </w:rPr>
        <w:t>Brookings Institution. (2025). Health and AI: Advancing responsible and ethical AI for all communities. https://www.brookings.edu/articles/health-and-ai-advancing-responsible-and-ethical-ai-for-all-communities/</w:t>
      </w:r>
    </w:p>
    <w:p w14:paraId="6FD42973" w14:textId="77777777" w:rsidR="00E64B01" w:rsidRDefault="00000000">
      <w:pPr>
        <w:spacing w:after="100" w:line="320" w:lineRule="auto"/>
        <w:ind w:left="720" w:hanging="720"/>
        <w:jc w:val="both"/>
      </w:pPr>
      <w:r>
        <w:rPr>
          <w:sz w:val="22"/>
          <w:szCs w:val="22"/>
        </w:rPr>
        <w:t xml:space="preserve">Ceccon, M., Cornacchia, G., Dalle Pezze, D., Fabris, A., &amp; </w:t>
      </w:r>
      <w:proofErr w:type="spellStart"/>
      <w:r>
        <w:rPr>
          <w:sz w:val="22"/>
          <w:szCs w:val="22"/>
        </w:rPr>
        <w:t>Susto</w:t>
      </w:r>
      <w:proofErr w:type="spellEnd"/>
      <w:r>
        <w:rPr>
          <w:sz w:val="22"/>
          <w:szCs w:val="22"/>
        </w:rPr>
        <w:t>, G. A. (2025). Underrepresentation, label bias, and proxies: Towards Data Bias Profiles for the EU AI Act and beyond. Expert Systems with Applications. https://doi.org/10.1016/j.eswa.2025.128266</w:t>
      </w:r>
    </w:p>
    <w:p w14:paraId="39470C9A" w14:textId="77777777" w:rsidR="00E64B01" w:rsidRDefault="00000000">
      <w:pPr>
        <w:spacing w:after="100" w:line="320" w:lineRule="auto"/>
        <w:ind w:left="720" w:hanging="720"/>
        <w:jc w:val="both"/>
      </w:pPr>
      <w:r>
        <w:rPr>
          <w:sz w:val="22"/>
          <w:szCs w:val="22"/>
        </w:rPr>
        <w:t xml:space="preserve">Chinta, S. V., Wang, Z., </w:t>
      </w:r>
      <w:proofErr w:type="spellStart"/>
      <w:r>
        <w:rPr>
          <w:sz w:val="22"/>
          <w:szCs w:val="22"/>
        </w:rPr>
        <w:t>Palikhe</w:t>
      </w:r>
      <w:proofErr w:type="spellEnd"/>
      <w:r>
        <w:rPr>
          <w:sz w:val="22"/>
          <w:szCs w:val="22"/>
        </w:rPr>
        <w:t>, A., Zhang, X., Kashif, A., Smith, M. A., et al. (2025). AI-driven healthcare: A review on ensuring fairness and mitigating bias. PLOS Digital Health, 4(5), e0000864. https://doi.org/10.1371/journal.pdig.0000864</w:t>
      </w:r>
    </w:p>
    <w:p w14:paraId="75BB321B" w14:textId="77777777" w:rsidR="00E64B01" w:rsidRDefault="00000000">
      <w:pPr>
        <w:spacing w:after="100" w:line="320" w:lineRule="auto"/>
        <w:ind w:left="720" w:hanging="720"/>
        <w:jc w:val="both"/>
      </w:pPr>
      <w:r>
        <w:rPr>
          <w:sz w:val="22"/>
          <w:szCs w:val="22"/>
        </w:rPr>
        <w:t xml:space="preserve">Cook, T. R., &amp; </w:t>
      </w:r>
      <w:proofErr w:type="spellStart"/>
      <w:r>
        <w:rPr>
          <w:sz w:val="22"/>
          <w:szCs w:val="22"/>
        </w:rPr>
        <w:t>Kazinnik</w:t>
      </w:r>
      <w:proofErr w:type="spellEnd"/>
      <w:r>
        <w:rPr>
          <w:sz w:val="22"/>
          <w:szCs w:val="22"/>
        </w:rPr>
        <w:t>, S. (2025). Social group bias in AI finance. Federal Reserve Bank of Kansas City / Stanford University. https://arxiv.org/pdf/2506.17490</w:t>
      </w:r>
    </w:p>
    <w:p w14:paraId="297E1E8F" w14:textId="77777777" w:rsidR="00E64B01" w:rsidRDefault="00000000">
      <w:pPr>
        <w:spacing w:after="100" w:line="320" w:lineRule="auto"/>
        <w:ind w:left="720" w:hanging="720"/>
        <w:jc w:val="both"/>
      </w:pPr>
      <w:r>
        <w:rPr>
          <w:sz w:val="22"/>
          <w:szCs w:val="22"/>
        </w:rPr>
        <w:t>Di Vaio, A., Palladino, R., Hassan, R., &amp; Escobar, O. (2020). Artificial intelligence and business models in the sustainable development goals perspective: A systematic literature review. Journal of Business Research, 121, 283–314. https://doi.org/10.1016/j.jbusres.2019.11.001</w:t>
      </w:r>
    </w:p>
    <w:p w14:paraId="66672B63" w14:textId="77777777" w:rsidR="00E64B01" w:rsidRDefault="00000000">
      <w:pPr>
        <w:spacing w:after="100" w:line="320" w:lineRule="auto"/>
        <w:ind w:left="720" w:hanging="720"/>
        <w:jc w:val="both"/>
      </w:pPr>
      <w:r>
        <w:rPr>
          <w:sz w:val="22"/>
          <w:szCs w:val="22"/>
        </w:rPr>
        <w:t xml:space="preserve">Dwivedi, Y. K., Hughes, L., </w:t>
      </w:r>
      <w:proofErr w:type="spellStart"/>
      <w:r>
        <w:rPr>
          <w:sz w:val="22"/>
          <w:szCs w:val="22"/>
        </w:rPr>
        <w:t>Ismagilova</w:t>
      </w:r>
      <w:proofErr w:type="spellEnd"/>
      <w:r>
        <w:rPr>
          <w:sz w:val="22"/>
          <w:szCs w:val="22"/>
        </w:rPr>
        <w:t>, E., Aarts, G., Coombs, C., Crick, T., &amp; Williams, M. D. (2021). Artificial Intelligence (AI): Multidisciplinary perspectives on emerging challenges, opportunities, and agenda for research, practice and policy. International Journal of Information Management, 57, 101994. https://doi.org/10.1016/j.ijinfomgt.2019.08.002</w:t>
      </w:r>
    </w:p>
    <w:p w14:paraId="1EF87432" w14:textId="77777777" w:rsidR="00E64B01" w:rsidRDefault="00000000">
      <w:pPr>
        <w:spacing w:after="100" w:line="320" w:lineRule="auto"/>
        <w:ind w:left="720" w:hanging="720"/>
        <w:jc w:val="both"/>
      </w:pPr>
      <w:r>
        <w:rPr>
          <w:sz w:val="22"/>
          <w:szCs w:val="22"/>
        </w:rPr>
        <w:t>EBSCO Research Starters. (2025). Algorithmic bias. https://www.ebsco.com/research-starters/computer-science/algorithmic-bias</w:t>
      </w:r>
    </w:p>
    <w:p w14:paraId="3C8E65FA" w14:textId="77777777" w:rsidR="00E64B01" w:rsidRDefault="00000000">
      <w:pPr>
        <w:spacing w:after="100" w:line="320" w:lineRule="auto"/>
        <w:ind w:left="720" w:hanging="720"/>
        <w:jc w:val="both"/>
      </w:pPr>
      <w:r>
        <w:rPr>
          <w:sz w:val="22"/>
          <w:szCs w:val="22"/>
        </w:rPr>
        <w:t>EU AI Act. (2024). Regulation (EU) 2024/1689 on artificial intelligence. European Union.</w:t>
      </w:r>
    </w:p>
    <w:p w14:paraId="3DEAEA0F" w14:textId="77777777" w:rsidR="00E64B01" w:rsidRDefault="00000000">
      <w:pPr>
        <w:spacing w:after="100" w:line="320" w:lineRule="auto"/>
        <w:ind w:left="720" w:hanging="720"/>
        <w:jc w:val="both"/>
      </w:pPr>
      <w:proofErr w:type="spellStart"/>
      <w:r>
        <w:rPr>
          <w:sz w:val="22"/>
          <w:szCs w:val="22"/>
        </w:rPr>
        <w:t>Giuggioli</w:t>
      </w:r>
      <w:proofErr w:type="spellEnd"/>
      <w:r>
        <w:rPr>
          <w:sz w:val="22"/>
          <w:szCs w:val="22"/>
        </w:rPr>
        <w:t xml:space="preserve">, G., &amp; Pellegrini, M. M. (2023). Artificial intelligence as an enabler for entrepreneurs: A systematic literature review and an agenda for future research. International Journal of </w:t>
      </w:r>
      <w:r>
        <w:rPr>
          <w:sz w:val="22"/>
          <w:szCs w:val="22"/>
        </w:rPr>
        <w:lastRenderedPageBreak/>
        <w:t xml:space="preserve">Entrepreneurial </w:t>
      </w:r>
      <w:proofErr w:type="spellStart"/>
      <w:r>
        <w:rPr>
          <w:sz w:val="22"/>
          <w:szCs w:val="22"/>
        </w:rPr>
        <w:t>Behavior</w:t>
      </w:r>
      <w:proofErr w:type="spellEnd"/>
      <w:r>
        <w:rPr>
          <w:sz w:val="22"/>
          <w:szCs w:val="22"/>
        </w:rPr>
        <w:t xml:space="preserve"> &amp; Research, 29(4), 816–837. https://doi.org/10.1108/IJEBR-07-2021-0556</w:t>
      </w:r>
    </w:p>
    <w:p w14:paraId="78220ACD" w14:textId="77777777" w:rsidR="00E64B01" w:rsidRDefault="00000000">
      <w:pPr>
        <w:spacing w:after="100" w:line="320" w:lineRule="auto"/>
        <w:ind w:left="720" w:hanging="720"/>
        <w:jc w:val="both"/>
      </w:pPr>
      <w:r>
        <w:rPr>
          <w:sz w:val="22"/>
          <w:szCs w:val="22"/>
        </w:rPr>
        <w:t>Gusto Insights Group. (2025). AI and new business formation: 2025 trends report. Gusto.</w:t>
      </w:r>
    </w:p>
    <w:p w14:paraId="4D055402" w14:textId="77777777" w:rsidR="00E64B01" w:rsidRDefault="00000000">
      <w:pPr>
        <w:spacing w:after="100" w:line="320" w:lineRule="auto"/>
        <w:ind w:left="720" w:hanging="720"/>
        <w:jc w:val="both"/>
      </w:pPr>
      <w:r>
        <w:rPr>
          <w:sz w:val="22"/>
          <w:szCs w:val="22"/>
        </w:rPr>
        <w:t>IBM Global AI Adoption Index. (2024). IBM Institute for Business Value. https://www.ibm.com/thought-leadership/institute-business-value/report/ai-adoption</w:t>
      </w:r>
    </w:p>
    <w:p w14:paraId="60749C2D" w14:textId="77777777" w:rsidR="00E64B01" w:rsidRDefault="00000000">
      <w:pPr>
        <w:spacing w:after="100" w:line="320" w:lineRule="auto"/>
        <w:ind w:left="720" w:hanging="720"/>
        <w:jc w:val="both"/>
      </w:pPr>
      <w:r>
        <w:rPr>
          <w:sz w:val="22"/>
          <w:szCs w:val="22"/>
        </w:rPr>
        <w:t>ISACA. (2024). Understanding the EU AI Act. ISACA White Paper. https://www.isaca.org/resources/white-papers/2024/understanding-the-eu-ai-act</w:t>
      </w:r>
    </w:p>
    <w:p w14:paraId="7498672D" w14:textId="77777777" w:rsidR="00E64B01" w:rsidRDefault="00000000">
      <w:pPr>
        <w:spacing w:after="100" w:line="320" w:lineRule="auto"/>
        <w:ind w:left="720" w:hanging="720"/>
        <w:jc w:val="both"/>
      </w:pPr>
      <w:r>
        <w:rPr>
          <w:sz w:val="22"/>
          <w:szCs w:val="22"/>
        </w:rPr>
        <w:t>IZA Institute of Labor Economics. (2024). Artificial intelligence and entrepreneurship (IZA DP No. 17055). https://docs.iza.org/dp17055.pdf</w:t>
      </w:r>
    </w:p>
    <w:p w14:paraId="15BB1AB8" w14:textId="77777777" w:rsidR="00E64B01" w:rsidRDefault="00000000">
      <w:pPr>
        <w:spacing w:after="100" w:line="320" w:lineRule="auto"/>
        <w:ind w:left="720" w:hanging="720"/>
        <w:jc w:val="both"/>
      </w:pPr>
      <w:r>
        <w:rPr>
          <w:sz w:val="22"/>
          <w:szCs w:val="22"/>
        </w:rPr>
        <w:t>Jeremiah, F. (2024). The human-AI dyad: Navigating the new frontier of entrepreneurial discourse. Futures, 103529. https://doi.org/10.1016/j.futures.2024.103529</w:t>
      </w:r>
    </w:p>
    <w:p w14:paraId="45FCB193" w14:textId="77777777" w:rsidR="00E64B01" w:rsidRDefault="00000000">
      <w:pPr>
        <w:spacing w:after="100" w:line="320" w:lineRule="auto"/>
        <w:ind w:left="720" w:hanging="720"/>
        <w:jc w:val="both"/>
      </w:pPr>
      <w:r>
        <w:rPr>
          <w:sz w:val="22"/>
          <w:szCs w:val="22"/>
        </w:rPr>
        <w:t>JMIR. (2025). Bias mitigation in primary health care artificial intelligence models: Scoping review. Journal of Medical Internet Research, 27, e60269. https://doi.org/10.2196/60269</w:t>
      </w:r>
    </w:p>
    <w:p w14:paraId="0A353F1B" w14:textId="77777777" w:rsidR="00E64B01" w:rsidRDefault="00000000">
      <w:pPr>
        <w:spacing w:after="100" w:line="320" w:lineRule="auto"/>
        <w:ind w:left="720" w:hanging="720"/>
        <w:jc w:val="both"/>
      </w:pPr>
      <w:r>
        <w:rPr>
          <w:sz w:val="22"/>
          <w:szCs w:val="22"/>
        </w:rPr>
        <w:t>Kahneman, D. (2011). Thinking, fast and slow. Farrar, Straus and Giroux.</w:t>
      </w:r>
    </w:p>
    <w:p w14:paraId="37C29519" w14:textId="77777777" w:rsidR="00E64B01" w:rsidRDefault="00000000">
      <w:pPr>
        <w:spacing w:after="100" w:line="320" w:lineRule="auto"/>
        <w:ind w:left="720" w:hanging="720"/>
        <w:jc w:val="both"/>
      </w:pPr>
      <w:proofErr w:type="spellStart"/>
      <w:r>
        <w:rPr>
          <w:sz w:val="22"/>
          <w:szCs w:val="22"/>
        </w:rPr>
        <w:t>Kuckertz</w:t>
      </w:r>
      <w:proofErr w:type="spellEnd"/>
      <w:r>
        <w:rPr>
          <w:sz w:val="22"/>
          <w:szCs w:val="22"/>
        </w:rPr>
        <w:t>, A. (2025). Gender bias and discrimination towards women entrepreneurs by venture capitalists: A randomized response survey. Venture Capital, 27(2), 1–24. https://doi.org/10.1080/13691066.2025.2493049</w:t>
      </w:r>
    </w:p>
    <w:p w14:paraId="3EDEB2F4" w14:textId="77777777" w:rsidR="00E64B01" w:rsidRDefault="00000000">
      <w:pPr>
        <w:spacing w:after="100" w:line="320" w:lineRule="auto"/>
        <w:ind w:left="720" w:hanging="720"/>
        <w:jc w:val="both"/>
      </w:pPr>
      <w:r>
        <w:rPr>
          <w:sz w:val="22"/>
          <w:szCs w:val="22"/>
        </w:rPr>
        <w:t>Kumar, A., et al. (2024). Artificial intelligence bias in medical system designs: A systematic review. Multimedia Tools and Applications, 83, 18005–18057. https://doi.org/10.1007/s11042-023-15165-y</w:t>
      </w:r>
    </w:p>
    <w:p w14:paraId="00841070" w14:textId="77777777" w:rsidR="00E64B01" w:rsidRDefault="00000000">
      <w:pPr>
        <w:spacing w:after="100" w:line="320" w:lineRule="auto"/>
        <w:ind w:left="720" w:hanging="720"/>
        <w:jc w:val="both"/>
      </w:pPr>
      <w:r>
        <w:rPr>
          <w:sz w:val="22"/>
          <w:szCs w:val="22"/>
        </w:rPr>
        <w:t xml:space="preserve">Mehrabi, N., </w:t>
      </w:r>
      <w:proofErr w:type="spellStart"/>
      <w:r>
        <w:rPr>
          <w:sz w:val="22"/>
          <w:szCs w:val="22"/>
        </w:rPr>
        <w:t>Morstatter</w:t>
      </w:r>
      <w:proofErr w:type="spellEnd"/>
      <w:r>
        <w:rPr>
          <w:sz w:val="22"/>
          <w:szCs w:val="22"/>
        </w:rPr>
        <w:t>, F., Saxena, N., Lerman, K., &amp; Galstyan, A. (2021). A survey on bias and fairness in machine learning. ACM Computing Surveys, 54(6), 1–35. https://doi.org/10.1145/3457607</w:t>
      </w:r>
    </w:p>
    <w:p w14:paraId="65774B56" w14:textId="77777777" w:rsidR="00E64B01" w:rsidRDefault="00000000">
      <w:pPr>
        <w:spacing w:after="100" w:line="320" w:lineRule="auto"/>
        <w:ind w:left="720" w:hanging="720"/>
        <w:jc w:val="both"/>
      </w:pPr>
      <w:r>
        <w:rPr>
          <w:sz w:val="22"/>
          <w:szCs w:val="22"/>
        </w:rPr>
        <w:t>Miami Law Review. (2025). Mitigating artificial intelligence bias in venture capital. University of Miami Law Review. https://lawreview.law.miami.edu/mitigating-artificial-intelligence-bias-in-venture-capital/</w:t>
      </w:r>
    </w:p>
    <w:p w14:paraId="2C921A5B" w14:textId="77777777" w:rsidR="00E64B01" w:rsidRDefault="00000000">
      <w:pPr>
        <w:spacing w:after="100" w:line="320" w:lineRule="auto"/>
        <w:ind w:left="720" w:hanging="720"/>
        <w:jc w:val="both"/>
      </w:pPr>
      <w:r>
        <w:rPr>
          <w:sz w:val="22"/>
          <w:szCs w:val="22"/>
        </w:rPr>
        <w:t>Nishant, R., Kennedy, M., &amp; Corbett, J. (2024). Artificial intelligence for sustainability: Challenges, opportunities and a research agenda. International Journal of Information Management, 53, 102104. https://doi.org/10.1016/j.ijinfomgt.2020.102104</w:t>
      </w:r>
    </w:p>
    <w:p w14:paraId="7C09DA84" w14:textId="77777777" w:rsidR="00E64B01" w:rsidRDefault="00000000">
      <w:pPr>
        <w:spacing w:after="100" w:line="320" w:lineRule="auto"/>
        <w:ind w:left="720" w:hanging="720"/>
        <w:jc w:val="both"/>
      </w:pPr>
      <w:proofErr w:type="spellStart"/>
      <w:r>
        <w:rPr>
          <w:sz w:val="22"/>
          <w:szCs w:val="22"/>
        </w:rPr>
        <w:t>npj</w:t>
      </w:r>
      <w:proofErr w:type="spellEnd"/>
      <w:r>
        <w:rPr>
          <w:sz w:val="22"/>
          <w:szCs w:val="22"/>
        </w:rPr>
        <w:t xml:space="preserve"> Digital Medicine. (2025). Bias recognition and mitigation strategies in artificial intelligence healthcare applications. </w:t>
      </w:r>
      <w:proofErr w:type="spellStart"/>
      <w:r>
        <w:rPr>
          <w:sz w:val="22"/>
          <w:szCs w:val="22"/>
        </w:rPr>
        <w:t>npj</w:t>
      </w:r>
      <w:proofErr w:type="spellEnd"/>
      <w:r>
        <w:rPr>
          <w:sz w:val="22"/>
          <w:szCs w:val="22"/>
        </w:rPr>
        <w:t xml:space="preserve"> Digital Medicine, 8, 154. https://doi.org/10.1038/s41746-025-01503-7</w:t>
      </w:r>
    </w:p>
    <w:p w14:paraId="2110E268" w14:textId="77777777" w:rsidR="00E64B01" w:rsidRDefault="00000000">
      <w:pPr>
        <w:spacing w:after="100" w:line="320" w:lineRule="auto"/>
        <w:ind w:left="720" w:hanging="720"/>
        <w:jc w:val="both"/>
      </w:pPr>
      <w:r>
        <w:rPr>
          <w:sz w:val="22"/>
          <w:szCs w:val="22"/>
        </w:rPr>
        <w:t>ORF Online. (2025). The European Union AI Act 2024: Understanding the context and exploring its future. https://www.orfonline.org/research/the-european-union-a-i-act-2024-understanding-the-context-and-exploring-its-future</w:t>
      </w:r>
    </w:p>
    <w:p w14:paraId="1FCA6B5A" w14:textId="77777777" w:rsidR="00E64B01" w:rsidRDefault="00000000">
      <w:pPr>
        <w:spacing w:after="100" w:line="320" w:lineRule="auto"/>
        <w:ind w:left="720" w:hanging="720"/>
        <w:jc w:val="both"/>
      </w:pPr>
      <w:r>
        <w:rPr>
          <w:sz w:val="22"/>
          <w:szCs w:val="22"/>
        </w:rPr>
        <w:lastRenderedPageBreak/>
        <w:t xml:space="preserve">Page, M. J., McKenzie, J. E., Bossuyt, P. M., </w:t>
      </w:r>
      <w:proofErr w:type="spellStart"/>
      <w:r>
        <w:rPr>
          <w:sz w:val="22"/>
          <w:szCs w:val="22"/>
        </w:rPr>
        <w:t>Boutron</w:t>
      </w:r>
      <w:proofErr w:type="spellEnd"/>
      <w:r>
        <w:rPr>
          <w:sz w:val="22"/>
          <w:szCs w:val="22"/>
        </w:rPr>
        <w:t>, I., Hoffmann, T. C., Mulrow, C. D., &amp; Moher, D. (2021). The PRISMA 2020 statement: An updated guideline for reporting systematic reviews. BMJ, 372, n71. https://doi.org/10.1136/bmj.n71</w:t>
      </w:r>
    </w:p>
    <w:p w14:paraId="33851EAF" w14:textId="77777777" w:rsidR="00E64B01" w:rsidRDefault="00000000">
      <w:pPr>
        <w:spacing w:after="100" w:line="320" w:lineRule="auto"/>
        <w:ind w:left="720" w:hanging="720"/>
        <w:jc w:val="both"/>
      </w:pPr>
      <w:r>
        <w:rPr>
          <w:sz w:val="22"/>
          <w:szCs w:val="22"/>
        </w:rPr>
        <w:t>PwC. (2024). The EU AI Act: Compliance and transformation. PwC CEE. https://cee.pwc.com/eu-ai-act-compliance-and-transformation.html</w:t>
      </w:r>
    </w:p>
    <w:p w14:paraId="14F6E1E4" w14:textId="77777777" w:rsidR="00E64B01" w:rsidRDefault="00000000">
      <w:pPr>
        <w:spacing w:after="100" w:line="320" w:lineRule="auto"/>
        <w:ind w:left="720" w:hanging="720"/>
        <w:jc w:val="both"/>
      </w:pPr>
      <w:r>
        <w:rPr>
          <w:sz w:val="22"/>
          <w:szCs w:val="22"/>
        </w:rPr>
        <w:t>ScienceDirect. (2025a). Entrepreneurial decision-making in the age of AI: Sector knowledge at the balance of intuition and analysis. Technology in Society. https://doi.org/10.1016/j.techsoc.2025.102588</w:t>
      </w:r>
    </w:p>
    <w:p w14:paraId="5E4491C9" w14:textId="77777777" w:rsidR="00E64B01" w:rsidRDefault="00000000">
      <w:pPr>
        <w:spacing w:after="100" w:line="320" w:lineRule="auto"/>
        <w:ind w:left="720" w:hanging="720"/>
        <w:jc w:val="both"/>
      </w:pPr>
      <w:r>
        <w:rPr>
          <w:sz w:val="22"/>
          <w:szCs w:val="22"/>
        </w:rPr>
        <w:t>ScienceDirect. (2025b). Fostering responsible AI adoption in startups through entrepreneurial orientation: A sustainable approach. Technological Forecasting and Social Change. https://doi.org/10.1016/j.techfore.2025.123789</w:t>
      </w:r>
    </w:p>
    <w:p w14:paraId="0799C170" w14:textId="77777777" w:rsidR="00E64B01" w:rsidRDefault="00000000">
      <w:pPr>
        <w:spacing w:after="100" w:line="320" w:lineRule="auto"/>
        <w:ind w:left="720" w:hanging="720"/>
        <w:jc w:val="both"/>
      </w:pPr>
      <w:proofErr w:type="spellStart"/>
      <w:r>
        <w:rPr>
          <w:sz w:val="22"/>
          <w:szCs w:val="22"/>
        </w:rPr>
        <w:t>SmartDev</w:t>
      </w:r>
      <w:proofErr w:type="spellEnd"/>
      <w:r>
        <w:rPr>
          <w:sz w:val="22"/>
          <w:szCs w:val="22"/>
        </w:rPr>
        <w:t>. (2025). AI bias and fairness: The definitive guide to ethical AI. https://smartdev.com/addressing-ai-bias-and-fairness-challenges-implications-and-strategies-for-ethical-ai/</w:t>
      </w:r>
    </w:p>
    <w:p w14:paraId="309E8B01" w14:textId="77777777" w:rsidR="00E64B01" w:rsidRDefault="00000000">
      <w:pPr>
        <w:spacing w:after="100" w:line="320" w:lineRule="auto"/>
        <w:ind w:left="720" w:hanging="720"/>
        <w:jc w:val="both"/>
      </w:pPr>
      <w:proofErr w:type="spellStart"/>
      <w:r>
        <w:rPr>
          <w:sz w:val="22"/>
          <w:szCs w:val="22"/>
        </w:rPr>
        <w:t>Tandfonline</w:t>
      </w:r>
      <w:proofErr w:type="spellEnd"/>
      <w:r>
        <w:rPr>
          <w:sz w:val="22"/>
          <w:szCs w:val="22"/>
        </w:rPr>
        <w:t>. (2024). Do FinTech algorithms reduce gender inequality in bank loans? A quantitative study from the USA. Journal of Economic Issues, 58(3). https://doi.org/10.1080/15140326.2024.2324247</w:t>
      </w:r>
    </w:p>
    <w:p w14:paraId="4D476A5F" w14:textId="77777777" w:rsidR="00E64B01" w:rsidRDefault="00000000">
      <w:pPr>
        <w:spacing w:after="100" w:line="320" w:lineRule="auto"/>
        <w:ind w:left="720" w:hanging="720"/>
        <w:jc w:val="both"/>
      </w:pPr>
      <w:r>
        <w:rPr>
          <w:sz w:val="22"/>
          <w:szCs w:val="22"/>
        </w:rPr>
        <w:t>Teodorescu, M. H. M., Sun, Y., Bhatia, H. N., &amp; Makridis, C. (2025). An analysis of the new EU AI Act and a proposed standardization framework for machine learning fairness. arxiv:2510.01281.</w:t>
      </w:r>
    </w:p>
    <w:p w14:paraId="47C8A384" w14:textId="77777777" w:rsidR="00E64B01" w:rsidRDefault="00000000">
      <w:pPr>
        <w:spacing w:after="100" w:line="320" w:lineRule="auto"/>
        <w:ind w:left="720" w:hanging="720"/>
        <w:jc w:val="both"/>
      </w:pPr>
      <w:r>
        <w:rPr>
          <w:sz w:val="22"/>
          <w:szCs w:val="22"/>
        </w:rPr>
        <w:t>The Conversation. (2026). AI and credit: How can we keep machines from reproducing social biases? https://theconversation.com/ai-and-credit-how-can-we-keep-machines-from-reproducing-social-biases-257756</w:t>
      </w:r>
    </w:p>
    <w:p w14:paraId="7735D318" w14:textId="77777777" w:rsidR="00E64B01" w:rsidRDefault="00000000">
      <w:pPr>
        <w:spacing w:after="100" w:line="320" w:lineRule="auto"/>
        <w:ind w:left="720" w:hanging="720"/>
        <w:jc w:val="both"/>
      </w:pPr>
      <w:r>
        <w:rPr>
          <w:sz w:val="22"/>
          <w:szCs w:val="22"/>
        </w:rPr>
        <w:t>Transparently AI. (2025). What is AI bias? Understanding the algorithmic echo. https://www.transparently.ai/blog/what-is-ai-bias</w:t>
      </w:r>
    </w:p>
    <w:p w14:paraId="66F03F3F" w14:textId="77777777" w:rsidR="00E64B01" w:rsidRDefault="00000000">
      <w:pPr>
        <w:spacing w:after="100" w:line="320" w:lineRule="auto"/>
        <w:ind w:left="720" w:hanging="720"/>
        <w:jc w:val="both"/>
      </w:pPr>
      <w:proofErr w:type="spellStart"/>
      <w:r>
        <w:rPr>
          <w:sz w:val="22"/>
          <w:szCs w:val="22"/>
        </w:rPr>
        <w:t>Vestbee</w:t>
      </w:r>
      <w:proofErr w:type="spellEnd"/>
      <w:r>
        <w:rPr>
          <w:sz w:val="22"/>
          <w:szCs w:val="22"/>
        </w:rPr>
        <w:t>. (2025). EU AI Act takes effect, and startups push back. https://www.vestbee.com/insights/articles/eu-ai-act-takes-effect-what-you-need-to-know</w:t>
      </w:r>
    </w:p>
    <w:p w14:paraId="29B733B9" w14:textId="77777777" w:rsidR="00E64B01" w:rsidRDefault="00000000">
      <w:pPr>
        <w:spacing w:after="100" w:line="320" w:lineRule="auto"/>
        <w:ind w:left="720" w:hanging="720"/>
        <w:jc w:val="both"/>
      </w:pPr>
      <w:r>
        <w:rPr>
          <w:sz w:val="22"/>
          <w:szCs w:val="22"/>
        </w:rPr>
        <w:t>World Bank. (2025). The intersection of gender data gaps and AI: Redefining future workplace. World Bank Working Paper. https://thedocs.worldbank.org/en/doc/9fe224595c1ecfe9e508d7f3be205a8d-0080012025</w:t>
      </w:r>
    </w:p>
    <w:p w14:paraId="7447FFE5" w14:textId="77777777" w:rsidR="00E64B01" w:rsidRDefault="00000000">
      <w:pPr>
        <w:spacing w:after="100" w:line="320" w:lineRule="auto"/>
        <w:ind w:left="720" w:hanging="720"/>
        <w:jc w:val="both"/>
      </w:pPr>
      <w:r>
        <w:rPr>
          <w:sz w:val="22"/>
          <w:szCs w:val="22"/>
        </w:rPr>
        <w:t>World Bank Fintech Paper. (2025). Mindsets and management: AI and gender (in)equitable access to finance. arxiv:2504.07312.</w:t>
      </w:r>
    </w:p>
    <w:p w14:paraId="0930DD2B" w14:textId="77777777" w:rsidR="00E64B01" w:rsidRDefault="00E64B01">
      <w:pPr>
        <w:spacing w:after="200"/>
      </w:pPr>
    </w:p>
    <w:sectPr w:rsidR="00E64B01">
      <w:headerReference w:type="default" r:id="rId7"/>
      <w:footerReference w:type="default" r:id="rId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910E21" w14:textId="77777777" w:rsidR="000630ED" w:rsidRDefault="000630ED">
      <w:r>
        <w:separator/>
      </w:r>
    </w:p>
  </w:endnote>
  <w:endnote w:type="continuationSeparator" w:id="0">
    <w:p w14:paraId="524DC9BF" w14:textId="77777777" w:rsidR="000630ED" w:rsidRDefault="00063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9AC16" w14:textId="77777777" w:rsidR="00E64B01" w:rsidRDefault="00000000">
    <w:pPr>
      <w:pBdr>
        <w:top w:val="single" w:sz="4" w:space="1" w:color="1A237E"/>
      </w:pBdr>
      <w:jc w:val="center"/>
    </w:pPr>
    <w:r>
      <w:rPr>
        <w:rFonts w:ascii="Arial" w:eastAsia="Arial" w:hAnsi="Arial" w:cs="Arial"/>
        <w:sz w:val="20"/>
        <w:szCs w:val="20"/>
      </w:rPr>
      <w:fldChar w:fldCharType="begin"/>
    </w:r>
    <w:r>
      <w:rPr>
        <w:rFonts w:ascii="Arial" w:eastAsia="Arial" w:hAnsi="Arial" w:cs="Arial"/>
        <w:sz w:val="20"/>
        <w:szCs w:val="20"/>
      </w:rPr>
      <w:instrText>PAGE</w:instrText>
    </w:r>
    <w:r>
      <w:rPr>
        <w:rFonts w:ascii="Arial" w:eastAsia="Arial" w:hAnsi="Arial" w:cs="Arial"/>
        <w:sz w:val="20"/>
        <w:szCs w:val="20"/>
      </w:rPr>
      <w:fldChar w:fldCharType="separate"/>
    </w:r>
    <w:r w:rsidR="00F94DD9">
      <w:rPr>
        <w:rFonts w:ascii="Arial" w:eastAsia="Arial" w:hAnsi="Arial" w:cs="Arial"/>
        <w:noProof/>
        <w:sz w:val="20"/>
        <w:szCs w:val="20"/>
      </w:rPr>
      <w:t>1</w:t>
    </w:r>
    <w:r>
      <w:rPr>
        <w:rFonts w:ascii="Arial" w:eastAsia="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BF54AF" w14:textId="77777777" w:rsidR="000630ED" w:rsidRDefault="000630ED">
      <w:r>
        <w:separator/>
      </w:r>
    </w:p>
  </w:footnote>
  <w:footnote w:type="continuationSeparator" w:id="0">
    <w:p w14:paraId="2A94AF41" w14:textId="77777777" w:rsidR="000630ED" w:rsidRDefault="000630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00E616" w14:textId="77777777" w:rsidR="00E64B01" w:rsidRDefault="00000000">
    <w:pPr>
      <w:pBdr>
        <w:bottom w:val="single" w:sz="6" w:space="1" w:color="1A237E"/>
      </w:pBdr>
    </w:pPr>
    <w:r>
      <w:rPr>
        <w:rFonts w:ascii="Arial" w:eastAsia="Arial" w:hAnsi="Arial" w:cs="Arial"/>
        <w:i/>
        <w:iCs/>
        <w:color w:val="3949AB"/>
        <w:sz w:val="18"/>
        <w:szCs w:val="18"/>
      </w:rPr>
      <w:t>Artificial Intelligence and Bias: Questions, Challenges, and Opportunities for Entrepreneurship — IJEBR Systematic Literature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261468"/>
    <w:multiLevelType w:val="hybridMultilevel"/>
    <w:tmpl w:val="33826936"/>
    <w:lvl w:ilvl="0" w:tplc="D4F2BF42">
      <w:start w:val="1"/>
      <w:numFmt w:val="bullet"/>
      <w:lvlText w:val="●"/>
      <w:lvlJc w:val="left"/>
      <w:pPr>
        <w:ind w:left="720" w:hanging="360"/>
      </w:pPr>
    </w:lvl>
    <w:lvl w:ilvl="1" w:tplc="BCD49EB6">
      <w:start w:val="1"/>
      <w:numFmt w:val="bullet"/>
      <w:lvlText w:val="○"/>
      <w:lvlJc w:val="left"/>
      <w:pPr>
        <w:ind w:left="1440" w:hanging="360"/>
      </w:pPr>
    </w:lvl>
    <w:lvl w:ilvl="2" w:tplc="26EC9822">
      <w:start w:val="1"/>
      <w:numFmt w:val="bullet"/>
      <w:lvlText w:val="■"/>
      <w:lvlJc w:val="left"/>
      <w:pPr>
        <w:ind w:left="2160" w:hanging="360"/>
      </w:pPr>
    </w:lvl>
    <w:lvl w:ilvl="3" w:tplc="DBE0B830">
      <w:start w:val="1"/>
      <w:numFmt w:val="bullet"/>
      <w:lvlText w:val="●"/>
      <w:lvlJc w:val="left"/>
      <w:pPr>
        <w:ind w:left="2880" w:hanging="360"/>
      </w:pPr>
    </w:lvl>
    <w:lvl w:ilvl="4" w:tplc="9FF64374">
      <w:start w:val="1"/>
      <w:numFmt w:val="bullet"/>
      <w:lvlText w:val="○"/>
      <w:lvlJc w:val="left"/>
      <w:pPr>
        <w:ind w:left="3600" w:hanging="360"/>
      </w:pPr>
    </w:lvl>
    <w:lvl w:ilvl="5" w:tplc="10002232">
      <w:start w:val="1"/>
      <w:numFmt w:val="bullet"/>
      <w:lvlText w:val="■"/>
      <w:lvlJc w:val="left"/>
      <w:pPr>
        <w:ind w:left="4320" w:hanging="360"/>
      </w:pPr>
    </w:lvl>
    <w:lvl w:ilvl="6" w:tplc="65248DB8">
      <w:start w:val="1"/>
      <w:numFmt w:val="bullet"/>
      <w:lvlText w:val="●"/>
      <w:lvlJc w:val="left"/>
      <w:pPr>
        <w:ind w:left="5040" w:hanging="360"/>
      </w:pPr>
    </w:lvl>
    <w:lvl w:ilvl="7" w:tplc="5412BA8E">
      <w:start w:val="1"/>
      <w:numFmt w:val="bullet"/>
      <w:lvlText w:val="●"/>
      <w:lvlJc w:val="left"/>
      <w:pPr>
        <w:ind w:left="5760" w:hanging="360"/>
      </w:pPr>
    </w:lvl>
    <w:lvl w:ilvl="8" w:tplc="585C445E">
      <w:start w:val="1"/>
      <w:numFmt w:val="bullet"/>
      <w:lvlText w:val="●"/>
      <w:lvlJc w:val="left"/>
      <w:pPr>
        <w:ind w:left="6480" w:hanging="360"/>
      </w:pPr>
    </w:lvl>
  </w:abstractNum>
  <w:num w:numId="1" w16cid:durableId="31294874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B01"/>
    <w:rsid w:val="000630ED"/>
    <w:rsid w:val="000C0B49"/>
    <w:rsid w:val="000E1A41"/>
    <w:rsid w:val="001F2941"/>
    <w:rsid w:val="007C3523"/>
    <w:rsid w:val="009D2A08"/>
    <w:rsid w:val="00AE19E9"/>
    <w:rsid w:val="00AE417D"/>
    <w:rsid w:val="00B74C05"/>
    <w:rsid w:val="00C53593"/>
    <w:rsid w:val="00D07098"/>
    <w:rsid w:val="00E64B01"/>
    <w:rsid w:val="00F94DD9"/>
  </w:rsids>
  <m:mathPr>
    <m:mathFont m:val="Cambria Math"/>
    <m:brkBin m:val="before"/>
    <m:brkBinSub m:val="--"/>
    <m:smallFrac m:val="0"/>
    <m:dispDef/>
    <m:lMargin m:val="0"/>
    <m:rMargin m:val="0"/>
    <m:defJc m:val="centerGroup"/>
    <m:wrapIndent m:val="1440"/>
    <m:intLim m:val="subSup"/>
    <m:naryLim m:val="undOvr"/>
  </m:mathPr>
  <w:themeFontLang w:val="en-B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32C7C"/>
  <w15:docId w15:val="{ED66FC62-AD87-41A0-9122-F7C8AC8B0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color w:val="1A1A1A"/>
        <w:sz w:val="24"/>
        <w:szCs w:val="24"/>
        <w:lang w:val="en-BW" w:eastAsia="en-B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20" w:after="100"/>
      <w:outlineLvl w:val="0"/>
    </w:pPr>
    <w:rPr>
      <w:rFonts w:ascii="Arial" w:eastAsia="Arial" w:hAnsi="Arial" w:cs="Arial"/>
      <w:b/>
      <w:bCs/>
      <w:color w:val="1A237E"/>
      <w:sz w:val="26"/>
      <w:szCs w:val="26"/>
    </w:rPr>
  </w:style>
  <w:style w:type="paragraph" w:styleId="Heading2">
    <w:name w:val="heading 2"/>
    <w:uiPriority w:val="9"/>
    <w:semiHidden/>
    <w:unhideWhenUsed/>
    <w:qFormat/>
    <w:pPr>
      <w:spacing w:before="240" w:after="80"/>
      <w:outlineLvl w:val="1"/>
    </w:pPr>
    <w:rPr>
      <w:rFonts w:ascii="Arial" w:eastAsia="Arial" w:hAnsi="Arial" w:cs="Arial"/>
      <w:b/>
      <w:bCs/>
      <w:i/>
      <w:iCs/>
      <w:color w:val="3949AB"/>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22</Pages>
  <Words>8291</Words>
  <Characters>47264</Characters>
  <Application>Microsoft Office Word</Application>
  <DocSecurity>0</DocSecurity>
  <Lines>393</Lines>
  <Paragraphs>110</Paragraphs>
  <ScaleCrop>false</ScaleCrop>
  <Company/>
  <LinksUpToDate>false</LinksUpToDate>
  <CharactersWithSpaces>55445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Madisa,Mayibongwe Kagiso</cp:lastModifiedBy>
  <cp:revision>9</cp:revision>
  <dcterms:created xsi:type="dcterms:W3CDTF">2026-06-03T04:38:00Z</dcterms:created>
  <dcterms:modified xsi:type="dcterms:W3CDTF">2026-06-13T00:57:00Z</dcterms:modified>
</cp:coreProperties>
</file>