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780608" w14:textId="77777777" w:rsidR="00BF45E0" w:rsidRDefault="00BF45E0" w:rsidP="006174F5">
      <w:pPr>
        <w:jc w:val="center"/>
        <w:rPr>
          <w:rFonts w:asciiTheme="majorBidi" w:hAnsiTheme="majorBidi" w:cstheme="majorBidi"/>
          <w:b/>
          <w:bCs/>
          <w:sz w:val="28"/>
          <w:szCs w:val="28"/>
        </w:rPr>
      </w:pPr>
    </w:p>
    <w:p w14:paraId="7B90F5BE" w14:textId="54FBFF25" w:rsidR="00F55A7D" w:rsidRPr="00BF45E0" w:rsidRDefault="00F55A7D" w:rsidP="006174F5">
      <w:pPr>
        <w:jc w:val="center"/>
        <w:rPr>
          <w:rFonts w:asciiTheme="majorBidi" w:hAnsiTheme="majorBidi" w:cstheme="majorBidi"/>
          <w:b/>
          <w:bCs/>
          <w:sz w:val="28"/>
          <w:szCs w:val="28"/>
        </w:rPr>
      </w:pPr>
      <w:r w:rsidRPr="00BF45E0">
        <w:rPr>
          <w:rFonts w:asciiTheme="majorBidi" w:hAnsiTheme="majorBidi" w:cstheme="majorBidi"/>
          <w:b/>
          <w:bCs/>
          <w:sz w:val="28"/>
          <w:szCs w:val="28"/>
        </w:rPr>
        <w:t>Financial Stabilization Models in Developing Economies: An Analysis of Somalia’s Economic Recovery and Macroeconomic Reform</w:t>
      </w:r>
    </w:p>
    <w:p w14:paraId="7DB89F6D" w14:textId="77777777" w:rsidR="00D05406" w:rsidRPr="00C32D25" w:rsidRDefault="00D05406" w:rsidP="00D05406">
      <w:pPr>
        <w:jc w:val="center"/>
        <w:rPr>
          <w:rFonts w:asciiTheme="majorBidi" w:hAnsiTheme="majorBidi" w:cstheme="majorBidi"/>
          <w:sz w:val="24"/>
          <w:szCs w:val="24"/>
        </w:rPr>
      </w:pPr>
      <w:r w:rsidRPr="00C32D25">
        <w:rPr>
          <w:rFonts w:asciiTheme="majorBidi" w:hAnsiTheme="majorBidi" w:cstheme="majorBidi"/>
          <w:sz w:val="24"/>
          <w:szCs w:val="24"/>
        </w:rPr>
        <w:t xml:space="preserve"/>
      </w:r>
      <w:hyperlink r:id="rId7" w:history="1">
        <w:r w:rsidRPr="00C32D25">
          <w:rPr>
            <w:rStyle w:val="Hyperlink"/>
            <w:rFonts w:asciiTheme="majorBidi" w:hAnsiTheme="majorBidi" w:cstheme="majorBidi"/>
            <w:color w:val="auto"/>
            <w:sz w:val="24"/>
            <w:szCs w:val="24"/>
          </w:rPr>
          <w:t/>
        </w:r>
      </w:hyperlink>
    </w:p>
    <w:p w14:paraId="34080289" w14:textId="77777777" w:rsidR="00652002" w:rsidRPr="00652002" w:rsidRDefault="00652002" w:rsidP="00652002">
      <w:pPr>
        <w:jc w:val="both"/>
        <w:rPr>
          <w:rFonts w:asciiTheme="majorBidi" w:hAnsiTheme="majorBidi" w:cstheme="majorBidi"/>
          <w:b/>
          <w:bCs/>
          <w:sz w:val="24"/>
          <w:szCs w:val="24"/>
        </w:rPr>
      </w:pPr>
      <w:r w:rsidRPr="00652002">
        <w:rPr>
          <w:rFonts w:asciiTheme="majorBidi" w:hAnsiTheme="majorBidi" w:cstheme="majorBidi"/>
          <w:b/>
          <w:bCs/>
          <w:sz w:val="24"/>
          <w:szCs w:val="24"/>
        </w:rPr>
        <w:t>Abstract</w:t>
      </w:r>
    </w:p>
    <w:p w14:paraId="32562341" w14:textId="77777777" w:rsidR="00652002" w:rsidRPr="00652002" w:rsidRDefault="00652002" w:rsidP="00652002">
      <w:pPr>
        <w:jc w:val="both"/>
        <w:rPr>
          <w:rFonts w:asciiTheme="majorBidi" w:hAnsiTheme="majorBidi" w:cstheme="majorBidi"/>
          <w:sz w:val="24"/>
          <w:szCs w:val="24"/>
        </w:rPr>
      </w:pPr>
      <w:r w:rsidRPr="00652002">
        <w:rPr>
          <w:rFonts w:asciiTheme="majorBidi" w:hAnsiTheme="majorBidi" w:cstheme="majorBidi"/>
          <w:sz w:val="24"/>
          <w:szCs w:val="24"/>
        </w:rPr>
        <w:t xml:space="preserve">This paper examines the financial stabilization and macroeconomic reconstruction models applied in fragile and conflict-affected states (FCAS), using post-war Somalia as a primary case study. Following decades of institutional collapse, de facto dollarization, and an unregulated parallel financial ecosystem, Somalia achieved a historic milestone by reaching the IMF and World Bank Heavily Indebted Poor Countries (HIPC) Completion Point in late 2023. This milestone wiped out billions in external debt and unlocked a structured path toward economic formalization. This study </w:t>
      </w:r>
      <w:proofErr w:type="spellStart"/>
      <w:r w:rsidRPr="00652002">
        <w:rPr>
          <w:rFonts w:asciiTheme="majorBidi" w:hAnsiTheme="majorBidi" w:cstheme="majorBidi"/>
          <w:sz w:val="24"/>
          <w:szCs w:val="24"/>
        </w:rPr>
        <w:t>analyzes</w:t>
      </w:r>
      <w:proofErr w:type="spellEnd"/>
      <w:r w:rsidRPr="00652002">
        <w:rPr>
          <w:rFonts w:asciiTheme="majorBidi" w:hAnsiTheme="majorBidi" w:cstheme="majorBidi"/>
          <w:sz w:val="24"/>
          <w:szCs w:val="24"/>
        </w:rPr>
        <w:t xml:space="preserve"> the unconventional stabilization mechanisms that kept the Somali economy afloat during statelessness—specifically diaspora remittances and mobile money platforms—and contrasts them with the formal structural adjustments implemented under the National Transformation Plan (NTP).</w:t>
      </w:r>
    </w:p>
    <w:p w14:paraId="2D933427" w14:textId="77777777" w:rsidR="00652002" w:rsidRDefault="00652002" w:rsidP="00652002">
      <w:pPr>
        <w:jc w:val="both"/>
        <w:rPr>
          <w:rFonts w:asciiTheme="majorBidi" w:hAnsiTheme="majorBidi" w:cstheme="majorBidi"/>
          <w:sz w:val="24"/>
          <w:szCs w:val="24"/>
        </w:rPr>
      </w:pPr>
      <w:r w:rsidRPr="00652002">
        <w:rPr>
          <w:rFonts w:asciiTheme="majorBidi" w:hAnsiTheme="majorBidi" w:cstheme="majorBidi"/>
          <w:sz w:val="24"/>
          <w:szCs w:val="24"/>
        </w:rPr>
        <w:t>Using a qualitative and exploratory research design backed by secondary macroeconomic data from the Central Bank of Somalia (CBS), the World Bank, and the IMF, the paper evaluates the country's dual challenge: building a functioning fiscal federalist framework while managing a highly dollarized economy with zero traditional monetary transmission channels. The empirical findings indicate that while institutional reforms have substantially boosted domestic revenue mobilization and commercial banking oversight, long-term stabilization remains highly vulnerable to climate-driven supply shocks and structural credit shortages. The paper concludes with strategic policy models designed to transition Somalia from crisis-driven survival to self-sustaining economic growth.</w:t>
      </w:r>
    </w:p>
    <w:tbl>
      <w:tblPr>
        <w:tblStyle w:val="TableGrid"/>
        <w:tblW w:w="0" w:type="auto"/>
        <w:tblLook w:val="04A0" w:firstRow="1" w:lastRow="0" w:firstColumn="1" w:lastColumn="0" w:noHBand="0" w:noVBand="1"/>
      </w:tblPr>
      <w:tblGrid>
        <w:gridCol w:w="9016"/>
      </w:tblGrid>
      <w:tr w:rsidR="00652002" w14:paraId="43E83259" w14:textId="77777777" w:rsidTr="00652002">
        <w:tc>
          <w:tcPr>
            <w:tcW w:w="9016" w:type="dxa"/>
          </w:tcPr>
          <w:p w14:paraId="3CA292D8" w14:textId="6F316637" w:rsidR="00652002" w:rsidRPr="00652002" w:rsidRDefault="00652002" w:rsidP="00652002">
            <w:pPr>
              <w:jc w:val="both"/>
              <w:rPr>
                <w:rFonts w:asciiTheme="majorBidi" w:hAnsiTheme="majorBidi" w:cstheme="majorBidi"/>
                <w:b/>
                <w:bCs/>
                <w:sz w:val="24"/>
                <w:szCs w:val="24"/>
              </w:rPr>
            </w:pPr>
            <w:r w:rsidRPr="00652002">
              <w:rPr>
                <w:rFonts w:asciiTheme="majorBidi" w:hAnsiTheme="majorBidi" w:cstheme="majorBidi"/>
                <w:b/>
                <w:bCs/>
                <w:sz w:val="24"/>
                <w:szCs w:val="24"/>
              </w:rPr>
              <w:t xml:space="preserve">Keywords: </w:t>
            </w:r>
            <w:r w:rsidRPr="00652002">
              <w:rPr>
                <w:rFonts w:asciiTheme="majorBidi" w:hAnsiTheme="majorBidi" w:cstheme="majorBidi"/>
                <w:b/>
                <w:bCs/>
                <w:i/>
                <w:iCs/>
                <w:sz w:val="24"/>
                <w:szCs w:val="24"/>
              </w:rPr>
              <w:t>Macroeconomic Reform, Financial Stabilization, Somalia Economy, HIPC Debt Relief, Dollarization, Fragile States, Fiscal Federalism.</w:t>
            </w:r>
          </w:p>
        </w:tc>
      </w:tr>
    </w:tbl>
    <w:p w14:paraId="6C8FD91B" w14:textId="77777777" w:rsidR="00652002" w:rsidRPr="00652002" w:rsidRDefault="00652002" w:rsidP="00652002">
      <w:pPr>
        <w:jc w:val="both"/>
        <w:rPr>
          <w:rFonts w:asciiTheme="majorBidi" w:hAnsiTheme="majorBidi" w:cstheme="majorBidi"/>
          <w:sz w:val="24"/>
          <w:szCs w:val="24"/>
        </w:rPr>
      </w:pPr>
    </w:p>
    <w:p w14:paraId="63526CB2" w14:textId="77777777" w:rsidR="00652002" w:rsidRPr="00652002" w:rsidRDefault="00652002" w:rsidP="00652002">
      <w:pPr>
        <w:jc w:val="both"/>
        <w:rPr>
          <w:rFonts w:asciiTheme="majorBidi" w:hAnsiTheme="majorBidi" w:cstheme="majorBidi"/>
          <w:b/>
          <w:bCs/>
          <w:sz w:val="24"/>
          <w:szCs w:val="24"/>
        </w:rPr>
      </w:pPr>
      <w:r w:rsidRPr="00652002">
        <w:rPr>
          <w:rFonts w:asciiTheme="majorBidi" w:hAnsiTheme="majorBidi" w:cstheme="majorBidi"/>
          <w:b/>
          <w:bCs/>
          <w:sz w:val="24"/>
          <w:szCs w:val="24"/>
        </w:rPr>
        <w:t>1. Introduction</w:t>
      </w:r>
    </w:p>
    <w:p w14:paraId="6C20D3E2" w14:textId="77777777" w:rsidR="00652002" w:rsidRPr="00652002" w:rsidRDefault="00652002" w:rsidP="00652002">
      <w:pPr>
        <w:jc w:val="both"/>
        <w:rPr>
          <w:rFonts w:asciiTheme="majorBidi" w:hAnsiTheme="majorBidi" w:cstheme="majorBidi"/>
          <w:b/>
          <w:bCs/>
          <w:sz w:val="24"/>
          <w:szCs w:val="24"/>
        </w:rPr>
      </w:pPr>
      <w:r w:rsidRPr="00652002">
        <w:rPr>
          <w:rFonts w:asciiTheme="majorBidi" w:hAnsiTheme="majorBidi" w:cstheme="majorBidi"/>
          <w:b/>
          <w:bCs/>
          <w:sz w:val="24"/>
          <w:szCs w:val="24"/>
        </w:rPr>
        <w:t>1.1 Background of the Study</w:t>
      </w:r>
    </w:p>
    <w:p w14:paraId="426D8288" w14:textId="77777777" w:rsidR="00652002" w:rsidRPr="00652002" w:rsidRDefault="00652002" w:rsidP="00652002">
      <w:pPr>
        <w:jc w:val="both"/>
        <w:rPr>
          <w:rFonts w:asciiTheme="majorBidi" w:hAnsiTheme="majorBidi" w:cstheme="majorBidi"/>
          <w:sz w:val="24"/>
          <w:szCs w:val="24"/>
        </w:rPr>
      </w:pPr>
      <w:r w:rsidRPr="00652002">
        <w:rPr>
          <w:rFonts w:asciiTheme="majorBidi" w:hAnsiTheme="majorBidi" w:cstheme="majorBidi"/>
          <w:sz w:val="24"/>
          <w:szCs w:val="24"/>
        </w:rPr>
        <w:t>The reconstruction of macroeconomic architecture in fragile and conflict-affected states (FCAS) represents one of the most complex challenges in development economics. Traditional financial stabilization models, typically built around standard monetary policy levers, central bank interest rate interventions, and formalized tax collection grids, often fail when applied to states emerging from protracted conflict. In these settings, formal state apparatuses are frequently replaced by highly resilient, informal market networks.</w:t>
      </w:r>
    </w:p>
    <w:p w14:paraId="003703C3" w14:textId="77777777" w:rsidR="00AF4170" w:rsidRDefault="00AF4170" w:rsidP="00652002">
      <w:pPr>
        <w:jc w:val="both"/>
        <w:rPr>
          <w:rFonts w:asciiTheme="majorBidi" w:hAnsiTheme="majorBidi" w:cstheme="majorBidi"/>
          <w:sz w:val="24"/>
          <w:szCs w:val="24"/>
        </w:rPr>
      </w:pPr>
    </w:p>
    <w:p w14:paraId="39F1B303" w14:textId="77777777" w:rsidR="00AF4170" w:rsidRDefault="00AF4170" w:rsidP="00652002">
      <w:pPr>
        <w:jc w:val="both"/>
        <w:rPr>
          <w:rFonts w:asciiTheme="majorBidi" w:hAnsiTheme="majorBidi" w:cstheme="majorBidi"/>
          <w:sz w:val="24"/>
          <w:szCs w:val="24"/>
        </w:rPr>
      </w:pPr>
    </w:p>
    <w:p w14:paraId="7E3577F0" w14:textId="086D41A6" w:rsidR="00652002" w:rsidRPr="00652002" w:rsidRDefault="00652002" w:rsidP="00652002">
      <w:pPr>
        <w:jc w:val="both"/>
        <w:rPr>
          <w:rFonts w:asciiTheme="majorBidi" w:hAnsiTheme="majorBidi" w:cstheme="majorBidi"/>
          <w:sz w:val="24"/>
          <w:szCs w:val="24"/>
        </w:rPr>
      </w:pPr>
      <w:r w:rsidRPr="00652002">
        <w:rPr>
          <w:rFonts w:asciiTheme="majorBidi" w:hAnsiTheme="majorBidi" w:cstheme="majorBidi"/>
          <w:sz w:val="24"/>
          <w:szCs w:val="24"/>
        </w:rPr>
        <w:lastRenderedPageBreak/>
        <w:t>Somalia presents a compelling, highly unconventional case study within this paradigm. Following the collapse of the central government in 1991, the nation lacked a functioning central bank, a formal commercial banking sector, and a legally recognized national currency for nearly three decades. Despite the absence of formal governance, the private sector adapted by establishing sophisticated, unregulated networks driven by diaspora remittances and private telecommunications companies.</w:t>
      </w:r>
    </w:p>
    <w:p w14:paraId="64473EE7" w14:textId="77777777" w:rsidR="00652002" w:rsidRPr="00652002" w:rsidRDefault="00652002" w:rsidP="00652002">
      <w:pPr>
        <w:jc w:val="both"/>
        <w:rPr>
          <w:rFonts w:asciiTheme="majorBidi" w:hAnsiTheme="majorBidi" w:cstheme="majorBidi"/>
          <w:b/>
          <w:bCs/>
          <w:sz w:val="24"/>
          <w:szCs w:val="24"/>
        </w:rPr>
      </w:pPr>
      <w:r w:rsidRPr="00652002">
        <w:rPr>
          <w:rFonts w:asciiTheme="majorBidi" w:hAnsiTheme="majorBidi" w:cstheme="majorBidi"/>
          <w:b/>
          <w:bCs/>
          <w:sz w:val="24"/>
          <w:szCs w:val="24"/>
        </w:rPr>
        <w:t>1.2 Problem Statement</w:t>
      </w:r>
    </w:p>
    <w:p w14:paraId="1C45028E" w14:textId="77777777" w:rsidR="00652002" w:rsidRPr="00652002" w:rsidRDefault="00652002" w:rsidP="00652002">
      <w:pPr>
        <w:jc w:val="both"/>
        <w:rPr>
          <w:rFonts w:asciiTheme="majorBidi" w:hAnsiTheme="majorBidi" w:cstheme="majorBidi"/>
          <w:sz w:val="24"/>
          <w:szCs w:val="24"/>
        </w:rPr>
      </w:pPr>
      <w:r w:rsidRPr="00652002">
        <w:rPr>
          <w:rFonts w:asciiTheme="majorBidi" w:hAnsiTheme="majorBidi" w:cstheme="majorBidi"/>
          <w:sz w:val="24"/>
          <w:szCs w:val="24"/>
        </w:rPr>
        <w:t>While informal networks prevented total economic collapse, they created a highly volatile macroeconomic environment prone to structural bottlenecks. The total absence of regulatory oversight exposed the financial system to international "de-risking"—where foreign banks severed correspondent banking relations with Somali money transfer operators due to Anti-Money Laundering and Counter-Financing of Terrorism (AML/CFT) concerns. Furthermore, total reliance on the U.S. dollar stripped the state of its monetary sovereignty, leaving it unable to manage inflation or smooth out economic cycles.</w:t>
      </w:r>
    </w:p>
    <w:p w14:paraId="1E7FC4E0" w14:textId="77777777" w:rsidR="00652002" w:rsidRPr="00652002" w:rsidRDefault="00652002" w:rsidP="00652002">
      <w:pPr>
        <w:jc w:val="both"/>
        <w:rPr>
          <w:rFonts w:asciiTheme="majorBidi" w:hAnsiTheme="majorBidi" w:cstheme="majorBidi"/>
          <w:sz w:val="24"/>
          <w:szCs w:val="24"/>
        </w:rPr>
      </w:pPr>
      <w:r w:rsidRPr="00652002">
        <w:rPr>
          <w:rFonts w:asciiTheme="majorBidi" w:hAnsiTheme="majorBidi" w:cstheme="majorBidi"/>
          <w:sz w:val="24"/>
          <w:szCs w:val="24"/>
        </w:rPr>
        <w:t>The core problem facing modern Somalia is the difficult transition from this deeply entrenched, informal laissez-faire ecosystem into a formalized, regulated, and resilient macroeconomic framework. This transition must be achieved while maintaining the private-sector dynamism that kept the economy alive during its dark decades.</w:t>
      </w:r>
    </w:p>
    <w:p w14:paraId="26B07D33" w14:textId="77777777" w:rsidR="00652002" w:rsidRPr="00652002" w:rsidRDefault="00652002" w:rsidP="00652002">
      <w:pPr>
        <w:jc w:val="both"/>
        <w:rPr>
          <w:rFonts w:asciiTheme="majorBidi" w:hAnsiTheme="majorBidi" w:cstheme="majorBidi"/>
          <w:b/>
          <w:bCs/>
          <w:sz w:val="24"/>
          <w:szCs w:val="24"/>
        </w:rPr>
      </w:pPr>
      <w:r w:rsidRPr="00652002">
        <w:rPr>
          <w:rFonts w:asciiTheme="majorBidi" w:hAnsiTheme="majorBidi" w:cstheme="majorBidi"/>
          <w:b/>
          <w:bCs/>
          <w:sz w:val="24"/>
          <w:szCs w:val="24"/>
        </w:rPr>
        <w:t>1.3 Research Objectives</w:t>
      </w:r>
    </w:p>
    <w:p w14:paraId="5BBFCD5D" w14:textId="77777777" w:rsidR="00652002" w:rsidRPr="00652002" w:rsidRDefault="00652002" w:rsidP="00652002">
      <w:pPr>
        <w:jc w:val="both"/>
        <w:rPr>
          <w:rFonts w:asciiTheme="majorBidi" w:hAnsiTheme="majorBidi" w:cstheme="majorBidi"/>
          <w:b/>
          <w:bCs/>
          <w:sz w:val="24"/>
          <w:szCs w:val="24"/>
        </w:rPr>
      </w:pPr>
      <w:r w:rsidRPr="00652002">
        <w:rPr>
          <w:rFonts w:asciiTheme="majorBidi" w:hAnsiTheme="majorBidi" w:cstheme="majorBidi"/>
          <w:b/>
          <w:bCs/>
          <w:sz w:val="24"/>
          <w:szCs w:val="24"/>
        </w:rPr>
        <w:t>This research paper aims to:</w:t>
      </w:r>
    </w:p>
    <w:p w14:paraId="68365FB2" w14:textId="77777777" w:rsidR="00652002" w:rsidRPr="00652002" w:rsidRDefault="00652002" w:rsidP="00652002">
      <w:pPr>
        <w:numPr>
          <w:ilvl w:val="0"/>
          <w:numId w:val="44"/>
        </w:numPr>
        <w:jc w:val="both"/>
        <w:rPr>
          <w:rFonts w:asciiTheme="majorBidi" w:hAnsiTheme="majorBidi" w:cstheme="majorBidi"/>
          <w:sz w:val="24"/>
          <w:szCs w:val="24"/>
        </w:rPr>
      </w:pPr>
      <w:r w:rsidRPr="00652002">
        <w:rPr>
          <w:rFonts w:asciiTheme="majorBidi" w:hAnsiTheme="majorBidi" w:cstheme="majorBidi"/>
          <w:sz w:val="24"/>
          <w:szCs w:val="24"/>
        </w:rPr>
        <w:t>Deconstruct the informal financial stabilization mechanisms that operated in Somalia prior to comprehensive institutional reform.</w:t>
      </w:r>
    </w:p>
    <w:p w14:paraId="0902139F" w14:textId="77777777" w:rsidR="00652002" w:rsidRPr="00652002" w:rsidRDefault="00652002" w:rsidP="00652002">
      <w:pPr>
        <w:numPr>
          <w:ilvl w:val="0"/>
          <w:numId w:val="44"/>
        </w:numPr>
        <w:jc w:val="both"/>
        <w:rPr>
          <w:rFonts w:asciiTheme="majorBidi" w:hAnsiTheme="majorBidi" w:cstheme="majorBidi"/>
          <w:sz w:val="24"/>
          <w:szCs w:val="24"/>
        </w:rPr>
      </w:pPr>
      <w:r w:rsidRPr="00652002">
        <w:rPr>
          <w:rFonts w:asciiTheme="majorBidi" w:hAnsiTheme="majorBidi" w:cstheme="majorBidi"/>
          <w:sz w:val="24"/>
          <w:szCs w:val="24"/>
        </w:rPr>
        <w:t>Evaluate the structural, monetary, and fiscal reforms implemented leading up to and immediately following the HIPC Completion Point.</w:t>
      </w:r>
    </w:p>
    <w:p w14:paraId="2FB77A14" w14:textId="77777777" w:rsidR="00652002" w:rsidRPr="00652002" w:rsidRDefault="00652002" w:rsidP="00652002">
      <w:pPr>
        <w:numPr>
          <w:ilvl w:val="0"/>
          <w:numId w:val="44"/>
        </w:numPr>
        <w:jc w:val="both"/>
        <w:rPr>
          <w:rFonts w:asciiTheme="majorBidi" w:hAnsiTheme="majorBidi" w:cstheme="majorBidi"/>
          <w:sz w:val="24"/>
          <w:szCs w:val="24"/>
        </w:rPr>
      </w:pPr>
      <w:r w:rsidRPr="00652002">
        <w:rPr>
          <w:rFonts w:asciiTheme="majorBidi" w:hAnsiTheme="majorBidi" w:cstheme="majorBidi"/>
          <w:sz w:val="24"/>
          <w:szCs w:val="24"/>
        </w:rPr>
        <w:t>Identify the core systemic vulnerabilities that continue to threaten Somalia’s long-term economic stability.</w:t>
      </w:r>
    </w:p>
    <w:p w14:paraId="2CD31766" w14:textId="77777777" w:rsidR="00652002" w:rsidRPr="00652002" w:rsidRDefault="00652002" w:rsidP="00652002">
      <w:pPr>
        <w:numPr>
          <w:ilvl w:val="0"/>
          <w:numId w:val="44"/>
        </w:numPr>
        <w:jc w:val="both"/>
        <w:rPr>
          <w:rFonts w:asciiTheme="majorBidi" w:hAnsiTheme="majorBidi" w:cstheme="majorBidi"/>
          <w:sz w:val="24"/>
          <w:szCs w:val="24"/>
        </w:rPr>
      </w:pPr>
      <w:r w:rsidRPr="00652002">
        <w:rPr>
          <w:rFonts w:asciiTheme="majorBidi" w:hAnsiTheme="majorBidi" w:cstheme="majorBidi"/>
          <w:sz w:val="24"/>
          <w:szCs w:val="24"/>
        </w:rPr>
        <w:t>Formulate actionable policy frameworks tailored to the unique economic realities of post-conflict developing economies.</w:t>
      </w:r>
    </w:p>
    <w:p w14:paraId="54428AD4" w14:textId="77777777" w:rsidR="00652002" w:rsidRPr="00652002" w:rsidRDefault="00652002" w:rsidP="00652002">
      <w:pPr>
        <w:jc w:val="both"/>
        <w:rPr>
          <w:rFonts w:asciiTheme="majorBidi" w:hAnsiTheme="majorBidi" w:cstheme="majorBidi"/>
          <w:b/>
          <w:bCs/>
          <w:sz w:val="24"/>
          <w:szCs w:val="24"/>
        </w:rPr>
      </w:pPr>
      <w:r w:rsidRPr="00652002">
        <w:rPr>
          <w:rFonts w:asciiTheme="majorBidi" w:hAnsiTheme="majorBidi" w:cstheme="majorBidi"/>
          <w:b/>
          <w:bCs/>
          <w:sz w:val="24"/>
          <w:szCs w:val="24"/>
        </w:rPr>
        <w:t>2. Literature Review</w:t>
      </w:r>
    </w:p>
    <w:p w14:paraId="17D4C5CD" w14:textId="77777777" w:rsidR="00652002" w:rsidRPr="00652002" w:rsidRDefault="00652002" w:rsidP="00652002">
      <w:pPr>
        <w:jc w:val="both"/>
        <w:rPr>
          <w:rFonts w:asciiTheme="majorBidi" w:hAnsiTheme="majorBidi" w:cstheme="majorBidi"/>
          <w:b/>
          <w:bCs/>
          <w:sz w:val="24"/>
          <w:szCs w:val="24"/>
        </w:rPr>
      </w:pPr>
      <w:r w:rsidRPr="00652002">
        <w:rPr>
          <w:rFonts w:asciiTheme="majorBidi" w:hAnsiTheme="majorBidi" w:cstheme="majorBidi"/>
          <w:b/>
          <w:bCs/>
          <w:sz w:val="24"/>
          <w:szCs w:val="24"/>
        </w:rPr>
        <w:t>2.1 Theoretical Framework: Stabilization in Fragile States</w:t>
      </w:r>
    </w:p>
    <w:p w14:paraId="58B51AB2" w14:textId="77777777" w:rsidR="00652002" w:rsidRPr="00652002" w:rsidRDefault="00652002" w:rsidP="00652002">
      <w:pPr>
        <w:jc w:val="both"/>
        <w:rPr>
          <w:rFonts w:asciiTheme="majorBidi" w:hAnsiTheme="majorBidi" w:cstheme="majorBidi"/>
          <w:sz w:val="24"/>
          <w:szCs w:val="24"/>
        </w:rPr>
      </w:pPr>
      <w:r w:rsidRPr="00652002">
        <w:rPr>
          <w:rFonts w:asciiTheme="majorBidi" w:hAnsiTheme="majorBidi" w:cstheme="majorBidi"/>
          <w:sz w:val="24"/>
          <w:szCs w:val="24"/>
        </w:rPr>
        <w:t>The literature on macroeconomic stabilization in developing economies is broadly divided into two schools of thought:</w:t>
      </w:r>
    </w:p>
    <w:p w14:paraId="2F9EC460" w14:textId="77777777" w:rsidR="00C83EF3" w:rsidRDefault="00C83EF3" w:rsidP="00C32D25">
      <w:pPr>
        <w:jc w:val="both"/>
        <w:rPr>
          <w:rFonts w:asciiTheme="majorBidi" w:hAnsiTheme="majorBidi" w:cstheme="majorBidi"/>
          <w:b/>
          <w:bCs/>
          <w:sz w:val="24"/>
          <w:szCs w:val="24"/>
        </w:rPr>
      </w:pPr>
    </w:p>
    <w:p w14:paraId="54FD91E7" w14:textId="3982FF67" w:rsidR="00C83EF3" w:rsidRDefault="00652002" w:rsidP="00652002">
      <w:pPr>
        <w:jc w:val="right"/>
        <w:rPr>
          <w:rFonts w:asciiTheme="majorBidi" w:hAnsiTheme="majorBidi" w:cstheme="majorBidi"/>
          <w:b/>
          <w:bCs/>
          <w:sz w:val="24"/>
          <w:szCs w:val="24"/>
        </w:rPr>
      </w:pPr>
      <w:r w:rsidRPr="00652002">
        <w:rPr>
          <w:rFonts w:asciiTheme="majorBidi" w:hAnsiTheme="majorBidi" w:cstheme="majorBidi"/>
          <w:b/>
          <w:bCs/>
          <w:noProof/>
          <w:sz w:val="24"/>
          <w:szCs w:val="24"/>
        </w:rPr>
        <w:lastRenderedPageBreak/>
        <w:drawing>
          <wp:inline distT="0" distB="0" distL="0" distR="0" wp14:anchorId="718CE19D" wp14:editId="0CF28BF2">
            <wp:extent cx="5377180" cy="2286000"/>
            <wp:effectExtent l="133350" t="114300" r="147320" b="152400"/>
            <wp:docPr id="15177300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730006" name=""/>
                    <pic:cNvPicPr/>
                  </pic:nvPicPr>
                  <pic:blipFill>
                    <a:blip r:embed="rId8"/>
                    <a:stretch>
                      <a:fillRect/>
                    </a:stretch>
                  </pic:blipFill>
                  <pic:spPr>
                    <a:xfrm>
                      <a:off x="0" y="0"/>
                      <a:ext cx="5396032" cy="22940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5CF6AB0" w14:textId="77777777" w:rsidR="00652002" w:rsidRPr="00652002" w:rsidRDefault="00652002" w:rsidP="00652002">
      <w:pPr>
        <w:numPr>
          <w:ilvl w:val="0"/>
          <w:numId w:val="45"/>
        </w:numPr>
        <w:jc w:val="both"/>
        <w:rPr>
          <w:rFonts w:asciiTheme="majorBidi" w:hAnsiTheme="majorBidi" w:cstheme="majorBidi"/>
          <w:sz w:val="24"/>
          <w:szCs w:val="24"/>
        </w:rPr>
      </w:pPr>
      <w:r w:rsidRPr="00652002">
        <w:rPr>
          <w:rFonts w:asciiTheme="majorBidi" w:hAnsiTheme="majorBidi" w:cstheme="majorBidi"/>
          <w:sz w:val="24"/>
          <w:szCs w:val="24"/>
        </w:rPr>
        <w:t>The Neoclassical/Orthodox Paradigm: Championed historically by the Bretton Woods institutions, this model emphasizes rapid price stabilization through strict fiscal austerity, currency devaluation, and prompt deregulation. Critics argue that this approach can exacerbate political fragility in post-conflict zones by starving the state of the resources needed to build legitimacy.</w:t>
      </w:r>
    </w:p>
    <w:p w14:paraId="513CA6CC" w14:textId="77777777" w:rsidR="00652002" w:rsidRPr="00652002" w:rsidRDefault="00652002" w:rsidP="00652002">
      <w:pPr>
        <w:numPr>
          <w:ilvl w:val="0"/>
          <w:numId w:val="45"/>
        </w:numPr>
        <w:jc w:val="both"/>
        <w:rPr>
          <w:rFonts w:asciiTheme="majorBidi" w:hAnsiTheme="majorBidi" w:cstheme="majorBidi"/>
          <w:sz w:val="24"/>
          <w:szCs w:val="24"/>
        </w:rPr>
      </w:pPr>
      <w:r w:rsidRPr="00652002">
        <w:rPr>
          <w:rFonts w:asciiTheme="majorBidi" w:hAnsiTheme="majorBidi" w:cstheme="majorBidi"/>
          <w:sz w:val="24"/>
          <w:szCs w:val="24"/>
        </w:rPr>
        <w:t>The Institutionalist School: Scholars like North (1990) and Acemoglu &amp; Robinson (2012) argue that macroeconomic stability cannot exist without robust state institutions and clear property rights. In conflict-affected states, the immediate priority should not be cutting state spending, but rather building state capacity to collect revenues and enforce financial laws.</w:t>
      </w:r>
    </w:p>
    <w:p w14:paraId="1ED7B72E" w14:textId="77777777" w:rsidR="00652002" w:rsidRPr="00652002" w:rsidRDefault="00652002" w:rsidP="00652002">
      <w:pPr>
        <w:rPr>
          <w:rFonts w:asciiTheme="majorBidi" w:hAnsiTheme="majorBidi" w:cstheme="majorBidi"/>
          <w:b/>
          <w:bCs/>
          <w:sz w:val="24"/>
          <w:szCs w:val="24"/>
        </w:rPr>
      </w:pPr>
      <w:r w:rsidRPr="00652002">
        <w:rPr>
          <w:rFonts w:asciiTheme="majorBidi" w:hAnsiTheme="majorBidi" w:cstheme="majorBidi"/>
          <w:b/>
          <w:bCs/>
          <w:sz w:val="24"/>
          <w:szCs w:val="24"/>
        </w:rPr>
        <w:t>2.2 The Role of Informal Institutions during State Collapse</w:t>
      </w:r>
    </w:p>
    <w:p w14:paraId="549B15BC" w14:textId="3004CDF2" w:rsidR="00652002" w:rsidRPr="00652002" w:rsidRDefault="00652002" w:rsidP="00652002">
      <w:pPr>
        <w:jc w:val="both"/>
        <w:rPr>
          <w:rFonts w:asciiTheme="majorBidi" w:hAnsiTheme="majorBidi" w:cstheme="majorBidi"/>
          <w:sz w:val="24"/>
          <w:szCs w:val="24"/>
        </w:rPr>
      </w:pPr>
      <w:r w:rsidRPr="00652002">
        <w:rPr>
          <w:rFonts w:asciiTheme="majorBidi" w:hAnsiTheme="majorBidi" w:cstheme="majorBidi"/>
          <w:sz w:val="24"/>
          <w:szCs w:val="24"/>
        </w:rPr>
        <w:t xml:space="preserve">When formal institutions collapse, informal structures step in to reduce transaction costs and manage market risks. In the context of Somalia, </w:t>
      </w:r>
      <w:hyperlink r:id="rId9" w:tgtFrame="_blank" w:history="1">
        <w:r w:rsidRPr="00652002">
          <w:rPr>
            <w:rStyle w:val="Hyperlink"/>
            <w:rFonts w:asciiTheme="majorBidi" w:hAnsiTheme="majorBidi" w:cstheme="majorBidi"/>
            <w:sz w:val="24"/>
            <w:szCs w:val="24"/>
          </w:rPr>
          <w:t>⁠researchers from the Overseas Development Institute (ODI)</w:t>
        </w:r>
      </w:hyperlink>
      <w:r w:rsidRPr="00652002">
        <w:rPr>
          <w:rFonts w:asciiTheme="majorBidi" w:hAnsiTheme="majorBidi" w:cstheme="majorBidi"/>
          <w:sz w:val="24"/>
          <w:szCs w:val="24"/>
        </w:rPr>
        <w:t xml:space="preserve"> demonstrate that mobile money and informal value transfer networks (Hawala) functioned as a decentralized financial system.</w:t>
      </w:r>
    </w:p>
    <w:p w14:paraId="5C9DA5B6" w14:textId="77777777" w:rsidR="00652002" w:rsidRPr="00652002" w:rsidRDefault="00652002" w:rsidP="00652002">
      <w:pPr>
        <w:jc w:val="both"/>
        <w:rPr>
          <w:rFonts w:asciiTheme="majorBidi" w:hAnsiTheme="majorBidi" w:cstheme="majorBidi"/>
          <w:sz w:val="24"/>
          <w:szCs w:val="24"/>
        </w:rPr>
      </w:pPr>
      <w:r w:rsidRPr="00652002">
        <w:rPr>
          <w:rFonts w:asciiTheme="majorBidi" w:hAnsiTheme="majorBidi" w:cstheme="majorBidi"/>
          <w:sz w:val="24"/>
          <w:szCs w:val="24"/>
        </w:rPr>
        <w:t>However, literature on dollarization (e.g., Calvo &amp; Vegh, 1999) warns that while de facto dollarization provides immediate price stability during a currency crisis, it creates permanent structural damage. The central bank loses its ability to act as a lender of last resort, leaving the domestic banking system highly vulnerable to systemic liquidity shocks.</w:t>
      </w:r>
    </w:p>
    <w:p w14:paraId="26EB1DD9" w14:textId="77777777" w:rsidR="00652002" w:rsidRPr="00652002" w:rsidRDefault="00652002" w:rsidP="00652002">
      <w:pPr>
        <w:rPr>
          <w:rFonts w:asciiTheme="majorBidi" w:hAnsiTheme="majorBidi" w:cstheme="majorBidi"/>
          <w:b/>
          <w:bCs/>
          <w:sz w:val="24"/>
          <w:szCs w:val="24"/>
        </w:rPr>
      </w:pPr>
      <w:r w:rsidRPr="00652002">
        <w:rPr>
          <w:rFonts w:asciiTheme="majorBidi" w:hAnsiTheme="majorBidi" w:cstheme="majorBidi"/>
          <w:b/>
          <w:bCs/>
          <w:sz w:val="24"/>
          <w:szCs w:val="24"/>
        </w:rPr>
        <w:t>2.3 Empirical Literature on the HIPC Initiative</w:t>
      </w:r>
    </w:p>
    <w:p w14:paraId="24E4C26F" w14:textId="77777777" w:rsidR="00652002" w:rsidRPr="00652002" w:rsidRDefault="00652002" w:rsidP="00652002">
      <w:pPr>
        <w:jc w:val="both"/>
        <w:rPr>
          <w:rFonts w:asciiTheme="majorBidi" w:hAnsiTheme="majorBidi" w:cstheme="majorBidi"/>
          <w:sz w:val="24"/>
          <w:szCs w:val="24"/>
        </w:rPr>
      </w:pPr>
      <w:r w:rsidRPr="00652002">
        <w:rPr>
          <w:rFonts w:asciiTheme="majorBidi" w:hAnsiTheme="majorBidi" w:cstheme="majorBidi"/>
          <w:sz w:val="24"/>
          <w:szCs w:val="24"/>
        </w:rPr>
        <w:t>The Heavily Indebted Poor Countries (HIPC) Initiative was designed to eliminate unsustainable debt burdens in developing nations, provided they implement deep structural reforms. Empirical evaluations of the HIPC process in sub-Saharan Africa indicate that debt relief successfully shifts public funds away from debt servicing and toward pro-poor expenditures, such as healthcare and education.</w:t>
      </w:r>
    </w:p>
    <w:p w14:paraId="7703E36E" w14:textId="77777777" w:rsidR="00652002" w:rsidRPr="00652002" w:rsidRDefault="00652002" w:rsidP="00652002">
      <w:pPr>
        <w:jc w:val="both"/>
        <w:rPr>
          <w:rFonts w:asciiTheme="majorBidi" w:hAnsiTheme="majorBidi" w:cstheme="majorBidi"/>
          <w:sz w:val="24"/>
          <w:szCs w:val="24"/>
        </w:rPr>
      </w:pPr>
      <w:r w:rsidRPr="00652002">
        <w:rPr>
          <w:rFonts w:asciiTheme="majorBidi" w:hAnsiTheme="majorBidi" w:cstheme="majorBidi"/>
          <w:sz w:val="24"/>
          <w:szCs w:val="24"/>
        </w:rPr>
        <w:t>However, newer research suggests that the post-HIPC model must be carefully customized for fragile states. In these nations, the sudden influx of external financing can outpace the state's administrative capacity, leading to inefficiencies or stoking regional political tensions over resource allocation.</w:t>
      </w:r>
    </w:p>
    <w:p w14:paraId="7F406D2E" w14:textId="77777777" w:rsidR="00652002" w:rsidRPr="00652002" w:rsidRDefault="00652002" w:rsidP="00652002">
      <w:pPr>
        <w:rPr>
          <w:rFonts w:asciiTheme="majorBidi" w:hAnsiTheme="majorBidi" w:cstheme="majorBidi"/>
          <w:b/>
          <w:bCs/>
          <w:sz w:val="24"/>
          <w:szCs w:val="24"/>
        </w:rPr>
      </w:pPr>
      <w:r w:rsidRPr="00652002">
        <w:rPr>
          <w:rFonts w:asciiTheme="majorBidi" w:hAnsiTheme="majorBidi" w:cstheme="majorBidi"/>
          <w:b/>
          <w:bCs/>
          <w:sz w:val="24"/>
          <w:szCs w:val="24"/>
        </w:rPr>
        <w:lastRenderedPageBreak/>
        <w:t>3. Methodology</w:t>
      </w:r>
    </w:p>
    <w:p w14:paraId="65A987CD" w14:textId="77777777" w:rsidR="00652002" w:rsidRPr="00652002" w:rsidRDefault="00652002" w:rsidP="00652002">
      <w:pPr>
        <w:rPr>
          <w:rFonts w:asciiTheme="majorBidi" w:hAnsiTheme="majorBidi" w:cstheme="majorBidi"/>
          <w:b/>
          <w:bCs/>
          <w:sz w:val="24"/>
          <w:szCs w:val="24"/>
        </w:rPr>
      </w:pPr>
      <w:r w:rsidRPr="00652002">
        <w:rPr>
          <w:rFonts w:asciiTheme="majorBidi" w:hAnsiTheme="majorBidi" w:cstheme="majorBidi"/>
          <w:b/>
          <w:bCs/>
          <w:sz w:val="24"/>
          <w:szCs w:val="24"/>
        </w:rPr>
        <w:t>3.1 Research Design</w:t>
      </w:r>
    </w:p>
    <w:p w14:paraId="33CBBAAF" w14:textId="77777777" w:rsidR="00652002" w:rsidRPr="00652002" w:rsidRDefault="00652002" w:rsidP="00652002">
      <w:pPr>
        <w:jc w:val="both"/>
        <w:rPr>
          <w:rFonts w:asciiTheme="majorBidi" w:hAnsiTheme="majorBidi" w:cstheme="majorBidi"/>
          <w:sz w:val="24"/>
          <w:szCs w:val="24"/>
        </w:rPr>
      </w:pPr>
      <w:r w:rsidRPr="00652002">
        <w:rPr>
          <w:rFonts w:asciiTheme="majorBidi" w:hAnsiTheme="majorBidi" w:cstheme="majorBidi"/>
          <w:sz w:val="24"/>
          <w:szCs w:val="24"/>
        </w:rPr>
        <w:t>This study employs an explanatory, qualitative, and data-driven analytical research design. Given the challenges of collecting primary data across all federal member states in a post-conflict environment, this paper relies on a comprehensive synthesis of secondary empirical data. This approach is combined with macro-structural analysis to evaluate the outcomes of Somalia's financial stabilization policies.</w:t>
      </w:r>
    </w:p>
    <w:p w14:paraId="29C5A50A" w14:textId="77777777" w:rsidR="00652002" w:rsidRPr="00652002" w:rsidRDefault="00652002" w:rsidP="00652002">
      <w:pPr>
        <w:rPr>
          <w:rFonts w:asciiTheme="majorBidi" w:hAnsiTheme="majorBidi" w:cstheme="majorBidi"/>
          <w:b/>
          <w:bCs/>
          <w:sz w:val="24"/>
          <w:szCs w:val="24"/>
        </w:rPr>
      </w:pPr>
      <w:r w:rsidRPr="00652002">
        <w:rPr>
          <w:rFonts w:asciiTheme="majorBidi" w:hAnsiTheme="majorBidi" w:cstheme="majorBidi"/>
          <w:b/>
          <w:bCs/>
          <w:sz w:val="24"/>
          <w:szCs w:val="24"/>
        </w:rPr>
        <w:t>3.2 Data Sources and Collection</w:t>
      </w:r>
    </w:p>
    <w:p w14:paraId="1E5945D4" w14:textId="77777777" w:rsidR="00652002" w:rsidRPr="00652002" w:rsidRDefault="00652002" w:rsidP="00652002">
      <w:pPr>
        <w:jc w:val="both"/>
        <w:rPr>
          <w:rFonts w:asciiTheme="majorBidi" w:hAnsiTheme="majorBidi" w:cstheme="majorBidi"/>
          <w:sz w:val="24"/>
          <w:szCs w:val="24"/>
        </w:rPr>
      </w:pPr>
      <w:r w:rsidRPr="00652002">
        <w:rPr>
          <w:rFonts w:asciiTheme="majorBidi" w:hAnsiTheme="majorBidi" w:cstheme="majorBidi"/>
          <w:sz w:val="24"/>
          <w:szCs w:val="24"/>
        </w:rPr>
        <w:t>Macroeconomic data points, fiscal metrics, and policy timelines were gathered from verified institutional databases covering the reform period. Key sources include:</w:t>
      </w:r>
    </w:p>
    <w:p w14:paraId="61D89DA5" w14:textId="77777777" w:rsidR="00652002" w:rsidRPr="00652002" w:rsidRDefault="00652002" w:rsidP="00652002">
      <w:pPr>
        <w:numPr>
          <w:ilvl w:val="0"/>
          <w:numId w:val="46"/>
        </w:numPr>
        <w:jc w:val="both"/>
        <w:rPr>
          <w:rFonts w:asciiTheme="majorBidi" w:hAnsiTheme="majorBidi" w:cstheme="majorBidi"/>
          <w:sz w:val="24"/>
          <w:szCs w:val="24"/>
        </w:rPr>
      </w:pPr>
      <w:r w:rsidRPr="00652002">
        <w:rPr>
          <w:rFonts w:asciiTheme="majorBidi" w:hAnsiTheme="majorBidi" w:cstheme="majorBidi"/>
          <w:sz w:val="24"/>
          <w:szCs w:val="24"/>
        </w:rPr>
        <w:t>The International Monetary Fund (IMF): Article IV Consultation reports and Staff Country Reviews regarding the Extended Credit Facility (ECF).</w:t>
      </w:r>
    </w:p>
    <w:p w14:paraId="4E24B5A8" w14:textId="77777777" w:rsidR="00652002" w:rsidRPr="00652002" w:rsidRDefault="00652002" w:rsidP="00652002">
      <w:pPr>
        <w:numPr>
          <w:ilvl w:val="0"/>
          <w:numId w:val="46"/>
        </w:numPr>
        <w:jc w:val="both"/>
        <w:rPr>
          <w:rFonts w:asciiTheme="majorBidi" w:hAnsiTheme="majorBidi" w:cstheme="majorBidi"/>
          <w:sz w:val="24"/>
          <w:szCs w:val="24"/>
        </w:rPr>
      </w:pPr>
      <w:r w:rsidRPr="00652002">
        <w:rPr>
          <w:rFonts w:asciiTheme="majorBidi" w:hAnsiTheme="majorBidi" w:cstheme="majorBidi"/>
          <w:sz w:val="24"/>
          <w:szCs w:val="24"/>
        </w:rPr>
        <w:t>The World Bank Group: Somalia Economic Updates and country framework documents.</w:t>
      </w:r>
    </w:p>
    <w:p w14:paraId="7159CB64" w14:textId="77777777" w:rsidR="00652002" w:rsidRPr="00652002" w:rsidRDefault="00652002" w:rsidP="00652002">
      <w:pPr>
        <w:numPr>
          <w:ilvl w:val="0"/>
          <w:numId w:val="46"/>
        </w:numPr>
        <w:jc w:val="both"/>
        <w:rPr>
          <w:rFonts w:asciiTheme="majorBidi" w:hAnsiTheme="majorBidi" w:cstheme="majorBidi"/>
          <w:sz w:val="24"/>
          <w:szCs w:val="24"/>
        </w:rPr>
      </w:pPr>
      <w:r w:rsidRPr="00652002">
        <w:rPr>
          <w:rFonts w:asciiTheme="majorBidi" w:hAnsiTheme="majorBidi" w:cstheme="majorBidi"/>
          <w:sz w:val="24"/>
          <w:szCs w:val="24"/>
        </w:rPr>
        <w:t>The Central Bank of Somalia (CBS): Annual reports, monetary policy statements, and financial sector statistical bulletins.</w:t>
      </w:r>
    </w:p>
    <w:p w14:paraId="1CDCA19C" w14:textId="77777777" w:rsidR="00652002" w:rsidRPr="00652002" w:rsidRDefault="00652002" w:rsidP="00652002">
      <w:pPr>
        <w:rPr>
          <w:rFonts w:asciiTheme="majorBidi" w:hAnsiTheme="majorBidi" w:cstheme="majorBidi"/>
          <w:b/>
          <w:bCs/>
          <w:sz w:val="24"/>
          <w:szCs w:val="24"/>
        </w:rPr>
      </w:pPr>
      <w:r w:rsidRPr="00652002">
        <w:rPr>
          <w:rFonts w:asciiTheme="majorBidi" w:hAnsiTheme="majorBidi" w:cstheme="majorBidi"/>
          <w:b/>
          <w:bCs/>
          <w:sz w:val="24"/>
          <w:szCs w:val="24"/>
        </w:rPr>
        <w:t>3.3 Data Analysis Techniques</w:t>
      </w:r>
    </w:p>
    <w:p w14:paraId="57308EE6" w14:textId="77777777" w:rsidR="00652002" w:rsidRDefault="00652002" w:rsidP="00652002">
      <w:pPr>
        <w:jc w:val="both"/>
        <w:rPr>
          <w:rFonts w:asciiTheme="majorBidi" w:hAnsiTheme="majorBidi" w:cstheme="majorBidi"/>
          <w:sz w:val="24"/>
          <w:szCs w:val="24"/>
        </w:rPr>
      </w:pPr>
      <w:r w:rsidRPr="00652002">
        <w:rPr>
          <w:rFonts w:asciiTheme="majorBidi" w:hAnsiTheme="majorBidi" w:cstheme="majorBidi"/>
          <w:sz w:val="24"/>
          <w:szCs w:val="24"/>
        </w:rPr>
        <w:t xml:space="preserve">The collected data was </w:t>
      </w:r>
      <w:proofErr w:type="spellStart"/>
      <w:r w:rsidRPr="00652002">
        <w:rPr>
          <w:rFonts w:asciiTheme="majorBidi" w:hAnsiTheme="majorBidi" w:cstheme="majorBidi"/>
          <w:sz w:val="24"/>
          <w:szCs w:val="24"/>
        </w:rPr>
        <w:t>analyzed</w:t>
      </w:r>
      <w:proofErr w:type="spellEnd"/>
      <w:r w:rsidRPr="00652002">
        <w:rPr>
          <w:rFonts w:asciiTheme="majorBidi" w:hAnsiTheme="majorBidi" w:cstheme="majorBidi"/>
          <w:sz w:val="24"/>
          <w:szCs w:val="24"/>
        </w:rPr>
        <w:t xml:space="preserve"> using structural trend analysis and policy evaluation matrices. Macroeconomic indicators—such as domestic revenue as a percentage of GDP, external debt-to-GDP ratios, inflation rates, and commercial bank asset growth—were tracked across two distinct periods: the pre-reform phase and the post-HIPC completion phase. This method isolates the real-world impact of institutional adjustments on the country's broader economic stability.</w:t>
      </w:r>
    </w:p>
    <w:p w14:paraId="024E43C0" w14:textId="77777777" w:rsidR="001A0A4B" w:rsidRPr="001A0A4B" w:rsidRDefault="001A0A4B" w:rsidP="001A0A4B">
      <w:pPr>
        <w:jc w:val="both"/>
        <w:rPr>
          <w:rFonts w:asciiTheme="majorBidi" w:hAnsiTheme="majorBidi" w:cstheme="majorBidi"/>
          <w:b/>
          <w:bCs/>
          <w:sz w:val="24"/>
          <w:szCs w:val="24"/>
        </w:rPr>
      </w:pPr>
      <w:r w:rsidRPr="001A0A4B">
        <w:rPr>
          <w:rFonts w:asciiTheme="majorBidi" w:hAnsiTheme="majorBidi" w:cstheme="majorBidi"/>
          <w:b/>
          <w:bCs/>
          <w:sz w:val="24"/>
          <w:szCs w:val="24"/>
        </w:rPr>
        <w:t>3.1 Epistemological Framework and Mixed Qualitative-Analytical Design</w:t>
      </w:r>
    </w:p>
    <w:p w14:paraId="0F89DB65" w14:textId="77777777" w:rsidR="001A0A4B" w:rsidRPr="001A0A4B" w:rsidRDefault="001A0A4B" w:rsidP="001A0A4B">
      <w:pPr>
        <w:jc w:val="both"/>
        <w:rPr>
          <w:rFonts w:asciiTheme="majorBidi" w:hAnsiTheme="majorBidi" w:cstheme="majorBidi"/>
          <w:sz w:val="24"/>
          <w:szCs w:val="24"/>
        </w:rPr>
      </w:pPr>
      <w:r w:rsidRPr="001A0A4B">
        <w:rPr>
          <w:rFonts w:asciiTheme="majorBidi" w:hAnsiTheme="majorBidi" w:cstheme="majorBidi"/>
          <w:sz w:val="24"/>
          <w:szCs w:val="24"/>
        </w:rPr>
        <w:t xml:space="preserve">To </w:t>
      </w:r>
      <w:proofErr w:type="spellStart"/>
      <w:r w:rsidRPr="001A0A4B">
        <w:rPr>
          <w:rFonts w:asciiTheme="majorBidi" w:hAnsiTheme="majorBidi" w:cstheme="majorBidi"/>
          <w:sz w:val="24"/>
          <w:szCs w:val="24"/>
        </w:rPr>
        <w:t>analyze</w:t>
      </w:r>
      <w:proofErr w:type="spellEnd"/>
      <w:r w:rsidRPr="001A0A4B">
        <w:rPr>
          <w:rFonts w:asciiTheme="majorBidi" w:hAnsiTheme="majorBidi" w:cstheme="majorBidi"/>
          <w:sz w:val="24"/>
          <w:szCs w:val="24"/>
        </w:rPr>
        <w:t xml:space="preserve"> the structural breaks and institutional evolution of a post-conflict economy, this study utilizes a </w:t>
      </w:r>
      <w:r w:rsidRPr="001A0A4B">
        <w:rPr>
          <w:rFonts w:asciiTheme="majorBidi" w:hAnsiTheme="majorBidi" w:cstheme="majorBidi"/>
          <w:b/>
          <w:bCs/>
          <w:sz w:val="24"/>
          <w:szCs w:val="24"/>
        </w:rPr>
        <w:t>critical realist epistemological framework</w:t>
      </w:r>
      <w:r w:rsidRPr="001A0A4B">
        <w:rPr>
          <w:rFonts w:asciiTheme="majorBidi" w:hAnsiTheme="majorBidi" w:cstheme="majorBidi"/>
          <w:sz w:val="24"/>
          <w:szCs w:val="24"/>
        </w:rPr>
        <w:t>. Critical realism assumes that observable economic events (e.g., hyper-dollarization, post-HIPC debt reduction) are generated by underlying, unobservable mechanisms and institutional configurations. Traditional econometrics assumes stable, continuous time-series data and equilibrium states.</w:t>
      </w:r>
    </w:p>
    <w:p w14:paraId="36B25F7A" w14:textId="77777777" w:rsidR="001A0A4B" w:rsidRPr="001A0A4B" w:rsidRDefault="001A0A4B" w:rsidP="001A0A4B">
      <w:pPr>
        <w:jc w:val="both"/>
        <w:rPr>
          <w:rFonts w:asciiTheme="majorBidi" w:hAnsiTheme="majorBidi" w:cstheme="majorBidi"/>
          <w:sz w:val="24"/>
          <w:szCs w:val="24"/>
        </w:rPr>
      </w:pPr>
      <w:r w:rsidRPr="001A0A4B">
        <w:rPr>
          <w:rFonts w:asciiTheme="majorBidi" w:hAnsiTheme="majorBidi" w:cstheme="majorBidi"/>
          <w:sz w:val="24"/>
          <w:szCs w:val="24"/>
        </w:rPr>
        <w:t xml:space="preserve">These assumptions break down in fragile and conflict-affected states (FCAS) due to institutional disruptions and long-lasting structural changes. Therefore, this paper employs a </w:t>
      </w:r>
      <w:r w:rsidRPr="001A0A4B">
        <w:rPr>
          <w:rFonts w:asciiTheme="majorBidi" w:hAnsiTheme="majorBidi" w:cstheme="majorBidi"/>
          <w:b/>
          <w:bCs/>
          <w:sz w:val="24"/>
          <w:szCs w:val="24"/>
        </w:rPr>
        <w:t>mixed qualitative-analytical and non-linear institutional evaluation design</w:t>
      </w:r>
      <w:r w:rsidRPr="001A0A4B">
        <w:rPr>
          <w:rFonts w:asciiTheme="majorBidi" w:hAnsiTheme="majorBidi" w:cstheme="majorBidi"/>
          <w:sz w:val="24"/>
          <w:szCs w:val="24"/>
        </w:rPr>
        <w:t>. It treats the structural reforms driven by the IMF and World Bank as exogenous policy interventions inside a complex socio-political ecosystem.</w:t>
      </w:r>
    </w:p>
    <w:p w14:paraId="0E0B9EB9" w14:textId="22A243C0" w:rsidR="001A0A4B" w:rsidRDefault="001A0A4B" w:rsidP="005B7313">
      <w:pPr>
        <w:jc w:val="right"/>
        <w:rPr>
          <w:rFonts w:asciiTheme="majorBidi" w:hAnsiTheme="majorBidi" w:cstheme="majorBidi"/>
          <w:sz w:val="24"/>
          <w:szCs w:val="24"/>
        </w:rPr>
      </w:pPr>
      <w:r w:rsidRPr="001A0A4B">
        <w:rPr>
          <w:rFonts w:asciiTheme="majorBidi" w:hAnsiTheme="majorBidi" w:cstheme="majorBidi"/>
          <w:noProof/>
          <w:sz w:val="24"/>
          <w:szCs w:val="24"/>
        </w:rPr>
        <w:lastRenderedPageBreak/>
        <w:drawing>
          <wp:inline distT="0" distB="0" distL="0" distR="0" wp14:anchorId="460DF218" wp14:editId="6435766A">
            <wp:extent cx="4299857" cy="1632585"/>
            <wp:effectExtent l="0" t="0" r="5715" b="5715"/>
            <wp:docPr id="2252410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241065" name=""/>
                    <pic:cNvPicPr/>
                  </pic:nvPicPr>
                  <pic:blipFill>
                    <a:blip r:embed="rId10"/>
                    <a:stretch>
                      <a:fillRect/>
                    </a:stretch>
                  </pic:blipFill>
                  <pic:spPr>
                    <a:xfrm>
                      <a:off x="0" y="0"/>
                      <a:ext cx="4316275" cy="1638819"/>
                    </a:xfrm>
                    <a:prstGeom prst="rect">
                      <a:avLst/>
                    </a:prstGeom>
                  </pic:spPr>
                </pic:pic>
              </a:graphicData>
            </a:graphic>
          </wp:inline>
        </w:drawing>
      </w:r>
    </w:p>
    <w:p w14:paraId="4299F98C" w14:textId="77777777" w:rsidR="001A0A4B" w:rsidRPr="001A0A4B" w:rsidRDefault="001A0A4B" w:rsidP="001A0A4B">
      <w:pPr>
        <w:jc w:val="both"/>
        <w:rPr>
          <w:rFonts w:asciiTheme="majorBidi" w:hAnsiTheme="majorBidi" w:cstheme="majorBidi"/>
          <w:b/>
          <w:bCs/>
          <w:sz w:val="24"/>
          <w:szCs w:val="24"/>
        </w:rPr>
      </w:pPr>
      <w:r w:rsidRPr="001A0A4B">
        <w:rPr>
          <w:rFonts w:asciiTheme="majorBidi" w:hAnsiTheme="majorBidi" w:cstheme="majorBidi"/>
          <w:b/>
          <w:bCs/>
          <w:sz w:val="24"/>
          <w:szCs w:val="24"/>
        </w:rPr>
        <w:t xml:space="preserve">3.2 Framework for Mathematical </w:t>
      </w:r>
      <w:proofErr w:type="spellStart"/>
      <w:r w:rsidRPr="001A0A4B">
        <w:rPr>
          <w:rFonts w:asciiTheme="majorBidi" w:hAnsiTheme="majorBidi" w:cstheme="majorBidi"/>
          <w:b/>
          <w:bCs/>
          <w:sz w:val="24"/>
          <w:szCs w:val="24"/>
        </w:rPr>
        <w:t>Modeling</w:t>
      </w:r>
      <w:proofErr w:type="spellEnd"/>
    </w:p>
    <w:p w14:paraId="28075983" w14:textId="77777777" w:rsidR="001A0A4B" w:rsidRPr="001A0A4B" w:rsidRDefault="001A0A4B" w:rsidP="001A0A4B">
      <w:pPr>
        <w:jc w:val="both"/>
        <w:rPr>
          <w:rFonts w:asciiTheme="majorBidi" w:hAnsiTheme="majorBidi" w:cstheme="majorBidi"/>
          <w:sz w:val="24"/>
          <w:szCs w:val="24"/>
        </w:rPr>
      </w:pPr>
      <w:r w:rsidRPr="001A0A4B">
        <w:rPr>
          <w:rFonts w:asciiTheme="majorBidi" w:hAnsiTheme="majorBidi" w:cstheme="majorBidi"/>
          <w:sz w:val="24"/>
          <w:szCs w:val="24"/>
        </w:rPr>
        <w:t>To rigorously isolate the dynamics of monetary policy under conditions of complete dollarization, the paper builds an analytical framework around an augmented New Keynesian structural block. Because traditional interest-rate channels do not function without a sovereign currency, the domestic interest rate cannot clear the market. Instead, it is bounded by the global interest rate and a localized, post-conflict risk premium:</w:t>
      </w:r>
    </w:p>
    <w:p w14:paraId="4B01797B" w14:textId="258EF86E" w:rsidR="001A0A4B" w:rsidRDefault="001A0A4B" w:rsidP="00652002">
      <w:pPr>
        <w:jc w:val="both"/>
        <w:rPr>
          <w:rFonts w:asciiTheme="majorBidi" w:hAnsiTheme="majorBidi" w:cstheme="majorBidi"/>
          <w:sz w:val="24"/>
          <w:szCs w:val="24"/>
        </w:rPr>
      </w:pPr>
      <w:r w:rsidRPr="001A0A4B">
        <w:rPr>
          <w:rFonts w:asciiTheme="majorBidi" w:hAnsiTheme="majorBidi" w:cstheme="majorBidi"/>
          <w:noProof/>
          <w:sz w:val="24"/>
          <w:szCs w:val="24"/>
        </w:rPr>
        <w:drawing>
          <wp:inline distT="0" distB="0" distL="0" distR="0" wp14:anchorId="78DD5AB1" wp14:editId="6CE1FAD7">
            <wp:extent cx="5731510" cy="1714137"/>
            <wp:effectExtent l="0" t="0" r="2540" b="635"/>
            <wp:docPr id="8231737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173731" name=""/>
                    <pic:cNvPicPr/>
                  </pic:nvPicPr>
                  <pic:blipFill>
                    <a:blip r:embed="rId11"/>
                    <a:stretch>
                      <a:fillRect/>
                    </a:stretch>
                  </pic:blipFill>
                  <pic:spPr>
                    <a:xfrm>
                      <a:off x="0" y="0"/>
                      <a:ext cx="5731510" cy="1714137"/>
                    </a:xfrm>
                    <a:prstGeom prst="rect">
                      <a:avLst/>
                    </a:prstGeom>
                  </pic:spPr>
                </pic:pic>
              </a:graphicData>
            </a:graphic>
          </wp:inline>
        </w:drawing>
      </w:r>
    </w:p>
    <w:p w14:paraId="5BB7EE2F" w14:textId="6B47AFBC" w:rsidR="001A0A4B" w:rsidRDefault="001A0A4B" w:rsidP="001A0A4B">
      <w:pPr>
        <w:jc w:val="both"/>
        <w:rPr>
          <w:rFonts w:asciiTheme="majorBidi" w:hAnsiTheme="majorBidi" w:cstheme="majorBidi"/>
          <w:sz w:val="24"/>
          <w:szCs w:val="24"/>
        </w:rPr>
      </w:pPr>
      <w:r w:rsidRPr="001A0A4B">
        <w:rPr>
          <w:rFonts w:asciiTheme="majorBidi" w:hAnsiTheme="majorBidi" w:cstheme="majorBidi"/>
          <w:sz w:val="24"/>
          <w:szCs w:val="24"/>
        </w:rPr>
        <w:t>Because traditional central bank asset purchases are not possible, real aggregate demand (Y) relies entirely on external liquidity injections. We model this relationship using the following structural spending function:</w:t>
      </w:r>
    </w:p>
    <w:p w14:paraId="4B7D8140" w14:textId="25807964" w:rsidR="001A0A4B" w:rsidRDefault="001A0A4B" w:rsidP="001A0A4B">
      <w:pPr>
        <w:jc w:val="both"/>
        <w:rPr>
          <w:rFonts w:asciiTheme="majorBidi" w:hAnsiTheme="majorBidi" w:cstheme="majorBidi"/>
          <w:sz w:val="24"/>
          <w:szCs w:val="24"/>
        </w:rPr>
      </w:pPr>
      <w:r w:rsidRPr="001A0A4B">
        <w:rPr>
          <w:rFonts w:asciiTheme="majorBidi" w:hAnsiTheme="majorBidi" w:cstheme="majorBidi"/>
          <w:noProof/>
          <w:sz w:val="24"/>
          <w:szCs w:val="24"/>
        </w:rPr>
        <w:drawing>
          <wp:inline distT="0" distB="0" distL="0" distR="0" wp14:anchorId="4CBDA840" wp14:editId="67FA907C">
            <wp:extent cx="5731510" cy="2965450"/>
            <wp:effectExtent l="0" t="0" r="2540" b="6350"/>
            <wp:docPr id="3294911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491110" name=""/>
                    <pic:cNvPicPr/>
                  </pic:nvPicPr>
                  <pic:blipFill>
                    <a:blip r:embed="rId12"/>
                    <a:stretch>
                      <a:fillRect/>
                    </a:stretch>
                  </pic:blipFill>
                  <pic:spPr>
                    <a:xfrm>
                      <a:off x="0" y="0"/>
                      <a:ext cx="5731510" cy="2965450"/>
                    </a:xfrm>
                    <a:prstGeom prst="rect">
                      <a:avLst/>
                    </a:prstGeom>
                  </pic:spPr>
                </pic:pic>
              </a:graphicData>
            </a:graphic>
          </wp:inline>
        </w:drawing>
      </w:r>
    </w:p>
    <w:p w14:paraId="52926365" w14:textId="77777777" w:rsidR="00BF45E0" w:rsidRDefault="00BF45E0" w:rsidP="001A0A4B">
      <w:pPr>
        <w:jc w:val="both"/>
        <w:rPr>
          <w:rFonts w:asciiTheme="majorBidi" w:hAnsiTheme="majorBidi" w:cstheme="majorBidi"/>
          <w:b/>
          <w:bCs/>
          <w:sz w:val="24"/>
          <w:szCs w:val="24"/>
        </w:rPr>
      </w:pPr>
    </w:p>
    <w:p w14:paraId="2A73FA3B" w14:textId="1D9AB159" w:rsidR="001A0A4B" w:rsidRPr="001A0A4B" w:rsidRDefault="001A0A4B" w:rsidP="001A0A4B">
      <w:pPr>
        <w:jc w:val="both"/>
        <w:rPr>
          <w:rFonts w:asciiTheme="majorBidi" w:hAnsiTheme="majorBidi" w:cstheme="majorBidi"/>
          <w:b/>
          <w:bCs/>
          <w:sz w:val="24"/>
          <w:szCs w:val="24"/>
        </w:rPr>
      </w:pPr>
      <w:r w:rsidRPr="001A0A4B">
        <w:rPr>
          <w:rFonts w:asciiTheme="majorBidi" w:hAnsiTheme="majorBidi" w:cstheme="majorBidi"/>
          <w:b/>
          <w:bCs/>
          <w:sz w:val="24"/>
          <w:szCs w:val="24"/>
        </w:rPr>
        <w:lastRenderedPageBreak/>
        <w:t>3.3 Target Selection and Data Sourcing Protocol</w:t>
      </w:r>
    </w:p>
    <w:p w14:paraId="3E536394" w14:textId="77777777" w:rsidR="001A0A4B" w:rsidRPr="001A0A4B" w:rsidRDefault="001A0A4B" w:rsidP="001A0A4B">
      <w:pPr>
        <w:jc w:val="both"/>
        <w:rPr>
          <w:rFonts w:asciiTheme="majorBidi" w:hAnsiTheme="majorBidi" w:cstheme="majorBidi"/>
          <w:sz w:val="24"/>
          <w:szCs w:val="24"/>
        </w:rPr>
      </w:pPr>
      <w:r w:rsidRPr="001A0A4B">
        <w:rPr>
          <w:rFonts w:asciiTheme="majorBidi" w:hAnsiTheme="majorBidi" w:cstheme="majorBidi"/>
          <w:sz w:val="24"/>
          <w:szCs w:val="24"/>
        </w:rPr>
        <w:t xml:space="preserve">This study bypasses the risks of fragmented primary field data in active conflict zones by establishing a </w:t>
      </w:r>
      <w:r w:rsidRPr="001A0A4B">
        <w:rPr>
          <w:rFonts w:asciiTheme="majorBidi" w:hAnsiTheme="majorBidi" w:cstheme="majorBidi"/>
          <w:b/>
          <w:bCs/>
          <w:sz w:val="24"/>
          <w:szCs w:val="24"/>
        </w:rPr>
        <w:t>multi-layered, secondary data sourcing protocol</w:t>
      </w:r>
      <w:r w:rsidRPr="001A0A4B">
        <w:rPr>
          <w:rFonts w:asciiTheme="majorBidi" w:hAnsiTheme="majorBidi" w:cstheme="majorBidi"/>
          <w:sz w:val="24"/>
          <w:szCs w:val="24"/>
        </w:rPr>
        <w:t>. Data collection covers the pre-reform, active-reform, and post-HIPC horizons, capturing the evolution of the economy across three clear institutional eras:</w:t>
      </w:r>
    </w:p>
    <w:p w14:paraId="201FFCCF" w14:textId="77777777" w:rsidR="001A0A4B" w:rsidRPr="001A0A4B" w:rsidRDefault="001A0A4B" w:rsidP="001A0A4B">
      <w:pPr>
        <w:numPr>
          <w:ilvl w:val="0"/>
          <w:numId w:val="52"/>
        </w:numPr>
        <w:jc w:val="both"/>
        <w:rPr>
          <w:rFonts w:asciiTheme="majorBidi" w:hAnsiTheme="majorBidi" w:cstheme="majorBidi"/>
          <w:sz w:val="24"/>
          <w:szCs w:val="24"/>
        </w:rPr>
      </w:pPr>
      <w:r w:rsidRPr="001A0A4B">
        <w:rPr>
          <w:rFonts w:asciiTheme="majorBidi" w:hAnsiTheme="majorBidi" w:cstheme="majorBidi"/>
          <w:b/>
          <w:bCs/>
          <w:sz w:val="24"/>
          <w:szCs w:val="24"/>
        </w:rPr>
        <w:t>Pre-Reform Horizon (2012–2016)</w:t>
      </w:r>
      <w:r w:rsidRPr="001A0A4B">
        <w:rPr>
          <w:rFonts w:asciiTheme="majorBidi" w:hAnsiTheme="majorBidi" w:cstheme="majorBidi"/>
          <w:sz w:val="24"/>
          <w:szCs w:val="24"/>
        </w:rPr>
        <w:t>: Unregulated ecosystem characterized by zero central bank oversight and fragmented regional public finance.</w:t>
      </w:r>
    </w:p>
    <w:p w14:paraId="06325517" w14:textId="77777777" w:rsidR="001A0A4B" w:rsidRPr="001A0A4B" w:rsidRDefault="001A0A4B" w:rsidP="001A0A4B">
      <w:pPr>
        <w:numPr>
          <w:ilvl w:val="0"/>
          <w:numId w:val="52"/>
        </w:numPr>
        <w:jc w:val="both"/>
        <w:rPr>
          <w:rFonts w:asciiTheme="majorBidi" w:hAnsiTheme="majorBidi" w:cstheme="majorBidi"/>
          <w:sz w:val="24"/>
          <w:szCs w:val="24"/>
        </w:rPr>
      </w:pPr>
      <w:r w:rsidRPr="001A0A4B">
        <w:rPr>
          <w:rFonts w:asciiTheme="majorBidi" w:hAnsiTheme="majorBidi" w:cstheme="majorBidi"/>
          <w:b/>
          <w:bCs/>
          <w:sz w:val="24"/>
          <w:szCs w:val="24"/>
        </w:rPr>
        <w:t>Active-Reform Horizon (2017–2023)</w:t>
      </w:r>
      <w:r w:rsidRPr="001A0A4B">
        <w:rPr>
          <w:rFonts w:asciiTheme="majorBidi" w:hAnsiTheme="majorBidi" w:cstheme="majorBidi"/>
          <w:sz w:val="24"/>
          <w:szCs w:val="24"/>
        </w:rPr>
        <w:t>: Systematic IMF Extended Credit Facility (ECF) reviews and World Bank development grants leading up to debt relief.</w:t>
      </w:r>
    </w:p>
    <w:p w14:paraId="53F6F632" w14:textId="77777777" w:rsidR="001A0A4B" w:rsidRPr="001A0A4B" w:rsidRDefault="001A0A4B" w:rsidP="001A0A4B">
      <w:pPr>
        <w:numPr>
          <w:ilvl w:val="0"/>
          <w:numId w:val="52"/>
        </w:numPr>
        <w:jc w:val="both"/>
        <w:rPr>
          <w:rFonts w:asciiTheme="majorBidi" w:hAnsiTheme="majorBidi" w:cstheme="majorBidi"/>
          <w:sz w:val="24"/>
          <w:szCs w:val="24"/>
        </w:rPr>
      </w:pPr>
      <w:r w:rsidRPr="001A0A4B">
        <w:rPr>
          <w:rFonts w:asciiTheme="majorBidi" w:hAnsiTheme="majorBidi" w:cstheme="majorBidi"/>
          <w:b/>
          <w:bCs/>
          <w:sz w:val="24"/>
          <w:szCs w:val="24"/>
        </w:rPr>
        <w:t>Post-HIPC Horizon (Post-2023)</w:t>
      </w:r>
      <w:r w:rsidRPr="001A0A4B">
        <w:rPr>
          <w:rFonts w:asciiTheme="majorBidi" w:hAnsiTheme="majorBidi" w:cstheme="majorBidi"/>
          <w:sz w:val="24"/>
          <w:szCs w:val="24"/>
        </w:rPr>
        <w:t>: Modern institutional phase focused on structural formalization and sovereign financial rebuilding.</w:t>
      </w:r>
    </w:p>
    <w:p w14:paraId="444FC7C3" w14:textId="77777777" w:rsidR="001A0A4B" w:rsidRPr="001A0A4B" w:rsidRDefault="001A0A4B" w:rsidP="001A0A4B">
      <w:pPr>
        <w:jc w:val="both"/>
        <w:rPr>
          <w:rFonts w:asciiTheme="majorBidi" w:hAnsiTheme="majorBidi" w:cstheme="majorBidi"/>
          <w:sz w:val="24"/>
          <w:szCs w:val="24"/>
        </w:rPr>
      </w:pPr>
      <w:r w:rsidRPr="001A0A4B">
        <w:rPr>
          <w:rFonts w:asciiTheme="majorBidi" w:hAnsiTheme="majorBidi" w:cstheme="majorBidi"/>
          <w:sz w:val="24"/>
          <w:szCs w:val="24"/>
        </w:rPr>
        <w:t>Secondary data was systematically extracted from verified institutional clearinghouses via targeted indexing queries:</w:t>
      </w:r>
    </w:p>
    <w:p w14:paraId="43AF5763" w14:textId="77777777" w:rsidR="001A0A4B" w:rsidRPr="001A0A4B" w:rsidRDefault="001A0A4B" w:rsidP="001A0A4B">
      <w:pPr>
        <w:numPr>
          <w:ilvl w:val="0"/>
          <w:numId w:val="53"/>
        </w:numPr>
        <w:jc w:val="both"/>
        <w:rPr>
          <w:rFonts w:asciiTheme="majorBidi" w:hAnsiTheme="majorBidi" w:cstheme="majorBidi"/>
          <w:sz w:val="24"/>
          <w:szCs w:val="24"/>
        </w:rPr>
      </w:pPr>
      <w:r w:rsidRPr="001A0A4B">
        <w:rPr>
          <w:rFonts w:asciiTheme="majorBidi" w:hAnsiTheme="majorBidi" w:cstheme="majorBidi"/>
          <w:b/>
          <w:bCs/>
          <w:sz w:val="24"/>
          <w:szCs w:val="24"/>
        </w:rPr>
        <w:t>The International Monetary Fund (IMF)</w:t>
      </w:r>
      <w:r w:rsidRPr="001A0A4B">
        <w:rPr>
          <w:rFonts w:asciiTheme="majorBidi" w:hAnsiTheme="majorBidi" w:cstheme="majorBidi"/>
          <w:sz w:val="24"/>
          <w:szCs w:val="24"/>
        </w:rPr>
        <w:t>: Structural benchmark tables, Staff Monitored Programs (SMP), and Extended Credit Facility (ECF) country evaluations.</w:t>
      </w:r>
    </w:p>
    <w:p w14:paraId="38B838BF" w14:textId="77777777" w:rsidR="001A0A4B" w:rsidRPr="001A0A4B" w:rsidRDefault="001A0A4B" w:rsidP="001A0A4B">
      <w:pPr>
        <w:numPr>
          <w:ilvl w:val="0"/>
          <w:numId w:val="53"/>
        </w:numPr>
        <w:jc w:val="both"/>
        <w:rPr>
          <w:rFonts w:asciiTheme="majorBidi" w:hAnsiTheme="majorBidi" w:cstheme="majorBidi"/>
          <w:sz w:val="24"/>
          <w:szCs w:val="24"/>
        </w:rPr>
      </w:pPr>
      <w:r w:rsidRPr="001A0A4B">
        <w:rPr>
          <w:rFonts w:asciiTheme="majorBidi" w:hAnsiTheme="majorBidi" w:cstheme="majorBidi"/>
          <w:b/>
          <w:bCs/>
          <w:sz w:val="24"/>
          <w:szCs w:val="24"/>
        </w:rPr>
        <w:t>The World Bank Group</w:t>
      </w:r>
      <w:r w:rsidRPr="001A0A4B">
        <w:rPr>
          <w:rFonts w:asciiTheme="majorBidi" w:hAnsiTheme="majorBidi" w:cstheme="majorBidi"/>
          <w:sz w:val="24"/>
          <w:szCs w:val="24"/>
        </w:rPr>
        <w:t xml:space="preserve">: Micro-data records from the </w:t>
      </w:r>
      <w:r w:rsidRPr="001A0A4B">
        <w:rPr>
          <w:rFonts w:asciiTheme="majorBidi" w:hAnsiTheme="majorBidi" w:cstheme="majorBidi"/>
          <w:i/>
          <w:iCs/>
          <w:sz w:val="24"/>
          <w:szCs w:val="24"/>
        </w:rPr>
        <w:t>Somalia Economic Update</w:t>
      </w:r>
      <w:r w:rsidRPr="001A0A4B">
        <w:rPr>
          <w:rFonts w:asciiTheme="majorBidi" w:hAnsiTheme="majorBidi" w:cstheme="majorBidi"/>
          <w:sz w:val="24"/>
          <w:szCs w:val="24"/>
        </w:rPr>
        <w:t xml:space="preserve"> series, focusing on poverty mapping and urban consumer spending.</w:t>
      </w:r>
    </w:p>
    <w:p w14:paraId="0E65D1AE" w14:textId="77777777" w:rsidR="001A0A4B" w:rsidRPr="001A0A4B" w:rsidRDefault="001A0A4B" w:rsidP="001A0A4B">
      <w:pPr>
        <w:numPr>
          <w:ilvl w:val="0"/>
          <w:numId w:val="53"/>
        </w:numPr>
        <w:jc w:val="both"/>
        <w:rPr>
          <w:rFonts w:asciiTheme="majorBidi" w:hAnsiTheme="majorBidi" w:cstheme="majorBidi"/>
          <w:sz w:val="24"/>
          <w:szCs w:val="24"/>
        </w:rPr>
      </w:pPr>
      <w:r w:rsidRPr="001A0A4B">
        <w:rPr>
          <w:rFonts w:asciiTheme="majorBidi" w:hAnsiTheme="majorBidi" w:cstheme="majorBidi"/>
          <w:b/>
          <w:bCs/>
          <w:sz w:val="24"/>
          <w:szCs w:val="24"/>
        </w:rPr>
        <w:t>The Central Bank of Somalia (CBS)</w:t>
      </w:r>
      <w:r w:rsidRPr="001A0A4B">
        <w:rPr>
          <w:rFonts w:asciiTheme="majorBidi" w:hAnsiTheme="majorBidi" w:cstheme="majorBidi"/>
          <w:sz w:val="24"/>
          <w:szCs w:val="24"/>
        </w:rPr>
        <w:t>: Official financial sector statistical sheets, money-transfer operator licensing registries, and quarterly financial system assessments.</w:t>
      </w:r>
    </w:p>
    <w:p w14:paraId="7329AEF7" w14:textId="77777777" w:rsidR="001A0A4B" w:rsidRPr="001A0A4B" w:rsidRDefault="001A0A4B" w:rsidP="001A0A4B">
      <w:pPr>
        <w:jc w:val="both"/>
        <w:rPr>
          <w:rFonts w:asciiTheme="majorBidi" w:hAnsiTheme="majorBidi" w:cstheme="majorBidi"/>
          <w:b/>
          <w:bCs/>
          <w:sz w:val="24"/>
          <w:szCs w:val="24"/>
        </w:rPr>
      </w:pPr>
      <w:r w:rsidRPr="001A0A4B">
        <w:rPr>
          <w:rFonts w:asciiTheme="majorBidi" w:hAnsiTheme="majorBidi" w:cstheme="majorBidi"/>
          <w:b/>
          <w:bCs/>
          <w:sz w:val="24"/>
          <w:szCs w:val="24"/>
        </w:rPr>
        <w:t>3.4 Data Analytical Procedures and Structural Break Isolation</w:t>
      </w:r>
    </w:p>
    <w:p w14:paraId="212A20C2" w14:textId="77777777" w:rsidR="001A0A4B" w:rsidRPr="001A0A4B" w:rsidRDefault="001A0A4B" w:rsidP="001A0A4B">
      <w:pPr>
        <w:jc w:val="both"/>
        <w:rPr>
          <w:rFonts w:asciiTheme="majorBidi" w:hAnsiTheme="majorBidi" w:cstheme="majorBidi"/>
          <w:sz w:val="24"/>
          <w:szCs w:val="24"/>
        </w:rPr>
      </w:pPr>
      <w:r w:rsidRPr="001A0A4B">
        <w:rPr>
          <w:rFonts w:asciiTheme="majorBidi" w:hAnsiTheme="majorBidi" w:cstheme="majorBidi"/>
          <w:sz w:val="24"/>
          <w:szCs w:val="24"/>
        </w:rPr>
        <w:t>The extracted dataset was evaluated using a three-stage analytical procedure to map institutional evolution over time:</w:t>
      </w:r>
    </w:p>
    <w:p w14:paraId="68378306" w14:textId="77777777" w:rsidR="001A0A4B" w:rsidRPr="001A0A4B" w:rsidRDefault="001A0A4B" w:rsidP="001A0A4B">
      <w:pPr>
        <w:numPr>
          <w:ilvl w:val="0"/>
          <w:numId w:val="54"/>
        </w:numPr>
        <w:jc w:val="both"/>
        <w:rPr>
          <w:rFonts w:asciiTheme="majorBidi" w:hAnsiTheme="majorBidi" w:cstheme="majorBidi"/>
          <w:sz w:val="24"/>
          <w:szCs w:val="24"/>
        </w:rPr>
      </w:pPr>
      <w:r w:rsidRPr="001A0A4B">
        <w:rPr>
          <w:rFonts w:asciiTheme="majorBidi" w:hAnsiTheme="majorBidi" w:cstheme="majorBidi"/>
          <w:b/>
          <w:bCs/>
          <w:sz w:val="24"/>
          <w:szCs w:val="24"/>
        </w:rPr>
        <w:t>Document-Based Content Analysis</w:t>
      </w:r>
      <w:r w:rsidRPr="001A0A4B">
        <w:rPr>
          <w:rFonts w:asciiTheme="majorBidi" w:hAnsiTheme="majorBidi" w:cstheme="majorBidi"/>
          <w:sz w:val="24"/>
          <w:szCs w:val="24"/>
        </w:rPr>
        <w:t xml:space="preserve">: Public laws, tax codes, and IMF policy papers were processed using structural coding matrices. This process </w:t>
      </w:r>
      <w:proofErr w:type="spellStart"/>
      <w:r w:rsidRPr="001A0A4B">
        <w:rPr>
          <w:rFonts w:asciiTheme="majorBidi" w:hAnsiTheme="majorBidi" w:cstheme="majorBidi"/>
          <w:sz w:val="24"/>
          <w:szCs w:val="24"/>
        </w:rPr>
        <w:t>cataloged</w:t>
      </w:r>
      <w:proofErr w:type="spellEnd"/>
      <w:r w:rsidRPr="001A0A4B">
        <w:rPr>
          <w:rFonts w:asciiTheme="majorBidi" w:hAnsiTheme="majorBidi" w:cstheme="majorBidi"/>
          <w:sz w:val="24"/>
          <w:szCs w:val="24"/>
        </w:rPr>
        <w:t xml:space="preserve"> institutional variables according to enforcement strength, regional compliance levels, and legal clarity.</w:t>
      </w:r>
    </w:p>
    <w:p w14:paraId="34AA6123" w14:textId="77777777" w:rsidR="001A0A4B" w:rsidRPr="001A0A4B" w:rsidRDefault="001A0A4B" w:rsidP="001A0A4B">
      <w:pPr>
        <w:numPr>
          <w:ilvl w:val="0"/>
          <w:numId w:val="54"/>
        </w:numPr>
        <w:jc w:val="both"/>
        <w:rPr>
          <w:rFonts w:asciiTheme="majorBidi" w:hAnsiTheme="majorBidi" w:cstheme="majorBidi"/>
          <w:sz w:val="24"/>
          <w:szCs w:val="24"/>
        </w:rPr>
      </w:pPr>
      <w:r w:rsidRPr="001A0A4B">
        <w:rPr>
          <w:rFonts w:asciiTheme="majorBidi" w:hAnsiTheme="majorBidi" w:cstheme="majorBidi"/>
          <w:b/>
          <w:bCs/>
          <w:sz w:val="24"/>
          <w:szCs w:val="24"/>
        </w:rPr>
        <w:t>Ex-Post Macroeconomic Trend Mapping</w:t>
      </w:r>
      <w:r w:rsidRPr="001A0A4B">
        <w:rPr>
          <w:rFonts w:asciiTheme="majorBidi" w:hAnsiTheme="majorBidi" w:cstheme="majorBidi"/>
          <w:sz w:val="24"/>
          <w:szCs w:val="24"/>
        </w:rPr>
        <w:t>: High-level fiscal metrics were organized chronologically to isolate real-world structural breaks. The primary breakpoint parameter was set to December 2023 (the formal HIPC Completion Date) to measure changes before and after debt relief.</w:t>
      </w:r>
    </w:p>
    <w:p w14:paraId="075D3B08" w14:textId="77777777" w:rsidR="001A0A4B" w:rsidRPr="001A0A4B" w:rsidRDefault="001A0A4B" w:rsidP="001A0A4B">
      <w:pPr>
        <w:numPr>
          <w:ilvl w:val="0"/>
          <w:numId w:val="54"/>
        </w:numPr>
        <w:jc w:val="both"/>
        <w:rPr>
          <w:rFonts w:asciiTheme="majorBidi" w:hAnsiTheme="majorBidi" w:cstheme="majorBidi"/>
          <w:sz w:val="24"/>
          <w:szCs w:val="24"/>
        </w:rPr>
      </w:pPr>
      <w:r w:rsidRPr="001A0A4B">
        <w:rPr>
          <w:rFonts w:asciiTheme="majorBidi" w:hAnsiTheme="majorBidi" w:cstheme="majorBidi"/>
          <w:b/>
          <w:bCs/>
          <w:sz w:val="24"/>
          <w:szCs w:val="24"/>
        </w:rPr>
        <w:t>Institutional Mapping and Comparative Analysis</w:t>
      </w:r>
      <w:r w:rsidRPr="001A0A4B">
        <w:rPr>
          <w:rFonts w:asciiTheme="majorBidi" w:hAnsiTheme="majorBidi" w:cstheme="majorBidi"/>
          <w:sz w:val="24"/>
          <w:szCs w:val="24"/>
        </w:rPr>
        <w:t>: The structural relationship between private actors (mobile money platforms, remittance providers) and state institutions (the Central Bank of Somalia) was mapped out. This step evaluates how effectively private informal networks adapted to new, formal state laws and financial regulations.</w:t>
      </w:r>
    </w:p>
    <w:p w14:paraId="1EAE680B" w14:textId="3A9A7B83" w:rsidR="001A0A4B" w:rsidRPr="001A0A4B" w:rsidRDefault="001A0A4B" w:rsidP="001A0A4B">
      <w:pPr>
        <w:jc w:val="both"/>
        <w:rPr>
          <w:rFonts w:asciiTheme="majorBidi" w:hAnsiTheme="majorBidi" w:cstheme="majorBidi"/>
          <w:sz w:val="24"/>
          <w:szCs w:val="24"/>
        </w:rPr>
      </w:pPr>
    </w:p>
    <w:p w14:paraId="0D2B56C6" w14:textId="77777777" w:rsidR="001A0A4B" w:rsidRDefault="001A0A4B" w:rsidP="001A0A4B">
      <w:pPr>
        <w:jc w:val="both"/>
        <w:rPr>
          <w:rFonts w:asciiTheme="majorBidi" w:hAnsiTheme="majorBidi" w:cstheme="majorBidi"/>
          <w:sz w:val="24"/>
          <w:szCs w:val="24"/>
        </w:rPr>
      </w:pPr>
    </w:p>
    <w:p w14:paraId="433928FD" w14:textId="77777777" w:rsidR="00652002" w:rsidRPr="00652002" w:rsidRDefault="00652002" w:rsidP="00652002">
      <w:pPr>
        <w:rPr>
          <w:rFonts w:asciiTheme="majorBidi" w:hAnsiTheme="majorBidi" w:cstheme="majorBidi"/>
          <w:b/>
          <w:bCs/>
          <w:sz w:val="24"/>
          <w:szCs w:val="24"/>
        </w:rPr>
      </w:pPr>
      <w:r w:rsidRPr="00652002">
        <w:rPr>
          <w:rFonts w:asciiTheme="majorBidi" w:hAnsiTheme="majorBidi" w:cstheme="majorBidi"/>
          <w:b/>
          <w:bCs/>
          <w:sz w:val="24"/>
          <w:szCs w:val="24"/>
        </w:rPr>
        <w:lastRenderedPageBreak/>
        <w:t>4. Findings</w:t>
      </w:r>
    </w:p>
    <w:p w14:paraId="02E65B57" w14:textId="77777777" w:rsidR="00652002" w:rsidRPr="00652002" w:rsidRDefault="00652002" w:rsidP="00652002">
      <w:pPr>
        <w:rPr>
          <w:rFonts w:asciiTheme="majorBidi" w:hAnsiTheme="majorBidi" w:cstheme="majorBidi"/>
          <w:b/>
          <w:bCs/>
          <w:sz w:val="24"/>
          <w:szCs w:val="24"/>
        </w:rPr>
      </w:pPr>
      <w:r w:rsidRPr="00652002">
        <w:rPr>
          <w:rFonts w:asciiTheme="majorBidi" w:hAnsiTheme="majorBidi" w:cstheme="majorBidi"/>
          <w:b/>
          <w:bCs/>
          <w:sz w:val="24"/>
          <w:szCs w:val="24"/>
        </w:rPr>
        <w:t>4.1 The Pre-Reform Financial Baseline</w:t>
      </w:r>
    </w:p>
    <w:p w14:paraId="5A4ABB85" w14:textId="77777777" w:rsidR="00652002" w:rsidRPr="00652002" w:rsidRDefault="00652002" w:rsidP="00652002">
      <w:pPr>
        <w:jc w:val="both"/>
        <w:rPr>
          <w:rFonts w:asciiTheme="majorBidi" w:hAnsiTheme="majorBidi" w:cstheme="majorBidi"/>
          <w:sz w:val="24"/>
          <w:szCs w:val="24"/>
        </w:rPr>
      </w:pPr>
      <w:r w:rsidRPr="00652002">
        <w:rPr>
          <w:rFonts w:asciiTheme="majorBidi" w:hAnsiTheme="majorBidi" w:cstheme="majorBidi"/>
          <w:sz w:val="24"/>
          <w:szCs w:val="24"/>
        </w:rPr>
        <w:t>Prior to the launch of systematic IMF-backed Staff Monitored Programs, Somalia's financial landscape operated via a unique triad of informal forces:</w:t>
      </w:r>
    </w:p>
    <w:p w14:paraId="0008CFE3" w14:textId="77777777" w:rsidR="00652002" w:rsidRPr="00652002" w:rsidRDefault="00652002" w:rsidP="00652002">
      <w:pPr>
        <w:numPr>
          <w:ilvl w:val="0"/>
          <w:numId w:val="47"/>
        </w:numPr>
        <w:jc w:val="both"/>
        <w:rPr>
          <w:rFonts w:asciiTheme="majorBidi" w:hAnsiTheme="majorBidi" w:cstheme="majorBidi"/>
          <w:sz w:val="24"/>
          <w:szCs w:val="24"/>
        </w:rPr>
      </w:pPr>
      <w:r w:rsidRPr="00652002">
        <w:rPr>
          <w:rFonts w:asciiTheme="majorBidi" w:hAnsiTheme="majorBidi" w:cstheme="majorBidi"/>
          <w:sz w:val="24"/>
          <w:szCs w:val="24"/>
        </w:rPr>
        <w:t>Remittance Inflows: Averaging between $1.3 billion and $2 billion annually, diaspora transfers directly insulated the economy from balance-of-payments collapses, functioning as the primary social safety net for citizens.</w:t>
      </w:r>
    </w:p>
    <w:p w14:paraId="6D1BF787" w14:textId="77777777" w:rsidR="00652002" w:rsidRPr="00652002" w:rsidRDefault="00652002" w:rsidP="00652002">
      <w:pPr>
        <w:numPr>
          <w:ilvl w:val="0"/>
          <w:numId w:val="47"/>
        </w:numPr>
        <w:jc w:val="both"/>
        <w:rPr>
          <w:rFonts w:asciiTheme="majorBidi" w:hAnsiTheme="majorBidi" w:cstheme="majorBidi"/>
          <w:sz w:val="24"/>
          <w:szCs w:val="24"/>
        </w:rPr>
      </w:pPr>
      <w:r w:rsidRPr="00652002">
        <w:rPr>
          <w:rFonts w:asciiTheme="majorBidi" w:hAnsiTheme="majorBidi" w:cstheme="majorBidi"/>
          <w:sz w:val="24"/>
          <w:szCs w:val="24"/>
        </w:rPr>
        <w:t xml:space="preserve">Unregulated Mobile Money: Platforms operated by private telecom giants like </w:t>
      </w:r>
      <w:proofErr w:type="spellStart"/>
      <w:r w:rsidRPr="00652002">
        <w:rPr>
          <w:rFonts w:asciiTheme="majorBidi" w:hAnsiTheme="majorBidi" w:cstheme="majorBidi"/>
          <w:sz w:val="24"/>
          <w:szCs w:val="24"/>
        </w:rPr>
        <w:t>Hormuud</w:t>
      </w:r>
      <w:proofErr w:type="spellEnd"/>
      <w:r w:rsidRPr="00652002">
        <w:rPr>
          <w:rFonts w:asciiTheme="majorBidi" w:hAnsiTheme="majorBidi" w:cstheme="majorBidi"/>
          <w:sz w:val="24"/>
          <w:szCs w:val="24"/>
        </w:rPr>
        <w:t xml:space="preserve"> and </w:t>
      </w:r>
      <w:proofErr w:type="spellStart"/>
      <w:r w:rsidRPr="00652002">
        <w:rPr>
          <w:rFonts w:asciiTheme="majorBidi" w:hAnsiTheme="majorBidi" w:cstheme="majorBidi"/>
          <w:sz w:val="24"/>
          <w:szCs w:val="24"/>
        </w:rPr>
        <w:t>NationLink</w:t>
      </w:r>
      <w:proofErr w:type="spellEnd"/>
      <w:r w:rsidRPr="00652002">
        <w:rPr>
          <w:rFonts w:asciiTheme="majorBidi" w:hAnsiTheme="majorBidi" w:cstheme="majorBidi"/>
          <w:sz w:val="24"/>
          <w:szCs w:val="24"/>
        </w:rPr>
        <w:t xml:space="preserve"> handled millions of transactions daily. These platforms operated outside central bank oversight, missing standard capital reserve or KYC (Know Your Customer) requirements.</w:t>
      </w:r>
    </w:p>
    <w:p w14:paraId="64F3DB7F" w14:textId="77777777" w:rsidR="00652002" w:rsidRPr="00652002" w:rsidRDefault="00652002" w:rsidP="00652002">
      <w:pPr>
        <w:numPr>
          <w:ilvl w:val="0"/>
          <w:numId w:val="47"/>
        </w:numPr>
        <w:jc w:val="both"/>
        <w:rPr>
          <w:rFonts w:asciiTheme="majorBidi" w:hAnsiTheme="majorBidi" w:cstheme="majorBidi"/>
          <w:sz w:val="24"/>
          <w:szCs w:val="24"/>
        </w:rPr>
      </w:pPr>
      <w:r w:rsidRPr="00652002">
        <w:rPr>
          <w:rFonts w:asciiTheme="majorBidi" w:hAnsiTheme="majorBidi" w:cstheme="majorBidi"/>
          <w:sz w:val="24"/>
          <w:szCs w:val="24"/>
        </w:rPr>
        <w:t>Total Dollarization: The domestic cash supply was composed almost entirely of counterfeit or highly degraded Somali Shilling notes printed during or prior to the 1991 collapse. Consequently, more than 95% of urban transactions were conducted using the U.S. dollar, effectively rendering the Central Bank powerless.</w:t>
      </w:r>
    </w:p>
    <w:p w14:paraId="7A387C83" w14:textId="77777777" w:rsidR="00652002" w:rsidRPr="00652002" w:rsidRDefault="00652002" w:rsidP="00652002">
      <w:pPr>
        <w:rPr>
          <w:rFonts w:asciiTheme="majorBidi" w:hAnsiTheme="majorBidi" w:cstheme="majorBidi"/>
          <w:b/>
          <w:bCs/>
          <w:sz w:val="24"/>
          <w:szCs w:val="24"/>
        </w:rPr>
      </w:pPr>
      <w:r w:rsidRPr="00652002">
        <w:rPr>
          <w:rFonts w:asciiTheme="majorBidi" w:hAnsiTheme="majorBidi" w:cstheme="majorBidi"/>
          <w:b/>
          <w:bCs/>
          <w:sz w:val="24"/>
          <w:szCs w:val="24"/>
        </w:rPr>
        <w:t>4.2 Post-HIPC Milestone Results</w:t>
      </w:r>
    </w:p>
    <w:p w14:paraId="25D1312B" w14:textId="0DE2A971" w:rsidR="00C83EF3" w:rsidRPr="00170F1D" w:rsidRDefault="00652002" w:rsidP="00170F1D">
      <w:pPr>
        <w:jc w:val="both"/>
        <w:rPr>
          <w:rFonts w:asciiTheme="majorBidi" w:hAnsiTheme="majorBidi" w:cstheme="majorBidi"/>
          <w:sz w:val="24"/>
          <w:szCs w:val="24"/>
        </w:rPr>
      </w:pPr>
      <w:r w:rsidRPr="00652002">
        <w:rPr>
          <w:rFonts w:asciiTheme="majorBidi" w:hAnsiTheme="majorBidi" w:cstheme="majorBidi"/>
          <w:sz w:val="24"/>
          <w:szCs w:val="24"/>
        </w:rPr>
        <w:t>The successful conclusion of the HIPC process in late 2023 dramatically altered Somalia's macroeconomic profile. The core empirical outcomes of these structural reforms are summarized in the comparative analysis below:</w:t>
      </w:r>
    </w:p>
    <w:tbl>
      <w:tblPr>
        <w:tblStyle w:val="TableGrid"/>
        <w:tblW w:w="0" w:type="auto"/>
        <w:tblLook w:val="04A0" w:firstRow="1" w:lastRow="0" w:firstColumn="1" w:lastColumn="0" w:noHBand="0" w:noVBand="1"/>
      </w:tblPr>
      <w:tblGrid>
        <w:gridCol w:w="2445"/>
        <w:gridCol w:w="2141"/>
        <w:gridCol w:w="1966"/>
        <w:gridCol w:w="2464"/>
      </w:tblGrid>
      <w:tr w:rsidR="00170F1D" w14:paraId="4DE43B8E" w14:textId="77777777" w:rsidTr="00170F1D">
        <w:tc>
          <w:tcPr>
            <w:tcW w:w="2552" w:type="dxa"/>
          </w:tcPr>
          <w:p w14:paraId="5FAC3A64" w14:textId="788B9C7D" w:rsidR="00170F1D" w:rsidRDefault="00170F1D" w:rsidP="00170F1D">
            <w:pPr>
              <w:jc w:val="both"/>
              <w:rPr>
                <w:rFonts w:asciiTheme="majorBidi" w:hAnsiTheme="majorBidi" w:cstheme="majorBidi"/>
                <w:b/>
                <w:bCs/>
                <w:sz w:val="24"/>
                <w:szCs w:val="24"/>
              </w:rPr>
            </w:pPr>
            <w:r w:rsidRPr="00170F1D">
              <w:rPr>
                <w:rFonts w:asciiTheme="majorBidi" w:hAnsiTheme="majorBidi" w:cstheme="majorBidi"/>
                <w:b/>
                <w:bCs/>
                <w:sz w:val="24"/>
                <w:szCs w:val="24"/>
              </w:rPr>
              <w:t>Macroeconomic Indicator</w:t>
            </w:r>
          </w:p>
        </w:tc>
        <w:tc>
          <w:tcPr>
            <w:tcW w:w="2268" w:type="dxa"/>
          </w:tcPr>
          <w:p w14:paraId="6D48F99F" w14:textId="10342D89" w:rsidR="00170F1D" w:rsidRDefault="00170F1D" w:rsidP="00170F1D">
            <w:pPr>
              <w:jc w:val="both"/>
              <w:rPr>
                <w:rFonts w:asciiTheme="majorBidi" w:hAnsiTheme="majorBidi" w:cstheme="majorBidi"/>
                <w:b/>
                <w:bCs/>
                <w:sz w:val="24"/>
                <w:szCs w:val="24"/>
              </w:rPr>
            </w:pPr>
            <w:r w:rsidRPr="00170F1D">
              <w:rPr>
                <w:rFonts w:asciiTheme="majorBidi" w:hAnsiTheme="majorBidi" w:cstheme="majorBidi"/>
                <w:b/>
                <w:bCs/>
                <w:sz w:val="24"/>
                <w:szCs w:val="24"/>
              </w:rPr>
              <w:t>Pre-Reform Baseline (Est.)</w:t>
            </w:r>
          </w:p>
        </w:tc>
        <w:tc>
          <w:tcPr>
            <w:tcW w:w="2126" w:type="dxa"/>
          </w:tcPr>
          <w:p w14:paraId="239D4D29" w14:textId="4673C143" w:rsidR="00170F1D" w:rsidRDefault="00170F1D" w:rsidP="00170F1D">
            <w:pPr>
              <w:jc w:val="both"/>
              <w:rPr>
                <w:rFonts w:asciiTheme="majorBidi" w:hAnsiTheme="majorBidi" w:cstheme="majorBidi"/>
                <w:b/>
                <w:bCs/>
                <w:sz w:val="24"/>
                <w:szCs w:val="24"/>
              </w:rPr>
            </w:pPr>
            <w:r w:rsidRPr="00170F1D">
              <w:rPr>
                <w:rFonts w:asciiTheme="majorBidi" w:hAnsiTheme="majorBidi" w:cstheme="majorBidi"/>
                <w:b/>
                <w:bCs/>
                <w:sz w:val="24"/>
                <w:szCs w:val="24"/>
              </w:rPr>
              <w:t>Post-HIPC Phase</w:t>
            </w:r>
          </w:p>
        </w:tc>
        <w:tc>
          <w:tcPr>
            <w:tcW w:w="2642" w:type="dxa"/>
          </w:tcPr>
          <w:p w14:paraId="64A5F63C" w14:textId="6A7C9561" w:rsidR="00170F1D" w:rsidRDefault="00170F1D" w:rsidP="00170F1D">
            <w:pPr>
              <w:jc w:val="both"/>
              <w:rPr>
                <w:rFonts w:asciiTheme="majorBidi" w:hAnsiTheme="majorBidi" w:cstheme="majorBidi"/>
                <w:b/>
                <w:bCs/>
                <w:sz w:val="24"/>
                <w:szCs w:val="24"/>
              </w:rPr>
            </w:pPr>
            <w:r w:rsidRPr="00170F1D">
              <w:rPr>
                <w:rFonts w:asciiTheme="majorBidi" w:hAnsiTheme="majorBidi" w:cstheme="majorBidi"/>
                <w:b/>
                <w:bCs/>
                <w:sz w:val="24"/>
                <w:szCs w:val="24"/>
              </w:rPr>
              <w:t>Structural Impact</w:t>
            </w:r>
          </w:p>
        </w:tc>
      </w:tr>
      <w:tr w:rsidR="00170F1D" w:rsidRPr="00170F1D" w14:paraId="405DF684" w14:textId="77777777" w:rsidTr="00170F1D">
        <w:tc>
          <w:tcPr>
            <w:tcW w:w="2552" w:type="dxa"/>
          </w:tcPr>
          <w:p w14:paraId="47CD95AB" w14:textId="26607992" w:rsidR="00170F1D" w:rsidRPr="00170F1D" w:rsidRDefault="00170F1D" w:rsidP="00170F1D">
            <w:pPr>
              <w:jc w:val="both"/>
              <w:rPr>
                <w:rFonts w:asciiTheme="majorBidi" w:hAnsiTheme="majorBidi" w:cstheme="majorBidi"/>
                <w:sz w:val="24"/>
                <w:szCs w:val="24"/>
              </w:rPr>
            </w:pPr>
            <w:r w:rsidRPr="00170F1D">
              <w:rPr>
                <w:rFonts w:asciiTheme="majorBidi" w:hAnsiTheme="majorBidi" w:cstheme="majorBidi"/>
                <w:sz w:val="24"/>
                <w:szCs w:val="24"/>
              </w:rPr>
              <w:t>External Public Debt</w:t>
            </w:r>
          </w:p>
        </w:tc>
        <w:tc>
          <w:tcPr>
            <w:tcW w:w="2268" w:type="dxa"/>
          </w:tcPr>
          <w:p w14:paraId="34F3AE38" w14:textId="0AB59F93" w:rsidR="00170F1D" w:rsidRPr="00170F1D" w:rsidRDefault="00170F1D" w:rsidP="00170F1D">
            <w:pPr>
              <w:jc w:val="both"/>
              <w:rPr>
                <w:rFonts w:asciiTheme="majorBidi" w:hAnsiTheme="majorBidi" w:cstheme="majorBidi"/>
                <w:sz w:val="24"/>
                <w:szCs w:val="24"/>
              </w:rPr>
            </w:pPr>
            <w:r w:rsidRPr="00170F1D">
              <w:rPr>
                <w:rFonts w:asciiTheme="majorBidi" w:hAnsiTheme="majorBidi" w:cstheme="majorBidi"/>
                <w:sz w:val="24"/>
                <w:szCs w:val="24"/>
              </w:rPr>
              <w:t>Over $5.2 Billion</w:t>
            </w:r>
          </w:p>
        </w:tc>
        <w:tc>
          <w:tcPr>
            <w:tcW w:w="2126" w:type="dxa"/>
          </w:tcPr>
          <w:p w14:paraId="036F5FCE" w14:textId="5411F68E" w:rsidR="00170F1D" w:rsidRPr="00170F1D" w:rsidRDefault="00170F1D" w:rsidP="00170F1D">
            <w:pPr>
              <w:jc w:val="both"/>
              <w:rPr>
                <w:rFonts w:asciiTheme="majorBidi" w:hAnsiTheme="majorBidi" w:cstheme="majorBidi"/>
                <w:sz w:val="24"/>
                <w:szCs w:val="24"/>
              </w:rPr>
            </w:pPr>
            <w:r w:rsidRPr="00170F1D">
              <w:rPr>
                <w:rFonts w:asciiTheme="majorBidi" w:hAnsiTheme="majorBidi" w:cstheme="majorBidi"/>
                <w:sz w:val="24"/>
                <w:szCs w:val="24"/>
              </w:rPr>
              <w:t>Reduced to under $600 Million</w:t>
            </w:r>
          </w:p>
        </w:tc>
        <w:tc>
          <w:tcPr>
            <w:tcW w:w="2642" w:type="dxa"/>
          </w:tcPr>
          <w:p w14:paraId="62BB23EC" w14:textId="20E3FD02" w:rsidR="00170F1D" w:rsidRPr="00170F1D" w:rsidRDefault="00170F1D" w:rsidP="00170F1D">
            <w:pPr>
              <w:jc w:val="both"/>
              <w:rPr>
                <w:rFonts w:asciiTheme="majorBidi" w:hAnsiTheme="majorBidi" w:cstheme="majorBidi"/>
                <w:sz w:val="24"/>
                <w:szCs w:val="24"/>
              </w:rPr>
            </w:pPr>
            <w:r w:rsidRPr="00170F1D">
              <w:rPr>
                <w:rFonts w:asciiTheme="majorBidi" w:hAnsiTheme="majorBidi" w:cstheme="majorBidi"/>
                <w:sz w:val="24"/>
                <w:szCs w:val="24"/>
              </w:rPr>
              <w:t>Wiped out 64% of debt-to-GDP ratio; unlocked fresh multi-lateral grants.</w:t>
            </w:r>
          </w:p>
        </w:tc>
      </w:tr>
      <w:tr w:rsidR="00170F1D" w:rsidRPr="00170F1D" w14:paraId="530DE511" w14:textId="77777777" w:rsidTr="00170F1D">
        <w:tc>
          <w:tcPr>
            <w:tcW w:w="2552" w:type="dxa"/>
          </w:tcPr>
          <w:p w14:paraId="6FC7015D" w14:textId="359D1F8D" w:rsidR="00170F1D" w:rsidRPr="00170F1D" w:rsidRDefault="00170F1D" w:rsidP="00170F1D">
            <w:pPr>
              <w:jc w:val="both"/>
              <w:rPr>
                <w:rFonts w:asciiTheme="majorBidi" w:hAnsiTheme="majorBidi" w:cstheme="majorBidi"/>
                <w:sz w:val="24"/>
                <w:szCs w:val="24"/>
              </w:rPr>
            </w:pPr>
            <w:r w:rsidRPr="00170F1D">
              <w:rPr>
                <w:rFonts w:asciiTheme="majorBidi" w:hAnsiTheme="majorBidi" w:cstheme="majorBidi"/>
                <w:sz w:val="24"/>
                <w:szCs w:val="24"/>
              </w:rPr>
              <w:t>Domestic Revenue / GDP</w:t>
            </w:r>
          </w:p>
        </w:tc>
        <w:tc>
          <w:tcPr>
            <w:tcW w:w="2268" w:type="dxa"/>
          </w:tcPr>
          <w:p w14:paraId="408C3DB4" w14:textId="10C9B88A" w:rsidR="00170F1D" w:rsidRPr="00170F1D" w:rsidRDefault="00170F1D" w:rsidP="00170F1D">
            <w:pPr>
              <w:jc w:val="both"/>
              <w:rPr>
                <w:rFonts w:asciiTheme="majorBidi" w:hAnsiTheme="majorBidi" w:cstheme="majorBidi"/>
                <w:sz w:val="24"/>
                <w:szCs w:val="24"/>
              </w:rPr>
            </w:pPr>
            <w:r w:rsidRPr="00170F1D">
              <w:rPr>
                <w:rFonts w:asciiTheme="majorBidi" w:hAnsiTheme="majorBidi" w:cstheme="majorBidi"/>
                <w:sz w:val="24"/>
                <w:szCs w:val="24"/>
              </w:rPr>
              <w:t>Less than 2.5%</w:t>
            </w:r>
          </w:p>
        </w:tc>
        <w:tc>
          <w:tcPr>
            <w:tcW w:w="2126" w:type="dxa"/>
          </w:tcPr>
          <w:p w14:paraId="5F27F20A" w14:textId="535C1B0E" w:rsidR="00170F1D" w:rsidRPr="00170F1D" w:rsidRDefault="00170F1D" w:rsidP="00170F1D">
            <w:pPr>
              <w:jc w:val="both"/>
              <w:rPr>
                <w:rFonts w:asciiTheme="majorBidi" w:hAnsiTheme="majorBidi" w:cstheme="majorBidi"/>
                <w:sz w:val="24"/>
                <w:szCs w:val="24"/>
              </w:rPr>
            </w:pPr>
            <w:r w:rsidRPr="00170F1D">
              <w:rPr>
                <w:rFonts w:asciiTheme="majorBidi" w:hAnsiTheme="majorBidi" w:cstheme="majorBidi"/>
                <w:sz w:val="24"/>
                <w:szCs w:val="24"/>
              </w:rPr>
              <w:t>Steadily rising toward 4.5%–5.0%</w:t>
            </w:r>
          </w:p>
        </w:tc>
        <w:tc>
          <w:tcPr>
            <w:tcW w:w="2642" w:type="dxa"/>
          </w:tcPr>
          <w:p w14:paraId="1A7D46B2" w14:textId="5FAF707C" w:rsidR="00170F1D" w:rsidRPr="00170F1D" w:rsidRDefault="00170F1D" w:rsidP="00170F1D">
            <w:pPr>
              <w:jc w:val="both"/>
              <w:rPr>
                <w:rFonts w:asciiTheme="majorBidi" w:hAnsiTheme="majorBidi" w:cstheme="majorBidi"/>
                <w:sz w:val="24"/>
                <w:szCs w:val="24"/>
              </w:rPr>
            </w:pPr>
            <w:r w:rsidRPr="00170F1D">
              <w:rPr>
                <w:rFonts w:asciiTheme="majorBidi" w:hAnsiTheme="majorBidi" w:cstheme="majorBidi"/>
                <w:sz w:val="24"/>
                <w:szCs w:val="24"/>
              </w:rPr>
              <w:t>Driven by automated customs collection and standardized sales tax tools.</w:t>
            </w:r>
          </w:p>
        </w:tc>
      </w:tr>
      <w:tr w:rsidR="00170F1D" w:rsidRPr="00170F1D" w14:paraId="2F3A35B4" w14:textId="77777777" w:rsidTr="00170F1D">
        <w:tc>
          <w:tcPr>
            <w:tcW w:w="2552" w:type="dxa"/>
          </w:tcPr>
          <w:p w14:paraId="5719A52D" w14:textId="71417D36" w:rsidR="00170F1D" w:rsidRPr="00170F1D" w:rsidRDefault="00170F1D" w:rsidP="00170F1D">
            <w:pPr>
              <w:jc w:val="both"/>
              <w:rPr>
                <w:rFonts w:asciiTheme="majorBidi" w:hAnsiTheme="majorBidi" w:cstheme="majorBidi"/>
                <w:sz w:val="24"/>
                <w:szCs w:val="24"/>
              </w:rPr>
            </w:pPr>
            <w:r w:rsidRPr="00170F1D">
              <w:rPr>
                <w:rFonts w:asciiTheme="majorBidi" w:hAnsiTheme="majorBidi" w:cstheme="majorBidi"/>
                <w:sz w:val="24"/>
                <w:szCs w:val="24"/>
              </w:rPr>
              <w:t>Commercial Bank Regulation</w:t>
            </w:r>
          </w:p>
        </w:tc>
        <w:tc>
          <w:tcPr>
            <w:tcW w:w="2268" w:type="dxa"/>
          </w:tcPr>
          <w:p w14:paraId="0DE28DB0" w14:textId="1AABE78D" w:rsidR="00170F1D" w:rsidRPr="00170F1D" w:rsidRDefault="00170F1D" w:rsidP="00170F1D">
            <w:pPr>
              <w:jc w:val="both"/>
              <w:rPr>
                <w:rFonts w:asciiTheme="majorBidi" w:hAnsiTheme="majorBidi" w:cstheme="majorBidi"/>
                <w:sz w:val="24"/>
                <w:szCs w:val="24"/>
              </w:rPr>
            </w:pPr>
            <w:r w:rsidRPr="00170F1D">
              <w:rPr>
                <w:rFonts w:asciiTheme="majorBidi" w:hAnsiTheme="majorBidi" w:cstheme="majorBidi"/>
                <w:sz w:val="24"/>
                <w:szCs w:val="24"/>
              </w:rPr>
              <w:t>0 licensed entities; no reporting</w:t>
            </w:r>
          </w:p>
        </w:tc>
        <w:tc>
          <w:tcPr>
            <w:tcW w:w="2126" w:type="dxa"/>
          </w:tcPr>
          <w:p w14:paraId="4762405A" w14:textId="177B8DE7" w:rsidR="00170F1D" w:rsidRPr="00170F1D" w:rsidRDefault="00170F1D" w:rsidP="00170F1D">
            <w:pPr>
              <w:jc w:val="both"/>
              <w:rPr>
                <w:rFonts w:asciiTheme="majorBidi" w:hAnsiTheme="majorBidi" w:cstheme="majorBidi"/>
                <w:sz w:val="24"/>
                <w:szCs w:val="24"/>
              </w:rPr>
            </w:pPr>
            <w:r w:rsidRPr="00170F1D">
              <w:rPr>
                <w:rFonts w:asciiTheme="majorBidi" w:hAnsiTheme="majorBidi" w:cstheme="majorBidi"/>
                <w:sz w:val="24"/>
                <w:szCs w:val="24"/>
              </w:rPr>
              <w:t>Multi-tier licensed banking sector</w:t>
            </w:r>
          </w:p>
        </w:tc>
        <w:tc>
          <w:tcPr>
            <w:tcW w:w="2642" w:type="dxa"/>
          </w:tcPr>
          <w:p w14:paraId="1F4B8501" w14:textId="17CD7630" w:rsidR="00170F1D" w:rsidRPr="00170F1D" w:rsidRDefault="00170F1D" w:rsidP="00170F1D">
            <w:pPr>
              <w:jc w:val="both"/>
              <w:rPr>
                <w:rFonts w:asciiTheme="majorBidi" w:hAnsiTheme="majorBidi" w:cstheme="majorBidi"/>
                <w:sz w:val="24"/>
                <w:szCs w:val="24"/>
              </w:rPr>
            </w:pPr>
            <w:r w:rsidRPr="00170F1D">
              <w:rPr>
                <w:rFonts w:asciiTheme="majorBidi" w:hAnsiTheme="majorBidi" w:cstheme="majorBidi"/>
                <w:sz w:val="24"/>
                <w:szCs w:val="24"/>
              </w:rPr>
              <w:t>CBS enforces strict monthly liquidity ratios and asset-quality audits.</w:t>
            </w:r>
          </w:p>
        </w:tc>
      </w:tr>
      <w:tr w:rsidR="00170F1D" w:rsidRPr="00170F1D" w14:paraId="04BC476E" w14:textId="77777777" w:rsidTr="00170F1D">
        <w:tc>
          <w:tcPr>
            <w:tcW w:w="2552" w:type="dxa"/>
          </w:tcPr>
          <w:p w14:paraId="672B1906" w14:textId="306F013C" w:rsidR="00170F1D" w:rsidRPr="00170F1D" w:rsidRDefault="00170F1D" w:rsidP="00170F1D">
            <w:pPr>
              <w:jc w:val="both"/>
              <w:rPr>
                <w:rFonts w:asciiTheme="majorBidi" w:hAnsiTheme="majorBidi" w:cstheme="majorBidi"/>
                <w:sz w:val="24"/>
                <w:szCs w:val="24"/>
              </w:rPr>
            </w:pPr>
            <w:r w:rsidRPr="00170F1D">
              <w:rPr>
                <w:rFonts w:asciiTheme="majorBidi" w:hAnsiTheme="majorBidi" w:cstheme="majorBidi"/>
                <w:sz w:val="24"/>
                <w:szCs w:val="24"/>
              </w:rPr>
              <w:t>Mobile Money Oversight</w:t>
            </w:r>
          </w:p>
        </w:tc>
        <w:tc>
          <w:tcPr>
            <w:tcW w:w="2268" w:type="dxa"/>
          </w:tcPr>
          <w:p w14:paraId="7B6BE4D3" w14:textId="782E8A9F" w:rsidR="00170F1D" w:rsidRPr="00170F1D" w:rsidRDefault="00170F1D" w:rsidP="00170F1D">
            <w:pPr>
              <w:jc w:val="both"/>
              <w:rPr>
                <w:rFonts w:asciiTheme="majorBidi" w:hAnsiTheme="majorBidi" w:cstheme="majorBidi"/>
                <w:sz w:val="24"/>
                <w:szCs w:val="24"/>
              </w:rPr>
            </w:pPr>
            <w:r w:rsidRPr="00170F1D">
              <w:rPr>
                <w:rFonts w:asciiTheme="majorBidi" w:hAnsiTheme="majorBidi" w:cstheme="majorBidi"/>
                <w:sz w:val="24"/>
                <w:szCs w:val="24"/>
              </w:rPr>
              <w:t>100% unmonitored private networks</w:t>
            </w:r>
          </w:p>
        </w:tc>
        <w:tc>
          <w:tcPr>
            <w:tcW w:w="2126" w:type="dxa"/>
          </w:tcPr>
          <w:p w14:paraId="75367733" w14:textId="039C8656" w:rsidR="00170F1D" w:rsidRPr="00170F1D" w:rsidRDefault="00170F1D" w:rsidP="00170F1D">
            <w:pPr>
              <w:jc w:val="both"/>
              <w:rPr>
                <w:rFonts w:asciiTheme="majorBidi" w:hAnsiTheme="majorBidi" w:cstheme="majorBidi"/>
                <w:sz w:val="24"/>
                <w:szCs w:val="24"/>
              </w:rPr>
            </w:pPr>
            <w:r w:rsidRPr="00170F1D">
              <w:rPr>
                <w:rFonts w:asciiTheme="majorBidi" w:hAnsiTheme="majorBidi" w:cstheme="majorBidi"/>
                <w:sz w:val="24"/>
                <w:szCs w:val="24"/>
              </w:rPr>
              <w:t>Formal licensing under CBS</w:t>
            </w:r>
          </w:p>
        </w:tc>
        <w:tc>
          <w:tcPr>
            <w:tcW w:w="2642" w:type="dxa"/>
          </w:tcPr>
          <w:p w14:paraId="4587C5CE" w14:textId="6F802FB0" w:rsidR="00170F1D" w:rsidRPr="00170F1D" w:rsidRDefault="00170F1D" w:rsidP="00170F1D">
            <w:pPr>
              <w:jc w:val="both"/>
              <w:rPr>
                <w:rFonts w:asciiTheme="majorBidi" w:hAnsiTheme="majorBidi" w:cstheme="majorBidi"/>
                <w:sz w:val="24"/>
                <w:szCs w:val="24"/>
              </w:rPr>
            </w:pPr>
            <w:r w:rsidRPr="00170F1D">
              <w:rPr>
                <w:rFonts w:asciiTheme="majorBidi" w:hAnsiTheme="majorBidi" w:cstheme="majorBidi"/>
                <w:sz w:val="24"/>
                <w:szCs w:val="24"/>
              </w:rPr>
              <w:t>Integration of interoperable payments; mandatory KYC compliance.</w:t>
            </w:r>
          </w:p>
        </w:tc>
      </w:tr>
    </w:tbl>
    <w:p w14:paraId="7B036E56" w14:textId="77777777" w:rsidR="00C83EF3" w:rsidRPr="00170F1D" w:rsidRDefault="00C83EF3" w:rsidP="00C32D25">
      <w:pPr>
        <w:jc w:val="both"/>
        <w:rPr>
          <w:rFonts w:asciiTheme="majorBidi" w:hAnsiTheme="majorBidi" w:cstheme="majorBidi"/>
          <w:sz w:val="24"/>
          <w:szCs w:val="24"/>
        </w:rPr>
      </w:pPr>
    </w:p>
    <w:p w14:paraId="6DA7CCAF" w14:textId="77777777" w:rsidR="00BF45E0" w:rsidRDefault="00BF45E0" w:rsidP="00170F1D">
      <w:pPr>
        <w:jc w:val="both"/>
        <w:rPr>
          <w:rFonts w:asciiTheme="majorBidi" w:hAnsiTheme="majorBidi" w:cstheme="majorBidi"/>
          <w:b/>
          <w:bCs/>
          <w:sz w:val="24"/>
          <w:szCs w:val="24"/>
        </w:rPr>
      </w:pPr>
    </w:p>
    <w:p w14:paraId="3D1AD266" w14:textId="318C47B6" w:rsidR="00170F1D" w:rsidRPr="00170F1D" w:rsidRDefault="00170F1D" w:rsidP="00170F1D">
      <w:pPr>
        <w:jc w:val="both"/>
        <w:rPr>
          <w:rFonts w:asciiTheme="majorBidi" w:hAnsiTheme="majorBidi" w:cstheme="majorBidi"/>
          <w:b/>
          <w:bCs/>
          <w:sz w:val="24"/>
          <w:szCs w:val="24"/>
        </w:rPr>
      </w:pPr>
      <w:r w:rsidRPr="00170F1D">
        <w:rPr>
          <w:rFonts w:asciiTheme="majorBidi" w:hAnsiTheme="majorBidi" w:cstheme="majorBidi"/>
          <w:b/>
          <w:bCs/>
          <w:sz w:val="24"/>
          <w:szCs w:val="24"/>
        </w:rPr>
        <w:lastRenderedPageBreak/>
        <w:t>4.3 Fiscal Transformation and Revenue Mobilization</w:t>
      </w:r>
    </w:p>
    <w:p w14:paraId="4906664D" w14:textId="77777777" w:rsidR="00170F1D" w:rsidRPr="00170F1D" w:rsidRDefault="00170F1D" w:rsidP="00170F1D">
      <w:pPr>
        <w:jc w:val="both"/>
        <w:rPr>
          <w:rFonts w:asciiTheme="majorBidi" w:hAnsiTheme="majorBidi" w:cstheme="majorBidi"/>
          <w:sz w:val="24"/>
          <w:szCs w:val="24"/>
        </w:rPr>
      </w:pPr>
      <w:r w:rsidRPr="00170F1D">
        <w:rPr>
          <w:rFonts w:asciiTheme="majorBidi" w:hAnsiTheme="majorBidi" w:cstheme="majorBidi"/>
          <w:sz w:val="24"/>
          <w:szCs w:val="24"/>
        </w:rPr>
        <w:t>The Federal Government of Somalia (FGS) successfully expanded its domestic tax base through key legal and technological interventions:</w:t>
      </w:r>
    </w:p>
    <w:p w14:paraId="158F6A3F" w14:textId="77777777" w:rsidR="00170F1D" w:rsidRPr="00170F1D" w:rsidRDefault="00170F1D" w:rsidP="00170F1D">
      <w:pPr>
        <w:numPr>
          <w:ilvl w:val="0"/>
          <w:numId w:val="48"/>
        </w:numPr>
        <w:jc w:val="both"/>
        <w:rPr>
          <w:rFonts w:asciiTheme="majorBidi" w:hAnsiTheme="majorBidi" w:cstheme="majorBidi"/>
          <w:sz w:val="24"/>
          <w:szCs w:val="24"/>
        </w:rPr>
      </w:pPr>
      <w:r w:rsidRPr="00170F1D">
        <w:rPr>
          <w:rFonts w:asciiTheme="majorBidi" w:hAnsiTheme="majorBidi" w:cstheme="majorBidi"/>
          <w:b/>
          <w:bCs/>
          <w:sz w:val="24"/>
          <w:szCs w:val="24"/>
        </w:rPr>
        <w:t>Automation of Customs</w:t>
      </w:r>
      <w:r w:rsidRPr="00170F1D">
        <w:rPr>
          <w:rFonts w:asciiTheme="majorBidi" w:hAnsiTheme="majorBidi" w:cstheme="majorBidi"/>
          <w:sz w:val="24"/>
          <w:szCs w:val="24"/>
        </w:rPr>
        <w:t>: Transitioning major ports of entry, such as the Port of Mogadishu, away from arbitrary flat-rate pricing to the automated, tariff-based Somali Customs Automated System (SOMCAS).</w:t>
      </w:r>
    </w:p>
    <w:p w14:paraId="39EBB74C" w14:textId="77777777" w:rsidR="00170F1D" w:rsidRDefault="00170F1D" w:rsidP="00170F1D">
      <w:pPr>
        <w:numPr>
          <w:ilvl w:val="0"/>
          <w:numId w:val="48"/>
        </w:numPr>
        <w:jc w:val="both"/>
        <w:rPr>
          <w:rFonts w:asciiTheme="majorBidi" w:hAnsiTheme="majorBidi" w:cstheme="majorBidi"/>
          <w:sz w:val="24"/>
          <w:szCs w:val="24"/>
        </w:rPr>
      </w:pPr>
      <w:r w:rsidRPr="00170F1D">
        <w:rPr>
          <w:rFonts w:asciiTheme="majorBidi" w:hAnsiTheme="majorBidi" w:cstheme="majorBidi"/>
          <w:b/>
          <w:bCs/>
          <w:sz w:val="24"/>
          <w:szCs w:val="24"/>
        </w:rPr>
        <w:t>Harmonization with Federal Member States:</w:t>
      </w:r>
      <w:r w:rsidRPr="00170F1D">
        <w:rPr>
          <w:rFonts w:asciiTheme="majorBidi" w:hAnsiTheme="majorBidi" w:cstheme="majorBidi"/>
          <w:sz w:val="24"/>
          <w:szCs w:val="24"/>
        </w:rPr>
        <w:t xml:space="preserve"> Establishing initial revenue-sharing agreements between the Mogadishu-based federal </w:t>
      </w:r>
      <w:proofErr w:type="spellStart"/>
      <w:r w:rsidRPr="00170F1D">
        <w:rPr>
          <w:rFonts w:asciiTheme="majorBidi" w:hAnsiTheme="majorBidi" w:cstheme="majorBidi"/>
          <w:sz w:val="24"/>
          <w:szCs w:val="24"/>
        </w:rPr>
        <w:t>center</w:t>
      </w:r>
      <w:proofErr w:type="spellEnd"/>
      <w:r w:rsidRPr="00170F1D">
        <w:rPr>
          <w:rFonts w:asciiTheme="majorBidi" w:hAnsiTheme="majorBidi" w:cstheme="majorBidi"/>
          <w:sz w:val="24"/>
          <w:szCs w:val="24"/>
        </w:rPr>
        <w:t xml:space="preserve"> and regional states (Puntland, </w:t>
      </w:r>
      <w:proofErr w:type="spellStart"/>
      <w:r w:rsidRPr="00170F1D">
        <w:rPr>
          <w:rFonts w:asciiTheme="majorBidi" w:hAnsiTheme="majorBidi" w:cstheme="majorBidi"/>
          <w:sz w:val="24"/>
          <w:szCs w:val="24"/>
        </w:rPr>
        <w:t>Jubaland</w:t>
      </w:r>
      <w:proofErr w:type="spellEnd"/>
      <w:r w:rsidRPr="00170F1D">
        <w:rPr>
          <w:rFonts w:asciiTheme="majorBidi" w:hAnsiTheme="majorBidi" w:cstheme="majorBidi"/>
          <w:sz w:val="24"/>
          <w:szCs w:val="24"/>
        </w:rPr>
        <w:t xml:space="preserve">, South West, Galmudug, and </w:t>
      </w:r>
      <w:proofErr w:type="spellStart"/>
      <w:r w:rsidRPr="00170F1D">
        <w:rPr>
          <w:rFonts w:asciiTheme="majorBidi" w:hAnsiTheme="majorBidi" w:cstheme="majorBidi"/>
          <w:sz w:val="24"/>
          <w:szCs w:val="24"/>
        </w:rPr>
        <w:t>Hirshabelle</w:t>
      </w:r>
      <w:proofErr w:type="spellEnd"/>
      <w:r w:rsidRPr="00170F1D">
        <w:rPr>
          <w:rFonts w:asciiTheme="majorBidi" w:hAnsiTheme="majorBidi" w:cstheme="majorBidi"/>
          <w:sz w:val="24"/>
          <w:szCs w:val="24"/>
        </w:rPr>
        <w:t>). This represents a vital step toward sustainable fiscal federalism.</w:t>
      </w:r>
    </w:p>
    <w:p w14:paraId="335428DF" w14:textId="689AEB2E" w:rsidR="00210DD7" w:rsidRPr="00C32D25" w:rsidRDefault="00210DD7" w:rsidP="00210DD7">
      <w:pPr>
        <w:jc w:val="both"/>
        <w:rPr>
          <w:rFonts w:asciiTheme="majorBidi" w:hAnsiTheme="majorBidi" w:cstheme="majorBidi"/>
          <w:b/>
          <w:bCs/>
          <w:sz w:val="24"/>
          <w:szCs w:val="24"/>
        </w:rPr>
      </w:pPr>
      <w:r w:rsidRPr="00C32D25">
        <w:rPr>
          <w:rFonts w:asciiTheme="majorBidi" w:hAnsiTheme="majorBidi" w:cstheme="majorBidi"/>
          <w:b/>
          <w:bCs/>
          <w:sz w:val="24"/>
          <w:szCs w:val="24"/>
        </w:rPr>
        <w:t>4.</w:t>
      </w:r>
      <w:r>
        <w:rPr>
          <w:rFonts w:asciiTheme="majorBidi" w:hAnsiTheme="majorBidi" w:cstheme="majorBidi"/>
          <w:b/>
          <w:bCs/>
          <w:sz w:val="24"/>
          <w:szCs w:val="24"/>
        </w:rPr>
        <w:t>4</w:t>
      </w:r>
      <w:r w:rsidRPr="00C32D25">
        <w:rPr>
          <w:rFonts w:asciiTheme="majorBidi" w:hAnsiTheme="majorBidi" w:cstheme="majorBidi"/>
          <w:b/>
          <w:bCs/>
          <w:sz w:val="24"/>
          <w:szCs w:val="24"/>
        </w:rPr>
        <w:t xml:space="preserve"> Econometric Cointegration Analysis</w:t>
      </w:r>
    </w:p>
    <w:p w14:paraId="3EB0D415" w14:textId="77777777" w:rsidR="00210DD7" w:rsidRPr="00C32D25" w:rsidRDefault="00210DD7" w:rsidP="00210DD7">
      <w:pPr>
        <w:jc w:val="both"/>
        <w:rPr>
          <w:rFonts w:asciiTheme="majorBidi" w:hAnsiTheme="majorBidi" w:cstheme="majorBidi"/>
          <w:sz w:val="24"/>
          <w:szCs w:val="24"/>
        </w:rPr>
      </w:pPr>
      <w:r w:rsidRPr="00C32D25">
        <w:rPr>
          <w:rFonts w:asciiTheme="majorBidi" w:hAnsiTheme="majorBidi" w:cstheme="majorBidi"/>
          <w:sz w:val="24"/>
          <w:szCs w:val="24"/>
        </w:rPr>
        <w:t xml:space="preserve">The F-bounds test for cointegration was conducted to evaluate the long-run relationships among the variables. The computed F-statistic of </w:t>
      </w:r>
      <w:r w:rsidRPr="00C32D25">
        <w:rPr>
          <w:rFonts w:asciiTheme="majorBidi" w:hAnsiTheme="majorBidi" w:cstheme="majorBidi"/>
          <w:b/>
          <w:bCs/>
          <w:sz w:val="24"/>
          <w:szCs w:val="24"/>
        </w:rPr>
        <w:t>5.42</w:t>
      </w:r>
      <w:r w:rsidRPr="00C32D25">
        <w:rPr>
          <w:rFonts w:asciiTheme="majorBidi" w:hAnsiTheme="majorBidi" w:cstheme="majorBidi"/>
          <w:sz w:val="24"/>
          <w:szCs w:val="24"/>
        </w:rPr>
        <w:t xml:space="preserve"> exceeds the upper-bound critical value of </w:t>
      </w:r>
      <w:r w:rsidRPr="00C32D25">
        <w:rPr>
          <w:rFonts w:asciiTheme="majorBidi" w:hAnsiTheme="majorBidi" w:cstheme="majorBidi"/>
          <w:b/>
          <w:bCs/>
          <w:sz w:val="24"/>
          <w:szCs w:val="24"/>
        </w:rPr>
        <w:t>4.68</w:t>
      </w:r>
      <w:r w:rsidRPr="00C32D25">
        <w:rPr>
          <w:rFonts w:asciiTheme="majorBidi" w:hAnsiTheme="majorBidi" w:cstheme="majorBidi"/>
          <w:sz w:val="24"/>
          <w:szCs w:val="24"/>
        </w:rPr>
        <w:t xml:space="preserve"> at the 5% significance level, rejecting the null hypothesis of no cointegration. This confirms a stable, long-run economic relationship between the independent variables and GDP growth.</w:t>
      </w:r>
    </w:p>
    <w:p w14:paraId="20C4FC64" w14:textId="77777777" w:rsidR="00210DD7" w:rsidRPr="00C32D25" w:rsidRDefault="00210DD7" w:rsidP="00210DD7">
      <w:pPr>
        <w:jc w:val="both"/>
        <w:rPr>
          <w:rFonts w:asciiTheme="majorBidi" w:hAnsiTheme="majorBidi" w:cstheme="majorBidi"/>
          <w:b/>
          <w:bCs/>
          <w:sz w:val="24"/>
          <w:szCs w:val="24"/>
        </w:rPr>
      </w:pPr>
      <w:r w:rsidRPr="00C32D25">
        <w:rPr>
          <w:rFonts w:asciiTheme="majorBidi" w:hAnsiTheme="majorBidi" w:cstheme="majorBidi"/>
          <w:b/>
          <w:bCs/>
          <w:sz w:val="24"/>
          <w:szCs w:val="24"/>
        </w:rPr>
        <w:t>4.2 ARDL Model Estimation Output</w:t>
      </w:r>
    </w:p>
    <w:p w14:paraId="40134086" w14:textId="77777777" w:rsidR="00210DD7" w:rsidRPr="00C32D25" w:rsidRDefault="00210DD7" w:rsidP="00210DD7">
      <w:pPr>
        <w:jc w:val="both"/>
        <w:rPr>
          <w:rFonts w:asciiTheme="majorBidi" w:hAnsiTheme="majorBidi" w:cstheme="majorBidi"/>
          <w:sz w:val="24"/>
          <w:szCs w:val="24"/>
        </w:rPr>
      </w:pPr>
      <w:r w:rsidRPr="00C32D25">
        <w:rPr>
          <w:rFonts w:asciiTheme="majorBidi" w:hAnsiTheme="majorBidi" w:cstheme="majorBidi"/>
          <w:sz w:val="24"/>
          <w:szCs w:val="24"/>
        </w:rPr>
        <w:t>The estimated long-run and short-run coefficients derived from the ARDL execution are detailed below:</w:t>
      </w:r>
    </w:p>
    <w:p w14:paraId="3D9F375C" w14:textId="77777777" w:rsidR="00210DD7" w:rsidRPr="00C32D25" w:rsidRDefault="00210DD7" w:rsidP="00210DD7">
      <w:pPr>
        <w:jc w:val="both"/>
        <w:rPr>
          <w:rFonts w:asciiTheme="majorBidi" w:hAnsiTheme="majorBidi" w:cstheme="majorBidi"/>
          <w:sz w:val="24"/>
          <w:szCs w:val="24"/>
        </w:rPr>
      </w:pPr>
      <w:r w:rsidRPr="00C32D25">
        <w:rPr>
          <w:rFonts w:asciiTheme="majorBidi" w:hAnsiTheme="majorBidi" w:cstheme="majorBidi"/>
          <w:noProof/>
          <w:sz w:val="24"/>
          <w:szCs w:val="24"/>
        </w:rPr>
        <w:drawing>
          <wp:inline distT="0" distB="0" distL="0" distR="0" wp14:anchorId="6B54E20C" wp14:editId="3270DE8C">
            <wp:extent cx="5731510" cy="3277235"/>
            <wp:effectExtent l="0" t="0" r="2540" b="0"/>
            <wp:docPr id="7772377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942910" name=""/>
                    <pic:cNvPicPr/>
                  </pic:nvPicPr>
                  <pic:blipFill>
                    <a:blip r:embed="rId13"/>
                    <a:stretch>
                      <a:fillRect/>
                    </a:stretch>
                  </pic:blipFill>
                  <pic:spPr>
                    <a:xfrm>
                      <a:off x="0" y="0"/>
                      <a:ext cx="5731510" cy="3277235"/>
                    </a:xfrm>
                    <a:prstGeom prst="rect">
                      <a:avLst/>
                    </a:prstGeom>
                  </pic:spPr>
                </pic:pic>
              </a:graphicData>
            </a:graphic>
          </wp:inline>
        </w:drawing>
      </w:r>
    </w:p>
    <w:p w14:paraId="201BA6BB" w14:textId="77777777" w:rsidR="00210DD7" w:rsidRPr="00C32D25" w:rsidRDefault="00210DD7" w:rsidP="00210DD7">
      <w:pPr>
        <w:jc w:val="both"/>
        <w:rPr>
          <w:rFonts w:asciiTheme="majorBidi" w:hAnsiTheme="majorBidi" w:cstheme="majorBidi"/>
          <w:sz w:val="24"/>
          <w:szCs w:val="24"/>
        </w:rPr>
      </w:pPr>
      <w:r w:rsidRPr="00C32D25">
        <w:rPr>
          <w:rFonts w:asciiTheme="majorBidi" w:hAnsiTheme="majorBidi" w:cstheme="majorBidi"/>
          <w:noProof/>
          <w:sz w:val="24"/>
          <w:szCs w:val="24"/>
        </w:rPr>
        <w:drawing>
          <wp:inline distT="0" distB="0" distL="0" distR="0" wp14:anchorId="2F1661D3" wp14:editId="08B3A1A4">
            <wp:extent cx="5731510" cy="939165"/>
            <wp:effectExtent l="0" t="0" r="2540" b="0"/>
            <wp:docPr id="13289980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857621" name=""/>
                    <pic:cNvPicPr/>
                  </pic:nvPicPr>
                  <pic:blipFill>
                    <a:blip r:embed="rId14"/>
                    <a:stretch>
                      <a:fillRect/>
                    </a:stretch>
                  </pic:blipFill>
                  <pic:spPr>
                    <a:xfrm>
                      <a:off x="0" y="0"/>
                      <a:ext cx="5731510" cy="939165"/>
                    </a:xfrm>
                    <a:prstGeom prst="rect">
                      <a:avLst/>
                    </a:prstGeom>
                  </pic:spPr>
                </pic:pic>
              </a:graphicData>
            </a:graphic>
          </wp:inline>
        </w:drawing>
      </w:r>
    </w:p>
    <w:p w14:paraId="5FD81365" w14:textId="77777777" w:rsidR="00210DD7" w:rsidRPr="00C32D25" w:rsidRDefault="00210DD7" w:rsidP="00210DD7">
      <w:pPr>
        <w:jc w:val="both"/>
        <w:rPr>
          <w:rFonts w:asciiTheme="majorBidi" w:hAnsiTheme="majorBidi" w:cstheme="majorBidi"/>
          <w:sz w:val="24"/>
          <w:szCs w:val="24"/>
        </w:rPr>
      </w:pPr>
      <w:r w:rsidRPr="00C32D25">
        <w:rPr>
          <w:rFonts w:asciiTheme="majorBidi" w:hAnsiTheme="majorBidi" w:cstheme="majorBidi"/>
          <w:noProof/>
          <w:sz w:val="24"/>
          <w:szCs w:val="24"/>
        </w:rPr>
        <w:lastRenderedPageBreak/>
        <w:drawing>
          <wp:inline distT="0" distB="0" distL="0" distR="0" wp14:anchorId="6E4CB6B7" wp14:editId="100A75C8">
            <wp:extent cx="5731510" cy="3580130"/>
            <wp:effectExtent l="0" t="0" r="2540" b="1270"/>
            <wp:docPr id="1529720218" name="Picture 1" descr="Image of a graph light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 of a graph lightbox"/>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3580130"/>
                    </a:xfrm>
                    <a:prstGeom prst="rect">
                      <a:avLst/>
                    </a:prstGeom>
                    <a:noFill/>
                    <a:ln>
                      <a:noFill/>
                    </a:ln>
                  </pic:spPr>
                </pic:pic>
              </a:graphicData>
            </a:graphic>
          </wp:inline>
        </w:drawing>
      </w:r>
    </w:p>
    <w:p w14:paraId="7F6D041F" w14:textId="77777777" w:rsidR="00210DD7" w:rsidRPr="00C32D25" w:rsidRDefault="00210DD7" w:rsidP="00210DD7">
      <w:pPr>
        <w:jc w:val="both"/>
        <w:rPr>
          <w:rFonts w:asciiTheme="majorBidi" w:hAnsiTheme="majorBidi" w:cstheme="majorBidi"/>
          <w:sz w:val="24"/>
          <w:szCs w:val="24"/>
        </w:rPr>
      </w:pPr>
      <w:r w:rsidRPr="00C32D25">
        <w:rPr>
          <w:rFonts w:asciiTheme="majorBidi" w:hAnsiTheme="majorBidi" w:cstheme="majorBidi"/>
          <w:noProof/>
          <w:sz w:val="24"/>
          <w:szCs w:val="24"/>
        </w:rPr>
        <w:drawing>
          <wp:inline distT="0" distB="0" distL="0" distR="0" wp14:anchorId="7C553153" wp14:editId="6B523BC7">
            <wp:extent cx="5731510" cy="756920"/>
            <wp:effectExtent l="0" t="0" r="2540" b="5080"/>
            <wp:docPr id="16072558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668915" name=""/>
                    <pic:cNvPicPr/>
                  </pic:nvPicPr>
                  <pic:blipFill>
                    <a:blip r:embed="rId16"/>
                    <a:stretch>
                      <a:fillRect/>
                    </a:stretch>
                  </pic:blipFill>
                  <pic:spPr>
                    <a:xfrm>
                      <a:off x="0" y="0"/>
                      <a:ext cx="5731510" cy="756920"/>
                    </a:xfrm>
                    <a:prstGeom prst="rect">
                      <a:avLst/>
                    </a:prstGeom>
                  </pic:spPr>
                </pic:pic>
              </a:graphicData>
            </a:graphic>
          </wp:inline>
        </w:drawing>
      </w:r>
    </w:p>
    <w:p w14:paraId="144411D3" w14:textId="77777777" w:rsidR="00210DD7" w:rsidRPr="00C32D25" w:rsidRDefault="00210DD7" w:rsidP="00210DD7">
      <w:pPr>
        <w:jc w:val="both"/>
        <w:rPr>
          <w:rFonts w:asciiTheme="majorBidi" w:hAnsiTheme="majorBidi" w:cstheme="majorBidi"/>
          <w:b/>
          <w:bCs/>
          <w:sz w:val="24"/>
          <w:szCs w:val="24"/>
        </w:rPr>
      </w:pPr>
      <w:r w:rsidRPr="00C32D25">
        <w:rPr>
          <w:rFonts w:asciiTheme="majorBidi" w:hAnsiTheme="majorBidi" w:cstheme="majorBidi"/>
          <w:b/>
          <w:bCs/>
          <w:sz w:val="24"/>
          <w:szCs w:val="24"/>
        </w:rPr>
        <w:t>3.1 Econometric Framework and Identification Strategy</w:t>
      </w:r>
    </w:p>
    <w:p w14:paraId="126C892C" w14:textId="77777777" w:rsidR="00210DD7" w:rsidRPr="00C32D25" w:rsidRDefault="00210DD7" w:rsidP="00210DD7">
      <w:pPr>
        <w:jc w:val="both"/>
        <w:rPr>
          <w:rFonts w:asciiTheme="majorBidi" w:hAnsiTheme="majorBidi" w:cstheme="majorBidi"/>
          <w:sz w:val="24"/>
          <w:szCs w:val="24"/>
        </w:rPr>
      </w:pPr>
      <w:r w:rsidRPr="00C32D25">
        <w:rPr>
          <w:rFonts w:asciiTheme="majorBidi" w:hAnsiTheme="majorBidi" w:cstheme="majorBidi"/>
          <w:sz w:val="24"/>
          <w:szCs w:val="24"/>
        </w:rPr>
        <w:t xml:space="preserve">To empirically evaluate the dynamic relationship between macrostructural stabilization determinants and long-term economic growth in a post-conflict, highly informal economic setting, this dissertation adopts an </w:t>
      </w:r>
      <w:r w:rsidRPr="00C32D25">
        <w:rPr>
          <w:rFonts w:asciiTheme="majorBidi" w:hAnsiTheme="majorBidi" w:cstheme="majorBidi"/>
          <w:b/>
          <w:bCs/>
          <w:sz w:val="24"/>
          <w:szCs w:val="24"/>
        </w:rPr>
        <w:t>Autoregressive Distributed Lag (ARDL)</w:t>
      </w:r>
      <w:r w:rsidRPr="00C32D25">
        <w:rPr>
          <w:rFonts w:asciiTheme="majorBidi" w:hAnsiTheme="majorBidi" w:cstheme="majorBidi"/>
          <w:sz w:val="24"/>
          <w:szCs w:val="24"/>
        </w:rPr>
        <w:t xml:space="preserve"> bounds testing approach, developed by </w:t>
      </w:r>
      <w:proofErr w:type="spellStart"/>
      <w:r w:rsidRPr="00C32D25">
        <w:rPr>
          <w:rFonts w:asciiTheme="majorBidi" w:hAnsiTheme="majorBidi" w:cstheme="majorBidi"/>
          <w:sz w:val="24"/>
          <w:szCs w:val="24"/>
        </w:rPr>
        <w:t>Pesaran</w:t>
      </w:r>
      <w:proofErr w:type="spellEnd"/>
      <w:r w:rsidRPr="00C32D25">
        <w:rPr>
          <w:rFonts w:asciiTheme="majorBidi" w:hAnsiTheme="majorBidi" w:cstheme="majorBidi"/>
          <w:sz w:val="24"/>
          <w:szCs w:val="24"/>
        </w:rPr>
        <w:t>, Shin, and Smith (2001).</w:t>
      </w:r>
    </w:p>
    <w:p w14:paraId="68D71554" w14:textId="42651A36" w:rsidR="00210DD7" w:rsidRPr="00C32D25" w:rsidRDefault="00210DD7" w:rsidP="00210DD7">
      <w:pPr>
        <w:jc w:val="both"/>
        <w:rPr>
          <w:rFonts w:asciiTheme="majorBidi" w:hAnsiTheme="majorBidi" w:cstheme="majorBidi"/>
          <w:sz w:val="24"/>
          <w:szCs w:val="24"/>
        </w:rPr>
      </w:pPr>
      <w:r w:rsidRPr="00C32D25">
        <w:rPr>
          <w:rFonts w:asciiTheme="majorBidi" w:hAnsiTheme="majorBidi" w:cstheme="majorBidi"/>
          <w:sz w:val="24"/>
          <w:szCs w:val="24"/>
        </w:rPr>
        <w:t>Standard cointegration frameworks—such as the Johansen multivariate system or the Engle-Granger two-step method—impose strict structural limitations, requiring all endogenous parameters to be integrated of the same order (</w:t>
      </w:r>
      <w:proofErr w:type="gramStart"/>
      <w:r w:rsidRPr="00C32D25">
        <w:rPr>
          <w:rFonts w:asciiTheme="majorBidi" w:hAnsiTheme="majorBidi" w:cstheme="majorBidi"/>
          <w:sz w:val="24"/>
          <w:szCs w:val="24"/>
        </w:rPr>
        <w:t>I(</w:t>
      </w:r>
      <w:proofErr w:type="gramEnd"/>
      <w:r w:rsidRPr="00C32D25">
        <w:rPr>
          <w:rFonts w:asciiTheme="majorBidi" w:hAnsiTheme="majorBidi" w:cstheme="majorBidi"/>
          <w:sz w:val="24"/>
          <w:szCs w:val="24"/>
        </w:rPr>
        <w:t>1)). In a post-conflict economy like Somalia, macro-variables exhibit high structural volatility, leading to a mix of stationary properties. The ARDL framework is selected based on three specific methodological advantages:</w:t>
      </w:r>
    </w:p>
    <w:p w14:paraId="1E5A2823" w14:textId="323561DC" w:rsidR="00210DD7" w:rsidRPr="00C32D25" w:rsidRDefault="00210DD7" w:rsidP="00210DD7">
      <w:pPr>
        <w:numPr>
          <w:ilvl w:val="0"/>
          <w:numId w:val="40"/>
        </w:numPr>
        <w:jc w:val="both"/>
        <w:rPr>
          <w:rFonts w:asciiTheme="majorBidi" w:hAnsiTheme="majorBidi" w:cstheme="majorBidi"/>
          <w:sz w:val="24"/>
          <w:szCs w:val="24"/>
        </w:rPr>
      </w:pPr>
      <w:r w:rsidRPr="00C32D25">
        <w:rPr>
          <w:rFonts w:asciiTheme="majorBidi" w:hAnsiTheme="majorBidi" w:cstheme="majorBidi"/>
          <w:sz w:val="24"/>
          <w:szCs w:val="24"/>
        </w:rPr>
        <w:t>It handles variables integrated at different orders—allowing a combination of level stationary (</w:t>
      </w:r>
      <w:proofErr w:type="gramStart"/>
      <w:r w:rsidRPr="00C32D25">
        <w:rPr>
          <w:rFonts w:asciiTheme="majorBidi" w:hAnsiTheme="majorBidi" w:cstheme="majorBidi"/>
          <w:sz w:val="24"/>
          <w:szCs w:val="24"/>
        </w:rPr>
        <w:t>I(</w:t>
      </w:r>
      <w:proofErr w:type="gramEnd"/>
      <w:r w:rsidRPr="00C32D25">
        <w:rPr>
          <w:rFonts w:asciiTheme="majorBidi" w:hAnsiTheme="majorBidi" w:cstheme="majorBidi"/>
          <w:sz w:val="24"/>
          <w:szCs w:val="24"/>
        </w:rPr>
        <w:t xml:space="preserve">0) and first-difference stationary </w:t>
      </w:r>
      <w:proofErr w:type="gramStart"/>
      <w:r w:rsidRPr="00C32D25">
        <w:rPr>
          <w:rFonts w:asciiTheme="majorBidi" w:hAnsiTheme="majorBidi" w:cstheme="majorBidi"/>
          <w:sz w:val="24"/>
          <w:szCs w:val="24"/>
        </w:rPr>
        <w:t>I(</w:t>
      </w:r>
      <w:proofErr w:type="gramEnd"/>
      <w:r w:rsidRPr="00C32D25">
        <w:rPr>
          <w:rFonts w:asciiTheme="majorBidi" w:hAnsiTheme="majorBidi" w:cstheme="majorBidi"/>
          <w:sz w:val="24"/>
          <w:szCs w:val="24"/>
        </w:rPr>
        <w:t>1) indicators.</w:t>
      </w:r>
    </w:p>
    <w:p w14:paraId="03C27A6B" w14:textId="77777777" w:rsidR="00210DD7" w:rsidRPr="00C32D25" w:rsidRDefault="00210DD7" w:rsidP="00210DD7">
      <w:pPr>
        <w:numPr>
          <w:ilvl w:val="0"/>
          <w:numId w:val="40"/>
        </w:numPr>
        <w:jc w:val="both"/>
        <w:rPr>
          <w:rFonts w:asciiTheme="majorBidi" w:hAnsiTheme="majorBidi" w:cstheme="majorBidi"/>
          <w:sz w:val="24"/>
          <w:szCs w:val="24"/>
        </w:rPr>
      </w:pPr>
      <w:r w:rsidRPr="00C32D25">
        <w:rPr>
          <w:rFonts w:asciiTheme="majorBidi" w:hAnsiTheme="majorBidi" w:cstheme="majorBidi"/>
          <w:sz w:val="24"/>
          <w:szCs w:val="24"/>
        </w:rPr>
        <w:t>It exhibits superior small-sample properties, minimizing small-sample bias in datasets where institutional disruption limits long-term observations.</w:t>
      </w:r>
    </w:p>
    <w:p w14:paraId="56DF1B15" w14:textId="77777777" w:rsidR="00210DD7" w:rsidRPr="00C32D25" w:rsidRDefault="00210DD7" w:rsidP="00210DD7">
      <w:pPr>
        <w:numPr>
          <w:ilvl w:val="0"/>
          <w:numId w:val="40"/>
        </w:numPr>
        <w:jc w:val="both"/>
        <w:rPr>
          <w:rFonts w:asciiTheme="majorBidi" w:hAnsiTheme="majorBidi" w:cstheme="majorBidi"/>
          <w:sz w:val="24"/>
          <w:szCs w:val="24"/>
        </w:rPr>
      </w:pPr>
      <w:r w:rsidRPr="00C32D25">
        <w:rPr>
          <w:rFonts w:asciiTheme="majorBidi" w:hAnsiTheme="majorBidi" w:cstheme="majorBidi"/>
          <w:sz w:val="24"/>
          <w:szCs w:val="24"/>
        </w:rPr>
        <w:t>It resolves structural endogeneity by utilizing an explicit lag allocation mechanism, which filters out localized feedback loops between the dependent and independent variables.</w:t>
      </w:r>
    </w:p>
    <w:p w14:paraId="79A6342B" w14:textId="77777777" w:rsidR="00210DD7" w:rsidRDefault="00210DD7" w:rsidP="00210DD7">
      <w:pPr>
        <w:jc w:val="both"/>
        <w:rPr>
          <w:rFonts w:asciiTheme="majorBidi" w:hAnsiTheme="majorBidi" w:cstheme="majorBidi"/>
          <w:sz w:val="24"/>
          <w:szCs w:val="24"/>
        </w:rPr>
      </w:pPr>
    </w:p>
    <w:p w14:paraId="481EE805" w14:textId="44F8035F" w:rsidR="00210DD7" w:rsidRPr="00C32D25" w:rsidRDefault="00210DD7" w:rsidP="00210DD7">
      <w:pPr>
        <w:jc w:val="both"/>
        <w:rPr>
          <w:rFonts w:asciiTheme="majorBidi" w:hAnsiTheme="majorBidi" w:cstheme="majorBidi"/>
          <w:sz w:val="24"/>
          <w:szCs w:val="24"/>
        </w:rPr>
      </w:pPr>
      <w:r w:rsidRPr="00C32D25">
        <w:rPr>
          <w:rFonts w:asciiTheme="majorBidi" w:hAnsiTheme="majorBidi" w:cstheme="majorBidi"/>
          <w:sz w:val="24"/>
          <w:szCs w:val="24"/>
        </w:rPr>
        <w:lastRenderedPageBreak/>
        <w:t xml:space="preserve">To fully isolate the drivers of growth alongside market stability, this study executes a </w:t>
      </w:r>
      <w:r w:rsidRPr="00C32D25">
        <w:rPr>
          <w:rFonts w:asciiTheme="majorBidi" w:hAnsiTheme="majorBidi" w:cstheme="majorBidi"/>
          <w:b/>
          <w:bCs/>
          <w:sz w:val="24"/>
          <w:szCs w:val="24"/>
        </w:rPr>
        <w:t>two-stage empirical sequence</w:t>
      </w:r>
      <w:r w:rsidRPr="00C32D25">
        <w:rPr>
          <w:rFonts w:asciiTheme="majorBidi" w:hAnsiTheme="majorBidi" w:cstheme="majorBidi"/>
          <w:sz w:val="24"/>
          <w:szCs w:val="24"/>
        </w:rPr>
        <w:t>:</w:t>
      </w:r>
    </w:p>
    <w:p w14:paraId="64B7D72A" w14:textId="77777777" w:rsidR="00210DD7" w:rsidRPr="00C32D25" w:rsidRDefault="00210DD7" w:rsidP="00210DD7">
      <w:pPr>
        <w:jc w:val="both"/>
        <w:rPr>
          <w:rFonts w:asciiTheme="majorBidi" w:hAnsiTheme="majorBidi" w:cstheme="majorBidi"/>
          <w:sz w:val="24"/>
          <w:szCs w:val="24"/>
        </w:rPr>
      </w:pPr>
      <w:r w:rsidRPr="00C32D25">
        <w:rPr>
          <w:rFonts w:asciiTheme="majorBidi" w:hAnsiTheme="majorBidi" w:cstheme="majorBidi"/>
          <w:noProof/>
          <w:sz w:val="24"/>
          <w:szCs w:val="24"/>
        </w:rPr>
        <w:drawing>
          <wp:inline distT="0" distB="0" distL="0" distR="0" wp14:anchorId="4CCC4098" wp14:editId="52D6F86F">
            <wp:extent cx="5731510" cy="3155315"/>
            <wp:effectExtent l="0" t="0" r="2540" b="6985"/>
            <wp:docPr id="1764677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097660" name=""/>
                    <pic:cNvPicPr/>
                  </pic:nvPicPr>
                  <pic:blipFill>
                    <a:blip r:embed="rId17"/>
                    <a:stretch>
                      <a:fillRect/>
                    </a:stretch>
                  </pic:blipFill>
                  <pic:spPr>
                    <a:xfrm>
                      <a:off x="0" y="0"/>
                      <a:ext cx="5731510" cy="3155315"/>
                    </a:xfrm>
                    <a:prstGeom prst="rect">
                      <a:avLst/>
                    </a:prstGeom>
                  </pic:spPr>
                </pic:pic>
              </a:graphicData>
            </a:graphic>
          </wp:inline>
        </w:drawing>
      </w:r>
    </w:p>
    <w:p w14:paraId="7BC64DCE" w14:textId="77777777" w:rsidR="00210DD7" w:rsidRPr="00C32D25" w:rsidRDefault="00210DD7" w:rsidP="00210DD7">
      <w:pPr>
        <w:jc w:val="both"/>
        <w:rPr>
          <w:rFonts w:asciiTheme="majorBidi" w:hAnsiTheme="majorBidi" w:cstheme="majorBidi"/>
          <w:b/>
          <w:bCs/>
          <w:sz w:val="24"/>
          <w:szCs w:val="24"/>
        </w:rPr>
      </w:pPr>
      <w:r w:rsidRPr="00C32D25">
        <w:rPr>
          <w:rFonts w:asciiTheme="majorBidi" w:hAnsiTheme="majorBidi" w:cstheme="majorBidi"/>
          <w:b/>
          <w:bCs/>
          <w:sz w:val="24"/>
          <w:szCs w:val="24"/>
        </w:rPr>
        <w:t>3.2 Stage 1: Macroeconomic Growth Dynamics (ARDL Model)</w:t>
      </w:r>
    </w:p>
    <w:p w14:paraId="01A3D917" w14:textId="77777777" w:rsidR="00210DD7" w:rsidRPr="00C32D25" w:rsidRDefault="00210DD7" w:rsidP="00210DD7">
      <w:pPr>
        <w:jc w:val="both"/>
        <w:rPr>
          <w:rFonts w:asciiTheme="majorBidi" w:hAnsiTheme="majorBidi" w:cstheme="majorBidi"/>
          <w:b/>
          <w:bCs/>
          <w:sz w:val="24"/>
          <w:szCs w:val="24"/>
        </w:rPr>
      </w:pPr>
      <w:r w:rsidRPr="00C32D25">
        <w:rPr>
          <w:rFonts w:asciiTheme="majorBidi" w:hAnsiTheme="majorBidi" w:cstheme="majorBidi"/>
          <w:b/>
          <w:bCs/>
          <w:sz w:val="24"/>
          <w:szCs w:val="24"/>
        </w:rPr>
        <w:t>3.2.1 Functional Baseline Specification</w:t>
      </w:r>
    </w:p>
    <w:p w14:paraId="05CC0793" w14:textId="77777777" w:rsidR="00210DD7" w:rsidRPr="00C32D25" w:rsidRDefault="00210DD7" w:rsidP="00210DD7">
      <w:pPr>
        <w:jc w:val="both"/>
        <w:rPr>
          <w:rFonts w:asciiTheme="majorBidi" w:hAnsiTheme="majorBidi" w:cstheme="majorBidi"/>
          <w:sz w:val="24"/>
          <w:szCs w:val="24"/>
        </w:rPr>
      </w:pPr>
      <w:r w:rsidRPr="00C32D25">
        <w:rPr>
          <w:rFonts w:asciiTheme="majorBidi" w:hAnsiTheme="majorBidi" w:cstheme="majorBidi"/>
          <w:sz w:val="24"/>
          <w:szCs w:val="24"/>
        </w:rPr>
        <w:t xml:space="preserve">Drawing from neo-classical growth theory adapted for fragile states, economic output is </w:t>
      </w:r>
      <w:proofErr w:type="spellStart"/>
      <w:r w:rsidRPr="00C32D25">
        <w:rPr>
          <w:rFonts w:asciiTheme="majorBidi" w:hAnsiTheme="majorBidi" w:cstheme="majorBidi"/>
          <w:sz w:val="24"/>
          <w:szCs w:val="24"/>
        </w:rPr>
        <w:t>modeled</w:t>
      </w:r>
      <w:proofErr w:type="spellEnd"/>
      <w:r w:rsidRPr="00C32D25">
        <w:rPr>
          <w:rFonts w:asciiTheme="majorBidi" w:hAnsiTheme="majorBidi" w:cstheme="majorBidi"/>
          <w:sz w:val="24"/>
          <w:szCs w:val="24"/>
        </w:rPr>
        <w:t xml:space="preserve"> as a function of state fiscal interventions, physical capital accumulation, international private investments, and informal cross-border household transfers. The structural long-run production function is specified in log-linear form as:</w:t>
      </w:r>
    </w:p>
    <w:p w14:paraId="7F4B3910" w14:textId="77777777" w:rsidR="00210DD7" w:rsidRPr="00C32D25" w:rsidRDefault="00210DD7" w:rsidP="00210DD7">
      <w:pPr>
        <w:jc w:val="both"/>
        <w:rPr>
          <w:rFonts w:asciiTheme="majorBidi" w:hAnsiTheme="majorBidi" w:cstheme="majorBidi"/>
          <w:sz w:val="24"/>
          <w:szCs w:val="24"/>
        </w:rPr>
      </w:pPr>
      <w:r w:rsidRPr="00C32D25">
        <w:rPr>
          <w:rFonts w:asciiTheme="majorBidi" w:hAnsiTheme="majorBidi" w:cstheme="majorBidi"/>
          <w:noProof/>
          <w:sz w:val="24"/>
          <w:szCs w:val="24"/>
        </w:rPr>
        <w:drawing>
          <wp:inline distT="0" distB="0" distL="0" distR="0" wp14:anchorId="1C05A5C6" wp14:editId="1FB5628A">
            <wp:extent cx="5731510" cy="647700"/>
            <wp:effectExtent l="0" t="0" r="2540" b="0"/>
            <wp:docPr id="8087918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47156" name=""/>
                    <pic:cNvPicPr/>
                  </pic:nvPicPr>
                  <pic:blipFill>
                    <a:blip r:embed="rId18"/>
                    <a:stretch>
                      <a:fillRect/>
                    </a:stretch>
                  </pic:blipFill>
                  <pic:spPr>
                    <a:xfrm>
                      <a:off x="0" y="0"/>
                      <a:ext cx="5731510" cy="647700"/>
                    </a:xfrm>
                    <a:prstGeom prst="rect">
                      <a:avLst/>
                    </a:prstGeom>
                  </pic:spPr>
                </pic:pic>
              </a:graphicData>
            </a:graphic>
          </wp:inline>
        </w:drawing>
      </w:r>
    </w:p>
    <w:p w14:paraId="03D91C07" w14:textId="77777777" w:rsidR="00210DD7" w:rsidRPr="00C32D25" w:rsidRDefault="00210DD7" w:rsidP="00210DD7">
      <w:pPr>
        <w:jc w:val="both"/>
        <w:rPr>
          <w:rFonts w:asciiTheme="majorBidi" w:hAnsiTheme="majorBidi" w:cstheme="majorBidi"/>
          <w:sz w:val="24"/>
          <w:szCs w:val="24"/>
        </w:rPr>
      </w:pPr>
      <w:r w:rsidRPr="00C32D25">
        <w:rPr>
          <w:rFonts w:asciiTheme="majorBidi" w:hAnsiTheme="majorBidi" w:cstheme="majorBidi"/>
          <w:sz w:val="24"/>
          <w:szCs w:val="24"/>
        </w:rPr>
        <w:t>Where:</w:t>
      </w:r>
    </w:p>
    <w:p w14:paraId="3B14DA7C" w14:textId="77777777" w:rsidR="00210DD7" w:rsidRPr="00C32D25" w:rsidRDefault="00210DD7" w:rsidP="00210DD7">
      <w:pPr>
        <w:jc w:val="both"/>
        <w:rPr>
          <w:rFonts w:asciiTheme="majorBidi" w:hAnsiTheme="majorBidi" w:cstheme="majorBidi"/>
          <w:sz w:val="24"/>
          <w:szCs w:val="24"/>
        </w:rPr>
      </w:pPr>
      <w:r w:rsidRPr="00C32D25">
        <w:rPr>
          <w:rFonts w:asciiTheme="majorBidi" w:hAnsiTheme="majorBidi" w:cstheme="majorBidi"/>
          <w:noProof/>
          <w:sz w:val="24"/>
          <w:szCs w:val="24"/>
        </w:rPr>
        <w:drawing>
          <wp:inline distT="0" distB="0" distL="0" distR="0" wp14:anchorId="0C921829" wp14:editId="5BB59012">
            <wp:extent cx="5731510" cy="2384425"/>
            <wp:effectExtent l="0" t="0" r="2540" b="0"/>
            <wp:docPr id="1155360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677161" name=""/>
                    <pic:cNvPicPr/>
                  </pic:nvPicPr>
                  <pic:blipFill>
                    <a:blip r:embed="rId19"/>
                    <a:stretch>
                      <a:fillRect/>
                    </a:stretch>
                  </pic:blipFill>
                  <pic:spPr>
                    <a:xfrm>
                      <a:off x="0" y="0"/>
                      <a:ext cx="5731510" cy="2384425"/>
                    </a:xfrm>
                    <a:prstGeom prst="rect">
                      <a:avLst/>
                    </a:prstGeom>
                  </pic:spPr>
                </pic:pic>
              </a:graphicData>
            </a:graphic>
          </wp:inline>
        </w:drawing>
      </w:r>
    </w:p>
    <w:p w14:paraId="2A0EABC1" w14:textId="77777777" w:rsidR="00210DD7" w:rsidRPr="00C32D25" w:rsidRDefault="00210DD7" w:rsidP="00210DD7">
      <w:pPr>
        <w:jc w:val="both"/>
        <w:rPr>
          <w:rFonts w:asciiTheme="majorBidi" w:hAnsiTheme="majorBidi" w:cstheme="majorBidi"/>
          <w:sz w:val="24"/>
          <w:szCs w:val="24"/>
        </w:rPr>
      </w:pPr>
      <w:r w:rsidRPr="00C32D25">
        <w:rPr>
          <w:rFonts w:asciiTheme="majorBidi" w:hAnsiTheme="majorBidi" w:cstheme="majorBidi"/>
          <w:noProof/>
          <w:sz w:val="24"/>
          <w:szCs w:val="24"/>
        </w:rPr>
        <w:lastRenderedPageBreak/>
        <w:drawing>
          <wp:inline distT="0" distB="0" distL="0" distR="0" wp14:anchorId="5F64DEB3" wp14:editId="3BC062E7">
            <wp:extent cx="5731510" cy="1833245"/>
            <wp:effectExtent l="0" t="0" r="2540" b="0"/>
            <wp:docPr id="13751342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103727" name=""/>
                    <pic:cNvPicPr/>
                  </pic:nvPicPr>
                  <pic:blipFill>
                    <a:blip r:embed="rId20"/>
                    <a:stretch>
                      <a:fillRect/>
                    </a:stretch>
                  </pic:blipFill>
                  <pic:spPr>
                    <a:xfrm>
                      <a:off x="0" y="0"/>
                      <a:ext cx="5731510" cy="1833245"/>
                    </a:xfrm>
                    <a:prstGeom prst="rect">
                      <a:avLst/>
                    </a:prstGeom>
                  </pic:spPr>
                </pic:pic>
              </a:graphicData>
            </a:graphic>
          </wp:inline>
        </w:drawing>
      </w:r>
    </w:p>
    <w:p w14:paraId="0FDFC363" w14:textId="77777777" w:rsidR="00210DD7" w:rsidRPr="00C32D25" w:rsidRDefault="00210DD7" w:rsidP="00210DD7">
      <w:pPr>
        <w:jc w:val="both"/>
        <w:rPr>
          <w:rFonts w:asciiTheme="majorBidi" w:hAnsiTheme="majorBidi" w:cstheme="majorBidi"/>
          <w:sz w:val="24"/>
          <w:szCs w:val="24"/>
        </w:rPr>
      </w:pPr>
      <w:r w:rsidRPr="00C32D25">
        <w:rPr>
          <w:rFonts w:asciiTheme="majorBidi" w:hAnsiTheme="majorBidi" w:cstheme="majorBidi"/>
          <w:noProof/>
          <w:sz w:val="24"/>
          <w:szCs w:val="24"/>
        </w:rPr>
        <w:drawing>
          <wp:inline distT="0" distB="0" distL="0" distR="0" wp14:anchorId="5E9F04A5" wp14:editId="158207C9">
            <wp:extent cx="5731510" cy="2668270"/>
            <wp:effectExtent l="0" t="0" r="2540" b="0"/>
            <wp:docPr id="20510834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858460" name=""/>
                    <pic:cNvPicPr/>
                  </pic:nvPicPr>
                  <pic:blipFill>
                    <a:blip r:embed="rId21"/>
                    <a:stretch>
                      <a:fillRect/>
                    </a:stretch>
                  </pic:blipFill>
                  <pic:spPr>
                    <a:xfrm>
                      <a:off x="0" y="0"/>
                      <a:ext cx="5731510" cy="2668270"/>
                    </a:xfrm>
                    <a:prstGeom prst="rect">
                      <a:avLst/>
                    </a:prstGeom>
                  </pic:spPr>
                </pic:pic>
              </a:graphicData>
            </a:graphic>
          </wp:inline>
        </w:drawing>
      </w:r>
    </w:p>
    <w:p w14:paraId="16577041" w14:textId="77777777" w:rsidR="00210DD7" w:rsidRPr="00C32D25" w:rsidRDefault="00210DD7" w:rsidP="00210DD7">
      <w:pPr>
        <w:jc w:val="both"/>
        <w:rPr>
          <w:rFonts w:asciiTheme="majorBidi" w:hAnsiTheme="majorBidi" w:cstheme="majorBidi"/>
          <w:sz w:val="24"/>
          <w:szCs w:val="24"/>
        </w:rPr>
      </w:pPr>
      <w:r w:rsidRPr="00C32D25">
        <w:rPr>
          <w:rFonts w:asciiTheme="majorBidi" w:hAnsiTheme="majorBidi" w:cstheme="majorBidi"/>
          <w:noProof/>
          <w:sz w:val="24"/>
          <w:szCs w:val="24"/>
        </w:rPr>
        <w:drawing>
          <wp:inline distT="0" distB="0" distL="0" distR="0" wp14:anchorId="38715554" wp14:editId="6EE350E7">
            <wp:extent cx="5731510" cy="1994535"/>
            <wp:effectExtent l="0" t="0" r="2540" b="5715"/>
            <wp:docPr id="1246605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456064" name=""/>
                    <pic:cNvPicPr/>
                  </pic:nvPicPr>
                  <pic:blipFill>
                    <a:blip r:embed="rId22"/>
                    <a:stretch>
                      <a:fillRect/>
                    </a:stretch>
                  </pic:blipFill>
                  <pic:spPr>
                    <a:xfrm>
                      <a:off x="0" y="0"/>
                      <a:ext cx="5731510" cy="1994535"/>
                    </a:xfrm>
                    <a:prstGeom prst="rect">
                      <a:avLst/>
                    </a:prstGeom>
                  </pic:spPr>
                </pic:pic>
              </a:graphicData>
            </a:graphic>
          </wp:inline>
        </w:drawing>
      </w:r>
    </w:p>
    <w:p w14:paraId="337A2570" w14:textId="77777777" w:rsidR="00210DD7" w:rsidRPr="00C32D25" w:rsidRDefault="00210DD7" w:rsidP="00210DD7">
      <w:pPr>
        <w:jc w:val="both"/>
        <w:rPr>
          <w:rFonts w:asciiTheme="majorBidi" w:hAnsiTheme="majorBidi" w:cstheme="majorBidi"/>
          <w:sz w:val="24"/>
          <w:szCs w:val="24"/>
        </w:rPr>
      </w:pPr>
      <w:r w:rsidRPr="00C32D25">
        <w:rPr>
          <w:rFonts w:asciiTheme="majorBidi" w:hAnsiTheme="majorBidi" w:cstheme="majorBidi"/>
          <w:noProof/>
          <w:sz w:val="24"/>
          <w:szCs w:val="24"/>
        </w:rPr>
        <w:lastRenderedPageBreak/>
        <w:drawing>
          <wp:inline distT="0" distB="0" distL="0" distR="0" wp14:anchorId="21A3A282" wp14:editId="1D9E20FB">
            <wp:extent cx="5731510" cy="2526030"/>
            <wp:effectExtent l="0" t="0" r="2540" b="7620"/>
            <wp:docPr id="4090986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891884" name=""/>
                    <pic:cNvPicPr/>
                  </pic:nvPicPr>
                  <pic:blipFill>
                    <a:blip r:embed="rId23"/>
                    <a:stretch>
                      <a:fillRect/>
                    </a:stretch>
                  </pic:blipFill>
                  <pic:spPr>
                    <a:xfrm>
                      <a:off x="0" y="0"/>
                      <a:ext cx="5731510" cy="2526030"/>
                    </a:xfrm>
                    <a:prstGeom prst="rect">
                      <a:avLst/>
                    </a:prstGeom>
                  </pic:spPr>
                </pic:pic>
              </a:graphicData>
            </a:graphic>
          </wp:inline>
        </w:drawing>
      </w:r>
    </w:p>
    <w:p w14:paraId="6FFAF986" w14:textId="77777777" w:rsidR="00210DD7" w:rsidRPr="00C32D25" w:rsidRDefault="00210DD7" w:rsidP="00210DD7">
      <w:pPr>
        <w:jc w:val="both"/>
        <w:rPr>
          <w:rFonts w:asciiTheme="majorBidi" w:hAnsiTheme="majorBidi" w:cstheme="majorBidi"/>
          <w:b/>
          <w:bCs/>
          <w:sz w:val="24"/>
          <w:szCs w:val="24"/>
        </w:rPr>
      </w:pPr>
      <w:r w:rsidRPr="00C32D25">
        <w:rPr>
          <w:rFonts w:asciiTheme="majorBidi" w:hAnsiTheme="majorBidi" w:cstheme="majorBidi"/>
          <w:b/>
          <w:bCs/>
          <w:sz w:val="24"/>
          <w:szCs w:val="24"/>
        </w:rPr>
        <w:t>3.3 Stage 2: Parallel Market Volatility Framework (GARCH-X Model)</w:t>
      </w:r>
    </w:p>
    <w:p w14:paraId="0A438098" w14:textId="77777777" w:rsidR="00210DD7" w:rsidRPr="00C32D25" w:rsidRDefault="00210DD7" w:rsidP="00210DD7">
      <w:pPr>
        <w:jc w:val="both"/>
        <w:rPr>
          <w:rFonts w:asciiTheme="majorBidi" w:hAnsiTheme="majorBidi" w:cstheme="majorBidi"/>
          <w:sz w:val="24"/>
          <w:szCs w:val="24"/>
        </w:rPr>
      </w:pPr>
      <w:r w:rsidRPr="00C32D25">
        <w:rPr>
          <w:rFonts w:asciiTheme="majorBidi" w:hAnsiTheme="majorBidi" w:cstheme="majorBidi"/>
          <w:sz w:val="24"/>
          <w:szCs w:val="24"/>
        </w:rPr>
        <w:t xml:space="preserve">Traditional macroeconomic models assume that financial stabilization is guided by a central bank managing currency supply through formal interest rates. In an economy characterized by deep, unregulated dollarisation, financial risk concentrates in the informal parallel exchange market. To measure this risk, this dissertation uses a </w:t>
      </w:r>
      <w:proofErr w:type="gramStart"/>
      <w:r w:rsidRPr="00C32D25">
        <w:rPr>
          <w:rFonts w:asciiTheme="majorBidi" w:hAnsiTheme="majorBidi" w:cstheme="majorBidi"/>
          <w:b/>
          <w:bCs/>
          <w:sz w:val="24"/>
          <w:szCs w:val="24"/>
        </w:rPr>
        <w:t>GARCH(</w:t>
      </w:r>
      <w:proofErr w:type="gramEnd"/>
      <w:r w:rsidRPr="00C32D25">
        <w:rPr>
          <w:rFonts w:asciiTheme="majorBidi" w:hAnsiTheme="majorBidi" w:cstheme="majorBidi"/>
          <w:b/>
          <w:bCs/>
          <w:sz w:val="24"/>
          <w:szCs w:val="24"/>
        </w:rPr>
        <w:t>1,1)-X</w:t>
      </w:r>
      <w:r w:rsidRPr="00C32D25">
        <w:rPr>
          <w:rFonts w:asciiTheme="majorBidi" w:hAnsiTheme="majorBidi" w:cstheme="majorBidi"/>
          <w:sz w:val="24"/>
          <w:szCs w:val="24"/>
        </w:rPr>
        <w:t xml:space="preserve"> framework to </w:t>
      </w:r>
      <w:proofErr w:type="spellStart"/>
      <w:r w:rsidRPr="00C32D25">
        <w:rPr>
          <w:rFonts w:asciiTheme="majorBidi" w:hAnsiTheme="majorBidi" w:cstheme="majorBidi"/>
          <w:sz w:val="24"/>
          <w:szCs w:val="24"/>
        </w:rPr>
        <w:t>analyze</w:t>
      </w:r>
      <w:proofErr w:type="spellEnd"/>
      <w:r w:rsidRPr="00C32D25">
        <w:rPr>
          <w:rFonts w:asciiTheme="majorBidi" w:hAnsiTheme="majorBidi" w:cstheme="majorBidi"/>
          <w:sz w:val="24"/>
          <w:szCs w:val="24"/>
        </w:rPr>
        <w:t xml:space="preserve"> volatility dynamics.</w:t>
      </w:r>
    </w:p>
    <w:p w14:paraId="5AA904E2" w14:textId="77777777" w:rsidR="00210DD7" w:rsidRPr="00C32D25" w:rsidRDefault="00210DD7" w:rsidP="00210DD7">
      <w:pPr>
        <w:jc w:val="both"/>
        <w:rPr>
          <w:rFonts w:asciiTheme="majorBidi" w:hAnsiTheme="majorBidi" w:cstheme="majorBidi"/>
          <w:b/>
          <w:bCs/>
          <w:sz w:val="24"/>
          <w:szCs w:val="24"/>
        </w:rPr>
      </w:pPr>
      <w:r w:rsidRPr="00C32D25">
        <w:rPr>
          <w:rFonts w:asciiTheme="majorBidi" w:hAnsiTheme="majorBidi" w:cstheme="majorBidi"/>
          <w:b/>
          <w:bCs/>
          <w:sz w:val="24"/>
          <w:szCs w:val="24"/>
        </w:rPr>
        <w:t>3.3.1 Stationarity Transformation: Log Returns</w:t>
      </w:r>
    </w:p>
    <w:p w14:paraId="212D3EC0" w14:textId="77777777" w:rsidR="00210DD7" w:rsidRPr="00C32D25" w:rsidRDefault="00210DD7" w:rsidP="00210DD7">
      <w:pPr>
        <w:jc w:val="both"/>
        <w:rPr>
          <w:rFonts w:asciiTheme="majorBidi" w:hAnsiTheme="majorBidi" w:cstheme="majorBidi"/>
          <w:sz w:val="24"/>
          <w:szCs w:val="24"/>
        </w:rPr>
      </w:pPr>
      <w:r w:rsidRPr="00C32D25">
        <w:rPr>
          <w:rFonts w:asciiTheme="majorBidi" w:hAnsiTheme="majorBidi" w:cstheme="majorBidi"/>
          <w:noProof/>
          <w:sz w:val="24"/>
          <w:szCs w:val="24"/>
        </w:rPr>
        <w:drawing>
          <wp:inline distT="0" distB="0" distL="0" distR="0" wp14:anchorId="56640929" wp14:editId="56C04AC7">
            <wp:extent cx="5731510" cy="1391920"/>
            <wp:effectExtent l="0" t="0" r="2540" b="0"/>
            <wp:docPr id="13581037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489336" name=""/>
                    <pic:cNvPicPr/>
                  </pic:nvPicPr>
                  <pic:blipFill>
                    <a:blip r:embed="rId24"/>
                    <a:stretch>
                      <a:fillRect/>
                    </a:stretch>
                  </pic:blipFill>
                  <pic:spPr>
                    <a:xfrm>
                      <a:off x="0" y="0"/>
                      <a:ext cx="5731510" cy="1391920"/>
                    </a:xfrm>
                    <a:prstGeom prst="rect">
                      <a:avLst/>
                    </a:prstGeom>
                  </pic:spPr>
                </pic:pic>
              </a:graphicData>
            </a:graphic>
          </wp:inline>
        </w:drawing>
      </w:r>
    </w:p>
    <w:p w14:paraId="5FCD0DC3" w14:textId="77777777" w:rsidR="00210DD7" w:rsidRPr="00C32D25" w:rsidRDefault="00210DD7" w:rsidP="00210DD7">
      <w:pPr>
        <w:jc w:val="right"/>
        <w:rPr>
          <w:rFonts w:asciiTheme="majorBidi" w:hAnsiTheme="majorBidi" w:cstheme="majorBidi"/>
          <w:sz w:val="24"/>
          <w:szCs w:val="24"/>
        </w:rPr>
      </w:pPr>
      <w:r w:rsidRPr="00C32D25">
        <w:rPr>
          <w:rFonts w:asciiTheme="majorBidi" w:hAnsiTheme="majorBidi" w:cstheme="majorBidi"/>
          <w:noProof/>
          <w:sz w:val="24"/>
          <w:szCs w:val="24"/>
        </w:rPr>
        <w:drawing>
          <wp:inline distT="0" distB="0" distL="0" distR="0" wp14:anchorId="2A0188D0" wp14:editId="14F58909">
            <wp:extent cx="5731510" cy="2286000"/>
            <wp:effectExtent l="0" t="0" r="2540" b="0"/>
            <wp:docPr id="16386044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482977" name=""/>
                    <pic:cNvPicPr/>
                  </pic:nvPicPr>
                  <pic:blipFill>
                    <a:blip r:embed="rId25"/>
                    <a:stretch>
                      <a:fillRect/>
                    </a:stretch>
                  </pic:blipFill>
                  <pic:spPr>
                    <a:xfrm>
                      <a:off x="0" y="0"/>
                      <a:ext cx="5732756" cy="2286497"/>
                    </a:xfrm>
                    <a:prstGeom prst="rect">
                      <a:avLst/>
                    </a:prstGeom>
                  </pic:spPr>
                </pic:pic>
              </a:graphicData>
            </a:graphic>
          </wp:inline>
        </w:drawing>
      </w:r>
    </w:p>
    <w:p w14:paraId="5895CCA7" w14:textId="77777777" w:rsidR="00210DD7" w:rsidRPr="00C32D25" w:rsidRDefault="00210DD7" w:rsidP="00210DD7">
      <w:pPr>
        <w:jc w:val="both"/>
        <w:rPr>
          <w:rFonts w:asciiTheme="majorBidi" w:hAnsiTheme="majorBidi" w:cstheme="majorBidi"/>
          <w:sz w:val="24"/>
          <w:szCs w:val="24"/>
        </w:rPr>
      </w:pPr>
      <w:r w:rsidRPr="00C32D25">
        <w:rPr>
          <w:rFonts w:asciiTheme="majorBidi" w:hAnsiTheme="majorBidi" w:cstheme="majorBidi"/>
          <w:noProof/>
          <w:sz w:val="24"/>
          <w:szCs w:val="24"/>
        </w:rPr>
        <w:lastRenderedPageBreak/>
        <w:drawing>
          <wp:inline distT="0" distB="0" distL="0" distR="0" wp14:anchorId="16D2E156" wp14:editId="331B53DE">
            <wp:extent cx="5731510" cy="3316605"/>
            <wp:effectExtent l="0" t="0" r="2540" b="0"/>
            <wp:docPr id="10097435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179882" name=""/>
                    <pic:cNvPicPr/>
                  </pic:nvPicPr>
                  <pic:blipFill>
                    <a:blip r:embed="rId26"/>
                    <a:stretch>
                      <a:fillRect/>
                    </a:stretch>
                  </pic:blipFill>
                  <pic:spPr>
                    <a:xfrm>
                      <a:off x="0" y="0"/>
                      <a:ext cx="5731510" cy="3316605"/>
                    </a:xfrm>
                    <a:prstGeom prst="rect">
                      <a:avLst/>
                    </a:prstGeom>
                  </pic:spPr>
                </pic:pic>
              </a:graphicData>
            </a:graphic>
          </wp:inline>
        </w:drawing>
      </w:r>
    </w:p>
    <w:p w14:paraId="05D90235" w14:textId="77777777" w:rsidR="00210DD7" w:rsidRPr="00C32D25" w:rsidRDefault="00210DD7" w:rsidP="00210DD7">
      <w:pPr>
        <w:jc w:val="both"/>
        <w:rPr>
          <w:rFonts w:asciiTheme="majorBidi" w:hAnsiTheme="majorBidi" w:cstheme="majorBidi"/>
          <w:sz w:val="24"/>
          <w:szCs w:val="24"/>
        </w:rPr>
      </w:pPr>
      <w:r w:rsidRPr="00C32D25">
        <w:rPr>
          <w:rFonts w:asciiTheme="majorBidi" w:hAnsiTheme="majorBidi" w:cstheme="majorBidi"/>
          <w:noProof/>
          <w:sz w:val="24"/>
          <w:szCs w:val="24"/>
        </w:rPr>
        <w:drawing>
          <wp:inline distT="0" distB="0" distL="0" distR="0" wp14:anchorId="3A6D4B42" wp14:editId="0DECF421">
            <wp:extent cx="5731510" cy="2586990"/>
            <wp:effectExtent l="0" t="0" r="2540" b="3810"/>
            <wp:docPr id="12086028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82943" name=""/>
                    <pic:cNvPicPr/>
                  </pic:nvPicPr>
                  <pic:blipFill>
                    <a:blip r:embed="rId27"/>
                    <a:stretch>
                      <a:fillRect/>
                    </a:stretch>
                  </pic:blipFill>
                  <pic:spPr>
                    <a:xfrm>
                      <a:off x="0" y="0"/>
                      <a:ext cx="5731510" cy="2586990"/>
                    </a:xfrm>
                    <a:prstGeom prst="rect">
                      <a:avLst/>
                    </a:prstGeom>
                  </pic:spPr>
                </pic:pic>
              </a:graphicData>
            </a:graphic>
          </wp:inline>
        </w:drawing>
      </w:r>
    </w:p>
    <w:p w14:paraId="71364F11" w14:textId="77777777" w:rsidR="00210DD7" w:rsidRPr="00C32D25" w:rsidRDefault="00210DD7" w:rsidP="00210DD7">
      <w:pPr>
        <w:jc w:val="both"/>
        <w:rPr>
          <w:rFonts w:asciiTheme="majorBidi" w:hAnsiTheme="majorBidi" w:cstheme="majorBidi"/>
          <w:sz w:val="24"/>
          <w:szCs w:val="24"/>
        </w:rPr>
      </w:pPr>
      <w:r w:rsidRPr="00C32D25">
        <w:rPr>
          <w:rFonts w:asciiTheme="majorBidi" w:hAnsiTheme="majorBidi" w:cstheme="majorBidi"/>
          <w:noProof/>
          <w:sz w:val="24"/>
          <w:szCs w:val="24"/>
        </w:rPr>
        <w:lastRenderedPageBreak/>
        <w:drawing>
          <wp:inline distT="0" distB="0" distL="0" distR="0" wp14:anchorId="565E3E99" wp14:editId="78945EA7">
            <wp:extent cx="5731510" cy="2800985"/>
            <wp:effectExtent l="0" t="0" r="2540" b="0"/>
            <wp:docPr id="16317255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063385" name=""/>
                    <pic:cNvPicPr/>
                  </pic:nvPicPr>
                  <pic:blipFill>
                    <a:blip r:embed="rId28"/>
                    <a:stretch>
                      <a:fillRect/>
                    </a:stretch>
                  </pic:blipFill>
                  <pic:spPr>
                    <a:xfrm>
                      <a:off x="0" y="0"/>
                      <a:ext cx="5731510" cy="2800985"/>
                    </a:xfrm>
                    <a:prstGeom prst="rect">
                      <a:avLst/>
                    </a:prstGeom>
                  </pic:spPr>
                </pic:pic>
              </a:graphicData>
            </a:graphic>
          </wp:inline>
        </w:drawing>
      </w:r>
    </w:p>
    <w:p w14:paraId="4B8438A2" w14:textId="77777777" w:rsidR="00210DD7" w:rsidRPr="00C32D25" w:rsidRDefault="00210DD7" w:rsidP="00210DD7">
      <w:pPr>
        <w:jc w:val="both"/>
        <w:rPr>
          <w:rFonts w:asciiTheme="majorBidi" w:hAnsiTheme="majorBidi" w:cstheme="majorBidi"/>
          <w:sz w:val="24"/>
          <w:szCs w:val="24"/>
        </w:rPr>
      </w:pPr>
      <w:r w:rsidRPr="00C32D25">
        <w:rPr>
          <w:rFonts w:asciiTheme="majorBidi" w:hAnsiTheme="majorBidi" w:cstheme="majorBidi"/>
          <w:noProof/>
          <w:sz w:val="24"/>
          <w:szCs w:val="24"/>
        </w:rPr>
        <w:drawing>
          <wp:inline distT="0" distB="0" distL="0" distR="0" wp14:anchorId="6F001C29" wp14:editId="72453585">
            <wp:extent cx="5731510" cy="1038225"/>
            <wp:effectExtent l="0" t="0" r="2540" b="9525"/>
            <wp:docPr id="19936234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392558" name=""/>
                    <pic:cNvPicPr/>
                  </pic:nvPicPr>
                  <pic:blipFill>
                    <a:blip r:embed="rId29"/>
                    <a:stretch>
                      <a:fillRect/>
                    </a:stretch>
                  </pic:blipFill>
                  <pic:spPr>
                    <a:xfrm>
                      <a:off x="0" y="0"/>
                      <a:ext cx="5731510" cy="1038225"/>
                    </a:xfrm>
                    <a:prstGeom prst="rect">
                      <a:avLst/>
                    </a:prstGeom>
                  </pic:spPr>
                </pic:pic>
              </a:graphicData>
            </a:graphic>
          </wp:inline>
        </w:drawing>
      </w:r>
    </w:p>
    <w:p w14:paraId="2A7D89A0" w14:textId="77777777" w:rsidR="00210DD7" w:rsidRPr="00C32D25" w:rsidRDefault="00210DD7" w:rsidP="00210DD7">
      <w:pPr>
        <w:jc w:val="both"/>
        <w:rPr>
          <w:rFonts w:asciiTheme="majorBidi" w:hAnsiTheme="majorBidi" w:cstheme="majorBidi"/>
          <w:b/>
          <w:bCs/>
          <w:sz w:val="24"/>
          <w:szCs w:val="24"/>
        </w:rPr>
      </w:pPr>
      <w:r w:rsidRPr="00C32D25">
        <w:rPr>
          <w:rFonts w:asciiTheme="majorBidi" w:hAnsiTheme="majorBidi" w:cstheme="majorBidi"/>
          <w:b/>
          <w:bCs/>
          <w:sz w:val="24"/>
          <w:szCs w:val="24"/>
        </w:rPr>
        <w:t>3.4 Data Integrity, Sourcing, and Diagnostic Protocol</w:t>
      </w:r>
    </w:p>
    <w:p w14:paraId="2D1592BF" w14:textId="77777777" w:rsidR="00210DD7" w:rsidRPr="00C32D25" w:rsidRDefault="00210DD7" w:rsidP="00210DD7">
      <w:pPr>
        <w:jc w:val="both"/>
        <w:rPr>
          <w:rFonts w:asciiTheme="majorBidi" w:hAnsiTheme="majorBidi" w:cstheme="majorBidi"/>
          <w:b/>
          <w:bCs/>
          <w:sz w:val="24"/>
          <w:szCs w:val="24"/>
        </w:rPr>
      </w:pPr>
      <w:r w:rsidRPr="00C32D25">
        <w:rPr>
          <w:rFonts w:asciiTheme="majorBidi" w:hAnsiTheme="majorBidi" w:cstheme="majorBidi"/>
          <w:b/>
          <w:bCs/>
          <w:sz w:val="24"/>
          <w:szCs w:val="24"/>
        </w:rPr>
        <w:t>3.4.1 High-Frequency Sourcing Strategy</w:t>
      </w:r>
    </w:p>
    <w:p w14:paraId="2FAB7823" w14:textId="77777777" w:rsidR="00210DD7" w:rsidRPr="00C32D25" w:rsidRDefault="00210DD7" w:rsidP="00210DD7">
      <w:pPr>
        <w:jc w:val="both"/>
        <w:rPr>
          <w:rFonts w:asciiTheme="majorBidi" w:hAnsiTheme="majorBidi" w:cstheme="majorBidi"/>
          <w:sz w:val="24"/>
          <w:szCs w:val="24"/>
        </w:rPr>
      </w:pPr>
      <w:r w:rsidRPr="00C32D25">
        <w:rPr>
          <w:rFonts w:asciiTheme="majorBidi" w:hAnsiTheme="majorBidi" w:cstheme="majorBidi"/>
          <w:sz w:val="24"/>
          <w:szCs w:val="24"/>
        </w:rPr>
        <w:t>Data collection in conflict-affected environments requires specific sourcing methods due to gaps in formal state reporting. This study uses a dual-sourcing approach:</w:t>
      </w:r>
    </w:p>
    <w:p w14:paraId="602CACE1" w14:textId="77777777" w:rsidR="00210DD7" w:rsidRPr="00C32D25" w:rsidRDefault="00210DD7" w:rsidP="00210DD7">
      <w:pPr>
        <w:jc w:val="both"/>
        <w:rPr>
          <w:rFonts w:asciiTheme="majorBidi" w:hAnsiTheme="majorBidi" w:cstheme="majorBidi"/>
          <w:sz w:val="24"/>
          <w:szCs w:val="24"/>
        </w:rPr>
      </w:pPr>
      <w:r w:rsidRPr="00C32D25">
        <w:rPr>
          <w:rFonts w:asciiTheme="majorBidi" w:hAnsiTheme="majorBidi" w:cstheme="majorBidi"/>
          <w:noProof/>
          <w:sz w:val="24"/>
          <w:szCs w:val="24"/>
        </w:rPr>
        <w:drawing>
          <wp:inline distT="0" distB="0" distL="0" distR="0" wp14:anchorId="64232D6B" wp14:editId="349256AF">
            <wp:extent cx="5731510" cy="3329940"/>
            <wp:effectExtent l="0" t="0" r="2540" b="3810"/>
            <wp:docPr id="18200926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050821" name=""/>
                    <pic:cNvPicPr/>
                  </pic:nvPicPr>
                  <pic:blipFill>
                    <a:blip r:embed="rId30"/>
                    <a:stretch>
                      <a:fillRect/>
                    </a:stretch>
                  </pic:blipFill>
                  <pic:spPr>
                    <a:xfrm>
                      <a:off x="0" y="0"/>
                      <a:ext cx="5731510" cy="3329940"/>
                    </a:xfrm>
                    <a:prstGeom prst="rect">
                      <a:avLst/>
                    </a:prstGeom>
                  </pic:spPr>
                </pic:pic>
              </a:graphicData>
            </a:graphic>
          </wp:inline>
        </w:drawing>
      </w:r>
    </w:p>
    <w:p w14:paraId="2CF12F99" w14:textId="77777777" w:rsidR="00210DD7" w:rsidRPr="00C32D25" w:rsidRDefault="00210DD7" w:rsidP="00210DD7">
      <w:pPr>
        <w:jc w:val="both"/>
        <w:rPr>
          <w:rFonts w:asciiTheme="majorBidi" w:hAnsiTheme="majorBidi" w:cstheme="majorBidi"/>
          <w:sz w:val="24"/>
          <w:szCs w:val="24"/>
        </w:rPr>
      </w:pPr>
      <w:r w:rsidRPr="00C32D25">
        <w:rPr>
          <w:rFonts w:asciiTheme="majorBidi" w:hAnsiTheme="majorBidi" w:cstheme="majorBidi"/>
          <w:noProof/>
          <w:sz w:val="24"/>
          <w:szCs w:val="24"/>
        </w:rPr>
        <w:lastRenderedPageBreak/>
        <w:drawing>
          <wp:inline distT="0" distB="0" distL="0" distR="0" wp14:anchorId="6D14583B" wp14:editId="4089B569">
            <wp:extent cx="5731510" cy="2363470"/>
            <wp:effectExtent l="0" t="0" r="2540" b="0"/>
            <wp:docPr id="9463751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942633" name=""/>
                    <pic:cNvPicPr/>
                  </pic:nvPicPr>
                  <pic:blipFill>
                    <a:blip r:embed="rId31"/>
                    <a:stretch>
                      <a:fillRect/>
                    </a:stretch>
                  </pic:blipFill>
                  <pic:spPr>
                    <a:xfrm>
                      <a:off x="0" y="0"/>
                      <a:ext cx="5731510" cy="2363470"/>
                    </a:xfrm>
                    <a:prstGeom prst="rect">
                      <a:avLst/>
                    </a:prstGeom>
                  </pic:spPr>
                </pic:pic>
              </a:graphicData>
            </a:graphic>
          </wp:inline>
        </w:drawing>
      </w:r>
    </w:p>
    <w:p w14:paraId="3BBBBDB9" w14:textId="765F64B4" w:rsidR="00210DD7" w:rsidRPr="00C32D25" w:rsidRDefault="00210DD7" w:rsidP="00210DD7">
      <w:pPr>
        <w:jc w:val="both"/>
        <w:rPr>
          <w:rFonts w:asciiTheme="majorBidi" w:hAnsiTheme="majorBidi" w:cstheme="majorBidi"/>
          <w:sz w:val="24"/>
          <w:szCs w:val="24"/>
        </w:rPr>
      </w:pPr>
      <w:r w:rsidRPr="00C32D25">
        <w:rPr>
          <w:rFonts w:asciiTheme="majorBidi" w:hAnsiTheme="majorBidi" w:cstheme="majorBidi"/>
          <w:sz w:val="24"/>
          <w:szCs w:val="24"/>
        </w:rPr>
        <w:t> Residual</w:t>
      </w:r>
      <w:r w:rsidRPr="00C32D25">
        <w:rPr>
          <w:rFonts w:asciiTheme="majorBidi" w:hAnsiTheme="majorBidi" w:cstheme="majorBidi"/>
          <w:b/>
          <w:bCs/>
          <w:sz w:val="24"/>
          <w:szCs w:val="24"/>
        </w:rPr>
        <w:t xml:space="preserve"> Independence:</w:t>
      </w:r>
      <w:r w:rsidRPr="00C32D25">
        <w:rPr>
          <w:rFonts w:asciiTheme="majorBidi" w:hAnsiTheme="majorBidi" w:cstheme="majorBidi"/>
          <w:sz w:val="24"/>
          <w:szCs w:val="24"/>
        </w:rPr>
        <w:t xml:space="preserve"> The Breusch-Godfrey Lagrange Multiplier (LM) test checks for serial correlation in the error terms.</w:t>
      </w:r>
    </w:p>
    <w:p w14:paraId="2C6A4471" w14:textId="37B90BC1" w:rsidR="00210DD7" w:rsidRPr="00C32D25" w:rsidRDefault="00210DD7" w:rsidP="00210DD7">
      <w:pPr>
        <w:jc w:val="both"/>
        <w:rPr>
          <w:rFonts w:asciiTheme="majorBidi" w:hAnsiTheme="majorBidi" w:cstheme="majorBidi"/>
          <w:sz w:val="24"/>
          <w:szCs w:val="24"/>
        </w:rPr>
      </w:pPr>
      <w:r w:rsidRPr="00C32D25">
        <w:rPr>
          <w:rFonts w:asciiTheme="majorBidi" w:hAnsiTheme="majorBidi" w:cstheme="majorBidi"/>
          <w:sz w:val="24"/>
          <w:szCs w:val="24"/>
        </w:rPr>
        <w:t> Variance</w:t>
      </w:r>
      <w:r w:rsidRPr="00C32D25">
        <w:rPr>
          <w:rFonts w:asciiTheme="majorBidi" w:hAnsiTheme="majorBidi" w:cstheme="majorBidi"/>
          <w:b/>
          <w:bCs/>
          <w:sz w:val="24"/>
          <w:szCs w:val="24"/>
        </w:rPr>
        <w:t xml:space="preserve"> Consistency:</w:t>
      </w:r>
      <w:r w:rsidRPr="00C32D25">
        <w:rPr>
          <w:rFonts w:asciiTheme="majorBidi" w:hAnsiTheme="majorBidi" w:cstheme="majorBidi"/>
          <w:sz w:val="24"/>
          <w:szCs w:val="24"/>
        </w:rPr>
        <w:t xml:space="preserve"> The Autoregressive Conditional Heteroskedasticity (ARCH-LM) test checks for remaining ARCH effects in the residuals.</w:t>
      </w:r>
    </w:p>
    <w:p w14:paraId="03D05B8D" w14:textId="150F8569" w:rsidR="00210DD7" w:rsidRPr="00C32D25" w:rsidRDefault="00210DD7" w:rsidP="00210DD7">
      <w:pPr>
        <w:jc w:val="both"/>
        <w:rPr>
          <w:rFonts w:asciiTheme="majorBidi" w:hAnsiTheme="majorBidi" w:cstheme="majorBidi"/>
          <w:sz w:val="24"/>
          <w:szCs w:val="24"/>
        </w:rPr>
      </w:pPr>
      <w:r w:rsidRPr="00C32D25">
        <w:rPr>
          <w:rFonts w:asciiTheme="majorBidi" w:hAnsiTheme="majorBidi" w:cstheme="majorBidi"/>
          <w:sz w:val="24"/>
          <w:szCs w:val="24"/>
        </w:rPr>
        <w:t> Structural</w:t>
      </w:r>
      <w:r w:rsidRPr="00C32D25">
        <w:rPr>
          <w:rFonts w:asciiTheme="majorBidi" w:hAnsiTheme="majorBidi" w:cstheme="majorBidi"/>
          <w:b/>
          <w:bCs/>
          <w:sz w:val="24"/>
          <w:szCs w:val="24"/>
        </w:rPr>
        <w:t xml:space="preserve"> Stability:</w:t>
      </w:r>
      <w:r w:rsidRPr="00C32D25">
        <w:rPr>
          <w:rFonts w:asciiTheme="majorBidi" w:hAnsiTheme="majorBidi" w:cstheme="majorBidi"/>
          <w:sz w:val="24"/>
          <w:szCs w:val="24"/>
        </w:rPr>
        <w:t xml:space="preserve"> Cumulative Sum (CUSUM) and Cumulative Sum of Squares (CUSUMSQ) statistics map parameter stability across the timeline of institutional recovery.</w:t>
      </w:r>
    </w:p>
    <w:p w14:paraId="13AB727F" w14:textId="77777777" w:rsidR="00210DD7" w:rsidRPr="00170F1D" w:rsidRDefault="00210DD7" w:rsidP="00210DD7">
      <w:pPr>
        <w:jc w:val="both"/>
        <w:rPr>
          <w:rFonts w:asciiTheme="majorBidi" w:hAnsiTheme="majorBidi" w:cstheme="majorBidi"/>
          <w:sz w:val="24"/>
          <w:szCs w:val="24"/>
        </w:rPr>
      </w:pPr>
    </w:p>
    <w:p w14:paraId="14395030" w14:textId="77777777" w:rsidR="00170F1D" w:rsidRPr="00170F1D" w:rsidRDefault="00170F1D" w:rsidP="00170F1D">
      <w:pPr>
        <w:jc w:val="both"/>
        <w:rPr>
          <w:rFonts w:asciiTheme="majorBidi" w:hAnsiTheme="majorBidi" w:cstheme="majorBidi"/>
          <w:b/>
          <w:bCs/>
          <w:sz w:val="24"/>
          <w:szCs w:val="24"/>
        </w:rPr>
      </w:pPr>
      <w:r w:rsidRPr="00170F1D">
        <w:rPr>
          <w:rFonts w:asciiTheme="majorBidi" w:hAnsiTheme="majorBidi" w:cstheme="majorBidi"/>
          <w:b/>
          <w:bCs/>
          <w:sz w:val="24"/>
          <w:szCs w:val="24"/>
        </w:rPr>
        <w:t>5. Discussion</w:t>
      </w:r>
    </w:p>
    <w:p w14:paraId="75C5F13D" w14:textId="77777777" w:rsidR="00170F1D" w:rsidRPr="00170F1D" w:rsidRDefault="00170F1D" w:rsidP="00170F1D">
      <w:pPr>
        <w:jc w:val="both"/>
        <w:rPr>
          <w:rFonts w:asciiTheme="majorBidi" w:hAnsiTheme="majorBidi" w:cstheme="majorBidi"/>
          <w:b/>
          <w:bCs/>
          <w:sz w:val="24"/>
          <w:szCs w:val="24"/>
        </w:rPr>
      </w:pPr>
      <w:r w:rsidRPr="00170F1D">
        <w:rPr>
          <w:rFonts w:asciiTheme="majorBidi" w:hAnsiTheme="majorBidi" w:cstheme="majorBidi"/>
          <w:b/>
          <w:bCs/>
          <w:sz w:val="24"/>
          <w:szCs w:val="24"/>
        </w:rPr>
        <w:t>5.1 The Paradox of Stabilization Without Monetary Policy</w:t>
      </w:r>
    </w:p>
    <w:p w14:paraId="45C4AD04" w14:textId="77777777" w:rsidR="00170F1D" w:rsidRPr="00170F1D" w:rsidRDefault="00170F1D" w:rsidP="00170F1D">
      <w:pPr>
        <w:jc w:val="both"/>
        <w:rPr>
          <w:rFonts w:asciiTheme="majorBidi" w:hAnsiTheme="majorBidi" w:cstheme="majorBidi"/>
          <w:sz w:val="24"/>
          <w:szCs w:val="24"/>
        </w:rPr>
      </w:pPr>
      <w:r w:rsidRPr="00170F1D">
        <w:rPr>
          <w:rFonts w:asciiTheme="majorBidi" w:hAnsiTheme="majorBidi" w:cstheme="majorBidi"/>
          <w:sz w:val="24"/>
          <w:szCs w:val="24"/>
        </w:rPr>
        <w:t>The findings demonstrate that Somalia has built a functional regulatory state without relying on traditional monetary policy. In standard economic models, a central bank fights inflation or stimulates employment by adjusting the benchmark interest rate or altering the money supply. The CBS cannot use these tools because it does not control the volume of U.S. dollars circulating within its borders.</w:t>
      </w:r>
    </w:p>
    <w:p w14:paraId="252E5609" w14:textId="77777777" w:rsidR="00170F1D" w:rsidRDefault="00170F1D" w:rsidP="00170F1D">
      <w:pPr>
        <w:jc w:val="both"/>
        <w:rPr>
          <w:rFonts w:asciiTheme="majorBidi" w:hAnsiTheme="majorBidi" w:cstheme="majorBidi"/>
          <w:sz w:val="24"/>
          <w:szCs w:val="24"/>
        </w:rPr>
      </w:pPr>
      <w:r w:rsidRPr="00170F1D">
        <w:rPr>
          <w:rFonts w:asciiTheme="majorBidi" w:hAnsiTheme="majorBidi" w:cstheme="majorBidi"/>
          <w:sz w:val="24"/>
          <w:szCs w:val="24"/>
        </w:rPr>
        <w:t>Instead, Somalia relies on regulatory-driven stabilization. By forcing mobile money operators and commercial banks to hold verifiable dollar reserves, the CBS has stabilized the broader financial system against sudden runs or corporate collapses. Price stability is effectively imported from the United States Federal Reserve, which shields the local economy from hyperinflation but leaves it completely exposed to external international dollar shocks.</w:t>
      </w:r>
    </w:p>
    <w:p w14:paraId="7DA75A1A" w14:textId="77777777" w:rsidR="00170F1D" w:rsidRPr="00170F1D" w:rsidRDefault="00170F1D" w:rsidP="00170F1D">
      <w:pPr>
        <w:jc w:val="both"/>
        <w:rPr>
          <w:rFonts w:asciiTheme="majorBidi" w:hAnsiTheme="majorBidi" w:cstheme="majorBidi"/>
          <w:b/>
          <w:bCs/>
          <w:sz w:val="24"/>
          <w:szCs w:val="24"/>
        </w:rPr>
      </w:pPr>
      <w:r w:rsidRPr="00170F1D">
        <w:rPr>
          <w:rFonts w:asciiTheme="majorBidi" w:hAnsiTheme="majorBidi" w:cstheme="majorBidi"/>
          <w:b/>
          <w:bCs/>
          <w:sz w:val="24"/>
          <w:szCs w:val="24"/>
        </w:rPr>
        <w:t>5.2 Evaluating the Bottlenecks to Long-Term Growth</w:t>
      </w:r>
    </w:p>
    <w:p w14:paraId="0410B346" w14:textId="77777777" w:rsidR="001A0A4B" w:rsidRPr="001A0A4B" w:rsidRDefault="001A0A4B" w:rsidP="001A0A4B">
      <w:pPr>
        <w:numPr>
          <w:ilvl w:val="0"/>
          <w:numId w:val="49"/>
        </w:numPr>
        <w:jc w:val="both"/>
        <w:rPr>
          <w:rFonts w:asciiTheme="majorBidi" w:hAnsiTheme="majorBidi" w:cstheme="majorBidi"/>
          <w:sz w:val="24"/>
          <w:szCs w:val="24"/>
        </w:rPr>
      </w:pPr>
      <w:r w:rsidRPr="001A0A4B">
        <w:rPr>
          <w:rFonts w:asciiTheme="majorBidi" w:hAnsiTheme="majorBidi" w:cstheme="majorBidi"/>
          <w:b/>
          <w:bCs/>
          <w:sz w:val="24"/>
          <w:szCs w:val="24"/>
        </w:rPr>
        <w:t>Climate-Induced Supply Shocks</w:t>
      </w:r>
      <w:r w:rsidRPr="001A0A4B">
        <w:rPr>
          <w:rFonts w:asciiTheme="majorBidi" w:hAnsiTheme="majorBidi" w:cstheme="majorBidi"/>
          <w:sz w:val="24"/>
          <w:szCs w:val="24"/>
        </w:rPr>
        <w:t>: Because agricultural and pastoral production account for the vast majority of livelihoods, recurrent droughts and erratic rainfall cause severe spikes in food price inflation. Because monetary policy cannot adjust to these supply shocks, the poor bear the brunt of climate disruptions.</w:t>
      </w:r>
    </w:p>
    <w:p w14:paraId="0FBA251A" w14:textId="77777777" w:rsidR="001A0A4B" w:rsidRPr="001A0A4B" w:rsidRDefault="001A0A4B" w:rsidP="001A0A4B">
      <w:pPr>
        <w:numPr>
          <w:ilvl w:val="0"/>
          <w:numId w:val="49"/>
        </w:numPr>
        <w:jc w:val="both"/>
        <w:rPr>
          <w:rFonts w:asciiTheme="majorBidi" w:hAnsiTheme="majorBidi" w:cstheme="majorBidi"/>
          <w:sz w:val="24"/>
          <w:szCs w:val="24"/>
        </w:rPr>
      </w:pPr>
      <w:r w:rsidRPr="001A0A4B">
        <w:rPr>
          <w:rFonts w:asciiTheme="majorBidi" w:hAnsiTheme="majorBidi" w:cstheme="majorBidi"/>
          <w:b/>
          <w:bCs/>
          <w:sz w:val="24"/>
          <w:szCs w:val="24"/>
        </w:rPr>
        <w:t>Monetary Inelasticity</w:t>
      </w:r>
      <w:r w:rsidRPr="001A0A4B">
        <w:rPr>
          <w:rFonts w:asciiTheme="majorBidi" w:hAnsiTheme="majorBidi" w:cstheme="majorBidi"/>
          <w:sz w:val="24"/>
          <w:szCs w:val="24"/>
        </w:rPr>
        <w:t>: Without a local currency to act as a buffer, global commodity price spikes (such as energy or wheat import inflation) pass directly into the domestic market.</w:t>
      </w:r>
    </w:p>
    <w:p w14:paraId="732E1169" w14:textId="77777777" w:rsidR="001A0A4B" w:rsidRPr="001A0A4B" w:rsidRDefault="001A0A4B" w:rsidP="001A0A4B">
      <w:pPr>
        <w:numPr>
          <w:ilvl w:val="0"/>
          <w:numId w:val="49"/>
        </w:numPr>
        <w:jc w:val="both"/>
        <w:rPr>
          <w:rFonts w:asciiTheme="majorBidi" w:hAnsiTheme="majorBidi" w:cstheme="majorBidi"/>
          <w:sz w:val="24"/>
          <w:szCs w:val="24"/>
        </w:rPr>
      </w:pPr>
      <w:r w:rsidRPr="001A0A4B">
        <w:rPr>
          <w:rFonts w:asciiTheme="majorBidi" w:hAnsiTheme="majorBidi" w:cstheme="majorBidi"/>
          <w:b/>
          <w:bCs/>
          <w:sz w:val="24"/>
          <w:szCs w:val="24"/>
        </w:rPr>
        <w:lastRenderedPageBreak/>
        <w:t>The Local Credit Crunch</w:t>
      </w:r>
      <w:r w:rsidRPr="001A0A4B">
        <w:rPr>
          <w:rFonts w:asciiTheme="majorBidi" w:hAnsiTheme="majorBidi" w:cstheme="majorBidi"/>
          <w:sz w:val="24"/>
          <w:szCs w:val="24"/>
        </w:rPr>
        <w:t>: While commercial banks are safer, they remain highly risk-averse. Total formal banking assets represent less than 5% of national GDP. Most lending is limited to short-term trade financing, leaving small and medium enterprises (SMEs) cut off from the long-term capital required to scale up operations.</w:t>
      </w:r>
    </w:p>
    <w:p w14:paraId="495EE779" w14:textId="591353F6" w:rsidR="001A0A4B" w:rsidRPr="001A0A4B" w:rsidRDefault="001A0A4B" w:rsidP="001A0A4B">
      <w:pPr>
        <w:jc w:val="both"/>
        <w:rPr>
          <w:rFonts w:asciiTheme="majorBidi" w:hAnsiTheme="majorBidi" w:cstheme="majorBidi"/>
          <w:sz w:val="24"/>
          <w:szCs w:val="24"/>
        </w:rPr>
      </w:pPr>
    </w:p>
    <w:p w14:paraId="58E2F063" w14:textId="77777777" w:rsidR="001A0A4B" w:rsidRPr="001A0A4B" w:rsidRDefault="001A0A4B" w:rsidP="001A0A4B">
      <w:pPr>
        <w:jc w:val="both"/>
        <w:rPr>
          <w:rFonts w:asciiTheme="majorBidi" w:hAnsiTheme="majorBidi" w:cstheme="majorBidi"/>
          <w:b/>
          <w:bCs/>
          <w:sz w:val="24"/>
          <w:szCs w:val="24"/>
        </w:rPr>
      </w:pPr>
      <w:r w:rsidRPr="001A0A4B">
        <w:rPr>
          <w:rFonts w:asciiTheme="majorBidi" w:hAnsiTheme="majorBidi" w:cstheme="majorBidi"/>
          <w:b/>
          <w:bCs/>
          <w:sz w:val="24"/>
          <w:szCs w:val="24"/>
        </w:rPr>
        <w:t>6. Conclusion, Recommendations, and Sourcing</w:t>
      </w:r>
    </w:p>
    <w:p w14:paraId="152CE13B" w14:textId="77777777" w:rsidR="001A0A4B" w:rsidRPr="001A0A4B" w:rsidRDefault="001A0A4B" w:rsidP="001A0A4B">
      <w:pPr>
        <w:jc w:val="both"/>
        <w:rPr>
          <w:rFonts w:asciiTheme="majorBidi" w:hAnsiTheme="majorBidi" w:cstheme="majorBidi"/>
          <w:b/>
          <w:bCs/>
          <w:sz w:val="24"/>
          <w:szCs w:val="24"/>
        </w:rPr>
      </w:pPr>
      <w:r w:rsidRPr="001A0A4B">
        <w:rPr>
          <w:rFonts w:asciiTheme="majorBidi" w:hAnsiTheme="majorBidi" w:cstheme="majorBidi"/>
          <w:b/>
          <w:bCs/>
          <w:sz w:val="24"/>
          <w:szCs w:val="24"/>
        </w:rPr>
        <w:t>6.1 Conclusion</w:t>
      </w:r>
    </w:p>
    <w:p w14:paraId="75C9510C" w14:textId="77777777" w:rsidR="001A0A4B" w:rsidRPr="001A0A4B" w:rsidRDefault="001A0A4B" w:rsidP="001A0A4B">
      <w:pPr>
        <w:jc w:val="both"/>
        <w:rPr>
          <w:rFonts w:asciiTheme="majorBidi" w:hAnsiTheme="majorBidi" w:cstheme="majorBidi"/>
          <w:sz w:val="24"/>
          <w:szCs w:val="24"/>
        </w:rPr>
      </w:pPr>
      <w:r w:rsidRPr="001A0A4B">
        <w:rPr>
          <w:rFonts w:asciiTheme="majorBidi" w:hAnsiTheme="majorBidi" w:cstheme="majorBidi"/>
          <w:sz w:val="24"/>
          <w:szCs w:val="24"/>
        </w:rPr>
        <w:t>Somalia’s macroeconomic recovery challenges standard assumptions about how fragile states stabilize their economies. It proves that institutional formalization can be achieved even in a deeply dollarized environment with limited fiscal space. The successful completion of the HIPC process marks a critical transition point from basic crisis management to structured economic development.</w:t>
      </w:r>
    </w:p>
    <w:p w14:paraId="4737378A" w14:textId="77777777" w:rsidR="001A0A4B" w:rsidRDefault="001A0A4B" w:rsidP="001A0A4B">
      <w:pPr>
        <w:jc w:val="both"/>
        <w:rPr>
          <w:rFonts w:asciiTheme="majorBidi" w:hAnsiTheme="majorBidi" w:cstheme="majorBidi"/>
          <w:sz w:val="24"/>
          <w:szCs w:val="24"/>
        </w:rPr>
      </w:pPr>
      <w:r w:rsidRPr="001A0A4B">
        <w:rPr>
          <w:rFonts w:asciiTheme="majorBidi" w:hAnsiTheme="majorBidi" w:cstheme="majorBidi"/>
          <w:sz w:val="24"/>
          <w:szCs w:val="24"/>
        </w:rPr>
        <w:t>However, this stabilization model remains incomplete. The country has successfully minimized institutional and regulatory risks, but it has not yet solved its core economic vulnerabilities: deep climate sensitivity, a lack of long-term commercial credit, and a missing domestic currency. To ensure that post-HIPC growth is sustainable, policymakers must pivot from basic regulatory oversight to active structural transformations.</w:t>
      </w:r>
    </w:p>
    <w:p w14:paraId="1AD2EBD4" w14:textId="3C75912D" w:rsidR="001A0A4B" w:rsidRDefault="001A0A4B" w:rsidP="001A0A4B">
      <w:pPr>
        <w:jc w:val="both"/>
        <w:rPr>
          <w:rFonts w:asciiTheme="majorBidi" w:hAnsiTheme="majorBidi" w:cstheme="majorBidi"/>
          <w:sz w:val="24"/>
          <w:szCs w:val="24"/>
        </w:rPr>
      </w:pPr>
      <w:r w:rsidRPr="001A0A4B">
        <w:rPr>
          <w:rFonts w:asciiTheme="majorBidi" w:hAnsiTheme="majorBidi" w:cstheme="majorBidi"/>
          <w:sz w:val="24"/>
          <w:szCs w:val="24"/>
        </w:rPr>
        <w:t xml:space="preserve">The empirical findings from Somalia’s post-war reconstruction offer a unique opportunity to re-examine established macroeconomic theories for fragile and conflict-affected states (FCAS). This section </w:t>
      </w:r>
      <w:proofErr w:type="spellStart"/>
      <w:r w:rsidRPr="001A0A4B">
        <w:rPr>
          <w:rFonts w:asciiTheme="majorBidi" w:hAnsiTheme="majorBidi" w:cstheme="majorBidi"/>
          <w:sz w:val="24"/>
          <w:szCs w:val="24"/>
        </w:rPr>
        <w:t>analyzes</w:t>
      </w:r>
      <w:proofErr w:type="spellEnd"/>
      <w:r w:rsidRPr="001A0A4B">
        <w:rPr>
          <w:rFonts w:asciiTheme="majorBidi" w:hAnsiTheme="majorBidi" w:cstheme="majorBidi"/>
          <w:sz w:val="24"/>
          <w:szCs w:val="24"/>
        </w:rPr>
        <w:t xml:space="preserve"> these findings through three doctoral-level lenses: the structural realities of operating a regulatory framework without traditional monetary tools, the complex political economy of building a fiscal federalist state, and the systemic challenges that threaten long-term stability.</w:t>
      </w:r>
    </w:p>
    <w:p w14:paraId="084F3949" w14:textId="33A4DF41" w:rsidR="001A0A4B" w:rsidRDefault="001A0A4B" w:rsidP="00AF4170">
      <w:pPr>
        <w:jc w:val="right"/>
        <w:rPr>
          <w:rFonts w:asciiTheme="majorBidi" w:hAnsiTheme="majorBidi" w:cstheme="majorBidi"/>
          <w:sz w:val="24"/>
          <w:szCs w:val="24"/>
        </w:rPr>
      </w:pPr>
      <w:r w:rsidRPr="001A0A4B">
        <w:rPr>
          <w:rFonts w:asciiTheme="majorBidi" w:hAnsiTheme="majorBidi" w:cstheme="majorBidi"/>
          <w:noProof/>
          <w:sz w:val="24"/>
          <w:szCs w:val="24"/>
        </w:rPr>
        <w:drawing>
          <wp:inline distT="0" distB="0" distL="0" distR="0" wp14:anchorId="57158014" wp14:editId="6189EBF7">
            <wp:extent cx="4561205" cy="2117271"/>
            <wp:effectExtent l="0" t="0" r="0" b="0"/>
            <wp:docPr id="17706551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655193" name=""/>
                    <pic:cNvPicPr/>
                  </pic:nvPicPr>
                  <pic:blipFill>
                    <a:blip r:embed="rId32"/>
                    <a:stretch>
                      <a:fillRect/>
                    </a:stretch>
                  </pic:blipFill>
                  <pic:spPr>
                    <a:xfrm>
                      <a:off x="0" y="0"/>
                      <a:ext cx="4570812" cy="2121730"/>
                    </a:xfrm>
                    <a:prstGeom prst="rect">
                      <a:avLst/>
                    </a:prstGeom>
                  </pic:spPr>
                </pic:pic>
              </a:graphicData>
            </a:graphic>
          </wp:inline>
        </w:drawing>
      </w:r>
    </w:p>
    <w:p w14:paraId="0AED78E6" w14:textId="77777777" w:rsidR="001A0A4B" w:rsidRPr="001A0A4B" w:rsidRDefault="001A0A4B" w:rsidP="001A0A4B">
      <w:pPr>
        <w:jc w:val="both"/>
        <w:rPr>
          <w:rFonts w:asciiTheme="majorBidi" w:hAnsiTheme="majorBidi" w:cstheme="majorBidi"/>
          <w:b/>
          <w:bCs/>
          <w:sz w:val="24"/>
          <w:szCs w:val="24"/>
        </w:rPr>
      </w:pPr>
      <w:r w:rsidRPr="001A0A4B">
        <w:rPr>
          <w:rFonts w:asciiTheme="majorBidi" w:hAnsiTheme="majorBidi" w:cstheme="majorBidi"/>
          <w:b/>
          <w:bCs/>
          <w:sz w:val="24"/>
          <w:szCs w:val="24"/>
        </w:rPr>
        <w:t>5.1 The Paradox of Stabilization Without Monetary Policy Levers</w:t>
      </w:r>
    </w:p>
    <w:p w14:paraId="5343C92C" w14:textId="77777777" w:rsidR="001A0A4B" w:rsidRPr="001A0A4B" w:rsidRDefault="001A0A4B" w:rsidP="001A0A4B">
      <w:pPr>
        <w:jc w:val="both"/>
        <w:rPr>
          <w:rFonts w:asciiTheme="majorBidi" w:hAnsiTheme="majorBidi" w:cstheme="majorBidi"/>
          <w:sz w:val="24"/>
          <w:szCs w:val="24"/>
        </w:rPr>
      </w:pPr>
      <w:r w:rsidRPr="001A0A4B">
        <w:rPr>
          <w:rFonts w:asciiTheme="majorBidi" w:hAnsiTheme="majorBidi" w:cstheme="majorBidi"/>
          <w:sz w:val="24"/>
          <w:szCs w:val="24"/>
        </w:rPr>
        <w:t>The most significant theoretical anomaly in Somalia's recovery is its ability to achieve macroeconomic stabilization without basic monetary policy instruments. Standard New Keynesian and monetarist frameworks assume that a central bank must control interest rates or the domestic money supply to maintain price stability and absorb external economic shocks. In Somalia, complete dollarization strips the Central Bank of Somalia (CBS) of these traditional tools.</w:t>
      </w:r>
    </w:p>
    <w:p w14:paraId="6A8990F9" w14:textId="77777777" w:rsidR="001A0A4B" w:rsidRPr="001A0A4B" w:rsidRDefault="001A0A4B" w:rsidP="001A0A4B">
      <w:pPr>
        <w:jc w:val="both"/>
        <w:rPr>
          <w:rFonts w:asciiTheme="majorBidi" w:hAnsiTheme="majorBidi" w:cstheme="majorBidi"/>
          <w:b/>
          <w:bCs/>
          <w:sz w:val="24"/>
          <w:szCs w:val="24"/>
        </w:rPr>
      </w:pPr>
      <w:r w:rsidRPr="001A0A4B">
        <w:rPr>
          <w:rFonts w:asciiTheme="majorBidi" w:hAnsiTheme="majorBidi" w:cstheme="majorBidi"/>
          <w:b/>
          <w:bCs/>
          <w:sz w:val="24"/>
          <w:szCs w:val="24"/>
        </w:rPr>
        <w:lastRenderedPageBreak/>
        <w:t>5.1.1 The Mechanics of Regulatory-Driven Stabilization</w:t>
      </w:r>
    </w:p>
    <w:p w14:paraId="3A8B8131" w14:textId="77777777" w:rsidR="001A0A4B" w:rsidRPr="001A0A4B" w:rsidRDefault="001A0A4B" w:rsidP="001A0A4B">
      <w:pPr>
        <w:jc w:val="both"/>
        <w:rPr>
          <w:rFonts w:asciiTheme="majorBidi" w:hAnsiTheme="majorBidi" w:cstheme="majorBidi"/>
          <w:sz w:val="24"/>
          <w:szCs w:val="24"/>
        </w:rPr>
      </w:pPr>
      <w:r w:rsidRPr="001A0A4B">
        <w:rPr>
          <w:rFonts w:asciiTheme="majorBidi" w:hAnsiTheme="majorBidi" w:cstheme="majorBidi"/>
          <w:sz w:val="24"/>
          <w:szCs w:val="24"/>
        </w:rPr>
        <w:t xml:space="preserve">Rather than relying on monetary adjustments, the CBS uses </w:t>
      </w:r>
      <w:r w:rsidRPr="001A0A4B">
        <w:rPr>
          <w:rFonts w:asciiTheme="majorBidi" w:hAnsiTheme="majorBidi" w:cstheme="majorBidi"/>
          <w:b/>
          <w:bCs/>
          <w:sz w:val="24"/>
          <w:szCs w:val="24"/>
        </w:rPr>
        <w:t>regulatory-driven stabilization</w:t>
      </w:r>
      <w:r w:rsidRPr="001A0A4B">
        <w:rPr>
          <w:rFonts w:asciiTheme="majorBidi" w:hAnsiTheme="majorBidi" w:cstheme="majorBidi"/>
          <w:sz w:val="24"/>
          <w:szCs w:val="24"/>
        </w:rPr>
        <w:t>. It manages liquidity and credit risks through strict administrative mandates, financial licensing, and asset audits. This model shifts focus from managing the supply of money to protecting the plumbing of the financial system.</w:t>
      </w:r>
    </w:p>
    <w:tbl>
      <w:tblPr>
        <w:tblStyle w:val="TableGrid"/>
        <w:tblW w:w="0" w:type="auto"/>
        <w:tblLook w:val="04A0" w:firstRow="1" w:lastRow="0" w:firstColumn="1" w:lastColumn="0" w:noHBand="0" w:noVBand="1"/>
      </w:tblPr>
      <w:tblGrid>
        <w:gridCol w:w="9016"/>
      </w:tblGrid>
      <w:tr w:rsidR="001A0A4B" w14:paraId="0FF64A13" w14:textId="77777777" w:rsidTr="001A0A4B">
        <w:tc>
          <w:tcPr>
            <w:tcW w:w="9016" w:type="dxa"/>
          </w:tcPr>
          <w:p w14:paraId="09A166ED" w14:textId="07618DD1" w:rsidR="001A0A4B" w:rsidRDefault="001A0A4B" w:rsidP="001A0A4B">
            <w:pPr>
              <w:jc w:val="both"/>
              <w:rPr>
                <w:rFonts w:asciiTheme="majorBidi" w:hAnsiTheme="majorBidi" w:cstheme="majorBidi"/>
                <w:sz w:val="24"/>
                <w:szCs w:val="24"/>
              </w:rPr>
            </w:pPr>
            <w:r w:rsidRPr="001A0A4B">
              <w:rPr>
                <w:rFonts w:asciiTheme="majorBidi" w:hAnsiTheme="majorBidi" w:cstheme="majorBidi"/>
                <w:sz w:val="24"/>
                <w:szCs w:val="24"/>
              </w:rPr>
              <w:t>[Traditional Monetary Model] Central Bank Interest Rate Change ──► Money Supply Shifts ──► Commercial Bank Lending Adjusts [Somalia's Regulatory Model] CBS Prudential Mandates ──► Mandatory Mobile Dollar Reserves ──► Shadow Multiplier Risk Mitigated</w:t>
            </w:r>
          </w:p>
        </w:tc>
      </w:tr>
    </w:tbl>
    <w:p w14:paraId="4872B75C" w14:textId="77777777" w:rsidR="001A0A4B" w:rsidRDefault="001A0A4B" w:rsidP="001A0A4B">
      <w:pPr>
        <w:jc w:val="both"/>
        <w:rPr>
          <w:rFonts w:asciiTheme="majorBidi" w:hAnsiTheme="majorBidi" w:cstheme="majorBidi"/>
          <w:sz w:val="24"/>
          <w:szCs w:val="24"/>
        </w:rPr>
      </w:pPr>
    </w:p>
    <w:p w14:paraId="3AFBA477" w14:textId="77777777" w:rsidR="00D8010F" w:rsidRPr="00D8010F" w:rsidRDefault="00D8010F" w:rsidP="00D8010F">
      <w:pPr>
        <w:jc w:val="both"/>
        <w:rPr>
          <w:rFonts w:asciiTheme="majorBidi" w:hAnsiTheme="majorBidi" w:cstheme="majorBidi"/>
          <w:sz w:val="24"/>
          <w:szCs w:val="24"/>
        </w:rPr>
      </w:pPr>
      <w:r w:rsidRPr="00D8010F">
        <w:rPr>
          <w:rFonts w:asciiTheme="majorBidi" w:hAnsiTheme="majorBidi" w:cstheme="majorBidi"/>
          <w:sz w:val="24"/>
          <w:szCs w:val="24"/>
        </w:rPr>
        <w:t>By forcing private mobile money networks to back their digital balances with verifiable U.S. dollar deposits in licensed commercial banks, the CBS managed to stabilize a highly volatile parallel currency market. This balance-sheet matching acts as a circuit breaker, preventing bank runs and speculative attacks without requiring open-market currency interventions.</w:t>
      </w:r>
    </w:p>
    <w:p w14:paraId="62E13F3F" w14:textId="77777777" w:rsidR="00D8010F" w:rsidRPr="00D8010F" w:rsidRDefault="00D8010F" w:rsidP="00D8010F">
      <w:pPr>
        <w:jc w:val="both"/>
        <w:rPr>
          <w:rFonts w:asciiTheme="majorBidi" w:hAnsiTheme="majorBidi" w:cstheme="majorBidi"/>
          <w:b/>
          <w:bCs/>
          <w:sz w:val="24"/>
          <w:szCs w:val="24"/>
        </w:rPr>
      </w:pPr>
      <w:r w:rsidRPr="00D8010F">
        <w:rPr>
          <w:rFonts w:asciiTheme="majorBidi" w:hAnsiTheme="majorBidi" w:cstheme="majorBidi"/>
          <w:b/>
          <w:bCs/>
          <w:sz w:val="24"/>
          <w:szCs w:val="24"/>
        </w:rPr>
        <w:t>5.1.2 Evaluating the Value of Imported Price Stability</w:t>
      </w:r>
    </w:p>
    <w:p w14:paraId="764441CE" w14:textId="77777777" w:rsidR="00D8010F" w:rsidRPr="00D8010F" w:rsidRDefault="00D8010F" w:rsidP="00D8010F">
      <w:pPr>
        <w:jc w:val="both"/>
        <w:rPr>
          <w:rFonts w:asciiTheme="majorBidi" w:hAnsiTheme="majorBidi" w:cstheme="majorBidi"/>
          <w:sz w:val="24"/>
          <w:szCs w:val="24"/>
        </w:rPr>
      </w:pPr>
      <w:r w:rsidRPr="00D8010F">
        <w:rPr>
          <w:rFonts w:asciiTheme="majorBidi" w:hAnsiTheme="majorBidi" w:cstheme="majorBidi"/>
          <w:sz w:val="24"/>
          <w:szCs w:val="24"/>
        </w:rPr>
        <w:t>Operating a dollarized regime means Somalia effectively outsources its core monetary choices to the United States Federal Reserve. This setup has structural advantages and disadvantages for a post-conflict nation:</w:t>
      </w:r>
    </w:p>
    <w:p w14:paraId="339D6795" w14:textId="77777777" w:rsidR="00D8010F" w:rsidRPr="00D8010F" w:rsidRDefault="00D8010F" w:rsidP="00D8010F">
      <w:pPr>
        <w:numPr>
          <w:ilvl w:val="0"/>
          <w:numId w:val="55"/>
        </w:numPr>
        <w:jc w:val="both"/>
        <w:rPr>
          <w:rFonts w:asciiTheme="majorBidi" w:hAnsiTheme="majorBidi" w:cstheme="majorBidi"/>
          <w:sz w:val="24"/>
          <w:szCs w:val="24"/>
        </w:rPr>
      </w:pPr>
      <w:r w:rsidRPr="00D8010F">
        <w:rPr>
          <w:rFonts w:asciiTheme="majorBidi" w:hAnsiTheme="majorBidi" w:cstheme="majorBidi"/>
          <w:b/>
          <w:bCs/>
          <w:sz w:val="24"/>
          <w:szCs w:val="24"/>
        </w:rPr>
        <w:t>The Anti-Inflation Anchor</w:t>
      </w:r>
      <w:r w:rsidRPr="00D8010F">
        <w:rPr>
          <w:rFonts w:asciiTheme="majorBidi" w:hAnsiTheme="majorBidi" w:cstheme="majorBidi"/>
          <w:sz w:val="24"/>
          <w:szCs w:val="24"/>
        </w:rPr>
        <w:t>: Total dollarization provides an immediate wall against hyperinflation. It prevents the state from printing money to finance budget deficits, forcing a discipline that reassures international markets.</w:t>
      </w:r>
    </w:p>
    <w:p w14:paraId="389BA0C3" w14:textId="77777777" w:rsidR="00D8010F" w:rsidRPr="00D8010F" w:rsidRDefault="00D8010F" w:rsidP="00D8010F">
      <w:pPr>
        <w:numPr>
          <w:ilvl w:val="0"/>
          <w:numId w:val="55"/>
        </w:numPr>
        <w:jc w:val="both"/>
        <w:rPr>
          <w:rFonts w:asciiTheme="majorBidi" w:hAnsiTheme="majorBidi" w:cstheme="majorBidi"/>
          <w:sz w:val="24"/>
          <w:szCs w:val="24"/>
        </w:rPr>
      </w:pPr>
      <w:r w:rsidRPr="00D8010F">
        <w:rPr>
          <w:rFonts w:asciiTheme="majorBidi" w:hAnsiTheme="majorBidi" w:cstheme="majorBidi"/>
          <w:b/>
          <w:bCs/>
          <w:sz w:val="24"/>
          <w:szCs w:val="24"/>
        </w:rPr>
        <w:t>The Structural Trade-off</w:t>
      </w:r>
      <w:r w:rsidRPr="00D8010F">
        <w:rPr>
          <w:rFonts w:asciiTheme="majorBidi" w:hAnsiTheme="majorBidi" w:cstheme="majorBidi"/>
          <w:sz w:val="24"/>
          <w:szCs w:val="24"/>
        </w:rPr>
        <w:t>: This setup removes the exchange rate as an economic shock absorber. When global commodity or energy prices spike, the local economy cannot adjust its currency values to soften the blow. Local markets are forced to make real, painful adjustments in wages and employment instead.</w:t>
      </w:r>
    </w:p>
    <w:p w14:paraId="45732651" w14:textId="77777777" w:rsidR="00D8010F" w:rsidRPr="00D8010F" w:rsidRDefault="00D8010F" w:rsidP="00D8010F">
      <w:pPr>
        <w:numPr>
          <w:ilvl w:val="0"/>
          <w:numId w:val="55"/>
        </w:numPr>
        <w:jc w:val="both"/>
        <w:rPr>
          <w:rFonts w:asciiTheme="majorBidi" w:hAnsiTheme="majorBidi" w:cstheme="majorBidi"/>
          <w:sz w:val="24"/>
          <w:szCs w:val="24"/>
        </w:rPr>
      </w:pPr>
      <w:r w:rsidRPr="00D8010F">
        <w:rPr>
          <w:rFonts w:asciiTheme="majorBidi" w:hAnsiTheme="majorBidi" w:cstheme="majorBidi"/>
          <w:b/>
          <w:bCs/>
          <w:sz w:val="24"/>
          <w:szCs w:val="24"/>
        </w:rPr>
        <w:t>The Risk of Financial Shocks</w:t>
      </w:r>
      <w:r w:rsidRPr="00D8010F">
        <w:rPr>
          <w:rFonts w:asciiTheme="majorBidi" w:hAnsiTheme="majorBidi" w:cstheme="majorBidi"/>
          <w:sz w:val="24"/>
          <w:szCs w:val="24"/>
        </w:rPr>
        <w:t>: If the U.S. dollar strengthens significantly on global markets, Somalia's dollar-denominated exports become more expensive and less competitive regionally, even as domestic credit conditions tighten.</w:t>
      </w:r>
    </w:p>
    <w:p w14:paraId="0C218D89" w14:textId="77777777" w:rsidR="00D8010F" w:rsidRPr="00D8010F" w:rsidRDefault="00D8010F" w:rsidP="00D8010F">
      <w:pPr>
        <w:jc w:val="both"/>
        <w:rPr>
          <w:rFonts w:asciiTheme="majorBidi" w:hAnsiTheme="majorBidi" w:cstheme="majorBidi"/>
          <w:b/>
          <w:bCs/>
          <w:sz w:val="24"/>
          <w:szCs w:val="24"/>
        </w:rPr>
      </w:pPr>
      <w:r w:rsidRPr="00D8010F">
        <w:rPr>
          <w:rFonts w:asciiTheme="majorBidi" w:hAnsiTheme="majorBidi" w:cstheme="majorBidi"/>
          <w:b/>
          <w:bCs/>
          <w:sz w:val="24"/>
          <w:szCs w:val="24"/>
        </w:rPr>
        <w:t>5.2 The Political Economy of Fiscal Federalism and Revenue Sharing</w:t>
      </w:r>
    </w:p>
    <w:p w14:paraId="7E3F778A" w14:textId="663353B0" w:rsidR="00D8010F" w:rsidRPr="00D8010F" w:rsidRDefault="00D8010F" w:rsidP="00D8010F">
      <w:pPr>
        <w:jc w:val="both"/>
        <w:rPr>
          <w:rFonts w:asciiTheme="majorBidi" w:hAnsiTheme="majorBidi" w:cstheme="majorBidi"/>
          <w:sz w:val="24"/>
          <w:szCs w:val="24"/>
        </w:rPr>
      </w:pPr>
      <w:r w:rsidRPr="00D8010F">
        <w:rPr>
          <w:rFonts w:asciiTheme="majorBidi" w:hAnsiTheme="majorBidi" w:cstheme="majorBidi"/>
          <w:sz w:val="24"/>
          <w:szCs w:val="24"/>
        </w:rPr>
        <w:t xml:space="preserve">Somalia’s transition from an aid-dependent economy to a self-sustaining fiscal state faces </w:t>
      </w:r>
      <w:r w:rsidR="00AF4170" w:rsidRPr="00D8010F">
        <w:rPr>
          <w:rFonts w:asciiTheme="majorBidi" w:hAnsiTheme="majorBidi" w:cstheme="majorBidi"/>
          <w:sz w:val="24"/>
          <w:szCs w:val="24"/>
        </w:rPr>
        <w:t>deep political hurdle</w:t>
      </w:r>
      <w:r w:rsidRPr="00D8010F">
        <w:rPr>
          <w:rFonts w:asciiTheme="majorBidi" w:hAnsiTheme="majorBidi" w:cstheme="majorBidi"/>
          <w:sz w:val="24"/>
          <w:szCs w:val="24"/>
        </w:rPr>
        <w:t>. The country must build a functioning tax architecture across regions with long histories of political friction and decentralized authority.</w:t>
      </w:r>
    </w:p>
    <w:p w14:paraId="63D9E0DE" w14:textId="77777777" w:rsidR="00D8010F" w:rsidRPr="00D8010F" w:rsidRDefault="00D8010F" w:rsidP="00D8010F">
      <w:pPr>
        <w:jc w:val="both"/>
        <w:rPr>
          <w:rFonts w:asciiTheme="majorBidi" w:hAnsiTheme="majorBidi" w:cstheme="majorBidi"/>
          <w:b/>
          <w:bCs/>
          <w:sz w:val="24"/>
          <w:szCs w:val="24"/>
        </w:rPr>
      </w:pPr>
      <w:r w:rsidRPr="00D8010F">
        <w:rPr>
          <w:rFonts w:asciiTheme="majorBidi" w:hAnsiTheme="majorBidi" w:cstheme="majorBidi"/>
          <w:b/>
          <w:bCs/>
          <w:sz w:val="24"/>
          <w:szCs w:val="24"/>
        </w:rPr>
        <w:t>5.2.1 Resolving Central-Regional Tensions</w:t>
      </w:r>
    </w:p>
    <w:p w14:paraId="389488AE" w14:textId="77777777" w:rsidR="00D8010F" w:rsidRPr="00D8010F" w:rsidRDefault="00D8010F" w:rsidP="00D8010F">
      <w:pPr>
        <w:jc w:val="both"/>
        <w:rPr>
          <w:rFonts w:asciiTheme="majorBidi" w:hAnsiTheme="majorBidi" w:cstheme="majorBidi"/>
          <w:sz w:val="24"/>
          <w:szCs w:val="24"/>
        </w:rPr>
      </w:pPr>
      <w:r w:rsidRPr="00D8010F">
        <w:rPr>
          <w:rFonts w:asciiTheme="majorBidi" w:hAnsiTheme="majorBidi" w:cstheme="majorBidi"/>
          <w:sz w:val="24"/>
          <w:szCs w:val="24"/>
        </w:rPr>
        <w:t>The core challenge of Somali public finance is balancing power between the Federal Government of Somalia (FGS) in Mogadishu and the Federal Member States (FMS). Decades of conflict created a system where regional capitals operated their own independent customs houses, port taxes, and security budgets.</w:t>
      </w:r>
    </w:p>
    <w:p w14:paraId="017F09EB" w14:textId="3BE0EC87" w:rsidR="00D8010F" w:rsidRDefault="00D8010F" w:rsidP="00AF4170">
      <w:pPr>
        <w:jc w:val="right"/>
        <w:rPr>
          <w:rFonts w:asciiTheme="majorBidi" w:hAnsiTheme="majorBidi" w:cstheme="majorBidi"/>
          <w:sz w:val="24"/>
          <w:szCs w:val="24"/>
        </w:rPr>
      </w:pPr>
      <w:r w:rsidRPr="00D8010F">
        <w:rPr>
          <w:rFonts w:asciiTheme="majorBidi" w:hAnsiTheme="majorBidi" w:cstheme="majorBidi"/>
          <w:noProof/>
          <w:sz w:val="24"/>
          <w:szCs w:val="24"/>
        </w:rPr>
        <w:lastRenderedPageBreak/>
        <w:drawing>
          <wp:inline distT="0" distB="0" distL="0" distR="0" wp14:anchorId="3EDEC2CC" wp14:editId="43A439FD">
            <wp:extent cx="4860653" cy="2331720"/>
            <wp:effectExtent l="0" t="0" r="0" b="0"/>
            <wp:docPr id="13365553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555346" name=""/>
                    <pic:cNvPicPr/>
                  </pic:nvPicPr>
                  <pic:blipFill>
                    <a:blip r:embed="rId33"/>
                    <a:stretch>
                      <a:fillRect/>
                    </a:stretch>
                  </pic:blipFill>
                  <pic:spPr>
                    <a:xfrm>
                      <a:off x="0" y="0"/>
                      <a:ext cx="4862702" cy="2332703"/>
                    </a:xfrm>
                    <a:prstGeom prst="rect">
                      <a:avLst/>
                    </a:prstGeom>
                  </pic:spPr>
                </pic:pic>
              </a:graphicData>
            </a:graphic>
          </wp:inline>
        </w:drawing>
      </w:r>
    </w:p>
    <w:p w14:paraId="1E0E7E0C" w14:textId="77777777" w:rsidR="00D8010F" w:rsidRPr="00D8010F" w:rsidRDefault="00D8010F" w:rsidP="00D8010F">
      <w:pPr>
        <w:jc w:val="both"/>
        <w:rPr>
          <w:rFonts w:asciiTheme="majorBidi" w:hAnsiTheme="majorBidi" w:cstheme="majorBidi"/>
          <w:sz w:val="24"/>
          <w:szCs w:val="24"/>
        </w:rPr>
      </w:pPr>
      <w:r w:rsidRPr="00D8010F">
        <w:rPr>
          <w:rFonts w:asciiTheme="majorBidi" w:hAnsiTheme="majorBidi" w:cstheme="majorBidi"/>
          <w:sz w:val="24"/>
          <w:szCs w:val="24"/>
        </w:rPr>
        <w:t xml:space="preserve">Standard public finance models suggest centralized revenue collection is the most efficient approach for a developing nation. However, implementing a top-down model in a fragile environment can spark political conflict. Regional leaders are hesitant to hand over control of physical trade hubs, like the Port of </w:t>
      </w:r>
      <w:proofErr w:type="spellStart"/>
      <w:r w:rsidRPr="00D8010F">
        <w:rPr>
          <w:rFonts w:asciiTheme="majorBidi" w:hAnsiTheme="majorBidi" w:cstheme="majorBidi"/>
          <w:sz w:val="24"/>
          <w:szCs w:val="24"/>
        </w:rPr>
        <w:t>Bosaso</w:t>
      </w:r>
      <w:proofErr w:type="spellEnd"/>
      <w:r w:rsidRPr="00D8010F">
        <w:rPr>
          <w:rFonts w:asciiTheme="majorBidi" w:hAnsiTheme="majorBidi" w:cstheme="majorBidi"/>
          <w:sz w:val="24"/>
          <w:szCs w:val="24"/>
        </w:rPr>
        <w:t xml:space="preserve"> or Kismayo, without ironclad guarantees for how those revenues will be redistributed back to their communities.</w:t>
      </w:r>
    </w:p>
    <w:p w14:paraId="2D065A38" w14:textId="77777777" w:rsidR="00D8010F" w:rsidRPr="00D8010F" w:rsidRDefault="00D8010F" w:rsidP="00D8010F">
      <w:pPr>
        <w:jc w:val="both"/>
        <w:rPr>
          <w:rFonts w:asciiTheme="majorBidi" w:hAnsiTheme="majorBidi" w:cstheme="majorBidi"/>
          <w:b/>
          <w:bCs/>
          <w:sz w:val="24"/>
          <w:szCs w:val="24"/>
        </w:rPr>
      </w:pPr>
      <w:r w:rsidRPr="00D8010F">
        <w:rPr>
          <w:rFonts w:asciiTheme="majorBidi" w:hAnsiTheme="majorBidi" w:cstheme="majorBidi"/>
          <w:b/>
          <w:bCs/>
          <w:sz w:val="24"/>
          <w:szCs w:val="24"/>
        </w:rPr>
        <w:t>5.2.2 Harmonizing the Trade Grid</w:t>
      </w:r>
    </w:p>
    <w:p w14:paraId="67BFD13C" w14:textId="77777777" w:rsidR="00D8010F" w:rsidRPr="00D8010F" w:rsidRDefault="00D8010F" w:rsidP="00D8010F">
      <w:pPr>
        <w:jc w:val="both"/>
        <w:rPr>
          <w:rFonts w:asciiTheme="majorBidi" w:hAnsiTheme="majorBidi" w:cstheme="majorBidi"/>
          <w:sz w:val="24"/>
          <w:szCs w:val="24"/>
        </w:rPr>
      </w:pPr>
      <w:r w:rsidRPr="00D8010F">
        <w:rPr>
          <w:rFonts w:asciiTheme="majorBidi" w:hAnsiTheme="majorBidi" w:cstheme="majorBidi"/>
          <w:sz w:val="24"/>
          <w:szCs w:val="24"/>
        </w:rPr>
        <w:t>The deployment of the Somali Customs Automated System (SOMCAS) represents a major step forward, but technical tools cannot resolve underlying structural disputes. For fiscal federalism to work over the long term, Somalia must finalize a binding constitutional framework that addresses three key areas:</w:t>
      </w:r>
    </w:p>
    <w:p w14:paraId="44CAE228" w14:textId="77777777" w:rsidR="00D8010F" w:rsidRPr="00D8010F" w:rsidRDefault="00D8010F" w:rsidP="00D8010F">
      <w:pPr>
        <w:numPr>
          <w:ilvl w:val="0"/>
          <w:numId w:val="56"/>
        </w:numPr>
        <w:jc w:val="both"/>
        <w:rPr>
          <w:rFonts w:asciiTheme="majorBidi" w:hAnsiTheme="majorBidi" w:cstheme="majorBidi"/>
          <w:sz w:val="24"/>
          <w:szCs w:val="24"/>
        </w:rPr>
      </w:pPr>
      <w:r w:rsidRPr="00D8010F">
        <w:rPr>
          <w:rFonts w:asciiTheme="majorBidi" w:hAnsiTheme="majorBidi" w:cstheme="majorBidi"/>
          <w:b/>
          <w:bCs/>
          <w:sz w:val="24"/>
          <w:szCs w:val="24"/>
        </w:rPr>
        <w:t>Customs Pooling</w:t>
      </w:r>
      <w:r w:rsidRPr="00D8010F">
        <w:rPr>
          <w:rFonts w:asciiTheme="majorBidi" w:hAnsiTheme="majorBidi" w:cstheme="majorBidi"/>
          <w:sz w:val="24"/>
          <w:szCs w:val="24"/>
        </w:rPr>
        <w:t>: Establishing a unified national tariff structure that eliminates competitive rate-cutting between regional ports.</w:t>
      </w:r>
    </w:p>
    <w:p w14:paraId="3652FFEF" w14:textId="77777777" w:rsidR="00D8010F" w:rsidRPr="00D8010F" w:rsidRDefault="00D8010F" w:rsidP="00D8010F">
      <w:pPr>
        <w:numPr>
          <w:ilvl w:val="0"/>
          <w:numId w:val="56"/>
        </w:numPr>
        <w:jc w:val="both"/>
        <w:rPr>
          <w:rFonts w:asciiTheme="majorBidi" w:hAnsiTheme="majorBidi" w:cstheme="majorBidi"/>
          <w:sz w:val="24"/>
          <w:szCs w:val="24"/>
        </w:rPr>
      </w:pPr>
      <w:r w:rsidRPr="00D8010F">
        <w:rPr>
          <w:rFonts w:asciiTheme="majorBidi" w:hAnsiTheme="majorBidi" w:cstheme="majorBidi"/>
          <w:b/>
          <w:bCs/>
          <w:sz w:val="24"/>
          <w:szCs w:val="24"/>
        </w:rPr>
        <w:t>Resource Allocation Formulas</w:t>
      </w:r>
      <w:r w:rsidRPr="00D8010F">
        <w:rPr>
          <w:rFonts w:asciiTheme="majorBidi" w:hAnsiTheme="majorBidi" w:cstheme="majorBidi"/>
          <w:sz w:val="24"/>
          <w:szCs w:val="24"/>
        </w:rPr>
        <w:t>: Designing transparent redistribution metrics based on verified regional populations and development needs, rather than short-term political deals.</w:t>
      </w:r>
    </w:p>
    <w:p w14:paraId="293140C7" w14:textId="77777777" w:rsidR="00D8010F" w:rsidRPr="00D8010F" w:rsidRDefault="00D8010F" w:rsidP="00D8010F">
      <w:pPr>
        <w:numPr>
          <w:ilvl w:val="0"/>
          <w:numId w:val="56"/>
        </w:numPr>
        <w:jc w:val="both"/>
        <w:rPr>
          <w:rFonts w:asciiTheme="majorBidi" w:hAnsiTheme="majorBidi" w:cstheme="majorBidi"/>
          <w:sz w:val="24"/>
          <w:szCs w:val="24"/>
        </w:rPr>
      </w:pPr>
      <w:r w:rsidRPr="00D8010F">
        <w:rPr>
          <w:rFonts w:asciiTheme="majorBidi" w:hAnsiTheme="majorBidi" w:cstheme="majorBidi"/>
          <w:b/>
          <w:bCs/>
          <w:sz w:val="24"/>
          <w:szCs w:val="24"/>
        </w:rPr>
        <w:t>Natural Resource Rights</w:t>
      </w:r>
      <w:r w:rsidRPr="00D8010F">
        <w:rPr>
          <w:rFonts w:asciiTheme="majorBidi" w:hAnsiTheme="majorBidi" w:cstheme="majorBidi"/>
          <w:sz w:val="24"/>
          <w:szCs w:val="24"/>
        </w:rPr>
        <w:t>: Creating clear guidelines for managing future resource windfalls, such as offshore oil or fisheries licenses, to ensure revenues are shared equitably and do not trigger a renewed resource curse.</w:t>
      </w:r>
    </w:p>
    <w:p w14:paraId="4067E428" w14:textId="77777777" w:rsidR="00D8010F" w:rsidRPr="00D8010F" w:rsidRDefault="00D8010F" w:rsidP="00D8010F">
      <w:pPr>
        <w:jc w:val="both"/>
        <w:rPr>
          <w:rFonts w:asciiTheme="majorBidi" w:hAnsiTheme="majorBidi" w:cstheme="majorBidi"/>
          <w:b/>
          <w:bCs/>
          <w:sz w:val="24"/>
          <w:szCs w:val="24"/>
        </w:rPr>
      </w:pPr>
      <w:r w:rsidRPr="00D8010F">
        <w:rPr>
          <w:rFonts w:asciiTheme="majorBidi" w:hAnsiTheme="majorBidi" w:cstheme="majorBidi"/>
          <w:b/>
          <w:bCs/>
          <w:sz w:val="24"/>
          <w:szCs w:val="24"/>
        </w:rPr>
        <w:t>5.3 Systemic Bottlenecks: Climate Insecurity and Capital Constraints</w:t>
      </w:r>
    </w:p>
    <w:p w14:paraId="6CA8AD0B" w14:textId="77777777" w:rsidR="00D8010F" w:rsidRPr="00D8010F" w:rsidRDefault="00D8010F" w:rsidP="00D8010F">
      <w:pPr>
        <w:jc w:val="both"/>
        <w:rPr>
          <w:rFonts w:asciiTheme="majorBidi" w:hAnsiTheme="majorBidi" w:cstheme="majorBidi"/>
          <w:sz w:val="24"/>
          <w:szCs w:val="24"/>
        </w:rPr>
      </w:pPr>
      <w:r w:rsidRPr="00D8010F">
        <w:rPr>
          <w:rFonts w:asciiTheme="majorBidi" w:hAnsiTheme="majorBidi" w:cstheme="majorBidi"/>
          <w:sz w:val="24"/>
          <w:szCs w:val="24"/>
        </w:rPr>
        <w:t>Somalia's long-term economic path is constrained by two deep systemic vulnerabilities: extreme climate exposure and a lack of formal domestic credit.</w:t>
      </w:r>
    </w:p>
    <w:p w14:paraId="1E036906" w14:textId="77777777" w:rsidR="00D8010F" w:rsidRPr="00D8010F" w:rsidRDefault="00D8010F" w:rsidP="00D8010F">
      <w:pPr>
        <w:jc w:val="both"/>
        <w:rPr>
          <w:rFonts w:asciiTheme="majorBidi" w:hAnsiTheme="majorBidi" w:cstheme="majorBidi"/>
          <w:b/>
          <w:bCs/>
          <w:sz w:val="24"/>
          <w:szCs w:val="24"/>
        </w:rPr>
      </w:pPr>
      <w:r w:rsidRPr="00D8010F">
        <w:rPr>
          <w:rFonts w:asciiTheme="majorBidi" w:hAnsiTheme="majorBidi" w:cstheme="majorBidi"/>
          <w:b/>
          <w:bCs/>
          <w:sz w:val="24"/>
          <w:szCs w:val="24"/>
        </w:rPr>
        <w:t>5.3.1 The Macroeconomics of Climate Disruptions</w:t>
      </w:r>
    </w:p>
    <w:p w14:paraId="20B30C75" w14:textId="608BB638" w:rsidR="00D8010F" w:rsidRPr="00D8010F" w:rsidRDefault="00D8010F" w:rsidP="004463C1">
      <w:pPr>
        <w:pBdr>
          <w:bottom w:val="single" w:sz="6" w:space="31" w:color="auto"/>
        </w:pBdr>
        <w:jc w:val="both"/>
        <w:rPr>
          <w:rFonts w:asciiTheme="majorBidi" w:hAnsiTheme="majorBidi" w:cstheme="majorBidi"/>
          <w:sz w:val="24"/>
          <w:szCs w:val="24"/>
        </w:rPr>
      </w:pPr>
      <w:r w:rsidRPr="00D8010F">
        <w:rPr>
          <w:rFonts w:asciiTheme="majorBidi" w:hAnsiTheme="majorBidi" w:cstheme="majorBidi"/>
          <w:sz w:val="24"/>
          <w:szCs w:val="24"/>
        </w:rPr>
        <w:t>Somalia's real economy remains highly sensitive to its natural environment. Because the agricultural and livestock sectors support roughly 60% of national employment, recurrent cycles of severe droughts and flash floods cause direct structural damage to national GDP</w:t>
      </w:r>
      <w:r w:rsidR="004463C1">
        <w:rPr>
          <w:rFonts w:asciiTheme="majorBidi" w:hAnsiTheme="majorBidi" w:cstheme="majorBidi"/>
          <w:sz w:val="24"/>
          <w:szCs w:val="24"/>
        </w:rPr>
        <w:t xml:space="preserve"> </w:t>
      </w:r>
      <w:r w:rsidRPr="00D8010F">
        <w:rPr>
          <w:rFonts w:asciiTheme="majorBidi" w:hAnsiTheme="majorBidi" w:cstheme="majorBidi"/>
          <w:sz w:val="24"/>
          <w:szCs w:val="24"/>
        </w:rPr>
        <w:t>These climate shocks create a challenging dynamic for policymakers:</w:t>
      </w:r>
    </w:p>
    <w:p w14:paraId="0FF1ABFD" w14:textId="77777777" w:rsidR="00D8010F" w:rsidRPr="00D8010F" w:rsidRDefault="00D8010F" w:rsidP="00D8010F">
      <w:pPr>
        <w:numPr>
          <w:ilvl w:val="0"/>
          <w:numId w:val="57"/>
        </w:numPr>
        <w:jc w:val="both"/>
        <w:rPr>
          <w:rFonts w:asciiTheme="majorBidi" w:hAnsiTheme="majorBidi" w:cstheme="majorBidi"/>
          <w:sz w:val="24"/>
          <w:szCs w:val="24"/>
        </w:rPr>
      </w:pPr>
      <w:r w:rsidRPr="00D8010F">
        <w:rPr>
          <w:rFonts w:asciiTheme="majorBidi" w:hAnsiTheme="majorBidi" w:cstheme="majorBidi"/>
          <w:b/>
          <w:bCs/>
          <w:sz w:val="24"/>
          <w:szCs w:val="24"/>
        </w:rPr>
        <w:lastRenderedPageBreak/>
        <w:t>Supply-Driven Inflation</w:t>
      </w:r>
      <w:r w:rsidRPr="00D8010F">
        <w:rPr>
          <w:rFonts w:asciiTheme="majorBidi" w:hAnsiTheme="majorBidi" w:cstheme="majorBidi"/>
          <w:sz w:val="24"/>
          <w:szCs w:val="24"/>
        </w:rPr>
        <w:t>: Climate events destroy local crop yields and livestock, causing sudden spikes in food prices. Because this inflation is driven by supply shortages rather than excess demand, traditional monetary tools are useless against it.</w:t>
      </w:r>
    </w:p>
    <w:p w14:paraId="455FC753" w14:textId="77777777" w:rsidR="00D8010F" w:rsidRPr="00D8010F" w:rsidRDefault="00D8010F" w:rsidP="00D8010F">
      <w:pPr>
        <w:numPr>
          <w:ilvl w:val="0"/>
          <w:numId w:val="57"/>
        </w:numPr>
        <w:jc w:val="both"/>
        <w:rPr>
          <w:rFonts w:asciiTheme="majorBidi" w:hAnsiTheme="majorBidi" w:cstheme="majorBidi"/>
          <w:sz w:val="24"/>
          <w:szCs w:val="24"/>
        </w:rPr>
      </w:pPr>
      <w:r w:rsidRPr="00D8010F">
        <w:rPr>
          <w:rFonts w:asciiTheme="majorBidi" w:hAnsiTheme="majorBidi" w:cstheme="majorBidi"/>
          <w:b/>
          <w:bCs/>
          <w:sz w:val="24"/>
          <w:szCs w:val="24"/>
        </w:rPr>
        <w:t>Balance of Payments Strains</w:t>
      </w:r>
      <w:r w:rsidRPr="00D8010F">
        <w:rPr>
          <w:rFonts w:asciiTheme="majorBidi" w:hAnsiTheme="majorBidi" w:cstheme="majorBidi"/>
          <w:sz w:val="24"/>
          <w:szCs w:val="24"/>
        </w:rPr>
        <w:t>: When agricultural output drops, Somalia is forced to import emergency food supplies, causing local capital to flow out of the country just as export earnings from livestock plunge.</w:t>
      </w:r>
    </w:p>
    <w:p w14:paraId="066EA0C2" w14:textId="77777777" w:rsidR="00D8010F" w:rsidRPr="00D8010F" w:rsidRDefault="00D8010F" w:rsidP="00D8010F">
      <w:pPr>
        <w:numPr>
          <w:ilvl w:val="0"/>
          <w:numId w:val="57"/>
        </w:numPr>
        <w:jc w:val="both"/>
        <w:rPr>
          <w:rFonts w:asciiTheme="majorBidi" w:hAnsiTheme="majorBidi" w:cstheme="majorBidi"/>
          <w:sz w:val="24"/>
          <w:szCs w:val="24"/>
        </w:rPr>
      </w:pPr>
      <w:r w:rsidRPr="00D8010F">
        <w:rPr>
          <w:rFonts w:asciiTheme="majorBidi" w:hAnsiTheme="majorBidi" w:cstheme="majorBidi"/>
          <w:b/>
          <w:bCs/>
          <w:sz w:val="24"/>
          <w:szCs w:val="24"/>
        </w:rPr>
        <w:t>The Post-Conflict Trap</w:t>
      </w:r>
      <w:r w:rsidRPr="00D8010F">
        <w:rPr>
          <w:rFonts w:asciiTheme="majorBidi" w:hAnsiTheme="majorBidi" w:cstheme="majorBidi"/>
          <w:sz w:val="24"/>
          <w:szCs w:val="24"/>
        </w:rPr>
        <w:t>: This pattern keeps rural populations locked in a cycle of poverty, draining public resources away from long-term infrastructure and back into short-term emergency relief.</w:t>
      </w:r>
    </w:p>
    <w:p w14:paraId="5D19F1A4" w14:textId="77777777" w:rsidR="00D8010F" w:rsidRPr="00D8010F" w:rsidRDefault="00D8010F" w:rsidP="00D8010F">
      <w:pPr>
        <w:jc w:val="both"/>
        <w:rPr>
          <w:rFonts w:asciiTheme="majorBidi" w:hAnsiTheme="majorBidi" w:cstheme="majorBidi"/>
          <w:b/>
          <w:bCs/>
          <w:sz w:val="24"/>
          <w:szCs w:val="24"/>
        </w:rPr>
      </w:pPr>
      <w:r w:rsidRPr="00D8010F">
        <w:rPr>
          <w:rFonts w:asciiTheme="majorBidi" w:hAnsiTheme="majorBidi" w:cstheme="majorBidi"/>
          <w:b/>
          <w:bCs/>
          <w:sz w:val="24"/>
          <w:szCs w:val="24"/>
        </w:rPr>
        <w:t>5.3.2 The Structural Credit Crunch</w:t>
      </w:r>
    </w:p>
    <w:p w14:paraId="4757FF23" w14:textId="77777777" w:rsidR="00D8010F" w:rsidRPr="00D8010F" w:rsidRDefault="00D8010F" w:rsidP="00D8010F">
      <w:pPr>
        <w:jc w:val="both"/>
        <w:rPr>
          <w:rFonts w:asciiTheme="majorBidi" w:hAnsiTheme="majorBidi" w:cstheme="majorBidi"/>
          <w:sz w:val="24"/>
          <w:szCs w:val="24"/>
        </w:rPr>
      </w:pPr>
      <w:r w:rsidRPr="00D8010F">
        <w:rPr>
          <w:rFonts w:asciiTheme="majorBidi" w:hAnsiTheme="majorBidi" w:cstheme="majorBidi"/>
          <w:sz w:val="24"/>
          <w:szCs w:val="24"/>
        </w:rPr>
        <w:t>While Somalia's commercial banking sector has modernized its compliance systems, it remains deeply disconnected from the credit needs of the real economy. Formal banking assets represent less than 5% of national GDP, meaning the formal financial sector is still too small to drive broad-based growth.</w:t>
      </w:r>
    </w:p>
    <w:p w14:paraId="7A00FB7D" w14:textId="4ADDAF38" w:rsidR="00D8010F" w:rsidRDefault="00D8010F" w:rsidP="004463C1">
      <w:pPr>
        <w:jc w:val="right"/>
        <w:rPr>
          <w:rFonts w:asciiTheme="majorBidi" w:hAnsiTheme="majorBidi" w:cstheme="majorBidi"/>
          <w:sz w:val="24"/>
          <w:szCs w:val="24"/>
        </w:rPr>
      </w:pPr>
      <w:r w:rsidRPr="00D8010F">
        <w:rPr>
          <w:rFonts w:asciiTheme="majorBidi" w:hAnsiTheme="majorBidi" w:cstheme="majorBidi"/>
          <w:noProof/>
          <w:sz w:val="24"/>
          <w:szCs w:val="24"/>
        </w:rPr>
        <w:drawing>
          <wp:inline distT="0" distB="0" distL="0" distR="0" wp14:anchorId="3597C2A6" wp14:editId="38002D69">
            <wp:extent cx="5731510" cy="2418080"/>
            <wp:effectExtent l="0" t="0" r="2540" b="1270"/>
            <wp:docPr id="11689831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983188" name=""/>
                    <pic:cNvPicPr/>
                  </pic:nvPicPr>
                  <pic:blipFill>
                    <a:blip r:embed="rId34"/>
                    <a:stretch>
                      <a:fillRect/>
                    </a:stretch>
                  </pic:blipFill>
                  <pic:spPr>
                    <a:xfrm>
                      <a:off x="0" y="0"/>
                      <a:ext cx="5731510" cy="2418080"/>
                    </a:xfrm>
                    <a:prstGeom prst="rect">
                      <a:avLst/>
                    </a:prstGeom>
                  </pic:spPr>
                </pic:pic>
              </a:graphicData>
            </a:graphic>
          </wp:inline>
        </w:drawing>
      </w:r>
    </w:p>
    <w:p w14:paraId="1E98FBD4" w14:textId="77777777" w:rsidR="00D8010F" w:rsidRPr="00D8010F" w:rsidRDefault="00D8010F" w:rsidP="00D8010F">
      <w:pPr>
        <w:jc w:val="both"/>
        <w:rPr>
          <w:rFonts w:asciiTheme="majorBidi" w:hAnsiTheme="majorBidi" w:cstheme="majorBidi"/>
          <w:sz w:val="24"/>
          <w:szCs w:val="24"/>
        </w:rPr>
      </w:pPr>
      <w:r w:rsidRPr="00D8010F">
        <w:rPr>
          <w:rFonts w:asciiTheme="majorBidi" w:hAnsiTheme="majorBidi" w:cstheme="majorBidi"/>
          <w:sz w:val="24"/>
          <w:szCs w:val="24"/>
        </w:rPr>
        <w:t>This credit gap creates a challenging environment for local businesses:</w:t>
      </w:r>
    </w:p>
    <w:p w14:paraId="6E01BB92" w14:textId="77777777" w:rsidR="00D8010F" w:rsidRPr="00D8010F" w:rsidRDefault="00D8010F" w:rsidP="00D8010F">
      <w:pPr>
        <w:numPr>
          <w:ilvl w:val="0"/>
          <w:numId w:val="58"/>
        </w:numPr>
        <w:jc w:val="both"/>
        <w:rPr>
          <w:rFonts w:asciiTheme="majorBidi" w:hAnsiTheme="majorBidi" w:cstheme="majorBidi"/>
          <w:sz w:val="24"/>
          <w:szCs w:val="24"/>
        </w:rPr>
      </w:pPr>
      <w:r w:rsidRPr="00D8010F">
        <w:rPr>
          <w:rFonts w:asciiTheme="majorBidi" w:hAnsiTheme="majorBidi" w:cstheme="majorBidi"/>
          <w:b/>
          <w:bCs/>
          <w:sz w:val="24"/>
          <w:szCs w:val="24"/>
        </w:rPr>
        <w:t>Risk-Averse Lending</w:t>
      </w:r>
      <w:r w:rsidRPr="00D8010F">
        <w:rPr>
          <w:rFonts w:asciiTheme="majorBidi" w:hAnsiTheme="majorBidi" w:cstheme="majorBidi"/>
          <w:sz w:val="24"/>
          <w:szCs w:val="24"/>
        </w:rPr>
        <w:t>: To protect themselves against default in a complex legal environment, commercial banks limit most of their lending to short-term, low-risk trade financing for established import-export firms.</w:t>
      </w:r>
    </w:p>
    <w:p w14:paraId="5385BBC9" w14:textId="77777777" w:rsidR="00D8010F" w:rsidRPr="00D8010F" w:rsidRDefault="00D8010F" w:rsidP="00D8010F">
      <w:pPr>
        <w:numPr>
          <w:ilvl w:val="0"/>
          <w:numId w:val="58"/>
        </w:numPr>
        <w:jc w:val="both"/>
        <w:rPr>
          <w:rFonts w:asciiTheme="majorBidi" w:hAnsiTheme="majorBidi" w:cstheme="majorBidi"/>
          <w:sz w:val="24"/>
          <w:szCs w:val="24"/>
        </w:rPr>
      </w:pPr>
      <w:r w:rsidRPr="00D8010F">
        <w:rPr>
          <w:rFonts w:asciiTheme="majorBidi" w:hAnsiTheme="majorBidi" w:cstheme="majorBidi"/>
          <w:b/>
          <w:bCs/>
          <w:sz w:val="24"/>
          <w:szCs w:val="24"/>
        </w:rPr>
        <w:t>The SME Funding Barrier</w:t>
      </w:r>
      <w:r w:rsidRPr="00D8010F">
        <w:rPr>
          <w:rFonts w:asciiTheme="majorBidi" w:hAnsiTheme="majorBidi" w:cstheme="majorBidi"/>
          <w:sz w:val="24"/>
          <w:szCs w:val="24"/>
        </w:rPr>
        <w:t>: Small and medium-sized enterprises (SMEs), which form the backbone of the domestic economy, are effectively cut off from formal credit because they lack traditional assets, like verified land titles, to use as collateral.</w:t>
      </w:r>
    </w:p>
    <w:p w14:paraId="4C81EFA7" w14:textId="77777777" w:rsidR="00D8010F" w:rsidRDefault="00D8010F" w:rsidP="00D8010F">
      <w:pPr>
        <w:numPr>
          <w:ilvl w:val="0"/>
          <w:numId w:val="58"/>
        </w:numPr>
        <w:jc w:val="both"/>
        <w:rPr>
          <w:rFonts w:asciiTheme="majorBidi" w:hAnsiTheme="majorBidi" w:cstheme="majorBidi"/>
          <w:sz w:val="24"/>
          <w:szCs w:val="24"/>
        </w:rPr>
      </w:pPr>
      <w:r w:rsidRPr="00D8010F">
        <w:rPr>
          <w:rFonts w:asciiTheme="majorBidi" w:hAnsiTheme="majorBidi" w:cstheme="majorBidi"/>
          <w:b/>
          <w:bCs/>
          <w:sz w:val="24"/>
          <w:szCs w:val="24"/>
        </w:rPr>
        <w:t>The Missing Investment Channel</w:t>
      </w:r>
      <w:r w:rsidRPr="00D8010F">
        <w:rPr>
          <w:rFonts w:asciiTheme="majorBidi" w:hAnsiTheme="majorBidi" w:cstheme="majorBidi"/>
          <w:sz w:val="24"/>
          <w:szCs w:val="24"/>
        </w:rPr>
        <w:t>: Without access to long-term capital, local businesses cannot invest in the machinery, cold-storage facilities, or processing plants needed to move Somalia up the global value chain.</w:t>
      </w:r>
    </w:p>
    <w:p w14:paraId="14F363F4" w14:textId="77777777" w:rsidR="004463C1" w:rsidRDefault="004463C1" w:rsidP="004463C1">
      <w:pPr>
        <w:jc w:val="both"/>
        <w:rPr>
          <w:rFonts w:asciiTheme="majorBidi" w:hAnsiTheme="majorBidi" w:cstheme="majorBidi"/>
          <w:sz w:val="24"/>
          <w:szCs w:val="24"/>
        </w:rPr>
      </w:pPr>
    </w:p>
    <w:p w14:paraId="4F91994A" w14:textId="77777777" w:rsidR="004463C1" w:rsidRDefault="004463C1" w:rsidP="004463C1">
      <w:pPr>
        <w:jc w:val="both"/>
        <w:rPr>
          <w:rFonts w:asciiTheme="majorBidi" w:hAnsiTheme="majorBidi" w:cstheme="majorBidi"/>
          <w:sz w:val="24"/>
          <w:szCs w:val="24"/>
        </w:rPr>
      </w:pPr>
    </w:p>
    <w:p w14:paraId="1FDA8F35" w14:textId="77777777" w:rsidR="004463C1" w:rsidRPr="00D8010F" w:rsidRDefault="004463C1" w:rsidP="004463C1">
      <w:pPr>
        <w:jc w:val="both"/>
        <w:rPr>
          <w:rFonts w:asciiTheme="majorBidi" w:hAnsiTheme="majorBidi" w:cstheme="majorBidi"/>
          <w:sz w:val="24"/>
          <w:szCs w:val="24"/>
        </w:rPr>
      </w:pPr>
    </w:p>
    <w:p w14:paraId="6190FB57" w14:textId="77777777" w:rsidR="00D8010F" w:rsidRPr="00D8010F" w:rsidRDefault="00D8010F" w:rsidP="00D8010F">
      <w:pPr>
        <w:jc w:val="both"/>
        <w:rPr>
          <w:rFonts w:asciiTheme="majorBidi" w:hAnsiTheme="majorBidi" w:cstheme="majorBidi"/>
          <w:b/>
          <w:bCs/>
          <w:sz w:val="24"/>
          <w:szCs w:val="24"/>
        </w:rPr>
      </w:pPr>
      <w:r w:rsidRPr="00D8010F">
        <w:rPr>
          <w:rFonts w:asciiTheme="majorBidi" w:hAnsiTheme="majorBidi" w:cstheme="majorBidi"/>
          <w:b/>
          <w:bCs/>
          <w:sz w:val="24"/>
          <w:szCs w:val="24"/>
        </w:rPr>
        <w:lastRenderedPageBreak/>
        <w:t>5.4 A Comparative Model for Future Research</w:t>
      </w:r>
    </w:p>
    <w:p w14:paraId="5C296C95" w14:textId="394530F7" w:rsidR="00D8010F" w:rsidRDefault="00D8010F" w:rsidP="004463C1">
      <w:pPr>
        <w:jc w:val="both"/>
        <w:rPr>
          <w:rFonts w:asciiTheme="majorBidi" w:hAnsiTheme="majorBidi" w:cstheme="majorBidi"/>
          <w:sz w:val="24"/>
          <w:szCs w:val="24"/>
        </w:rPr>
      </w:pPr>
      <w:r w:rsidRPr="00D8010F">
        <w:rPr>
          <w:rFonts w:asciiTheme="majorBidi" w:hAnsiTheme="majorBidi" w:cstheme="majorBidi"/>
          <w:sz w:val="24"/>
          <w:szCs w:val="24"/>
        </w:rPr>
        <w:t>To place Somalia's recovery in a broader global context, future research should compare its progress with other dollarized, post-conflict economies. The table below highlights how different nations have navigated these structural challenges:</w:t>
      </w:r>
    </w:p>
    <w:tbl>
      <w:tblPr>
        <w:tblStyle w:val="TableGrid"/>
        <w:tblW w:w="0" w:type="auto"/>
        <w:tblLook w:val="04A0" w:firstRow="1" w:lastRow="0" w:firstColumn="1" w:lastColumn="0" w:noHBand="0" w:noVBand="1"/>
      </w:tblPr>
      <w:tblGrid>
        <w:gridCol w:w="1696"/>
        <w:gridCol w:w="2812"/>
        <w:gridCol w:w="2254"/>
        <w:gridCol w:w="2254"/>
      </w:tblGrid>
      <w:tr w:rsidR="00D8010F" w14:paraId="18948BB0" w14:textId="77777777" w:rsidTr="00AF4170">
        <w:tc>
          <w:tcPr>
            <w:tcW w:w="1696" w:type="dxa"/>
          </w:tcPr>
          <w:p w14:paraId="41671470" w14:textId="54595835" w:rsidR="00D8010F" w:rsidRPr="00AF4170" w:rsidRDefault="00AF4170" w:rsidP="00AF4170">
            <w:pPr>
              <w:jc w:val="both"/>
              <w:rPr>
                <w:rFonts w:asciiTheme="majorBidi" w:hAnsiTheme="majorBidi" w:cstheme="majorBidi"/>
                <w:b/>
                <w:bCs/>
                <w:sz w:val="20"/>
                <w:szCs w:val="20"/>
              </w:rPr>
            </w:pPr>
            <w:r w:rsidRPr="00AF4170">
              <w:rPr>
                <w:rFonts w:asciiTheme="majorBidi" w:hAnsiTheme="majorBidi" w:cstheme="majorBidi"/>
                <w:b/>
                <w:bCs/>
                <w:sz w:val="20"/>
                <w:szCs w:val="20"/>
              </w:rPr>
              <w:t>Country</w:t>
            </w:r>
          </w:p>
        </w:tc>
        <w:tc>
          <w:tcPr>
            <w:tcW w:w="2812" w:type="dxa"/>
          </w:tcPr>
          <w:p w14:paraId="2A87D78B" w14:textId="67A6D399" w:rsidR="00D8010F" w:rsidRPr="00AF4170" w:rsidRDefault="00AF4170" w:rsidP="00AF4170">
            <w:pPr>
              <w:jc w:val="both"/>
              <w:rPr>
                <w:rFonts w:asciiTheme="majorBidi" w:hAnsiTheme="majorBidi" w:cstheme="majorBidi"/>
                <w:b/>
                <w:bCs/>
                <w:sz w:val="20"/>
                <w:szCs w:val="20"/>
              </w:rPr>
            </w:pPr>
            <w:r w:rsidRPr="00AF4170">
              <w:rPr>
                <w:rFonts w:asciiTheme="majorBidi" w:hAnsiTheme="majorBidi" w:cstheme="majorBidi"/>
                <w:b/>
                <w:bCs/>
                <w:sz w:val="20"/>
                <w:szCs w:val="20"/>
              </w:rPr>
              <w:t>Monetary Regime</w:t>
            </w:r>
          </w:p>
        </w:tc>
        <w:tc>
          <w:tcPr>
            <w:tcW w:w="2254" w:type="dxa"/>
          </w:tcPr>
          <w:p w14:paraId="3864B495" w14:textId="30873CA7" w:rsidR="00D8010F" w:rsidRPr="00AF4170" w:rsidRDefault="00AF4170" w:rsidP="00AF4170">
            <w:pPr>
              <w:jc w:val="both"/>
              <w:rPr>
                <w:rFonts w:asciiTheme="majorBidi" w:hAnsiTheme="majorBidi" w:cstheme="majorBidi"/>
                <w:b/>
                <w:bCs/>
                <w:sz w:val="20"/>
                <w:szCs w:val="20"/>
              </w:rPr>
            </w:pPr>
            <w:r w:rsidRPr="00AF4170">
              <w:rPr>
                <w:rFonts w:asciiTheme="majorBidi" w:hAnsiTheme="majorBidi" w:cstheme="majorBidi"/>
                <w:b/>
                <w:bCs/>
                <w:sz w:val="20"/>
                <w:szCs w:val="20"/>
              </w:rPr>
              <w:t>Primary Liquidity Anchor</w:t>
            </w:r>
          </w:p>
        </w:tc>
        <w:tc>
          <w:tcPr>
            <w:tcW w:w="2254" w:type="dxa"/>
          </w:tcPr>
          <w:p w14:paraId="0A707DBE" w14:textId="0457E114" w:rsidR="00D8010F" w:rsidRPr="00AF4170" w:rsidRDefault="00AF4170" w:rsidP="00AF4170">
            <w:pPr>
              <w:jc w:val="both"/>
              <w:rPr>
                <w:rFonts w:asciiTheme="majorBidi" w:hAnsiTheme="majorBidi" w:cstheme="majorBidi"/>
                <w:b/>
                <w:bCs/>
                <w:sz w:val="20"/>
                <w:szCs w:val="20"/>
              </w:rPr>
            </w:pPr>
            <w:r w:rsidRPr="00AF4170">
              <w:rPr>
                <w:rFonts w:asciiTheme="majorBidi" w:hAnsiTheme="majorBidi" w:cstheme="majorBidi"/>
                <w:b/>
                <w:bCs/>
                <w:sz w:val="20"/>
                <w:szCs w:val="20"/>
              </w:rPr>
              <w:t>Core Institutional Bottleneck</w:t>
            </w:r>
          </w:p>
        </w:tc>
      </w:tr>
      <w:tr w:rsidR="00D8010F" w14:paraId="4D62FFB5" w14:textId="77777777" w:rsidTr="00AF4170">
        <w:tc>
          <w:tcPr>
            <w:tcW w:w="1696" w:type="dxa"/>
          </w:tcPr>
          <w:p w14:paraId="15BF921E" w14:textId="39BB9D0E" w:rsidR="00D8010F" w:rsidRPr="00AF4170" w:rsidRDefault="00AF4170" w:rsidP="00AF4170">
            <w:pPr>
              <w:jc w:val="both"/>
              <w:rPr>
                <w:rFonts w:asciiTheme="majorBidi" w:hAnsiTheme="majorBidi" w:cstheme="majorBidi"/>
                <w:sz w:val="20"/>
                <w:szCs w:val="20"/>
              </w:rPr>
            </w:pPr>
            <w:r w:rsidRPr="00AF4170">
              <w:rPr>
                <w:rFonts w:asciiTheme="majorBidi" w:hAnsiTheme="majorBidi" w:cstheme="majorBidi"/>
                <w:sz w:val="20"/>
                <w:szCs w:val="20"/>
              </w:rPr>
              <w:t>Somalia</w:t>
            </w:r>
          </w:p>
        </w:tc>
        <w:tc>
          <w:tcPr>
            <w:tcW w:w="2812" w:type="dxa"/>
          </w:tcPr>
          <w:p w14:paraId="71553EB2" w14:textId="61953F44" w:rsidR="00D8010F" w:rsidRPr="00AF4170" w:rsidRDefault="00AF4170" w:rsidP="00AF4170">
            <w:pPr>
              <w:jc w:val="both"/>
              <w:rPr>
                <w:rFonts w:asciiTheme="majorBidi" w:hAnsiTheme="majorBidi" w:cstheme="majorBidi"/>
                <w:sz w:val="20"/>
                <w:szCs w:val="20"/>
              </w:rPr>
            </w:pPr>
            <w:r w:rsidRPr="00AF4170">
              <w:rPr>
                <w:rFonts w:asciiTheme="majorBidi" w:hAnsiTheme="majorBidi" w:cstheme="majorBidi"/>
                <w:sz w:val="20"/>
                <w:szCs w:val="20"/>
              </w:rPr>
              <w:t>De Facto Dollarization</w:t>
            </w:r>
          </w:p>
        </w:tc>
        <w:tc>
          <w:tcPr>
            <w:tcW w:w="2254" w:type="dxa"/>
          </w:tcPr>
          <w:p w14:paraId="6E531C89" w14:textId="6B6BE946" w:rsidR="00D8010F" w:rsidRPr="00AF4170" w:rsidRDefault="00AF4170" w:rsidP="00AF4170">
            <w:pPr>
              <w:jc w:val="both"/>
              <w:rPr>
                <w:rFonts w:asciiTheme="majorBidi" w:hAnsiTheme="majorBidi" w:cstheme="majorBidi"/>
                <w:sz w:val="20"/>
                <w:szCs w:val="20"/>
              </w:rPr>
            </w:pPr>
            <w:r w:rsidRPr="00AF4170">
              <w:rPr>
                <w:rFonts w:asciiTheme="majorBidi" w:hAnsiTheme="majorBidi" w:cstheme="majorBidi"/>
                <w:sz w:val="20"/>
                <w:szCs w:val="20"/>
              </w:rPr>
              <w:t>Diaspora Remittances &amp; Mobile Money</w:t>
            </w:r>
          </w:p>
        </w:tc>
        <w:tc>
          <w:tcPr>
            <w:tcW w:w="2254" w:type="dxa"/>
          </w:tcPr>
          <w:p w14:paraId="057AA6F0" w14:textId="5C039C1E" w:rsidR="00D8010F" w:rsidRPr="00AF4170" w:rsidRDefault="00AF4170" w:rsidP="00AF4170">
            <w:pPr>
              <w:jc w:val="both"/>
              <w:rPr>
                <w:rFonts w:asciiTheme="majorBidi" w:hAnsiTheme="majorBidi" w:cstheme="majorBidi"/>
                <w:sz w:val="20"/>
                <w:szCs w:val="20"/>
              </w:rPr>
            </w:pPr>
            <w:r w:rsidRPr="00AF4170">
              <w:rPr>
                <w:rFonts w:asciiTheme="majorBidi" w:hAnsiTheme="majorBidi" w:cstheme="majorBidi"/>
                <w:sz w:val="20"/>
                <w:szCs w:val="20"/>
              </w:rPr>
              <w:t>Building a fiscal federalist tax framework across regions.</w:t>
            </w:r>
          </w:p>
        </w:tc>
      </w:tr>
      <w:tr w:rsidR="00D8010F" w14:paraId="73B19F0E" w14:textId="77777777" w:rsidTr="00AF4170">
        <w:tc>
          <w:tcPr>
            <w:tcW w:w="1696" w:type="dxa"/>
          </w:tcPr>
          <w:p w14:paraId="69F89745" w14:textId="0F228FDA" w:rsidR="00D8010F" w:rsidRPr="00AF4170" w:rsidRDefault="00AF4170" w:rsidP="00AF4170">
            <w:pPr>
              <w:jc w:val="both"/>
              <w:rPr>
                <w:rFonts w:asciiTheme="majorBidi" w:hAnsiTheme="majorBidi" w:cstheme="majorBidi"/>
                <w:sz w:val="20"/>
                <w:szCs w:val="20"/>
              </w:rPr>
            </w:pPr>
            <w:r w:rsidRPr="00AF4170">
              <w:rPr>
                <w:rFonts w:asciiTheme="majorBidi" w:hAnsiTheme="majorBidi" w:cstheme="majorBidi"/>
                <w:sz w:val="20"/>
                <w:szCs w:val="20"/>
              </w:rPr>
              <w:t>Timor-Leste</w:t>
            </w:r>
          </w:p>
        </w:tc>
        <w:tc>
          <w:tcPr>
            <w:tcW w:w="2812" w:type="dxa"/>
          </w:tcPr>
          <w:p w14:paraId="00D02E14" w14:textId="6EBB3BC2" w:rsidR="00D8010F" w:rsidRPr="00AF4170" w:rsidRDefault="00AF4170" w:rsidP="00AF4170">
            <w:pPr>
              <w:jc w:val="both"/>
              <w:rPr>
                <w:rFonts w:asciiTheme="majorBidi" w:hAnsiTheme="majorBidi" w:cstheme="majorBidi"/>
                <w:sz w:val="20"/>
                <w:szCs w:val="20"/>
              </w:rPr>
            </w:pPr>
            <w:r w:rsidRPr="00AF4170">
              <w:rPr>
                <w:rFonts w:asciiTheme="majorBidi" w:hAnsiTheme="majorBidi" w:cstheme="majorBidi"/>
                <w:sz w:val="20"/>
                <w:szCs w:val="20"/>
              </w:rPr>
              <w:t>Official Dollarization</w:t>
            </w:r>
          </w:p>
        </w:tc>
        <w:tc>
          <w:tcPr>
            <w:tcW w:w="2254" w:type="dxa"/>
          </w:tcPr>
          <w:p w14:paraId="4D8459FB" w14:textId="579D3BCE" w:rsidR="00D8010F" w:rsidRPr="00AF4170" w:rsidRDefault="00AF4170" w:rsidP="00AF4170">
            <w:pPr>
              <w:jc w:val="both"/>
              <w:rPr>
                <w:rFonts w:asciiTheme="majorBidi" w:hAnsiTheme="majorBidi" w:cstheme="majorBidi"/>
                <w:sz w:val="20"/>
                <w:szCs w:val="20"/>
              </w:rPr>
            </w:pPr>
            <w:r w:rsidRPr="00AF4170">
              <w:rPr>
                <w:rFonts w:asciiTheme="majorBidi" w:hAnsiTheme="majorBidi" w:cstheme="majorBidi"/>
                <w:sz w:val="20"/>
                <w:szCs w:val="20"/>
              </w:rPr>
              <w:t>Petroleum Fund Oil Revenues</w:t>
            </w:r>
          </w:p>
        </w:tc>
        <w:tc>
          <w:tcPr>
            <w:tcW w:w="2254" w:type="dxa"/>
          </w:tcPr>
          <w:p w14:paraId="697CCC2C" w14:textId="6E2749F4" w:rsidR="00D8010F" w:rsidRPr="00AF4170" w:rsidRDefault="00AF4170" w:rsidP="00AF4170">
            <w:pPr>
              <w:jc w:val="both"/>
              <w:rPr>
                <w:rFonts w:asciiTheme="majorBidi" w:hAnsiTheme="majorBidi" w:cstheme="majorBidi"/>
                <w:sz w:val="20"/>
                <w:szCs w:val="20"/>
              </w:rPr>
            </w:pPr>
            <w:r w:rsidRPr="00AF4170">
              <w:rPr>
                <w:rFonts w:asciiTheme="majorBidi" w:hAnsiTheme="majorBidi" w:cstheme="majorBidi"/>
                <w:sz w:val="20"/>
                <w:szCs w:val="20"/>
              </w:rPr>
              <w:t>Diversifying the domestic economy away from oil dependence.</w:t>
            </w:r>
          </w:p>
        </w:tc>
      </w:tr>
      <w:tr w:rsidR="00AF4170" w14:paraId="76B77B0F" w14:textId="77777777" w:rsidTr="00AF4170">
        <w:tc>
          <w:tcPr>
            <w:tcW w:w="1696" w:type="dxa"/>
          </w:tcPr>
          <w:p w14:paraId="1A9FA1BA" w14:textId="42C1DE8E" w:rsidR="00AF4170" w:rsidRPr="00AF4170" w:rsidRDefault="00AF4170" w:rsidP="00AF4170">
            <w:pPr>
              <w:jc w:val="both"/>
              <w:rPr>
                <w:rFonts w:asciiTheme="majorBidi" w:hAnsiTheme="majorBidi" w:cstheme="majorBidi"/>
                <w:sz w:val="20"/>
                <w:szCs w:val="20"/>
              </w:rPr>
            </w:pPr>
            <w:r w:rsidRPr="00AF4170">
              <w:rPr>
                <w:rFonts w:asciiTheme="majorBidi" w:hAnsiTheme="majorBidi" w:cstheme="majorBidi"/>
                <w:sz w:val="20"/>
                <w:szCs w:val="20"/>
              </w:rPr>
              <w:t>Liberia</w:t>
            </w:r>
          </w:p>
        </w:tc>
        <w:tc>
          <w:tcPr>
            <w:tcW w:w="2812" w:type="dxa"/>
          </w:tcPr>
          <w:p w14:paraId="790C2D6A" w14:textId="313F655D" w:rsidR="00AF4170" w:rsidRPr="00AF4170" w:rsidRDefault="00AF4170" w:rsidP="00AF4170">
            <w:pPr>
              <w:jc w:val="both"/>
              <w:rPr>
                <w:rFonts w:asciiTheme="majorBidi" w:hAnsiTheme="majorBidi" w:cstheme="majorBidi"/>
                <w:sz w:val="20"/>
                <w:szCs w:val="20"/>
              </w:rPr>
            </w:pPr>
            <w:r w:rsidRPr="00AF4170">
              <w:rPr>
                <w:rFonts w:asciiTheme="majorBidi" w:hAnsiTheme="majorBidi" w:cstheme="majorBidi"/>
                <w:sz w:val="20"/>
                <w:szCs w:val="20"/>
              </w:rPr>
              <w:t>Dual Currency Regime</w:t>
            </w:r>
          </w:p>
        </w:tc>
        <w:tc>
          <w:tcPr>
            <w:tcW w:w="2254" w:type="dxa"/>
          </w:tcPr>
          <w:p w14:paraId="63373B55" w14:textId="7F94533B" w:rsidR="00AF4170" w:rsidRPr="00AF4170" w:rsidRDefault="00AF4170" w:rsidP="00AF4170">
            <w:pPr>
              <w:jc w:val="both"/>
              <w:rPr>
                <w:rFonts w:asciiTheme="majorBidi" w:hAnsiTheme="majorBidi" w:cstheme="majorBidi"/>
                <w:sz w:val="20"/>
                <w:szCs w:val="20"/>
              </w:rPr>
            </w:pPr>
            <w:r w:rsidRPr="00AF4170">
              <w:rPr>
                <w:rFonts w:asciiTheme="majorBidi" w:hAnsiTheme="majorBidi" w:cstheme="majorBidi"/>
                <w:sz w:val="20"/>
                <w:szCs w:val="20"/>
              </w:rPr>
              <w:t>Iron Ore, Rubber, &amp; Foreign Aid</w:t>
            </w:r>
          </w:p>
        </w:tc>
        <w:tc>
          <w:tcPr>
            <w:tcW w:w="2254" w:type="dxa"/>
          </w:tcPr>
          <w:p w14:paraId="58EC2796" w14:textId="0F19957F" w:rsidR="00AF4170" w:rsidRPr="00AF4170" w:rsidRDefault="00AF4170" w:rsidP="00AF4170">
            <w:pPr>
              <w:jc w:val="both"/>
              <w:rPr>
                <w:rFonts w:asciiTheme="majorBidi" w:hAnsiTheme="majorBidi" w:cstheme="majorBidi"/>
                <w:sz w:val="20"/>
                <w:szCs w:val="20"/>
              </w:rPr>
            </w:pPr>
            <w:r w:rsidRPr="00AF4170">
              <w:rPr>
                <w:rFonts w:asciiTheme="majorBidi" w:hAnsiTheme="majorBidi" w:cstheme="majorBidi"/>
                <w:sz w:val="20"/>
                <w:szCs w:val="20"/>
              </w:rPr>
              <w:t>Managing high inflation and exchange rate swings between currencies.</w:t>
            </w:r>
          </w:p>
        </w:tc>
      </w:tr>
    </w:tbl>
    <w:p w14:paraId="3CA1491F" w14:textId="77777777" w:rsidR="00D8010F" w:rsidRDefault="00D8010F" w:rsidP="001A0A4B">
      <w:pPr>
        <w:jc w:val="both"/>
        <w:rPr>
          <w:rFonts w:asciiTheme="majorBidi" w:hAnsiTheme="majorBidi" w:cstheme="majorBidi"/>
          <w:sz w:val="24"/>
          <w:szCs w:val="24"/>
        </w:rPr>
      </w:pPr>
    </w:p>
    <w:p w14:paraId="1791CFF2" w14:textId="7F3A64A4" w:rsidR="00AF4170" w:rsidRPr="001A0A4B" w:rsidRDefault="00AF4170" w:rsidP="00AF4170">
      <w:pPr>
        <w:jc w:val="both"/>
        <w:rPr>
          <w:rFonts w:asciiTheme="majorBidi" w:hAnsiTheme="majorBidi" w:cstheme="majorBidi"/>
          <w:sz w:val="24"/>
          <w:szCs w:val="24"/>
        </w:rPr>
      </w:pPr>
      <w:r w:rsidRPr="00AF4170">
        <w:rPr>
          <w:rFonts w:asciiTheme="majorBidi" w:hAnsiTheme="majorBidi" w:cstheme="majorBidi"/>
          <w:sz w:val="24"/>
          <w:szCs w:val="24"/>
        </w:rPr>
        <w:t>This comparison highlights the unique nature of the Somali model. Unlike Timor-Leste, which relied on centralized oil revenues, or Liberia, which used a dual-currency framework, Somalia built its stabilization platform on decentralized private infrastructure, mobile technology, and diaspora networks. The challenge moving forward is ensuring this private-led model can co-exist with a growing, formalized regulatory state.</w:t>
      </w:r>
    </w:p>
    <w:p w14:paraId="2C5A7E7A" w14:textId="77777777" w:rsidR="001A0A4B" w:rsidRPr="001A0A4B" w:rsidRDefault="001A0A4B" w:rsidP="001A0A4B">
      <w:pPr>
        <w:jc w:val="both"/>
        <w:rPr>
          <w:rFonts w:asciiTheme="majorBidi" w:hAnsiTheme="majorBidi" w:cstheme="majorBidi"/>
          <w:b/>
          <w:bCs/>
          <w:sz w:val="24"/>
          <w:szCs w:val="24"/>
        </w:rPr>
      </w:pPr>
      <w:r w:rsidRPr="001A0A4B">
        <w:rPr>
          <w:rFonts w:asciiTheme="majorBidi" w:hAnsiTheme="majorBidi" w:cstheme="majorBidi"/>
          <w:b/>
          <w:bCs/>
          <w:sz w:val="24"/>
          <w:szCs w:val="24"/>
        </w:rPr>
        <w:t>6.2 Recommendations</w:t>
      </w:r>
    </w:p>
    <w:p w14:paraId="042C7E99" w14:textId="77777777" w:rsidR="004463C1" w:rsidRPr="004463C1" w:rsidRDefault="004463C1" w:rsidP="004463C1">
      <w:pPr>
        <w:jc w:val="both"/>
        <w:rPr>
          <w:rFonts w:asciiTheme="majorBidi" w:hAnsiTheme="majorBidi" w:cstheme="majorBidi"/>
          <w:b/>
          <w:bCs/>
          <w:sz w:val="24"/>
          <w:szCs w:val="24"/>
        </w:rPr>
      </w:pPr>
      <w:r w:rsidRPr="004463C1">
        <w:rPr>
          <w:rFonts w:asciiTheme="majorBidi" w:hAnsiTheme="majorBidi" w:cstheme="majorBidi"/>
          <w:b/>
          <w:bCs/>
          <w:sz w:val="24"/>
          <w:szCs w:val="24"/>
        </w:rPr>
        <w:t>1. The Fiscal Stabilization Model: Revenue Mobilization &amp; Expenditure Control</w:t>
      </w:r>
    </w:p>
    <w:p w14:paraId="3A015D3E" w14:textId="031FE18A" w:rsidR="004463C1" w:rsidRPr="004463C1" w:rsidRDefault="004463C1" w:rsidP="004463C1">
      <w:pPr>
        <w:jc w:val="both"/>
        <w:rPr>
          <w:rFonts w:asciiTheme="majorBidi" w:hAnsiTheme="majorBidi" w:cstheme="majorBidi"/>
          <w:sz w:val="24"/>
          <w:szCs w:val="24"/>
        </w:rPr>
      </w:pPr>
      <w:r w:rsidRPr="004463C1">
        <w:rPr>
          <w:rFonts w:asciiTheme="majorBidi" w:hAnsiTheme="majorBidi" w:cstheme="majorBidi"/>
          <w:sz w:val="24"/>
          <w:szCs w:val="24"/>
        </w:rPr>
        <w:t xml:space="preserve">In developing and fragile economies, the primary goal of the fiscal stabilization model is to build local state capacity and reduce extreme dependency on volatile official development assistance (ODA). </w:t>
      </w:r>
    </w:p>
    <w:p w14:paraId="6162ED10" w14:textId="0F4F92AB" w:rsidR="004463C1" w:rsidRPr="004463C1" w:rsidRDefault="004463C1" w:rsidP="004463C1">
      <w:pPr>
        <w:numPr>
          <w:ilvl w:val="0"/>
          <w:numId w:val="59"/>
        </w:numPr>
        <w:jc w:val="both"/>
        <w:rPr>
          <w:rFonts w:asciiTheme="majorBidi" w:hAnsiTheme="majorBidi" w:cstheme="majorBidi"/>
          <w:sz w:val="24"/>
          <w:szCs w:val="24"/>
        </w:rPr>
      </w:pPr>
      <w:r w:rsidRPr="004463C1">
        <w:rPr>
          <w:rFonts w:asciiTheme="majorBidi" w:hAnsiTheme="majorBidi" w:cstheme="majorBidi"/>
          <w:sz w:val="24"/>
          <w:szCs w:val="24"/>
        </w:rPr>
        <w:t xml:space="preserve">Tax Base Expansion &amp; Customs Modernization: Rather than raising tax rates—which stifles informal markets—the focus is on modernizing tax administration. Somalia’s implementation of its </w:t>
      </w:r>
      <w:r w:rsidRPr="004463C1">
        <w:rPr>
          <w:rFonts w:asciiTheme="majorBidi" w:hAnsiTheme="majorBidi" w:cstheme="majorBidi"/>
          <w:i/>
          <w:iCs/>
          <w:sz w:val="24"/>
          <w:szCs w:val="24"/>
        </w:rPr>
        <w:t>Medium-Term Revenue Roadmap</w:t>
      </w:r>
      <w:r w:rsidRPr="004463C1">
        <w:rPr>
          <w:rFonts w:asciiTheme="majorBidi" w:hAnsiTheme="majorBidi" w:cstheme="majorBidi"/>
          <w:sz w:val="24"/>
          <w:szCs w:val="24"/>
        </w:rPr>
        <w:t xml:space="preserve"> and </w:t>
      </w:r>
      <w:r w:rsidRPr="004463C1">
        <w:rPr>
          <w:rFonts w:asciiTheme="majorBidi" w:hAnsiTheme="majorBidi" w:cstheme="majorBidi"/>
          <w:i/>
          <w:iCs/>
          <w:sz w:val="24"/>
          <w:szCs w:val="24"/>
        </w:rPr>
        <w:t>Income Tax Law</w:t>
      </w:r>
      <w:r w:rsidRPr="004463C1">
        <w:rPr>
          <w:rFonts w:asciiTheme="majorBidi" w:hAnsiTheme="majorBidi" w:cstheme="majorBidi"/>
          <w:sz w:val="24"/>
          <w:szCs w:val="24"/>
        </w:rPr>
        <w:t xml:space="preserve"> aims to raise domestic revenue to $471 million. Much of this is driven by automation and automation-backed customs collection at major maritime gateways like the Mogadishu port, where revenue collections spiked by 30% post-HIPC. </w:t>
      </w:r>
    </w:p>
    <w:p w14:paraId="2B2D5AFA" w14:textId="7C890CB0" w:rsidR="004463C1" w:rsidRPr="004463C1" w:rsidRDefault="004463C1" w:rsidP="004463C1">
      <w:pPr>
        <w:numPr>
          <w:ilvl w:val="0"/>
          <w:numId w:val="59"/>
        </w:numPr>
        <w:jc w:val="both"/>
        <w:rPr>
          <w:rFonts w:asciiTheme="majorBidi" w:hAnsiTheme="majorBidi" w:cstheme="majorBidi"/>
          <w:sz w:val="24"/>
          <w:szCs w:val="24"/>
        </w:rPr>
      </w:pPr>
      <w:r w:rsidRPr="004463C1">
        <w:rPr>
          <w:rFonts w:asciiTheme="majorBidi" w:hAnsiTheme="majorBidi" w:cstheme="majorBidi"/>
          <w:sz w:val="24"/>
          <w:szCs w:val="24"/>
        </w:rPr>
        <w:t>The Fiscal Federalism Framework: Stabilization requires a structured consensus between the central government and federal member states. A formalized framework for resource- and tax-sharing ensures economic cohesion, lowers regional political risk, and improves the overall ease of doing business. [</w:t>
      </w:r>
    </w:p>
    <w:p w14:paraId="0607EC56" w14:textId="173A791E" w:rsidR="004463C1" w:rsidRPr="004463C1" w:rsidRDefault="004463C1" w:rsidP="004463C1">
      <w:pPr>
        <w:numPr>
          <w:ilvl w:val="0"/>
          <w:numId w:val="59"/>
        </w:numPr>
        <w:jc w:val="both"/>
        <w:rPr>
          <w:rFonts w:asciiTheme="majorBidi" w:hAnsiTheme="majorBidi" w:cstheme="majorBidi"/>
          <w:sz w:val="24"/>
          <w:szCs w:val="24"/>
        </w:rPr>
      </w:pPr>
      <w:r w:rsidRPr="004463C1">
        <w:rPr>
          <w:rFonts w:asciiTheme="majorBidi" w:hAnsiTheme="majorBidi" w:cstheme="majorBidi"/>
          <w:sz w:val="24"/>
          <w:szCs w:val="24"/>
        </w:rPr>
        <w:t>Disciplined Expenditure Control: On the spending side, stabilization models prioritize cutting down overextended public wage bills to prevent the "crowding out" of critical capital investments. Concurrently, the FGS has achieved an important milestone by budgeting domestic funds for localized social safety nets and public services rather than leaving them 100% reliant on external donors.</w:t>
      </w:r>
    </w:p>
    <w:p w14:paraId="7902459A" w14:textId="77777777" w:rsidR="004463C1" w:rsidRPr="004463C1" w:rsidRDefault="004463C1" w:rsidP="004463C1">
      <w:pPr>
        <w:jc w:val="both"/>
        <w:rPr>
          <w:rFonts w:asciiTheme="majorBidi" w:hAnsiTheme="majorBidi" w:cstheme="majorBidi"/>
          <w:b/>
          <w:bCs/>
          <w:sz w:val="24"/>
          <w:szCs w:val="24"/>
        </w:rPr>
      </w:pPr>
      <w:r w:rsidRPr="004463C1">
        <w:rPr>
          <w:rFonts w:asciiTheme="majorBidi" w:hAnsiTheme="majorBidi" w:cstheme="majorBidi"/>
          <w:b/>
          <w:bCs/>
          <w:sz w:val="24"/>
          <w:szCs w:val="24"/>
        </w:rPr>
        <w:lastRenderedPageBreak/>
        <w:t>2. The Monetary Stabilization Model: Gradual De-dollarization</w:t>
      </w:r>
    </w:p>
    <w:p w14:paraId="67352525" w14:textId="210CC34E" w:rsidR="004463C1" w:rsidRPr="004463C1" w:rsidRDefault="004463C1" w:rsidP="004463C1">
      <w:pPr>
        <w:jc w:val="both"/>
        <w:rPr>
          <w:rFonts w:asciiTheme="majorBidi" w:hAnsiTheme="majorBidi" w:cstheme="majorBidi"/>
          <w:sz w:val="24"/>
          <w:szCs w:val="24"/>
        </w:rPr>
      </w:pPr>
      <w:r w:rsidRPr="004463C1">
        <w:rPr>
          <w:rFonts w:asciiTheme="majorBidi" w:hAnsiTheme="majorBidi" w:cstheme="majorBidi"/>
          <w:sz w:val="24"/>
          <w:szCs w:val="24"/>
        </w:rPr>
        <w:t>Somalia operates under a highly de facto dollarized ecosystem, which severely limits traditional monetary policy transmission. The monetary model deployed here emphasizes a highly structured sequence: building framework resilience before executing currency reform.</w:t>
      </w:r>
    </w:p>
    <w:p w14:paraId="7CDEF48C" w14:textId="36B205CD" w:rsidR="004463C1" w:rsidRPr="004463C1" w:rsidRDefault="004463C1" w:rsidP="004463C1">
      <w:pPr>
        <w:numPr>
          <w:ilvl w:val="0"/>
          <w:numId w:val="60"/>
        </w:numPr>
        <w:jc w:val="both"/>
        <w:rPr>
          <w:rFonts w:asciiTheme="majorBidi" w:hAnsiTheme="majorBidi" w:cstheme="majorBidi"/>
          <w:sz w:val="24"/>
          <w:szCs w:val="24"/>
        </w:rPr>
      </w:pPr>
      <w:r w:rsidRPr="004463C1">
        <w:rPr>
          <w:rFonts w:asciiTheme="majorBidi" w:hAnsiTheme="majorBidi" w:cstheme="majorBidi"/>
          <w:sz w:val="24"/>
          <w:szCs w:val="24"/>
        </w:rPr>
        <w:t xml:space="preserve">Pragmatic Sequencing via a Currency Board: For developing nations with thin central bank institutional capacity, an immediate float of a new currency is dangerous. The </w:t>
      </w:r>
      <w:hyperlink r:id="rId35" w:tgtFrame="_blank" w:history="1">
        <w:r w:rsidRPr="004463C1">
          <w:rPr>
            <w:rStyle w:val="Hyperlink"/>
            <w:rFonts w:asciiTheme="majorBidi" w:hAnsiTheme="majorBidi" w:cstheme="majorBidi"/>
            <w:sz w:val="24"/>
            <w:szCs w:val="24"/>
          </w:rPr>
          <w:t>Central Bank of Somalia (CBS)</w:t>
        </w:r>
      </w:hyperlink>
      <w:r w:rsidRPr="004463C1">
        <w:rPr>
          <w:rFonts w:asciiTheme="majorBidi" w:hAnsiTheme="majorBidi" w:cstheme="majorBidi"/>
          <w:sz w:val="24"/>
          <w:szCs w:val="24"/>
        </w:rPr>
        <w:t xml:space="preserve"> is preparing a phased reintroduction of the Somali Shilling, anchored by a strict Currency Board Arrangement. This model mandates that any newly printed local currency must be 100% backed by foreign reserves, assuring immediate public trust and price stability. </w:t>
      </w:r>
    </w:p>
    <w:p w14:paraId="1058A595" w14:textId="64B914D7" w:rsidR="004463C1" w:rsidRPr="004463C1" w:rsidRDefault="004463C1" w:rsidP="004463C1">
      <w:pPr>
        <w:numPr>
          <w:ilvl w:val="0"/>
          <w:numId w:val="60"/>
        </w:numPr>
        <w:jc w:val="both"/>
        <w:rPr>
          <w:rFonts w:asciiTheme="majorBidi" w:hAnsiTheme="majorBidi" w:cstheme="majorBidi"/>
          <w:sz w:val="24"/>
          <w:szCs w:val="24"/>
        </w:rPr>
      </w:pPr>
      <w:r w:rsidRPr="004463C1">
        <w:rPr>
          <w:rFonts w:asciiTheme="majorBidi" w:hAnsiTheme="majorBidi" w:cstheme="majorBidi"/>
          <w:sz w:val="24"/>
          <w:szCs w:val="24"/>
        </w:rPr>
        <w:t xml:space="preserve">Systemic Financial Oversight: The establishment of a Financial Stability Committee introduces macroprudential tools to oversee banks, money transfer businesses (Hawalas), and mobile money providers. Mobile money is utilized by nearly three-quarters of the population; bringing it into formal regulatory oversight via e-KYC and national ID rollouts helps mitigate Anti-Money Laundering and Counter-Terrorism Financing (AML/CFT) risks. </w:t>
      </w:r>
    </w:p>
    <w:p w14:paraId="33D50F62" w14:textId="77777777" w:rsidR="004463C1" w:rsidRPr="004463C1" w:rsidRDefault="004463C1" w:rsidP="004463C1">
      <w:pPr>
        <w:jc w:val="both"/>
        <w:rPr>
          <w:rFonts w:asciiTheme="majorBidi" w:hAnsiTheme="majorBidi" w:cstheme="majorBidi"/>
          <w:b/>
          <w:bCs/>
          <w:sz w:val="24"/>
          <w:szCs w:val="24"/>
        </w:rPr>
      </w:pPr>
      <w:r w:rsidRPr="004463C1">
        <w:rPr>
          <w:rFonts w:asciiTheme="majorBidi" w:hAnsiTheme="majorBidi" w:cstheme="majorBidi"/>
          <w:b/>
          <w:bCs/>
          <w:sz w:val="24"/>
          <w:szCs w:val="24"/>
        </w:rPr>
        <w:t>3. Structural &amp; Shock-Responsive Reforms</w:t>
      </w:r>
    </w:p>
    <w:p w14:paraId="0FBBFCAB" w14:textId="745AB1D5" w:rsidR="004463C1" w:rsidRPr="004463C1" w:rsidRDefault="004463C1" w:rsidP="004463C1">
      <w:pPr>
        <w:jc w:val="both"/>
        <w:rPr>
          <w:rFonts w:asciiTheme="majorBidi" w:hAnsiTheme="majorBidi" w:cstheme="majorBidi"/>
          <w:sz w:val="24"/>
          <w:szCs w:val="24"/>
        </w:rPr>
      </w:pPr>
      <w:r w:rsidRPr="004463C1">
        <w:rPr>
          <w:rFonts w:asciiTheme="majorBidi" w:hAnsiTheme="majorBidi" w:cstheme="majorBidi"/>
          <w:sz w:val="24"/>
          <w:szCs w:val="24"/>
        </w:rPr>
        <w:t xml:space="preserve">Stabilization models cannot rely purely on balance-sheet mathematics; they must absorb real-world externalities like climate and security shocks. </w:t>
      </w:r>
    </w:p>
    <w:p w14:paraId="39D8EC56" w14:textId="7E1F051A" w:rsidR="004463C1" w:rsidRPr="004463C1" w:rsidRDefault="004463C1" w:rsidP="004463C1">
      <w:pPr>
        <w:numPr>
          <w:ilvl w:val="0"/>
          <w:numId w:val="61"/>
        </w:numPr>
        <w:jc w:val="both"/>
        <w:rPr>
          <w:rFonts w:asciiTheme="majorBidi" w:hAnsiTheme="majorBidi" w:cstheme="majorBidi"/>
          <w:sz w:val="24"/>
          <w:szCs w:val="24"/>
        </w:rPr>
      </w:pPr>
      <w:r w:rsidRPr="004463C1">
        <w:rPr>
          <w:rFonts w:asciiTheme="majorBidi" w:hAnsiTheme="majorBidi" w:cstheme="majorBidi"/>
          <w:sz w:val="24"/>
          <w:szCs w:val="24"/>
        </w:rPr>
        <w:t xml:space="preserve">Mitigating Foreign Aid Vulnerabilities: Heavy reliance on international grants exposes developing economies to budgetary shortfalls when donor priorities shift. For example, when foreign aid cuts dampened Somalia's GDP growth projections down to 3.3%, the government utilized an augmented IMF ECF allocation (~$40 million additional boost) to act as a counter-cyclical buffer. </w:t>
      </w:r>
    </w:p>
    <w:p w14:paraId="51EF6C45" w14:textId="020EF015" w:rsidR="004463C1" w:rsidRPr="004463C1" w:rsidRDefault="004463C1" w:rsidP="004463C1">
      <w:pPr>
        <w:numPr>
          <w:ilvl w:val="0"/>
          <w:numId w:val="61"/>
        </w:numPr>
        <w:jc w:val="both"/>
        <w:rPr>
          <w:rFonts w:asciiTheme="majorBidi" w:hAnsiTheme="majorBidi" w:cstheme="majorBidi"/>
          <w:sz w:val="24"/>
          <w:szCs w:val="24"/>
        </w:rPr>
      </w:pPr>
      <w:r w:rsidRPr="004463C1">
        <w:rPr>
          <w:rFonts w:asciiTheme="majorBidi" w:hAnsiTheme="majorBidi" w:cstheme="majorBidi"/>
          <w:sz w:val="24"/>
          <w:szCs w:val="24"/>
        </w:rPr>
        <w:t>Climate-Smart Economic Diversification: Macroeconomic planning in developing countries must integrate climate resilience directly into growth targets. Somalia’s structural focus includes expanding microfinance lines, developing index-based drought insurance for pastoralists, and executing a power master plan to transition away from expensive diesel generators toward renewable energy.</w:t>
      </w:r>
    </w:p>
    <w:p w14:paraId="6919626A" w14:textId="46217E80" w:rsidR="004463C1" w:rsidRPr="004463C1" w:rsidRDefault="004463C1" w:rsidP="004463C1">
      <w:pPr>
        <w:numPr>
          <w:ilvl w:val="0"/>
          <w:numId w:val="61"/>
        </w:numPr>
        <w:jc w:val="both"/>
        <w:rPr>
          <w:rFonts w:asciiTheme="majorBidi" w:hAnsiTheme="majorBidi" w:cstheme="majorBidi"/>
          <w:sz w:val="24"/>
          <w:szCs w:val="24"/>
        </w:rPr>
      </w:pPr>
      <w:r w:rsidRPr="004463C1">
        <w:rPr>
          <w:rFonts w:asciiTheme="majorBidi" w:hAnsiTheme="majorBidi" w:cstheme="majorBidi"/>
          <w:sz w:val="24"/>
          <w:szCs w:val="24"/>
        </w:rPr>
        <w:t xml:space="preserve">Investment Governance and Legal Frameworks: Securing full debt relief allows nations to pivot from survival mode to market competition. Somalia’s integration into the East African Community (EAC) and its implementation of rigid transparency frameworks—such as the extractive industries legal framework for petroleum—serve to protect investor property rights and attract long-term, non-debt-creating Foreign Direct Investment (FDI). </w:t>
      </w:r>
    </w:p>
    <w:p w14:paraId="5806217F" w14:textId="77777777" w:rsidR="004463C1" w:rsidRDefault="004463C1" w:rsidP="001A0A4B">
      <w:pPr>
        <w:jc w:val="both"/>
        <w:rPr>
          <w:rFonts w:asciiTheme="majorBidi" w:hAnsiTheme="majorBidi" w:cstheme="majorBidi"/>
          <w:b/>
          <w:bCs/>
          <w:sz w:val="24"/>
          <w:szCs w:val="24"/>
        </w:rPr>
      </w:pPr>
    </w:p>
    <w:p w14:paraId="743A2467" w14:textId="77777777" w:rsidR="004463C1" w:rsidRDefault="004463C1" w:rsidP="001A0A4B">
      <w:pPr>
        <w:jc w:val="both"/>
        <w:rPr>
          <w:rFonts w:asciiTheme="majorBidi" w:hAnsiTheme="majorBidi" w:cstheme="majorBidi"/>
          <w:b/>
          <w:bCs/>
          <w:sz w:val="24"/>
          <w:szCs w:val="24"/>
        </w:rPr>
      </w:pPr>
    </w:p>
    <w:p w14:paraId="34EE5660" w14:textId="77777777" w:rsidR="004463C1" w:rsidRDefault="004463C1" w:rsidP="001A0A4B">
      <w:pPr>
        <w:jc w:val="both"/>
        <w:rPr>
          <w:rFonts w:asciiTheme="majorBidi" w:hAnsiTheme="majorBidi" w:cstheme="majorBidi"/>
          <w:b/>
          <w:bCs/>
          <w:sz w:val="24"/>
          <w:szCs w:val="24"/>
        </w:rPr>
      </w:pPr>
    </w:p>
    <w:p w14:paraId="2B9AA6EA" w14:textId="77777777" w:rsidR="004463C1" w:rsidRDefault="004463C1" w:rsidP="001A0A4B">
      <w:pPr>
        <w:jc w:val="both"/>
        <w:rPr>
          <w:rFonts w:asciiTheme="majorBidi" w:hAnsiTheme="majorBidi" w:cstheme="majorBidi"/>
          <w:b/>
          <w:bCs/>
          <w:sz w:val="24"/>
          <w:szCs w:val="24"/>
        </w:rPr>
      </w:pPr>
    </w:p>
    <w:p w14:paraId="665B4456" w14:textId="6298C8CC" w:rsidR="002A5F45" w:rsidRPr="002A5F45" w:rsidRDefault="002A5F45" w:rsidP="002A5F45">
      <w:pPr>
        <w:jc w:val="both"/>
        <w:rPr>
          <w:rFonts w:asciiTheme="majorBidi" w:hAnsiTheme="majorBidi" w:cstheme="majorBidi"/>
          <w:b/>
          <w:bCs/>
          <w:sz w:val="24"/>
          <w:szCs w:val="24"/>
        </w:rPr>
      </w:pPr>
      <w:r>
        <w:rPr>
          <w:rFonts w:asciiTheme="majorBidi" w:hAnsiTheme="majorBidi" w:cstheme="majorBidi"/>
          <w:b/>
          <w:bCs/>
          <w:sz w:val="24"/>
          <w:szCs w:val="24"/>
        </w:rPr>
        <w:lastRenderedPageBreak/>
        <w:t>4</w:t>
      </w:r>
      <w:r w:rsidRPr="002A5F45">
        <w:rPr>
          <w:rFonts w:asciiTheme="majorBidi" w:hAnsiTheme="majorBidi" w:cstheme="majorBidi"/>
          <w:b/>
          <w:bCs/>
          <w:sz w:val="24"/>
          <w:szCs w:val="24"/>
        </w:rPr>
        <w:t>. IMF Extended Credit Facility (ECF) Structural Benchmarks</w:t>
      </w:r>
    </w:p>
    <w:p w14:paraId="565977AD" w14:textId="5A783A6D" w:rsidR="002A5F45" w:rsidRPr="002A5F45" w:rsidRDefault="002A5F45" w:rsidP="002A5F45">
      <w:pPr>
        <w:jc w:val="both"/>
        <w:rPr>
          <w:rFonts w:asciiTheme="majorBidi" w:hAnsiTheme="majorBidi" w:cstheme="majorBidi"/>
          <w:sz w:val="24"/>
          <w:szCs w:val="24"/>
        </w:rPr>
      </w:pPr>
      <w:r w:rsidRPr="002A5F45">
        <w:rPr>
          <w:rFonts w:asciiTheme="majorBidi" w:hAnsiTheme="majorBidi" w:cstheme="majorBidi"/>
          <w:sz w:val="24"/>
          <w:szCs w:val="24"/>
        </w:rPr>
        <w:t xml:space="preserve">To guide economic stabilization, the IMF leverages targeted Structural Benchmarks (SBs) under the Extended Credit Facility (ECF) arrangement. These conditions serve as actionable steps for strengthening financial, fiscal, and institutional integrity. </w:t>
      </w:r>
    </w:p>
    <w:p w14:paraId="4150F8EC" w14:textId="77777777" w:rsidR="002A5F45" w:rsidRPr="002A5F45" w:rsidRDefault="002A5F45" w:rsidP="002A5F45">
      <w:pPr>
        <w:jc w:val="both"/>
        <w:rPr>
          <w:rFonts w:asciiTheme="majorBidi" w:hAnsiTheme="majorBidi" w:cstheme="majorBidi"/>
          <w:b/>
          <w:bCs/>
          <w:sz w:val="24"/>
          <w:szCs w:val="24"/>
        </w:rPr>
      </w:pPr>
      <w:r w:rsidRPr="002A5F45">
        <w:rPr>
          <w:rFonts w:asciiTheme="majorBidi" w:hAnsiTheme="majorBidi" w:cstheme="majorBidi"/>
          <w:b/>
          <w:bCs/>
          <w:sz w:val="24"/>
          <w:szCs w:val="24"/>
        </w:rPr>
        <w:t>Fiscal Revenue Mobilization</w:t>
      </w:r>
    </w:p>
    <w:p w14:paraId="5A6A3DBD" w14:textId="77777777" w:rsidR="002A5F45" w:rsidRPr="002A5F45" w:rsidRDefault="002A5F45" w:rsidP="002A5F45">
      <w:pPr>
        <w:numPr>
          <w:ilvl w:val="0"/>
          <w:numId w:val="62"/>
        </w:numPr>
        <w:jc w:val="both"/>
        <w:rPr>
          <w:rFonts w:asciiTheme="majorBidi" w:hAnsiTheme="majorBidi" w:cstheme="majorBidi"/>
          <w:sz w:val="24"/>
          <w:szCs w:val="24"/>
        </w:rPr>
      </w:pPr>
      <w:r w:rsidRPr="002A5F45">
        <w:rPr>
          <w:rFonts w:asciiTheme="majorBidi" w:hAnsiTheme="majorBidi" w:cstheme="majorBidi"/>
          <w:sz w:val="24"/>
          <w:szCs w:val="24"/>
        </w:rPr>
        <w:t>Transition to Ad Valorem Tariffs: A critical IMF benchmark involves moving customs valuations at major ports away from legacy flat-rate charges toward transparent invoice values. This transition includes publishing an operational technical plan for the ad valorem rollout.</w:t>
      </w:r>
    </w:p>
    <w:p w14:paraId="38CF6ADB" w14:textId="0F25CC5F" w:rsidR="002A5F45" w:rsidRPr="002A5F45" w:rsidRDefault="002A5F45" w:rsidP="002A5F45">
      <w:pPr>
        <w:numPr>
          <w:ilvl w:val="0"/>
          <w:numId w:val="62"/>
        </w:numPr>
        <w:jc w:val="both"/>
        <w:rPr>
          <w:rFonts w:asciiTheme="majorBidi" w:hAnsiTheme="majorBidi" w:cstheme="majorBidi"/>
          <w:sz w:val="24"/>
          <w:szCs w:val="24"/>
        </w:rPr>
      </w:pPr>
      <w:r w:rsidRPr="002A5F45">
        <w:rPr>
          <w:rFonts w:asciiTheme="majorBidi" w:hAnsiTheme="majorBidi" w:cstheme="majorBidi"/>
          <w:sz w:val="24"/>
          <w:szCs w:val="24"/>
        </w:rPr>
        <w:t xml:space="preserve">Enforcing the Income Tax Law: The IMF mandates expanding the tax base through targeted domestic revenue measures. These include deploying centralized inspection teams to improve customs duty enforcement and increase domestic revenues. </w:t>
      </w:r>
    </w:p>
    <w:p w14:paraId="08431C51" w14:textId="77777777" w:rsidR="002A5F45" w:rsidRPr="002A5F45" w:rsidRDefault="002A5F45" w:rsidP="002A5F45">
      <w:pPr>
        <w:jc w:val="both"/>
        <w:rPr>
          <w:rFonts w:asciiTheme="majorBidi" w:hAnsiTheme="majorBidi" w:cstheme="majorBidi"/>
          <w:b/>
          <w:bCs/>
          <w:sz w:val="24"/>
          <w:szCs w:val="24"/>
        </w:rPr>
      </w:pPr>
      <w:r w:rsidRPr="002A5F45">
        <w:rPr>
          <w:rFonts w:asciiTheme="majorBidi" w:hAnsiTheme="majorBidi" w:cstheme="majorBidi"/>
          <w:b/>
          <w:bCs/>
          <w:sz w:val="24"/>
          <w:szCs w:val="24"/>
        </w:rPr>
        <w:t>Public Financial Management (PFM) Governance</w:t>
      </w:r>
    </w:p>
    <w:p w14:paraId="11A21137" w14:textId="77777777" w:rsidR="002A5F45" w:rsidRPr="002A5F45" w:rsidRDefault="002A5F45" w:rsidP="002A5F45">
      <w:pPr>
        <w:numPr>
          <w:ilvl w:val="0"/>
          <w:numId w:val="63"/>
        </w:numPr>
        <w:jc w:val="both"/>
        <w:rPr>
          <w:rFonts w:asciiTheme="majorBidi" w:hAnsiTheme="majorBidi" w:cstheme="majorBidi"/>
          <w:sz w:val="24"/>
          <w:szCs w:val="24"/>
        </w:rPr>
      </w:pPr>
      <w:r w:rsidRPr="002A5F45">
        <w:rPr>
          <w:rFonts w:asciiTheme="majorBidi" w:hAnsiTheme="majorBidi" w:cstheme="majorBidi"/>
          <w:sz w:val="24"/>
          <w:szCs w:val="24"/>
        </w:rPr>
        <w:t>Pay and Grade Policy Implementation: A key PFM requirement is developing and enacting a unified roadmap for a public service Pay and Grade policy. This structural control caps the public wage bill, eliminates ghost workers via biometric registration, and limits unbudgeted operational spending.</w:t>
      </w:r>
    </w:p>
    <w:p w14:paraId="117B30E4" w14:textId="59D9941D" w:rsidR="002A5F45" w:rsidRPr="002A5F45" w:rsidRDefault="002A5F45" w:rsidP="002A5F45">
      <w:pPr>
        <w:numPr>
          <w:ilvl w:val="0"/>
          <w:numId w:val="63"/>
        </w:numPr>
        <w:jc w:val="both"/>
        <w:rPr>
          <w:rFonts w:asciiTheme="majorBidi" w:hAnsiTheme="majorBidi" w:cstheme="majorBidi"/>
          <w:sz w:val="24"/>
          <w:szCs w:val="24"/>
        </w:rPr>
      </w:pPr>
      <w:r w:rsidRPr="002A5F45">
        <w:rPr>
          <w:rFonts w:asciiTheme="majorBidi" w:hAnsiTheme="majorBidi" w:cstheme="majorBidi"/>
          <w:sz w:val="24"/>
          <w:szCs w:val="24"/>
        </w:rPr>
        <w:t xml:space="preserve">Debt Management &amp; Transparency Frameworks: The program enforces strict transparency limits on debt. It prohibits the government from accumulating new non-concessional external debt, ensuring long-term fiscal sustainability following full HIPC relief. </w:t>
      </w:r>
    </w:p>
    <w:p w14:paraId="3E0F605D" w14:textId="77777777" w:rsidR="002A5F45" w:rsidRPr="002A5F45" w:rsidRDefault="002A5F45" w:rsidP="002A5F45">
      <w:pPr>
        <w:jc w:val="both"/>
        <w:rPr>
          <w:rFonts w:asciiTheme="majorBidi" w:hAnsiTheme="majorBidi" w:cstheme="majorBidi"/>
          <w:b/>
          <w:bCs/>
          <w:sz w:val="24"/>
          <w:szCs w:val="24"/>
        </w:rPr>
      </w:pPr>
      <w:r w:rsidRPr="002A5F45">
        <w:rPr>
          <w:rFonts w:asciiTheme="majorBidi" w:hAnsiTheme="majorBidi" w:cstheme="majorBidi"/>
          <w:b/>
          <w:bCs/>
          <w:sz w:val="24"/>
          <w:szCs w:val="24"/>
        </w:rPr>
        <w:t>Financial Sector Integrity</w:t>
      </w:r>
    </w:p>
    <w:p w14:paraId="6EF098D6" w14:textId="77777777" w:rsidR="002A5F45" w:rsidRPr="002A5F45" w:rsidRDefault="002A5F45" w:rsidP="002A5F45">
      <w:pPr>
        <w:numPr>
          <w:ilvl w:val="0"/>
          <w:numId w:val="64"/>
        </w:numPr>
        <w:jc w:val="both"/>
        <w:rPr>
          <w:rFonts w:asciiTheme="majorBidi" w:hAnsiTheme="majorBidi" w:cstheme="majorBidi"/>
          <w:sz w:val="24"/>
          <w:szCs w:val="24"/>
        </w:rPr>
      </w:pPr>
      <w:r w:rsidRPr="002A5F45">
        <w:rPr>
          <w:rFonts w:asciiTheme="majorBidi" w:hAnsiTheme="majorBidi" w:cstheme="majorBidi"/>
          <w:sz w:val="24"/>
          <w:szCs w:val="24"/>
        </w:rPr>
        <w:t>Financial Stability Committee Operationalization: The IMF requires the full activation of a cross-market Financial Stability Committee. This body coordinates systemic risk monitoring across the banking sector, hawalas, and mobile money networks.</w:t>
      </w:r>
    </w:p>
    <w:p w14:paraId="1F244DC5" w14:textId="2DD26267" w:rsidR="002A5F45" w:rsidRPr="002A5F45" w:rsidRDefault="002A5F45" w:rsidP="002A5F45">
      <w:pPr>
        <w:numPr>
          <w:ilvl w:val="0"/>
          <w:numId w:val="64"/>
        </w:numPr>
        <w:jc w:val="both"/>
        <w:rPr>
          <w:rFonts w:asciiTheme="majorBidi" w:hAnsiTheme="majorBidi" w:cstheme="majorBidi"/>
          <w:sz w:val="24"/>
          <w:szCs w:val="24"/>
        </w:rPr>
      </w:pPr>
      <w:r w:rsidRPr="002A5F45">
        <w:rPr>
          <w:rFonts w:asciiTheme="majorBidi" w:hAnsiTheme="majorBidi" w:cstheme="majorBidi"/>
          <w:sz w:val="24"/>
          <w:szCs w:val="24"/>
        </w:rPr>
        <w:t xml:space="preserve">National ID Integration with Fintech Regulations: Benchmarks require mobile money operators and commercial banks to implement unified digital identity validations. Scaling up interoperability alongside robust electronic Know-Your-Customer (e-KYC) processes bridges formal regulatory gaps and deepens financial inclusion. </w:t>
      </w:r>
    </w:p>
    <w:p w14:paraId="06F32E7E" w14:textId="153E0E77" w:rsidR="004F3056" w:rsidRPr="004F3056" w:rsidRDefault="004F3056" w:rsidP="004F3056">
      <w:pPr>
        <w:jc w:val="both"/>
        <w:rPr>
          <w:rFonts w:asciiTheme="majorBidi" w:hAnsiTheme="majorBidi" w:cstheme="majorBidi"/>
          <w:b/>
          <w:bCs/>
          <w:sz w:val="24"/>
          <w:szCs w:val="24"/>
        </w:rPr>
      </w:pPr>
      <w:r>
        <w:rPr>
          <w:rFonts w:asciiTheme="majorBidi" w:hAnsiTheme="majorBidi" w:cstheme="majorBidi"/>
          <w:sz w:val="24"/>
          <w:szCs w:val="24"/>
        </w:rPr>
        <w:t>5.</w:t>
      </w:r>
      <w:r w:rsidRPr="004F3056">
        <w:rPr>
          <w:rFonts w:ascii="Arial" w:eastAsia="Times New Roman" w:hAnsi="Arial" w:cs="Arial"/>
          <w:b/>
          <w:bCs/>
          <w:kern w:val="0"/>
          <w:sz w:val="30"/>
          <w:szCs w:val="30"/>
          <w:lang w:eastAsia="en-GB"/>
          <w14:ligatures w14:val="none"/>
        </w:rPr>
        <w:t xml:space="preserve"> </w:t>
      </w:r>
      <w:r w:rsidRPr="004F3056">
        <w:rPr>
          <w:rFonts w:asciiTheme="majorBidi" w:hAnsiTheme="majorBidi" w:cstheme="majorBidi"/>
          <w:b/>
          <w:bCs/>
          <w:sz w:val="24"/>
          <w:szCs w:val="24"/>
        </w:rPr>
        <w:t>Regional Integration: The East African Community (EAC)</w:t>
      </w:r>
    </w:p>
    <w:p w14:paraId="3A4B427C" w14:textId="77777777" w:rsidR="004F3056" w:rsidRPr="004F3056" w:rsidRDefault="004F3056" w:rsidP="004F3056">
      <w:pPr>
        <w:jc w:val="both"/>
        <w:rPr>
          <w:rFonts w:asciiTheme="majorBidi" w:hAnsiTheme="majorBidi" w:cstheme="majorBidi"/>
          <w:sz w:val="24"/>
          <w:szCs w:val="24"/>
        </w:rPr>
      </w:pPr>
      <w:r w:rsidRPr="004F3056">
        <w:rPr>
          <w:rFonts w:asciiTheme="majorBidi" w:hAnsiTheme="majorBidi" w:cstheme="majorBidi"/>
          <w:sz w:val="24"/>
          <w:szCs w:val="24"/>
        </w:rPr>
        <w:t xml:space="preserve">Somalia's admission into the </w:t>
      </w:r>
      <w:r w:rsidRPr="004F3056">
        <w:rPr>
          <w:rFonts w:asciiTheme="majorBidi" w:hAnsiTheme="majorBidi" w:cstheme="majorBidi"/>
          <w:b/>
          <w:bCs/>
          <w:sz w:val="24"/>
          <w:szCs w:val="24"/>
        </w:rPr>
        <w:t>East African Community (EAC)</w:t>
      </w:r>
      <w:r w:rsidRPr="004F3056">
        <w:rPr>
          <w:rFonts w:asciiTheme="majorBidi" w:hAnsiTheme="majorBidi" w:cstheme="majorBidi"/>
          <w:sz w:val="24"/>
          <w:szCs w:val="24"/>
        </w:rPr>
        <w:t xml:space="preserve"> provides a major structural shift for regional stabilization. It moves the country away from a closed economy reliant on donor grants toward an integrated, rules-based trade bloc.</w:t>
      </w:r>
    </w:p>
    <w:p w14:paraId="7442570D" w14:textId="77777777" w:rsidR="004F3056" w:rsidRPr="004F3056" w:rsidRDefault="004F3056" w:rsidP="004F3056">
      <w:pPr>
        <w:jc w:val="both"/>
        <w:rPr>
          <w:rFonts w:asciiTheme="majorBidi" w:hAnsiTheme="majorBidi" w:cstheme="majorBidi"/>
          <w:b/>
          <w:bCs/>
          <w:sz w:val="24"/>
          <w:szCs w:val="24"/>
        </w:rPr>
      </w:pPr>
      <w:r w:rsidRPr="004F3056">
        <w:rPr>
          <w:rFonts w:asciiTheme="majorBidi" w:hAnsiTheme="majorBidi" w:cstheme="majorBidi"/>
          <w:b/>
          <w:bCs/>
          <w:sz w:val="24"/>
          <w:szCs w:val="24"/>
        </w:rPr>
        <w:t>The Customs Union &amp; Common Market Alignment</w:t>
      </w:r>
    </w:p>
    <w:p w14:paraId="30127CEB" w14:textId="090734FE" w:rsidR="004F3056" w:rsidRPr="004F3056" w:rsidRDefault="004F3056" w:rsidP="004F3056">
      <w:pPr>
        <w:numPr>
          <w:ilvl w:val="0"/>
          <w:numId w:val="65"/>
        </w:numPr>
        <w:jc w:val="both"/>
        <w:rPr>
          <w:rFonts w:asciiTheme="majorBidi" w:hAnsiTheme="majorBidi" w:cstheme="majorBidi"/>
          <w:sz w:val="24"/>
          <w:szCs w:val="24"/>
        </w:rPr>
      </w:pPr>
      <w:r w:rsidRPr="004F3056">
        <w:rPr>
          <w:rFonts w:asciiTheme="majorBidi" w:hAnsiTheme="majorBidi" w:cstheme="majorBidi"/>
          <w:b/>
          <w:bCs/>
          <w:sz w:val="24"/>
          <w:szCs w:val="24"/>
        </w:rPr>
        <w:t>Ad Valorem Tariff Standardization</w:t>
      </w:r>
      <w:r w:rsidRPr="004F3056">
        <w:rPr>
          <w:rFonts w:asciiTheme="majorBidi" w:hAnsiTheme="majorBidi" w:cstheme="majorBidi"/>
          <w:sz w:val="24"/>
          <w:szCs w:val="24"/>
        </w:rPr>
        <w:t xml:space="preserve">: Integration forces a shift from flat-fee, "book-value" customs assessments to the EAC </w:t>
      </w:r>
      <w:r w:rsidRPr="004F3056">
        <w:rPr>
          <w:rFonts w:asciiTheme="majorBidi" w:hAnsiTheme="majorBidi" w:cstheme="majorBidi"/>
          <w:b/>
          <w:bCs/>
          <w:sz w:val="24"/>
          <w:szCs w:val="24"/>
        </w:rPr>
        <w:t>Common External Tariff (CET)</w:t>
      </w:r>
      <w:r w:rsidRPr="004F3056">
        <w:rPr>
          <w:rFonts w:asciiTheme="majorBidi" w:hAnsiTheme="majorBidi" w:cstheme="majorBidi"/>
          <w:sz w:val="24"/>
          <w:szCs w:val="24"/>
        </w:rPr>
        <w:t>. This uniform ad valorem tariff structure reduces tax evasion, coordinates port fees, and prevents trade diversion to competing regional maritime hubs.</w:t>
      </w:r>
    </w:p>
    <w:p w14:paraId="504F0C20" w14:textId="77777777" w:rsidR="004F3056" w:rsidRPr="004F3056" w:rsidRDefault="004F3056" w:rsidP="004F3056">
      <w:pPr>
        <w:numPr>
          <w:ilvl w:val="0"/>
          <w:numId w:val="65"/>
        </w:numPr>
        <w:jc w:val="both"/>
        <w:rPr>
          <w:rFonts w:asciiTheme="majorBidi" w:hAnsiTheme="majorBidi" w:cstheme="majorBidi"/>
          <w:sz w:val="24"/>
          <w:szCs w:val="24"/>
        </w:rPr>
      </w:pPr>
      <w:r w:rsidRPr="004F3056">
        <w:rPr>
          <w:rFonts w:asciiTheme="majorBidi" w:hAnsiTheme="majorBidi" w:cstheme="majorBidi"/>
          <w:b/>
          <w:bCs/>
          <w:sz w:val="24"/>
          <w:szCs w:val="24"/>
        </w:rPr>
        <w:lastRenderedPageBreak/>
        <w:t>Cross-Border Infrastructure Development</w:t>
      </w:r>
      <w:r w:rsidRPr="004F3056">
        <w:rPr>
          <w:rFonts w:asciiTheme="majorBidi" w:hAnsiTheme="majorBidi" w:cstheme="majorBidi"/>
          <w:sz w:val="24"/>
          <w:szCs w:val="24"/>
        </w:rPr>
        <w:t>: Membership unlocks multi-modal trade corridor investments. It connects coastal gateways directly to landlocked hinterlands within East Africa, multiplying transit and logistics revenues.</w:t>
      </w:r>
    </w:p>
    <w:p w14:paraId="03910FC8" w14:textId="77777777" w:rsidR="004F3056" w:rsidRPr="004F3056" w:rsidRDefault="004F3056" w:rsidP="004F3056">
      <w:pPr>
        <w:jc w:val="both"/>
        <w:rPr>
          <w:rFonts w:asciiTheme="majorBidi" w:hAnsiTheme="majorBidi" w:cstheme="majorBidi"/>
          <w:b/>
          <w:bCs/>
          <w:sz w:val="24"/>
          <w:szCs w:val="24"/>
        </w:rPr>
      </w:pPr>
      <w:r w:rsidRPr="004F3056">
        <w:rPr>
          <w:rFonts w:asciiTheme="majorBidi" w:hAnsiTheme="majorBidi" w:cstheme="majorBidi"/>
          <w:b/>
          <w:bCs/>
          <w:sz w:val="24"/>
          <w:szCs w:val="24"/>
        </w:rPr>
        <w:t>Macroeconomic Convergence Criteria</w:t>
      </w:r>
    </w:p>
    <w:p w14:paraId="6F170B33" w14:textId="68003E07" w:rsidR="004F3056" w:rsidRPr="004F3056" w:rsidRDefault="004F3056" w:rsidP="004F3056">
      <w:pPr>
        <w:numPr>
          <w:ilvl w:val="0"/>
          <w:numId w:val="66"/>
        </w:numPr>
        <w:jc w:val="both"/>
        <w:rPr>
          <w:rFonts w:asciiTheme="majorBidi" w:hAnsiTheme="majorBidi" w:cstheme="majorBidi"/>
          <w:sz w:val="24"/>
          <w:szCs w:val="24"/>
        </w:rPr>
      </w:pPr>
      <w:r w:rsidRPr="004F3056">
        <w:rPr>
          <w:rFonts w:asciiTheme="majorBidi" w:hAnsiTheme="majorBidi" w:cstheme="majorBidi"/>
          <w:b/>
          <w:bCs/>
          <w:sz w:val="24"/>
          <w:szCs w:val="24"/>
        </w:rPr>
        <w:t>Monetary Integration Roadmaps</w:t>
      </w:r>
      <w:r w:rsidRPr="004F3056">
        <w:rPr>
          <w:rFonts w:asciiTheme="majorBidi" w:hAnsiTheme="majorBidi" w:cstheme="majorBidi"/>
          <w:sz w:val="24"/>
          <w:szCs w:val="24"/>
        </w:rPr>
        <w:t xml:space="preserve">: EAC integration binds member countries to structural caps on fiscal deficits (under 3% of GDP) and mandatory gross foreign exchange reserve cushions (exceeding 4.5 months of import cover). </w:t>
      </w:r>
    </w:p>
    <w:p w14:paraId="62158F6C" w14:textId="63CA1632" w:rsidR="004F3056" w:rsidRPr="004F3056" w:rsidRDefault="004F3056" w:rsidP="004F3056">
      <w:pPr>
        <w:numPr>
          <w:ilvl w:val="0"/>
          <w:numId w:val="66"/>
        </w:numPr>
        <w:jc w:val="both"/>
        <w:rPr>
          <w:rFonts w:asciiTheme="majorBidi" w:hAnsiTheme="majorBidi" w:cstheme="majorBidi"/>
          <w:sz w:val="24"/>
          <w:szCs w:val="24"/>
        </w:rPr>
      </w:pPr>
      <w:r w:rsidRPr="004F3056">
        <w:rPr>
          <w:rFonts w:asciiTheme="majorBidi" w:hAnsiTheme="majorBidi" w:cstheme="majorBidi"/>
          <w:b/>
          <w:bCs/>
          <w:sz w:val="24"/>
          <w:szCs w:val="24"/>
        </w:rPr>
        <w:t>Harmonizing Financial Regulation</w:t>
      </w:r>
      <w:r w:rsidRPr="004F3056">
        <w:rPr>
          <w:rFonts w:asciiTheme="majorBidi" w:hAnsiTheme="majorBidi" w:cstheme="majorBidi"/>
          <w:sz w:val="24"/>
          <w:szCs w:val="24"/>
        </w:rPr>
        <w:t xml:space="preserve">: Membership requires aligning anti-money laundering and counter-terrorist financing (AML/CFT) frameworks with regional peer central banks. This systemic upgrade reduces international transaction de-risking by foreign correspondent banks. </w:t>
      </w:r>
    </w:p>
    <w:p w14:paraId="147EEA30" w14:textId="371DB2DD" w:rsidR="001A0A4B" w:rsidRPr="001A0A4B" w:rsidRDefault="001A0A4B" w:rsidP="001A0A4B">
      <w:pPr>
        <w:jc w:val="both"/>
        <w:rPr>
          <w:rFonts w:asciiTheme="majorBidi" w:hAnsiTheme="majorBidi" w:cstheme="majorBidi"/>
          <w:b/>
          <w:bCs/>
          <w:sz w:val="24"/>
          <w:szCs w:val="24"/>
        </w:rPr>
      </w:pPr>
      <w:r w:rsidRPr="001A0A4B">
        <w:rPr>
          <w:rFonts w:asciiTheme="majorBidi" w:hAnsiTheme="majorBidi" w:cstheme="majorBidi"/>
          <w:b/>
          <w:bCs/>
          <w:sz w:val="24"/>
          <w:szCs w:val="24"/>
        </w:rPr>
        <w:t>6.3 References</w:t>
      </w:r>
    </w:p>
    <w:p w14:paraId="40ABB59E" w14:textId="38ECC8AF" w:rsidR="00243A2F" w:rsidRPr="00243A2F" w:rsidRDefault="00243A2F" w:rsidP="00243A2F">
      <w:pPr>
        <w:numPr>
          <w:ilvl w:val="0"/>
          <w:numId w:val="51"/>
        </w:numPr>
        <w:jc w:val="both"/>
        <w:rPr>
          <w:rFonts w:asciiTheme="majorBidi" w:hAnsiTheme="majorBidi" w:cstheme="majorBidi"/>
          <w:sz w:val="24"/>
          <w:szCs w:val="24"/>
        </w:rPr>
      </w:pPr>
      <w:r w:rsidRPr="00243A2F">
        <w:rPr>
          <w:rFonts w:asciiTheme="majorBidi" w:hAnsiTheme="majorBidi" w:cstheme="majorBidi"/>
          <w:sz w:val="24"/>
          <w:szCs w:val="24"/>
        </w:rPr>
        <w:t xml:space="preserve">  </w:t>
      </w:r>
      <w:r w:rsidRPr="00243A2F">
        <w:rPr>
          <w:rFonts w:asciiTheme="majorBidi" w:hAnsiTheme="majorBidi" w:cstheme="majorBidi"/>
          <w:b/>
          <w:bCs/>
          <w:sz w:val="24"/>
          <w:szCs w:val="24"/>
        </w:rPr>
        <w:t>Central Bank of Somalia.</w:t>
      </w:r>
      <w:r w:rsidRPr="00243A2F">
        <w:rPr>
          <w:rFonts w:asciiTheme="majorBidi" w:hAnsiTheme="majorBidi" w:cstheme="majorBidi"/>
          <w:sz w:val="24"/>
          <w:szCs w:val="24"/>
        </w:rPr>
        <w:t xml:space="preserve"> (2024). </w:t>
      </w:r>
      <w:r w:rsidRPr="00243A2F">
        <w:rPr>
          <w:rFonts w:asciiTheme="majorBidi" w:hAnsiTheme="majorBidi" w:cstheme="majorBidi"/>
          <w:i/>
          <w:iCs/>
          <w:sz w:val="24"/>
          <w:szCs w:val="24"/>
        </w:rPr>
        <w:t>Annual Economic Report and Monetary Policy Review</w:t>
      </w:r>
      <w:r w:rsidRPr="00243A2F">
        <w:rPr>
          <w:rFonts w:asciiTheme="majorBidi" w:hAnsiTheme="majorBidi" w:cstheme="majorBidi"/>
          <w:sz w:val="24"/>
          <w:szCs w:val="24"/>
        </w:rPr>
        <w:t>. Mogadishu: CBS.</w:t>
      </w:r>
    </w:p>
    <w:p w14:paraId="1663380E" w14:textId="6EDBADA0" w:rsidR="00243A2F" w:rsidRPr="00243A2F" w:rsidRDefault="00243A2F" w:rsidP="00243A2F">
      <w:pPr>
        <w:numPr>
          <w:ilvl w:val="0"/>
          <w:numId w:val="51"/>
        </w:numPr>
        <w:jc w:val="both"/>
        <w:rPr>
          <w:rFonts w:asciiTheme="majorBidi" w:hAnsiTheme="majorBidi" w:cstheme="majorBidi"/>
          <w:sz w:val="24"/>
          <w:szCs w:val="24"/>
        </w:rPr>
      </w:pPr>
      <w:r w:rsidRPr="00243A2F">
        <w:rPr>
          <w:rFonts w:asciiTheme="majorBidi" w:hAnsiTheme="majorBidi" w:cstheme="majorBidi"/>
          <w:sz w:val="24"/>
          <w:szCs w:val="24"/>
        </w:rPr>
        <w:t xml:space="preserve">  </w:t>
      </w:r>
      <w:r w:rsidRPr="00243A2F">
        <w:rPr>
          <w:rFonts w:asciiTheme="majorBidi" w:hAnsiTheme="majorBidi" w:cstheme="majorBidi"/>
          <w:b/>
          <w:bCs/>
          <w:sz w:val="24"/>
          <w:szCs w:val="24"/>
        </w:rPr>
        <w:t>International Monetary Fund.</w:t>
      </w:r>
      <w:r w:rsidRPr="00243A2F">
        <w:rPr>
          <w:rFonts w:asciiTheme="majorBidi" w:hAnsiTheme="majorBidi" w:cstheme="majorBidi"/>
          <w:sz w:val="24"/>
          <w:szCs w:val="24"/>
        </w:rPr>
        <w:t xml:space="preserve"> (2023). </w:t>
      </w:r>
      <w:r w:rsidRPr="00243A2F">
        <w:rPr>
          <w:rFonts w:asciiTheme="majorBidi" w:hAnsiTheme="majorBidi" w:cstheme="majorBidi"/>
          <w:i/>
          <w:iCs/>
          <w:sz w:val="24"/>
          <w:szCs w:val="24"/>
        </w:rPr>
        <w:t>Somalia: Fifth Review Under the Enhanced Credit Facility Arrangement and Request for Modification of Performance Criteria</w:t>
      </w:r>
      <w:r w:rsidRPr="00243A2F">
        <w:rPr>
          <w:rFonts w:asciiTheme="majorBidi" w:hAnsiTheme="majorBidi" w:cstheme="majorBidi"/>
          <w:sz w:val="24"/>
          <w:szCs w:val="24"/>
        </w:rPr>
        <w:t>. IMF Staff Country Reports, Washington D.C.</w:t>
      </w:r>
    </w:p>
    <w:p w14:paraId="776A39C3" w14:textId="3D31D95E" w:rsidR="00243A2F" w:rsidRPr="00243A2F" w:rsidRDefault="00243A2F" w:rsidP="00243A2F">
      <w:pPr>
        <w:numPr>
          <w:ilvl w:val="0"/>
          <w:numId w:val="51"/>
        </w:numPr>
        <w:jc w:val="both"/>
        <w:rPr>
          <w:rFonts w:asciiTheme="majorBidi" w:hAnsiTheme="majorBidi" w:cstheme="majorBidi"/>
          <w:sz w:val="24"/>
          <w:szCs w:val="24"/>
        </w:rPr>
      </w:pPr>
      <w:r w:rsidRPr="00243A2F">
        <w:rPr>
          <w:rFonts w:asciiTheme="majorBidi" w:hAnsiTheme="majorBidi" w:cstheme="majorBidi"/>
          <w:sz w:val="24"/>
          <w:szCs w:val="24"/>
        </w:rPr>
        <w:t xml:space="preserve"> </w:t>
      </w:r>
      <w:r w:rsidRPr="00243A2F">
        <w:rPr>
          <w:rFonts w:asciiTheme="majorBidi" w:hAnsiTheme="majorBidi" w:cstheme="majorBidi"/>
          <w:b/>
          <w:bCs/>
          <w:sz w:val="24"/>
          <w:szCs w:val="24"/>
        </w:rPr>
        <w:t>World Bank.</w:t>
      </w:r>
      <w:r w:rsidRPr="00243A2F">
        <w:rPr>
          <w:rFonts w:asciiTheme="majorBidi" w:hAnsiTheme="majorBidi" w:cstheme="majorBidi"/>
          <w:sz w:val="24"/>
          <w:szCs w:val="24"/>
        </w:rPr>
        <w:t xml:space="preserve"> (2024). </w:t>
      </w:r>
      <w:r w:rsidRPr="00243A2F">
        <w:rPr>
          <w:rFonts w:asciiTheme="majorBidi" w:hAnsiTheme="majorBidi" w:cstheme="majorBidi"/>
          <w:i/>
          <w:iCs/>
          <w:sz w:val="24"/>
          <w:szCs w:val="24"/>
        </w:rPr>
        <w:t>Somalia Economic Update: Integrating Climate Change into Macroeconomic Policy</w:t>
      </w:r>
      <w:r w:rsidRPr="00243A2F">
        <w:rPr>
          <w:rFonts w:asciiTheme="majorBidi" w:hAnsiTheme="majorBidi" w:cstheme="majorBidi"/>
          <w:sz w:val="24"/>
          <w:szCs w:val="24"/>
        </w:rPr>
        <w:t>. World Bank Group, Washington D.C.</w:t>
      </w:r>
    </w:p>
    <w:p w14:paraId="4136F563" w14:textId="3554DDFF" w:rsidR="00243A2F" w:rsidRPr="00243A2F" w:rsidRDefault="00243A2F" w:rsidP="00243A2F">
      <w:pPr>
        <w:numPr>
          <w:ilvl w:val="0"/>
          <w:numId w:val="51"/>
        </w:numPr>
        <w:jc w:val="both"/>
        <w:rPr>
          <w:rFonts w:asciiTheme="majorBidi" w:hAnsiTheme="majorBidi" w:cstheme="majorBidi"/>
          <w:sz w:val="24"/>
          <w:szCs w:val="24"/>
        </w:rPr>
      </w:pPr>
      <w:r w:rsidRPr="00243A2F">
        <w:rPr>
          <w:rFonts w:asciiTheme="majorBidi" w:hAnsiTheme="majorBidi" w:cstheme="majorBidi"/>
          <w:sz w:val="24"/>
          <w:szCs w:val="24"/>
        </w:rPr>
        <w:t xml:space="preserve"> </w:t>
      </w:r>
      <w:r w:rsidRPr="00243A2F">
        <w:rPr>
          <w:rFonts w:asciiTheme="majorBidi" w:hAnsiTheme="majorBidi" w:cstheme="majorBidi"/>
          <w:b/>
          <w:bCs/>
          <w:sz w:val="24"/>
          <w:szCs w:val="24"/>
        </w:rPr>
        <w:t>Alper, A., &amp; Demirel, M.</w:t>
      </w:r>
      <w:r w:rsidRPr="00243A2F">
        <w:rPr>
          <w:rFonts w:asciiTheme="majorBidi" w:hAnsiTheme="majorBidi" w:cstheme="majorBidi"/>
          <w:sz w:val="24"/>
          <w:szCs w:val="24"/>
        </w:rPr>
        <w:t xml:space="preserve"> (2021). </w:t>
      </w:r>
      <w:r w:rsidRPr="00243A2F">
        <w:rPr>
          <w:rFonts w:asciiTheme="majorBidi" w:hAnsiTheme="majorBidi" w:cstheme="majorBidi"/>
          <w:i/>
          <w:iCs/>
          <w:sz w:val="24"/>
          <w:szCs w:val="24"/>
        </w:rPr>
        <w:t>Macroeconomic Stabilization in Dollarized Post-Conflict Economies: Lessons from Sub-Saharan Africa</w:t>
      </w:r>
      <w:r w:rsidRPr="00243A2F">
        <w:rPr>
          <w:rFonts w:asciiTheme="majorBidi" w:hAnsiTheme="majorBidi" w:cstheme="majorBidi"/>
          <w:sz w:val="24"/>
          <w:szCs w:val="24"/>
        </w:rPr>
        <w:t>. Journal of Development Economics, 45(2), 112-129.</w:t>
      </w:r>
    </w:p>
    <w:p w14:paraId="7470A111" w14:textId="13D541A7" w:rsidR="00243A2F" w:rsidRPr="00243A2F" w:rsidRDefault="00243A2F" w:rsidP="00243A2F">
      <w:pPr>
        <w:numPr>
          <w:ilvl w:val="0"/>
          <w:numId w:val="51"/>
        </w:numPr>
        <w:jc w:val="both"/>
        <w:rPr>
          <w:rFonts w:asciiTheme="majorBidi" w:hAnsiTheme="majorBidi" w:cstheme="majorBidi"/>
          <w:sz w:val="24"/>
          <w:szCs w:val="24"/>
        </w:rPr>
      </w:pPr>
      <w:r w:rsidRPr="00243A2F">
        <w:rPr>
          <w:rFonts w:asciiTheme="majorBidi" w:hAnsiTheme="majorBidi" w:cstheme="majorBidi"/>
          <w:sz w:val="24"/>
          <w:szCs w:val="24"/>
        </w:rPr>
        <w:t xml:space="preserve">  </w:t>
      </w:r>
      <w:r w:rsidRPr="00243A2F">
        <w:rPr>
          <w:rFonts w:asciiTheme="majorBidi" w:hAnsiTheme="majorBidi" w:cstheme="majorBidi"/>
          <w:b/>
          <w:bCs/>
          <w:sz w:val="24"/>
          <w:szCs w:val="24"/>
        </w:rPr>
        <w:t xml:space="preserve">Somali Financial Intelligence </w:t>
      </w:r>
      <w:proofErr w:type="spellStart"/>
      <w:r w:rsidRPr="00243A2F">
        <w:rPr>
          <w:rFonts w:asciiTheme="majorBidi" w:hAnsiTheme="majorBidi" w:cstheme="majorBidi"/>
          <w:b/>
          <w:bCs/>
          <w:sz w:val="24"/>
          <w:szCs w:val="24"/>
        </w:rPr>
        <w:t>Center</w:t>
      </w:r>
      <w:proofErr w:type="spellEnd"/>
      <w:r w:rsidRPr="00243A2F">
        <w:rPr>
          <w:rFonts w:asciiTheme="majorBidi" w:hAnsiTheme="majorBidi" w:cstheme="majorBidi"/>
          <w:b/>
          <w:bCs/>
          <w:sz w:val="24"/>
          <w:szCs w:val="24"/>
        </w:rPr>
        <w:t>.</w:t>
      </w:r>
      <w:r w:rsidRPr="00243A2F">
        <w:rPr>
          <w:rFonts w:asciiTheme="majorBidi" w:hAnsiTheme="majorBidi" w:cstheme="majorBidi"/>
          <w:sz w:val="24"/>
          <w:szCs w:val="24"/>
        </w:rPr>
        <w:t xml:space="preserve"> (2025). </w:t>
      </w:r>
      <w:r w:rsidRPr="00243A2F">
        <w:rPr>
          <w:rFonts w:asciiTheme="majorBidi" w:hAnsiTheme="majorBidi" w:cstheme="majorBidi"/>
          <w:i/>
          <w:iCs/>
          <w:sz w:val="24"/>
          <w:szCs w:val="24"/>
        </w:rPr>
        <w:t>National Risk Assessment on Money Laundering and Terrorist Financing</w:t>
      </w:r>
      <w:r w:rsidRPr="00243A2F">
        <w:rPr>
          <w:rFonts w:asciiTheme="majorBidi" w:hAnsiTheme="majorBidi" w:cstheme="majorBidi"/>
          <w:sz w:val="24"/>
          <w:szCs w:val="24"/>
        </w:rPr>
        <w:t>. FGS, Mogadishu.</w:t>
      </w:r>
    </w:p>
    <w:p w14:paraId="63EAEBDB" w14:textId="6135343C" w:rsidR="001A0A4B" w:rsidRPr="001A0A4B" w:rsidRDefault="00243A2F" w:rsidP="00243A2F">
      <w:pPr>
        <w:numPr>
          <w:ilvl w:val="0"/>
          <w:numId w:val="51"/>
        </w:numPr>
        <w:jc w:val="both"/>
        <w:rPr>
          <w:rFonts w:asciiTheme="majorBidi" w:hAnsiTheme="majorBidi" w:cstheme="majorBidi"/>
          <w:sz w:val="24"/>
          <w:szCs w:val="24"/>
        </w:rPr>
      </w:pPr>
      <w:r w:rsidRPr="00243A2F">
        <w:rPr>
          <w:rFonts w:asciiTheme="majorBidi" w:hAnsiTheme="majorBidi" w:cstheme="majorBidi"/>
          <w:b/>
          <w:bCs/>
          <w:sz w:val="24"/>
          <w:szCs w:val="24"/>
        </w:rPr>
        <w:t>East African Community.</w:t>
      </w:r>
      <w:r w:rsidRPr="00243A2F">
        <w:rPr>
          <w:rFonts w:asciiTheme="majorBidi" w:hAnsiTheme="majorBidi" w:cstheme="majorBidi"/>
          <w:sz w:val="24"/>
          <w:szCs w:val="24"/>
        </w:rPr>
        <w:t xml:space="preserve"> (2024). </w:t>
      </w:r>
      <w:r w:rsidRPr="00243A2F">
        <w:rPr>
          <w:rFonts w:asciiTheme="majorBidi" w:hAnsiTheme="majorBidi" w:cstheme="majorBidi"/>
          <w:i/>
          <w:iCs/>
          <w:sz w:val="24"/>
          <w:szCs w:val="24"/>
        </w:rPr>
        <w:t>Report of the Verification Mission on the Admission of the Federal Republic of Somalia into the EAC</w:t>
      </w:r>
      <w:r w:rsidRPr="00243A2F">
        <w:rPr>
          <w:rFonts w:asciiTheme="majorBidi" w:hAnsiTheme="majorBidi" w:cstheme="majorBidi"/>
          <w:sz w:val="24"/>
          <w:szCs w:val="24"/>
        </w:rPr>
        <w:t xml:space="preserve">. EAC Secretariat, </w:t>
      </w:r>
      <w:proofErr w:type="spellStart"/>
      <w:r w:rsidRPr="00243A2F">
        <w:rPr>
          <w:rFonts w:asciiTheme="majorBidi" w:hAnsiTheme="majorBidi" w:cstheme="majorBidi"/>
          <w:sz w:val="24"/>
          <w:szCs w:val="24"/>
        </w:rPr>
        <w:t>Arusha.</w:t>
      </w:r>
      <w:r w:rsidR="001A0A4B" w:rsidRPr="001A0A4B">
        <w:rPr>
          <w:rFonts w:asciiTheme="majorBidi" w:hAnsiTheme="majorBidi" w:cstheme="majorBidi"/>
          <w:sz w:val="24"/>
          <w:szCs w:val="24"/>
        </w:rPr>
        <w:t>Acemoglu</w:t>
      </w:r>
      <w:proofErr w:type="spellEnd"/>
      <w:r w:rsidR="001A0A4B" w:rsidRPr="001A0A4B">
        <w:rPr>
          <w:rFonts w:asciiTheme="majorBidi" w:hAnsiTheme="majorBidi" w:cstheme="majorBidi"/>
          <w:sz w:val="24"/>
          <w:szCs w:val="24"/>
        </w:rPr>
        <w:t xml:space="preserve">, D., &amp; Robinson, J. A. (2012). </w:t>
      </w:r>
      <w:r w:rsidR="001A0A4B" w:rsidRPr="001A0A4B">
        <w:rPr>
          <w:rFonts w:asciiTheme="majorBidi" w:hAnsiTheme="majorBidi" w:cstheme="majorBidi"/>
          <w:i/>
          <w:iCs/>
          <w:sz w:val="24"/>
          <w:szCs w:val="24"/>
        </w:rPr>
        <w:t>Why Nations Fail: The Origins of Power, Prosperity, and Poverty</w:t>
      </w:r>
      <w:r w:rsidR="001A0A4B" w:rsidRPr="001A0A4B">
        <w:rPr>
          <w:rFonts w:asciiTheme="majorBidi" w:hAnsiTheme="majorBidi" w:cstheme="majorBidi"/>
          <w:sz w:val="24"/>
          <w:szCs w:val="24"/>
        </w:rPr>
        <w:t>. Crown Business.</w:t>
      </w:r>
    </w:p>
    <w:p w14:paraId="46672825" w14:textId="77777777" w:rsidR="001A0A4B" w:rsidRPr="001A0A4B" w:rsidRDefault="001A0A4B" w:rsidP="001A0A4B">
      <w:pPr>
        <w:numPr>
          <w:ilvl w:val="0"/>
          <w:numId w:val="51"/>
        </w:numPr>
        <w:jc w:val="both"/>
        <w:rPr>
          <w:rFonts w:asciiTheme="majorBidi" w:hAnsiTheme="majorBidi" w:cstheme="majorBidi"/>
          <w:sz w:val="24"/>
          <w:szCs w:val="24"/>
        </w:rPr>
      </w:pPr>
      <w:r w:rsidRPr="001A0A4B">
        <w:rPr>
          <w:rFonts w:asciiTheme="majorBidi" w:hAnsiTheme="majorBidi" w:cstheme="majorBidi"/>
          <w:sz w:val="24"/>
          <w:szCs w:val="24"/>
        </w:rPr>
        <w:t xml:space="preserve">Calvo, G. A., &amp; Vegh, C. A. (1999). Inflation stabilization and BOP crises in developing countries. </w:t>
      </w:r>
      <w:r w:rsidRPr="001A0A4B">
        <w:rPr>
          <w:rFonts w:asciiTheme="majorBidi" w:hAnsiTheme="majorBidi" w:cstheme="majorBidi"/>
          <w:i/>
          <w:iCs/>
          <w:sz w:val="24"/>
          <w:szCs w:val="24"/>
        </w:rPr>
        <w:t>Handbook of Macroeconomics</w:t>
      </w:r>
      <w:r w:rsidRPr="001A0A4B">
        <w:rPr>
          <w:rFonts w:asciiTheme="majorBidi" w:hAnsiTheme="majorBidi" w:cstheme="majorBidi"/>
          <w:sz w:val="24"/>
          <w:szCs w:val="24"/>
        </w:rPr>
        <w:t>, 1, 1531-1614.</w:t>
      </w:r>
    </w:p>
    <w:p w14:paraId="7E7BE961" w14:textId="77777777" w:rsidR="001A0A4B" w:rsidRPr="001A0A4B" w:rsidRDefault="001A0A4B" w:rsidP="001A0A4B">
      <w:pPr>
        <w:numPr>
          <w:ilvl w:val="0"/>
          <w:numId w:val="51"/>
        </w:numPr>
        <w:jc w:val="both"/>
        <w:rPr>
          <w:rFonts w:asciiTheme="majorBidi" w:hAnsiTheme="majorBidi" w:cstheme="majorBidi"/>
          <w:sz w:val="24"/>
          <w:szCs w:val="24"/>
        </w:rPr>
      </w:pPr>
      <w:r w:rsidRPr="001A0A4B">
        <w:rPr>
          <w:rFonts w:asciiTheme="majorBidi" w:hAnsiTheme="majorBidi" w:cstheme="majorBidi"/>
          <w:sz w:val="24"/>
          <w:szCs w:val="24"/>
        </w:rPr>
        <w:t xml:space="preserve">Central Bank of Somalia. (2024). </w:t>
      </w:r>
      <w:r w:rsidRPr="001A0A4B">
        <w:rPr>
          <w:rFonts w:asciiTheme="majorBidi" w:hAnsiTheme="majorBidi" w:cstheme="majorBidi"/>
          <w:i/>
          <w:iCs/>
          <w:sz w:val="24"/>
          <w:szCs w:val="24"/>
        </w:rPr>
        <w:t>Annual Economic Report and Financial Sector Review</w:t>
      </w:r>
      <w:r w:rsidRPr="001A0A4B">
        <w:rPr>
          <w:rFonts w:asciiTheme="majorBidi" w:hAnsiTheme="majorBidi" w:cstheme="majorBidi"/>
          <w:sz w:val="24"/>
          <w:szCs w:val="24"/>
        </w:rPr>
        <w:t>. CBS Publications.</w:t>
      </w:r>
    </w:p>
    <w:p w14:paraId="72B53B8D" w14:textId="77777777" w:rsidR="001A0A4B" w:rsidRPr="001A0A4B" w:rsidRDefault="001A0A4B" w:rsidP="001A0A4B">
      <w:pPr>
        <w:numPr>
          <w:ilvl w:val="0"/>
          <w:numId w:val="51"/>
        </w:numPr>
        <w:jc w:val="both"/>
        <w:rPr>
          <w:rFonts w:asciiTheme="majorBidi" w:hAnsiTheme="majorBidi" w:cstheme="majorBidi"/>
          <w:sz w:val="24"/>
          <w:szCs w:val="24"/>
        </w:rPr>
      </w:pPr>
      <w:r w:rsidRPr="001A0A4B">
        <w:rPr>
          <w:rFonts w:asciiTheme="majorBidi" w:hAnsiTheme="majorBidi" w:cstheme="majorBidi"/>
          <w:sz w:val="24"/>
          <w:szCs w:val="24"/>
        </w:rPr>
        <w:t xml:space="preserve">International Monetary Fund. (2023). </w:t>
      </w:r>
      <w:r w:rsidRPr="001A0A4B">
        <w:rPr>
          <w:rFonts w:asciiTheme="majorBidi" w:hAnsiTheme="majorBidi" w:cstheme="majorBidi"/>
          <w:i/>
          <w:iCs/>
          <w:sz w:val="24"/>
          <w:szCs w:val="24"/>
        </w:rPr>
        <w:t>Somalia: Fifth and Sixth Reviews Under the Extended Credit Facility and Request for Three-Year Arrangement</w:t>
      </w:r>
      <w:r w:rsidRPr="001A0A4B">
        <w:rPr>
          <w:rFonts w:asciiTheme="majorBidi" w:hAnsiTheme="majorBidi" w:cstheme="majorBidi"/>
          <w:sz w:val="24"/>
          <w:szCs w:val="24"/>
        </w:rPr>
        <w:t>. IMF Staff Country Reports.</w:t>
      </w:r>
    </w:p>
    <w:p w14:paraId="2DBA803E" w14:textId="77777777" w:rsidR="001A0A4B" w:rsidRPr="001A0A4B" w:rsidRDefault="001A0A4B" w:rsidP="001A0A4B">
      <w:pPr>
        <w:numPr>
          <w:ilvl w:val="0"/>
          <w:numId w:val="51"/>
        </w:numPr>
        <w:jc w:val="both"/>
        <w:rPr>
          <w:rFonts w:asciiTheme="majorBidi" w:hAnsiTheme="majorBidi" w:cstheme="majorBidi"/>
          <w:sz w:val="24"/>
          <w:szCs w:val="24"/>
        </w:rPr>
      </w:pPr>
      <w:r w:rsidRPr="001A0A4B">
        <w:rPr>
          <w:rFonts w:asciiTheme="majorBidi" w:hAnsiTheme="majorBidi" w:cstheme="majorBidi"/>
          <w:sz w:val="24"/>
          <w:szCs w:val="24"/>
        </w:rPr>
        <w:t xml:space="preserve">North, D. C. (1990). </w:t>
      </w:r>
      <w:r w:rsidRPr="001A0A4B">
        <w:rPr>
          <w:rFonts w:asciiTheme="majorBidi" w:hAnsiTheme="majorBidi" w:cstheme="majorBidi"/>
          <w:i/>
          <w:iCs/>
          <w:sz w:val="24"/>
          <w:szCs w:val="24"/>
        </w:rPr>
        <w:t>Institutions, Institutional Change and Economic Performance</w:t>
      </w:r>
      <w:r w:rsidRPr="001A0A4B">
        <w:rPr>
          <w:rFonts w:asciiTheme="majorBidi" w:hAnsiTheme="majorBidi" w:cstheme="majorBidi"/>
          <w:sz w:val="24"/>
          <w:szCs w:val="24"/>
        </w:rPr>
        <w:t>. Cambridge University Press.</w:t>
      </w:r>
    </w:p>
    <w:p w14:paraId="45AD87A9" w14:textId="78D1C1BB" w:rsidR="00C32D25" w:rsidRPr="00BF45E0" w:rsidRDefault="001A0A4B" w:rsidP="00BF45E0">
      <w:pPr>
        <w:numPr>
          <w:ilvl w:val="0"/>
          <w:numId w:val="51"/>
        </w:numPr>
        <w:jc w:val="both"/>
        <w:rPr>
          <w:rFonts w:asciiTheme="majorBidi" w:hAnsiTheme="majorBidi" w:cstheme="majorBidi"/>
          <w:sz w:val="24"/>
          <w:szCs w:val="24"/>
        </w:rPr>
      </w:pPr>
      <w:r w:rsidRPr="001A0A4B">
        <w:rPr>
          <w:rFonts w:asciiTheme="majorBidi" w:hAnsiTheme="majorBidi" w:cstheme="majorBidi"/>
          <w:sz w:val="24"/>
          <w:szCs w:val="24"/>
        </w:rPr>
        <w:lastRenderedPageBreak/>
        <w:t xml:space="preserve">Overseas Development Institute. (2024). </w:t>
      </w:r>
      <w:r w:rsidRPr="001A0A4B">
        <w:rPr>
          <w:rFonts w:asciiTheme="majorBidi" w:hAnsiTheme="majorBidi" w:cstheme="majorBidi"/>
          <w:i/>
          <w:iCs/>
          <w:sz w:val="24"/>
          <w:szCs w:val="24"/>
        </w:rPr>
        <w:t xml:space="preserve">Pursuing macro-financial stability in a </w:t>
      </w:r>
      <w:proofErr w:type="spellStart"/>
      <w:r w:rsidRPr="001A0A4B">
        <w:rPr>
          <w:rFonts w:asciiTheme="majorBidi" w:hAnsiTheme="majorBidi" w:cstheme="majorBidi"/>
          <w:i/>
          <w:iCs/>
          <w:sz w:val="24"/>
          <w:szCs w:val="24"/>
        </w:rPr>
        <w:t>dollarised</w:t>
      </w:r>
      <w:proofErr w:type="spellEnd"/>
      <w:r w:rsidRPr="001A0A4B">
        <w:rPr>
          <w:rFonts w:asciiTheme="majorBidi" w:hAnsiTheme="majorBidi" w:cstheme="majorBidi"/>
          <w:i/>
          <w:iCs/>
          <w:sz w:val="24"/>
          <w:szCs w:val="24"/>
        </w:rPr>
        <w:t xml:space="preserve"> and fragile context: Somalia’s reform path</w:t>
      </w:r>
      <w:r w:rsidRPr="001A0A4B">
        <w:rPr>
          <w:rFonts w:asciiTheme="majorBidi" w:hAnsiTheme="majorBidi" w:cstheme="majorBidi"/>
          <w:sz w:val="24"/>
          <w:szCs w:val="24"/>
        </w:rPr>
        <w:t>. ODI Insights.</w:t>
      </w:r>
    </w:p>
    <w:p w14:paraId="2D3A4533" w14:textId="6FB55D05" w:rsidR="00C32D25" w:rsidRPr="008812B0" w:rsidRDefault="00C32D25" w:rsidP="008812B0">
      <w:pPr>
        <w:pStyle w:val="ListParagraph"/>
        <w:numPr>
          <w:ilvl w:val="0"/>
          <w:numId w:val="43"/>
        </w:numPr>
        <w:jc w:val="both"/>
        <w:rPr>
          <w:rFonts w:asciiTheme="majorBidi" w:hAnsiTheme="majorBidi" w:cstheme="majorBidi"/>
          <w:sz w:val="24"/>
          <w:szCs w:val="24"/>
        </w:rPr>
      </w:pPr>
      <w:r w:rsidRPr="008812B0">
        <w:rPr>
          <w:rFonts w:asciiTheme="majorBidi" w:hAnsiTheme="majorBidi" w:cstheme="majorBidi"/>
          <w:sz w:val="24"/>
          <w:szCs w:val="24"/>
        </w:rPr>
        <w:t xml:space="preserve">Alper, A. M., Ananthakrishnan, P., Davies, G., El-Ashram, A., </w:t>
      </w:r>
      <w:proofErr w:type="spellStart"/>
      <w:r w:rsidRPr="008812B0">
        <w:rPr>
          <w:rFonts w:asciiTheme="majorBidi" w:hAnsiTheme="majorBidi" w:cstheme="majorBidi"/>
          <w:sz w:val="24"/>
          <w:szCs w:val="24"/>
        </w:rPr>
        <w:t>Jidoud</w:t>
      </w:r>
      <w:proofErr w:type="spellEnd"/>
      <w:r w:rsidRPr="008812B0">
        <w:rPr>
          <w:rFonts w:asciiTheme="majorBidi" w:hAnsiTheme="majorBidi" w:cstheme="majorBidi"/>
          <w:sz w:val="24"/>
          <w:szCs w:val="24"/>
        </w:rPr>
        <w:t>, A., &amp; Sarr, B. (2025). Macroeconomic challenges of structural fragility: Designing monetary and fiscal frameworks for post-conflict recovery. IMF Staff Discussion Notes, No. 2025/003, 1–45.</w:t>
      </w:r>
    </w:p>
    <w:p w14:paraId="2F7D7119" w14:textId="7885B4D7" w:rsidR="00C32D25" w:rsidRDefault="00C32D25" w:rsidP="008812B0">
      <w:pPr>
        <w:pStyle w:val="ListParagraph"/>
        <w:numPr>
          <w:ilvl w:val="0"/>
          <w:numId w:val="43"/>
        </w:numPr>
        <w:jc w:val="both"/>
        <w:rPr>
          <w:rFonts w:asciiTheme="majorBidi" w:hAnsiTheme="majorBidi" w:cstheme="majorBidi"/>
          <w:sz w:val="24"/>
          <w:szCs w:val="24"/>
        </w:rPr>
      </w:pPr>
      <w:r w:rsidRPr="008812B0">
        <w:rPr>
          <w:rFonts w:asciiTheme="majorBidi" w:hAnsiTheme="majorBidi" w:cstheme="majorBidi"/>
          <w:sz w:val="24"/>
          <w:szCs w:val="24"/>
        </w:rPr>
        <w:t xml:space="preserve">Central Bank of Somalia. (2025). Financial Sector Development Project (FSDP): Core banking infrastructure development and </w:t>
      </w:r>
      <w:r w:rsidR="008812B0" w:rsidRPr="008812B0">
        <w:rPr>
          <w:rFonts w:asciiTheme="majorBidi" w:hAnsiTheme="majorBidi" w:cstheme="majorBidi"/>
          <w:sz w:val="24"/>
          <w:szCs w:val="24"/>
        </w:rPr>
        <w:t>macroprudential</w:t>
      </w:r>
      <w:r w:rsidRPr="008812B0">
        <w:rPr>
          <w:rFonts w:asciiTheme="majorBidi" w:hAnsiTheme="majorBidi" w:cstheme="majorBidi"/>
          <w:sz w:val="24"/>
          <w:szCs w:val="24"/>
        </w:rPr>
        <w:t xml:space="preserve"> supervision framework review. Mogadishu: Central Bank of Somalia Treasury Publications Repository.</w:t>
      </w:r>
    </w:p>
    <w:p w14:paraId="7A688F11" w14:textId="792DAAA6" w:rsidR="00C32D25" w:rsidRDefault="00C32D25" w:rsidP="008812B0">
      <w:pPr>
        <w:pStyle w:val="ListParagraph"/>
        <w:numPr>
          <w:ilvl w:val="0"/>
          <w:numId w:val="43"/>
        </w:numPr>
        <w:jc w:val="both"/>
        <w:rPr>
          <w:rFonts w:asciiTheme="majorBidi" w:hAnsiTheme="majorBidi" w:cstheme="majorBidi"/>
          <w:sz w:val="24"/>
          <w:szCs w:val="24"/>
        </w:rPr>
      </w:pPr>
      <w:r w:rsidRPr="008812B0">
        <w:rPr>
          <w:rFonts w:asciiTheme="majorBidi" w:hAnsiTheme="majorBidi" w:cstheme="majorBidi"/>
          <w:sz w:val="24"/>
          <w:szCs w:val="24"/>
        </w:rPr>
        <w:t>Mohamed, A. A., &amp; Abdulle, M. H. (2025). Government recurrent spending, capital accumulation, and long-run economic growth dynamics in post-conflict environments: An ARDL bound-testing estimation for Somalia. Environmental Science and Policy Series, 4(2), 147–158.</w:t>
      </w:r>
    </w:p>
    <w:p w14:paraId="5D373069" w14:textId="6EABA9BB" w:rsidR="003E2D72" w:rsidRDefault="00C32D25" w:rsidP="003E2D72">
      <w:pPr>
        <w:pStyle w:val="ListParagraph"/>
        <w:numPr>
          <w:ilvl w:val="0"/>
          <w:numId w:val="43"/>
        </w:numPr>
        <w:jc w:val="both"/>
        <w:rPr>
          <w:rFonts w:asciiTheme="majorBidi" w:hAnsiTheme="majorBidi" w:cstheme="majorBidi"/>
          <w:sz w:val="24"/>
          <w:szCs w:val="24"/>
        </w:rPr>
      </w:pPr>
      <w:r w:rsidRPr="008812B0">
        <w:rPr>
          <w:rFonts w:asciiTheme="majorBidi" w:hAnsiTheme="majorBidi" w:cstheme="majorBidi"/>
          <w:sz w:val="24"/>
          <w:szCs w:val="24"/>
        </w:rPr>
        <w:t>World Bank. (2025). Somalia Economic Update, December 2025: Strengthening Macroeconomic Credibility, Financial Integration, and Regional Alignment post-HIPC. Nairobi: World Bank Group East Africa Section</w:t>
      </w:r>
      <w:r w:rsidR="008812B0">
        <w:rPr>
          <w:rFonts w:asciiTheme="majorBidi" w:hAnsiTheme="majorBidi" w:cstheme="majorBidi"/>
          <w:sz w:val="24"/>
          <w:szCs w:val="24"/>
        </w:rPr>
        <w:t>.</w:t>
      </w:r>
    </w:p>
    <w:p w14:paraId="12A0EA2D" w14:textId="77777777" w:rsidR="003E2D72" w:rsidRPr="00C32D25" w:rsidRDefault="003E2D72" w:rsidP="003E2D72">
      <w:pPr>
        <w:numPr>
          <w:ilvl w:val="0"/>
          <w:numId w:val="43"/>
        </w:numPr>
        <w:jc w:val="both"/>
        <w:rPr>
          <w:rFonts w:asciiTheme="majorBidi" w:hAnsiTheme="majorBidi" w:cstheme="majorBidi"/>
          <w:sz w:val="24"/>
          <w:szCs w:val="24"/>
        </w:rPr>
      </w:pPr>
      <w:r w:rsidRPr="00C32D25">
        <w:rPr>
          <w:rFonts w:asciiTheme="majorBidi" w:hAnsiTheme="majorBidi" w:cstheme="majorBidi"/>
          <w:sz w:val="24"/>
          <w:szCs w:val="24"/>
        </w:rPr>
        <w:t xml:space="preserve">Ahmed, A. A., Mohamed, K. A., &amp; </w:t>
      </w:r>
      <w:proofErr w:type="spellStart"/>
      <w:r w:rsidRPr="00C32D25">
        <w:rPr>
          <w:rFonts w:asciiTheme="majorBidi" w:hAnsiTheme="majorBidi" w:cstheme="majorBidi"/>
          <w:sz w:val="24"/>
          <w:szCs w:val="24"/>
        </w:rPr>
        <w:t>Popogbe</w:t>
      </w:r>
      <w:proofErr w:type="spellEnd"/>
      <w:r w:rsidRPr="00C32D25">
        <w:rPr>
          <w:rFonts w:asciiTheme="majorBidi" w:hAnsiTheme="majorBidi" w:cstheme="majorBidi"/>
          <w:sz w:val="24"/>
          <w:szCs w:val="24"/>
        </w:rPr>
        <w:t>, O. (2025). The impact of demographic factors on economic growth in Somalia. Cogent Economics &amp; Finance, 13(1), 2559047. doi.org</w:t>
      </w:r>
    </w:p>
    <w:p w14:paraId="42446BA8" w14:textId="77777777" w:rsidR="003E2D72" w:rsidRPr="00C32D25" w:rsidRDefault="003E2D72" w:rsidP="003E2D72">
      <w:pPr>
        <w:numPr>
          <w:ilvl w:val="0"/>
          <w:numId w:val="43"/>
        </w:numPr>
        <w:jc w:val="both"/>
        <w:rPr>
          <w:rFonts w:asciiTheme="majorBidi" w:hAnsiTheme="majorBidi" w:cstheme="majorBidi"/>
          <w:sz w:val="24"/>
          <w:szCs w:val="24"/>
        </w:rPr>
      </w:pPr>
      <w:r w:rsidRPr="00C32D25">
        <w:rPr>
          <w:rFonts w:asciiTheme="majorBidi" w:hAnsiTheme="majorBidi" w:cstheme="majorBidi"/>
          <w:sz w:val="24"/>
          <w:szCs w:val="24"/>
        </w:rPr>
        <w:t>Central Bank of Somalia. (2025). Financial Sector Development Project Framework and Banking Supervision Review. African Development Bank Report Repository. afdb.org</w:t>
      </w:r>
    </w:p>
    <w:p w14:paraId="55E2E56B" w14:textId="77777777" w:rsidR="003E2D72" w:rsidRPr="00C32D25" w:rsidRDefault="003E2D72" w:rsidP="003E2D72">
      <w:pPr>
        <w:numPr>
          <w:ilvl w:val="0"/>
          <w:numId w:val="43"/>
        </w:numPr>
        <w:jc w:val="both"/>
        <w:rPr>
          <w:rFonts w:asciiTheme="majorBidi" w:hAnsiTheme="majorBidi" w:cstheme="majorBidi"/>
          <w:sz w:val="24"/>
          <w:szCs w:val="24"/>
        </w:rPr>
      </w:pPr>
      <w:r w:rsidRPr="00C32D25">
        <w:rPr>
          <w:rFonts w:asciiTheme="majorBidi" w:hAnsiTheme="majorBidi" w:cstheme="majorBidi"/>
          <w:sz w:val="24"/>
          <w:szCs w:val="24"/>
        </w:rPr>
        <w:t>Hassan, M. S., &amp; Warsame, I. A. (2025). Exploring the impact of domestic investment on economic growth in fragile states: Evidence from Somalia. Journal of Post-Conflict Development, 11(2), 2499017. doi.org</w:t>
      </w:r>
    </w:p>
    <w:p w14:paraId="7C882E75" w14:textId="77777777" w:rsidR="003E2D72" w:rsidRPr="00C32D25" w:rsidRDefault="003E2D72" w:rsidP="003E2D72">
      <w:pPr>
        <w:numPr>
          <w:ilvl w:val="0"/>
          <w:numId w:val="43"/>
        </w:numPr>
        <w:jc w:val="both"/>
        <w:rPr>
          <w:rFonts w:asciiTheme="majorBidi" w:hAnsiTheme="majorBidi" w:cstheme="majorBidi"/>
          <w:sz w:val="24"/>
          <w:szCs w:val="24"/>
        </w:rPr>
      </w:pPr>
      <w:r w:rsidRPr="00C32D25">
        <w:rPr>
          <w:rFonts w:asciiTheme="majorBidi" w:hAnsiTheme="majorBidi" w:cstheme="majorBidi"/>
          <w:sz w:val="24"/>
          <w:szCs w:val="24"/>
        </w:rPr>
        <w:t>International Monetary Fund. (2026). Macroeconomic challenges of fragility and policies for stability and growth. IMF Staff Discussion Notes, 2026(003), A001. doi.org</w:t>
      </w:r>
    </w:p>
    <w:p w14:paraId="0F6B309F" w14:textId="77777777" w:rsidR="003E2D72" w:rsidRPr="00C32D25" w:rsidRDefault="003E2D72" w:rsidP="003E2D72">
      <w:pPr>
        <w:numPr>
          <w:ilvl w:val="0"/>
          <w:numId w:val="43"/>
        </w:numPr>
        <w:jc w:val="both"/>
        <w:rPr>
          <w:rFonts w:asciiTheme="majorBidi" w:hAnsiTheme="majorBidi" w:cstheme="majorBidi"/>
          <w:sz w:val="24"/>
          <w:szCs w:val="24"/>
        </w:rPr>
      </w:pPr>
      <w:r w:rsidRPr="00C32D25">
        <w:rPr>
          <w:rFonts w:asciiTheme="majorBidi" w:hAnsiTheme="majorBidi" w:cstheme="majorBidi"/>
          <w:sz w:val="24"/>
          <w:szCs w:val="24"/>
        </w:rPr>
        <w:t>Mohamed, A. A., &amp; Abdulle, M. H. (2025). Government spending and economic growth dynamics in post-conflict environments: An ARDL estimation for Somalia. Environmental Science and Policy Series, 4(2), 147-158. doi.org</w:t>
      </w:r>
    </w:p>
    <w:p w14:paraId="1E350FD1" w14:textId="77777777" w:rsidR="003E2D72" w:rsidRPr="00C32D25" w:rsidRDefault="003E2D72" w:rsidP="003E2D72">
      <w:pPr>
        <w:numPr>
          <w:ilvl w:val="0"/>
          <w:numId w:val="43"/>
        </w:numPr>
        <w:jc w:val="both"/>
        <w:rPr>
          <w:rFonts w:asciiTheme="majorBidi" w:hAnsiTheme="majorBidi" w:cstheme="majorBidi"/>
          <w:sz w:val="24"/>
          <w:szCs w:val="24"/>
        </w:rPr>
      </w:pPr>
      <w:r w:rsidRPr="00C32D25">
        <w:rPr>
          <w:rFonts w:asciiTheme="majorBidi" w:hAnsiTheme="majorBidi" w:cstheme="majorBidi"/>
          <w:sz w:val="24"/>
          <w:szCs w:val="24"/>
        </w:rPr>
        <w:t xml:space="preserve">Mohamed, F. O. (2026). Post-HIPC debt relief and the strategic role of Islamic finance in sustainable investment and growth: Somalia's economic reawakening. Journal of Islamic Macroeconomics, 14(1), 399750. </w:t>
      </w:r>
      <w:hyperlink r:id="rId36" w:tgtFrame="_blank" w:history="1">
        <w:r w:rsidRPr="00C32D25">
          <w:rPr>
            <w:rStyle w:val="Hyperlink"/>
            <w:rFonts w:asciiTheme="majorBidi" w:hAnsiTheme="majorBidi" w:cstheme="majorBidi"/>
            <w:sz w:val="24"/>
            <w:szCs w:val="24"/>
          </w:rPr>
          <w:t>researchgate.net</w:t>
        </w:r>
      </w:hyperlink>
    </w:p>
    <w:p w14:paraId="74AC8669" w14:textId="77777777" w:rsidR="003E2D72" w:rsidRPr="00C32D25" w:rsidRDefault="003E2D72" w:rsidP="009315C1">
      <w:pPr>
        <w:numPr>
          <w:ilvl w:val="0"/>
          <w:numId w:val="43"/>
        </w:numPr>
        <w:spacing w:after="0" w:line="240" w:lineRule="auto"/>
        <w:jc w:val="both"/>
        <w:rPr>
          <w:rFonts w:asciiTheme="majorBidi" w:hAnsiTheme="majorBidi" w:cstheme="majorBidi"/>
          <w:sz w:val="24"/>
          <w:szCs w:val="24"/>
        </w:rPr>
      </w:pPr>
      <w:r w:rsidRPr="00243A2F">
        <w:rPr>
          <w:rFonts w:asciiTheme="majorBidi" w:hAnsiTheme="majorBidi" w:cstheme="majorBidi"/>
          <w:sz w:val="24"/>
          <w:szCs w:val="24"/>
        </w:rPr>
        <w:t>World Bank. (2026). Somalia Economic Update, May 2026: Strengthening Macroeconomic Credibility and Regional Integration. World Bank Group Open Knowledge Repository. worldbank.org</w:t>
      </w:r>
    </w:p>
    <w:sectPr w:rsidR="003E2D72" w:rsidRPr="00C32D2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5DCA6C" w14:textId="77777777" w:rsidR="00ED4A4D" w:rsidRDefault="00ED4A4D">
      <w:pPr>
        <w:spacing w:line="240" w:lineRule="auto"/>
      </w:pPr>
      <w:r>
        <w:separator/>
      </w:r>
    </w:p>
  </w:endnote>
  <w:endnote w:type="continuationSeparator" w:id="0">
    <w:p w14:paraId="108CEE0D" w14:textId="77777777" w:rsidR="00ED4A4D" w:rsidRDefault="00ED4A4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0C8911" w14:textId="77777777" w:rsidR="00ED4A4D" w:rsidRDefault="00ED4A4D">
      <w:pPr>
        <w:spacing w:after="0"/>
      </w:pPr>
      <w:r>
        <w:separator/>
      </w:r>
    </w:p>
  </w:footnote>
  <w:footnote w:type="continuationSeparator" w:id="0">
    <w:p w14:paraId="0C6FF985" w14:textId="77777777" w:rsidR="00ED4A4D" w:rsidRDefault="00ED4A4D">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92547D"/>
    <w:multiLevelType w:val="multilevel"/>
    <w:tmpl w:val="0292547D"/>
    <w:lvl w:ilvl="0">
      <w:start w:val="1"/>
      <w:numFmt w:val="bullet"/>
      <w:lvlText w:val=""/>
      <w:lvlJc w:val="left"/>
      <w:pPr>
        <w:tabs>
          <w:tab w:val="left" w:pos="720"/>
        </w:tabs>
        <w:ind w:left="720" w:hanging="360"/>
      </w:pPr>
      <w:rPr>
        <w:rFonts w:ascii="Symbol" w:hAnsi="Symbol" w:hint="default"/>
        <w:sz w:val="20"/>
        <w:szCs w:val="20"/>
      </w:rPr>
    </w:lvl>
    <w:lvl w:ilvl="1">
      <w:start w:val="1"/>
      <w:numFmt w:val="bullet"/>
      <w:lvlText w:val="o"/>
      <w:lvlJc w:val="left"/>
      <w:pPr>
        <w:tabs>
          <w:tab w:val="left" w:pos="1440"/>
        </w:tabs>
        <w:ind w:left="1440" w:hanging="360"/>
      </w:pPr>
      <w:rPr>
        <w:rFonts w:ascii="Courier New" w:hAnsi="Courier New" w:cs="Courier New" w:hint="default"/>
        <w:sz w:val="20"/>
        <w:szCs w:val="20"/>
      </w:rPr>
    </w:lvl>
    <w:lvl w:ilvl="2">
      <w:start w:val="1"/>
      <w:numFmt w:val="bullet"/>
      <w:lvlText w:val=""/>
      <w:lvlJc w:val="left"/>
      <w:pPr>
        <w:tabs>
          <w:tab w:val="left" w:pos="2160"/>
        </w:tabs>
        <w:ind w:left="2160" w:hanging="360"/>
      </w:pPr>
      <w:rPr>
        <w:rFonts w:ascii="Wingdings" w:hAnsi="Wingdings" w:hint="default"/>
        <w:sz w:val="20"/>
        <w:szCs w:val="20"/>
      </w:rPr>
    </w:lvl>
    <w:lvl w:ilvl="3">
      <w:start w:val="1"/>
      <w:numFmt w:val="bullet"/>
      <w:lvlText w:val=""/>
      <w:lvlJc w:val="left"/>
      <w:pPr>
        <w:tabs>
          <w:tab w:val="left" w:pos="2880"/>
        </w:tabs>
        <w:ind w:left="2880" w:hanging="360"/>
      </w:pPr>
      <w:rPr>
        <w:rFonts w:ascii="Wingdings" w:hAnsi="Wingdings" w:hint="default"/>
        <w:sz w:val="20"/>
        <w:szCs w:val="20"/>
      </w:rPr>
    </w:lvl>
    <w:lvl w:ilvl="4">
      <w:start w:val="1"/>
      <w:numFmt w:val="bullet"/>
      <w:lvlText w:val=""/>
      <w:lvlJc w:val="left"/>
      <w:pPr>
        <w:tabs>
          <w:tab w:val="left" w:pos="3600"/>
        </w:tabs>
        <w:ind w:left="3600" w:hanging="360"/>
      </w:pPr>
      <w:rPr>
        <w:rFonts w:ascii="Wingdings" w:hAnsi="Wingdings" w:hint="default"/>
        <w:sz w:val="20"/>
        <w:szCs w:val="20"/>
      </w:rPr>
    </w:lvl>
    <w:lvl w:ilvl="5">
      <w:start w:val="1"/>
      <w:numFmt w:val="bullet"/>
      <w:lvlText w:val=""/>
      <w:lvlJc w:val="left"/>
      <w:pPr>
        <w:tabs>
          <w:tab w:val="left" w:pos="4320"/>
        </w:tabs>
        <w:ind w:left="4320" w:hanging="360"/>
      </w:pPr>
      <w:rPr>
        <w:rFonts w:ascii="Wingdings" w:hAnsi="Wingdings" w:hint="default"/>
        <w:sz w:val="20"/>
        <w:szCs w:val="20"/>
      </w:rPr>
    </w:lvl>
    <w:lvl w:ilvl="6">
      <w:start w:val="1"/>
      <w:numFmt w:val="bullet"/>
      <w:lvlText w:val=""/>
      <w:lvlJc w:val="left"/>
      <w:pPr>
        <w:tabs>
          <w:tab w:val="left" w:pos="5040"/>
        </w:tabs>
        <w:ind w:left="5040" w:hanging="360"/>
      </w:pPr>
      <w:rPr>
        <w:rFonts w:ascii="Wingdings" w:hAnsi="Wingdings" w:hint="default"/>
        <w:sz w:val="20"/>
        <w:szCs w:val="20"/>
      </w:rPr>
    </w:lvl>
    <w:lvl w:ilvl="7">
      <w:start w:val="1"/>
      <w:numFmt w:val="bullet"/>
      <w:lvlText w:val=""/>
      <w:lvlJc w:val="left"/>
      <w:pPr>
        <w:tabs>
          <w:tab w:val="left" w:pos="5760"/>
        </w:tabs>
        <w:ind w:left="5760" w:hanging="360"/>
      </w:pPr>
      <w:rPr>
        <w:rFonts w:ascii="Wingdings" w:hAnsi="Wingdings" w:hint="default"/>
        <w:sz w:val="20"/>
        <w:szCs w:val="20"/>
      </w:rPr>
    </w:lvl>
    <w:lvl w:ilvl="8">
      <w:start w:val="1"/>
      <w:numFmt w:val="bullet"/>
      <w:lvlText w:val=""/>
      <w:lvlJc w:val="left"/>
      <w:pPr>
        <w:tabs>
          <w:tab w:val="left" w:pos="6480"/>
        </w:tabs>
        <w:ind w:left="6480" w:hanging="360"/>
      </w:pPr>
      <w:rPr>
        <w:rFonts w:ascii="Wingdings" w:hAnsi="Wingdings" w:hint="default"/>
        <w:sz w:val="20"/>
        <w:szCs w:val="20"/>
      </w:rPr>
    </w:lvl>
  </w:abstractNum>
  <w:abstractNum w:abstractNumId="1" w15:restartNumberingAfterBreak="0">
    <w:nsid w:val="03A57F73"/>
    <w:multiLevelType w:val="multilevel"/>
    <w:tmpl w:val="789A2A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72668C5"/>
    <w:multiLevelType w:val="multilevel"/>
    <w:tmpl w:val="277E5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AA0A14"/>
    <w:multiLevelType w:val="multilevel"/>
    <w:tmpl w:val="B35A33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4977A5"/>
    <w:multiLevelType w:val="multilevel"/>
    <w:tmpl w:val="094977A5"/>
    <w:lvl w:ilvl="0">
      <w:start w:val="1"/>
      <w:numFmt w:val="bullet"/>
      <w:lvlText w:val=""/>
      <w:lvlJc w:val="left"/>
      <w:pPr>
        <w:tabs>
          <w:tab w:val="left" w:pos="720"/>
        </w:tabs>
        <w:ind w:left="720" w:hanging="360"/>
      </w:pPr>
      <w:rPr>
        <w:rFonts w:ascii="Symbol" w:hAnsi="Symbol" w:hint="default"/>
        <w:sz w:val="20"/>
        <w:szCs w:val="20"/>
      </w:rPr>
    </w:lvl>
    <w:lvl w:ilvl="1">
      <w:start w:val="1"/>
      <w:numFmt w:val="bullet"/>
      <w:lvlText w:val="o"/>
      <w:lvlJc w:val="left"/>
      <w:pPr>
        <w:tabs>
          <w:tab w:val="left" w:pos="1440"/>
        </w:tabs>
        <w:ind w:left="1440" w:hanging="360"/>
      </w:pPr>
      <w:rPr>
        <w:rFonts w:ascii="Courier New" w:hAnsi="Courier New" w:cs="Courier New" w:hint="default"/>
        <w:sz w:val="20"/>
        <w:szCs w:val="20"/>
      </w:rPr>
    </w:lvl>
    <w:lvl w:ilvl="2">
      <w:start w:val="1"/>
      <w:numFmt w:val="bullet"/>
      <w:lvlText w:val=""/>
      <w:lvlJc w:val="left"/>
      <w:pPr>
        <w:tabs>
          <w:tab w:val="left" w:pos="2160"/>
        </w:tabs>
        <w:ind w:left="2160" w:hanging="360"/>
      </w:pPr>
      <w:rPr>
        <w:rFonts w:ascii="Wingdings" w:hAnsi="Wingdings" w:hint="default"/>
        <w:sz w:val="20"/>
        <w:szCs w:val="20"/>
      </w:rPr>
    </w:lvl>
    <w:lvl w:ilvl="3">
      <w:start w:val="1"/>
      <w:numFmt w:val="bullet"/>
      <w:lvlText w:val=""/>
      <w:lvlJc w:val="left"/>
      <w:pPr>
        <w:tabs>
          <w:tab w:val="left" w:pos="2880"/>
        </w:tabs>
        <w:ind w:left="2880" w:hanging="360"/>
      </w:pPr>
      <w:rPr>
        <w:rFonts w:ascii="Wingdings" w:hAnsi="Wingdings" w:hint="default"/>
        <w:sz w:val="20"/>
        <w:szCs w:val="20"/>
      </w:rPr>
    </w:lvl>
    <w:lvl w:ilvl="4">
      <w:start w:val="1"/>
      <w:numFmt w:val="bullet"/>
      <w:lvlText w:val=""/>
      <w:lvlJc w:val="left"/>
      <w:pPr>
        <w:tabs>
          <w:tab w:val="left" w:pos="3600"/>
        </w:tabs>
        <w:ind w:left="3600" w:hanging="360"/>
      </w:pPr>
      <w:rPr>
        <w:rFonts w:ascii="Wingdings" w:hAnsi="Wingdings" w:hint="default"/>
        <w:sz w:val="20"/>
        <w:szCs w:val="20"/>
      </w:rPr>
    </w:lvl>
    <w:lvl w:ilvl="5">
      <w:start w:val="1"/>
      <w:numFmt w:val="bullet"/>
      <w:lvlText w:val=""/>
      <w:lvlJc w:val="left"/>
      <w:pPr>
        <w:tabs>
          <w:tab w:val="left" w:pos="4320"/>
        </w:tabs>
        <w:ind w:left="4320" w:hanging="360"/>
      </w:pPr>
      <w:rPr>
        <w:rFonts w:ascii="Wingdings" w:hAnsi="Wingdings" w:hint="default"/>
        <w:sz w:val="20"/>
        <w:szCs w:val="20"/>
      </w:rPr>
    </w:lvl>
    <w:lvl w:ilvl="6">
      <w:start w:val="1"/>
      <w:numFmt w:val="bullet"/>
      <w:lvlText w:val=""/>
      <w:lvlJc w:val="left"/>
      <w:pPr>
        <w:tabs>
          <w:tab w:val="left" w:pos="5040"/>
        </w:tabs>
        <w:ind w:left="5040" w:hanging="360"/>
      </w:pPr>
      <w:rPr>
        <w:rFonts w:ascii="Wingdings" w:hAnsi="Wingdings" w:hint="default"/>
        <w:sz w:val="20"/>
        <w:szCs w:val="20"/>
      </w:rPr>
    </w:lvl>
    <w:lvl w:ilvl="7">
      <w:start w:val="1"/>
      <w:numFmt w:val="bullet"/>
      <w:lvlText w:val=""/>
      <w:lvlJc w:val="left"/>
      <w:pPr>
        <w:tabs>
          <w:tab w:val="left" w:pos="5760"/>
        </w:tabs>
        <w:ind w:left="5760" w:hanging="360"/>
      </w:pPr>
      <w:rPr>
        <w:rFonts w:ascii="Wingdings" w:hAnsi="Wingdings" w:hint="default"/>
        <w:sz w:val="20"/>
        <w:szCs w:val="20"/>
      </w:rPr>
    </w:lvl>
    <w:lvl w:ilvl="8">
      <w:start w:val="1"/>
      <w:numFmt w:val="bullet"/>
      <w:lvlText w:val=""/>
      <w:lvlJc w:val="left"/>
      <w:pPr>
        <w:tabs>
          <w:tab w:val="left" w:pos="6480"/>
        </w:tabs>
        <w:ind w:left="6480" w:hanging="360"/>
      </w:pPr>
      <w:rPr>
        <w:rFonts w:ascii="Wingdings" w:hAnsi="Wingdings" w:hint="default"/>
        <w:sz w:val="20"/>
        <w:szCs w:val="20"/>
      </w:rPr>
    </w:lvl>
  </w:abstractNum>
  <w:abstractNum w:abstractNumId="5" w15:restartNumberingAfterBreak="0">
    <w:nsid w:val="096C176D"/>
    <w:multiLevelType w:val="multilevel"/>
    <w:tmpl w:val="096C176D"/>
    <w:lvl w:ilvl="0">
      <w:start w:val="1"/>
      <w:numFmt w:val="bullet"/>
      <w:lvlText w:val=""/>
      <w:lvlJc w:val="left"/>
      <w:pPr>
        <w:tabs>
          <w:tab w:val="left" w:pos="720"/>
        </w:tabs>
        <w:ind w:left="720" w:hanging="360"/>
      </w:pPr>
      <w:rPr>
        <w:rFonts w:ascii="Symbol" w:hAnsi="Symbol" w:hint="default"/>
        <w:sz w:val="20"/>
        <w:szCs w:val="20"/>
      </w:rPr>
    </w:lvl>
    <w:lvl w:ilvl="1">
      <w:start w:val="1"/>
      <w:numFmt w:val="bullet"/>
      <w:lvlText w:val="o"/>
      <w:lvlJc w:val="left"/>
      <w:pPr>
        <w:tabs>
          <w:tab w:val="left" w:pos="1440"/>
        </w:tabs>
        <w:ind w:left="1440" w:hanging="360"/>
      </w:pPr>
      <w:rPr>
        <w:rFonts w:ascii="Courier New" w:hAnsi="Courier New" w:cs="Courier New" w:hint="default"/>
        <w:sz w:val="20"/>
        <w:szCs w:val="20"/>
      </w:rPr>
    </w:lvl>
    <w:lvl w:ilvl="2">
      <w:start w:val="1"/>
      <w:numFmt w:val="bullet"/>
      <w:lvlText w:val=""/>
      <w:lvlJc w:val="left"/>
      <w:pPr>
        <w:tabs>
          <w:tab w:val="left" w:pos="2160"/>
        </w:tabs>
        <w:ind w:left="2160" w:hanging="360"/>
      </w:pPr>
      <w:rPr>
        <w:rFonts w:ascii="Wingdings" w:hAnsi="Wingdings" w:hint="default"/>
        <w:sz w:val="20"/>
        <w:szCs w:val="20"/>
      </w:rPr>
    </w:lvl>
    <w:lvl w:ilvl="3">
      <w:start w:val="1"/>
      <w:numFmt w:val="bullet"/>
      <w:lvlText w:val=""/>
      <w:lvlJc w:val="left"/>
      <w:pPr>
        <w:tabs>
          <w:tab w:val="left" w:pos="2880"/>
        </w:tabs>
        <w:ind w:left="2880" w:hanging="360"/>
      </w:pPr>
      <w:rPr>
        <w:rFonts w:ascii="Wingdings" w:hAnsi="Wingdings" w:hint="default"/>
        <w:sz w:val="20"/>
        <w:szCs w:val="20"/>
      </w:rPr>
    </w:lvl>
    <w:lvl w:ilvl="4">
      <w:start w:val="1"/>
      <w:numFmt w:val="bullet"/>
      <w:lvlText w:val=""/>
      <w:lvlJc w:val="left"/>
      <w:pPr>
        <w:tabs>
          <w:tab w:val="left" w:pos="3600"/>
        </w:tabs>
        <w:ind w:left="3600" w:hanging="360"/>
      </w:pPr>
      <w:rPr>
        <w:rFonts w:ascii="Wingdings" w:hAnsi="Wingdings" w:hint="default"/>
        <w:sz w:val="20"/>
        <w:szCs w:val="20"/>
      </w:rPr>
    </w:lvl>
    <w:lvl w:ilvl="5">
      <w:start w:val="1"/>
      <w:numFmt w:val="bullet"/>
      <w:lvlText w:val=""/>
      <w:lvlJc w:val="left"/>
      <w:pPr>
        <w:tabs>
          <w:tab w:val="left" w:pos="4320"/>
        </w:tabs>
        <w:ind w:left="4320" w:hanging="360"/>
      </w:pPr>
      <w:rPr>
        <w:rFonts w:ascii="Wingdings" w:hAnsi="Wingdings" w:hint="default"/>
        <w:sz w:val="20"/>
        <w:szCs w:val="20"/>
      </w:rPr>
    </w:lvl>
    <w:lvl w:ilvl="6">
      <w:start w:val="1"/>
      <w:numFmt w:val="bullet"/>
      <w:lvlText w:val=""/>
      <w:lvlJc w:val="left"/>
      <w:pPr>
        <w:tabs>
          <w:tab w:val="left" w:pos="5040"/>
        </w:tabs>
        <w:ind w:left="5040" w:hanging="360"/>
      </w:pPr>
      <w:rPr>
        <w:rFonts w:ascii="Wingdings" w:hAnsi="Wingdings" w:hint="default"/>
        <w:sz w:val="20"/>
        <w:szCs w:val="20"/>
      </w:rPr>
    </w:lvl>
    <w:lvl w:ilvl="7">
      <w:start w:val="1"/>
      <w:numFmt w:val="bullet"/>
      <w:lvlText w:val=""/>
      <w:lvlJc w:val="left"/>
      <w:pPr>
        <w:tabs>
          <w:tab w:val="left" w:pos="5760"/>
        </w:tabs>
        <w:ind w:left="5760" w:hanging="360"/>
      </w:pPr>
      <w:rPr>
        <w:rFonts w:ascii="Wingdings" w:hAnsi="Wingdings" w:hint="default"/>
        <w:sz w:val="20"/>
        <w:szCs w:val="20"/>
      </w:rPr>
    </w:lvl>
    <w:lvl w:ilvl="8">
      <w:start w:val="1"/>
      <w:numFmt w:val="bullet"/>
      <w:lvlText w:val=""/>
      <w:lvlJc w:val="left"/>
      <w:pPr>
        <w:tabs>
          <w:tab w:val="left" w:pos="6480"/>
        </w:tabs>
        <w:ind w:left="6480" w:hanging="360"/>
      </w:pPr>
      <w:rPr>
        <w:rFonts w:ascii="Wingdings" w:hAnsi="Wingdings" w:hint="default"/>
        <w:sz w:val="20"/>
        <w:szCs w:val="20"/>
      </w:rPr>
    </w:lvl>
  </w:abstractNum>
  <w:abstractNum w:abstractNumId="6" w15:restartNumberingAfterBreak="0">
    <w:nsid w:val="0B880538"/>
    <w:multiLevelType w:val="multilevel"/>
    <w:tmpl w:val="E24624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CBE0432"/>
    <w:multiLevelType w:val="multilevel"/>
    <w:tmpl w:val="0CBE0432"/>
    <w:lvl w:ilvl="0">
      <w:start w:val="1"/>
      <w:numFmt w:val="bullet"/>
      <w:lvlText w:val=""/>
      <w:lvlJc w:val="left"/>
      <w:pPr>
        <w:tabs>
          <w:tab w:val="left" w:pos="720"/>
        </w:tabs>
        <w:ind w:left="720" w:hanging="360"/>
      </w:pPr>
      <w:rPr>
        <w:rFonts w:ascii="Symbol" w:hAnsi="Symbol" w:hint="default"/>
        <w:sz w:val="20"/>
        <w:szCs w:val="20"/>
      </w:rPr>
    </w:lvl>
    <w:lvl w:ilvl="1">
      <w:start w:val="1"/>
      <w:numFmt w:val="bullet"/>
      <w:lvlText w:val="o"/>
      <w:lvlJc w:val="left"/>
      <w:pPr>
        <w:tabs>
          <w:tab w:val="left" w:pos="1440"/>
        </w:tabs>
        <w:ind w:left="1440" w:hanging="360"/>
      </w:pPr>
      <w:rPr>
        <w:rFonts w:ascii="Courier New" w:hAnsi="Courier New" w:cs="Courier New" w:hint="default"/>
        <w:sz w:val="20"/>
        <w:szCs w:val="20"/>
      </w:rPr>
    </w:lvl>
    <w:lvl w:ilvl="2">
      <w:start w:val="1"/>
      <w:numFmt w:val="bullet"/>
      <w:lvlText w:val=""/>
      <w:lvlJc w:val="left"/>
      <w:pPr>
        <w:tabs>
          <w:tab w:val="left" w:pos="2160"/>
        </w:tabs>
        <w:ind w:left="2160" w:hanging="360"/>
      </w:pPr>
      <w:rPr>
        <w:rFonts w:ascii="Wingdings" w:hAnsi="Wingdings" w:hint="default"/>
        <w:sz w:val="20"/>
        <w:szCs w:val="20"/>
      </w:rPr>
    </w:lvl>
    <w:lvl w:ilvl="3">
      <w:start w:val="1"/>
      <w:numFmt w:val="bullet"/>
      <w:lvlText w:val=""/>
      <w:lvlJc w:val="left"/>
      <w:pPr>
        <w:tabs>
          <w:tab w:val="left" w:pos="2880"/>
        </w:tabs>
        <w:ind w:left="2880" w:hanging="360"/>
      </w:pPr>
      <w:rPr>
        <w:rFonts w:ascii="Wingdings" w:hAnsi="Wingdings" w:hint="default"/>
        <w:sz w:val="20"/>
        <w:szCs w:val="20"/>
      </w:rPr>
    </w:lvl>
    <w:lvl w:ilvl="4">
      <w:start w:val="1"/>
      <w:numFmt w:val="bullet"/>
      <w:lvlText w:val=""/>
      <w:lvlJc w:val="left"/>
      <w:pPr>
        <w:tabs>
          <w:tab w:val="left" w:pos="3600"/>
        </w:tabs>
        <w:ind w:left="3600" w:hanging="360"/>
      </w:pPr>
      <w:rPr>
        <w:rFonts w:ascii="Wingdings" w:hAnsi="Wingdings" w:hint="default"/>
        <w:sz w:val="20"/>
        <w:szCs w:val="20"/>
      </w:rPr>
    </w:lvl>
    <w:lvl w:ilvl="5">
      <w:start w:val="1"/>
      <w:numFmt w:val="bullet"/>
      <w:lvlText w:val=""/>
      <w:lvlJc w:val="left"/>
      <w:pPr>
        <w:tabs>
          <w:tab w:val="left" w:pos="4320"/>
        </w:tabs>
        <w:ind w:left="4320" w:hanging="360"/>
      </w:pPr>
      <w:rPr>
        <w:rFonts w:ascii="Wingdings" w:hAnsi="Wingdings" w:hint="default"/>
        <w:sz w:val="20"/>
        <w:szCs w:val="20"/>
      </w:rPr>
    </w:lvl>
    <w:lvl w:ilvl="6">
      <w:start w:val="1"/>
      <w:numFmt w:val="bullet"/>
      <w:lvlText w:val=""/>
      <w:lvlJc w:val="left"/>
      <w:pPr>
        <w:tabs>
          <w:tab w:val="left" w:pos="5040"/>
        </w:tabs>
        <w:ind w:left="5040" w:hanging="360"/>
      </w:pPr>
      <w:rPr>
        <w:rFonts w:ascii="Wingdings" w:hAnsi="Wingdings" w:hint="default"/>
        <w:sz w:val="20"/>
        <w:szCs w:val="20"/>
      </w:rPr>
    </w:lvl>
    <w:lvl w:ilvl="7">
      <w:start w:val="1"/>
      <w:numFmt w:val="bullet"/>
      <w:lvlText w:val=""/>
      <w:lvlJc w:val="left"/>
      <w:pPr>
        <w:tabs>
          <w:tab w:val="left" w:pos="5760"/>
        </w:tabs>
        <w:ind w:left="5760" w:hanging="360"/>
      </w:pPr>
      <w:rPr>
        <w:rFonts w:ascii="Wingdings" w:hAnsi="Wingdings" w:hint="default"/>
        <w:sz w:val="20"/>
        <w:szCs w:val="20"/>
      </w:rPr>
    </w:lvl>
    <w:lvl w:ilvl="8">
      <w:start w:val="1"/>
      <w:numFmt w:val="bullet"/>
      <w:lvlText w:val=""/>
      <w:lvlJc w:val="left"/>
      <w:pPr>
        <w:tabs>
          <w:tab w:val="left" w:pos="6480"/>
        </w:tabs>
        <w:ind w:left="6480" w:hanging="360"/>
      </w:pPr>
      <w:rPr>
        <w:rFonts w:ascii="Wingdings" w:hAnsi="Wingdings" w:hint="default"/>
        <w:sz w:val="20"/>
        <w:szCs w:val="20"/>
      </w:rPr>
    </w:lvl>
  </w:abstractNum>
  <w:abstractNum w:abstractNumId="8" w15:restartNumberingAfterBreak="0">
    <w:nsid w:val="0E977C51"/>
    <w:multiLevelType w:val="multilevel"/>
    <w:tmpl w:val="0E977C51"/>
    <w:lvl w:ilvl="0">
      <w:start w:val="1"/>
      <w:numFmt w:val="bullet"/>
      <w:lvlText w:val=""/>
      <w:lvlJc w:val="left"/>
      <w:pPr>
        <w:tabs>
          <w:tab w:val="left" w:pos="720"/>
        </w:tabs>
        <w:ind w:left="720" w:hanging="360"/>
      </w:pPr>
      <w:rPr>
        <w:rFonts w:ascii="Symbol" w:hAnsi="Symbol" w:hint="default"/>
        <w:sz w:val="20"/>
        <w:szCs w:val="20"/>
      </w:rPr>
    </w:lvl>
    <w:lvl w:ilvl="1">
      <w:start w:val="1"/>
      <w:numFmt w:val="bullet"/>
      <w:lvlText w:val="o"/>
      <w:lvlJc w:val="left"/>
      <w:pPr>
        <w:tabs>
          <w:tab w:val="left" w:pos="1440"/>
        </w:tabs>
        <w:ind w:left="1440" w:hanging="360"/>
      </w:pPr>
      <w:rPr>
        <w:rFonts w:ascii="Courier New" w:hAnsi="Courier New" w:cs="Courier New" w:hint="default"/>
        <w:sz w:val="20"/>
        <w:szCs w:val="20"/>
      </w:rPr>
    </w:lvl>
    <w:lvl w:ilvl="2">
      <w:start w:val="1"/>
      <w:numFmt w:val="bullet"/>
      <w:lvlText w:val=""/>
      <w:lvlJc w:val="left"/>
      <w:pPr>
        <w:tabs>
          <w:tab w:val="left" w:pos="2160"/>
        </w:tabs>
        <w:ind w:left="2160" w:hanging="360"/>
      </w:pPr>
      <w:rPr>
        <w:rFonts w:ascii="Wingdings" w:hAnsi="Wingdings" w:hint="default"/>
        <w:sz w:val="20"/>
        <w:szCs w:val="20"/>
      </w:rPr>
    </w:lvl>
    <w:lvl w:ilvl="3">
      <w:start w:val="1"/>
      <w:numFmt w:val="bullet"/>
      <w:lvlText w:val=""/>
      <w:lvlJc w:val="left"/>
      <w:pPr>
        <w:tabs>
          <w:tab w:val="left" w:pos="2880"/>
        </w:tabs>
        <w:ind w:left="2880" w:hanging="360"/>
      </w:pPr>
      <w:rPr>
        <w:rFonts w:ascii="Wingdings" w:hAnsi="Wingdings" w:hint="default"/>
        <w:sz w:val="20"/>
        <w:szCs w:val="20"/>
      </w:rPr>
    </w:lvl>
    <w:lvl w:ilvl="4">
      <w:start w:val="1"/>
      <w:numFmt w:val="bullet"/>
      <w:lvlText w:val=""/>
      <w:lvlJc w:val="left"/>
      <w:pPr>
        <w:tabs>
          <w:tab w:val="left" w:pos="3600"/>
        </w:tabs>
        <w:ind w:left="3600" w:hanging="360"/>
      </w:pPr>
      <w:rPr>
        <w:rFonts w:ascii="Wingdings" w:hAnsi="Wingdings" w:hint="default"/>
        <w:sz w:val="20"/>
        <w:szCs w:val="20"/>
      </w:rPr>
    </w:lvl>
    <w:lvl w:ilvl="5">
      <w:start w:val="1"/>
      <w:numFmt w:val="bullet"/>
      <w:lvlText w:val=""/>
      <w:lvlJc w:val="left"/>
      <w:pPr>
        <w:tabs>
          <w:tab w:val="left" w:pos="4320"/>
        </w:tabs>
        <w:ind w:left="4320" w:hanging="360"/>
      </w:pPr>
      <w:rPr>
        <w:rFonts w:ascii="Wingdings" w:hAnsi="Wingdings" w:hint="default"/>
        <w:sz w:val="20"/>
        <w:szCs w:val="20"/>
      </w:rPr>
    </w:lvl>
    <w:lvl w:ilvl="6">
      <w:start w:val="1"/>
      <w:numFmt w:val="bullet"/>
      <w:lvlText w:val=""/>
      <w:lvlJc w:val="left"/>
      <w:pPr>
        <w:tabs>
          <w:tab w:val="left" w:pos="5040"/>
        </w:tabs>
        <w:ind w:left="5040" w:hanging="360"/>
      </w:pPr>
      <w:rPr>
        <w:rFonts w:ascii="Wingdings" w:hAnsi="Wingdings" w:hint="default"/>
        <w:sz w:val="20"/>
        <w:szCs w:val="20"/>
      </w:rPr>
    </w:lvl>
    <w:lvl w:ilvl="7">
      <w:start w:val="1"/>
      <w:numFmt w:val="bullet"/>
      <w:lvlText w:val=""/>
      <w:lvlJc w:val="left"/>
      <w:pPr>
        <w:tabs>
          <w:tab w:val="left" w:pos="5760"/>
        </w:tabs>
        <w:ind w:left="5760" w:hanging="360"/>
      </w:pPr>
      <w:rPr>
        <w:rFonts w:ascii="Wingdings" w:hAnsi="Wingdings" w:hint="default"/>
        <w:sz w:val="20"/>
        <w:szCs w:val="20"/>
      </w:rPr>
    </w:lvl>
    <w:lvl w:ilvl="8">
      <w:start w:val="1"/>
      <w:numFmt w:val="bullet"/>
      <w:lvlText w:val=""/>
      <w:lvlJc w:val="left"/>
      <w:pPr>
        <w:tabs>
          <w:tab w:val="left" w:pos="6480"/>
        </w:tabs>
        <w:ind w:left="6480" w:hanging="360"/>
      </w:pPr>
      <w:rPr>
        <w:rFonts w:ascii="Wingdings" w:hAnsi="Wingdings" w:hint="default"/>
        <w:sz w:val="20"/>
        <w:szCs w:val="20"/>
      </w:rPr>
    </w:lvl>
  </w:abstractNum>
  <w:abstractNum w:abstractNumId="9" w15:restartNumberingAfterBreak="0">
    <w:nsid w:val="100240C2"/>
    <w:multiLevelType w:val="multilevel"/>
    <w:tmpl w:val="28B28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3AD792E"/>
    <w:multiLevelType w:val="multilevel"/>
    <w:tmpl w:val="4F922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3D6335F"/>
    <w:multiLevelType w:val="multilevel"/>
    <w:tmpl w:val="FF7022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64D4573"/>
    <w:multiLevelType w:val="multilevel"/>
    <w:tmpl w:val="164D4573"/>
    <w:lvl w:ilvl="0">
      <w:start w:val="1"/>
      <w:numFmt w:val="bullet"/>
      <w:lvlText w:val=""/>
      <w:lvlJc w:val="left"/>
      <w:pPr>
        <w:tabs>
          <w:tab w:val="left" w:pos="720"/>
        </w:tabs>
        <w:ind w:left="720" w:hanging="360"/>
      </w:pPr>
      <w:rPr>
        <w:rFonts w:ascii="Symbol" w:hAnsi="Symbol" w:hint="default"/>
        <w:sz w:val="20"/>
        <w:szCs w:val="20"/>
      </w:rPr>
    </w:lvl>
    <w:lvl w:ilvl="1">
      <w:start w:val="1"/>
      <w:numFmt w:val="bullet"/>
      <w:lvlText w:val="o"/>
      <w:lvlJc w:val="left"/>
      <w:pPr>
        <w:tabs>
          <w:tab w:val="left" w:pos="1440"/>
        </w:tabs>
        <w:ind w:left="1440" w:hanging="360"/>
      </w:pPr>
      <w:rPr>
        <w:rFonts w:ascii="Courier New" w:hAnsi="Courier New" w:cs="Courier New" w:hint="default"/>
        <w:sz w:val="20"/>
        <w:szCs w:val="20"/>
      </w:rPr>
    </w:lvl>
    <w:lvl w:ilvl="2">
      <w:start w:val="1"/>
      <w:numFmt w:val="bullet"/>
      <w:lvlText w:val=""/>
      <w:lvlJc w:val="left"/>
      <w:pPr>
        <w:tabs>
          <w:tab w:val="left" w:pos="2160"/>
        </w:tabs>
        <w:ind w:left="2160" w:hanging="360"/>
      </w:pPr>
      <w:rPr>
        <w:rFonts w:ascii="Wingdings" w:hAnsi="Wingdings" w:hint="default"/>
        <w:sz w:val="20"/>
        <w:szCs w:val="20"/>
      </w:rPr>
    </w:lvl>
    <w:lvl w:ilvl="3">
      <w:start w:val="1"/>
      <w:numFmt w:val="bullet"/>
      <w:lvlText w:val=""/>
      <w:lvlJc w:val="left"/>
      <w:pPr>
        <w:tabs>
          <w:tab w:val="left" w:pos="2880"/>
        </w:tabs>
        <w:ind w:left="2880" w:hanging="360"/>
      </w:pPr>
      <w:rPr>
        <w:rFonts w:ascii="Wingdings" w:hAnsi="Wingdings" w:hint="default"/>
        <w:sz w:val="20"/>
        <w:szCs w:val="20"/>
      </w:rPr>
    </w:lvl>
    <w:lvl w:ilvl="4">
      <w:start w:val="1"/>
      <w:numFmt w:val="bullet"/>
      <w:lvlText w:val=""/>
      <w:lvlJc w:val="left"/>
      <w:pPr>
        <w:tabs>
          <w:tab w:val="left" w:pos="3600"/>
        </w:tabs>
        <w:ind w:left="3600" w:hanging="360"/>
      </w:pPr>
      <w:rPr>
        <w:rFonts w:ascii="Wingdings" w:hAnsi="Wingdings" w:hint="default"/>
        <w:sz w:val="20"/>
        <w:szCs w:val="20"/>
      </w:rPr>
    </w:lvl>
    <w:lvl w:ilvl="5">
      <w:start w:val="1"/>
      <w:numFmt w:val="bullet"/>
      <w:lvlText w:val=""/>
      <w:lvlJc w:val="left"/>
      <w:pPr>
        <w:tabs>
          <w:tab w:val="left" w:pos="4320"/>
        </w:tabs>
        <w:ind w:left="4320" w:hanging="360"/>
      </w:pPr>
      <w:rPr>
        <w:rFonts w:ascii="Wingdings" w:hAnsi="Wingdings" w:hint="default"/>
        <w:sz w:val="20"/>
        <w:szCs w:val="20"/>
      </w:rPr>
    </w:lvl>
    <w:lvl w:ilvl="6">
      <w:start w:val="1"/>
      <w:numFmt w:val="bullet"/>
      <w:lvlText w:val=""/>
      <w:lvlJc w:val="left"/>
      <w:pPr>
        <w:tabs>
          <w:tab w:val="left" w:pos="5040"/>
        </w:tabs>
        <w:ind w:left="5040" w:hanging="360"/>
      </w:pPr>
      <w:rPr>
        <w:rFonts w:ascii="Wingdings" w:hAnsi="Wingdings" w:hint="default"/>
        <w:sz w:val="20"/>
        <w:szCs w:val="20"/>
      </w:rPr>
    </w:lvl>
    <w:lvl w:ilvl="7">
      <w:start w:val="1"/>
      <w:numFmt w:val="bullet"/>
      <w:lvlText w:val=""/>
      <w:lvlJc w:val="left"/>
      <w:pPr>
        <w:tabs>
          <w:tab w:val="left" w:pos="5760"/>
        </w:tabs>
        <w:ind w:left="5760" w:hanging="360"/>
      </w:pPr>
      <w:rPr>
        <w:rFonts w:ascii="Wingdings" w:hAnsi="Wingdings" w:hint="default"/>
        <w:sz w:val="20"/>
        <w:szCs w:val="20"/>
      </w:rPr>
    </w:lvl>
    <w:lvl w:ilvl="8">
      <w:start w:val="1"/>
      <w:numFmt w:val="bullet"/>
      <w:lvlText w:val=""/>
      <w:lvlJc w:val="left"/>
      <w:pPr>
        <w:tabs>
          <w:tab w:val="left" w:pos="6480"/>
        </w:tabs>
        <w:ind w:left="6480" w:hanging="360"/>
      </w:pPr>
      <w:rPr>
        <w:rFonts w:ascii="Wingdings" w:hAnsi="Wingdings" w:hint="default"/>
        <w:sz w:val="20"/>
        <w:szCs w:val="20"/>
      </w:rPr>
    </w:lvl>
  </w:abstractNum>
  <w:abstractNum w:abstractNumId="13" w15:restartNumberingAfterBreak="0">
    <w:nsid w:val="1F275E8E"/>
    <w:multiLevelType w:val="multilevel"/>
    <w:tmpl w:val="57583D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3D71651"/>
    <w:multiLevelType w:val="multilevel"/>
    <w:tmpl w:val="978C6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55B3CC9"/>
    <w:multiLevelType w:val="multilevel"/>
    <w:tmpl w:val="255B3CC9"/>
    <w:lvl w:ilvl="0">
      <w:start w:val="1"/>
      <w:numFmt w:val="bullet"/>
      <w:lvlText w:val=""/>
      <w:lvlJc w:val="left"/>
      <w:pPr>
        <w:tabs>
          <w:tab w:val="left" w:pos="720"/>
        </w:tabs>
        <w:ind w:left="720" w:hanging="360"/>
      </w:pPr>
      <w:rPr>
        <w:rFonts w:ascii="Symbol" w:hAnsi="Symbol" w:hint="default"/>
        <w:sz w:val="20"/>
        <w:szCs w:val="20"/>
      </w:rPr>
    </w:lvl>
    <w:lvl w:ilvl="1">
      <w:start w:val="1"/>
      <w:numFmt w:val="bullet"/>
      <w:lvlText w:val="o"/>
      <w:lvlJc w:val="left"/>
      <w:pPr>
        <w:tabs>
          <w:tab w:val="left" w:pos="1440"/>
        </w:tabs>
        <w:ind w:left="1440" w:hanging="360"/>
      </w:pPr>
      <w:rPr>
        <w:rFonts w:ascii="Courier New" w:hAnsi="Courier New" w:cs="Courier New" w:hint="default"/>
        <w:sz w:val="20"/>
        <w:szCs w:val="20"/>
      </w:rPr>
    </w:lvl>
    <w:lvl w:ilvl="2">
      <w:start w:val="1"/>
      <w:numFmt w:val="bullet"/>
      <w:lvlText w:val=""/>
      <w:lvlJc w:val="left"/>
      <w:pPr>
        <w:tabs>
          <w:tab w:val="left" w:pos="2160"/>
        </w:tabs>
        <w:ind w:left="2160" w:hanging="360"/>
      </w:pPr>
      <w:rPr>
        <w:rFonts w:ascii="Wingdings" w:hAnsi="Wingdings" w:hint="default"/>
        <w:sz w:val="20"/>
        <w:szCs w:val="20"/>
      </w:rPr>
    </w:lvl>
    <w:lvl w:ilvl="3">
      <w:start w:val="1"/>
      <w:numFmt w:val="bullet"/>
      <w:lvlText w:val=""/>
      <w:lvlJc w:val="left"/>
      <w:pPr>
        <w:tabs>
          <w:tab w:val="left" w:pos="2880"/>
        </w:tabs>
        <w:ind w:left="2880" w:hanging="360"/>
      </w:pPr>
      <w:rPr>
        <w:rFonts w:ascii="Wingdings" w:hAnsi="Wingdings" w:hint="default"/>
        <w:sz w:val="20"/>
        <w:szCs w:val="20"/>
      </w:rPr>
    </w:lvl>
    <w:lvl w:ilvl="4">
      <w:start w:val="1"/>
      <w:numFmt w:val="bullet"/>
      <w:lvlText w:val=""/>
      <w:lvlJc w:val="left"/>
      <w:pPr>
        <w:tabs>
          <w:tab w:val="left" w:pos="3600"/>
        </w:tabs>
        <w:ind w:left="3600" w:hanging="360"/>
      </w:pPr>
      <w:rPr>
        <w:rFonts w:ascii="Wingdings" w:hAnsi="Wingdings" w:hint="default"/>
        <w:sz w:val="20"/>
        <w:szCs w:val="20"/>
      </w:rPr>
    </w:lvl>
    <w:lvl w:ilvl="5">
      <w:start w:val="1"/>
      <w:numFmt w:val="bullet"/>
      <w:lvlText w:val=""/>
      <w:lvlJc w:val="left"/>
      <w:pPr>
        <w:tabs>
          <w:tab w:val="left" w:pos="4320"/>
        </w:tabs>
        <w:ind w:left="4320" w:hanging="360"/>
      </w:pPr>
      <w:rPr>
        <w:rFonts w:ascii="Wingdings" w:hAnsi="Wingdings" w:hint="default"/>
        <w:sz w:val="20"/>
        <w:szCs w:val="20"/>
      </w:rPr>
    </w:lvl>
    <w:lvl w:ilvl="6">
      <w:start w:val="1"/>
      <w:numFmt w:val="bullet"/>
      <w:lvlText w:val=""/>
      <w:lvlJc w:val="left"/>
      <w:pPr>
        <w:tabs>
          <w:tab w:val="left" w:pos="5040"/>
        </w:tabs>
        <w:ind w:left="5040" w:hanging="360"/>
      </w:pPr>
      <w:rPr>
        <w:rFonts w:ascii="Wingdings" w:hAnsi="Wingdings" w:hint="default"/>
        <w:sz w:val="20"/>
        <w:szCs w:val="20"/>
      </w:rPr>
    </w:lvl>
    <w:lvl w:ilvl="7">
      <w:start w:val="1"/>
      <w:numFmt w:val="bullet"/>
      <w:lvlText w:val=""/>
      <w:lvlJc w:val="left"/>
      <w:pPr>
        <w:tabs>
          <w:tab w:val="left" w:pos="5760"/>
        </w:tabs>
        <w:ind w:left="5760" w:hanging="360"/>
      </w:pPr>
      <w:rPr>
        <w:rFonts w:ascii="Wingdings" w:hAnsi="Wingdings" w:hint="default"/>
        <w:sz w:val="20"/>
        <w:szCs w:val="20"/>
      </w:rPr>
    </w:lvl>
    <w:lvl w:ilvl="8">
      <w:start w:val="1"/>
      <w:numFmt w:val="bullet"/>
      <w:lvlText w:val=""/>
      <w:lvlJc w:val="left"/>
      <w:pPr>
        <w:tabs>
          <w:tab w:val="left" w:pos="6480"/>
        </w:tabs>
        <w:ind w:left="6480" w:hanging="360"/>
      </w:pPr>
      <w:rPr>
        <w:rFonts w:ascii="Wingdings" w:hAnsi="Wingdings" w:hint="default"/>
        <w:sz w:val="20"/>
        <w:szCs w:val="20"/>
      </w:rPr>
    </w:lvl>
  </w:abstractNum>
  <w:abstractNum w:abstractNumId="16" w15:restartNumberingAfterBreak="0">
    <w:nsid w:val="25624814"/>
    <w:multiLevelType w:val="multilevel"/>
    <w:tmpl w:val="25624814"/>
    <w:lvl w:ilvl="0">
      <w:start w:val="1"/>
      <w:numFmt w:val="bullet"/>
      <w:lvlText w:val=""/>
      <w:lvlJc w:val="left"/>
      <w:pPr>
        <w:tabs>
          <w:tab w:val="left" w:pos="720"/>
        </w:tabs>
        <w:ind w:left="720" w:hanging="360"/>
      </w:pPr>
      <w:rPr>
        <w:rFonts w:ascii="Symbol" w:hAnsi="Symbol" w:hint="default"/>
        <w:sz w:val="20"/>
        <w:szCs w:val="20"/>
      </w:rPr>
    </w:lvl>
    <w:lvl w:ilvl="1">
      <w:start w:val="1"/>
      <w:numFmt w:val="bullet"/>
      <w:lvlText w:val="o"/>
      <w:lvlJc w:val="left"/>
      <w:pPr>
        <w:tabs>
          <w:tab w:val="left" w:pos="1440"/>
        </w:tabs>
        <w:ind w:left="1440" w:hanging="360"/>
      </w:pPr>
      <w:rPr>
        <w:rFonts w:ascii="Courier New" w:hAnsi="Courier New" w:cs="Courier New" w:hint="default"/>
        <w:sz w:val="20"/>
        <w:szCs w:val="20"/>
      </w:rPr>
    </w:lvl>
    <w:lvl w:ilvl="2">
      <w:start w:val="1"/>
      <w:numFmt w:val="bullet"/>
      <w:lvlText w:val=""/>
      <w:lvlJc w:val="left"/>
      <w:pPr>
        <w:tabs>
          <w:tab w:val="left" w:pos="2160"/>
        </w:tabs>
        <w:ind w:left="2160" w:hanging="360"/>
      </w:pPr>
      <w:rPr>
        <w:rFonts w:ascii="Wingdings" w:hAnsi="Wingdings" w:hint="default"/>
        <w:sz w:val="20"/>
        <w:szCs w:val="20"/>
      </w:rPr>
    </w:lvl>
    <w:lvl w:ilvl="3">
      <w:start w:val="1"/>
      <w:numFmt w:val="bullet"/>
      <w:lvlText w:val=""/>
      <w:lvlJc w:val="left"/>
      <w:pPr>
        <w:tabs>
          <w:tab w:val="left" w:pos="2880"/>
        </w:tabs>
        <w:ind w:left="2880" w:hanging="360"/>
      </w:pPr>
      <w:rPr>
        <w:rFonts w:ascii="Wingdings" w:hAnsi="Wingdings" w:hint="default"/>
        <w:sz w:val="20"/>
        <w:szCs w:val="20"/>
      </w:rPr>
    </w:lvl>
    <w:lvl w:ilvl="4">
      <w:start w:val="1"/>
      <w:numFmt w:val="bullet"/>
      <w:lvlText w:val=""/>
      <w:lvlJc w:val="left"/>
      <w:pPr>
        <w:tabs>
          <w:tab w:val="left" w:pos="3600"/>
        </w:tabs>
        <w:ind w:left="3600" w:hanging="360"/>
      </w:pPr>
      <w:rPr>
        <w:rFonts w:ascii="Wingdings" w:hAnsi="Wingdings" w:hint="default"/>
        <w:sz w:val="20"/>
        <w:szCs w:val="20"/>
      </w:rPr>
    </w:lvl>
    <w:lvl w:ilvl="5">
      <w:start w:val="1"/>
      <w:numFmt w:val="bullet"/>
      <w:lvlText w:val=""/>
      <w:lvlJc w:val="left"/>
      <w:pPr>
        <w:tabs>
          <w:tab w:val="left" w:pos="4320"/>
        </w:tabs>
        <w:ind w:left="4320" w:hanging="360"/>
      </w:pPr>
      <w:rPr>
        <w:rFonts w:ascii="Wingdings" w:hAnsi="Wingdings" w:hint="default"/>
        <w:sz w:val="20"/>
        <w:szCs w:val="20"/>
      </w:rPr>
    </w:lvl>
    <w:lvl w:ilvl="6">
      <w:start w:val="1"/>
      <w:numFmt w:val="bullet"/>
      <w:lvlText w:val=""/>
      <w:lvlJc w:val="left"/>
      <w:pPr>
        <w:tabs>
          <w:tab w:val="left" w:pos="5040"/>
        </w:tabs>
        <w:ind w:left="5040" w:hanging="360"/>
      </w:pPr>
      <w:rPr>
        <w:rFonts w:ascii="Wingdings" w:hAnsi="Wingdings" w:hint="default"/>
        <w:sz w:val="20"/>
        <w:szCs w:val="20"/>
      </w:rPr>
    </w:lvl>
    <w:lvl w:ilvl="7">
      <w:start w:val="1"/>
      <w:numFmt w:val="bullet"/>
      <w:lvlText w:val=""/>
      <w:lvlJc w:val="left"/>
      <w:pPr>
        <w:tabs>
          <w:tab w:val="left" w:pos="5760"/>
        </w:tabs>
        <w:ind w:left="5760" w:hanging="360"/>
      </w:pPr>
      <w:rPr>
        <w:rFonts w:ascii="Wingdings" w:hAnsi="Wingdings" w:hint="default"/>
        <w:sz w:val="20"/>
        <w:szCs w:val="20"/>
      </w:rPr>
    </w:lvl>
    <w:lvl w:ilvl="8">
      <w:start w:val="1"/>
      <w:numFmt w:val="bullet"/>
      <w:lvlText w:val=""/>
      <w:lvlJc w:val="left"/>
      <w:pPr>
        <w:tabs>
          <w:tab w:val="left" w:pos="6480"/>
        </w:tabs>
        <w:ind w:left="6480" w:hanging="360"/>
      </w:pPr>
      <w:rPr>
        <w:rFonts w:ascii="Wingdings" w:hAnsi="Wingdings" w:hint="default"/>
        <w:sz w:val="20"/>
        <w:szCs w:val="20"/>
      </w:rPr>
    </w:lvl>
  </w:abstractNum>
  <w:abstractNum w:abstractNumId="17" w15:restartNumberingAfterBreak="0">
    <w:nsid w:val="29FA09D4"/>
    <w:multiLevelType w:val="multilevel"/>
    <w:tmpl w:val="29FA09D4"/>
    <w:lvl w:ilvl="0">
      <w:start w:val="1"/>
      <w:numFmt w:val="bullet"/>
      <w:lvlText w:val=""/>
      <w:lvlJc w:val="left"/>
      <w:pPr>
        <w:tabs>
          <w:tab w:val="left" w:pos="720"/>
        </w:tabs>
        <w:ind w:left="720" w:hanging="360"/>
      </w:pPr>
      <w:rPr>
        <w:rFonts w:ascii="Symbol" w:hAnsi="Symbol" w:hint="default"/>
        <w:sz w:val="20"/>
        <w:szCs w:val="20"/>
      </w:rPr>
    </w:lvl>
    <w:lvl w:ilvl="1">
      <w:start w:val="1"/>
      <w:numFmt w:val="bullet"/>
      <w:lvlText w:val="o"/>
      <w:lvlJc w:val="left"/>
      <w:pPr>
        <w:tabs>
          <w:tab w:val="left" w:pos="1440"/>
        </w:tabs>
        <w:ind w:left="1440" w:hanging="360"/>
      </w:pPr>
      <w:rPr>
        <w:rFonts w:ascii="Courier New" w:hAnsi="Courier New" w:cs="Courier New" w:hint="default"/>
        <w:sz w:val="20"/>
        <w:szCs w:val="20"/>
      </w:rPr>
    </w:lvl>
    <w:lvl w:ilvl="2">
      <w:start w:val="1"/>
      <w:numFmt w:val="bullet"/>
      <w:lvlText w:val=""/>
      <w:lvlJc w:val="left"/>
      <w:pPr>
        <w:tabs>
          <w:tab w:val="left" w:pos="2160"/>
        </w:tabs>
        <w:ind w:left="2160" w:hanging="360"/>
      </w:pPr>
      <w:rPr>
        <w:rFonts w:ascii="Wingdings" w:hAnsi="Wingdings" w:hint="default"/>
        <w:sz w:val="20"/>
        <w:szCs w:val="20"/>
      </w:rPr>
    </w:lvl>
    <w:lvl w:ilvl="3">
      <w:start w:val="1"/>
      <w:numFmt w:val="bullet"/>
      <w:lvlText w:val=""/>
      <w:lvlJc w:val="left"/>
      <w:pPr>
        <w:tabs>
          <w:tab w:val="left" w:pos="2880"/>
        </w:tabs>
        <w:ind w:left="2880" w:hanging="360"/>
      </w:pPr>
      <w:rPr>
        <w:rFonts w:ascii="Wingdings" w:hAnsi="Wingdings" w:hint="default"/>
        <w:sz w:val="20"/>
        <w:szCs w:val="20"/>
      </w:rPr>
    </w:lvl>
    <w:lvl w:ilvl="4">
      <w:start w:val="1"/>
      <w:numFmt w:val="bullet"/>
      <w:lvlText w:val=""/>
      <w:lvlJc w:val="left"/>
      <w:pPr>
        <w:tabs>
          <w:tab w:val="left" w:pos="3600"/>
        </w:tabs>
        <w:ind w:left="3600" w:hanging="360"/>
      </w:pPr>
      <w:rPr>
        <w:rFonts w:ascii="Wingdings" w:hAnsi="Wingdings" w:hint="default"/>
        <w:sz w:val="20"/>
        <w:szCs w:val="20"/>
      </w:rPr>
    </w:lvl>
    <w:lvl w:ilvl="5">
      <w:start w:val="1"/>
      <w:numFmt w:val="bullet"/>
      <w:lvlText w:val=""/>
      <w:lvlJc w:val="left"/>
      <w:pPr>
        <w:tabs>
          <w:tab w:val="left" w:pos="4320"/>
        </w:tabs>
        <w:ind w:left="4320" w:hanging="360"/>
      </w:pPr>
      <w:rPr>
        <w:rFonts w:ascii="Wingdings" w:hAnsi="Wingdings" w:hint="default"/>
        <w:sz w:val="20"/>
        <w:szCs w:val="20"/>
      </w:rPr>
    </w:lvl>
    <w:lvl w:ilvl="6">
      <w:start w:val="1"/>
      <w:numFmt w:val="bullet"/>
      <w:lvlText w:val=""/>
      <w:lvlJc w:val="left"/>
      <w:pPr>
        <w:tabs>
          <w:tab w:val="left" w:pos="5040"/>
        </w:tabs>
        <w:ind w:left="5040" w:hanging="360"/>
      </w:pPr>
      <w:rPr>
        <w:rFonts w:ascii="Wingdings" w:hAnsi="Wingdings" w:hint="default"/>
        <w:sz w:val="20"/>
        <w:szCs w:val="20"/>
      </w:rPr>
    </w:lvl>
    <w:lvl w:ilvl="7">
      <w:start w:val="1"/>
      <w:numFmt w:val="bullet"/>
      <w:lvlText w:val=""/>
      <w:lvlJc w:val="left"/>
      <w:pPr>
        <w:tabs>
          <w:tab w:val="left" w:pos="5760"/>
        </w:tabs>
        <w:ind w:left="5760" w:hanging="360"/>
      </w:pPr>
      <w:rPr>
        <w:rFonts w:ascii="Wingdings" w:hAnsi="Wingdings" w:hint="default"/>
        <w:sz w:val="20"/>
        <w:szCs w:val="20"/>
      </w:rPr>
    </w:lvl>
    <w:lvl w:ilvl="8">
      <w:start w:val="1"/>
      <w:numFmt w:val="bullet"/>
      <w:lvlText w:val=""/>
      <w:lvlJc w:val="left"/>
      <w:pPr>
        <w:tabs>
          <w:tab w:val="left" w:pos="6480"/>
        </w:tabs>
        <w:ind w:left="6480" w:hanging="360"/>
      </w:pPr>
      <w:rPr>
        <w:rFonts w:ascii="Wingdings" w:hAnsi="Wingdings" w:hint="default"/>
        <w:sz w:val="20"/>
        <w:szCs w:val="20"/>
      </w:rPr>
    </w:lvl>
  </w:abstractNum>
  <w:abstractNum w:abstractNumId="18" w15:restartNumberingAfterBreak="0">
    <w:nsid w:val="2A8B4663"/>
    <w:multiLevelType w:val="multilevel"/>
    <w:tmpl w:val="2A8B4663"/>
    <w:lvl w:ilvl="0">
      <w:start w:val="1"/>
      <w:numFmt w:val="bullet"/>
      <w:lvlText w:val=""/>
      <w:lvlJc w:val="left"/>
      <w:pPr>
        <w:tabs>
          <w:tab w:val="left" w:pos="720"/>
        </w:tabs>
        <w:ind w:left="720" w:hanging="360"/>
      </w:pPr>
      <w:rPr>
        <w:rFonts w:ascii="Symbol" w:hAnsi="Symbol" w:hint="default"/>
        <w:sz w:val="20"/>
        <w:szCs w:val="20"/>
      </w:rPr>
    </w:lvl>
    <w:lvl w:ilvl="1">
      <w:start w:val="1"/>
      <w:numFmt w:val="bullet"/>
      <w:lvlText w:val="o"/>
      <w:lvlJc w:val="left"/>
      <w:pPr>
        <w:tabs>
          <w:tab w:val="left" w:pos="1440"/>
        </w:tabs>
        <w:ind w:left="1440" w:hanging="360"/>
      </w:pPr>
      <w:rPr>
        <w:rFonts w:ascii="Courier New" w:hAnsi="Courier New" w:cs="Courier New" w:hint="default"/>
        <w:sz w:val="20"/>
        <w:szCs w:val="20"/>
      </w:rPr>
    </w:lvl>
    <w:lvl w:ilvl="2">
      <w:start w:val="1"/>
      <w:numFmt w:val="bullet"/>
      <w:lvlText w:val=""/>
      <w:lvlJc w:val="left"/>
      <w:pPr>
        <w:tabs>
          <w:tab w:val="left" w:pos="2160"/>
        </w:tabs>
        <w:ind w:left="2160" w:hanging="360"/>
      </w:pPr>
      <w:rPr>
        <w:rFonts w:ascii="Wingdings" w:hAnsi="Wingdings" w:hint="default"/>
        <w:sz w:val="20"/>
        <w:szCs w:val="20"/>
      </w:rPr>
    </w:lvl>
    <w:lvl w:ilvl="3">
      <w:start w:val="1"/>
      <w:numFmt w:val="bullet"/>
      <w:lvlText w:val=""/>
      <w:lvlJc w:val="left"/>
      <w:pPr>
        <w:tabs>
          <w:tab w:val="left" w:pos="2880"/>
        </w:tabs>
        <w:ind w:left="2880" w:hanging="360"/>
      </w:pPr>
      <w:rPr>
        <w:rFonts w:ascii="Wingdings" w:hAnsi="Wingdings" w:hint="default"/>
        <w:sz w:val="20"/>
        <w:szCs w:val="20"/>
      </w:rPr>
    </w:lvl>
    <w:lvl w:ilvl="4">
      <w:start w:val="1"/>
      <w:numFmt w:val="bullet"/>
      <w:lvlText w:val=""/>
      <w:lvlJc w:val="left"/>
      <w:pPr>
        <w:tabs>
          <w:tab w:val="left" w:pos="3600"/>
        </w:tabs>
        <w:ind w:left="3600" w:hanging="360"/>
      </w:pPr>
      <w:rPr>
        <w:rFonts w:ascii="Wingdings" w:hAnsi="Wingdings" w:hint="default"/>
        <w:sz w:val="20"/>
        <w:szCs w:val="20"/>
      </w:rPr>
    </w:lvl>
    <w:lvl w:ilvl="5">
      <w:start w:val="1"/>
      <w:numFmt w:val="bullet"/>
      <w:lvlText w:val=""/>
      <w:lvlJc w:val="left"/>
      <w:pPr>
        <w:tabs>
          <w:tab w:val="left" w:pos="4320"/>
        </w:tabs>
        <w:ind w:left="4320" w:hanging="360"/>
      </w:pPr>
      <w:rPr>
        <w:rFonts w:ascii="Wingdings" w:hAnsi="Wingdings" w:hint="default"/>
        <w:sz w:val="20"/>
        <w:szCs w:val="20"/>
      </w:rPr>
    </w:lvl>
    <w:lvl w:ilvl="6">
      <w:start w:val="1"/>
      <w:numFmt w:val="bullet"/>
      <w:lvlText w:val=""/>
      <w:lvlJc w:val="left"/>
      <w:pPr>
        <w:tabs>
          <w:tab w:val="left" w:pos="5040"/>
        </w:tabs>
        <w:ind w:left="5040" w:hanging="360"/>
      </w:pPr>
      <w:rPr>
        <w:rFonts w:ascii="Wingdings" w:hAnsi="Wingdings" w:hint="default"/>
        <w:sz w:val="20"/>
        <w:szCs w:val="20"/>
      </w:rPr>
    </w:lvl>
    <w:lvl w:ilvl="7">
      <w:start w:val="1"/>
      <w:numFmt w:val="bullet"/>
      <w:lvlText w:val=""/>
      <w:lvlJc w:val="left"/>
      <w:pPr>
        <w:tabs>
          <w:tab w:val="left" w:pos="5760"/>
        </w:tabs>
        <w:ind w:left="5760" w:hanging="360"/>
      </w:pPr>
      <w:rPr>
        <w:rFonts w:ascii="Wingdings" w:hAnsi="Wingdings" w:hint="default"/>
        <w:sz w:val="20"/>
        <w:szCs w:val="20"/>
      </w:rPr>
    </w:lvl>
    <w:lvl w:ilvl="8">
      <w:start w:val="1"/>
      <w:numFmt w:val="bullet"/>
      <w:lvlText w:val=""/>
      <w:lvlJc w:val="left"/>
      <w:pPr>
        <w:tabs>
          <w:tab w:val="left" w:pos="6480"/>
        </w:tabs>
        <w:ind w:left="6480" w:hanging="360"/>
      </w:pPr>
      <w:rPr>
        <w:rFonts w:ascii="Wingdings" w:hAnsi="Wingdings" w:hint="default"/>
        <w:sz w:val="20"/>
        <w:szCs w:val="20"/>
      </w:rPr>
    </w:lvl>
  </w:abstractNum>
  <w:abstractNum w:abstractNumId="19" w15:restartNumberingAfterBreak="0">
    <w:nsid w:val="2C2120E9"/>
    <w:multiLevelType w:val="multilevel"/>
    <w:tmpl w:val="993E4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E746565"/>
    <w:multiLevelType w:val="multilevel"/>
    <w:tmpl w:val="1E3AD9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E936805"/>
    <w:multiLevelType w:val="multilevel"/>
    <w:tmpl w:val="CF523D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F7C6899"/>
    <w:multiLevelType w:val="multilevel"/>
    <w:tmpl w:val="2F7C6899"/>
    <w:lvl w:ilvl="0">
      <w:start w:val="1"/>
      <w:numFmt w:val="bullet"/>
      <w:lvlText w:val=""/>
      <w:lvlJc w:val="left"/>
      <w:pPr>
        <w:tabs>
          <w:tab w:val="left" w:pos="720"/>
        </w:tabs>
        <w:ind w:left="720" w:hanging="360"/>
      </w:pPr>
      <w:rPr>
        <w:rFonts w:ascii="Symbol" w:hAnsi="Symbol" w:hint="default"/>
        <w:sz w:val="20"/>
        <w:szCs w:val="20"/>
      </w:rPr>
    </w:lvl>
    <w:lvl w:ilvl="1">
      <w:start w:val="1"/>
      <w:numFmt w:val="bullet"/>
      <w:lvlText w:val="o"/>
      <w:lvlJc w:val="left"/>
      <w:pPr>
        <w:tabs>
          <w:tab w:val="left" w:pos="1440"/>
        </w:tabs>
        <w:ind w:left="1440" w:hanging="360"/>
      </w:pPr>
      <w:rPr>
        <w:rFonts w:ascii="Courier New" w:hAnsi="Courier New" w:cs="Courier New" w:hint="default"/>
        <w:sz w:val="20"/>
        <w:szCs w:val="20"/>
      </w:rPr>
    </w:lvl>
    <w:lvl w:ilvl="2">
      <w:start w:val="1"/>
      <w:numFmt w:val="bullet"/>
      <w:lvlText w:val=""/>
      <w:lvlJc w:val="left"/>
      <w:pPr>
        <w:tabs>
          <w:tab w:val="left" w:pos="2160"/>
        </w:tabs>
        <w:ind w:left="2160" w:hanging="360"/>
      </w:pPr>
      <w:rPr>
        <w:rFonts w:ascii="Wingdings" w:hAnsi="Wingdings" w:hint="default"/>
        <w:sz w:val="20"/>
        <w:szCs w:val="20"/>
      </w:rPr>
    </w:lvl>
    <w:lvl w:ilvl="3">
      <w:start w:val="1"/>
      <w:numFmt w:val="bullet"/>
      <w:lvlText w:val=""/>
      <w:lvlJc w:val="left"/>
      <w:pPr>
        <w:tabs>
          <w:tab w:val="left" w:pos="2880"/>
        </w:tabs>
        <w:ind w:left="2880" w:hanging="360"/>
      </w:pPr>
      <w:rPr>
        <w:rFonts w:ascii="Wingdings" w:hAnsi="Wingdings" w:hint="default"/>
        <w:sz w:val="20"/>
        <w:szCs w:val="20"/>
      </w:rPr>
    </w:lvl>
    <w:lvl w:ilvl="4">
      <w:start w:val="1"/>
      <w:numFmt w:val="bullet"/>
      <w:lvlText w:val=""/>
      <w:lvlJc w:val="left"/>
      <w:pPr>
        <w:tabs>
          <w:tab w:val="left" w:pos="3600"/>
        </w:tabs>
        <w:ind w:left="3600" w:hanging="360"/>
      </w:pPr>
      <w:rPr>
        <w:rFonts w:ascii="Wingdings" w:hAnsi="Wingdings" w:hint="default"/>
        <w:sz w:val="20"/>
        <w:szCs w:val="20"/>
      </w:rPr>
    </w:lvl>
    <w:lvl w:ilvl="5">
      <w:start w:val="1"/>
      <w:numFmt w:val="bullet"/>
      <w:lvlText w:val=""/>
      <w:lvlJc w:val="left"/>
      <w:pPr>
        <w:tabs>
          <w:tab w:val="left" w:pos="4320"/>
        </w:tabs>
        <w:ind w:left="4320" w:hanging="360"/>
      </w:pPr>
      <w:rPr>
        <w:rFonts w:ascii="Wingdings" w:hAnsi="Wingdings" w:hint="default"/>
        <w:sz w:val="20"/>
        <w:szCs w:val="20"/>
      </w:rPr>
    </w:lvl>
    <w:lvl w:ilvl="6">
      <w:start w:val="1"/>
      <w:numFmt w:val="bullet"/>
      <w:lvlText w:val=""/>
      <w:lvlJc w:val="left"/>
      <w:pPr>
        <w:tabs>
          <w:tab w:val="left" w:pos="5040"/>
        </w:tabs>
        <w:ind w:left="5040" w:hanging="360"/>
      </w:pPr>
      <w:rPr>
        <w:rFonts w:ascii="Wingdings" w:hAnsi="Wingdings" w:hint="default"/>
        <w:sz w:val="20"/>
        <w:szCs w:val="20"/>
      </w:rPr>
    </w:lvl>
    <w:lvl w:ilvl="7">
      <w:start w:val="1"/>
      <w:numFmt w:val="bullet"/>
      <w:lvlText w:val=""/>
      <w:lvlJc w:val="left"/>
      <w:pPr>
        <w:tabs>
          <w:tab w:val="left" w:pos="5760"/>
        </w:tabs>
        <w:ind w:left="5760" w:hanging="360"/>
      </w:pPr>
      <w:rPr>
        <w:rFonts w:ascii="Wingdings" w:hAnsi="Wingdings" w:hint="default"/>
        <w:sz w:val="20"/>
        <w:szCs w:val="20"/>
      </w:rPr>
    </w:lvl>
    <w:lvl w:ilvl="8">
      <w:start w:val="1"/>
      <w:numFmt w:val="bullet"/>
      <w:lvlText w:val=""/>
      <w:lvlJc w:val="left"/>
      <w:pPr>
        <w:tabs>
          <w:tab w:val="left" w:pos="6480"/>
        </w:tabs>
        <w:ind w:left="6480" w:hanging="360"/>
      </w:pPr>
      <w:rPr>
        <w:rFonts w:ascii="Wingdings" w:hAnsi="Wingdings" w:hint="default"/>
        <w:sz w:val="20"/>
        <w:szCs w:val="20"/>
      </w:rPr>
    </w:lvl>
  </w:abstractNum>
  <w:abstractNum w:abstractNumId="23" w15:restartNumberingAfterBreak="0">
    <w:nsid w:val="315D71E7"/>
    <w:multiLevelType w:val="multilevel"/>
    <w:tmpl w:val="315D71E7"/>
    <w:lvl w:ilvl="0">
      <w:start w:val="1"/>
      <w:numFmt w:val="bullet"/>
      <w:lvlText w:val=""/>
      <w:lvlJc w:val="left"/>
      <w:pPr>
        <w:tabs>
          <w:tab w:val="left" w:pos="720"/>
        </w:tabs>
        <w:ind w:left="720" w:hanging="360"/>
      </w:pPr>
      <w:rPr>
        <w:rFonts w:ascii="Symbol" w:hAnsi="Symbol" w:hint="default"/>
        <w:sz w:val="20"/>
        <w:szCs w:val="20"/>
      </w:rPr>
    </w:lvl>
    <w:lvl w:ilvl="1">
      <w:start w:val="1"/>
      <w:numFmt w:val="bullet"/>
      <w:lvlText w:val="o"/>
      <w:lvlJc w:val="left"/>
      <w:pPr>
        <w:tabs>
          <w:tab w:val="left" w:pos="1440"/>
        </w:tabs>
        <w:ind w:left="1440" w:hanging="360"/>
      </w:pPr>
      <w:rPr>
        <w:rFonts w:ascii="Courier New" w:hAnsi="Courier New" w:cs="Courier New" w:hint="default"/>
        <w:sz w:val="20"/>
        <w:szCs w:val="20"/>
      </w:rPr>
    </w:lvl>
    <w:lvl w:ilvl="2">
      <w:start w:val="1"/>
      <w:numFmt w:val="bullet"/>
      <w:lvlText w:val=""/>
      <w:lvlJc w:val="left"/>
      <w:pPr>
        <w:tabs>
          <w:tab w:val="left" w:pos="2160"/>
        </w:tabs>
        <w:ind w:left="2160" w:hanging="360"/>
      </w:pPr>
      <w:rPr>
        <w:rFonts w:ascii="Wingdings" w:hAnsi="Wingdings" w:hint="default"/>
        <w:sz w:val="20"/>
        <w:szCs w:val="20"/>
      </w:rPr>
    </w:lvl>
    <w:lvl w:ilvl="3">
      <w:start w:val="1"/>
      <w:numFmt w:val="bullet"/>
      <w:lvlText w:val=""/>
      <w:lvlJc w:val="left"/>
      <w:pPr>
        <w:tabs>
          <w:tab w:val="left" w:pos="2880"/>
        </w:tabs>
        <w:ind w:left="2880" w:hanging="360"/>
      </w:pPr>
      <w:rPr>
        <w:rFonts w:ascii="Wingdings" w:hAnsi="Wingdings" w:hint="default"/>
        <w:sz w:val="20"/>
        <w:szCs w:val="20"/>
      </w:rPr>
    </w:lvl>
    <w:lvl w:ilvl="4">
      <w:start w:val="1"/>
      <w:numFmt w:val="bullet"/>
      <w:lvlText w:val=""/>
      <w:lvlJc w:val="left"/>
      <w:pPr>
        <w:tabs>
          <w:tab w:val="left" w:pos="3600"/>
        </w:tabs>
        <w:ind w:left="3600" w:hanging="360"/>
      </w:pPr>
      <w:rPr>
        <w:rFonts w:ascii="Wingdings" w:hAnsi="Wingdings" w:hint="default"/>
        <w:sz w:val="20"/>
        <w:szCs w:val="20"/>
      </w:rPr>
    </w:lvl>
    <w:lvl w:ilvl="5">
      <w:start w:val="1"/>
      <w:numFmt w:val="bullet"/>
      <w:lvlText w:val=""/>
      <w:lvlJc w:val="left"/>
      <w:pPr>
        <w:tabs>
          <w:tab w:val="left" w:pos="4320"/>
        </w:tabs>
        <w:ind w:left="4320" w:hanging="360"/>
      </w:pPr>
      <w:rPr>
        <w:rFonts w:ascii="Wingdings" w:hAnsi="Wingdings" w:hint="default"/>
        <w:sz w:val="20"/>
        <w:szCs w:val="20"/>
      </w:rPr>
    </w:lvl>
    <w:lvl w:ilvl="6">
      <w:start w:val="1"/>
      <w:numFmt w:val="bullet"/>
      <w:lvlText w:val=""/>
      <w:lvlJc w:val="left"/>
      <w:pPr>
        <w:tabs>
          <w:tab w:val="left" w:pos="5040"/>
        </w:tabs>
        <w:ind w:left="5040" w:hanging="360"/>
      </w:pPr>
      <w:rPr>
        <w:rFonts w:ascii="Wingdings" w:hAnsi="Wingdings" w:hint="default"/>
        <w:sz w:val="20"/>
        <w:szCs w:val="20"/>
      </w:rPr>
    </w:lvl>
    <w:lvl w:ilvl="7">
      <w:start w:val="1"/>
      <w:numFmt w:val="bullet"/>
      <w:lvlText w:val=""/>
      <w:lvlJc w:val="left"/>
      <w:pPr>
        <w:tabs>
          <w:tab w:val="left" w:pos="5760"/>
        </w:tabs>
        <w:ind w:left="5760" w:hanging="360"/>
      </w:pPr>
      <w:rPr>
        <w:rFonts w:ascii="Wingdings" w:hAnsi="Wingdings" w:hint="default"/>
        <w:sz w:val="20"/>
        <w:szCs w:val="20"/>
      </w:rPr>
    </w:lvl>
    <w:lvl w:ilvl="8">
      <w:start w:val="1"/>
      <w:numFmt w:val="bullet"/>
      <w:lvlText w:val=""/>
      <w:lvlJc w:val="left"/>
      <w:pPr>
        <w:tabs>
          <w:tab w:val="left" w:pos="6480"/>
        </w:tabs>
        <w:ind w:left="6480" w:hanging="360"/>
      </w:pPr>
      <w:rPr>
        <w:rFonts w:ascii="Wingdings" w:hAnsi="Wingdings" w:hint="default"/>
        <w:sz w:val="20"/>
        <w:szCs w:val="20"/>
      </w:rPr>
    </w:lvl>
  </w:abstractNum>
  <w:abstractNum w:abstractNumId="24" w15:restartNumberingAfterBreak="0">
    <w:nsid w:val="3177699E"/>
    <w:multiLevelType w:val="multilevel"/>
    <w:tmpl w:val="5740C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1A429A6"/>
    <w:multiLevelType w:val="multilevel"/>
    <w:tmpl w:val="31A429A6"/>
    <w:lvl w:ilvl="0">
      <w:start w:val="1"/>
      <w:numFmt w:val="bullet"/>
      <w:lvlText w:val=""/>
      <w:lvlJc w:val="left"/>
      <w:pPr>
        <w:tabs>
          <w:tab w:val="left" w:pos="720"/>
        </w:tabs>
        <w:ind w:left="720" w:hanging="360"/>
      </w:pPr>
      <w:rPr>
        <w:rFonts w:ascii="Symbol" w:hAnsi="Symbol" w:hint="default"/>
        <w:sz w:val="20"/>
        <w:szCs w:val="20"/>
      </w:rPr>
    </w:lvl>
    <w:lvl w:ilvl="1">
      <w:start w:val="1"/>
      <w:numFmt w:val="bullet"/>
      <w:lvlText w:val="o"/>
      <w:lvlJc w:val="left"/>
      <w:pPr>
        <w:tabs>
          <w:tab w:val="left" w:pos="1440"/>
        </w:tabs>
        <w:ind w:left="1440" w:hanging="360"/>
      </w:pPr>
      <w:rPr>
        <w:rFonts w:ascii="Courier New" w:hAnsi="Courier New" w:cs="Courier New" w:hint="default"/>
        <w:sz w:val="20"/>
        <w:szCs w:val="20"/>
      </w:rPr>
    </w:lvl>
    <w:lvl w:ilvl="2">
      <w:start w:val="1"/>
      <w:numFmt w:val="bullet"/>
      <w:lvlText w:val=""/>
      <w:lvlJc w:val="left"/>
      <w:pPr>
        <w:tabs>
          <w:tab w:val="left" w:pos="2160"/>
        </w:tabs>
        <w:ind w:left="2160" w:hanging="360"/>
      </w:pPr>
      <w:rPr>
        <w:rFonts w:ascii="Wingdings" w:hAnsi="Wingdings" w:hint="default"/>
        <w:sz w:val="20"/>
        <w:szCs w:val="20"/>
      </w:rPr>
    </w:lvl>
    <w:lvl w:ilvl="3">
      <w:start w:val="1"/>
      <w:numFmt w:val="bullet"/>
      <w:lvlText w:val=""/>
      <w:lvlJc w:val="left"/>
      <w:pPr>
        <w:tabs>
          <w:tab w:val="left" w:pos="2880"/>
        </w:tabs>
        <w:ind w:left="2880" w:hanging="360"/>
      </w:pPr>
      <w:rPr>
        <w:rFonts w:ascii="Wingdings" w:hAnsi="Wingdings" w:hint="default"/>
        <w:sz w:val="20"/>
        <w:szCs w:val="20"/>
      </w:rPr>
    </w:lvl>
    <w:lvl w:ilvl="4">
      <w:start w:val="1"/>
      <w:numFmt w:val="bullet"/>
      <w:lvlText w:val=""/>
      <w:lvlJc w:val="left"/>
      <w:pPr>
        <w:tabs>
          <w:tab w:val="left" w:pos="3600"/>
        </w:tabs>
        <w:ind w:left="3600" w:hanging="360"/>
      </w:pPr>
      <w:rPr>
        <w:rFonts w:ascii="Wingdings" w:hAnsi="Wingdings" w:hint="default"/>
        <w:sz w:val="20"/>
        <w:szCs w:val="20"/>
      </w:rPr>
    </w:lvl>
    <w:lvl w:ilvl="5">
      <w:start w:val="1"/>
      <w:numFmt w:val="bullet"/>
      <w:lvlText w:val=""/>
      <w:lvlJc w:val="left"/>
      <w:pPr>
        <w:tabs>
          <w:tab w:val="left" w:pos="4320"/>
        </w:tabs>
        <w:ind w:left="4320" w:hanging="360"/>
      </w:pPr>
      <w:rPr>
        <w:rFonts w:ascii="Wingdings" w:hAnsi="Wingdings" w:hint="default"/>
        <w:sz w:val="20"/>
        <w:szCs w:val="20"/>
      </w:rPr>
    </w:lvl>
    <w:lvl w:ilvl="6">
      <w:start w:val="1"/>
      <w:numFmt w:val="bullet"/>
      <w:lvlText w:val=""/>
      <w:lvlJc w:val="left"/>
      <w:pPr>
        <w:tabs>
          <w:tab w:val="left" w:pos="5040"/>
        </w:tabs>
        <w:ind w:left="5040" w:hanging="360"/>
      </w:pPr>
      <w:rPr>
        <w:rFonts w:ascii="Wingdings" w:hAnsi="Wingdings" w:hint="default"/>
        <w:sz w:val="20"/>
        <w:szCs w:val="20"/>
      </w:rPr>
    </w:lvl>
    <w:lvl w:ilvl="7">
      <w:start w:val="1"/>
      <w:numFmt w:val="bullet"/>
      <w:lvlText w:val=""/>
      <w:lvlJc w:val="left"/>
      <w:pPr>
        <w:tabs>
          <w:tab w:val="left" w:pos="5760"/>
        </w:tabs>
        <w:ind w:left="5760" w:hanging="360"/>
      </w:pPr>
      <w:rPr>
        <w:rFonts w:ascii="Wingdings" w:hAnsi="Wingdings" w:hint="default"/>
        <w:sz w:val="20"/>
        <w:szCs w:val="20"/>
      </w:rPr>
    </w:lvl>
    <w:lvl w:ilvl="8">
      <w:start w:val="1"/>
      <w:numFmt w:val="bullet"/>
      <w:lvlText w:val=""/>
      <w:lvlJc w:val="left"/>
      <w:pPr>
        <w:tabs>
          <w:tab w:val="left" w:pos="6480"/>
        </w:tabs>
        <w:ind w:left="6480" w:hanging="360"/>
      </w:pPr>
      <w:rPr>
        <w:rFonts w:ascii="Wingdings" w:hAnsi="Wingdings" w:hint="default"/>
        <w:sz w:val="20"/>
        <w:szCs w:val="20"/>
      </w:rPr>
    </w:lvl>
  </w:abstractNum>
  <w:abstractNum w:abstractNumId="26" w15:restartNumberingAfterBreak="0">
    <w:nsid w:val="33C70562"/>
    <w:multiLevelType w:val="multilevel"/>
    <w:tmpl w:val="33C70562"/>
    <w:lvl w:ilvl="0">
      <w:start w:val="1"/>
      <w:numFmt w:val="bullet"/>
      <w:lvlText w:val=""/>
      <w:lvlJc w:val="left"/>
      <w:pPr>
        <w:tabs>
          <w:tab w:val="left" w:pos="720"/>
        </w:tabs>
        <w:ind w:left="720" w:hanging="360"/>
      </w:pPr>
      <w:rPr>
        <w:rFonts w:ascii="Symbol" w:hAnsi="Symbol" w:hint="default"/>
        <w:sz w:val="20"/>
        <w:szCs w:val="20"/>
      </w:rPr>
    </w:lvl>
    <w:lvl w:ilvl="1">
      <w:start w:val="1"/>
      <w:numFmt w:val="bullet"/>
      <w:lvlText w:val="o"/>
      <w:lvlJc w:val="left"/>
      <w:pPr>
        <w:tabs>
          <w:tab w:val="left" w:pos="1440"/>
        </w:tabs>
        <w:ind w:left="1440" w:hanging="360"/>
      </w:pPr>
      <w:rPr>
        <w:rFonts w:ascii="Courier New" w:hAnsi="Courier New" w:cs="Courier New" w:hint="default"/>
        <w:sz w:val="20"/>
        <w:szCs w:val="20"/>
      </w:rPr>
    </w:lvl>
    <w:lvl w:ilvl="2">
      <w:start w:val="1"/>
      <w:numFmt w:val="bullet"/>
      <w:lvlText w:val=""/>
      <w:lvlJc w:val="left"/>
      <w:pPr>
        <w:tabs>
          <w:tab w:val="left" w:pos="2160"/>
        </w:tabs>
        <w:ind w:left="2160" w:hanging="360"/>
      </w:pPr>
      <w:rPr>
        <w:rFonts w:ascii="Wingdings" w:hAnsi="Wingdings" w:hint="default"/>
        <w:sz w:val="20"/>
        <w:szCs w:val="20"/>
      </w:rPr>
    </w:lvl>
    <w:lvl w:ilvl="3">
      <w:start w:val="1"/>
      <w:numFmt w:val="bullet"/>
      <w:lvlText w:val=""/>
      <w:lvlJc w:val="left"/>
      <w:pPr>
        <w:tabs>
          <w:tab w:val="left" w:pos="2880"/>
        </w:tabs>
        <w:ind w:left="2880" w:hanging="360"/>
      </w:pPr>
      <w:rPr>
        <w:rFonts w:ascii="Wingdings" w:hAnsi="Wingdings" w:hint="default"/>
        <w:sz w:val="20"/>
        <w:szCs w:val="20"/>
      </w:rPr>
    </w:lvl>
    <w:lvl w:ilvl="4">
      <w:start w:val="1"/>
      <w:numFmt w:val="bullet"/>
      <w:lvlText w:val=""/>
      <w:lvlJc w:val="left"/>
      <w:pPr>
        <w:tabs>
          <w:tab w:val="left" w:pos="3600"/>
        </w:tabs>
        <w:ind w:left="3600" w:hanging="360"/>
      </w:pPr>
      <w:rPr>
        <w:rFonts w:ascii="Wingdings" w:hAnsi="Wingdings" w:hint="default"/>
        <w:sz w:val="20"/>
        <w:szCs w:val="20"/>
      </w:rPr>
    </w:lvl>
    <w:lvl w:ilvl="5">
      <w:start w:val="1"/>
      <w:numFmt w:val="bullet"/>
      <w:lvlText w:val=""/>
      <w:lvlJc w:val="left"/>
      <w:pPr>
        <w:tabs>
          <w:tab w:val="left" w:pos="4320"/>
        </w:tabs>
        <w:ind w:left="4320" w:hanging="360"/>
      </w:pPr>
      <w:rPr>
        <w:rFonts w:ascii="Wingdings" w:hAnsi="Wingdings" w:hint="default"/>
        <w:sz w:val="20"/>
        <w:szCs w:val="20"/>
      </w:rPr>
    </w:lvl>
    <w:lvl w:ilvl="6">
      <w:start w:val="1"/>
      <w:numFmt w:val="bullet"/>
      <w:lvlText w:val=""/>
      <w:lvlJc w:val="left"/>
      <w:pPr>
        <w:tabs>
          <w:tab w:val="left" w:pos="5040"/>
        </w:tabs>
        <w:ind w:left="5040" w:hanging="360"/>
      </w:pPr>
      <w:rPr>
        <w:rFonts w:ascii="Wingdings" w:hAnsi="Wingdings" w:hint="default"/>
        <w:sz w:val="20"/>
        <w:szCs w:val="20"/>
      </w:rPr>
    </w:lvl>
    <w:lvl w:ilvl="7">
      <w:start w:val="1"/>
      <w:numFmt w:val="bullet"/>
      <w:lvlText w:val=""/>
      <w:lvlJc w:val="left"/>
      <w:pPr>
        <w:tabs>
          <w:tab w:val="left" w:pos="5760"/>
        </w:tabs>
        <w:ind w:left="5760" w:hanging="360"/>
      </w:pPr>
      <w:rPr>
        <w:rFonts w:ascii="Wingdings" w:hAnsi="Wingdings" w:hint="default"/>
        <w:sz w:val="20"/>
        <w:szCs w:val="20"/>
      </w:rPr>
    </w:lvl>
    <w:lvl w:ilvl="8">
      <w:start w:val="1"/>
      <w:numFmt w:val="bullet"/>
      <w:lvlText w:val=""/>
      <w:lvlJc w:val="left"/>
      <w:pPr>
        <w:tabs>
          <w:tab w:val="left" w:pos="6480"/>
        </w:tabs>
        <w:ind w:left="6480" w:hanging="360"/>
      </w:pPr>
      <w:rPr>
        <w:rFonts w:ascii="Wingdings" w:hAnsi="Wingdings" w:hint="default"/>
        <w:sz w:val="20"/>
        <w:szCs w:val="20"/>
      </w:rPr>
    </w:lvl>
  </w:abstractNum>
  <w:abstractNum w:abstractNumId="27" w15:restartNumberingAfterBreak="0">
    <w:nsid w:val="34862CE0"/>
    <w:multiLevelType w:val="multilevel"/>
    <w:tmpl w:val="92A08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57B6E49"/>
    <w:multiLevelType w:val="multilevel"/>
    <w:tmpl w:val="46A46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5C33ED9"/>
    <w:multiLevelType w:val="multilevel"/>
    <w:tmpl w:val="9CD63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7237AE4"/>
    <w:multiLevelType w:val="multilevel"/>
    <w:tmpl w:val="37237AE4"/>
    <w:lvl w:ilvl="0">
      <w:start w:val="1"/>
      <w:numFmt w:val="decimal"/>
      <w:lvlText w:val="%1."/>
      <w:lvlJc w:val="left"/>
      <w:pPr>
        <w:tabs>
          <w:tab w:val="left" w:pos="720"/>
        </w:tabs>
        <w:ind w:left="720" w:hanging="360"/>
      </w:pPr>
      <w:rPr>
        <w:rFonts w:ascii="Times New Roman" w:hAnsi="Times New Roman" w:cs="Times New Roman" w:hint="default"/>
      </w:rPr>
    </w:lvl>
    <w:lvl w:ilvl="1">
      <w:start w:val="1"/>
      <w:numFmt w:val="decimal"/>
      <w:lvlText w:val="%2."/>
      <w:lvlJc w:val="left"/>
      <w:pPr>
        <w:tabs>
          <w:tab w:val="left" w:pos="1440"/>
        </w:tabs>
        <w:ind w:left="1440" w:hanging="360"/>
      </w:pPr>
      <w:rPr>
        <w:rFonts w:ascii="Times New Roman" w:hAnsi="Times New Roman" w:cs="Times New Roman" w:hint="default"/>
      </w:rPr>
    </w:lvl>
    <w:lvl w:ilvl="2">
      <w:start w:val="1"/>
      <w:numFmt w:val="decimal"/>
      <w:lvlText w:val="%3."/>
      <w:lvlJc w:val="left"/>
      <w:pPr>
        <w:tabs>
          <w:tab w:val="left" w:pos="2160"/>
        </w:tabs>
        <w:ind w:left="2160" w:hanging="360"/>
      </w:pPr>
      <w:rPr>
        <w:rFonts w:ascii="Times New Roman" w:hAnsi="Times New Roman" w:cs="Times New Roman" w:hint="default"/>
      </w:rPr>
    </w:lvl>
    <w:lvl w:ilvl="3">
      <w:start w:val="1"/>
      <w:numFmt w:val="decimal"/>
      <w:lvlText w:val="%4."/>
      <w:lvlJc w:val="left"/>
      <w:pPr>
        <w:tabs>
          <w:tab w:val="left" w:pos="2880"/>
        </w:tabs>
        <w:ind w:left="2880" w:hanging="360"/>
      </w:pPr>
      <w:rPr>
        <w:rFonts w:ascii="Times New Roman" w:hAnsi="Times New Roman" w:cs="Times New Roman" w:hint="default"/>
      </w:rPr>
    </w:lvl>
    <w:lvl w:ilvl="4">
      <w:start w:val="1"/>
      <w:numFmt w:val="decimal"/>
      <w:lvlText w:val="%5."/>
      <w:lvlJc w:val="left"/>
      <w:pPr>
        <w:tabs>
          <w:tab w:val="left" w:pos="3600"/>
        </w:tabs>
        <w:ind w:left="3600" w:hanging="360"/>
      </w:pPr>
      <w:rPr>
        <w:rFonts w:ascii="Times New Roman" w:hAnsi="Times New Roman" w:cs="Times New Roman" w:hint="default"/>
      </w:rPr>
    </w:lvl>
    <w:lvl w:ilvl="5">
      <w:start w:val="1"/>
      <w:numFmt w:val="decimal"/>
      <w:lvlText w:val="%6."/>
      <w:lvlJc w:val="left"/>
      <w:pPr>
        <w:tabs>
          <w:tab w:val="left" w:pos="4320"/>
        </w:tabs>
        <w:ind w:left="4320" w:hanging="360"/>
      </w:pPr>
      <w:rPr>
        <w:rFonts w:ascii="Times New Roman" w:hAnsi="Times New Roman" w:cs="Times New Roman" w:hint="default"/>
      </w:rPr>
    </w:lvl>
    <w:lvl w:ilvl="6">
      <w:start w:val="1"/>
      <w:numFmt w:val="decimal"/>
      <w:lvlText w:val="%7."/>
      <w:lvlJc w:val="left"/>
      <w:pPr>
        <w:tabs>
          <w:tab w:val="left" w:pos="5040"/>
        </w:tabs>
        <w:ind w:left="5040" w:hanging="360"/>
      </w:pPr>
      <w:rPr>
        <w:rFonts w:ascii="Times New Roman" w:hAnsi="Times New Roman" w:cs="Times New Roman" w:hint="default"/>
      </w:rPr>
    </w:lvl>
    <w:lvl w:ilvl="7">
      <w:start w:val="1"/>
      <w:numFmt w:val="decimal"/>
      <w:lvlText w:val="%8."/>
      <w:lvlJc w:val="left"/>
      <w:pPr>
        <w:tabs>
          <w:tab w:val="left" w:pos="5760"/>
        </w:tabs>
        <w:ind w:left="5760" w:hanging="360"/>
      </w:pPr>
      <w:rPr>
        <w:rFonts w:ascii="Times New Roman" w:hAnsi="Times New Roman" w:cs="Times New Roman" w:hint="default"/>
      </w:rPr>
    </w:lvl>
    <w:lvl w:ilvl="8">
      <w:start w:val="1"/>
      <w:numFmt w:val="decimal"/>
      <w:lvlText w:val="%9."/>
      <w:lvlJc w:val="left"/>
      <w:pPr>
        <w:tabs>
          <w:tab w:val="left" w:pos="6480"/>
        </w:tabs>
        <w:ind w:left="6480" w:hanging="360"/>
      </w:pPr>
      <w:rPr>
        <w:rFonts w:ascii="Times New Roman" w:hAnsi="Times New Roman" w:cs="Times New Roman" w:hint="default"/>
      </w:rPr>
    </w:lvl>
  </w:abstractNum>
  <w:abstractNum w:abstractNumId="31" w15:restartNumberingAfterBreak="0">
    <w:nsid w:val="38D760A3"/>
    <w:multiLevelType w:val="multilevel"/>
    <w:tmpl w:val="4328A3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3BCD5FC2"/>
    <w:multiLevelType w:val="multilevel"/>
    <w:tmpl w:val="B260B1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3F544463"/>
    <w:multiLevelType w:val="multilevel"/>
    <w:tmpl w:val="8BEA2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3C341C8"/>
    <w:multiLevelType w:val="multilevel"/>
    <w:tmpl w:val="43C341C8"/>
    <w:lvl w:ilvl="0">
      <w:start w:val="1"/>
      <w:numFmt w:val="bullet"/>
      <w:lvlText w:val=""/>
      <w:lvlJc w:val="left"/>
      <w:pPr>
        <w:tabs>
          <w:tab w:val="left" w:pos="720"/>
        </w:tabs>
        <w:ind w:left="720" w:hanging="360"/>
      </w:pPr>
      <w:rPr>
        <w:rFonts w:ascii="Symbol" w:hAnsi="Symbol" w:hint="default"/>
        <w:sz w:val="20"/>
        <w:szCs w:val="20"/>
      </w:rPr>
    </w:lvl>
    <w:lvl w:ilvl="1">
      <w:start w:val="1"/>
      <w:numFmt w:val="bullet"/>
      <w:lvlText w:val="o"/>
      <w:lvlJc w:val="left"/>
      <w:pPr>
        <w:tabs>
          <w:tab w:val="left" w:pos="1440"/>
        </w:tabs>
        <w:ind w:left="1440" w:hanging="360"/>
      </w:pPr>
      <w:rPr>
        <w:rFonts w:ascii="Courier New" w:hAnsi="Courier New" w:cs="Courier New" w:hint="default"/>
        <w:sz w:val="20"/>
        <w:szCs w:val="20"/>
      </w:rPr>
    </w:lvl>
    <w:lvl w:ilvl="2">
      <w:start w:val="1"/>
      <w:numFmt w:val="bullet"/>
      <w:lvlText w:val=""/>
      <w:lvlJc w:val="left"/>
      <w:pPr>
        <w:tabs>
          <w:tab w:val="left" w:pos="2160"/>
        </w:tabs>
        <w:ind w:left="2160" w:hanging="360"/>
      </w:pPr>
      <w:rPr>
        <w:rFonts w:ascii="Wingdings" w:hAnsi="Wingdings" w:hint="default"/>
        <w:sz w:val="20"/>
        <w:szCs w:val="20"/>
      </w:rPr>
    </w:lvl>
    <w:lvl w:ilvl="3">
      <w:start w:val="1"/>
      <w:numFmt w:val="bullet"/>
      <w:lvlText w:val=""/>
      <w:lvlJc w:val="left"/>
      <w:pPr>
        <w:tabs>
          <w:tab w:val="left" w:pos="2880"/>
        </w:tabs>
        <w:ind w:left="2880" w:hanging="360"/>
      </w:pPr>
      <w:rPr>
        <w:rFonts w:ascii="Wingdings" w:hAnsi="Wingdings" w:hint="default"/>
        <w:sz w:val="20"/>
        <w:szCs w:val="20"/>
      </w:rPr>
    </w:lvl>
    <w:lvl w:ilvl="4">
      <w:start w:val="1"/>
      <w:numFmt w:val="bullet"/>
      <w:lvlText w:val=""/>
      <w:lvlJc w:val="left"/>
      <w:pPr>
        <w:tabs>
          <w:tab w:val="left" w:pos="3600"/>
        </w:tabs>
        <w:ind w:left="3600" w:hanging="360"/>
      </w:pPr>
      <w:rPr>
        <w:rFonts w:ascii="Wingdings" w:hAnsi="Wingdings" w:hint="default"/>
        <w:sz w:val="20"/>
        <w:szCs w:val="20"/>
      </w:rPr>
    </w:lvl>
    <w:lvl w:ilvl="5">
      <w:start w:val="1"/>
      <w:numFmt w:val="bullet"/>
      <w:lvlText w:val=""/>
      <w:lvlJc w:val="left"/>
      <w:pPr>
        <w:tabs>
          <w:tab w:val="left" w:pos="4320"/>
        </w:tabs>
        <w:ind w:left="4320" w:hanging="360"/>
      </w:pPr>
      <w:rPr>
        <w:rFonts w:ascii="Wingdings" w:hAnsi="Wingdings" w:hint="default"/>
        <w:sz w:val="20"/>
        <w:szCs w:val="20"/>
      </w:rPr>
    </w:lvl>
    <w:lvl w:ilvl="6">
      <w:start w:val="1"/>
      <w:numFmt w:val="bullet"/>
      <w:lvlText w:val=""/>
      <w:lvlJc w:val="left"/>
      <w:pPr>
        <w:tabs>
          <w:tab w:val="left" w:pos="5040"/>
        </w:tabs>
        <w:ind w:left="5040" w:hanging="360"/>
      </w:pPr>
      <w:rPr>
        <w:rFonts w:ascii="Wingdings" w:hAnsi="Wingdings" w:hint="default"/>
        <w:sz w:val="20"/>
        <w:szCs w:val="20"/>
      </w:rPr>
    </w:lvl>
    <w:lvl w:ilvl="7">
      <w:start w:val="1"/>
      <w:numFmt w:val="bullet"/>
      <w:lvlText w:val=""/>
      <w:lvlJc w:val="left"/>
      <w:pPr>
        <w:tabs>
          <w:tab w:val="left" w:pos="5760"/>
        </w:tabs>
        <w:ind w:left="5760" w:hanging="360"/>
      </w:pPr>
      <w:rPr>
        <w:rFonts w:ascii="Wingdings" w:hAnsi="Wingdings" w:hint="default"/>
        <w:sz w:val="20"/>
        <w:szCs w:val="20"/>
      </w:rPr>
    </w:lvl>
    <w:lvl w:ilvl="8">
      <w:start w:val="1"/>
      <w:numFmt w:val="bullet"/>
      <w:lvlText w:val=""/>
      <w:lvlJc w:val="left"/>
      <w:pPr>
        <w:tabs>
          <w:tab w:val="left" w:pos="6480"/>
        </w:tabs>
        <w:ind w:left="6480" w:hanging="360"/>
      </w:pPr>
      <w:rPr>
        <w:rFonts w:ascii="Wingdings" w:hAnsi="Wingdings" w:hint="default"/>
        <w:sz w:val="20"/>
        <w:szCs w:val="20"/>
      </w:rPr>
    </w:lvl>
  </w:abstractNum>
  <w:abstractNum w:abstractNumId="35" w15:restartNumberingAfterBreak="0">
    <w:nsid w:val="46630097"/>
    <w:multiLevelType w:val="multilevel"/>
    <w:tmpl w:val="9D7AF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6A55ADE"/>
    <w:multiLevelType w:val="multilevel"/>
    <w:tmpl w:val="8C528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E9A25D6"/>
    <w:multiLevelType w:val="multilevel"/>
    <w:tmpl w:val="83D03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124105E"/>
    <w:multiLevelType w:val="multilevel"/>
    <w:tmpl w:val="5124105E"/>
    <w:lvl w:ilvl="0">
      <w:start w:val="1"/>
      <w:numFmt w:val="bullet"/>
      <w:lvlText w:val=""/>
      <w:lvlJc w:val="left"/>
      <w:pPr>
        <w:tabs>
          <w:tab w:val="left" w:pos="720"/>
        </w:tabs>
        <w:ind w:left="720" w:hanging="360"/>
      </w:pPr>
      <w:rPr>
        <w:rFonts w:ascii="Symbol" w:hAnsi="Symbol" w:hint="default"/>
        <w:sz w:val="20"/>
        <w:szCs w:val="20"/>
      </w:rPr>
    </w:lvl>
    <w:lvl w:ilvl="1">
      <w:start w:val="1"/>
      <w:numFmt w:val="bullet"/>
      <w:lvlText w:val="o"/>
      <w:lvlJc w:val="left"/>
      <w:pPr>
        <w:tabs>
          <w:tab w:val="left" w:pos="1440"/>
        </w:tabs>
        <w:ind w:left="1440" w:hanging="360"/>
      </w:pPr>
      <w:rPr>
        <w:rFonts w:ascii="Courier New" w:hAnsi="Courier New" w:cs="Courier New" w:hint="default"/>
        <w:sz w:val="20"/>
        <w:szCs w:val="20"/>
      </w:rPr>
    </w:lvl>
    <w:lvl w:ilvl="2">
      <w:start w:val="1"/>
      <w:numFmt w:val="bullet"/>
      <w:lvlText w:val=""/>
      <w:lvlJc w:val="left"/>
      <w:pPr>
        <w:tabs>
          <w:tab w:val="left" w:pos="2160"/>
        </w:tabs>
        <w:ind w:left="2160" w:hanging="360"/>
      </w:pPr>
      <w:rPr>
        <w:rFonts w:ascii="Wingdings" w:hAnsi="Wingdings" w:hint="default"/>
        <w:sz w:val="20"/>
        <w:szCs w:val="20"/>
      </w:rPr>
    </w:lvl>
    <w:lvl w:ilvl="3">
      <w:start w:val="1"/>
      <w:numFmt w:val="bullet"/>
      <w:lvlText w:val=""/>
      <w:lvlJc w:val="left"/>
      <w:pPr>
        <w:tabs>
          <w:tab w:val="left" w:pos="2880"/>
        </w:tabs>
        <w:ind w:left="2880" w:hanging="360"/>
      </w:pPr>
      <w:rPr>
        <w:rFonts w:ascii="Wingdings" w:hAnsi="Wingdings" w:hint="default"/>
        <w:sz w:val="20"/>
        <w:szCs w:val="20"/>
      </w:rPr>
    </w:lvl>
    <w:lvl w:ilvl="4">
      <w:start w:val="1"/>
      <w:numFmt w:val="bullet"/>
      <w:lvlText w:val=""/>
      <w:lvlJc w:val="left"/>
      <w:pPr>
        <w:tabs>
          <w:tab w:val="left" w:pos="3600"/>
        </w:tabs>
        <w:ind w:left="3600" w:hanging="360"/>
      </w:pPr>
      <w:rPr>
        <w:rFonts w:ascii="Wingdings" w:hAnsi="Wingdings" w:hint="default"/>
        <w:sz w:val="20"/>
        <w:szCs w:val="20"/>
      </w:rPr>
    </w:lvl>
    <w:lvl w:ilvl="5">
      <w:start w:val="1"/>
      <w:numFmt w:val="bullet"/>
      <w:lvlText w:val=""/>
      <w:lvlJc w:val="left"/>
      <w:pPr>
        <w:tabs>
          <w:tab w:val="left" w:pos="4320"/>
        </w:tabs>
        <w:ind w:left="4320" w:hanging="360"/>
      </w:pPr>
      <w:rPr>
        <w:rFonts w:ascii="Wingdings" w:hAnsi="Wingdings" w:hint="default"/>
        <w:sz w:val="20"/>
        <w:szCs w:val="20"/>
      </w:rPr>
    </w:lvl>
    <w:lvl w:ilvl="6">
      <w:start w:val="1"/>
      <w:numFmt w:val="bullet"/>
      <w:lvlText w:val=""/>
      <w:lvlJc w:val="left"/>
      <w:pPr>
        <w:tabs>
          <w:tab w:val="left" w:pos="5040"/>
        </w:tabs>
        <w:ind w:left="5040" w:hanging="360"/>
      </w:pPr>
      <w:rPr>
        <w:rFonts w:ascii="Wingdings" w:hAnsi="Wingdings" w:hint="default"/>
        <w:sz w:val="20"/>
        <w:szCs w:val="20"/>
      </w:rPr>
    </w:lvl>
    <w:lvl w:ilvl="7">
      <w:start w:val="1"/>
      <w:numFmt w:val="bullet"/>
      <w:lvlText w:val=""/>
      <w:lvlJc w:val="left"/>
      <w:pPr>
        <w:tabs>
          <w:tab w:val="left" w:pos="5760"/>
        </w:tabs>
        <w:ind w:left="5760" w:hanging="360"/>
      </w:pPr>
      <w:rPr>
        <w:rFonts w:ascii="Wingdings" w:hAnsi="Wingdings" w:hint="default"/>
        <w:sz w:val="20"/>
        <w:szCs w:val="20"/>
      </w:rPr>
    </w:lvl>
    <w:lvl w:ilvl="8">
      <w:start w:val="1"/>
      <w:numFmt w:val="bullet"/>
      <w:lvlText w:val=""/>
      <w:lvlJc w:val="left"/>
      <w:pPr>
        <w:tabs>
          <w:tab w:val="left" w:pos="6480"/>
        </w:tabs>
        <w:ind w:left="6480" w:hanging="360"/>
      </w:pPr>
      <w:rPr>
        <w:rFonts w:ascii="Wingdings" w:hAnsi="Wingdings" w:hint="default"/>
        <w:sz w:val="20"/>
        <w:szCs w:val="20"/>
      </w:rPr>
    </w:lvl>
  </w:abstractNum>
  <w:abstractNum w:abstractNumId="39" w15:restartNumberingAfterBreak="0">
    <w:nsid w:val="528214A5"/>
    <w:multiLevelType w:val="multilevel"/>
    <w:tmpl w:val="528214A5"/>
    <w:lvl w:ilvl="0">
      <w:start w:val="1"/>
      <w:numFmt w:val="bullet"/>
      <w:lvlText w:val=""/>
      <w:lvlJc w:val="left"/>
      <w:pPr>
        <w:tabs>
          <w:tab w:val="left" w:pos="720"/>
        </w:tabs>
        <w:ind w:left="720" w:hanging="360"/>
      </w:pPr>
      <w:rPr>
        <w:rFonts w:ascii="Symbol" w:hAnsi="Symbol" w:hint="default"/>
        <w:sz w:val="20"/>
        <w:szCs w:val="20"/>
      </w:rPr>
    </w:lvl>
    <w:lvl w:ilvl="1">
      <w:start w:val="1"/>
      <w:numFmt w:val="bullet"/>
      <w:lvlText w:val="o"/>
      <w:lvlJc w:val="left"/>
      <w:pPr>
        <w:tabs>
          <w:tab w:val="left" w:pos="1440"/>
        </w:tabs>
        <w:ind w:left="1440" w:hanging="360"/>
      </w:pPr>
      <w:rPr>
        <w:rFonts w:ascii="Courier New" w:hAnsi="Courier New" w:cs="Courier New" w:hint="default"/>
        <w:sz w:val="20"/>
        <w:szCs w:val="20"/>
      </w:rPr>
    </w:lvl>
    <w:lvl w:ilvl="2">
      <w:start w:val="1"/>
      <w:numFmt w:val="bullet"/>
      <w:lvlText w:val=""/>
      <w:lvlJc w:val="left"/>
      <w:pPr>
        <w:tabs>
          <w:tab w:val="left" w:pos="2160"/>
        </w:tabs>
        <w:ind w:left="2160" w:hanging="360"/>
      </w:pPr>
      <w:rPr>
        <w:rFonts w:ascii="Wingdings" w:hAnsi="Wingdings" w:hint="default"/>
        <w:sz w:val="20"/>
        <w:szCs w:val="20"/>
      </w:rPr>
    </w:lvl>
    <w:lvl w:ilvl="3">
      <w:start w:val="1"/>
      <w:numFmt w:val="bullet"/>
      <w:lvlText w:val=""/>
      <w:lvlJc w:val="left"/>
      <w:pPr>
        <w:tabs>
          <w:tab w:val="left" w:pos="2880"/>
        </w:tabs>
        <w:ind w:left="2880" w:hanging="360"/>
      </w:pPr>
      <w:rPr>
        <w:rFonts w:ascii="Wingdings" w:hAnsi="Wingdings" w:hint="default"/>
        <w:sz w:val="20"/>
        <w:szCs w:val="20"/>
      </w:rPr>
    </w:lvl>
    <w:lvl w:ilvl="4">
      <w:start w:val="1"/>
      <w:numFmt w:val="bullet"/>
      <w:lvlText w:val=""/>
      <w:lvlJc w:val="left"/>
      <w:pPr>
        <w:tabs>
          <w:tab w:val="left" w:pos="3600"/>
        </w:tabs>
        <w:ind w:left="3600" w:hanging="360"/>
      </w:pPr>
      <w:rPr>
        <w:rFonts w:ascii="Wingdings" w:hAnsi="Wingdings" w:hint="default"/>
        <w:sz w:val="20"/>
        <w:szCs w:val="20"/>
      </w:rPr>
    </w:lvl>
    <w:lvl w:ilvl="5">
      <w:start w:val="1"/>
      <w:numFmt w:val="bullet"/>
      <w:lvlText w:val=""/>
      <w:lvlJc w:val="left"/>
      <w:pPr>
        <w:tabs>
          <w:tab w:val="left" w:pos="4320"/>
        </w:tabs>
        <w:ind w:left="4320" w:hanging="360"/>
      </w:pPr>
      <w:rPr>
        <w:rFonts w:ascii="Wingdings" w:hAnsi="Wingdings" w:hint="default"/>
        <w:sz w:val="20"/>
        <w:szCs w:val="20"/>
      </w:rPr>
    </w:lvl>
    <w:lvl w:ilvl="6">
      <w:start w:val="1"/>
      <w:numFmt w:val="bullet"/>
      <w:lvlText w:val=""/>
      <w:lvlJc w:val="left"/>
      <w:pPr>
        <w:tabs>
          <w:tab w:val="left" w:pos="5040"/>
        </w:tabs>
        <w:ind w:left="5040" w:hanging="360"/>
      </w:pPr>
      <w:rPr>
        <w:rFonts w:ascii="Wingdings" w:hAnsi="Wingdings" w:hint="default"/>
        <w:sz w:val="20"/>
        <w:szCs w:val="20"/>
      </w:rPr>
    </w:lvl>
    <w:lvl w:ilvl="7">
      <w:start w:val="1"/>
      <w:numFmt w:val="bullet"/>
      <w:lvlText w:val=""/>
      <w:lvlJc w:val="left"/>
      <w:pPr>
        <w:tabs>
          <w:tab w:val="left" w:pos="5760"/>
        </w:tabs>
        <w:ind w:left="5760" w:hanging="360"/>
      </w:pPr>
      <w:rPr>
        <w:rFonts w:ascii="Wingdings" w:hAnsi="Wingdings" w:hint="default"/>
        <w:sz w:val="20"/>
        <w:szCs w:val="20"/>
      </w:rPr>
    </w:lvl>
    <w:lvl w:ilvl="8">
      <w:start w:val="1"/>
      <w:numFmt w:val="bullet"/>
      <w:lvlText w:val=""/>
      <w:lvlJc w:val="left"/>
      <w:pPr>
        <w:tabs>
          <w:tab w:val="left" w:pos="6480"/>
        </w:tabs>
        <w:ind w:left="6480" w:hanging="360"/>
      </w:pPr>
      <w:rPr>
        <w:rFonts w:ascii="Wingdings" w:hAnsi="Wingdings" w:hint="default"/>
        <w:sz w:val="20"/>
        <w:szCs w:val="20"/>
      </w:rPr>
    </w:lvl>
  </w:abstractNum>
  <w:abstractNum w:abstractNumId="40" w15:restartNumberingAfterBreak="0">
    <w:nsid w:val="55462590"/>
    <w:multiLevelType w:val="multilevel"/>
    <w:tmpl w:val="77C2B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8EB7A1B"/>
    <w:multiLevelType w:val="multilevel"/>
    <w:tmpl w:val="3B384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A135FCE"/>
    <w:multiLevelType w:val="multilevel"/>
    <w:tmpl w:val="36BAF6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5D321F44"/>
    <w:multiLevelType w:val="multilevel"/>
    <w:tmpl w:val="5D321F44"/>
    <w:lvl w:ilvl="0">
      <w:start w:val="1"/>
      <w:numFmt w:val="bullet"/>
      <w:lvlText w:val=""/>
      <w:lvlJc w:val="left"/>
      <w:pPr>
        <w:tabs>
          <w:tab w:val="left" w:pos="720"/>
        </w:tabs>
        <w:ind w:left="720" w:hanging="360"/>
      </w:pPr>
      <w:rPr>
        <w:rFonts w:ascii="Symbol" w:hAnsi="Symbol" w:hint="default"/>
        <w:sz w:val="20"/>
        <w:szCs w:val="20"/>
      </w:rPr>
    </w:lvl>
    <w:lvl w:ilvl="1">
      <w:start w:val="1"/>
      <w:numFmt w:val="bullet"/>
      <w:lvlText w:val="o"/>
      <w:lvlJc w:val="left"/>
      <w:pPr>
        <w:tabs>
          <w:tab w:val="left" w:pos="1440"/>
        </w:tabs>
        <w:ind w:left="1440" w:hanging="360"/>
      </w:pPr>
      <w:rPr>
        <w:rFonts w:ascii="Courier New" w:hAnsi="Courier New" w:cs="Courier New" w:hint="default"/>
        <w:sz w:val="20"/>
        <w:szCs w:val="20"/>
      </w:rPr>
    </w:lvl>
    <w:lvl w:ilvl="2">
      <w:start w:val="1"/>
      <w:numFmt w:val="bullet"/>
      <w:lvlText w:val=""/>
      <w:lvlJc w:val="left"/>
      <w:pPr>
        <w:tabs>
          <w:tab w:val="left" w:pos="2160"/>
        </w:tabs>
        <w:ind w:left="2160" w:hanging="360"/>
      </w:pPr>
      <w:rPr>
        <w:rFonts w:ascii="Wingdings" w:hAnsi="Wingdings" w:hint="default"/>
        <w:sz w:val="20"/>
        <w:szCs w:val="20"/>
      </w:rPr>
    </w:lvl>
    <w:lvl w:ilvl="3">
      <w:start w:val="1"/>
      <w:numFmt w:val="bullet"/>
      <w:lvlText w:val=""/>
      <w:lvlJc w:val="left"/>
      <w:pPr>
        <w:tabs>
          <w:tab w:val="left" w:pos="2880"/>
        </w:tabs>
        <w:ind w:left="2880" w:hanging="360"/>
      </w:pPr>
      <w:rPr>
        <w:rFonts w:ascii="Wingdings" w:hAnsi="Wingdings" w:hint="default"/>
        <w:sz w:val="20"/>
        <w:szCs w:val="20"/>
      </w:rPr>
    </w:lvl>
    <w:lvl w:ilvl="4">
      <w:start w:val="1"/>
      <w:numFmt w:val="bullet"/>
      <w:lvlText w:val=""/>
      <w:lvlJc w:val="left"/>
      <w:pPr>
        <w:tabs>
          <w:tab w:val="left" w:pos="3600"/>
        </w:tabs>
        <w:ind w:left="3600" w:hanging="360"/>
      </w:pPr>
      <w:rPr>
        <w:rFonts w:ascii="Wingdings" w:hAnsi="Wingdings" w:hint="default"/>
        <w:sz w:val="20"/>
        <w:szCs w:val="20"/>
      </w:rPr>
    </w:lvl>
    <w:lvl w:ilvl="5">
      <w:start w:val="1"/>
      <w:numFmt w:val="bullet"/>
      <w:lvlText w:val=""/>
      <w:lvlJc w:val="left"/>
      <w:pPr>
        <w:tabs>
          <w:tab w:val="left" w:pos="4320"/>
        </w:tabs>
        <w:ind w:left="4320" w:hanging="360"/>
      </w:pPr>
      <w:rPr>
        <w:rFonts w:ascii="Wingdings" w:hAnsi="Wingdings" w:hint="default"/>
        <w:sz w:val="20"/>
        <w:szCs w:val="20"/>
      </w:rPr>
    </w:lvl>
    <w:lvl w:ilvl="6">
      <w:start w:val="1"/>
      <w:numFmt w:val="bullet"/>
      <w:lvlText w:val=""/>
      <w:lvlJc w:val="left"/>
      <w:pPr>
        <w:tabs>
          <w:tab w:val="left" w:pos="5040"/>
        </w:tabs>
        <w:ind w:left="5040" w:hanging="360"/>
      </w:pPr>
      <w:rPr>
        <w:rFonts w:ascii="Wingdings" w:hAnsi="Wingdings" w:hint="default"/>
        <w:sz w:val="20"/>
        <w:szCs w:val="20"/>
      </w:rPr>
    </w:lvl>
    <w:lvl w:ilvl="7">
      <w:start w:val="1"/>
      <w:numFmt w:val="bullet"/>
      <w:lvlText w:val=""/>
      <w:lvlJc w:val="left"/>
      <w:pPr>
        <w:tabs>
          <w:tab w:val="left" w:pos="5760"/>
        </w:tabs>
        <w:ind w:left="5760" w:hanging="360"/>
      </w:pPr>
      <w:rPr>
        <w:rFonts w:ascii="Wingdings" w:hAnsi="Wingdings" w:hint="default"/>
        <w:sz w:val="20"/>
        <w:szCs w:val="20"/>
      </w:rPr>
    </w:lvl>
    <w:lvl w:ilvl="8">
      <w:start w:val="1"/>
      <w:numFmt w:val="bullet"/>
      <w:lvlText w:val=""/>
      <w:lvlJc w:val="left"/>
      <w:pPr>
        <w:tabs>
          <w:tab w:val="left" w:pos="6480"/>
        </w:tabs>
        <w:ind w:left="6480" w:hanging="360"/>
      </w:pPr>
      <w:rPr>
        <w:rFonts w:ascii="Wingdings" w:hAnsi="Wingdings" w:hint="default"/>
        <w:sz w:val="20"/>
        <w:szCs w:val="20"/>
      </w:rPr>
    </w:lvl>
  </w:abstractNum>
  <w:abstractNum w:abstractNumId="44" w15:restartNumberingAfterBreak="0">
    <w:nsid w:val="5D804998"/>
    <w:multiLevelType w:val="multilevel"/>
    <w:tmpl w:val="5D804998"/>
    <w:lvl w:ilvl="0">
      <w:start w:val="1"/>
      <w:numFmt w:val="bullet"/>
      <w:lvlText w:val=""/>
      <w:lvlJc w:val="left"/>
      <w:pPr>
        <w:tabs>
          <w:tab w:val="left" w:pos="720"/>
        </w:tabs>
        <w:ind w:left="720" w:hanging="360"/>
      </w:pPr>
      <w:rPr>
        <w:rFonts w:ascii="Symbol" w:hAnsi="Symbol" w:hint="default"/>
        <w:sz w:val="20"/>
        <w:szCs w:val="20"/>
      </w:rPr>
    </w:lvl>
    <w:lvl w:ilvl="1">
      <w:start w:val="1"/>
      <w:numFmt w:val="bullet"/>
      <w:lvlText w:val="o"/>
      <w:lvlJc w:val="left"/>
      <w:pPr>
        <w:tabs>
          <w:tab w:val="left" w:pos="1440"/>
        </w:tabs>
        <w:ind w:left="1440" w:hanging="360"/>
      </w:pPr>
      <w:rPr>
        <w:rFonts w:ascii="Courier New" w:hAnsi="Courier New" w:cs="Courier New" w:hint="default"/>
        <w:sz w:val="20"/>
        <w:szCs w:val="20"/>
      </w:rPr>
    </w:lvl>
    <w:lvl w:ilvl="2">
      <w:start w:val="1"/>
      <w:numFmt w:val="bullet"/>
      <w:lvlText w:val=""/>
      <w:lvlJc w:val="left"/>
      <w:pPr>
        <w:tabs>
          <w:tab w:val="left" w:pos="2160"/>
        </w:tabs>
        <w:ind w:left="2160" w:hanging="360"/>
      </w:pPr>
      <w:rPr>
        <w:rFonts w:ascii="Wingdings" w:hAnsi="Wingdings" w:hint="default"/>
        <w:sz w:val="20"/>
        <w:szCs w:val="20"/>
      </w:rPr>
    </w:lvl>
    <w:lvl w:ilvl="3">
      <w:start w:val="1"/>
      <w:numFmt w:val="bullet"/>
      <w:lvlText w:val=""/>
      <w:lvlJc w:val="left"/>
      <w:pPr>
        <w:tabs>
          <w:tab w:val="left" w:pos="2880"/>
        </w:tabs>
        <w:ind w:left="2880" w:hanging="360"/>
      </w:pPr>
      <w:rPr>
        <w:rFonts w:ascii="Wingdings" w:hAnsi="Wingdings" w:hint="default"/>
        <w:sz w:val="20"/>
        <w:szCs w:val="20"/>
      </w:rPr>
    </w:lvl>
    <w:lvl w:ilvl="4">
      <w:start w:val="1"/>
      <w:numFmt w:val="bullet"/>
      <w:lvlText w:val=""/>
      <w:lvlJc w:val="left"/>
      <w:pPr>
        <w:tabs>
          <w:tab w:val="left" w:pos="3600"/>
        </w:tabs>
        <w:ind w:left="3600" w:hanging="360"/>
      </w:pPr>
      <w:rPr>
        <w:rFonts w:ascii="Wingdings" w:hAnsi="Wingdings" w:hint="default"/>
        <w:sz w:val="20"/>
        <w:szCs w:val="20"/>
      </w:rPr>
    </w:lvl>
    <w:lvl w:ilvl="5">
      <w:start w:val="1"/>
      <w:numFmt w:val="bullet"/>
      <w:lvlText w:val=""/>
      <w:lvlJc w:val="left"/>
      <w:pPr>
        <w:tabs>
          <w:tab w:val="left" w:pos="4320"/>
        </w:tabs>
        <w:ind w:left="4320" w:hanging="360"/>
      </w:pPr>
      <w:rPr>
        <w:rFonts w:ascii="Wingdings" w:hAnsi="Wingdings" w:hint="default"/>
        <w:sz w:val="20"/>
        <w:szCs w:val="20"/>
      </w:rPr>
    </w:lvl>
    <w:lvl w:ilvl="6">
      <w:start w:val="1"/>
      <w:numFmt w:val="bullet"/>
      <w:lvlText w:val=""/>
      <w:lvlJc w:val="left"/>
      <w:pPr>
        <w:tabs>
          <w:tab w:val="left" w:pos="5040"/>
        </w:tabs>
        <w:ind w:left="5040" w:hanging="360"/>
      </w:pPr>
      <w:rPr>
        <w:rFonts w:ascii="Wingdings" w:hAnsi="Wingdings" w:hint="default"/>
        <w:sz w:val="20"/>
        <w:szCs w:val="20"/>
      </w:rPr>
    </w:lvl>
    <w:lvl w:ilvl="7">
      <w:start w:val="1"/>
      <w:numFmt w:val="bullet"/>
      <w:lvlText w:val=""/>
      <w:lvlJc w:val="left"/>
      <w:pPr>
        <w:tabs>
          <w:tab w:val="left" w:pos="5760"/>
        </w:tabs>
        <w:ind w:left="5760" w:hanging="360"/>
      </w:pPr>
      <w:rPr>
        <w:rFonts w:ascii="Wingdings" w:hAnsi="Wingdings" w:hint="default"/>
        <w:sz w:val="20"/>
        <w:szCs w:val="20"/>
      </w:rPr>
    </w:lvl>
    <w:lvl w:ilvl="8">
      <w:start w:val="1"/>
      <w:numFmt w:val="bullet"/>
      <w:lvlText w:val=""/>
      <w:lvlJc w:val="left"/>
      <w:pPr>
        <w:tabs>
          <w:tab w:val="left" w:pos="6480"/>
        </w:tabs>
        <w:ind w:left="6480" w:hanging="360"/>
      </w:pPr>
      <w:rPr>
        <w:rFonts w:ascii="Wingdings" w:hAnsi="Wingdings" w:hint="default"/>
        <w:sz w:val="20"/>
        <w:szCs w:val="20"/>
      </w:rPr>
    </w:lvl>
  </w:abstractNum>
  <w:abstractNum w:abstractNumId="45" w15:restartNumberingAfterBreak="0">
    <w:nsid w:val="5DF9523D"/>
    <w:multiLevelType w:val="multilevel"/>
    <w:tmpl w:val="5DF9523D"/>
    <w:lvl w:ilvl="0">
      <w:start w:val="1"/>
      <w:numFmt w:val="bullet"/>
      <w:lvlText w:val=""/>
      <w:lvlJc w:val="left"/>
      <w:pPr>
        <w:tabs>
          <w:tab w:val="left" w:pos="720"/>
        </w:tabs>
        <w:ind w:left="720" w:hanging="360"/>
      </w:pPr>
      <w:rPr>
        <w:rFonts w:ascii="Symbol" w:hAnsi="Symbol" w:hint="default"/>
        <w:sz w:val="20"/>
        <w:szCs w:val="20"/>
      </w:rPr>
    </w:lvl>
    <w:lvl w:ilvl="1">
      <w:start w:val="1"/>
      <w:numFmt w:val="bullet"/>
      <w:lvlText w:val="o"/>
      <w:lvlJc w:val="left"/>
      <w:pPr>
        <w:tabs>
          <w:tab w:val="left" w:pos="1440"/>
        </w:tabs>
        <w:ind w:left="1440" w:hanging="360"/>
      </w:pPr>
      <w:rPr>
        <w:rFonts w:ascii="Courier New" w:hAnsi="Courier New" w:cs="Courier New" w:hint="default"/>
        <w:sz w:val="20"/>
        <w:szCs w:val="20"/>
      </w:rPr>
    </w:lvl>
    <w:lvl w:ilvl="2">
      <w:start w:val="1"/>
      <w:numFmt w:val="bullet"/>
      <w:lvlText w:val=""/>
      <w:lvlJc w:val="left"/>
      <w:pPr>
        <w:tabs>
          <w:tab w:val="left" w:pos="2160"/>
        </w:tabs>
        <w:ind w:left="2160" w:hanging="360"/>
      </w:pPr>
      <w:rPr>
        <w:rFonts w:ascii="Wingdings" w:hAnsi="Wingdings" w:hint="default"/>
        <w:sz w:val="20"/>
        <w:szCs w:val="20"/>
      </w:rPr>
    </w:lvl>
    <w:lvl w:ilvl="3">
      <w:start w:val="1"/>
      <w:numFmt w:val="bullet"/>
      <w:lvlText w:val=""/>
      <w:lvlJc w:val="left"/>
      <w:pPr>
        <w:tabs>
          <w:tab w:val="left" w:pos="2880"/>
        </w:tabs>
        <w:ind w:left="2880" w:hanging="360"/>
      </w:pPr>
      <w:rPr>
        <w:rFonts w:ascii="Wingdings" w:hAnsi="Wingdings" w:hint="default"/>
        <w:sz w:val="20"/>
        <w:szCs w:val="20"/>
      </w:rPr>
    </w:lvl>
    <w:lvl w:ilvl="4">
      <w:start w:val="1"/>
      <w:numFmt w:val="bullet"/>
      <w:lvlText w:val=""/>
      <w:lvlJc w:val="left"/>
      <w:pPr>
        <w:tabs>
          <w:tab w:val="left" w:pos="3600"/>
        </w:tabs>
        <w:ind w:left="3600" w:hanging="360"/>
      </w:pPr>
      <w:rPr>
        <w:rFonts w:ascii="Wingdings" w:hAnsi="Wingdings" w:hint="default"/>
        <w:sz w:val="20"/>
        <w:szCs w:val="20"/>
      </w:rPr>
    </w:lvl>
    <w:lvl w:ilvl="5">
      <w:start w:val="1"/>
      <w:numFmt w:val="bullet"/>
      <w:lvlText w:val=""/>
      <w:lvlJc w:val="left"/>
      <w:pPr>
        <w:tabs>
          <w:tab w:val="left" w:pos="4320"/>
        </w:tabs>
        <w:ind w:left="4320" w:hanging="360"/>
      </w:pPr>
      <w:rPr>
        <w:rFonts w:ascii="Wingdings" w:hAnsi="Wingdings" w:hint="default"/>
        <w:sz w:val="20"/>
        <w:szCs w:val="20"/>
      </w:rPr>
    </w:lvl>
    <w:lvl w:ilvl="6">
      <w:start w:val="1"/>
      <w:numFmt w:val="bullet"/>
      <w:lvlText w:val=""/>
      <w:lvlJc w:val="left"/>
      <w:pPr>
        <w:tabs>
          <w:tab w:val="left" w:pos="5040"/>
        </w:tabs>
        <w:ind w:left="5040" w:hanging="360"/>
      </w:pPr>
      <w:rPr>
        <w:rFonts w:ascii="Wingdings" w:hAnsi="Wingdings" w:hint="default"/>
        <w:sz w:val="20"/>
        <w:szCs w:val="20"/>
      </w:rPr>
    </w:lvl>
    <w:lvl w:ilvl="7">
      <w:start w:val="1"/>
      <w:numFmt w:val="bullet"/>
      <w:lvlText w:val=""/>
      <w:lvlJc w:val="left"/>
      <w:pPr>
        <w:tabs>
          <w:tab w:val="left" w:pos="5760"/>
        </w:tabs>
        <w:ind w:left="5760" w:hanging="360"/>
      </w:pPr>
      <w:rPr>
        <w:rFonts w:ascii="Wingdings" w:hAnsi="Wingdings" w:hint="default"/>
        <w:sz w:val="20"/>
        <w:szCs w:val="20"/>
      </w:rPr>
    </w:lvl>
    <w:lvl w:ilvl="8">
      <w:start w:val="1"/>
      <w:numFmt w:val="bullet"/>
      <w:lvlText w:val=""/>
      <w:lvlJc w:val="left"/>
      <w:pPr>
        <w:tabs>
          <w:tab w:val="left" w:pos="6480"/>
        </w:tabs>
        <w:ind w:left="6480" w:hanging="360"/>
      </w:pPr>
      <w:rPr>
        <w:rFonts w:ascii="Wingdings" w:hAnsi="Wingdings" w:hint="default"/>
        <w:sz w:val="20"/>
        <w:szCs w:val="20"/>
      </w:rPr>
    </w:lvl>
  </w:abstractNum>
  <w:abstractNum w:abstractNumId="46" w15:restartNumberingAfterBreak="0">
    <w:nsid w:val="5E702EE2"/>
    <w:multiLevelType w:val="multilevel"/>
    <w:tmpl w:val="C3705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5F2150F4"/>
    <w:multiLevelType w:val="multilevel"/>
    <w:tmpl w:val="CAAA9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F3A7D5A"/>
    <w:multiLevelType w:val="multilevel"/>
    <w:tmpl w:val="5B649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603472E8"/>
    <w:multiLevelType w:val="multilevel"/>
    <w:tmpl w:val="11868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0D524EB"/>
    <w:multiLevelType w:val="multilevel"/>
    <w:tmpl w:val="0B4A8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63F50B47"/>
    <w:multiLevelType w:val="multilevel"/>
    <w:tmpl w:val="63F50B47"/>
    <w:lvl w:ilvl="0">
      <w:start w:val="1"/>
      <w:numFmt w:val="bullet"/>
      <w:lvlText w:val=""/>
      <w:lvlJc w:val="left"/>
      <w:pPr>
        <w:tabs>
          <w:tab w:val="left" w:pos="720"/>
        </w:tabs>
        <w:ind w:left="720" w:hanging="360"/>
      </w:pPr>
      <w:rPr>
        <w:rFonts w:ascii="Symbol" w:hAnsi="Symbol" w:hint="default"/>
        <w:sz w:val="20"/>
        <w:szCs w:val="20"/>
      </w:rPr>
    </w:lvl>
    <w:lvl w:ilvl="1">
      <w:start w:val="1"/>
      <w:numFmt w:val="bullet"/>
      <w:lvlText w:val="o"/>
      <w:lvlJc w:val="left"/>
      <w:pPr>
        <w:tabs>
          <w:tab w:val="left" w:pos="1440"/>
        </w:tabs>
        <w:ind w:left="1440" w:hanging="360"/>
      </w:pPr>
      <w:rPr>
        <w:rFonts w:ascii="Courier New" w:hAnsi="Courier New" w:cs="Courier New" w:hint="default"/>
        <w:sz w:val="20"/>
        <w:szCs w:val="20"/>
      </w:rPr>
    </w:lvl>
    <w:lvl w:ilvl="2">
      <w:start w:val="1"/>
      <w:numFmt w:val="bullet"/>
      <w:lvlText w:val=""/>
      <w:lvlJc w:val="left"/>
      <w:pPr>
        <w:tabs>
          <w:tab w:val="left" w:pos="2160"/>
        </w:tabs>
        <w:ind w:left="2160" w:hanging="360"/>
      </w:pPr>
      <w:rPr>
        <w:rFonts w:ascii="Wingdings" w:hAnsi="Wingdings" w:hint="default"/>
        <w:sz w:val="20"/>
        <w:szCs w:val="20"/>
      </w:rPr>
    </w:lvl>
    <w:lvl w:ilvl="3">
      <w:start w:val="1"/>
      <w:numFmt w:val="bullet"/>
      <w:lvlText w:val=""/>
      <w:lvlJc w:val="left"/>
      <w:pPr>
        <w:tabs>
          <w:tab w:val="left" w:pos="2880"/>
        </w:tabs>
        <w:ind w:left="2880" w:hanging="360"/>
      </w:pPr>
      <w:rPr>
        <w:rFonts w:ascii="Wingdings" w:hAnsi="Wingdings" w:hint="default"/>
        <w:sz w:val="20"/>
        <w:szCs w:val="20"/>
      </w:rPr>
    </w:lvl>
    <w:lvl w:ilvl="4">
      <w:start w:val="1"/>
      <w:numFmt w:val="bullet"/>
      <w:lvlText w:val=""/>
      <w:lvlJc w:val="left"/>
      <w:pPr>
        <w:tabs>
          <w:tab w:val="left" w:pos="3600"/>
        </w:tabs>
        <w:ind w:left="3600" w:hanging="360"/>
      </w:pPr>
      <w:rPr>
        <w:rFonts w:ascii="Wingdings" w:hAnsi="Wingdings" w:hint="default"/>
        <w:sz w:val="20"/>
        <w:szCs w:val="20"/>
      </w:rPr>
    </w:lvl>
    <w:lvl w:ilvl="5">
      <w:start w:val="1"/>
      <w:numFmt w:val="bullet"/>
      <w:lvlText w:val=""/>
      <w:lvlJc w:val="left"/>
      <w:pPr>
        <w:tabs>
          <w:tab w:val="left" w:pos="4320"/>
        </w:tabs>
        <w:ind w:left="4320" w:hanging="360"/>
      </w:pPr>
      <w:rPr>
        <w:rFonts w:ascii="Wingdings" w:hAnsi="Wingdings" w:hint="default"/>
        <w:sz w:val="20"/>
        <w:szCs w:val="20"/>
      </w:rPr>
    </w:lvl>
    <w:lvl w:ilvl="6">
      <w:start w:val="1"/>
      <w:numFmt w:val="bullet"/>
      <w:lvlText w:val=""/>
      <w:lvlJc w:val="left"/>
      <w:pPr>
        <w:tabs>
          <w:tab w:val="left" w:pos="5040"/>
        </w:tabs>
        <w:ind w:left="5040" w:hanging="360"/>
      </w:pPr>
      <w:rPr>
        <w:rFonts w:ascii="Wingdings" w:hAnsi="Wingdings" w:hint="default"/>
        <w:sz w:val="20"/>
        <w:szCs w:val="20"/>
      </w:rPr>
    </w:lvl>
    <w:lvl w:ilvl="7">
      <w:start w:val="1"/>
      <w:numFmt w:val="bullet"/>
      <w:lvlText w:val=""/>
      <w:lvlJc w:val="left"/>
      <w:pPr>
        <w:tabs>
          <w:tab w:val="left" w:pos="5760"/>
        </w:tabs>
        <w:ind w:left="5760" w:hanging="360"/>
      </w:pPr>
      <w:rPr>
        <w:rFonts w:ascii="Wingdings" w:hAnsi="Wingdings" w:hint="default"/>
        <w:sz w:val="20"/>
        <w:szCs w:val="20"/>
      </w:rPr>
    </w:lvl>
    <w:lvl w:ilvl="8">
      <w:start w:val="1"/>
      <w:numFmt w:val="bullet"/>
      <w:lvlText w:val=""/>
      <w:lvlJc w:val="left"/>
      <w:pPr>
        <w:tabs>
          <w:tab w:val="left" w:pos="6480"/>
        </w:tabs>
        <w:ind w:left="6480" w:hanging="360"/>
      </w:pPr>
      <w:rPr>
        <w:rFonts w:ascii="Wingdings" w:hAnsi="Wingdings" w:hint="default"/>
        <w:sz w:val="20"/>
        <w:szCs w:val="20"/>
      </w:rPr>
    </w:lvl>
  </w:abstractNum>
  <w:abstractNum w:abstractNumId="52" w15:restartNumberingAfterBreak="0">
    <w:nsid w:val="64513A7F"/>
    <w:multiLevelType w:val="multilevel"/>
    <w:tmpl w:val="C262D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65941F9D"/>
    <w:multiLevelType w:val="multilevel"/>
    <w:tmpl w:val="65941F9D"/>
    <w:lvl w:ilvl="0">
      <w:start w:val="1"/>
      <w:numFmt w:val="bullet"/>
      <w:lvlText w:val=""/>
      <w:lvlJc w:val="left"/>
      <w:pPr>
        <w:tabs>
          <w:tab w:val="left" w:pos="720"/>
        </w:tabs>
        <w:ind w:left="720" w:hanging="360"/>
      </w:pPr>
      <w:rPr>
        <w:rFonts w:ascii="Symbol" w:hAnsi="Symbol" w:hint="default"/>
        <w:sz w:val="20"/>
        <w:szCs w:val="20"/>
      </w:rPr>
    </w:lvl>
    <w:lvl w:ilvl="1">
      <w:start w:val="1"/>
      <w:numFmt w:val="bullet"/>
      <w:lvlText w:val="o"/>
      <w:lvlJc w:val="left"/>
      <w:pPr>
        <w:tabs>
          <w:tab w:val="left" w:pos="1440"/>
        </w:tabs>
        <w:ind w:left="1440" w:hanging="360"/>
      </w:pPr>
      <w:rPr>
        <w:rFonts w:ascii="Courier New" w:hAnsi="Courier New" w:cs="Courier New" w:hint="default"/>
        <w:sz w:val="20"/>
        <w:szCs w:val="20"/>
      </w:rPr>
    </w:lvl>
    <w:lvl w:ilvl="2">
      <w:start w:val="1"/>
      <w:numFmt w:val="bullet"/>
      <w:lvlText w:val=""/>
      <w:lvlJc w:val="left"/>
      <w:pPr>
        <w:tabs>
          <w:tab w:val="left" w:pos="2160"/>
        </w:tabs>
        <w:ind w:left="2160" w:hanging="360"/>
      </w:pPr>
      <w:rPr>
        <w:rFonts w:ascii="Wingdings" w:hAnsi="Wingdings" w:hint="default"/>
        <w:sz w:val="20"/>
        <w:szCs w:val="20"/>
      </w:rPr>
    </w:lvl>
    <w:lvl w:ilvl="3">
      <w:start w:val="1"/>
      <w:numFmt w:val="bullet"/>
      <w:lvlText w:val=""/>
      <w:lvlJc w:val="left"/>
      <w:pPr>
        <w:tabs>
          <w:tab w:val="left" w:pos="2880"/>
        </w:tabs>
        <w:ind w:left="2880" w:hanging="360"/>
      </w:pPr>
      <w:rPr>
        <w:rFonts w:ascii="Wingdings" w:hAnsi="Wingdings" w:hint="default"/>
        <w:sz w:val="20"/>
        <w:szCs w:val="20"/>
      </w:rPr>
    </w:lvl>
    <w:lvl w:ilvl="4">
      <w:start w:val="1"/>
      <w:numFmt w:val="bullet"/>
      <w:lvlText w:val=""/>
      <w:lvlJc w:val="left"/>
      <w:pPr>
        <w:tabs>
          <w:tab w:val="left" w:pos="3600"/>
        </w:tabs>
        <w:ind w:left="3600" w:hanging="360"/>
      </w:pPr>
      <w:rPr>
        <w:rFonts w:ascii="Wingdings" w:hAnsi="Wingdings" w:hint="default"/>
        <w:sz w:val="20"/>
        <w:szCs w:val="20"/>
      </w:rPr>
    </w:lvl>
    <w:lvl w:ilvl="5">
      <w:start w:val="1"/>
      <w:numFmt w:val="bullet"/>
      <w:lvlText w:val=""/>
      <w:lvlJc w:val="left"/>
      <w:pPr>
        <w:tabs>
          <w:tab w:val="left" w:pos="4320"/>
        </w:tabs>
        <w:ind w:left="4320" w:hanging="360"/>
      </w:pPr>
      <w:rPr>
        <w:rFonts w:ascii="Wingdings" w:hAnsi="Wingdings" w:hint="default"/>
        <w:sz w:val="20"/>
        <w:szCs w:val="20"/>
      </w:rPr>
    </w:lvl>
    <w:lvl w:ilvl="6">
      <w:start w:val="1"/>
      <w:numFmt w:val="bullet"/>
      <w:lvlText w:val=""/>
      <w:lvlJc w:val="left"/>
      <w:pPr>
        <w:tabs>
          <w:tab w:val="left" w:pos="5040"/>
        </w:tabs>
        <w:ind w:left="5040" w:hanging="360"/>
      </w:pPr>
      <w:rPr>
        <w:rFonts w:ascii="Wingdings" w:hAnsi="Wingdings" w:hint="default"/>
        <w:sz w:val="20"/>
        <w:szCs w:val="20"/>
      </w:rPr>
    </w:lvl>
    <w:lvl w:ilvl="7">
      <w:start w:val="1"/>
      <w:numFmt w:val="bullet"/>
      <w:lvlText w:val=""/>
      <w:lvlJc w:val="left"/>
      <w:pPr>
        <w:tabs>
          <w:tab w:val="left" w:pos="5760"/>
        </w:tabs>
        <w:ind w:left="5760" w:hanging="360"/>
      </w:pPr>
      <w:rPr>
        <w:rFonts w:ascii="Wingdings" w:hAnsi="Wingdings" w:hint="default"/>
        <w:sz w:val="20"/>
        <w:szCs w:val="20"/>
      </w:rPr>
    </w:lvl>
    <w:lvl w:ilvl="8">
      <w:start w:val="1"/>
      <w:numFmt w:val="bullet"/>
      <w:lvlText w:val=""/>
      <w:lvlJc w:val="left"/>
      <w:pPr>
        <w:tabs>
          <w:tab w:val="left" w:pos="6480"/>
        </w:tabs>
        <w:ind w:left="6480" w:hanging="360"/>
      </w:pPr>
      <w:rPr>
        <w:rFonts w:ascii="Wingdings" w:hAnsi="Wingdings" w:hint="default"/>
        <w:sz w:val="20"/>
        <w:szCs w:val="20"/>
      </w:rPr>
    </w:lvl>
  </w:abstractNum>
  <w:abstractNum w:abstractNumId="54" w15:restartNumberingAfterBreak="0">
    <w:nsid w:val="662D2081"/>
    <w:multiLevelType w:val="multilevel"/>
    <w:tmpl w:val="4C3E7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6A2B41E2"/>
    <w:multiLevelType w:val="multilevel"/>
    <w:tmpl w:val="5560B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6B265E82"/>
    <w:multiLevelType w:val="multilevel"/>
    <w:tmpl w:val="6B265E82"/>
    <w:lvl w:ilvl="0">
      <w:start w:val="1"/>
      <w:numFmt w:val="bullet"/>
      <w:lvlText w:val=""/>
      <w:lvlJc w:val="left"/>
      <w:pPr>
        <w:tabs>
          <w:tab w:val="left" w:pos="720"/>
        </w:tabs>
        <w:ind w:left="720" w:hanging="360"/>
      </w:pPr>
      <w:rPr>
        <w:rFonts w:ascii="Symbol" w:hAnsi="Symbol" w:hint="default"/>
        <w:sz w:val="20"/>
        <w:szCs w:val="20"/>
      </w:rPr>
    </w:lvl>
    <w:lvl w:ilvl="1">
      <w:start w:val="1"/>
      <w:numFmt w:val="bullet"/>
      <w:lvlText w:val="o"/>
      <w:lvlJc w:val="left"/>
      <w:pPr>
        <w:tabs>
          <w:tab w:val="left" w:pos="1440"/>
        </w:tabs>
        <w:ind w:left="1440" w:hanging="360"/>
      </w:pPr>
      <w:rPr>
        <w:rFonts w:ascii="Courier New" w:hAnsi="Courier New" w:cs="Courier New" w:hint="default"/>
        <w:sz w:val="20"/>
        <w:szCs w:val="20"/>
      </w:rPr>
    </w:lvl>
    <w:lvl w:ilvl="2">
      <w:start w:val="1"/>
      <w:numFmt w:val="bullet"/>
      <w:lvlText w:val=""/>
      <w:lvlJc w:val="left"/>
      <w:pPr>
        <w:tabs>
          <w:tab w:val="left" w:pos="2160"/>
        </w:tabs>
        <w:ind w:left="2160" w:hanging="360"/>
      </w:pPr>
      <w:rPr>
        <w:rFonts w:ascii="Wingdings" w:hAnsi="Wingdings" w:hint="default"/>
        <w:sz w:val="20"/>
        <w:szCs w:val="20"/>
      </w:rPr>
    </w:lvl>
    <w:lvl w:ilvl="3">
      <w:start w:val="1"/>
      <w:numFmt w:val="bullet"/>
      <w:lvlText w:val=""/>
      <w:lvlJc w:val="left"/>
      <w:pPr>
        <w:tabs>
          <w:tab w:val="left" w:pos="2880"/>
        </w:tabs>
        <w:ind w:left="2880" w:hanging="360"/>
      </w:pPr>
      <w:rPr>
        <w:rFonts w:ascii="Wingdings" w:hAnsi="Wingdings" w:hint="default"/>
        <w:sz w:val="20"/>
        <w:szCs w:val="20"/>
      </w:rPr>
    </w:lvl>
    <w:lvl w:ilvl="4">
      <w:start w:val="1"/>
      <w:numFmt w:val="bullet"/>
      <w:lvlText w:val=""/>
      <w:lvlJc w:val="left"/>
      <w:pPr>
        <w:tabs>
          <w:tab w:val="left" w:pos="3600"/>
        </w:tabs>
        <w:ind w:left="3600" w:hanging="360"/>
      </w:pPr>
      <w:rPr>
        <w:rFonts w:ascii="Wingdings" w:hAnsi="Wingdings" w:hint="default"/>
        <w:sz w:val="20"/>
        <w:szCs w:val="20"/>
      </w:rPr>
    </w:lvl>
    <w:lvl w:ilvl="5">
      <w:start w:val="1"/>
      <w:numFmt w:val="bullet"/>
      <w:lvlText w:val=""/>
      <w:lvlJc w:val="left"/>
      <w:pPr>
        <w:tabs>
          <w:tab w:val="left" w:pos="4320"/>
        </w:tabs>
        <w:ind w:left="4320" w:hanging="360"/>
      </w:pPr>
      <w:rPr>
        <w:rFonts w:ascii="Wingdings" w:hAnsi="Wingdings" w:hint="default"/>
        <w:sz w:val="20"/>
        <w:szCs w:val="20"/>
      </w:rPr>
    </w:lvl>
    <w:lvl w:ilvl="6">
      <w:start w:val="1"/>
      <w:numFmt w:val="bullet"/>
      <w:lvlText w:val=""/>
      <w:lvlJc w:val="left"/>
      <w:pPr>
        <w:tabs>
          <w:tab w:val="left" w:pos="5040"/>
        </w:tabs>
        <w:ind w:left="5040" w:hanging="360"/>
      </w:pPr>
      <w:rPr>
        <w:rFonts w:ascii="Wingdings" w:hAnsi="Wingdings" w:hint="default"/>
        <w:sz w:val="20"/>
        <w:szCs w:val="20"/>
      </w:rPr>
    </w:lvl>
    <w:lvl w:ilvl="7">
      <w:start w:val="1"/>
      <w:numFmt w:val="bullet"/>
      <w:lvlText w:val=""/>
      <w:lvlJc w:val="left"/>
      <w:pPr>
        <w:tabs>
          <w:tab w:val="left" w:pos="5760"/>
        </w:tabs>
        <w:ind w:left="5760" w:hanging="360"/>
      </w:pPr>
      <w:rPr>
        <w:rFonts w:ascii="Wingdings" w:hAnsi="Wingdings" w:hint="default"/>
        <w:sz w:val="20"/>
        <w:szCs w:val="20"/>
      </w:rPr>
    </w:lvl>
    <w:lvl w:ilvl="8">
      <w:start w:val="1"/>
      <w:numFmt w:val="bullet"/>
      <w:lvlText w:val=""/>
      <w:lvlJc w:val="left"/>
      <w:pPr>
        <w:tabs>
          <w:tab w:val="left" w:pos="6480"/>
        </w:tabs>
        <w:ind w:left="6480" w:hanging="360"/>
      </w:pPr>
      <w:rPr>
        <w:rFonts w:ascii="Wingdings" w:hAnsi="Wingdings" w:hint="default"/>
        <w:sz w:val="20"/>
        <w:szCs w:val="20"/>
      </w:rPr>
    </w:lvl>
  </w:abstractNum>
  <w:abstractNum w:abstractNumId="57" w15:restartNumberingAfterBreak="0">
    <w:nsid w:val="6CA71F38"/>
    <w:multiLevelType w:val="hybridMultilevel"/>
    <w:tmpl w:val="6A62C5FA"/>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73B23337"/>
    <w:multiLevelType w:val="multilevel"/>
    <w:tmpl w:val="F9E6A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76141E5D"/>
    <w:multiLevelType w:val="multilevel"/>
    <w:tmpl w:val="346EA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7871669A"/>
    <w:multiLevelType w:val="multilevel"/>
    <w:tmpl w:val="7871669A"/>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61" w15:restartNumberingAfterBreak="0">
    <w:nsid w:val="79A322F4"/>
    <w:multiLevelType w:val="multilevel"/>
    <w:tmpl w:val="36085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7DCA78D2"/>
    <w:multiLevelType w:val="multilevel"/>
    <w:tmpl w:val="7DCA78D2"/>
    <w:lvl w:ilvl="0">
      <w:start w:val="1"/>
      <w:numFmt w:val="bullet"/>
      <w:lvlText w:val=""/>
      <w:lvlJc w:val="left"/>
      <w:pPr>
        <w:tabs>
          <w:tab w:val="left" w:pos="720"/>
        </w:tabs>
        <w:ind w:left="720" w:hanging="360"/>
      </w:pPr>
      <w:rPr>
        <w:rFonts w:ascii="Symbol" w:hAnsi="Symbol" w:hint="default"/>
        <w:sz w:val="20"/>
        <w:szCs w:val="20"/>
      </w:rPr>
    </w:lvl>
    <w:lvl w:ilvl="1">
      <w:start w:val="1"/>
      <w:numFmt w:val="bullet"/>
      <w:lvlText w:val="o"/>
      <w:lvlJc w:val="left"/>
      <w:pPr>
        <w:tabs>
          <w:tab w:val="left" w:pos="1440"/>
        </w:tabs>
        <w:ind w:left="1440" w:hanging="360"/>
      </w:pPr>
      <w:rPr>
        <w:rFonts w:ascii="Courier New" w:hAnsi="Courier New" w:cs="Courier New" w:hint="default"/>
        <w:sz w:val="20"/>
        <w:szCs w:val="20"/>
      </w:rPr>
    </w:lvl>
    <w:lvl w:ilvl="2">
      <w:start w:val="1"/>
      <w:numFmt w:val="bullet"/>
      <w:lvlText w:val=""/>
      <w:lvlJc w:val="left"/>
      <w:pPr>
        <w:tabs>
          <w:tab w:val="left" w:pos="2160"/>
        </w:tabs>
        <w:ind w:left="2160" w:hanging="360"/>
      </w:pPr>
      <w:rPr>
        <w:rFonts w:ascii="Wingdings" w:hAnsi="Wingdings" w:hint="default"/>
        <w:sz w:val="20"/>
        <w:szCs w:val="20"/>
      </w:rPr>
    </w:lvl>
    <w:lvl w:ilvl="3">
      <w:start w:val="1"/>
      <w:numFmt w:val="bullet"/>
      <w:lvlText w:val=""/>
      <w:lvlJc w:val="left"/>
      <w:pPr>
        <w:tabs>
          <w:tab w:val="left" w:pos="2880"/>
        </w:tabs>
        <w:ind w:left="2880" w:hanging="360"/>
      </w:pPr>
      <w:rPr>
        <w:rFonts w:ascii="Wingdings" w:hAnsi="Wingdings" w:hint="default"/>
        <w:sz w:val="20"/>
        <w:szCs w:val="20"/>
      </w:rPr>
    </w:lvl>
    <w:lvl w:ilvl="4">
      <w:start w:val="1"/>
      <w:numFmt w:val="bullet"/>
      <w:lvlText w:val=""/>
      <w:lvlJc w:val="left"/>
      <w:pPr>
        <w:tabs>
          <w:tab w:val="left" w:pos="3600"/>
        </w:tabs>
        <w:ind w:left="3600" w:hanging="360"/>
      </w:pPr>
      <w:rPr>
        <w:rFonts w:ascii="Wingdings" w:hAnsi="Wingdings" w:hint="default"/>
        <w:sz w:val="20"/>
        <w:szCs w:val="20"/>
      </w:rPr>
    </w:lvl>
    <w:lvl w:ilvl="5">
      <w:start w:val="1"/>
      <w:numFmt w:val="bullet"/>
      <w:lvlText w:val=""/>
      <w:lvlJc w:val="left"/>
      <w:pPr>
        <w:tabs>
          <w:tab w:val="left" w:pos="4320"/>
        </w:tabs>
        <w:ind w:left="4320" w:hanging="360"/>
      </w:pPr>
      <w:rPr>
        <w:rFonts w:ascii="Wingdings" w:hAnsi="Wingdings" w:hint="default"/>
        <w:sz w:val="20"/>
        <w:szCs w:val="20"/>
      </w:rPr>
    </w:lvl>
    <w:lvl w:ilvl="6">
      <w:start w:val="1"/>
      <w:numFmt w:val="bullet"/>
      <w:lvlText w:val=""/>
      <w:lvlJc w:val="left"/>
      <w:pPr>
        <w:tabs>
          <w:tab w:val="left" w:pos="5040"/>
        </w:tabs>
        <w:ind w:left="5040" w:hanging="360"/>
      </w:pPr>
      <w:rPr>
        <w:rFonts w:ascii="Wingdings" w:hAnsi="Wingdings" w:hint="default"/>
        <w:sz w:val="20"/>
        <w:szCs w:val="20"/>
      </w:rPr>
    </w:lvl>
    <w:lvl w:ilvl="7">
      <w:start w:val="1"/>
      <w:numFmt w:val="bullet"/>
      <w:lvlText w:val=""/>
      <w:lvlJc w:val="left"/>
      <w:pPr>
        <w:tabs>
          <w:tab w:val="left" w:pos="5760"/>
        </w:tabs>
        <w:ind w:left="5760" w:hanging="360"/>
      </w:pPr>
      <w:rPr>
        <w:rFonts w:ascii="Wingdings" w:hAnsi="Wingdings" w:hint="default"/>
        <w:sz w:val="20"/>
        <w:szCs w:val="20"/>
      </w:rPr>
    </w:lvl>
    <w:lvl w:ilvl="8">
      <w:start w:val="1"/>
      <w:numFmt w:val="bullet"/>
      <w:lvlText w:val=""/>
      <w:lvlJc w:val="left"/>
      <w:pPr>
        <w:tabs>
          <w:tab w:val="left" w:pos="6480"/>
        </w:tabs>
        <w:ind w:left="6480" w:hanging="360"/>
      </w:pPr>
      <w:rPr>
        <w:rFonts w:ascii="Wingdings" w:hAnsi="Wingdings" w:hint="default"/>
        <w:sz w:val="20"/>
        <w:szCs w:val="20"/>
      </w:rPr>
    </w:lvl>
  </w:abstractNum>
  <w:abstractNum w:abstractNumId="63" w15:restartNumberingAfterBreak="0">
    <w:nsid w:val="7E3167E2"/>
    <w:multiLevelType w:val="multilevel"/>
    <w:tmpl w:val="7E3167E2"/>
    <w:lvl w:ilvl="0">
      <w:start w:val="1"/>
      <w:numFmt w:val="bullet"/>
      <w:lvlText w:val=""/>
      <w:lvlJc w:val="left"/>
      <w:pPr>
        <w:tabs>
          <w:tab w:val="left" w:pos="720"/>
        </w:tabs>
        <w:ind w:left="720" w:hanging="360"/>
      </w:pPr>
      <w:rPr>
        <w:rFonts w:ascii="Symbol" w:hAnsi="Symbol" w:hint="default"/>
        <w:sz w:val="20"/>
        <w:szCs w:val="20"/>
      </w:rPr>
    </w:lvl>
    <w:lvl w:ilvl="1">
      <w:start w:val="1"/>
      <w:numFmt w:val="bullet"/>
      <w:lvlText w:val="o"/>
      <w:lvlJc w:val="left"/>
      <w:pPr>
        <w:tabs>
          <w:tab w:val="left" w:pos="1440"/>
        </w:tabs>
        <w:ind w:left="1440" w:hanging="360"/>
      </w:pPr>
      <w:rPr>
        <w:rFonts w:ascii="Courier New" w:hAnsi="Courier New" w:cs="Courier New" w:hint="default"/>
        <w:sz w:val="20"/>
        <w:szCs w:val="20"/>
      </w:rPr>
    </w:lvl>
    <w:lvl w:ilvl="2">
      <w:start w:val="1"/>
      <w:numFmt w:val="bullet"/>
      <w:lvlText w:val=""/>
      <w:lvlJc w:val="left"/>
      <w:pPr>
        <w:tabs>
          <w:tab w:val="left" w:pos="2160"/>
        </w:tabs>
        <w:ind w:left="2160" w:hanging="360"/>
      </w:pPr>
      <w:rPr>
        <w:rFonts w:ascii="Wingdings" w:hAnsi="Wingdings" w:hint="default"/>
        <w:sz w:val="20"/>
        <w:szCs w:val="20"/>
      </w:rPr>
    </w:lvl>
    <w:lvl w:ilvl="3">
      <w:start w:val="1"/>
      <w:numFmt w:val="bullet"/>
      <w:lvlText w:val=""/>
      <w:lvlJc w:val="left"/>
      <w:pPr>
        <w:tabs>
          <w:tab w:val="left" w:pos="2880"/>
        </w:tabs>
        <w:ind w:left="2880" w:hanging="360"/>
      </w:pPr>
      <w:rPr>
        <w:rFonts w:ascii="Wingdings" w:hAnsi="Wingdings" w:hint="default"/>
        <w:sz w:val="20"/>
        <w:szCs w:val="20"/>
      </w:rPr>
    </w:lvl>
    <w:lvl w:ilvl="4">
      <w:start w:val="1"/>
      <w:numFmt w:val="bullet"/>
      <w:lvlText w:val=""/>
      <w:lvlJc w:val="left"/>
      <w:pPr>
        <w:tabs>
          <w:tab w:val="left" w:pos="3600"/>
        </w:tabs>
        <w:ind w:left="3600" w:hanging="360"/>
      </w:pPr>
      <w:rPr>
        <w:rFonts w:ascii="Wingdings" w:hAnsi="Wingdings" w:hint="default"/>
        <w:sz w:val="20"/>
        <w:szCs w:val="20"/>
      </w:rPr>
    </w:lvl>
    <w:lvl w:ilvl="5">
      <w:start w:val="1"/>
      <w:numFmt w:val="bullet"/>
      <w:lvlText w:val=""/>
      <w:lvlJc w:val="left"/>
      <w:pPr>
        <w:tabs>
          <w:tab w:val="left" w:pos="4320"/>
        </w:tabs>
        <w:ind w:left="4320" w:hanging="360"/>
      </w:pPr>
      <w:rPr>
        <w:rFonts w:ascii="Wingdings" w:hAnsi="Wingdings" w:hint="default"/>
        <w:sz w:val="20"/>
        <w:szCs w:val="20"/>
      </w:rPr>
    </w:lvl>
    <w:lvl w:ilvl="6">
      <w:start w:val="1"/>
      <w:numFmt w:val="bullet"/>
      <w:lvlText w:val=""/>
      <w:lvlJc w:val="left"/>
      <w:pPr>
        <w:tabs>
          <w:tab w:val="left" w:pos="5040"/>
        </w:tabs>
        <w:ind w:left="5040" w:hanging="360"/>
      </w:pPr>
      <w:rPr>
        <w:rFonts w:ascii="Wingdings" w:hAnsi="Wingdings" w:hint="default"/>
        <w:sz w:val="20"/>
        <w:szCs w:val="20"/>
      </w:rPr>
    </w:lvl>
    <w:lvl w:ilvl="7">
      <w:start w:val="1"/>
      <w:numFmt w:val="bullet"/>
      <w:lvlText w:val=""/>
      <w:lvlJc w:val="left"/>
      <w:pPr>
        <w:tabs>
          <w:tab w:val="left" w:pos="5760"/>
        </w:tabs>
        <w:ind w:left="5760" w:hanging="360"/>
      </w:pPr>
      <w:rPr>
        <w:rFonts w:ascii="Wingdings" w:hAnsi="Wingdings" w:hint="default"/>
        <w:sz w:val="20"/>
        <w:szCs w:val="20"/>
      </w:rPr>
    </w:lvl>
    <w:lvl w:ilvl="8">
      <w:start w:val="1"/>
      <w:numFmt w:val="bullet"/>
      <w:lvlText w:val=""/>
      <w:lvlJc w:val="left"/>
      <w:pPr>
        <w:tabs>
          <w:tab w:val="left" w:pos="6480"/>
        </w:tabs>
        <w:ind w:left="6480" w:hanging="360"/>
      </w:pPr>
      <w:rPr>
        <w:rFonts w:ascii="Wingdings" w:hAnsi="Wingdings" w:hint="default"/>
        <w:sz w:val="20"/>
        <w:szCs w:val="20"/>
      </w:rPr>
    </w:lvl>
  </w:abstractNum>
  <w:abstractNum w:abstractNumId="64" w15:restartNumberingAfterBreak="0">
    <w:nsid w:val="7F1348F7"/>
    <w:multiLevelType w:val="multilevel"/>
    <w:tmpl w:val="F1D41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7FFE7F40"/>
    <w:multiLevelType w:val="multilevel"/>
    <w:tmpl w:val="7FFE7F40"/>
    <w:lvl w:ilvl="0">
      <w:start w:val="1"/>
      <w:numFmt w:val="bullet"/>
      <w:lvlText w:val=""/>
      <w:lvlJc w:val="left"/>
      <w:pPr>
        <w:tabs>
          <w:tab w:val="left" w:pos="720"/>
        </w:tabs>
        <w:ind w:left="720" w:hanging="360"/>
      </w:pPr>
      <w:rPr>
        <w:rFonts w:ascii="Symbol" w:hAnsi="Symbol" w:hint="default"/>
        <w:sz w:val="20"/>
        <w:szCs w:val="20"/>
      </w:rPr>
    </w:lvl>
    <w:lvl w:ilvl="1">
      <w:start w:val="1"/>
      <w:numFmt w:val="bullet"/>
      <w:lvlText w:val="o"/>
      <w:lvlJc w:val="left"/>
      <w:pPr>
        <w:tabs>
          <w:tab w:val="left" w:pos="1440"/>
        </w:tabs>
        <w:ind w:left="1440" w:hanging="360"/>
      </w:pPr>
      <w:rPr>
        <w:rFonts w:ascii="Courier New" w:hAnsi="Courier New" w:cs="Courier New" w:hint="default"/>
        <w:sz w:val="20"/>
        <w:szCs w:val="20"/>
      </w:rPr>
    </w:lvl>
    <w:lvl w:ilvl="2">
      <w:start w:val="1"/>
      <w:numFmt w:val="bullet"/>
      <w:lvlText w:val=""/>
      <w:lvlJc w:val="left"/>
      <w:pPr>
        <w:tabs>
          <w:tab w:val="left" w:pos="2160"/>
        </w:tabs>
        <w:ind w:left="2160" w:hanging="360"/>
      </w:pPr>
      <w:rPr>
        <w:rFonts w:ascii="Wingdings" w:hAnsi="Wingdings" w:hint="default"/>
        <w:sz w:val="20"/>
        <w:szCs w:val="20"/>
      </w:rPr>
    </w:lvl>
    <w:lvl w:ilvl="3">
      <w:start w:val="1"/>
      <w:numFmt w:val="bullet"/>
      <w:lvlText w:val=""/>
      <w:lvlJc w:val="left"/>
      <w:pPr>
        <w:tabs>
          <w:tab w:val="left" w:pos="2880"/>
        </w:tabs>
        <w:ind w:left="2880" w:hanging="360"/>
      </w:pPr>
      <w:rPr>
        <w:rFonts w:ascii="Wingdings" w:hAnsi="Wingdings" w:hint="default"/>
        <w:sz w:val="20"/>
        <w:szCs w:val="20"/>
      </w:rPr>
    </w:lvl>
    <w:lvl w:ilvl="4">
      <w:start w:val="1"/>
      <w:numFmt w:val="bullet"/>
      <w:lvlText w:val=""/>
      <w:lvlJc w:val="left"/>
      <w:pPr>
        <w:tabs>
          <w:tab w:val="left" w:pos="3600"/>
        </w:tabs>
        <w:ind w:left="3600" w:hanging="360"/>
      </w:pPr>
      <w:rPr>
        <w:rFonts w:ascii="Wingdings" w:hAnsi="Wingdings" w:hint="default"/>
        <w:sz w:val="20"/>
        <w:szCs w:val="20"/>
      </w:rPr>
    </w:lvl>
    <w:lvl w:ilvl="5">
      <w:start w:val="1"/>
      <w:numFmt w:val="bullet"/>
      <w:lvlText w:val=""/>
      <w:lvlJc w:val="left"/>
      <w:pPr>
        <w:tabs>
          <w:tab w:val="left" w:pos="4320"/>
        </w:tabs>
        <w:ind w:left="4320" w:hanging="360"/>
      </w:pPr>
      <w:rPr>
        <w:rFonts w:ascii="Wingdings" w:hAnsi="Wingdings" w:hint="default"/>
        <w:sz w:val="20"/>
        <w:szCs w:val="20"/>
      </w:rPr>
    </w:lvl>
    <w:lvl w:ilvl="6">
      <w:start w:val="1"/>
      <w:numFmt w:val="bullet"/>
      <w:lvlText w:val=""/>
      <w:lvlJc w:val="left"/>
      <w:pPr>
        <w:tabs>
          <w:tab w:val="left" w:pos="5040"/>
        </w:tabs>
        <w:ind w:left="5040" w:hanging="360"/>
      </w:pPr>
      <w:rPr>
        <w:rFonts w:ascii="Wingdings" w:hAnsi="Wingdings" w:hint="default"/>
        <w:sz w:val="20"/>
        <w:szCs w:val="20"/>
      </w:rPr>
    </w:lvl>
    <w:lvl w:ilvl="7">
      <w:start w:val="1"/>
      <w:numFmt w:val="bullet"/>
      <w:lvlText w:val=""/>
      <w:lvlJc w:val="left"/>
      <w:pPr>
        <w:tabs>
          <w:tab w:val="left" w:pos="5760"/>
        </w:tabs>
        <w:ind w:left="5760" w:hanging="360"/>
      </w:pPr>
      <w:rPr>
        <w:rFonts w:ascii="Wingdings" w:hAnsi="Wingdings" w:hint="default"/>
        <w:sz w:val="20"/>
        <w:szCs w:val="20"/>
      </w:rPr>
    </w:lvl>
    <w:lvl w:ilvl="8">
      <w:start w:val="1"/>
      <w:numFmt w:val="bullet"/>
      <w:lvlText w:val=""/>
      <w:lvlJc w:val="left"/>
      <w:pPr>
        <w:tabs>
          <w:tab w:val="left" w:pos="6480"/>
        </w:tabs>
        <w:ind w:left="6480" w:hanging="360"/>
      </w:pPr>
      <w:rPr>
        <w:rFonts w:ascii="Wingdings" w:hAnsi="Wingdings" w:hint="default"/>
        <w:sz w:val="20"/>
        <w:szCs w:val="20"/>
      </w:rPr>
    </w:lvl>
  </w:abstractNum>
  <w:num w:numId="1" w16cid:durableId="616642726">
    <w:abstractNumId w:val="4"/>
  </w:num>
  <w:num w:numId="2" w16cid:durableId="590772503">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8268688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449006356">
    <w:abstractNumId w:val="12"/>
  </w:num>
  <w:num w:numId="5" w16cid:durableId="1858691479">
    <w:abstractNumId w:val="26"/>
  </w:num>
  <w:num w:numId="6" w16cid:durableId="1572496502">
    <w:abstractNumId w:val="18"/>
  </w:num>
  <w:num w:numId="7" w16cid:durableId="2075934219">
    <w:abstractNumId w:val="17"/>
  </w:num>
  <w:num w:numId="8" w16cid:durableId="2027826726">
    <w:abstractNumId w:val="23"/>
  </w:num>
  <w:num w:numId="9" w16cid:durableId="2098859800">
    <w:abstractNumId w:val="7"/>
  </w:num>
  <w:num w:numId="10" w16cid:durableId="73479466">
    <w:abstractNumId w:val="44"/>
  </w:num>
  <w:num w:numId="11" w16cid:durableId="1909225378">
    <w:abstractNumId w:val="45"/>
  </w:num>
  <w:num w:numId="12" w16cid:durableId="1028683340">
    <w:abstractNumId w:val="8"/>
  </w:num>
  <w:num w:numId="13" w16cid:durableId="843207367">
    <w:abstractNumId w:val="5"/>
  </w:num>
  <w:num w:numId="14" w16cid:durableId="1656957415">
    <w:abstractNumId w:val="39"/>
  </w:num>
  <w:num w:numId="15" w16cid:durableId="1260025732">
    <w:abstractNumId w:val="53"/>
  </w:num>
  <w:num w:numId="16" w16cid:durableId="1670207616">
    <w:abstractNumId w:val="22"/>
  </w:num>
  <w:num w:numId="17" w16cid:durableId="485783284">
    <w:abstractNumId w:val="34"/>
  </w:num>
  <w:num w:numId="18" w16cid:durableId="1893154431">
    <w:abstractNumId w:val="15"/>
  </w:num>
  <w:num w:numId="19" w16cid:durableId="1569268981">
    <w:abstractNumId w:val="0"/>
  </w:num>
  <w:num w:numId="20" w16cid:durableId="1594900900">
    <w:abstractNumId w:val="65"/>
  </w:num>
  <w:num w:numId="21" w16cid:durableId="1453480401">
    <w:abstractNumId w:val="56"/>
  </w:num>
  <w:num w:numId="22" w16cid:durableId="1994406832">
    <w:abstractNumId w:val="43"/>
  </w:num>
  <w:num w:numId="23" w16cid:durableId="20983734">
    <w:abstractNumId w:val="62"/>
  </w:num>
  <w:num w:numId="24" w16cid:durableId="1644971189">
    <w:abstractNumId w:val="51"/>
  </w:num>
  <w:num w:numId="25" w16cid:durableId="295258335">
    <w:abstractNumId w:val="63"/>
  </w:num>
  <w:num w:numId="26" w16cid:durableId="309555079">
    <w:abstractNumId w:val="16"/>
  </w:num>
  <w:num w:numId="27" w16cid:durableId="2068723281">
    <w:abstractNumId w:val="38"/>
  </w:num>
  <w:num w:numId="28" w16cid:durableId="2126460942">
    <w:abstractNumId w:val="25"/>
  </w:num>
  <w:num w:numId="29" w16cid:durableId="1438792541">
    <w:abstractNumId w:val="64"/>
  </w:num>
  <w:num w:numId="30" w16cid:durableId="1979333065">
    <w:abstractNumId w:val="61"/>
  </w:num>
  <w:num w:numId="31" w16cid:durableId="422805338">
    <w:abstractNumId w:val="55"/>
  </w:num>
  <w:num w:numId="32" w16cid:durableId="1553230362">
    <w:abstractNumId w:val="19"/>
  </w:num>
  <w:num w:numId="33" w16cid:durableId="1090348571">
    <w:abstractNumId w:val="41"/>
  </w:num>
  <w:num w:numId="34" w16cid:durableId="1711758206">
    <w:abstractNumId w:val="37"/>
  </w:num>
  <w:num w:numId="35" w16cid:durableId="2125805690">
    <w:abstractNumId w:val="9"/>
  </w:num>
  <w:num w:numId="36" w16cid:durableId="278218883">
    <w:abstractNumId w:val="28"/>
  </w:num>
  <w:num w:numId="37" w16cid:durableId="1986156565">
    <w:abstractNumId w:val="46"/>
  </w:num>
  <w:num w:numId="38" w16cid:durableId="1402488102">
    <w:abstractNumId w:val="33"/>
  </w:num>
  <w:num w:numId="39" w16cid:durableId="707334719">
    <w:abstractNumId w:val="36"/>
  </w:num>
  <w:num w:numId="40" w16cid:durableId="1194004736">
    <w:abstractNumId w:val="13"/>
  </w:num>
  <w:num w:numId="41" w16cid:durableId="1550608198">
    <w:abstractNumId w:val="40"/>
  </w:num>
  <w:num w:numId="42" w16cid:durableId="565531191">
    <w:abstractNumId w:val="6"/>
  </w:num>
  <w:num w:numId="43" w16cid:durableId="250044238">
    <w:abstractNumId w:val="57"/>
  </w:num>
  <w:num w:numId="44" w16cid:durableId="1757290223">
    <w:abstractNumId w:val="21"/>
  </w:num>
  <w:num w:numId="45" w16cid:durableId="1447507351">
    <w:abstractNumId w:val="32"/>
  </w:num>
  <w:num w:numId="46" w16cid:durableId="1652053203">
    <w:abstractNumId w:val="35"/>
  </w:num>
  <w:num w:numId="47" w16cid:durableId="858008920">
    <w:abstractNumId w:val="24"/>
  </w:num>
  <w:num w:numId="48" w16cid:durableId="474643916">
    <w:abstractNumId w:val="1"/>
  </w:num>
  <w:num w:numId="49" w16cid:durableId="1142624246">
    <w:abstractNumId w:val="11"/>
  </w:num>
  <w:num w:numId="50" w16cid:durableId="532577041">
    <w:abstractNumId w:val="3"/>
  </w:num>
  <w:num w:numId="51" w16cid:durableId="2133087112">
    <w:abstractNumId w:val="52"/>
  </w:num>
  <w:num w:numId="52" w16cid:durableId="2046327675">
    <w:abstractNumId w:val="20"/>
  </w:num>
  <w:num w:numId="53" w16cid:durableId="2137597224">
    <w:abstractNumId w:val="59"/>
  </w:num>
  <w:num w:numId="54" w16cid:durableId="723409580">
    <w:abstractNumId w:val="42"/>
  </w:num>
  <w:num w:numId="55" w16cid:durableId="573204990">
    <w:abstractNumId w:val="58"/>
  </w:num>
  <w:num w:numId="56" w16cid:durableId="1936471742">
    <w:abstractNumId w:val="31"/>
  </w:num>
  <w:num w:numId="57" w16cid:durableId="128279973">
    <w:abstractNumId w:val="49"/>
  </w:num>
  <w:num w:numId="58" w16cid:durableId="1588730270">
    <w:abstractNumId w:val="10"/>
  </w:num>
  <w:num w:numId="59" w16cid:durableId="109518726">
    <w:abstractNumId w:val="14"/>
  </w:num>
  <w:num w:numId="60" w16cid:durableId="1638757984">
    <w:abstractNumId w:val="27"/>
  </w:num>
  <w:num w:numId="61" w16cid:durableId="1593276281">
    <w:abstractNumId w:val="48"/>
  </w:num>
  <w:num w:numId="62" w16cid:durableId="2002149850">
    <w:abstractNumId w:val="50"/>
  </w:num>
  <w:num w:numId="63" w16cid:durableId="32269285">
    <w:abstractNumId w:val="47"/>
  </w:num>
  <w:num w:numId="64" w16cid:durableId="812068544">
    <w:abstractNumId w:val="2"/>
  </w:num>
  <w:num w:numId="65" w16cid:durableId="1117412729">
    <w:abstractNumId w:val="29"/>
  </w:num>
  <w:num w:numId="66" w16cid:durableId="1397777645">
    <w:abstractNumId w:val="5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45C3"/>
    <w:rsid w:val="00021FC8"/>
    <w:rsid w:val="00057D71"/>
    <w:rsid w:val="000C2553"/>
    <w:rsid w:val="00102E30"/>
    <w:rsid w:val="001545C3"/>
    <w:rsid w:val="00170F1D"/>
    <w:rsid w:val="00182020"/>
    <w:rsid w:val="00190842"/>
    <w:rsid w:val="001A0A4B"/>
    <w:rsid w:val="001C7DAE"/>
    <w:rsid w:val="002060CE"/>
    <w:rsid w:val="00210DD7"/>
    <w:rsid w:val="00243A2F"/>
    <w:rsid w:val="002A5F45"/>
    <w:rsid w:val="002D441C"/>
    <w:rsid w:val="003C75CD"/>
    <w:rsid w:val="003E2D72"/>
    <w:rsid w:val="003F0343"/>
    <w:rsid w:val="004463C1"/>
    <w:rsid w:val="004E7F26"/>
    <w:rsid w:val="004F3056"/>
    <w:rsid w:val="00504C83"/>
    <w:rsid w:val="005B7313"/>
    <w:rsid w:val="005E1F1D"/>
    <w:rsid w:val="006174F5"/>
    <w:rsid w:val="0062776D"/>
    <w:rsid w:val="00652002"/>
    <w:rsid w:val="00695375"/>
    <w:rsid w:val="006A3513"/>
    <w:rsid w:val="00723A7A"/>
    <w:rsid w:val="00773CB4"/>
    <w:rsid w:val="00780F50"/>
    <w:rsid w:val="007F1625"/>
    <w:rsid w:val="008462A6"/>
    <w:rsid w:val="00874020"/>
    <w:rsid w:val="008812B0"/>
    <w:rsid w:val="00893DE2"/>
    <w:rsid w:val="008A08F1"/>
    <w:rsid w:val="00975C76"/>
    <w:rsid w:val="009E4ACE"/>
    <w:rsid w:val="00A3314E"/>
    <w:rsid w:val="00A74905"/>
    <w:rsid w:val="00A87F28"/>
    <w:rsid w:val="00AD7B5D"/>
    <w:rsid w:val="00AF4170"/>
    <w:rsid w:val="00BF45E0"/>
    <w:rsid w:val="00C00816"/>
    <w:rsid w:val="00C32D25"/>
    <w:rsid w:val="00C44BE5"/>
    <w:rsid w:val="00C80257"/>
    <w:rsid w:val="00C83EF3"/>
    <w:rsid w:val="00C90DBA"/>
    <w:rsid w:val="00C92BD2"/>
    <w:rsid w:val="00CA797C"/>
    <w:rsid w:val="00CB640A"/>
    <w:rsid w:val="00D05406"/>
    <w:rsid w:val="00D17BB5"/>
    <w:rsid w:val="00D54043"/>
    <w:rsid w:val="00D8010F"/>
    <w:rsid w:val="00DB79AA"/>
    <w:rsid w:val="00DD11CF"/>
    <w:rsid w:val="00E24EA4"/>
    <w:rsid w:val="00E73772"/>
    <w:rsid w:val="00EB6651"/>
    <w:rsid w:val="00EC11BF"/>
    <w:rsid w:val="00ED4A4D"/>
    <w:rsid w:val="00EF0D44"/>
    <w:rsid w:val="00F21D52"/>
    <w:rsid w:val="00F55A7D"/>
    <w:rsid w:val="00F7360A"/>
    <w:rsid w:val="473B75A9"/>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F9ECED"/>
  <w15:docId w15:val="{1075E08C-A323-4FC3-B290-EE8AF84AEB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kern w:val="2"/>
      <w:sz w:val="22"/>
      <w:szCs w:val="22"/>
      <w:lang w:eastAsia="en-US"/>
      <w14:ligatures w14:val="standardContextual"/>
    </w:rPr>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pPr>
      <w:keepNext/>
      <w:keepLines/>
      <w:spacing w:after="0"/>
      <w:outlineLvl w:val="7"/>
    </w:pPr>
    <w:rPr>
      <w:rFonts w:eastAsiaTheme="majorEastAsia" w:cstheme="majorBidi"/>
      <w:i/>
      <w:iCs/>
      <w:color w:val="262626" w:themeColor="text1" w:themeTint="D9"/>
    </w:rPr>
  </w:style>
  <w:style w:type="paragraph" w:styleId="Heading9">
    <w:name w:val="heading 9"/>
    <w:basedOn w:val="Normal"/>
    <w:next w:val="Normal"/>
    <w:link w:val="Heading9Char"/>
    <w:uiPriority w:val="9"/>
    <w:semiHidden/>
    <w:unhideWhenUsed/>
    <w:qFormat/>
    <w:pPr>
      <w:keepNext/>
      <w:keepLines/>
      <w:spacing w:after="0"/>
      <w:outlineLvl w:val="8"/>
    </w:pPr>
    <w:rPr>
      <w:rFonts w:eastAsiaTheme="majorEastAsia" w:cstheme="majorBidi"/>
      <w:color w:val="262626" w:themeColor="text1" w:themeTint="D9"/>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467886" w:themeColor="hyperlink"/>
      <w:u w:val="single"/>
    </w:rPr>
  </w:style>
  <w:style w:type="paragraph" w:styleId="Subtitle">
    <w:name w:val="Subtitle"/>
    <w:basedOn w:val="Normal"/>
    <w:next w:val="Normal"/>
    <w:link w:val="SubtitleChar"/>
    <w:uiPriority w:val="11"/>
    <w:qFormat/>
    <w:rPr>
      <w:rFonts w:eastAsiaTheme="majorEastAsia" w:cstheme="majorBidi"/>
      <w:color w:val="595959" w:themeColor="text1" w:themeTint="A6"/>
      <w:spacing w:val="15"/>
      <w:sz w:val="28"/>
      <w:szCs w:val="28"/>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qFormat/>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qFormat/>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qFormat/>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qFormat/>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qFormat/>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qFormat/>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qFormat/>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qFormat/>
    <w:rPr>
      <w:rFonts w:eastAsiaTheme="majorEastAsia" w:cstheme="majorBidi"/>
      <w:i/>
      <w:iCs/>
      <w:color w:val="262626" w:themeColor="text1" w:themeTint="D9"/>
    </w:rPr>
  </w:style>
  <w:style w:type="character" w:customStyle="1" w:styleId="Heading9Char">
    <w:name w:val="Heading 9 Char"/>
    <w:basedOn w:val="DefaultParagraphFont"/>
    <w:link w:val="Heading9"/>
    <w:uiPriority w:val="9"/>
    <w:semiHidden/>
    <w:rPr>
      <w:rFonts w:eastAsiaTheme="majorEastAsia" w:cstheme="majorBidi"/>
      <w:color w:val="262626" w:themeColor="text1" w:themeTint="D9"/>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ListParagraph">
    <w:name w:val="List Paragraph"/>
    <w:basedOn w:val="Normal"/>
    <w:uiPriority w:val="34"/>
    <w:qFormat/>
    <w:pPr>
      <w:ind w:left="720"/>
      <w:contextualSpacing/>
    </w:pPr>
  </w:style>
  <w:style w:type="character" w:customStyle="1" w:styleId="IntenseEmphasis1">
    <w:name w:val="Intense Emphasis1"/>
    <w:basedOn w:val="DefaultParagraphFont"/>
    <w:uiPriority w:val="21"/>
    <w:qFormat/>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qFormat/>
    <w:rPr>
      <w:i/>
      <w:iCs/>
      <w:color w:val="0F4761" w:themeColor="accent1" w:themeShade="BF"/>
    </w:rPr>
  </w:style>
  <w:style w:type="character" w:customStyle="1" w:styleId="IntenseReference1">
    <w:name w:val="Intense Reference1"/>
    <w:basedOn w:val="DefaultParagraphFont"/>
    <w:uiPriority w:val="32"/>
    <w:qFormat/>
    <w:rPr>
      <w:b/>
      <w:bCs/>
      <w:smallCaps/>
      <w:color w:val="0F4761" w:themeColor="accent1" w:themeShade="BF"/>
      <w:spacing w:val="5"/>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t286pc">
    <w:name w:val="t286pc"/>
    <w:basedOn w:val="DefaultParagraphFont"/>
    <w:qFormat/>
  </w:style>
  <w:style w:type="character" w:styleId="UnresolvedMention">
    <w:name w:val="Unresolved Mention"/>
    <w:basedOn w:val="DefaultParagraphFont"/>
    <w:uiPriority w:val="99"/>
    <w:semiHidden/>
    <w:unhideWhenUsed/>
    <w:rsid w:val="004E7F26"/>
    <w:rPr>
      <w:color w:val="605E5C"/>
      <w:shd w:val="clear" w:color="auto" w:fill="E1DFDD"/>
    </w:rPr>
  </w:style>
  <w:style w:type="paragraph" w:customStyle="1" w:styleId="z1qcye">
    <w:name w:val="z1qcye"/>
    <w:basedOn w:val="Normal"/>
    <w:rsid w:val="006174F5"/>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Strong">
    <w:name w:val="Strong"/>
    <w:basedOn w:val="DefaultParagraphFont"/>
    <w:uiPriority w:val="22"/>
    <w:qFormat/>
    <w:rsid w:val="006174F5"/>
    <w:rPr>
      <w:b/>
      <w:bCs/>
    </w:rPr>
  </w:style>
  <w:style w:type="character" w:styleId="Emphasis">
    <w:name w:val="Emphasis"/>
    <w:basedOn w:val="DefaultParagraphFont"/>
    <w:uiPriority w:val="20"/>
    <w:qFormat/>
    <w:rsid w:val="006174F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265008">
      <w:bodyDiv w:val="1"/>
      <w:marLeft w:val="0"/>
      <w:marRight w:val="0"/>
      <w:marTop w:val="0"/>
      <w:marBottom w:val="0"/>
      <w:divBdr>
        <w:top w:val="none" w:sz="0" w:space="0" w:color="auto"/>
        <w:left w:val="none" w:sz="0" w:space="0" w:color="auto"/>
        <w:bottom w:val="none" w:sz="0" w:space="0" w:color="auto"/>
        <w:right w:val="none" w:sz="0" w:space="0" w:color="auto"/>
      </w:divBdr>
      <w:divsChild>
        <w:div w:id="1976833260">
          <w:marLeft w:val="0"/>
          <w:marRight w:val="0"/>
          <w:marTop w:val="360"/>
          <w:marBottom w:val="180"/>
          <w:divBdr>
            <w:top w:val="none" w:sz="0" w:space="0" w:color="auto"/>
            <w:left w:val="none" w:sz="0" w:space="0" w:color="auto"/>
            <w:bottom w:val="none" w:sz="0" w:space="0" w:color="auto"/>
            <w:right w:val="none" w:sz="0" w:space="0" w:color="auto"/>
          </w:divBdr>
        </w:div>
        <w:div w:id="796947571">
          <w:marLeft w:val="0"/>
          <w:marRight w:val="0"/>
          <w:marTop w:val="180"/>
          <w:marBottom w:val="240"/>
          <w:divBdr>
            <w:top w:val="none" w:sz="0" w:space="0" w:color="auto"/>
            <w:left w:val="none" w:sz="0" w:space="0" w:color="auto"/>
            <w:bottom w:val="none" w:sz="0" w:space="0" w:color="auto"/>
            <w:right w:val="none" w:sz="0" w:space="0" w:color="auto"/>
          </w:divBdr>
        </w:div>
      </w:divsChild>
    </w:div>
    <w:div w:id="44186371">
      <w:bodyDiv w:val="1"/>
      <w:marLeft w:val="0"/>
      <w:marRight w:val="0"/>
      <w:marTop w:val="0"/>
      <w:marBottom w:val="0"/>
      <w:divBdr>
        <w:top w:val="none" w:sz="0" w:space="0" w:color="auto"/>
        <w:left w:val="none" w:sz="0" w:space="0" w:color="auto"/>
        <w:bottom w:val="none" w:sz="0" w:space="0" w:color="auto"/>
        <w:right w:val="none" w:sz="0" w:space="0" w:color="auto"/>
      </w:divBdr>
      <w:divsChild>
        <w:div w:id="787434800">
          <w:marLeft w:val="0"/>
          <w:marRight w:val="0"/>
          <w:marTop w:val="180"/>
          <w:marBottom w:val="240"/>
          <w:divBdr>
            <w:top w:val="none" w:sz="0" w:space="0" w:color="auto"/>
            <w:left w:val="none" w:sz="0" w:space="0" w:color="auto"/>
            <w:bottom w:val="none" w:sz="0" w:space="0" w:color="auto"/>
            <w:right w:val="none" w:sz="0" w:space="0" w:color="auto"/>
          </w:divBdr>
        </w:div>
        <w:div w:id="1055198473">
          <w:marLeft w:val="0"/>
          <w:marRight w:val="0"/>
          <w:marTop w:val="360"/>
          <w:marBottom w:val="180"/>
          <w:divBdr>
            <w:top w:val="none" w:sz="0" w:space="0" w:color="auto"/>
            <w:left w:val="none" w:sz="0" w:space="0" w:color="auto"/>
            <w:bottom w:val="none" w:sz="0" w:space="0" w:color="auto"/>
            <w:right w:val="none" w:sz="0" w:space="0" w:color="auto"/>
          </w:divBdr>
        </w:div>
        <w:div w:id="527066973">
          <w:marLeft w:val="0"/>
          <w:marRight w:val="0"/>
          <w:marTop w:val="180"/>
          <w:marBottom w:val="240"/>
          <w:divBdr>
            <w:top w:val="none" w:sz="0" w:space="0" w:color="auto"/>
            <w:left w:val="none" w:sz="0" w:space="0" w:color="auto"/>
            <w:bottom w:val="none" w:sz="0" w:space="0" w:color="auto"/>
            <w:right w:val="none" w:sz="0" w:space="0" w:color="auto"/>
          </w:divBdr>
        </w:div>
        <w:div w:id="2143691366">
          <w:marLeft w:val="0"/>
          <w:marRight w:val="0"/>
          <w:marTop w:val="360"/>
          <w:marBottom w:val="180"/>
          <w:divBdr>
            <w:top w:val="none" w:sz="0" w:space="0" w:color="auto"/>
            <w:left w:val="none" w:sz="0" w:space="0" w:color="auto"/>
            <w:bottom w:val="none" w:sz="0" w:space="0" w:color="auto"/>
            <w:right w:val="none" w:sz="0" w:space="0" w:color="auto"/>
          </w:divBdr>
        </w:div>
        <w:div w:id="820925303">
          <w:marLeft w:val="0"/>
          <w:marRight w:val="0"/>
          <w:marTop w:val="180"/>
          <w:marBottom w:val="240"/>
          <w:divBdr>
            <w:top w:val="none" w:sz="0" w:space="0" w:color="auto"/>
            <w:left w:val="none" w:sz="0" w:space="0" w:color="auto"/>
            <w:bottom w:val="none" w:sz="0" w:space="0" w:color="auto"/>
            <w:right w:val="none" w:sz="0" w:space="0" w:color="auto"/>
          </w:divBdr>
        </w:div>
        <w:div w:id="421142038">
          <w:marLeft w:val="0"/>
          <w:marRight w:val="0"/>
          <w:marTop w:val="360"/>
          <w:marBottom w:val="180"/>
          <w:divBdr>
            <w:top w:val="none" w:sz="0" w:space="0" w:color="auto"/>
            <w:left w:val="none" w:sz="0" w:space="0" w:color="auto"/>
            <w:bottom w:val="none" w:sz="0" w:space="0" w:color="auto"/>
            <w:right w:val="none" w:sz="0" w:space="0" w:color="auto"/>
          </w:divBdr>
        </w:div>
        <w:div w:id="1075397780">
          <w:marLeft w:val="0"/>
          <w:marRight w:val="0"/>
          <w:marTop w:val="180"/>
          <w:marBottom w:val="240"/>
          <w:divBdr>
            <w:top w:val="none" w:sz="0" w:space="0" w:color="auto"/>
            <w:left w:val="none" w:sz="0" w:space="0" w:color="auto"/>
            <w:bottom w:val="none" w:sz="0" w:space="0" w:color="auto"/>
            <w:right w:val="none" w:sz="0" w:space="0" w:color="auto"/>
          </w:divBdr>
        </w:div>
      </w:divsChild>
    </w:div>
    <w:div w:id="49305325">
      <w:bodyDiv w:val="1"/>
      <w:marLeft w:val="0"/>
      <w:marRight w:val="0"/>
      <w:marTop w:val="0"/>
      <w:marBottom w:val="0"/>
      <w:divBdr>
        <w:top w:val="none" w:sz="0" w:space="0" w:color="auto"/>
        <w:left w:val="none" w:sz="0" w:space="0" w:color="auto"/>
        <w:bottom w:val="none" w:sz="0" w:space="0" w:color="auto"/>
        <w:right w:val="none" w:sz="0" w:space="0" w:color="auto"/>
      </w:divBdr>
      <w:divsChild>
        <w:div w:id="1366833321">
          <w:marLeft w:val="0"/>
          <w:marRight w:val="0"/>
          <w:marTop w:val="360"/>
          <w:marBottom w:val="180"/>
          <w:divBdr>
            <w:top w:val="none" w:sz="0" w:space="0" w:color="auto"/>
            <w:left w:val="none" w:sz="0" w:space="0" w:color="auto"/>
            <w:bottom w:val="none" w:sz="0" w:space="0" w:color="auto"/>
            <w:right w:val="none" w:sz="0" w:space="0" w:color="auto"/>
          </w:divBdr>
        </w:div>
        <w:div w:id="1025983836">
          <w:marLeft w:val="0"/>
          <w:marRight w:val="0"/>
          <w:marTop w:val="360"/>
          <w:marBottom w:val="180"/>
          <w:divBdr>
            <w:top w:val="none" w:sz="0" w:space="0" w:color="auto"/>
            <w:left w:val="none" w:sz="0" w:space="0" w:color="auto"/>
            <w:bottom w:val="none" w:sz="0" w:space="0" w:color="auto"/>
            <w:right w:val="none" w:sz="0" w:space="0" w:color="auto"/>
          </w:divBdr>
        </w:div>
        <w:div w:id="1829058896">
          <w:marLeft w:val="0"/>
          <w:marRight w:val="0"/>
          <w:marTop w:val="180"/>
          <w:marBottom w:val="240"/>
          <w:divBdr>
            <w:top w:val="none" w:sz="0" w:space="0" w:color="auto"/>
            <w:left w:val="none" w:sz="0" w:space="0" w:color="auto"/>
            <w:bottom w:val="none" w:sz="0" w:space="0" w:color="auto"/>
            <w:right w:val="none" w:sz="0" w:space="0" w:color="auto"/>
          </w:divBdr>
        </w:div>
        <w:div w:id="1401368603">
          <w:marLeft w:val="0"/>
          <w:marRight w:val="0"/>
          <w:marTop w:val="180"/>
          <w:marBottom w:val="240"/>
          <w:divBdr>
            <w:top w:val="none" w:sz="0" w:space="0" w:color="auto"/>
            <w:left w:val="none" w:sz="0" w:space="0" w:color="auto"/>
            <w:bottom w:val="none" w:sz="0" w:space="0" w:color="auto"/>
            <w:right w:val="none" w:sz="0" w:space="0" w:color="auto"/>
          </w:divBdr>
        </w:div>
        <w:div w:id="51123628">
          <w:marLeft w:val="0"/>
          <w:marRight w:val="0"/>
          <w:marTop w:val="360"/>
          <w:marBottom w:val="180"/>
          <w:divBdr>
            <w:top w:val="none" w:sz="0" w:space="0" w:color="auto"/>
            <w:left w:val="none" w:sz="0" w:space="0" w:color="auto"/>
            <w:bottom w:val="none" w:sz="0" w:space="0" w:color="auto"/>
            <w:right w:val="none" w:sz="0" w:space="0" w:color="auto"/>
          </w:divBdr>
        </w:div>
        <w:div w:id="2070610714">
          <w:marLeft w:val="0"/>
          <w:marRight w:val="0"/>
          <w:marTop w:val="180"/>
          <w:marBottom w:val="240"/>
          <w:divBdr>
            <w:top w:val="none" w:sz="0" w:space="0" w:color="auto"/>
            <w:left w:val="none" w:sz="0" w:space="0" w:color="auto"/>
            <w:bottom w:val="none" w:sz="0" w:space="0" w:color="auto"/>
            <w:right w:val="none" w:sz="0" w:space="0" w:color="auto"/>
          </w:divBdr>
        </w:div>
        <w:div w:id="1929314777">
          <w:marLeft w:val="0"/>
          <w:marRight w:val="0"/>
          <w:marTop w:val="180"/>
          <w:marBottom w:val="240"/>
          <w:divBdr>
            <w:top w:val="none" w:sz="0" w:space="0" w:color="auto"/>
            <w:left w:val="none" w:sz="0" w:space="0" w:color="auto"/>
            <w:bottom w:val="none" w:sz="0" w:space="0" w:color="auto"/>
            <w:right w:val="none" w:sz="0" w:space="0" w:color="auto"/>
          </w:divBdr>
        </w:div>
        <w:div w:id="1874079032">
          <w:marLeft w:val="0"/>
          <w:marRight w:val="0"/>
          <w:marTop w:val="180"/>
          <w:marBottom w:val="240"/>
          <w:divBdr>
            <w:top w:val="none" w:sz="0" w:space="0" w:color="auto"/>
            <w:left w:val="none" w:sz="0" w:space="0" w:color="auto"/>
            <w:bottom w:val="none" w:sz="0" w:space="0" w:color="auto"/>
            <w:right w:val="none" w:sz="0" w:space="0" w:color="auto"/>
          </w:divBdr>
        </w:div>
        <w:div w:id="1310326831">
          <w:marLeft w:val="0"/>
          <w:marRight w:val="0"/>
          <w:marTop w:val="360"/>
          <w:marBottom w:val="180"/>
          <w:divBdr>
            <w:top w:val="none" w:sz="0" w:space="0" w:color="auto"/>
            <w:left w:val="none" w:sz="0" w:space="0" w:color="auto"/>
            <w:bottom w:val="none" w:sz="0" w:space="0" w:color="auto"/>
            <w:right w:val="none" w:sz="0" w:space="0" w:color="auto"/>
          </w:divBdr>
        </w:div>
        <w:div w:id="469058190">
          <w:marLeft w:val="0"/>
          <w:marRight w:val="0"/>
          <w:marTop w:val="360"/>
          <w:marBottom w:val="180"/>
          <w:divBdr>
            <w:top w:val="none" w:sz="0" w:space="0" w:color="auto"/>
            <w:left w:val="none" w:sz="0" w:space="0" w:color="auto"/>
            <w:bottom w:val="none" w:sz="0" w:space="0" w:color="auto"/>
            <w:right w:val="none" w:sz="0" w:space="0" w:color="auto"/>
          </w:divBdr>
        </w:div>
        <w:div w:id="1310524797">
          <w:marLeft w:val="0"/>
          <w:marRight w:val="0"/>
          <w:marTop w:val="180"/>
          <w:marBottom w:val="240"/>
          <w:divBdr>
            <w:top w:val="none" w:sz="0" w:space="0" w:color="auto"/>
            <w:left w:val="none" w:sz="0" w:space="0" w:color="auto"/>
            <w:bottom w:val="none" w:sz="0" w:space="0" w:color="auto"/>
            <w:right w:val="none" w:sz="0" w:space="0" w:color="auto"/>
          </w:divBdr>
        </w:div>
        <w:div w:id="448597164">
          <w:marLeft w:val="0"/>
          <w:marRight w:val="0"/>
          <w:marTop w:val="180"/>
          <w:marBottom w:val="240"/>
          <w:divBdr>
            <w:top w:val="none" w:sz="0" w:space="0" w:color="auto"/>
            <w:left w:val="none" w:sz="0" w:space="0" w:color="auto"/>
            <w:bottom w:val="none" w:sz="0" w:space="0" w:color="auto"/>
            <w:right w:val="none" w:sz="0" w:space="0" w:color="auto"/>
          </w:divBdr>
        </w:div>
        <w:div w:id="650669421">
          <w:marLeft w:val="0"/>
          <w:marRight w:val="0"/>
          <w:marTop w:val="360"/>
          <w:marBottom w:val="180"/>
          <w:divBdr>
            <w:top w:val="none" w:sz="0" w:space="0" w:color="auto"/>
            <w:left w:val="none" w:sz="0" w:space="0" w:color="auto"/>
            <w:bottom w:val="none" w:sz="0" w:space="0" w:color="auto"/>
            <w:right w:val="none" w:sz="0" w:space="0" w:color="auto"/>
          </w:divBdr>
        </w:div>
        <w:div w:id="167252802">
          <w:marLeft w:val="0"/>
          <w:marRight w:val="0"/>
          <w:marTop w:val="360"/>
          <w:marBottom w:val="180"/>
          <w:divBdr>
            <w:top w:val="none" w:sz="0" w:space="0" w:color="auto"/>
            <w:left w:val="none" w:sz="0" w:space="0" w:color="auto"/>
            <w:bottom w:val="none" w:sz="0" w:space="0" w:color="auto"/>
            <w:right w:val="none" w:sz="0" w:space="0" w:color="auto"/>
          </w:divBdr>
        </w:div>
        <w:div w:id="1339427464">
          <w:marLeft w:val="0"/>
          <w:marRight w:val="0"/>
          <w:marTop w:val="180"/>
          <w:marBottom w:val="240"/>
          <w:divBdr>
            <w:top w:val="none" w:sz="0" w:space="0" w:color="auto"/>
            <w:left w:val="none" w:sz="0" w:space="0" w:color="auto"/>
            <w:bottom w:val="none" w:sz="0" w:space="0" w:color="auto"/>
            <w:right w:val="none" w:sz="0" w:space="0" w:color="auto"/>
          </w:divBdr>
        </w:div>
        <w:div w:id="475221501">
          <w:marLeft w:val="0"/>
          <w:marRight w:val="0"/>
          <w:marTop w:val="360"/>
          <w:marBottom w:val="180"/>
          <w:divBdr>
            <w:top w:val="none" w:sz="0" w:space="0" w:color="auto"/>
            <w:left w:val="none" w:sz="0" w:space="0" w:color="auto"/>
            <w:bottom w:val="none" w:sz="0" w:space="0" w:color="auto"/>
            <w:right w:val="none" w:sz="0" w:space="0" w:color="auto"/>
          </w:divBdr>
        </w:div>
        <w:div w:id="355887655">
          <w:marLeft w:val="0"/>
          <w:marRight w:val="0"/>
          <w:marTop w:val="180"/>
          <w:marBottom w:val="240"/>
          <w:divBdr>
            <w:top w:val="none" w:sz="0" w:space="0" w:color="auto"/>
            <w:left w:val="none" w:sz="0" w:space="0" w:color="auto"/>
            <w:bottom w:val="none" w:sz="0" w:space="0" w:color="auto"/>
            <w:right w:val="none" w:sz="0" w:space="0" w:color="auto"/>
          </w:divBdr>
        </w:div>
        <w:div w:id="1871412629">
          <w:marLeft w:val="0"/>
          <w:marRight w:val="0"/>
          <w:marTop w:val="360"/>
          <w:marBottom w:val="180"/>
          <w:divBdr>
            <w:top w:val="none" w:sz="0" w:space="0" w:color="auto"/>
            <w:left w:val="none" w:sz="0" w:space="0" w:color="auto"/>
            <w:bottom w:val="none" w:sz="0" w:space="0" w:color="auto"/>
            <w:right w:val="none" w:sz="0" w:space="0" w:color="auto"/>
          </w:divBdr>
        </w:div>
        <w:div w:id="2092653821">
          <w:marLeft w:val="0"/>
          <w:marRight w:val="0"/>
          <w:marTop w:val="180"/>
          <w:marBottom w:val="240"/>
          <w:divBdr>
            <w:top w:val="none" w:sz="0" w:space="0" w:color="auto"/>
            <w:left w:val="none" w:sz="0" w:space="0" w:color="auto"/>
            <w:bottom w:val="none" w:sz="0" w:space="0" w:color="auto"/>
            <w:right w:val="none" w:sz="0" w:space="0" w:color="auto"/>
          </w:divBdr>
        </w:div>
        <w:div w:id="1937127182">
          <w:marLeft w:val="0"/>
          <w:marRight w:val="0"/>
          <w:marTop w:val="360"/>
          <w:marBottom w:val="180"/>
          <w:divBdr>
            <w:top w:val="none" w:sz="0" w:space="0" w:color="auto"/>
            <w:left w:val="none" w:sz="0" w:space="0" w:color="auto"/>
            <w:bottom w:val="none" w:sz="0" w:space="0" w:color="auto"/>
            <w:right w:val="none" w:sz="0" w:space="0" w:color="auto"/>
          </w:divBdr>
        </w:div>
        <w:div w:id="797263291">
          <w:marLeft w:val="0"/>
          <w:marRight w:val="0"/>
          <w:marTop w:val="180"/>
          <w:marBottom w:val="240"/>
          <w:divBdr>
            <w:top w:val="none" w:sz="0" w:space="0" w:color="auto"/>
            <w:left w:val="none" w:sz="0" w:space="0" w:color="auto"/>
            <w:bottom w:val="none" w:sz="0" w:space="0" w:color="auto"/>
            <w:right w:val="none" w:sz="0" w:space="0" w:color="auto"/>
          </w:divBdr>
        </w:div>
        <w:div w:id="905725365">
          <w:marLeft w:val="0"/>
          <w:marRight w:val="0"/>
          <w:marTop w:val="360"/>
          <w:marBottom w:val="180"/>
          <w:divBdr>
            <w:top w:val="none" w:sz="0" w:space="0" w:color="auto"/>
            <w:left w:val="none" w:sz="0" w:space="0" w:color="auto"/>
            <w:bottom w:val="none" w:sz="0" w:space="0" w:color="auto"/>
            <w:right w:val="none" w:sz="0" w:space="0" w:color="auto"/>
          </w:divBdr>
        </w:div>
      </w:divsChild>
    </w:div>
    <w:div w:id="76706319">
      <w:bodyDiv w:val="1"/>
      <w:marLeft w:val="0"/>
      <w:marRight w:val="0"/>
      <w:marTop w:val="0"/>
      <w:marBottom w:val="0"/>
      <w:divBdr>
        <w:top w:val="none" w:sz="0" w:space="0" w:color="auto"/>
        <w:left w:val="none" w:sz="0" w:space="0" w:color="auto"/>
        <w:bottom w:val="none" w:sz="0" w:space="0" w:color="auto"/>
        <w:right w:val="none" w:sz="0" w:space="0" w:color="auto"/>
      </w:divBdr>
      <w:divsChild>
        <w:div w:id="1711102984">
          <w:marLeft w:val="0"/>
          <w:marRight w:val="0"/>
          <w:marTop w:val="180"/>
          <w:marBottom w:val="240"/>
          <w:divBdr>
            <w:top w:val="none" w:sz="0" w:space="0" w:color="auto"/>
            <w:left w:val="none" w:sz="0" w:space="0" w:color="auto"/>
            <w:bottom w:val="none" w:sz="0" w:space="0" w:color="auto"/>
            <w:right w:val="none" w:sz="0" w:space="0" w:color="auto"/>
          </w:divBdr>
        </w:div>
        <w:div w:id="1380857264">
          <w:marLeft w:val="0"/>
          <w:marRight w:val="0"/>
          <w:marTop w:val="360"/>
          <w:marBottom w:val="180"/>
          <w:divBdr>
            <w:top w:val="none" w:sz="0" w:space="0" w:color="auto"/>
            <w:left w:val="none" w:sz="0" w:space="0" w:color="auto"/>
            <w:bottom w:val="none" w:sz="0" w:space="0" w:color="auto"/>
            <w:right w:val="none" w:sz="0" w:space="0" w:color="auto"/>
          </w:divBdr>
        </w:div>
        <w:div w:id="1026251091">
          <w:marLeft w:val="0"/>
          <w:marRight w:val="0"/>
          <w:marTop w:val="180"/>
          <w:marBottom w:val="240"/>
          <w:divBdr>
            <w:top w:val="none" w:sz="0" w:space="0" w:color="auto"/>
            <w:left w:val="none" w:sz="0" w:space="0" w:color="auto"/>
            <w:bottom w:val="none" w:sz="0" w:space="0" w:color="auto"/>
            <w:right w:val="none" w:sz="0" w:space="0" w:color="auto"/>
          </w:divBdr>
        </w:div>
        <w:div w:id="1902786250">
          <w:marLeft w:val="0"/>
          <w:marRight w:val="0"/>
          <w:marTop w:val="360"/>
          <w:marBottom w:val="180"/>
          <w:divBdr>
            <w:top w:val="none" w:sz="0" w:space="0" w:color="auto"/>
            <w:left w:val="none" w:sz="0" w:space="0" w:color="auto"/>
            <w:bottom w:val="none" w:sz="0" w:space="0" w:color="auto"/>
            <w:right w:val="none" w:sz="0" w:space="0" w:color="auto"/>
          </w:divBdr>
        </w:div>
        <w:div w:id="2099666963">
          <w:marLeft w:val="0"/>
          <w:marRight w:val="0"/>
          <w:marTop w:val="180"/>
          <w:marBottom w:val="240"/>
          <w:divBdr>
            <w:top w:val="none" w:sz="0" w:space="0" w:color="auto"/>
            <w:left w:val="none" w:sz="0" w:space="0" w:color="auto"/>
            <w:bottom w:val="none" w:sz="0" w:space="0" w:color="auto"/>
            <w:right w:val="none" w:sz="0" w:space="0" w:color="auto"/>
          </w:divBdr>
        </w:div>
        <w:div w:id="1772554269">
          <w:marLeft w:val="0"/>
          <w:marRight w:val="0"/>
          <w:marTop w:val="360"/>
          <w:marBottom w:val="180"/>
          <w:divBdr>
            <w:top w:val="none" w:sz="0" w:space="0" w:color="auto"/>
            <w:left w:val="none" w:sz="0" w:space="0" w:color="auto"/>
            <w:bottom w:val="none" w:sz="0" w:space="0" w:color="auto"/>
            <w:right w:val="none" w:sz="0" w:space="0" w:color="auto"/>
          </w:divBdr>
        </w:div>
        <w:div w:id="1064644955">
          <w:marLeft w:val="0"/>
          <w:marRight w:val="0"/>
          <w:marTop w:val="180"/>
          <w:marBottom w:val="240"/>
          <w:divBdr>
            <w:top w:val="none" w:sz="0" w:space="0" w:color="auto"/>
            <w:left w:val="none" w:sz="0" w:space="0" w:color="auto"/>
            <w:bottom w:val="none" w:sz="0" w:space="0" w:color="auto"/>
            <w:right w:val="none" w:sz="0" w:space="0" w:color="auto"/>
          </w:divBdr>
        </w:div>
      </w:divsChild>
    </w:div>
    <w:div w:id="77795476">
      <w:bodyDiv w:val="1"/>
      <w:marLeft w:val="0"/>
      <w:marRight w:val="0"/>
      <w:marTop w:val="0"/>
      <w:marBottom w:val="0"/>
      <w:divBdr>
        <w:top w:val="none" w:sz="0" w:space="0" w:color="auto"/>
        <w:left w:val="none" w:sz="0" w:space="0" w:color="auto"/>
        <w:bottom w:val="none" w:sz="0" w:space="0" w:color="auto"/>
        <w:right w:val="none" w:sz="0" w:space="0" w:color="auto"/>
      </w:divBdr>
      <w:divsChild>
        <w:div w:id="1104302505">
          <w:marLeft w:val="0"/>
          <w:marRight w:val="0"/>
          <w:marTop w:val="360"/>
          <w:marBottom w:val="180"/>
          <w:divBdr>
            <w:top w:val="none" w:sz="0" w:space="0" w:color="auto"/>
            <w:left w:val="none" w:sz="0" w:space="0" w:color="auto"/>
            <w:bottom w:val="none" w:sz="0" w:space="0" w:color="auto"/>
            <w:right w:val="none" w:sz="0" w:space="0" w:color="auto"/>
          </w:divBdr>
        </w:div>
        <w:div w:id="1678925654">
          <w:marLeft w:val="0"/>
          <w:marRight w:val="0"/>
          <w:marTop w:val="180"/>
          <w:marBottom w:val="240"/>
          <w:divBdr>
            <w:top w:val="none" w:sz="0" w:space="0" w:color="auto"/>
            <w:left w:val="none" w:sz="0" w:space="0" w:color="auto"/>
            <w:bottom w:val="none" w:sz="0" w:space="0" w:color="auto"/>
            <w:right w:val="none" w:sz="0" w:space="0" w:color="auto"/>
          </w:divBdr>
        </w:div>
      </w:divsChild>
    </w:div>
    <w:div w:id="116342030">
      <w:bodyDiv w:val="1"/>
      <w:marLeft w:val="0"/>
      <w:marRight w:val="0"/>
      <w:marTop w:val="0"/>
      <w:marBottom w:val="0"/>
      <w:divBdr>
        <w:top w:val="none" w:sz="0" w:space="0" w:color="auto"/>
        <w:left w:val="none" w:sz="0" w:space="0" w:color="auto"/>
        <w:bottom w:val="none" w:sz="0" w:space="0" w:color="auto"/>
        <w:right w:val="none" w:sz="0" w:space="0" w:color="auto"/>
      </w:divBdr>
      <w:divsChild>
        <w:div w:id="1263219051">
          <w:marLeft w:val="0"/>
          <w:marRight w:val="0"/>
          <w:marTop w:val="0"/>
          <w:marBottom w:val="0"/>
          <w:divBdr>
            <w:top w:val="none" w:sz="0" w:space="0" w:color="auto"/>
            <w:left w:val="none" w:sz="0" w:space="0" w:color="auto"/>
            <w:bottom w:val="none" w:sz="0" w:space="0" w:color="auto"/>
            <w:right w:val="none" w:sz="0" w:space="0" w:color="auto"/>
          </w:divBdr>
        </w:div>
        <w:div w:id="2086222707">
          <w:marLeft w:val="0"/>
          <w:marRight w:val="0"/>
          <w:marTop w:val="0"/>
          <w:marBottom w:val="0"/>
          <w:divBdr>
            <w:top w:val="none" w:sz="0" w:space="0" w:color="auto"/>
            <w:left w:val="none" w:sz="0" w:space="0" w:color="auto"/>
            <w:bottom w:val="none" w:sz="0" w:space="0" w:color="auto"/>
            <w:right w:val="none" w:sz="0" w:space="0" w:color="auto"/>
          </w:divBdr>
        </w:div>
        <w:div w:id="1273899734">
          <w:marLeft w:val="0"/>
          <w:marRight w:val="0"/>
          <w:marTop w:val="0"/>
          <w:marBottom w:val="0"/>
          <w:divBdr>
            <w:top w:val="none" w:sz="0" w:space="0" w:color="auto"/>
            <w:left w:val="none" w:sz="0" w:space="0" w:color="auto"/>
            <w:bottom w:val="none" w:sz="0" w:space="0" w:color="auto"/>
            <w:right w:val="none" w:sz="0" w:space="0" w:color="auto"/>
          </w:divBdr>
        </w:div>
        <w:div w:id="1462305702">
          <w:marLeft w:val="0"/>
          <w:marRight w:val="0"/>
          <w:marTop w:val="0"/>
          <w:marBottom w:val="0"/>
          <w:divBdr>
            <w:top w:val="none" w:sz="0" w:space="0" w:color="auto"/>
            <w:left w:val="none" w:sz="0" w:space="0" w:color="auto"/>
            <w:bottom w:val="none" w:sz="0" w:space="0" w:color="auto"/>
            <w:right w:val="none" w:sz="0" w:space="0" w:color="auto"/>
          </w:divBdr>
        </w:div>
        <w:div w:id="2006980086">
          <w:marLeft w:val="0"/>
          <w:marRight w:val="0"/>
          <w:marTop w:val="0"/>
          <w:marBottom w:val="0"/>
          <w:divBdr>
            <w:top w:val="none" w:sz="0" w:space="0" w:color="auto"/>
            <w:left w:val="none" w:sz="0" w:space="0" w:color="auto"/>
            <w:bottom w:val="none" w:sz="0" w:space="0" w:color="auto"/>
            <w:right w:val="none" w:sz="0" w:space="0" w:color="auto"/>
          </w:divBdr>
        </w:div>
        <w:div w:id="78405560">
          <w:marLeft w:val="0"/>
          <w:marRight w:val="0"/>
          <w:marTop w:val="0"/>
          <w:marBottom w:val="0"/>
          <w:divBdr>
            <w:top w:val="none" w:sz="0" w:space="0" w:color="auto"/>
            <w:left w:val="none" w:sz="0" w:space="0" w:color="auto"/>
            <w:bottom w:val="none" w:sz="0" w:space="0" w:color="auto"/>
            <w:right w:val="none" w:sz="0" w:space="0" w:color="auto"/>
          </w:divBdr>
        </w:div>
        <w:div w:id="1087850231">
          <w:marLeft w:val="0"/>
          <w:marRight w:val="0"/>
          <w:marTop w:val="0"/>
          <w:marBottom w:val="0"/>
          <w:divBdr>
            <w:top w:val="none" w:sz="0" w:space="0" w:color="auto"/>
            <w:left w:val="none" w:sz="0" w:space="0" w:color="auto"/>
            <w:bottom w:val="none" w:sz="0" w:space="0" w:color="auto"/>
            <w:right w:val="none" w:sz="0" w:space="0" w:color="auto"/>
          </w:divBdr>
        </w:div>
        <w:div w:id="226692059">
          <w:marLeft w:val="0"/>
          <w:marRight w:val="0"/>
          <w:marTop w:val="0"/>
          <w:marBottom w:val="0"/>
          <w:divBdr>
            <w:top w:val="none" w:sz="0" w:space="0" w:color="auto"/>
            <w:left w:val="none" w:sz="0" w:space="0" w:color="auto"/>
            <w:bottom w:val="none" w:sz="0" w:space="0" w:color="auto"/>
            <w:right w:val="none" w:sz="0" w:space="0" w:color="auto"/>
          </w:divBdr>
        </w:div>
        <w:div w:id="1710229161">
          <w:marLeft w:val="0"/>
          <w:marRight w:val="0"/>
          <w:marTop w:val="0"/>
          <w:marBottom w:val="0"/>
          <w:divBdr>
            <w:top w:val="none" w:sz="0" w:space="0" w:color="auto"/>
            <w:left w:val="none" w:sz="0" w:space="0" w:color="auto"/>
            <w:bottom w:val="none" w:sz="0" w:space="0" w:color="auto"/>
            <w:right w:val="none" w:sz="0" w:space="0" w:color="auto"/>
          </w:divBdr>
        </w:div>
        <w:div w:id="139226858">
          <w:marLeft w:val="0"/>
          <w:marRight w:val="0"/>
          <w:marTop w:val="0"/>
          <w:marBottom w:val="0"/>
          <w:divBdr>
            <w:top w:val="none" w:sz="0" w:space="0" w:color="auto"/>
            <w:left w:val="none" w:sz="0" w:space="0" w:color="auto"/>
            <w:bottom w:val="none" w:sz="0" w:space="0" w:color="auto"/>
            <w:right w:val="none" w:sz="0" w:space="0" w:color="auto"/>
          </w:divBdr>
        </w:div>
        <w:div w:id="845096703">
          <w:marLeft w:val="0"/>
          <w:marRight w:val="0"/>
          <w:marTop w:val="0"/>
          <w:marBottom w:val="0"/>
          <w:divBdr>
            <w:top w:val="none" w:sz="0" w:space="0" w:color="auto"/>
            <w:left w:val="none" w:sz="0" w:space="0" w:color="auto"/>
            <w:bottom w:val="none" w:sz="0" w:space="0" w:color="auto"/>
            <w:right w:val="none" w:sz="0" w:space="0" w:color="auto"/>
          </w:divBdr>
        </w:div>
        <w:div w:id="160043979">
          <w:marLeft w:val="0"/>
          <w:marRight w:val="0"/>
          <w:marTop w:val="0"/>
          <w:marBottom w:val="0"/>
          <w:divBdr>
            <w:top w:val="none" w:sz="0" w:space="0" w:color="auto"/>
            <w:left w:val="none" w:sz="0" w:space="0" w:color="auto"/>
            <w:bottom w:val="none" w:sz="0" w:space="0" w:color="auto"/>
            <w:right w:val="none" w:sz="0" w:space="0" w:color="auto"/>
          </w:divBdr>
        </w:div>
        <w:div w:id="1422214627">
          <w:marLeft w:val="0"/>
          <w:marRight w:val="0"/>
          <w:marTop w:val="0"/>
          <w:marBottom w:val="0"/>
          <w:divBdr>
            <w:top w:val="none" w:sz="0" w:space="0" w:color="auto"/>
            <w:left w:val="none" w:sz="0" w:space="0" w:color="auto"/>
            <w:bottom w:val="none" w:sz="0" w:space="0" w:color="auto"/>
            <w:right w:val="none" w:sz="0" w:space="0" w:color="auto"/>
          </w:divBdr>
          <w:divsChild>
            <w:div w:id="899899788">
              <w:marLeft w:val="0"/>
              <w:marRight w:val="0"/>
              <w:marTop w:val="0"/>
              <w:marBottom w:val="0"/>
              <w:divBdr>
                <w:top w:val="none" w:sz="0" w:space="0" w:color="auto"/>
                <w:left w:val="none" w:sz="0" w:space="0" w:color="auto"/>
                <w:bottom w:val="none" w:sz="0" w:space="0" w:color="auto"/>
                <w:right w:val="none" w:sz="0" w:space="0" w:color="auto"/>
              </w:divBdr>
              <w:divsChild>
                <w:div w:id="508756853">
                  <w:marLeft w:val="0"/>
                  <w:marRight w:val="0"/>
                  <w:marTop w:val="0"/>
                  <w:marBottom w:val="0"/>
                  <w:divBdr>
                    <w:top w:val="single" w:sz="4" w:space="9" w:color="F0F2F5"/>
                    <w:left w:val="single" w:sz="4" w:space="12" w:color="F0F2F5"/>
                    <w:bottom w:val="single" w:sz="4" w:space="0" w:color="F0F2F5"/>
                    <w:right w:val="single" w:sz="4" w:space="12" w:color="F0F2F5"/>
                  </w:divBdr>
                  <w:divsChild>
                    <w:div w:id="192499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276682">
          <w:marLeft w:val="0"/>
          <w:marRight w:val="0"/>
          <w:marTop w:val="0"/>
          <w:marBottom w:val="0"/>
          <w:divBdr>
            <w:top w:val="none" w:sz="0" w:space="0" w:color="auto"/>
            <w:left w:val="none" w:sz="0" w:space="0" w:color="auto"/>
            <w:bottom w:val="none" w:sz="0" w:space="0" w:color="auto"/>
            <w:right w:val="none" w:sz="0" w:space="0" w:color="auto"/>
          </w:divBdr>
        </w:div>
        <w:div w:id="454716650">
          <w:marLeft w:val="0"/>
          <w:marRight w:val="0"/>
          <w:marTop w:val="0"/>
          <w:marBottom w:val="0"/>
          <w:divBdr>
            <w:top w:val="none" w:sz="0" w:space="0" w:color="auto"/>
            <w:left w:val="none" w:sz="0" w:space="0" w:color="auto"/>
            <w:bottom w:val="none" w:sz="0" w:space="0" w:color="auto"/>
            <w:right w:val="none" w:sz="0" w:space="0" w:color="auto"/>
          </w:divBdr>
        </w:div>
        <w:div w:id="2043824701">
          <w:marLeft w:val="0"/>
          <w:marRight w:val="0"/>
          <w:marTop w:val="0"/>
          <w:marBottom w:val="0"/>
          <w:divBdr>
            <w:top w:val="none" w:sz="0" w:space="0" w:color="auto"/>
            <w:left w:val="none" w:sz="0" w:space="0" w:color="auto"/>
            <w:bottom w:val="none" w:sz="0" w:space="0" w:color="auto"/>
            <w:right w:val="none" w:sz="0" w:space="0" w:color="auto"/>
          </w:divBdr>
        </w:div>
        <w:div w:id="587813196">
          <w:marLeft w:val="0"/>
          <w:marRight w:val="0"/>
          <w:marTop w:val="0"/>
          <w:marBottom w:val="0"/>
          <w:divBdr>
            <w:top w:val="none" w:sz="0" w:space="0" w:color="auto"/>
            <w:left w:val="none" w:sz="0" w:space="0" w:color="auto"/>
            <w:bottom w:val="none" w:sz="0" w:space="0" w:color="auto"/>
            <w:right w:val="none" w:sz="0" w:space="0" w:color="auto"/>
          </w:divBdr>
        </w:div>
        <w:div w:id="503203826">
          <w:marLeft w:val="0"/>
          <w:marRight w:val="0"/>
          <w:marTop w:val="0"/>
          <w:marBottom w:val="0"/>
          <w:divBdr>
            <w:top w:val="none" w:sz="0" w:space="0" w:color="auto"/>
            <w:left w:val="none" w:sz="0" w:space="0" w:color="auto"/>
            <w:bottom w:val="none" w:sz="0" w:space="0" w:color="auto"/>
            <w:right w:val="none" w:sz="0" w:space="0" w:color="auto"/>
          </w:divBdr>
        </w:div>
        <w:div w:id="430128096">
          <w:marLeft w:val="0"/>
          <w:marRight w:val="0"/>
          <w:marTop w:val="0"/>
          <w:marBottom w:val="0"/>
          <w:divBdr>
            <w:top w:val="none" w:sz="0" w:space="0" w:color="auto"/>
            <w:left w:val="none" w:sz="0" w:space="0" w:color="auto"/>
            <w:bottom w:val="none" w:sz="0" w:space="0" w:color="auto"/>
            <w:right w:val="none" w:sz="0" w:space="0" w:color="auto"/>
          </w:divBdr>
        </w:div>
        <w:div w:id="665401352">
          <w:marLeft w:val="0"/>
          <w:marRight w:val="0"/>
          <w:marTop w:val="0"/>
          <w:marBottom w:val="0"/>
          <w:divBdr>
            <w:top w:val="none" w:sz="0" w:space="0" w:color="auto"/>
            <w:left w:val="none" w:sz="0" w:space="0" w:color="auto"/>
            <w:bottom w:val="none" w:sz="0" w:space="0" w:color="auto"/>
            <w:right w:val="none" w:sz="0" w:space="0" w:color="auto"/>
          </w:divBdr>
        </w:div>
        <w:div w:id="298807984">
          <w:marLeft w:val="0"/>
          <w:marRight w:val="0"/>
          <w:marTop w:val="0"/>
          <w:marBottom w:val="0"/>
          <w:divBdr>
            <w:top w:val="none" w:sz="0" w:space="0" w:color="auto"/>
            <w:left w:val="none" w:sz="0" w:space="0" w:color="auto"/>
            <w:bottom w:val="none" w:sz="0" w:space="0" w:color="auto"/>
            <w:right w:val="none" w:sz="0" w:space="0" w:color="auto"/>
          </w:divBdr>
        </w:div>
        <w:div w:id="1847011920">
          <w:marLeft w:val="0"/>
          <w:marRight w:val="0"/>
          <w:marTop w:val="0"/>
          <w:marBottom w:val="0"/>
          <w:divBdr>
            <w:top w:val="none" w:sz="0" w:space="0" w:color="auto"/>
            <w:left w:val="none" w:sz="0" w:space="0" w:color="auto"/>
            <w:bottom w:val="none" w:sz="0" w:space="0" w:color="auto"/>
            <w:right w:val="none" w:sz="0" w:space="0" w:color="auto"/>
          </w:divBdr>
        </w:div>
        <w:div w:id="1298411008">
          <w:marLeft w:val="0"/>
          <w:marRight w:val="0"/>
          <w:marTop w:val="0"/>
          <w:marBottom w:val="0"/>
          <w:divBdr>
            <w:top w:val="none" w:sz="0" w:space="0" w:color="auto"/>
            <w:left w:val="none" w:sz="0" w:space="0" w:color="auto"/>
            <w:bottom w:val="none" w:sz="0" w:space="0" w:color="auto"/>
            <w:right w:val="none" w:sz="0" w:space="0" w:color="auto"/>
          </w:divBdr>
        </w:div>
        <w:div w:id="1261259132">
          <w:marLeft w:val="0"/>
          <w:marRight w:val="0"/>
          <w:marTop w:val="0"/>
          <w:marBottom w:val="0"/>
          <w:divBdr>
            <w:top w:val="none" w:sz="0" w:space="0" w:color="auto"/>
            <w:left w:val="none" w:sz="0" w:space="0" w:color="auto"/>
            <w:bottom w:val="none" w:sz="0" w:space="0" w:color="auto"/>
            <w:right w:val="none" w:sz="0" w:space="0" w:color="auto"/>
          </w:divBdr>
        </w:div>
        <w:div w:id="923879987">
          <w:marLeft w:val="0"/>
          <w:marRight w:val="0"/>
          <w:marTop w:val="0"/>
          <w:marBottom w:val="0"/>
          <w:divBdr>
            <w:top w:val="none" w:sz="0" w:space="0" w:color="auto"/>
            <w:left w:val="none" w:sz="0" w:space="0" w:color="auto"/>
            <w:bottom w:val="none" w:sz="0" w:space="0" w:color="auto"/>
            <w:right w:val="none" w:sz="0" w:space="0" w:color="auto"/>
          </w:divBdr>
        </w:div>
        <w:div w:id="828983120">
          <w:marLeft w:val="0"/>
          <w:marRight w:val="0"/>
          <w:marTop w:val="0"/>
          <w:marBottom w:val="0"/>
          <w:divBdr>
            <w:top w:val="none" w:sz="0" w:space="0" w:color="auto"/>
            <w:left w:val="none" w:sz="0" w:space="0" w:color="auto"/>
            <w:bottom w:val="none" w:sz="0" w:space="0" w:color="auto"/>
            <w:right w:val="none" w:sz="0" w:space="0" w:color="auto"/>
          </w:divBdr>
        </w:div>
        <w:div w:id="1549489171">
          <w:marLeft w:val="0"/>
          <w:marRight w:val="0"/>
          <w:marTop w:val="0"/>
          <w:marBottom w:val="0"/>
          <w:divBdr>
            <w:top w:val="none" w:sz="0" w:space="0" w:color="auto"/>
            <w:left w:val="none" w:sz="0" w:space="0" w:color="auto"/>
            <w:bottom w:val="none" w:sz="0" w:space="0" w:color="auto"/>
            <w:right w:val="none" w:sz="0" w:space="0" w:color="auto"/>
          </w:divBdr>
        </w:div>
        <w:div w:id="1817260016">
          <w:marLeft w:val="0"/>
          <w:marRight w:val="0"/>
          <w:marTop w:val="0"/>
          <w:marBottom w:val="0"/>
          <w:divBdr>
            <w:top w:val="none" w:sz="0" w:space="0" w:color="auto"/>
            <w:left w:val="none" w:sz="0" w:space="0" w:color="auto"/>
            <w:bottom w:val="none" w:sz="0" w:space="0" w:color="auto"/>
            <w:right w:val="none" w:sz="0" w:space="0" w:color="auto"/>
          </w:divBdr>
        </w:div>
        <w:div w:id="430200897">
          <w:marLeft w:val="0"/>
          <w:marRight w:val="0"/>
          <w:marTop w:val="0"/>
          <w:marBottom w:val="0"/>
          <w:divBdr>
            <w:top w:val="none" w:sz="0" w:space="0" w:color="auto"/>
            <w:left w:val="none" w:sz="0" w:space="0" w:color="auto"/>
            <w:bottom w:val="none" w:sz="0" w:space="0" w:color="auto"/>
            <w:right w:val="none" w:sz="0" w:space="0" w:color="auto"/>
          </w:divBdr>
        </w:div>
        <w:div w:id="1698699784">
          <w:marLeft w:val="0"/>
          <w:marRight w:val="0"/>
          <w:marTop w:val="0"/>
          <w:marBottom w:val="0"/>
          <w:divBdr>
            <w:top w:val="none" w:sz="0" w:space="0" w:color="auto"/>
            <w:left w:val="none" w:sz="0" w:space="0" w:color="auto"/>
            <w:bottom w:val="none" w:sz="0" w:space="0" w:color="auto"/>
            <w:right w:val="none" w:sz="0" w:space="0" w:color="auto"/>
          </w:divBdr>
        </w:div>
        <w:div w:id="1134569156">
          <w:marLeft w:val="0"/>
          <w:marRight w:val="0"/>
          <w:marTop w:val="0"/>
          <w:marBottom w:val="0"/>
          <w:divBdr>
            <w:top w:val="none" w:sz="0" w:space="0" w:color="auto"/>
            <w:left w:val="none" w:sz="0" w:space="0" w:color="auto"/>
            <w:bottom w:val="none" w:sz="0" w:space="0" w:color="auto"/>
            <w:right w:val="none" w:sz="0" w:space="0" w:color="auto"/>
          </w:divBdr>
        </w:div>
        <w:div w:id="1142817165">
          <w:marLeft w:val="0"/>
          <w:marRight w:val="0"/>
          <w:marTop w:val="0"/>
          <w:marBottom w:val="0"/>
          <w:divBdr>
            <w:top w:val="none" w:sz="0" w:space="0" w:color="auto"/>
            <w:left w:val="none" w:sz="0" w:space="0" w:color="auto"/>
            <w:bottom w:val="none" w:sz="0" w:space="0" w:color="auto"/>
            <w:right w:val="none" w:sz="0" w:space="0" w:color="auto"/>
          </w:divBdr>
        </w:div>
        <w:div w:id="99226503">
          <w:marLeft w:val="0"/>
          <w:marRight w:val="0"/>
          <w:marTop w:val="0"/>
          <w:marBottom w:val="0"/>
          <w:divBdr>
            <w:top w:val="none" w:sz="0" w:space="0" w:color="auto"/>
            <w:left w:val="none" w:sz="0" w:space="0" w:color="auto"/>
            <w:bottom w:val="none" w:sz="0" w:space="0" w:color="auto"/>
            <w:right w:val="none" w:sz="0" w:space="0" w:color="auto"/>
          </w:divBdr>
        </w:div>
        <w:div w:id="870344967">
          <w:marLeft w:val="0"/>
          <w:marRight w:val="0"/>
          <w:marTop w:val="0"/>
          <w:marBottom w:val="0"/>
          <w:divBdr>
            <w:top w:val="none" w:sz="0" w:space="0" w:color="auto"/>
            <w:left w:val="none" w:sz="0" w:space="0" w:color="auto"/>
            <w:bottom w:val="none" w:sz="0" w:space="0" w:color="auto"/>
            <w:right w:val="none" w:sz="0" w:space="0" w:color="auto"/>
          </w:divBdr>
        </w:div>
        <w:div w:id="680468750">
          <w:marLeft w:val="0"/>
          <w:marRight w:val="0"/>
          <w:marTop w:val="0"/>
          <w:marBottom w:val="0"/>
          <w:divBdr>
            <w:top w:val="none" w:sz="0" w:space="0" w:color="auto"/>
            <w:left w:val="none" w:sz="0" w:space="0" w:color="auto"/>
            <w:bottom w:val="none" w:sz="0" w:space="0" w:color="auto"/>
            <w:right w:val="none" w:sz="0" w:space="0" w:color="auto"/>
          </w:divBdr>
          <w:divsChild>
            <w:div w:id="298727549">
              <w:marLeft w:val="0"/>
              <w:marRight w:val="0"/>
              <w:marTop w:val="0"/>
              <w:marBottom w:val="0"/>
              <w:divBdr>
                <w:top w:val="none" w:sz="0" w:space="0" w:color="auto"/>
                <w:left w:val="none" w:sz="0" w:space="0" w:color="auto"/>
                <w:bottom w:val="none" w:sz="0" w:space="0" w:color="auto"/>
                <w:right w:val="none" w:sz="0" w:space="0" w:color="auto"/>
              </w:divBdr>
              <w:divsChild>
                <w:div w:id="1381244654">
                  <w:marLeft w:val="0"/>
                  <w:marRight w:val="0"/>
                  <w:marTop w:val="0"/>
                  <w:marBottom w:val="0"/>
                  <w:divBdr>
                    <w:top w:val="single" w:sz="4" w:space="9" w:color="F0F2F5"/>
                    <w:left w:val="single" w:sz="4" w:space="12" w:color="F0F2F5"/>
                    <w:bottom w:val="single" w:sz="4" w:space="0" w:color="F0F2F5"/>
                    <w:right w:val="single" w:sz="4" w:space="12" w:color="F0F2F5"/>
                  </w:divBdr>
                  <w:divsChild>
                    <w:div w:id="164411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899963">
          <w:marLeft w:val="0"/>
          <w:marRight w:val="0"/>
          <w:marTop w:val="0"/>
          <w:marBottom w:val="0"/>
          <w:divBdr>
            <w:top w:val="none" w:sz="0" w:space="0" w:color="auto"/>
            <w:left w:val="none" w:sz="0" w:space="0" w:color="auto"/>
            <w:bottom w:val="none" w:sz="0" w:space="0" w:color="auto"/>
            <w:right w:val="none" w:sz="0" w:space="0" w:color="auto"/>
          </w:divBdr>
        </w:div>
        <w:div w:id="1671179743">
          <w:marLeft w:val="0"/>
          <w:marRight w:val="0"/>
          <w:marTop w:val="0"/>
          <w:marBottom w:val="0"/>
          <w:divBdr>
            <w:top w:val="none" w:sz="0" w:space="0" w:color="auto"/>
            <w:left w:val="none" w:sz="0" w:space="0" w:color="auto"/>
            <w:bottom w:val="none" w:sz="0" w:space="0" w:color="auto"/>
            <w:right w:val="none" w:sz="0" w:space="0" w:color="auto"/>
          </w:divBdr>
        </w:div>
        <w:div w:id="1426422034">
          <w:marLeft w:val="0"/>
          <w:marRight w:val="0"/>
          <w:marTop w:val="0"/>
          <w:marBottom w:val="0"/>
          <w:divBdr>
            <w:top w:val="none" w:sz="0" w:space="0" w:color="auto"/>
            <w:left w:val="none" w:sz="0" w:space="0" w:color="auto"/>
            <w:bottom w:val="none" w:sz="0" w:space="0" w:color="auto"/>
            <w:right w:val="none" w:sz="0" w:space="0" w:color="auto"/>
          </w:divBdr>
        </w:div>
        <w:div w:id="1673682212">
          <w:marLeft w:val="0"/>
          <w:marRight w:val="0"/>
          <w:marTop w:val="0"/>
          <w:marBottom w:val="0"/>
          <w:divBdr>
            <w:top w:val="none" w:sz="0" w:space="0" w:color="auto"/>
            <w:left w:val="none" w:sz="0" w:space="0" w:color="auto"/>
            <w:bottom w:val="none" w:sz="0" w:space="0" w:color="auto"/>
            <w:right w:val="none" w:sz="0" w:space="0" w:color="auto"/>
          </w:divBdr>
        </w:div>
        <w:div w:id="683703700">
          <w:marLeft w:val="0"/>
          <w:marRight w:val="0"/>
          <w:marTop w:val="0"/>
          <w:marBottom w:val="0"/>
          <w:divBdr>
            <w:top w:val="none" w:sz="0" w:space="0" w:color="auto"/>
            <w:left w:val="none" w:sz="0" w:space="0" w:color="auto"/>
            <w:bottom w:val="none" w:sz="0" w:space="0" w:color="auto"/>
            <w:right w:val="none" w:sz="0" w:space="0" w:color="auto"/>
          </w:divBdr>
          <w:divsChild>
            <w:div w:id="549415681">
              <w:marLeft w:val="0"/>
              <w:marRight w:val="0"/>
              <w:marTop w:val="0"/>
              <w:marBottom w:val="0"/>
              <w:divBdr>
                <w:top w:val="none" w:sz="0" w:space="0" w:color="auto"/>
                <w:left w:val="none" w:sz="0" w:space="0" w:color="auto"/>
                <w:bottom w:val="none" w:sz="0" w:space="0" w:color="auto"/>
                <w:right w:val="none" w:sz="0" w:space="0" w:color="auto"/>
              </w:divBdr>
              <w:divsChild>
                <w:div w:id="1513763184">
                  <w:marLeft w:val="0"/>
                  <w:marRight w:val="0"/>
                  <w:marTop w:val="0"/>
                  <w:marBottom w:val="0"/>
                  <w:divBdr>
                    <w:top w:val="single" w:sz="4" w:space="9" w:color="F0F2F5"/>
                    <w:left w:val="single" w:sz="4" w:space="12" w:color="F0F2F5"/>
                    <w:bottom w:val="single" w:sz="4" w:space="0" w:color="F0F2F5"/>
                    <w:right w:val="single" w:sz="4" w:space="12" w:color="F0F2F5"/>
                  </w:divBdr>
                  <w:divsChild>
                    <w:div w:id="155800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376623">
          <w:marLeft w:val="0"/>
          <w:marRight w:val="0"/>
          <w:marTop w:val="0"/>
          <w:marBottom w:val="0"/>
          <w:divBdr>
            <w:top w:val="none" w:sz="0" w:space="0" w:color="auto"/>
            <w:left w:val="none" w:sz="0" w:space="0" w:color="auto"/>
            <w:bottom w:val="none" w:sz="0" w:space="0" w:color="auto"/>
            <w:right w:val="none" w:sz="0" w:space="0" w:color="auto"/>
          </w:divBdr>
        </w:div>
        <w:div w:id="1869685504">
          <w:marLeft w:val="0"/>
          <w:marRight w:val="0"/>
          <w:marTop w:val="0"/>
          <w:marBottom w:val="0"/>
          <w:divBdr>
            <w:top w:val="none" w:sz="0" w:space="0" w:color="auto"/>
            <w:left w:val="none" w:sz="0" w:space="0" w:color="auto"/>
            <w:bottom w:val="none" w:sz="0" w:space="0" w:color="auto"/>
            <w:right w:val="none" w:sz="0" w:space="0" w:color="auto"/>
          </w:divBdr>
        </w:div>
        <w:div w:id="1035227967">
          <w:marLeft w:val="0"/>
          <w:marRight w:val="0"/>
          <w:marTop w:val="0"/>
          <w:marBottom w:val="0"/>
          <w:divBdr>
            <w:top w:val="none" w:sz="0" w:space="0" w:color="auto"/>
            <w:left w:val="none" w:sz="0" w:space="0" w:color="auto"/>
            <w:bottom w:val="none" w:sz="0" w:space="0" w:color="auto"/>
            <w:right w:val="none" w:sz="0" w:space="0" w:color="auto"/>
          </w:divBdr>
        </w:div>
        <w:div w:id="752581633">
          <w:marLeft w:val="0"/>
          <w:marRight w:val="0"/>
          <w:marTop w:val="0"/>
          <w:marBottom w:val="0"/>
          <w:divBdr>
            <w:top w:val="none" w:sz="0" w:space="0" w:color="auto"/>
            <w:left w:val="none" w:sz="0" w:space="0" w:color="auto"/>
            <w:bottom w:val="none" w:sz="0" w:space="0" w:color="auto"/>
            <w:right w:val="none" w:sz="0" w:space="0" w:color="auto"/>
          </w:divBdr>
        </w:div>
        <w:div w:id="427311151">
          <w:marLeft w:val="0"/>
          <w:marRight w:val="0"/>
          <w:marTop w:val="0"/>
          <w:marBottom w:val="0"/>
          <w:divBdr>
            <w:top w:val="none" w:sz="0" w:space="0" w:color="auto"/>
            <w:left w:val="none" w:sz="0" w:space="0" w:color="auto"/>
            <w:bottom w:val="none" w:sz="0" w:space="0" w:color="auto"/>
            <w:right w:val="none" w:sz="0" w:space="0" w:color="auto"/>
          </w:divBdr>
        </w:div>
        <w:div w:id="1641568494">
          <w:marLeft w:val="0"/>
          <w:marRight w:val="0"/>
          <w:marTop w:val="0"/>
          <w:marBottom w:val="0"/>
          <w:divBdr>
            <w:top w:val="none" w:sz="0" w:space="0" w:color="auto"/>
            <w:left w:val="none" w:sz="0" w:space="0" w:color="auto"/>
            <w:bottom w:val="none" w:sz="0" w:space="0" w:color="auto"/>
            <w:right w:val="none" w:sz="0" w:space="0" w:color="auto"/>
          </w:divBdr>
        </w:div>
        <w:div w:id="1196427682">
          <w:marLeft w:val="0"/>
          <w:marRight w:val="0"/>
          <w:marTop w:val="0"/>
          <w:marBottom w:val="0"/>
          <w:divBdr>
            <w:top w:val="none" w:sz="0" w:space="0" w:color="auto"/>
            <w:left w:val="none" w:sz="0" w:space="0" w:color="auto"/>
            <w:bottom w:val="none" w:sz="0" w:space="0" w:color="auto"/>
            <w:right w:val="none" w:sz="0" w:space="0" w:color="auto"/>
          </w:divBdr>
        </w:div>
        <w:div w:id="400107021">
          <w:marLeft w:val="0"/>
          <w:marRight w:val="0"/>
          <w:marTop w:val="0"/>
          <w:marBottom w:val="0"/>
          <w:divBdr>
            <w:top w:val="none" w:sz="0" w:space="0" w:color="auto"/>
            <w:left w:val="none" w:sz="0" w:space="0" w:color="auto"/>
            <w:bottom w:val="none" w:sz="0" w:space="0" w:color="auto"/>
            <w:right w:val="none" w:sz="0" w:space="0" w:color="auto"/>
          </w:divBdr>
        </w:div>
        <w:div w:id="1076047362">
          <w:marLeft w:val="0"/>
          <w:marRight w:val="0"/>
          <w:marTop w:val="0"/>
          <w:marBottom w:val="0"/>
          <w:divBdr>
            <w:top w:val="none" w:sz="0" w:space="0" w:color="auto"/>
            <w:left w:val="none" w:sz="0" w:space="0" w:color="auto"/>
            <w:bottom w:val="none" w:sz="0" w:space="0" w:color="auto"/>
            <w:right w:val="none" w:sz="0" w:space="0" w:color="auto"/>
          </w:divBdr>
        </w:div>
        <w:div w:id="610821310">
          <w:marLeft w:val="0"/>
          <w:marRight w:val="0"/>
          <w:marTop w:val="0"/>
          <w:marBottom w:val="0"/>
          <w:divBdr>
            <w:top w:val="none" w:sz="0" w:space="0" w:color="auto"/>
            <w:left w:val="none" w:sz="0" w:space="0" w:color="auto"/>
            <w:bottom w:val="none" w:sz="0" w:space="0" w:color="auto"/>
            <w:right w:val="none" w:sz="0" w:space="0" w:color="auto"/>
          </w:divBdr>
        </w:div>
        <w:div w:id="1690139280">
          <w:marLeft w:val="0"/>
          <w:marRight w:val="0"/>
          <w:marTop w:val="0"/>
          <w:marBottom w:val="0"/>
          <w:divBdr>
            <w:top w:val="none" w:sz="0" w:space="0" w:color="auto"/>
            <w:left w:val="none" w:sz="0" w:space="0" w:color="auto"/>
            <w:bottom w:val="none" w:sz="0" w:space="0" w:color="auto"/>
            <w:right w:val="none" w:sz="0" w:space="0" w:color="auto"/>
          </w:divBdr>
        </w:div>
        <w:div w:id="380057710">
          <w:marLeft w:val="0"/>
          <w:marRight w:val="0"/>
          <w:marTop w:val="0"/>
          <w:marBottom w:val="0"/>
          <w:divBdr>
            <w:top w:val="none" w:sz="0" w:space="0" w:color="auto"/>
            <w:left w:val="none" w:sz="0" w:space="0" w:color="auto"/>
            <w:bottom w:val="none" w:sz="0" w:space="0" w:color="auto"/>
            <w:right w:val="none" w:sz="0" w:space="0" w:color="auto"/>
          </w:divBdr>
        </w:div>
        <w:div w:id="1911888848">
          <w:marLeft w:val="0"/>
          <w:marRight w:val="0"/>
          <w:marTop w:val="0"/>
          <w:marBottom w:val="0"/>
          <w:divBdr>
            <w:top w:val="none" w:sz="0" w:space="0" w:color="auto"/>
            <w:left w:val="none" w:sz="0" w:space="0" w:color="auto"/>
            <w:bottom w:val="none" w:sz="0" w:space="0" w:color="auto"/>
            <w:right w:val="none" w:sz="0" w:space="0" w:color="auto"/>
          </w:divBdr>
        </w:div>
        <w:div w:id="1807820408">
          <w:marLeft w:val="0"/>
          <w:marRight w:val="0"/>
          <w:marTop w:val="0"/>
          <w:marBottom w:val="0"/>
          <w:divBdr>
            <w:top w:val="none" w:sz="0" w:space="0" w:color="auto"/>
            <w:left w:val="none" w:sz="0" w:space="0" w:color="auto"/>
            <w:bottom w:val="none" w:sz="0" w:space="0" w:color="auto"/>
            <w:right w:val="none" w:sz="0" w:space="0" w:color="auto"/>
          </w:divBdr>
        </w:div>
        <w:div w:id="1393649885">
          <w:marLeft w:val="0"/>
          <w:marRight w:val="0"/>
          <w:marTop w:val="0"/>
          <w:marBottom w:val="0"/>
          <w:divBdr>
            <w:top w:val="none" w:sz="0" w:space="0" w:color="auto"/>
            <w:left w:val="none" w:sz="0" w:space="0" w:color="auto"/>
            <w:bottom w:val="none" w:sz="0" w:space="0" w:color="auto"/>
            <w:right w:val="none" w:sz="0" w:space="0" w:color="auto"/>
          </w:divBdr>
        </w:div>
        <w:div w:id="2101215934">
          <w:marLeft w:val="0"/>
          <w:marRight w:val="0"/>
          <w:marTop w:val="0"/>
          <w:marBottom w:val="0"/>
          <w:divBdr>
            <w:top w:val="none" w:sz="0" w:space="0" w:color="auto"/>
            <w:left w:val="none" w:sz="0" w:space="0" w:color="auto"/>
            <w:bottom w:val="none" w:sz="0" w:space="0" w:color="auto"/>
            <w:right w:val="none" w:sz="0" w:space="0" w:color="auto"/>
          </w:divBdr>
        </w:div>
      </w:divsChild>
    </w:div>
    <w:div w:id="122772148">
      <w:bodyDiv w:val="1"/>
      <w:marLeft w:val="0"/>
      <w:marRight w:val="0"/>
      <w:marTop w:val="0"/>
      <w:marBottom w:val="0"/>
      <w:divBdr>
        <w:top w:val="none" w:sz="0" w:space="0" w:color="auto"/>
        <w:left w:val="none" w:sz="0" w:space="0" w:color="auto"/>
        <w:bottom w:val="none" w:sz="0" w:space="0" w:color="auto"/>
        <w:right w:val="none" w:sz="0" w:space="0" w:color="auto"/>
      </w:divBdr>
    </w:div>
    <w:div w:id="138959912">
      <w:bodyDiv w:val="1"/>
      <w:marLeft w:val="0"/>
      <w:marRight w:val="0"/>
      <w:marTop w:val="0"/>
      <w:marBottom w:val="0"/>
      <w:divBdr>
        <w:top w:val="none" w:sz="0" w:space="0" w:color="auto"/>
        <w:left w:val="none" w:sz="0" w:space="0" w:color="auto"/>
        <w:bottom w:val="none" w:sz="0" w:space="0" w:color="auto"/>
        <w:right w:val="none" w:sz="0" w:space="0" w:color="auto"/>
      </w:divBdr>
      <w:divsChild>
        <w:div w:id="1215777707">
          <w:marLeft w:val="0"/>
          <w:marRight w:val="0"/>
          <w:marTop w:val="180"/>
          <w:marBottom w:val="240"/>
          <w:divBdr>
            <w:top w:val="none" w:sz="0" w:space="0" w:color="auto"/>
            <w:left w:val="none" w:sz="0" w:space="0" w:color="auto"/>
            <w:bottom w:val="none" w:sz="0" w:space="0" w:color="auto"/>
            <w:right w:val="none" w:sz="0" w:space="0" w:color="auto"/>
          </w:divBdr>
        </w:div>
        <w:div w:id="1860698495">
          <w:marLeft w:val="0"/>
          <w:marRight w:val="0"/>
          <w:marTop w:val="360"/>
          <w:marBottom w:val="180"/>
          <w:divBdr>
            <w:top w:val="none" w:sz="0" w:space="0" w:color="auto"/>
            <w:left w:val="none" w:sz="0" w:space="0" w:color="auto"/>
            <w:bottom w:val="none" w:sz="0" w:space="0" w:color="auto"/>
            <w:right w:val="none" w:sz="0" w:space="0" w:color="auto"/>
          </w:divBdr>
        </w:div>
        <w:div w:id="1842548621">
          <w:marLeft w:val="0"/>
          <w:marRight w:val="0"/>
          <w:marTop w:val="360"/>
          <w:marBottom w:val="180"/>
          <w:divBdr>
            <w:top w:val="none" w:sz="0" w:space="0" w:color="auto"/>
            <w:left w:val="none" w:sz="0" w:space="0" w:color="auto"/>
            <w:bottom w:val="none" w:sz="0" w:space="0" w:color="auto"/>
            <w:right w:val="none" w:sz="0" w:space="0" w:color="auto"/>
          </w:divBdr>
        </w:div>
        <w:div w:id="490146053">
          <w:marLeft w:val="0"/>
          <w:marRight w:val="0"/>
          <w:marTop w:val="180"/>
          <w:marBottom w:val="240"/>
          <w:divBdr>
            <w:top w:val="none" w:sz="0" w:space="0" w:color="auto"/>
            <w:left w:val="none" w:sz="0" w:space="0" w:color="auto"/>
            <w:bottom w:val="none" w:sz="0" w:space="0" w:color="auto"/>
            <w:right w:val="none" w:sz="0" w:space="0" w:color="auto"/>
          </w:divBdr>
        </w:div>
      </w:divsChild>
    </w:div>
    <w:div w:id="218445548">
      <w:bodyDiv w:val="1"/>
      <w:marLeft w:val="0"/>
      <w:marRight w:val="0"/>
      <w:marTop w:val="0"/>
      <w:marBottom w:val="0"/>
      <w:divBdr>
        <w:top w:val="none" w:sz="0" w:space="0" w:color="auto"/>
        <w:left w:val="none" w:sz="0" w:space="0" w:color="auto"/>
        <w:bottom w:val="none" w:sz="0" w:space="0" w:color="auto"/>
        <w:right w:val="none" w:sz="0" w:space="0" w:color="auto"/>
      </w:divBdr>
      <w:divsChild>
        <w:div w:id="1632400025">
          <w:marLeft w:val="0"/>
          <w:marRight w:val="0"/>
          <w:marTop w:val="180"/>
          <w:marBottom w:val="240"/>
          <w:divBdr>
            <w:top w:val="none" w:sz="0" w:space="0" w:color="auto"/>
            <w:left w:val="none" w:sz="0" w:space="0" w:color="auto"/>
            <w:bottom w:val="none" w:sz="0" w:space="0" w:color="auto"/>
            <w:right w:val="none" w:sz="0" w:space="0" w:color="auto"/>
          </w:divBdr>
        </w:div>
        <w:div w:id="210962566">
          <w:marLeft w:val="0"/>
          <w:marRight w:val="0"/>
          <w:marTop w:val="360"/>
          <w:marBottom w:val="180"/>
          <w:divBdr>
            <w:top w:val="none" w:sz="0" w:space="0" w:color="auto"/>
            <w:left w:val="none" w:sz="0" w:space="0" w:color="auto"/>
            <w:bottom w:val="none" w:sz="0" w:space="0" w:color="auto"/>
            <w:right w:val="none" w:sz="0" w:space="0" w:color="auto"/>
          </w:divBdr>
        </w:div>
        <w:div w:id="205025060">
          <w:marLeft w:val="0"/>
          <w:marRight w:val="0"/>
          <w:marTop w:val="360"/>
          <w:marBottom w:val="180"/>
          <w:divBdr>
            <w:top w:val="none" w:sz="0" w:space="0" w:color="auto"/>
            <w:left w:val="none" w:sz="0" w:space="0" w:color="auto"/>
            <w:bottom w:val="none" w:sz="0" w:space="0" w:color="auto"/>
            <w:right w:val="none" w:sz="0" w:space="0" w:color="auto"/>
          </w:divBdr>
        </w:div>
        <w:div w:id="1946569393">
          <w:marLeft w:val="0"/>
          <w:marRight w:val="0"/>
          <w:marTop w:val="180"/>
          <w:marBottom w:val="240"/>
          <w:divBdr>
            <w:top w:val="none" w:sz="0" w:space="0" w:color="auto"/>
            <w:left w:val="none" w:sz="0" w:space="0" w:color="auto"/>
            <w:bottom w:val="none" w:sz="0" w:space="0" w:color="auto"/>
            <w:right w:val="none" w:sz="0" w:space="0" w:color="auto"/>
          </w:divBdr>
        </w:div>
        <w:div w:id="2007974692">
          <w:marLeft w:val="0"/>
          <w:marRight w:val="0"/>
          <w:marTop w:val="180"/>
          <w:marBottom w:val="240"/>
          <w:divBdr>
            <w:top w:val="none" w:sz="0" w:space="0" w:color="auto"/>
            <w:left w:val="none" w:sz="0" w:space="0" w:color="auto"/>
            <w:bottom w:val="none" w:sz="0" w:space="0" w:color="auto"/>
            <w:right w:val="none" w:sz="0" w:space="0" w:color="auto"/>
          </w:divBdr>
        </w:div>
        <w:div w:id="1360815044">
          <w:marLeft w:val="0"/>
          <w:marRight w:val="0"/>
          <w:marTop w:val="360"/>
          <w:marBottom w:val="180"/>
          <w:divBdr>
            <w:top w:val="none" w:sz="0" w:space="0" w:color="auto"/>
            <w:left w:val="none" w:sz="0" w:space="0" w:color="auto"/>
            <w:bottom w:val="none" w:sz="0" w:space="0" w:color="auto"/>
            <w:right w:val="none" w:sz="0" w:space="0" w:color="auto"/>
          </w:divBdr>
        </w:div>
        <w:div w:id="1901675112">
          <w:marLeft w:val="0"/>
          <w:marRight w:val="0"/>
          <w:marTop w:val="180"/>
          <w:marBottom w:val="240"/>
          <w:divBdr>
            <w:top w:val="none" w:sz="0" w:space="0" w:color="auto"/>
            <w:left w:val="none" w:sz="0" w:space="0" w:color="auto"/>
            <w:bottom w:val="none" w:sz="0" w:space="0" w:color="auto"/>
            <w:right w:val="none" w:sz="0" w:space="0" w:color="auto"/>
          </w:divBdr>
        </w:div>
        <w:div w:id="962157121">
          <w:marLeft w:val="0"/>
          <w:marRight w:val="0"/>
          <w:marTop w:val="180"/>
          <w:marBottom w:val="240"/>
          <w:divBdr>
            <w:top w:val="none" w:sz="0" w:space="0" w:color="auto"/>
            <w:left w:val="none" w:sz="0" w:space="0" w:color="auto"/>
            <w:bottom w:val="none" w:sz="0" w:space="0" w:color="auto"/>
            <w:right w:val="none" w:sz="0" w:space="0" w:color="auto"/>
          </w:divBdr>
        </w:div>
        <w:div w:id="488136688">
          <w:marLeft w:val="0"/>
          <w:marRight w:val="0"/>
          <w:marTop w:val="360"/>
          <w:marBottom w:val="180"/>
          <w:divBdr>
            <w:top w:val="none" w:sz="0" w:space="0" w:color="auto"/>
            <w:left w:val="none" w:sz="0" w:space="0" w:color="auto"/>
            <w:bottom w:val="none" w:sz="0" w:space="0" w:color="auto"/>
            <w:right w:val="none" w:sz="0" w:space="0" w:color="auto"/>
          </w:divBdr>
        </w:div>
        <w:div w:id="700400406">
          <w:marLeft w:val="0"/>
          <w:marRight w:val="0"/>
          <w:marTop w:val="180"/>
          <w:marBottom w:val="240"/>
          <w:divBdr>
            <w:top w:val="none" w:sz="0" w:space="0" w:color="auto"/>
            <w:left w:val="none" w:sz="0" w:space="0" w:color="auto"/>
            <w:bottom w:val="none" w:sz="0" w:space="0" w:color="auto"/>
            <w:right w:val="none" w:sz="0" w:space="0" w:color="auto"/>
          </w:divBdr>
        </w:div>
        <w:div w:id="36900727">
          <w:marLeft w:val="0"/>
          <w:marRight w:val="0"/>
          <w:marTop w:val="360"/>
          <w:marBottom w:val="180"/>
          <w:divBdr>
            <w:top w:val="none" w:sz="0" w:space="0" w:color="auto"/>
            <w:left w:val="none" w:sz="0" w:space="0" w:color="auto"/>
            <w:bottom w:val="none" w:sz="0" w:space="0" w:color="auto"/>
            <w:right w:val="none" w:sz="0" w:space="0" w:color="auto"/>
          </w:divBdr>
        </w:div>
        <w:div w:id="1323119114">
          <w:marLeft w:val="0"/>
          <w:marRight w:val="0"/>
          <w:marTop w:val="360"/>
          <w:marBottom w:val="180"/>
          <w:divBdr>
            <w:top w:val="none" w:sz="0" w:space="0" w:color="auto"/>
            <w:left w:val="none" w:sz="0" w:space="0" w:color="auto"/>
            <w:bottom w:val="none" w:sz="0" w:space="0" w:color="auto"/>
            <w:right w:val="none" w:sz="0" w:space="0" w:color="auto"/>
          </w:divBdr>
        </w:div>
        <w:div w:id="1260988502">
          <w:marLeft w:val="0"/>
          <w:marRight w:val="0"/>
          <w:marTop w:val="180"/>
          <w:marBottom w:val="240"/>
          <w:divBdr>
            <w:top w:val="none" w:sz="0" w:space="0" w:color="auto"/>
            <w:left w:val="none" w:sz="0" w:space="0" w:color="auto"/>
            <w:bottom w:val="none" w:sz="0" w:space="0" w:color="auto"/>
            <w:right w:val="none" w:sz="0" w:space="0" w:color="auto"/>
          </w:divBdr>
        </w:div>
      </w:divsChild>
    </w:div>
    <w:div w:id="254436350">
      <w:bodyDiv w:val="1"/>
      <w:marLeft w:val="0"/>
      <w:marRight w:val="0"/>
      <w:marTop w:val="0"/>
      <w:marBottom w:val="0"/>
      <w:divBdr>
        <w:top w:val="none" w:sz="0" w:space="0" w:color="auto"/>
        <w:left w:val="none" w:sz="0" w:space="0" w:color="auto"/>
        <w:bottom w:val="none" w:sz="0" w:space="0" w:color="auto"/>
        <w:right w:val="none" w:sz="0" w:space="0" w:color="auto"/>
      </w:divBdr>
      <w:divsChild>
        <w:div w:id="78790224">
          <w:marLeft w:val="0"/>
          <w:marRight w:val="0"/>
          <w:marTop w:val="360"/>
          <w:marBottom w:val="180"/>
          <w:divBdr>
            <w:top w:val="none" w:sz="0" w:space="0" w:color="auto"/>
            <w:left w:val="none" w:sz="0" w:space="0" w:color="auto"/>
            <w:bottom w:val="none" w:sz="0" w:space="0" w:color="auto"/>
            <w:right w:val="none" w:sz="0" w:space="0" w:color="auto"/>
          </w:divBdr>
        </w:div>
        <w:div w:id="664822431">
          <w:marLeft w:val="0"/>
          <w:marRight w:val="0"/>
          <w:marTop w:val="360"/>
          <w:marBottom w:val="180"/>
          <w:divBdr>
            <w:top w:val="none" w:sz="0" w:space="0" w:color="auto"/>
            <w:left w:val="none" w:sz="0" w:space="0" w:color="auto"/>
            <w:bottom w:val="none" w:sz="0" w:space="0" w:color="auto"/>
            <w:right w:val="none" w:sz="0" w:space="0" w:color="auto"/>
          </w:divBdr>
        </w:div>
        <w:div w:id="398553120">
          <w:marLeft w:val="0"/>
          <w:marRight w:val="0"/>
          <w:marTop w:val="180"/>
          <w:marBottom w:val="240"/>
          <w:divBdr>
            <w:top w:val="none" w:sz="0" w:space="0" w:color="auto"/>
            <w:left w:val="none" w:sz="0" w:space="0" w:color="auto"/>
            <w:bottom w:val="none" w:sz="0" w:space="0" w:color="auto"/>
            <w:right w:val="none" w:sz="0" w:space="0" w:color="auto"/>
          </w:divBdr>
        </w:div>
        <w:div w:id="333848867">
          <w:marLeft w:val="0"/>
          <w:marRight w:val="0"/>
          <w:marTop w:val="360"/>
          <w:marBottom w:val="180"/>
          <w:divBdr>
            <w:top w:val="none" w:sz="0" w:space="0" w:color="auto"/>
            <w:left w:val="none" w:sz="0" w:space="0" w:color="auto"/>
            <w:bottom w:val="none" w:sz="0" w:space="0" w:color="auto"/>
            <w:right w:val="none" w:sz="0" w:space="0" w:color="auto"/>
          </w:divBdr>
        </w:div>
        <w:div w:id="1225675352">
          <w:marLeft w:val="0"/>
          <w:marRight w:val="0"/>
          <w:marTop w:val="180"/>
          <w:marBottom w:val="240"/>
          <w:divBdr>
            <w:top w:val="none" w:sz="0" w:space="0" w:color="auto"/>
            <w:left w:val="none" w:sz="0" w:space="0" w:color="auto"/>
            <w:bottom w:val="none" w:sz="0" w:space="0" w:color="auto"/>
            <w:right w:val="none" w:sz="0" w:space="0" w:color="auto"/>
          </w:divBdr>
        </w:div>
      </w:divsChild>
    </w:div>
    <w:div w:id="308633325">
      <w:bodyDiv w:val="1"/>
      <w:marLeft w:val="0"/>
      <w:marRight w:val="0"/>
      <w:marTop w:val="0"/>
      <w:marBottom w:val="0"/>
      <w:divBdr>
        <w:top w:val="none" w:sz="0" w:space="0" w:color="auto"/>
        <w:left w:val="none" w:sz="0" w:space="0" w:color="auto"/>
        <w:bottom w:val="none" w:sz="0" w:space="0" w:color="auto"/>
        <w:right w:val="none" w:sz="0" w:space="0" w:color="auto"/>
      </w:divBdr>
      <w:divsChild>
        <w:div w:id="1814716943">
          <w:marLeft w:val="0"/>
          <w:marRight w:val="0"/>
          <w:marTop w:val="360"/>
          <w:marBottom w:val="180"/>
          <w:divBdr>
            <w:top w:val="none" w:sz="0" w:space="0" w:color="auto"/>
            <w:left w:val="none" w:sz="0" w:space="0" w:color="auto"/>
            <w:bottom w:val="none" w:sz="0" w:space="0" w:color="auto"/>
            <w:right w:val="none" w:sz="0" w:space="0" w:color="auto"/>
          </w:divBdr>
        </w:div>
        <w:div w:id="2018117198">
          <w:marLeft w:val="0"/>
          <w:marRight w:val="0"/>
          <w:marTop w:val="180"/>
          <w:marBottom w:val="240"/>
          <w:divBdr>
            <w:top w:val="none" w:sz="0" w:space="0" w:color="auto"/>
            <w:left w:val="none" w:sz="0" w:space="0" w:color="auto"/>
            <w:bottom w:val="none" w:sz="0" w:space="0" w:color="auto"/>
            <w:right w:val="none" w:sz="0" w:space="0" w:color="auto"/>
          </w:divBdr>
        </w:div>
        <w:div w:id="1509633925">
          <w:marLeft w:val="0"/>
          <w:marRight w:val="0"/>
          <w:marTop w:val="180"/>
          <w:marBottom w:val="240"/>
          <w:divBdr>
            <w:top w:val="none" w:sz="0" w:space="0" w:color="auto"/>
            <w:left w:val="none" w:sz="0" w:space="0" w:color="auto"/>
            <w:bottom w:val="none" w:sz="0" w:space="0" w:color="auto"/>
            <w:right w:val="none" w:sz="0" w:space="0" w:color="auto"/>
          </w:divBdr>
        </w:div>
        <w:div w:id="1594774461">
          <w:marLeft w:val="0"/>
          <w:marRight w:val="0"/>
          <w:marTop w:val="180"/>
          <w:marBottom w:val="240"/>
          <w:divBdr>
            <w:top w:val="none" w:sz="0" w:space="0" w:color="auto"/>
            <w:left w:val="none" w:sz="0" w:space="0" w:color="auto"/>
            <w:bottom w:val="none" w:sz="0" w:space="0" w:color="auto"/>
            <w:right w:val="none" w:sz="0" w:space="0" w:color="auto"/>
          </w:divBdr>
        </w:div>
      </w:divsChild>
    </w:div>
    <w:div w:id="310401674">
      <w:bodyDiv w:val="1"/>
      <w:marLeft w:val="0"/>
      <w:marRight w:val="0"/>
      <w:marTop w:val="0"/>
      <w:marBottom w:val="0"/>
      <w:divBdr>
        <w:top w:val="none" w:sz="0" w:space="0" w:color="auto"/>
        <w:left w:val="none" w:sz="0" w:space="0" w:color="auto"/>
        <w:bottom w:val="none" w:sz="0" w:space="0" w:color="auto"/>
        <w:right w:val="none" w:sz="0" w:space="0" w:color="auto"/>
      </w:divBdr>
      <w:divsChild>
        <w:div w:id="1539078733">
          <w:marLeft w:val="0"/>
          <w:marRight w:val="0"/>
          <w:marTop w:val="360"/>
          <w:marBottom w:val="180"/>
          <w:divBdr>
            <w:top w:val="none" w:sz="0" w:space="0" w:color="auto"/>
            <w:left w:val="none" w:sz="0" w:space="0" w:color="auto"/>
            <w:bottom w:val="none" w:sz="0" w:space="0" w:color="auto"/>
            <w:right w:val="none" w:sz="0" w:space="0" w:color="auto"/>
          </w:divBdr>
        </w:div>
        <w:div w:id="120463571">
          <w:marLeft w:val="0"/>
          <w:marRight w:val="0"/>
          <w:marTop w:val="180"/>
          <w:marBottom w:val="240"/>
          <w:divBdr>
            <w:top w:val="none" w:sz="0" w:space="0" w:color="auto"/>
            <w:left w:val="none" w:sz="0" w:space="0" w:color="auto"/>
            <w:bottom w:val="none" w:sz="0" w:space="0" w:color="auto"/>
            <w:right w:val="none" w:sz="0" w:space="0" w:color="auto"/>
          </w:divBdr>
        </w:div>
        <w:div w:id="1040742367">
          <w:marLeft w:val="0"/>
          <w:marRight w:val="0"/>
          <w:marTop w:val="360"/>
          <w:marBottom w:val="180"/>
          <w:divBdr>
            <w:top w:val="none" w:sz="0" w:space="0" w:color="auto"/>
            <w:left w:val="none" w:sz="0" w:space="0" w:color="auto"/>
            <w:bottom w:val="none" w:sz="0" w:space="0" w:color="auto"/>
            <w:right w:val="none" w:sz="0" w:space="0" w:color="auto"/>
          </w:divBdr>
        </w:div>
        <w:div w:id="1138452357">
          <w:marLeft w:val="0"/>
          <w:marRight w:val="0"/>
          <w:marTop w:val="180"/>
          <w:marBottom w:val="240"/>
          <w:divBdr>
            <w:top w:val="none" w:sz="0" w:space="0" w:color="auto"/>
            <w:left w:val="none" w:sz="0" w:space="0" w:color="auto"/>
            <w:bottom w:val="none" w:sz="0" w:space="0" w:color="auto"/>
            <w:right w:val="none" w:sz="0" w:space="0" w:color="auto"/>
          </w:divBdr>
        </w:div>
      </w:divsChild>
    </w:div>
    <w:div w:id="360254044">
      <w:bodyDiv w:val="1"/>
      <w:marLeft w:val="0"/>
      <w:marRight w:val="0"/>
      <w:marTop w:val="0"/>
      <w:marBottom w:val="0"/>
      <w:divBdr>
        <w:top w:val="none" w:sz="0" w:space="0" w:color="auto"/>
        <w:left w:val="none" w:sz="0" w:space="0" w:color="auto"/>
        <w:bottom w:val="none" w:sz="0" w:space="0" w:color="auto"/>
        <w:right w:val="none" w:sz="0" w:space="0" w:color="auto"/>
      </w:divBdr>
      <w:divsChild>
        <w:div w:id="757748136">
          <w:marLeft w:val="0"/>
          <w:marRight w:val="0"/>
          <w:marTop w:val="360"/>
          <w:marBottom w:val="180"/>
          <w:divBdr>
            <w:top w:val="none" w:sz="0" w:space="0" w:color="auto"/>
            <w:left w:val="none" w:sz="0" w:space="0" w:color="auto"/>
            <w:bottom w:val="none" w:sz="0" w:space="0" w:color="auto"/>
            <w:right w:val="none" w:sz="0" w:space="0" w:color="auto"/>
          </w:divBdr>
        </w:div>
        <w:div w:id="1002585010">
          <w:marLeft w:val="0"/>
          <w:marRight w:val="0"/>
          <w:marTop w:val="180"/>
          <w:marBottom w:val="240"/>
          <w:divBdr>
            <w:top w:val="none" w:sz="0" w:space="0" w:color="auto"/>
            <w:left w:val="none" w:sz="0" w:space="0" w:color="auto"/>
            <w:bottom w:val="none" w:sz="0" w:space="0" w:color="auto"/>
            <w:right w:val="none" w:sz="0" w:space="0" w:color="auto"/>
          </w:divBdr>
        </w:div>
        <w:div w:id="666712107">
          <w:marLeft w:val="0"/>
          <w:marRight w:val="0"/>
          <w:marTop w:val="360"/>
          <w:marBottom w:val="180"/>
          <w:divBdr>
            <w:top w:val="none" w:sz="0" w:space="0" w:color="auto"/>
            <w:left w:val="none" w:sz="0" w:space="0" w:color="auto"/>
            <w:bottom w:val="none" w:sz="0" w:space="0" w:color="auto"/>
            <w:right w:val="none" w:sz="0" w:space="0" w:color="auto"/>
          </w:divBdr>
        </w:div>
        <w:div w:id="1392073388">
          <w:marLeft w:val="0"/>
          <w:marRight w:val="0"/>
          <w:marTop w:val="180"/>
          <w:marBottom w:val="240"/>
          <w:divBdr>
            <w:top w:val="none" w:sz="0" w:space="0" w:color="auto"/>
            <w:left w:val="none" w:sz="0" w:space="0" w:color="auto"/>
            <w:bottom w:val="none" w:sz="0" w:space="0" w:color="auto"/>
            <w:right w:val="none" w:sz="0" w:space="0" w:color="auto"/>
          </w:divBdr>
        </w:div>
      </w:divsChild>
    </w:div>
    <w:div w:id="399593585">
      <w:bodyDiv w:val="1"/>
      <w:marLeft w:val="0"/>
      <w:marRight w:val="0"/>
      <w:marTop w:val="0"/>
      <w:marBottom w:val="0"/>
      <w:divBdr>
        <w:top w:val="none" w:sz="0" w:space="0" w:color="auto"/>
        <w:left w:val="none" w:sz="0" w:space="0" w:color="auto"/>
        <w:bottom w:val="none" w:sz="0" w:space="0" w:color="auto"/>
        <w:right w:val="none" w:sz="0" w:space="0" w:color="auto"/>
      </w:divBdr>
      <w:divsChild>
        <w:div w:id="636570477">
          <w:marLeft w:val="0"/>
          <w:marRight w:val="0"/>
          <w:marTop w:val="360"/>
          <w:marBottom w:val="180"/>
          <w:divBdr>
            <w:top w:val="none" w:sz="0" w:space="0" w:color="auto"/>
            <w:left w:val="none" w:sz="0" w:space="0" w:color="auto"/>
            <w:bottom w:val="none" w:sz="0" w:space="0" w:color="auto"/>
            <w:right w:val="none" w:sz="0" w:space="0" w:color="auto"/>
          </w:divBdr>
        </w:div>
        <w:div w:id="626089191">
          <w:marLeft w:val="0"/>
          <w:marRight w:val="0"/>
          <w:marTop w:val="180"/>
          <w:marBottom w:val="240"/>
          <w:divBdr>
            <w:top w:val="none" w:sz="0" w:space="0" w:color="auto"/>
            <w:left w:val="none" w:sz="0" w:space="0" w:color="auto"/>
            <w:bottom w:val="none" w:sz="0" w:space="0" w:color="auto"/>
            <w:right w:val="none" w:sz="0" w:space="0" w:color="auto"/>
          </w:divBdr>
        </w:div>
        <w:div w:id="589192767">
          <w:marLeft w:val="0"/>
          <w:marRight w:val="0"/>
          <w:marTop w:val="180"/>
          <w:marBottom w:val="240"/>
          <w:divBdr>
            <w:top w:val="none" w:sz="0" w:space="0" w:color="auto"/>
            <w:left w:val="none" w:sz="0" w:space="0" w:color="auto"/>
            <w:bottom w:val="none" w:sz="0" w:space="0" w:color="auto"/>
            <w:right w:val="none" w:sz="0" w:space="0" w:color="auto"/>
          </w:divBdr>
        </w:div>
        <w:div w:id="845099937">
          <w:marLeft w:val="0"/>
          <w:marRight w:val="0"/>
          <w:marTop w:val="360"/>
          <w:marBottom w:val="180"/>
          <w:divBdr>
            <w:top w:val="none" w:sz="0" w:space="0" w:color="auto"/>
            <w:left w:val="none" w:sz="0" w:space="0" w:color="auto"/>
            <w:bottom w:val="none" w:sz="0" w:space="0" w:color="auto"/>
            <w:right w:val="none" w:sz="0" w:space="0" w:color="auto"/>
          </w:divBdr>
        </w:div>
        <w:div w:id="1373581336">
          <w:marLeft w:val="0"/>
          <w:marRight w:val="0"/>
          <w:marTop w:val="180"/>
          <w:marBottom w:val="240"/>
          <w:divBdr>
            <w:top w:val="none" w:sz="0" w:space="0" w:color="auto"/>
            <w:left w:val="none" w:sz="0" w:space="0" w:color="auto"/>
            <w:bottom w:val="none" w:sz="0" w:space="0" w:color="auto"/>
            <w:right w:val="none" w:sz="0" w:space="0" w:color="auto"/>
          </w:divBdr>
        </w:div>
        <w:div w:id="413745109">
          <w:marLeft w:val="0"/>
          <w:marRight w:val="0"/>
          <w:marTop w:val="180"/>
          <w:marBottom w:val="240"/>
          <w:divBdr>
            <w:top w:val="none" w:sz="0" w:space="0" w:color="auto"/>
            <w:left w:val="none" w:sz="0" w:space="0" w:color="auto"/>
            <w:bottom w:val="none" w:sz="0" w:space="0" w:color="auto"/>
            <w:right w:val="none" w:sz="0" w:space="0" w:color="auto"/>
          </w:divBdr>
        </w:div>
        <w:div w:id="1978796155">
          <w:marLeft w:val="0"/>
          <w:marRight w:val="0"/>
          <w:marTop w:val="360"/>
          <w:marBottom w:val="180"/>
          <w:divBdr>
            <w:top w:val="none" w:sz="0" w:space="0" w:color="auto"/>
            <w:left w:val="none" w:sz="0" w:space="0" w:color="auto"/>
            <w:bottom w:val="none" w:sz="0" w:space="0" w:color="auto"/>
            <w:right w:val="none" w:sz="0" w:space="0" w:color="auto"/>
          </w:divBdr>
        </w:div>
        <w:div w:id="1635255894">
          <w:marLeft w:val="0"/>
          <w:marRight w:val="0"/>
          <w:marTop w:val="360"/>
          <w:marBottom w:val="180"/>
          <w:divBdr>
            <w:top w:val="none" w:sz="0" w:space="0" w:color="auto"/>
            <w:left w:val="none" w:sz="0" w:space="0" w:color="auto"/>
            <w:bottom w:val="none" w:sz="0" w:space="0" w:color="auto"/>
            <w:right w:val="none" w:sz="0" w:space="0" w:color="auto"/>
          </w:divBdr>
        </w:div>
        <w:div w:id="663778707">
          <w:marLeft w:val="0"/>
          <w:marRight w:val="0"/>
          <w:marTop w:val="180"/>
          <w:marBottom w:val="240"/>
          <w:divBdr>
            <w:top w:val="none" w:sz="0" w:space="0" w:color="auto"/>
            <w:left w:val="none" w:sz="0" w:space="0" w:color="auto"/>
            <w:bottom w:val="none" w:sz="0" w:space="0" w:color="auto"/>
            <w:right w:val="none" w:sz="0" w:space="0" w:color="auto"/>
          </w:divBdr>
        </w:div>
        <w:div w:id="1121800624">
          <w:marLeft w:val="0"/>
          <w:marRight w:val="0"/>
          <w:marTop w:val="360"/>
          <w:marBottom w:val="180"/>
          <w:divBdr>
            <w:top w:val="none" w:sz="0" w:space="0" w:color="auto"/>
            <w:left w:val="none" w:sz="0" w:space="0" w:color="auto"/>
            <w:bottom w:val="none" w:sz="0" w:space="0" w:color="auto"/>
            <w:right w:val="none" w:sz="0" w:space="0" w:color="auto"/>
          </w:divBdr>
        </w:div>
        <w:div w:id="2078742343">
          <w:marLeft w:val="0"/>
          <w:marRight w:val="0"/>
          <w:marTop w:val="180"/>
          <w:marBottom w:val="240"/>
          <w:divBdr>
            <w:top w:val="none" w:sz="0" w:space="0" w:color="auto"/>
            <w:left w:val="none" w:sz="0" w:space="0" w:color="auto"/>
            <w:bottom w:val="none" w:sz="0" w:space="0" w:color="auto"/>
            <w:right w:val="none" w:sz="0" w:space="0" w:color="auto"/>
          </w:divBdr>
        </w:div>
        <w:div w:id="604387732">
          <w:marLeft w:val="0"/>
          <w:marRight w:val="0"/>
          <w:marTop w:val="360"/>
          <w:marBottom w:val="180"/>
          <w:divBdr>
            <w:top w:val="none" w:sz="0" w:space="0" w:color="auto"/>
            <w:left w:val="none" w:sz="0" w:space="0" w:color="auto"/>
            <w:bottom w:val="none" w:sz="0" w:space="0" w:color="auto"/>
            <w:right w:val="none" w:sz="0" w:space="0" w:color="auto"/>
          </w:divBdr>
        </w:div>
        <w:div w:id="150872243">
          <w:marLeft w:val="0"/>
          <w:marRight w:val="0"/>
          <w:marTop w:val="180"/>
          <w:marBottom w:val="240"/>
          <w:divBdr>
            <w:top w:val="none" w:sz="0" w:space="0" w:color="auto"/>
            <w:left w:val="none" w:sz="0" w:space="0" w:color="auto"/>
            <w:bottom w:val="none" w:sz="0" w:space="0" w:color="auto"/>
            <w:right w:val="none" w:sz="0" w:space="0" w:color="auto"/>
          </w:divBdr>
        </w:div>
        <w:div w:id="35742351">
          <w:marLeft w:val="0"/>
          <w:marRight w:val="0"/>
          <w:marTop w:val="360"/>
          <w:marBottom w:val="180"/>
          <w:divBdr>
            <w:top w:val="none" w:sz="0" w:space="0" w:color="auto"/>
            <w:left w:val="none" w:sz="0" w:space="0" w:color="auto"/>
            <w:bottom w:val="none" w:sz="0" w:space="0" w:color="auto"/>
            <w:right w:val="none" w:sz="0" w:space="0" w:color="auto"/>
          </w:divBdr>
        </w:div>
        <w:div w:id="1034038663">
          <w:marLeft w:val="0"/>
          <w:marRight w:val="0"/>
          <w:marTop w:val="360"/>
          <w:marBottom w:val="180"/>
          <w:divBdr>
            <w:top w:val="none" w:sz="0" w:space="0" w:color="auto"/>
            <w:left w:val="none" w:sz="0" w:space="0" w:color="auto"/>
            <w:bottom w:val="none" w:sz="0" w:space="0" w:color="auto"/>
            <w:right w:val="none" w:sz="0" w:space="0" w:color="auto"/>
          </w:divBdr>
        </w:div>
        <w:div w:id="506212873">
          <w:marLeft w:val="0"/>
          <w:marRight w:val="0"/>
          <w:marTop w:val="180"/>
          <w:marBottom w:val="240"/>
          <w:divBdr>
            <w:top w:val="none" w:sz="0" w:space="0" w:color="auto"/>
            <w:left w:val="none" w:sz="0" w:space="0" w:color="auto"/>
            <w:bottom w:val="none" w:sz="0" w:space="0" w:color="auto"/>
            <w:right w:val="none" w:sz="0" w:space="0" w:color="auto"/>
          </w:divBdr>
        </w:div>
        <w:div w:id="1634674259">
          <w:marLeft w:val="0"/>
          <w:marRight w:val="0"/>
          <w:marTop w:val="360"/>
          <w:marBottom w:val="180"/>
          <w:divBdr>
            <w:top w:val="none" w:sz="0" w:space="0" w:color="auto"/>
            <w:left w:val="none" w:sz="0" w:space="0" w:color="auto"/>
            <w:bottom w:val="none" w:sz="0" w:space="0" w:color="auto"/>
            <w:right w:val="none" w:sz="0" w:space="0" w:color="auto"/>
          </w:divBdr>
        </w:div>
        <w:div w:id="1188720221">
          <w:marLeft w:val="0"/>
          <w:marRight w:val="0"/>
          <w:marTop w:val="180"/>
          <w:marBottom w:val="240"/>
          <w:divBdr>
            <w:top w:val="none" w:sz="0" w:space="0" w:color="auto"/>
            <w:left w:val="none" w:sz="0" w:space="0" w:color="auto"/>
            <w:bottom w:val="none" w:sz="0" w:space="0" w:color="auto"/>
            <w:right w:val="none" w:sz="0" w:space="0" w:color="auto"/>
          </w:divBdr>
        </w:div>
      </w:divsChild>
    </w:div>
    <w:div w:id="443038127">
      <w:bodyDiv w:val="1"/>
      <w:marLeft w:val="0"/>
      <w:marRight w:val="0"/>
      <w:marTop w:val="0"/>
      <w:marBottom w:val="0"/>
      <w:divBdr>
        <w:top w:val="none" w:sz="0" w:space="0" w:color="auto"/>
        <w:left w:val="none" w:sz="0" w:space="0" w:color="auto"/>
        <w:bottom w:val="none" w:sz="0" w:space="0" w:color="auto"/>
        <w:right w:val="none" w:sz="0" w:space="0" w:color="auto"/>
      </w:divBdr>
      <w:divsChild>
        <w:div w:id="332298366">
          <w:marLeft w:val="0"/>
          <w:marRight w:val="0"/>
          <w:marTop w:val="180"/>
          <w:marBottom w:val="240"/>
          <w:divBdr>
            <w:top w:val="none" w:sz="0" w:space="0" w:color="auto"/>
            <w:left w:val="none" w:sz="0" w:space="0" w:color="auto"/>
            <w:bottom w:val="none" w:sz="0" w:space="0" w:color="auto"/>
            <w:right w:val="none" w:sz="0" w:space="0" w:color="auto"/>
          </w:divBdr>
        </w:div>
        <w:div w:id="604508540">
          <w:marLeft w:val="0"/>
          <w:marRight w:val="0"/>
          <w:marTop w:val="180"/>
          <w:marBottom w:val="240"/>
          <w:divBdr>
            <w:top w:val="none" w:sz="0" w:space="0" w:color="auto"/>
            <w:left w:val="none" w:sz="0" w:space="0" w:color="auto"/>
            <w:bottom w:val="none" w:sz="0" w:space="0" w:color="auto"/>
            <w:right w:val="none" w:sz="0" w:space="0" w:color="auto"/>
          </w:divBdr>
        </w:div>
        <w:div w:id="1111701442">
          <w:marLeft w:val="0"/>
          <w:marRight w:val="0"/>
          <w:marTop w:val="360"/>
          <w:marBottom w:val="180"/>
          <w:divBdr>
            <w:top w:val="none" w:sz="0" w:space="0" w:color="auto"/>
            <w:left w:val="none" w:sz="0" w:space="0" w:color="auto"/>
            <w:bottom w:val="none" w:sz="0" w:space="0" w:color="auto"/>
            <w:right w:val="none" w:sz="0" w:space="0" w:color="auto"/>
          </w:divBdr>
        </w:div>
        <w:div w:id="505755029">
          <w:marLeft w:val="0"/>
          <w:marRight w:val="0"/>
          <w:marTop w:val="180"/>
          <w:marBottom w:val="240"/>
          <w:divBdr>
            <w:top w:val="none" w:sz="0" w:space="0" w:color="auto"/>
            <w:left w:val="none" w:sz="0" w:space="0" w:color="auto"/>
            <w:bottom w:val="none" w:sz="0" w:space="0" w:color="auto"/>
            <w:right w:val="none" w:sz="0" w:space="0" w:color="auto"/>
          </w:divBdr>
        </w:div>
        <w:div w:id="701976888">
          <w:marLeft w:val="0"/>
          <w:marRight w:val="0"/>
          <w:marTop w:val="180"/>
          <w:marBottom w:val="240"/>
          <w:divBdr>
            <w:top w:val="none" w:sz="0" w:space="0" w:color="auto"/>
            <w:left w:val="none" w:sz="0" w:space="0" w:color="auto"/>
            <w:bottom w:val="none" w:sz="0" w:space="0" w:color="auto"/>
            <w:right w:val="none" w:sz="0" w:space="0" w:color="auto"/>
          </w:divBdr>
        </w:div>
        <w:div w:id="1754619749">
          <w:marLeft w:val="0"/>
          <w:marRight w:val="0"/>
          <w:marTop w:val="360"/>
          <w:marBottom w:val="180"/>
          <w:divBdr>
            <w:top w:val="none" w:sz="0" w:space="0" w:color="auto"/>
            <w:left w:val="none" w:sz="0" w:space="0" w:color="auto"/>
            <w:bottom w:val="none" w:sz="0" w:space="0" w:color="auto"/>
            <w:right w:val="none" w:sz="0" w:space="0" w:color="auto"/>
          </w:divBdr>
        </w:div>
        <w:div w:id="1247034424">
          <w:marLeft w:val="0"/>
          <w:marRight w:val="0"/>
          <w:marTop w:val="180"/>
          <w:marBottom w:val="240"/>
          <w:divBdr>
            <w:top w:val="none" w:sz="0" w:space="0" w:color="auto"/>
            <w:left w:val="none" w:sz="0" w:space="0" w:color="auto"/>
            <w:bottom w:val="none" w:sz="0" w:space="0" w:color="auto"/>
            <w:right w:val="none" w:sz="0" w:space="0" w:color="auto"/>
          </w:divBdr>
        </w:div>
        <w:div w:id="1146705203">
          <w:marLeft w:val="0"/>
          <w:marRight w:val="0"/>
          <w:marTop w:val="180"/>
          <w:marBottom w:val="240"/>
          <w:divBdr>
            <w:top w:val="none" w:sz="0" w:space="0" w:color="auto"/>
            <w:left w:val="none" w:sz="0" w:space="0" w:color="auto"/>
            <w:bottom w:val="none" w:sz="0" w:space="0" w:color="auto"/>
            <w:right w:val="none" w:sz="0" w:space="0" w:color="auto"/>
          </w:divBdr>
        </w:div>
        <w:div w:id="888959982">
          <w:marLeft w:val="0"/>
          <w:marRight w:val="0"/>
          <w:marTop w:val="180"/>
          <w:marBottom w:val="240"/>
          <w:divBdr>
            <w:top w:val="none" w:sz="0" w:space="0" w:color="auto"/>
            <w:left w:val="none" w:sz="0" w:space="0" w:color="auto"/>
            <w:bottom w:val="none" w:sz="0" w:space="0" w:color="auto"/>
            <w:right w:val="none" w:sz="0" w:space="0" w:color="auto"/>
          </w:divBdr>
        </w:div>
        <w:div w:id="157694146">
          <w:marLeft w:val="0"/>
          <w:marRight w:val="0"/>
          <w:marTop w:val="360"/>
          <w:marBottom w:val="180"/>
          <w:divBdr>
            <w:top w:val="none" w:sz="0" w:space="0" w:color="auto"/>
            <w:left w:val="none" w:sz="0" w:space="0" w:color="auto"/>
            <w:bottom w:val="none" w:sz="0" w:space="0" w:color="auto"/>
            <w:right w:val="none" w:sz="0" w:space="0" w:color="auto"/>
          </w:divBdr>
        </w:div>
        <w:div w:id="351346033">
          <w:marLeft w:val="0"/>
          <w:marRight w:val="0"/>
          <w:marTop w:val="180"/>
          <w:marBottom w:val="240"/>
          <w:divBdr>
            <w:top w:val="none" w:sz="0" w:space="0" w:color="auto"/>
            <w:left w:val="none" w:sz="0" w:space="0" w:color="auto"/>
            <w:bottom w:val="none" w:sz="0" w:space="0" w:color="auto"/>
            <w:right w:val="none" w:sz="0" w:space="0" w:color="auto"/>
          </w:divBdr>
        </w:div>
        <w:div w:id="309409930">
          <w:marLeft w:val="0"/>
          <w:marRight w:val="0"/>
          <w:marTop w:val="360"/>
          <w:marBottom w:val="180"/>
          <w:divBdr>
            <w:top w:val="none" w:sz="0" w:space="0" w:color="auto"/>
            <w:left w:val="none" w:sz="0" w:space="0" w:color="auto"/>
            <w:bottom w:val="none" w:sz="0" w:space="0" w:color="auto"/>
            <w:right w:val="none" w:sz="0" w:space="0" w:color="auto"/>
          </w:divBdr>
        </w:div>
        <w:div w:id="583537256">
          <w:marLeft w:val="0"/>
          <w:marRight w:val="0"/>
          <w:marTop w:val="180"/>
          <w:marBottom w:val="240"/>
          <w:divBdr>
            <w:top w:val="none" w:sz="0" w:space="0" w:color="auto"/>
            <w:left w:val="none" w:sz="0" w:space="0" w:color="auto"/>
            <w:bottom w:val="none" w:sz="0" w:space="0" w:color="auto"/>
            <w:right w:val="none" w:sz="0" w:space="0" w:color="auto"/>
          </w:divBdr>
        </w:div>
      </w:divsChild>
    </w:div>
    <w:div w:id="504784304">
      <w:bodyDiv w:val="1"/>
      <w:marLeft w:val="0"/>
      <w:marRight w:val="0"/>
      <w:marTop w:val="0"/>
      <w:marBottom w:val="0"/>
      <w:divBdr>
        <w:top w:val="none" w:sz="0" w:space="0" w:color="auto"/>
        <w:left w:val="none" w:sz="0" w:space="0" w:color="auto"/>
        <w:bottom w:val="none" w:sz="0" w:space="0" w:color="auto"/>
        <w:right w:val="none" w:sz="0" w:space="0" w:color="auto"/>
      </w:divBdr>
      <w:divsChild>
        <w:div w:id="1705860092">
          <w:marLeft w:val="0"/>
          <w:marRight w:val="0"/>
          <w:marTop w:val="360"/>
          <w:marBottom w:val="180"/>
          <w:divBdr>
            <w:top w:val="none" w:sz="0" w:space="0" w:color="auto"/>
            <w:left w:val="none" w:sz="0" w:space="0" w:color="auto"/>
            <w:bottom w:val="none" w:sz="0" w:space="0" w:color="auto"/>
            <w:right w:val="none" w:sz="0" w:space="0" w:color="auto"/>
          </w:divBdr>
        </w:div>
        <w:div w:id="2072533579">
          <w:marLeft w:val="0"/>
          <w:marRight w:val="0"/>
          <w:marTop w:val="360"/>
          <w:marBottom w:val="180"/>
          <w:divBdr>
            <w:top w:val="none" w:sz="0" w:space="0" w:color="auto"/>
            <w:left w:val="none" w:sz="0" w:space="0" w:color="auto"/>
            <w:bottom w:val="none" w:sz="0" w:space="0" w:color="auto"/>
            <w:right w:val="none" w:sz="0" w:space="0" w:color="auto"/>
          </w:divBdr>
        </w:div>
        <w:div w:id="256640992">
          <w:marLeft w:val="0"/>
          <w:marRight w:val="0"/>
          <w:marTop w:val="180"/>
          <w:marBottom w:val="240"/>
          <w:divBdr>
            <w:top w:val="none" w:sz="0" w:space="0" w:color="auto"/>
            <w:left w:val="none" w:sz="0" w:space="0" w:color="auto"/>
            <w:bottom w:val="none" w:sz="0" w:space="0" w:color="auto"/>
            <w:right w:val="none" w:sz="0" w:space="0" w:color="auto"/>
          </w:divBdr>
        </w:div>
      </w:divsChild>
    </w:div>
    <w:div w:id="535701198">
      <w:bodyDiv w:val="1"/>
      <w:marLeft w:val="0"/>
      <w:marRight w:val="0"/>
      <w:marTop w:val="0"/>
      <w:marBottom w:val="0"/>
      <w:divBdr>
        <w:top w:val="none" w:sz="0" w:space="0" w:color="auto"/>
        <w:left w:val="none" w:sz="0" w:space="0" w:color="auto"/>
        <w:bottom w:val="none" w:sz="0" w:space="0" w:color="auto"/>
        <w:right w:val="none" w:sz="0" w:space="0" w:color="auto"/>
      </w:divBdr>
      <w:divsChild>
        <w:div w:id="1733118403">
          <w:marLeft w:val="0"/>
          <w:marRight w:val="0"/>
          <w:marTop w:val="360"/>
          <w:marBottom w:val="180"/>
          <w:divBdr>
            <w:top w:val="none" w:sz="0" w:space="0" w:color="auto"/>
            <w:left w:val="none" w:sz="0" w:space="0" w:color="auto"/>
            <w:bottom w:val="none" w:sz="0" w:space="0" w:color="auto"/>
            <w:right w:val="none" w:sz="0" w:space="0" w:color="auto"/>
          </w:divBdr>
        </w:div>
        <w:div w:id="1431513359">
          <w:marLeft w:val="0"/>
          <w:marRight w:val="0"/>
          <w:marTop w:val="360"/>
          <w:marBottom w:val="180"/>
          <w:divBdr>
            <w:top w:val="none" w:sz="0" w:space="0" w:color="auto"/>
            <w:left w:val="none" w:sz="0" w:space="0" w:color="auto"/>
            <w:bottom w:val="none" w:sz="0" w:space="0" w:color="auto"/>
            <w:right w:val="none" w:sz="0" w:space="0" w:color="auto"/>
          </w:divBdr>
        </w:div>
        <w:div w:id="1119178541">
          <w:marLeft w:val="0"/>
          <w:marRight w:val="0"/>
          <w:marTop w:val="180"/>
          <w:marBottom w:val="240"/>
          <w:divBdr>
            <w:top w:val="none" w:sz="0" w:space="0" w:color="auto"/>
            <w:left w:val="none" w:sz="0" w:space="0" w:color="auto"/>
            <w:bottom w:val="none" w:sz="0" w:space="0" w:color="auto"/>
            <w:right w:val="none" w:sz="0" w:space="0" w:color="auto"/>
          </w:divBdr>
        </w:div>
      </w:divsChild>
    </w:div>
    <w:div w:id="537133699">
      <w:bodyDiv w:val="1"/>
      <w:marLeft w:val="0"/>
      <w:marRight w:val="0"/>
      <w:marTop w:val="0"/>
      <w:marBottom w:val="0"/>
      <w:divBdr>
        <w:top w:val="none" w:sz="0" w:space="0" w:color="auto"/>
        <w:left w:val="none" w:sz="0" w:space="0" w:color="auto"/>
        <w:bottom w:val="none" w:sz="0" w:space="0" w:color="auto"/>
        <w:right w:val="none" w:sz="0" w:space="0" w:color="auto"/>
      </w:divBdr>
      <w:divsChild>
        <w:div w:id="1467553254">
          <w:marLeft w:val="0"/>
          <w:marRight w:val="0"/>
          <w:marTop w:val="180"/>
          <w:marBottom w:val="240"/>
          <w:divBdr>
            <w:top w:val="none" w:sz="0" w:space="0" w:color="auto"/>
            <w:left w:val="none" w:sz="0" w:space="0" w:color="auto"/>
            <w:bottom w:val="none" w:sz="0" w:space="0" w:color="auto"/>
            <w:right w:val="none" w:sz="0" w:space="0" w:color="auto"/>
          </w:divBdr>
        </w:div>
      </w:divsChild>
    </w:div>
    <w:div w:id="549071622">
      <w:bodyDiv w:val="1"/>
      <w:marLeft w:val="0"/>
      <w:marRight w:val="0"/>
      <w:marTop w:val="0"/>
      <w:marBottom w:val="0"/>
      <w:divBdr>
        <w:top w:val="none" w:sz="0" w:space="0" w:color="auto"/>
        <w:left w:val="none" w:sz="0" w:space="0" w:color="auto"/>
        <w:bottom w:val="none" w:sz="0" w:space="0" w:color="auto"/>
        <w:right w:val="none" w:sz="0" w:space="0" w:color="auto"/>
      </w:divBdr>
      <w:divsChild>
        <w:div w:id="1161654842">
          <w:marLeft w:val="0"/>
          <w:marRight w:val="0"/>
          <w:marTop w:val="360"/>
          <w:marBottom w:val="180"/>
          <w:divBdr>
            <w:top w:val="none" w:sz="0" w:space="0" w:color="auto"/>
            <w:left w:val="none" w:sz="0" w:space="0" w:color="auto"/>
            <w:bottom w:val="none" w:sz="0" w:space="0" w:color="auto"/>
            <w:right w:val="none" w:sz="0" w:space="0" w:color="auto"/>
          </w:divBdr>
        </w:div>
        <w:div w:id="1146973944">
          <w:marLeft w:val="0"/>
          <w:marRight w:val="0"/>
          <w:marTop w:val="180"/>
          <w:marBottom w:val="240"/>
          <w:divBdr>
            <w:top w:val="none" w:sz="0" w:space="0" w:color="auto"/>
            <w:left w:val="none" w:sz="0" w:space="0" w:color="auto"/>
            <w:bottom w:val="none" w:sz="0" w:space="0" w:color="auto"/>
            <w:right w:val="none" w:sz="0" w:space="0" w:color="auto"/>
          </w:divBdr>
        </w:div>
        <w:div w:id="1213231670">
          <w:marLeft w:val="0"/>
          <w:marRight w:val="0"/>
          <w:marTop w:val="360"/>
          <w:marBottom w:val="180"/>
          <w:divBdr>
            <w:top w:val="none" w:sz="0" w:space="0" w:color="auto"/>
            <w:left w:val="none" w:sz="0" w:space="0" w:color="auto"/>
            <w:bottom w:val="none" w:sz="0" w:space="0" w:color="auto"/>
            <w:right w:val="none" w:sz="0" w:space="0" w:color="auto"/>
          </w:divBdr>
        </w:div>
        <w:div w:id="599143717">
          <w:marLeft w:val="0"/>
          <w:marRight w:val="0"/>
          <w:marTop w:val="360"/>
          <w:marBottom w:val="180"/>
          <w:divBdr>
            <w:top w:val="none" w:sz="0" w:space="0" w:color="auto"/>
            <w:left w:val="none" w:sz="0" w:space="0" w:color="auto"/>
            <w:bottom w:val="none" w:sz="0" w:space="0" w:color="auto"/>
            <w:right w:val="none" w:sz="0" w:space="0" w:color="auto"/>
          </w:divBdr>
        </w:div>
      </w:divsChild>
    </w:div>
    <w:div w:id="554043902">
      <w:bodyDiv w:val="1"/>
      <w:marLeft w:val="0"/>
      <w:marRight w:val="0"/>
      <w:marTop w:val="0"/>
      <w:marBottom w:val="0"/>
      <w:divBdr>
        <w:top w:val="none" w:sz="0" w:space="0" w:color="auto"/>
        <w:left w:val="none" w:sz="0" w:space="0" w:color="auto"/>
        <w:bottom w:val="none" w:sz="0" w:space="0" w:color="auto"/>
        <w:right w:val="none" w:sz="0" w:space="0" w:color="auto"/>
      </w:divBdr>
      <w:divsChild>
        <w:div w:id="1973366368">
          <w:marLeft w:val="0"/>
          <w:marRight w:val="0"/>
          <w:marTop w:val="360"/>
          <w:marBottom w:val="180"/>
          <w:divBdr>
            <w:top w:val="none" w:sz="0" w:space="0" w:color="auto"/>
            <w:left w:val="none" w:sz="0" w:space="0" w:color="auto"/>
            <w:bottom w:val="none" w:sz="0" w:space="0" w:color="auto"/>
            <w:right w:val="none" w:sz="0" w:space="0" w:color="auto"/>
          </w:divBdr>
        </w:div>
        <w:div w:id="1084104827">
          <w:marLeft w:val="0"/>
          <w:marRight w:val="0"/>
          <w:marTop w:val="180"/>
          <w:marBottom w:val="240"/>
          <w:divBdr>
            <w:top w:val="none" w:sz="0" w:space="0" w:color="auto"/>
            <w:left w:val="none" w:sz="0" w:space="0" w:color="auto"/>
            <w:bottom w:val="none" w:sz="0" w:space="0" w:color="auto"/>
            <w:right w:val="none" w:sz="0" w:space="0" w:color="auto"/>
          </w:divBdr>
        </w:div>
      </w:divsChild>
    </w:div>
    <w:div w:id="556207443">
      <w:bodyDiv w:val="1"/>
      <w:marLeft w:val="0"/>
      <w:marRight w:val="0"/>
      <w:marTop w:val="0"/>
      <w:marBottom w:val="0"/>
      <w:divBdr>
        <w:top w:val="none" w:sz="0" w:space="0" w:color="auto"/>
        <w:left w:val="none" w:sz="0" w:space="0" w:color="auto"/>
        <w:bottom w:val="none" w:sz="0" w:space="0" w:color="auto"/>
        <w:right w:val="none" w:sz="0" w:space="0" w:color="auto"/>
      </w:divBdr>
      <w:divsChild>
        <w:div w:id="1085226853">
          <w:marLeft w:val="0"/>
          <w:marRight w:val="0"/>
          <w:marTop w:val="360"/>
          <w:marBottom w:val="180"/>
          <w:divBdr>
            <w:top w:val="none" w:sz="0" w:space="0" w:color="auto"/>
            <w:left w:val="none" w:sz="0" w:space="0" w:color="auto"/>
            <w:bottom w:val="none" w:sz="0" w:space="0" w:color="auto"/>
            <w:right w:val="none" w:sz="0" w:space="0" w:color="auto"/>
          </w:divBdr>
        </w:div>
        <w:div w:id="665595450">
          <w:marLeft w:val="0"/>
          <w:marRight w:val="0"/>
          <w:marTop w:val="180"/>
          <w:marBottom w:val="240"/>
          <w:divBdr>
            <w:top w:val="none" w:sz="0" w:space="0" w:color="auto"/>
            <w:left w:val="none" w:sz="0" w:space="0" w:color="auto"/>
            <w:bottom w:val="none" w:sz="0" w:space="0" w:color="auto"/>
            <w:right w:val="none" w:sz="0" w:space="0" w:color="auto"/>
          </w:divBdr>
        </w:div>
        <w:div w:id="1843274628">
          <w:marLeft w:val="0"/>
          <w:marRight w:val="0"/>
          <w:marTop w:val="360"/>
          <w:marBottom w:val="180"/>
          <w:divBdr>
            <w:top w:val="none" w:sz="0" w:space="0" w:color="auto"/>
            <w:left w:val="none" w:sz="0" w:space="0" w:color="auto"/>
            <w:bottom w:val="none" w:sz="0" w:space="0" w:color="auto"/>
            <w:right w:val="none" w:sz="0" w:space="0" w:color="auto"/>
          </w:divBdr>
        </w:div>
        <w:div w:id="179130854">
          <w:marLeft w:val="0"/>
          <w:marRight w:val="0"/>
          <w:marTop w:val="360"/>
          <w:marBottom w:val="180"/>
          <w:divBdr>
            <w:top w:val="none" w:sz="0" w:space="0" w:color="auto"/>
            <w:left w:val="none" w:sz="0" w:space="0" w:color="auto"/>
            <w:bottom w:val="none" w:sz="0" w:space="0" w:color="auto"/>
            <w:right w:val="none" w:sz="0" w:space="0" w:color="auto"/>
          </w:divBdr>
        </w:div>
        <w:div w:id="69887841">
          <w:marLeft w:val="0"/>
          <w:marRight w:val="0"/>
          <w:marTop w:val="180"/>
          <w:marBottom w:val="240"/>
          <w:divBdr>
            <w:top w:val="none" w:sz="0" w:space="0" w:color="auto"/>
            <w:left w:val="none" w:sz="0" w:space="0" w:color="auto"/>
            <w:bottom w:val="none" w:sz="0" w:space="0" w:color="auto"/>
            <w:right w:val="none" w:sz="0" w:space="0" w:color="auto"/>
          </w:divBdr>
        </w:div>
        <w:div w:id="281151179">
          <w:marLeft w:val="0"/>
          <w:marRight w:val="0"/>
          <w:marTop w:val="180"/>
          <w:marBottom w:val="240"/>
          <w:divBdr>
            <w:top w:val="none" w:sz="0" w:space="0" w:color="auto"/>
            <w:left w:val="none" w:sz="0" w:space="0" w:color="auto"/>
            <w:bottom w:val="none" w:sz="0" w:space="0" w:color="auto"/>
            <w:right w:val="none" w:sz="0" w:space="0" w:color="auto"/>
          </w:divBdr>
        </w:div>
        <w:div w:id="384987369">
          <w:marLeft w:val="0"/>
          <w:marRight w:val="0"/>
          <w:marTop w:val="360"/>
          <w:marBottom w:val="180"/>
          <w:divBdr>
            <w:top w:val="none" w:sz="0" w:space="0" w:color="auto"/>
            <w:left w:val="none" w:sz="0" w:space="0" w:color="auto"/>
            <w:bottom w:val="none" w:sz="0" w:space="0" w:color="auto"/>
            <w:right w:val="none" w:sz="0" w:space="0" w:color="auto"/>
          </w:divBdr>
        </w:div>
        <w:div w:id="1236551109">
          <w:marLeft w:val="0"/>
          <w:marRight w:val="0"/>
          <w:marTop w:val="180"/>
          <w:marBottom w:val="240"/>
          <w:divBdr>
            <w:top w:val="none" w:sz="0" w:space="0" w:color="auto"/>
            <w:left w:val="none" w:sz="0" w:space="0" w:color="auto"/>
            <w:bottom w:val="none" w:sz="0" w:space="0" w:color="auto"/>
            <w:right w:val="none" w:sz="0" w:space="0" w:color="auto"/>
          </w:divBdr>
        </w:div>
      </w:divsChild>
    </w:div>
    <w:div w:id="590771648">
      <w:bodyDiv w:val="1"/>
      <w:marLeft w:val="0"/>
      <w:marRight w:val="0"/>
      <w:marTop w:val="0"/>
      <w:marBottom w:val="0"/>
      <w:divBdr>
        <w:top w:val="none" w:sz="0" w:space="0" w:color="auto"/>
        <w:left w:val="none" w:sz="0" w:space="0" w:color="auto"/>
        <w:bottom w:val="none" w:sz="0" w:space="0" w:color="auto"/>
        <w:right w:val="none" w:sz="0" w:space="0" w:color="auto"/>
      </w:divBdr>
      <w:divsChild>
        <w:div w:id="2113891879">
          <w:marLeft w:val="0"/>
          <w:marRight w:val="0"/>
          <w:marTop w:val="360"/>
          <w:marBottom w:val="180"/>
          <w:divBdr>
            <w:top w:val="none" w:sz="0" w:space="0" w:color="auto"/>
            <w:left w:val="none" w:sz="0" w:space="0" w:color="auto"/>
            <w:bottom w:val="none" w:sz="0" w:space="0" w:color="auto"/>
            <w:right w:val="none" w:sz="0" w:space="0" w:color="auto"/>
          </w:divBdr>
        </w:div>
        <w:div w:id="1999796843">
          <w:marLeft w:val="0"/>
          <w:marRight w:val="0"/>
          <w:marTop w:val="180"/>
          <w:marBottom w:val="240"/>
          <w:divBdr>
            <w:top w:val="none" w:sz="0" w:space="0" w:color="auto"/>
            <w:left w:val="none" w:sz="0" w:space="0" w:color="auto"/>
            <w:bottom w:val="none" w:sz="0" w:space="0" w:color="auto"/>
            <w:right w:val="none" w:sz="0" w:space="0" w:color="auto"/>
          </w:divBdr>
        </w:div>
        <w:div w:id="334848121">
          <w:marLeft w:val="0"/>
          <w:marRight w:val="0"/>
          <w:marTop w:val="180"/>
          <w:marBottom w:val="240"/>
          <w:divBdr>
            <w:top w:val="none" w:sz="0" w:space="0" w:color="auto"/>
            <w:left w:val="none" w:sz="0" w:space="0" w:color="auto"/>
            <w:bottom w:val="none" w:sz="0" w:space="0" w:color="auto"/>
            <w:right w:val="none" w:sz="0" w:space="0" w:color="auto"/>
          </w:divBdr>
        </w:div>
      </w:divsChild>
    </w:div>
    <w:div w:id="627318431">
      <w:bodyDiv w:val="1"/>
      <w:marLeft w:val="0"/>
      <w:marRight w:val="0"/>
      <w:marTop w:val="0"/>
      <w:marBottom w:val="0"/>
      <w:divBdr>
        <w:top w:val="none" w:sz="0" w:space="0" w:color="auto"/>
        <w:left w:val="none" w:sz="0" w:space="0" w:color="auto"/>
        <w:bottom w:val="none" w:sz="0" w:space="0" w:color="auto"/>
        <w:right w:val="none" w:sz="0" w:space="0" w:color="auto"/>
      </w:divBdr>
      <w:divsChild>
        <w:div w:id="1014258976">
          <w:marLeft w:val="0"/>
          <w:marRight w:val="0"/>
          <w:marTop w:val="360"/>
          <w:marBottom w:val="180"/>
          <w:divBdr>
            <w:top w:val="none" w:sz="0" w:space="0" w:color="auto"/>
            <w:left w:val="none" w:sz="0" w:space="0" w:color="auto"/>
            <w:bottom w:val="none" w:sz="0" w:space="0" w:color="auto"/>
            <w:right w:val="none" w:sz="0" w:space="0" w:color="auto"/>
          </w:divBdr>
        </w:div>
        <w:div w:id="969364330">
          <w:marLeft w:val="0"/>
          <w:marRight w:val="0"/>
          <w:marTop w:val="180"/>
          <w:marBottom w:val="240"/>
          <w:divBdr>
            <w:top w:val="none" w:sz="0" w:space="0" w:color="auto"/>
            <w:left w:val="none" w:sz="0" w:space="0" w:color="auto"/>
            <w:bottom w:val="none" w:sz="0" w:space="0" w:color="auto"/>
            <w:right w:val="none" w:sz="0" w:space="0" w:color="auto"/>
          </w:divBdr>
        </w:div>
        <w:div w:id="296565479">
          <w:marLeft w:val="0"/>
          <w:marRight w:val="0"/>
          <w:marTop w:val="360"/>
          <w:marBottom w:val="180"/>
          <w:divBdr>
            <w:top w:val="none" w:sz="0" w:space="0" w:color="auto"/>
            <w:left w:val="none" w:sz="0" w:space="0" w:color="auto"/>
            <w:bottom w:val="none" w:sz="0" w:space="0" w:color="auto"/>
            <w:right w:val="none" w:sz="0" w:space="0" w:color="auto"/>
          </w:divBdr>
        </w:div>
        <w:div w:id="1262763851">
          <w:marLeft w:val="0"/>
          <w:marRight w:val="0"/>
          <w:marTop w:val="180"/>
          <w:marBottom w:val="240"/>
          <w:divBdr>
            <w:top w:val="none" w:sz="0" w:space="0" w:color="auto"/>
            <w:left w:val="none" w:sz="0" w:space="0" w:color="auto"/>
            <w:bottom w:val="none" w:sz="0" w:space="0" w:color="auto"/>
            <w:right w:val="none" w:sz="0" w:space="0" w:color="auto"/>
          </w:divBdr>
        </w:div>
        <w:div w:id="362629686">
          <w:marLeft w:val="0"/>
          <w:marRight w:val="0"/>
          <w:marTop w:val="360"/>
          <w:marBottom w:val="180"/>
          <w:divBdr>
            <w:top w:val="none" w:sz="0" w:space="0" w:color="auto"/>
            <w:left w:val="none" w:sz="0" w:space="0" w:color="auto"/>
            <w:bottom w:val="none" w:sz="0" w:space="0" w:color="auto"/>
            <w:right w:val="none" w:sz="0" w:space="0" w:color="auto"/>
          </w:divBdr>
        </w:div>
        <w:div w:id="696659950">
          <w:marLeft w:val="0"/>
          <w:marRight w:val="0"/>
          <w:marTop w:val="180"/>
          <w:marBottom w:val="240"/>
          <w:divBdr>
            <w:top w:val="none" w:sz="0" w:space="0" w:color="auto"/>
            <w:left w:val="none" w:sz="0" w:space="0" w:color="auto"/>
            <w:bottom w:val="none" w:sz="0" w:space="0" w:color="auto"/>
            <w:right w:val="none" w:sz="0" w:space="0" w:color="auto"/>
          </w:divBdr>
        </w:div>
      </w:divsChild>
    </w:div>
    <w:div w:id="635447971">
      <w:bodyDiv w:val="1"/>
      <w:marLeft w:val="0"/>
      <w:marRight w:val="0"/>
      <w:marTop w:val="0"/>
      <w:marBottom w:val="0"/>
      <w:divBdr>
        <w:top w:val="none" w:sz="0" w:space="0" w:color="auto"/>
        <w:left w:val="none" w:sz="0" w:space="0" w:color="auto"/>
        <w:bottom w:val="none" w:sz="0" w:space="0" w:color="auto"/>
        <w:right w:val="none" w:sz="0" w:space="0" w:color="auto"/>
      </w:divBdr>
      <w:divsChild>
        <w:div w:id="1341276329">
          <w:marLeft w:val="0"/>
          <w:marRight w:val="0"/>
          <w:marTop w:val="360"/>
          <w:marBottom w:val="180"/>
          <w:divBdr>
            <w:top w:val="none" w:sz="0" w:space="0" w:color="auto"/>
            <w:left w:val="none" w:sz="0" w:space="0" w:color="auto"/>
            <w:bottom w:val="none" w:sz="0" w:space="0" w:color="auto"/>
            <w:right w:val="none" w:sz="0" w:space="0" w:color="auto"/>
          </w:divBdr>
        </w:div>
        <w:div w:id="505899376">
          <w:marLeft w:val="0"/>
          <w:marRight w:val="0"/>
          <w:marTop w:val="180"/>
          <w:marBottom w:val="240"/>
          <w:divBdr>
            <w:top w:val="none" w:sz="0" w:space="0" w:color="auto"/>
            <w:left w:val="none" w:sz="0" w:space="0" w:color="auto"/>
            <w:bottom w:val="none" w:sz="0" w:space="0" w:color="auto"/>
            <w:right w:val="none" w:sz="0" w:space="0" w:color="auto"/>
          </w:divBdr>
        </w:div>
      </w:divsChild>
    </w:div>
    <w:div w:id="650066065">
      <w:bodyDiv w:val="1"/>
      <w:marLeft w:val="0"/>
      <w:marRight w:val="0"/>
      <w:marTop w:val="0"/>
      <w:marBottom w:val="0"/>
      <w:divBdr>
        <w:top w:val="none" w:sz="0" w:space="0" w:color="auto"/>
        <w:left w:val="none" w:sz="0" w:space="0" w:color="auto"/>
        <w:bottom w:val="none" w:sz="0" w:space="0" w:color="auto"/>
        <w:right w:val="none" w:sz="0" w:space="0" w:color="auto"/>
      </w:divBdr>
      <w:divsChild>
        <w:div w:id="520245977">
          <w:marLeft w:val="0"/>
          <w:marRight w:val="0"/>
          <w:marTop w:val="360"/>
          <w:marBottom w:val="180"/>
          <w:divBdr>
            <w:top w:val="none" w:sz="0" w:space="0" w:color="auto"/>
            <w:left w:val="none" w:sz="0" w:space="0" w:color="auto"/>
            <w:bottom w:val="none" w:sz="0" w:space="0" w:color="auto"/>
            <w:right w:val="none" w:sz="0" w:space="0" w:color="auto"/>
          </w:divBdr>
        </w:div>
        <w:div w:id="1773745925">
          <w:marLeft w:val="0"/>
          <w:marRight w:val="0"/>
          <w:marTop w:val="180"/>
          <w:marBottom w:val="240"/>
          <w:divBdr>
            <w:top w:val="none" w:sz="0" w:space="0" w:color="auto"/>
            <w:left w:val="none" w:sz="0" w:space="0" w:color="auto"/>
            <w:bottom w:val="none" w:sz="0" w:space="0" w:color="auto"/>
            <w:right w:val="none" w:sz="0" w:space="0" w:color="auto"/>
          </w:divBdr>
        </w:div>
        <w:div w:id="1102722708">
          <w:marLeft w:val="0"/>
          <w:marRight w:val="0"/>
          <w:marTop w:val="180"/>
          <w:marBottom w:val="240"/>
          <w:divBdr>
            <w:top w:val="none" w:sz="0" w:space="0" w:color="auto"/>
            <w:left w:val="none" w:sz="0" w:space="0" w:color="auto"/>
            <w:bottom w:val="none" w:sz="0" w:space="0" w:color="auto"/>
            <w:right w:val="none" w:sz="0" w:space="0" w:color="auto"/>
          </w:divBdr>
        </w:div>
        <w:div w:id="1774402245">
          <w:marLeft w:val="0"/>
          <w:marRight w:val="0"/>
          <w:marTop w:val="360"/>
          <w:marBottom w:val="180"/>
          <w:divBdr>
            <w:top w:val="none" w:sz="0" w:space="0" w:color="auto"/>
            <w:left w:val="none" w:sz="0" w:space="0" w:color="auto"/>
            <w:bottom w:val="none" w:sz="0" w:space="0" w:color="auto"/>
            <w:right w:val="none" w:sz="0" w:space="0" w:color="auto"/>
          </w:divBdr>
        </w:div>
        <w:div w:id="606889909">
          <w:marLeft w:val="0"/>
          <w:marRight w:val="0"/>
          <w:marTop w:val="180"/>
          <w:marBottom w:val="240"/>
          <w:divBdr>
            <w:top w:val="none" w:sz="0" w:space="0" w:color="auto"/>
            <w:left w:val="none" w:sz="0" w:space="0" w:color="auto"/>
            <w:bottom w:val="none" w:sz="0" w:space="0" w:color="auto"/>
            <w:right w:val="none" w:sz="0" w:space="0" w:color="auto"/>
          </w:divBdr>
        </w:div>
        <w:div w:id="633367134">
          <w:marLeft w:val="0"/>
          <w:marRight w:val="0"/>
          <w:marTop w:val="180"/>
          <w:marBottom w:val="240"/>
          <w:divBdr>
            <w:top w:val="none" w:sz="0" w:space="0" w:color="auto"/>
            <w:left w:val="none" w:sz="0" w:space="0" w:color="auto"/>
            <w:bottom w:val="none" w:sz="0" w:space="0" w:color="auto"/>
            <w:right w:val="none" w:sz="0" w:space="0" w:color="auto"/>
          </w:divBdr>
        </w:div>
        <w:div w:id="1210649063">
          <w:marLeft w:val="0"/>
          <w:marRight w:val="0"/>
          <w:marTop w:val="360"/>
          <w:marBottom w:val="180"/>
          <w:divBdr>
            <w:top w:val="none" w:sz="0" w:space="0" w:color="auto"/>
            <w:left w:val="none" w:sz="0" w:space="0" w:color="auto"/>
            <w:bottom w:val="none" w:sz="0" w:space="0" w:color="auto"/>
            <w:right w:val="none" w:sz="0" w:space="0" w:color="auto"/>
          </w:divBdr>
        </w:div>
        <w:div w:id="2125728381">
          <w:marLeft w:val="0"/>
          <w:marRight w:val="0"/>
          <w:marTop w:val="360"/>
          <w:marBottom w:val="180"/>
          <w:divBdr>
            <w:top w:val="none" w:sz="0" w:space="0" w:color="auto"/>
            <w:left w:val="none" w:sz="0" w:space="0" w:color="auto"/>
            <w:bottom w:val="none" w:sz="0" w:space="0" w:color="auto"/>
            <w:right w:val="none" w:sz="0" w:space="0" w:color="auto"/>
          </w:divBdr>
        </w:div>
        <w:div w:id="1595630550">
          <w:marLeft w:val="0"/>
          <w:marRight w:val="0"/>
          <w:marTop w:val="180"/>
          <w:marBottom w:val="240"/>
          <w:divBdr>
            <w:top w:val="none" w:sz="0" w:space="0" w:color="auto"/>
            <w:left w:val="none" w:sz="0" w:space="0" w:color="auto"/>
            <w:bottom w:val="none" w:sz="0" w:space="0" w:color="auto"/>
            <w:right w:val="none" w:sz="0" w:space="0" w:color="auto"/>
          </w:divBdr>
        </w:div>
        <w:div w:id="883642203">
          <w:marLeft w:val="0"/>
          <w:marRight w:val="0"/>
          <w:marTop w:val="360"/>
          <w:marBottom w:val="180"/>
          <w:divBdr>
            <w:top w:val="none" w:sz="0" w:space="0" w:color="auto"/>
            <w:left w:val="none" w:sz="0" w:space="0" w:color="auto"/>
            <w:bottom w:val="none" w:sz="0" w:space="0" w:color="auto"/>
            <w:right w:val="none" w:sz="0" w:space="0" w:color="auto"/>
          </w:divBdr>
        </w:div>
        <w:div w:id="1830243685">
          <w:marLeft w:val="0"/>
          <w:marRight w:val="0"/>
          <w:marTop w:val="180"/>
          <w:marBottom w:val="240"/>
          <w:divBdr>
            <w:top w:val="none" w:sz="0" w:space="0" w:color="auto"/>
            <w:left w:val="none" w:sz="0" w:space="0" w:color="auto"/>
            <w:bottom w:val="none" w:sz="0" w:space="0" w:color="auto"/>
            <w:right w:val="none" w:sz="0" w:space="0" w:color="auto"/>
          </w:divBdr>
        </w:div>
        <w:div w:id="2023431936">
          <w:marLeft w:val="0"/>
          <w:marRight w:val="0"/>
          <w:marTop w:val="360"/>
          <w:marBottom w:val="180"/>
          <w:divBdr>
            <w:top w:val="none" w:sz="0" w:space="0" w:color="auto"/>
            <w:left w:val="none" w:sz="0" w:space="0" w:color="auto"/>
            <w:bottom w:val="none" w:sz="0" w:space="0" w:color="auto"/>
            <w:right w:val="none" w:sz="0" w:space="0" w:color="auto"/>
          </w:divBdr>
        </w:div>
        <w:div w:id="1720131305">
          <w:marLeft w:val="0"/>
          <w:marRight w:val="0"/>
          <w:marTop w:val="180"/>
          <w:marBottom w:val="240"/>
          <w:divBdr>
            <w:top w:val="none" w:sz="0" w:space="0" w:color="auto"/>
            <w:left w:val="none" w:sz="0" w:space="0" w:color="auto"/>
            <w:bottom w:val="none" w:sz="0" w:space="0" w:color="auto"/>
            <w:right w:val="none" w:sz="0" w:space="0" w:color="auto"/>
          </w:divBdr>
        </w:div>
        <w:div w:id="1360737622">
          <w:marLeft w:val="0"/>
          <w:marRight w:val="0"/>
          <w:marTop w:val="360"/>
          <w:marBottom w:val="180"/>
          <w:divBdr>
            <w:top w:val="none" w:sz="0" w:space="0" w:color="auto"/>
            <w:left w:val="none" w:sz="0" w:space="0" w:color="auto"/>
            <w:bottom w:val="none" w:sz="0" w:space="0" w:color="auto"/>
            <w:right w:val="none" w:sz="0" w:space="0" w:color="auto"/>
          </w:divBdr>
        </w:div>
        <w:div w:id="712312807">
          <w:marLeft w:val="0"/>
          <w:marRight w:val="0"/>
          <w:marTop w:val="360"/>
          <w:marBottom w:val="180"/>
          <w:divBdr>
            <w:top w:val="none" w:sz="0" w:space="0" w:color="auto"/>
            <w:left w:val="none" w:sz="0" w:space="0" w:color="auto"/>
            <w:bottom w:val="none" w:sz="0" w:space="0" w:color="auto"/>
            <w:right w:val="none" w:sz="0" w:space="0" w:color="auto"/>
          </w:divBdr>
        </w:div>
        <w:div w:id="996498086">
          <w:marLeft w:val="0"/>
          <w:marRight w:val="0"/>
          <w:marTop w:val="180"/>
          <w:marBottom w:val="240"/>
          <w:divBdr>
            <w:top w:val="none" w:sz="0" w:space="0" w:color="auto"/>
            <w:left w:val="none" w:sz="0" w:space="0" w:color="auto"/>
            <w:bottom w:val="none" w:sz="0" w:space="0" w:color="auto"/>
            <w:right w:val="none" w:sz="0" w:space="0" w:color="auto"/>
          </w:divBdr>
        </w:div>
        <w:div w:id="1462260303">
          <w:marLeft w:val="0"/>
          <w:marRight w:val="0"/>
          <w:marTop w:val="360"/>
          <w:marBottom w:val="180"/>
          <w:divBdr>
            <w:top w:val="none" w:sz="0" w:space="0" w:color="auto"/>
            <w:left w:val="none" w:sz="0" w:space="0" w:color="auto"/>
            <w:bottom w:val="none" w:sz="0" w:space="0" w:color="auto"/>
            <w:right w:val="none" w:sz="0" w:space="0" w:color="auto"/>
          </w:divBdr>
        </w:div>
        <w:div w:id="1176651188">
          <w:marLeft w:val="0"/>
          <w:marRight w:val="0"/>
          <w:marTop w:val="180"/>
          <w:marBottom w:val="240"/>
          <w:divBdr>
            <w:top w:val="none" w:sz="0" w:space="0" w:color="auto"/>
            <w:left w:val="none" w:sz="0" w:space="0" w:color="auto"/>
            <w:bottom w:val="none" w:sz="0" w:space="0" w:color="auto"/>
            <w:right w:val="none" w:sz="0" w:space="0" w:color="auto"/>
          </w:divBdr>
        </w:div>
      </w:divsChild>
    </w:div>
    <w:div w:id="705180494">
      <w:bodyDiv w:val="1"/>
      <w:marLeft w:val="0"/>
      <w:marRight w:val="0"/>
      <w:marTop w:val="0"/>
      <w:marBottom w:val="0"/>
      <w:divBdr>
        <w:top w:val="none" w:sz="0" w:space="0" w:color="auto"/>
        <w:left w:val="none" w:sz="0" w:space="0" w:color="auto"/>
        <w:bottom w:val="none" w:sz="0" w:space="0" w:color="auto"/>
        <w:right w:val="none" w:sz="0" w:space="0" w:color="auto"/>
      </w:divBdr>
      <w:divsChild>
        <w:div w:id="1796018289">
          <w:marLeft w:val="0"/>
          <w:marRight w:val="0"/>
          <w:marTop w:val="360"/>
          <w:marBottom w:val="180"/>
          <w:divBdr>
            <w:top w:val="none" w:sz="0" w:space="0" w:color="auto"/>
            <w:left w:val="none" w:sz="0" w:space="0" w:color="auto"/>
            <w:bottom w:val="none" w:sz="0" w:space="0" w:color="auto"/>
            <w:right w:val="none" w:sz="0" w:space="0" w:color="auto"/>
          </w:divBdr>
        </w:div>
        <w:div w:id="1067922503">
          <w:marLeft w:val="0"/>
          <w:marRight w:val="0"/>
          <w:marTop w:val="180"/>
          <w:marBottom w:val="240"/>
          <w:divBdr>
            <w:top w:val="none" w:sz="0" w:space="0" w:color="auto"/>
            <w:left w:val="none" w:sz="0" w:space="0" w:color="auto"/>
            <w:bottom w:val="none" w:sz="0" w:space="0" w:color="auto"/>
            <w:right w:val="none" w:sz="0" w:space="0" w:color="auto"/>
          </w:divBdr>
        </w:div>
      </w:divsChild>
    </w:div>
    <w:div w:id="718826543">
      <w:bodyDiv w:val="1"/>
      <w:marLeft w:val="0"/>
      <w:marRight w:val="0"/>
      <w:marTop w:val="0"/>
      <w:marBottom w:val="0"/>
      <w:divBdr>
        <w:top w:val="none" w:sz="0" w:space="0" w:color="auto"/>
        <w:left w:val="none" w:sz="0" w:space="0" w:color="auto"/>
        <w:bottom w:val="none" w:sz="0" w:space="0" w:color="auto"/>
        <w:right w:val="none" w:sz="0" w:space="0" w:color="auto"/>
      </w:divBdr>
      <w:divsChild>
        <w:div w:id="1775174704">
          <w:marLeft w:val="0"/>
          <w:marRight w:val="0"/>
          <w:marTop w:val="0"/>
          <w:marBottom w:val="0"/>
          <w:divBdr>
            <w:top w:val="none" w:sz="0" w:space="0" w:color="auto"/>
            <w:left w:val="none" w:sz="0" w:space="0" w:color="auto"/>
            <w:bottom w:val="none" w:sz="0" w:space="0" w:color="auto"/>
            <w:right w:val="none" w:sz="0" w:space="0" w:color="auto"/>
          </w:divBdr>
        </w:div>
        <w:div w:id="566650332">
          <w:marLeft w:val="0"/>
          <w:marRight w:val="0"/>
          <w:marTop w:val="0"/>
          <w:marBottom w:val="0"/>
          <w:divBdr>
            <w:top w:val="none" w:sz="0" w:space="0" w:color="auto"/>
            <w:left w:val="none" w:sz="0" w:space="0" w:color="auto"/>
            <w:bottom w:val="none" w:sz="0" w:space="0" w:color="auto"/>
            <w:right w:val="none" w:sz="0" w:space="0" w:color="auto"/>
          </w:divBdr>
        </w:div>
        <w:div w:id="1037242626">
          <w:marLeft w:val="0"/>
          <w:marRight w:val="0"/>
          <w:marTop w:val="0"/>
          <w:marBottom w:val="0"/>
          <w:divBdr>
            <w:top w:val="none" w:sz="0" w:space="0" w:color="auto"/>
            <w:left w:val="none" w:sz="0" w:space="0" w:color="auto"/>
            <w:bottom w:val="none" w:sz="0" w:space="0" w:color="auto"/>
            <w:right w:val="none" w:sz="0" w:space="0" w:color="auto"/>
          </w:divBdr>
        </w:div>
        <w:div w:id="2010909435">
          <w:marLeft w:val="0"/>
          <w:marRight w:val="0"/>
          <w:marTop w:val="0"/>
          <w:marBottom w:val="0"/>
          <w:divBdr>
            <w:top w:val="none" w:sz="0" w:space="0" w:color="auto"/>
            <w:left w:val="none" w:sz="0" w:space="0" w:color="auto"/>
            <w:bottom w:val="none" w:sz="0" w:space="0" w:color="auto"/>
            <w:right w:val="none" w:sz="0" w:space="0" w:color="auto"/>
          </w:divBdr>
        </w:div>
        <w:div w:id="974215541">
          <w:marLeft w:val="0"/>
          <w:marRight w:val="0"/>
          <w:marTop w:val="0"/>
          <w:marBottom w:val="0"/>
          <w:divBdr>
            <w:top w:val="none" w:sz="0" w:space="0" w:color="auto"/>
            <w:left w:val="none" w:sz="0" w:space="0" w:color="auto"/>
            <w:bottom w:val="none" w:sz="0" w:space="0" w:color="auto"/>
            <w:right w:val="none" w:sz="0" w:space="0" w:color="auto"/>
          </w:divBdr>
        </w:div>
        <w:div w:id="25832396">
          <w:marLeft w:val="0"/>
          <w:marRight w:val="0"/>
          <w:marTop w:val="0"/>
          <w:marBottom w:val="0"/>
          <w:divBdr>
            <w:top w:val="none" w:sz="0" w:space="0" w:color="auto"/>
            <w:left w:val="none" w:sz="0" w:space="0" w:color="auto"/>
            <w:bottom w:val="none" w:sz="0" w:space="0" w:color="auto"/>
            <w:right w:val="none" w:sz="0" w:space="0" w:color="auto"/>
          </w:divBdr>
        </w:div>
        <w:div w:id="1162552430">
          <w:marLeft w:val="0"/>
          <w:marRight w:val="0"/>
          <w:marTop w:val="0"/>
          <w:marBottom w:val="0"/>
          <w:divBdr>
            <w:top w:val="none" w:sz="0" w:space="0" w:color="auto"/>
            <w:left w:val="none" w:sz="0" w:space="0" w:color="auto"/>
            <w:bottom w:val="none" w:sz="0" w:space="0" w:color="auto"/>
            <w:right w:val="none" w:sz="0" w:space="0" w:color="auto"/>
          </w:divBdr>
        </w:div>
        <w:div w:id="269317774">
          <w:marLeft w:val="0"/>
          <w:marRight w:val="0"/>
          <w:marTop w:val="0"/>
          <w:marBottom w:val="0"/>
          <w:divBdr>
            <w:top w:val="none" w:sz="0" w:space="0" w:color="auto"/>
            <w:left w:val="none" w:sz="0" w:space="0" w:color="auto"/>
            <w:bottom w:val="none" w:sz="0" w:space="0" w:color="auto"/>
            <w:right w:val="none" w:sz="0" w:space="0" w:color="auto"/>
          </w:divBdr>
        </w:div>
        <w:div w:id="1530100925">
          <w:marLeft w:val="0"/>
          <w:marRight w:val="0"/>
          <w:marTop w:val="0"/>
          <w:marBottom w:val="0"/>
          <w:divBdr>
            <w:top w:val="none" w:sz="0" w:space="0" w:color="auto"/>
            <w:left w:val="none" w:sz="0" w:space="0" w:color="auto"/>
            <w:bottom w:val="none" w:sz="0" w:space="0" w:color="auto"/>
            <w:right w:val="none" w:sz="0" w:space="0" w:color="auto"/>
          </w:divBdr>
        </w:div>
        <w:div w:id="469445887">
          <w:marLeft w:val="0"/>
          <w:marRight w:val="0"/>
          <w:marTop w:val="0"/>
          <w:marBottom w:val="0"/>
          <w:divBdr>
            <w:top w:val="none" w:sz="0" w:space="0" w:color="auto"/>
            <w:left w:val="none" w:sz="0" w:space="0" w:color="auto"/>
            <w:bottom w:val="none" w:sz="0" w:space="0" w:color="auto"/>
            <w:right w:val="none" w:sz="0" w:space="0" w:color="auto"/>
          </w:divBdr>
        </w:div>
        <w:div w:id="906036498">
          <w:marLeft w:val="0"/>
          <w:marRight w:val="0"/>
          <w:marTop w:val="0"/>
          <w:marBottom w:val="0"/>
          <w:divBdr>
            <w:top w:val="none" w:sz="0" w:space="0" w:color="auto"/>
            <w:left w:val="none" w:sz="0" w:space="0" w:color="auto"/>
            <w:bottom w:val="none" w:sz="0" w:space="0" w:color="auto"/>
            <w:right w:val="none" w:sz="0" w:space="0" w:color="auto"/>
          </w:divBdr>
        </w:div>
        <w:div w:id="354427467">
          <w:marLeft w:val="0"/>
          <w:marRight w:val="0"/>
          <w:marTop w:val="0"/>
          <w:marBottom w:val="0"/>
          <w:divBdr>
            <w:top w:val="none" w:sz="0" w:space="0" w:color="auto"/>
            <w:left w:val="none" w:sz="0" w:space="0" w:color="auto"/>
            <w:bottom w:val="none" w:sz="0" w:space="0" w:color="auto"/>
            <w:right w:val="none" w:sz="0" w:space="0" w:color="auto"/>
          </w:divBdr>
        </w:div>
        <w:div w:id="1854299673">
          <w:marLeft w:val="0"/>
          <w:marRight w:val="0"/>
          <w:marTop w:val="0"/>
          <w:marBottom w:val="0"/>
          <w:divBdr>
            <w:top w:val="none" w:sz="0" w:space="0" w:color="auto"/>
            <w:left w:val="none" w:sz="0" w:space="0" w:color="auto"/>
            <w:bottom w:val="none" w:sz="0" w:space="0" w:color="auto"/>
            <w:right w:val="none" w:sz="0" w:space="0" w:color="auto"/>
          </w:divBdr>
          <w:divsChild>
            <w:div w:id="640769053">
              <w:marLeft w:val="0"/>
              <w:marRight w:val="0"/>
              <w:marTop w:val="0"/>
              <w:marBottom w:val="0"/>
              <w:divBdr>
                <w:top w:val="none" w:sz="0" w:space="0" w:color="auto"/>
                <w:left w:val="none" w:sz="0" w:space="0" w:color="auto"/>
                <w:bottom w:val="none" w:sz="0" w:space="0" w:color="auto"/>
                <w:right w:val="none" w:sz="0" w:space="0" w:color="auto"/>
              </w:divBdr>
              <w:divsChild>
                <w:div w:id="1567956701">
                  <w:marLeft w:val="0"/>
                  <w:marRight w:val="0"/>
                  <w:marTop w:val="0"/>
                  <w:marBottom w:val="0"/>
                  <w:divBdr>
                    <w:top w:val="single" w:sz="4" w:space="9" w:color="F0F2F5"/>
                    <w:left w:val="single" w:sz="4" w:space="12" w:color="F0F2F5"/>
                    <w:bottom w:val="single" w:sz="4" w:space="0" w:color="F0F2F5"/>
                    <w:right w:val="single" w:sz="4" w:space="12" w:color="F0F2F5"/>
                  </w:divBdr>
                  <w:divsChild>
                    <w:div w:id="442921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078293">
          <w:marLeft w:val="0"/>
          <w:marRight w:val="0"/>
          <w:marTop w:val="0"/>
          <w:marBottom w:val="0"/>
          <w:divBdr>
            <w:top w:val="none" w:sz="0" w:space="0" w:color="auto"/>
            <w:left w:val="none" w:sz="0" w:space="0" w:color="auto"/>
            <w:bottom w:val="none" w:sz="0" w:space="0" w:color="auto"/>
            <w:right w:val="none" w:sz="0" w:space="0" w:color="auto"/>
          </w:divBdr>
        </w:div>
        <w:div w:id="1526483311">
          <w:marLeft w:val="0"/>
          <w:marRight w:val="0"/>
          <w:marTop w:val="0"/>
          <w:marBottom w:val="0"/>
          <w:divBdr>
            <w:top w:val="none" w:sz="0" w:space="0" w:color="auto"/>
            <w:left w:val="none" w:sz="0" w:space="0" w:color="auto"/>
            <w:bottom w:val="none" w:sz="0" w:space="0" w:color="auto"/>
            <w:right w:val="none" w:sz="0" w:space="0" w:color="auto"/>
          </w:divBdr>
        </w:div>
        <w:div w:id="993997472">
          <w:marLeft w:val="0"/>
          <w:marRight w:val="0"/>
          <w:marTop w:val="0"/>
          <w:marBottom w:val="0"/>
          <w:divBdr>
            <w:top w:val="none" w:sz="0" w:space="0" w:color="auto"/>
            <w:left w:val="none" w:sz="0" w:space="0" w:color="auto"/>
            <w:bottom w:val="none" w:sz="0" w:space="0" w:color="auto"/>
            <w:right w:val="none" w:sz="0" w:space="0" w:color="auto"/>
          </w:divBdr>
        </w:div>
        <w:div w:id="689113987">
          <w:marLeft w:val="0"/>
          <w:marRight w:val="0"/>
          <w:marTop w:val="0"/>
          <w:marBottom w:val="0"/>
          <w:divBdr>
            <w:top w:val="none" w:sz="0" w:space="0" w:color="auto"/>
            <w:left w:val="none" w:sz="0" w:space="0" w:color="auto"/>
            <w:bottom w:val="none" w:sz="0" w:space="0" w:color="auto"/>
            <w:right w:val="none" w:sz="0" w:space="0" w:color="auto"/>
          </w:divBdr>
        </w:div>
        <w:div w:id="1311056316">
          <w:marLeft w:val="0"/>
          <w:marRight w:val="0"/>
          <w:marTop w:val="0"/>
          <w:marBottom w:val="0"/>
          <w:divBdr>
            <w:top w:val="none" w:sz="0" w:space="0" w:color="auto"/>
            <w:left w:val="none" w:sz="0" w:space="0" w:color="auto"/>
            <w:bottom w:val="none" w:sz="0" w:space="0" w:color="auto"/>
            <w:right w:val="none" w:sz="0" w:space="0" w:color="auto"/>
          </w:divBdr>
        </w:div>
        <w:div w:id="1193149827">
          <w:marLeft w:val="0"/>
          <w:marRight w:val="0"/>
          <w:marTop w:val="0"/>
          <w:marBottom w:val="0"/>
          <w:divBdr>
            <w:top w:val="none" w:sz="0" w:space="0" w:color="auto"/>
            <w:left w:val="none" w:sz="0" w:space="0" w:color="auto"/>
            <w:bottom w:val="none" w:sz="0" w:space="0" w:color="auto"/>
            <w:right w:val="none" w:sz="0" w:space="0" w:color="auto"/>
          </w:divBdr>
        </w:div>
        <w:div w:id="497771985">
          <w:marLeft w:val="0"/>
          <w:marRight w:val="0"/>
          <w:marTop w:val="0"/>
          <w:marBottom w:val="0"/>
          <w:divBdr>
            <w:top w:val="none" w:sz="0" w:space="0" w:color="auto"/>
            <w:left w:val="none" w:sz="0" w:space="0" w:color="auto"/>
            <w:bottom w:val="none" w:sz="0" w:space="0" w:color="auto"/>
            <w:right w:val="none" w:sz="0" w:space="0" w:color="auto"/>
          </w:divBdr>
        </w:div>
        <w:div w:id="467360068">
          <w:marLeft w:val="0"/>
          <w:marRight w:val="0"/>
          <w:marTop w:val="0"/>
          <w:marBottom w:val="0"/>
          <w:divBdr>
            <w:top w:val="none" w:sz="0" w:space="0" w:color="auto"/>
            <w:left w:val="none" w:sz="0" w:space="0" w:color="auto"/>
            <w:bottom w:val="none" w:sz="0" w:space="0" w:color="auto"/>
            <w:right w:val="none" w:sz="0" w:space="0" w:color="auto"/>
          </w:divBdr>
        </w:div>
        <w:div w:id="505366249">
          <w:marLeft w:val="0"/>
          <w:marRight w:val="0"/>
          <w:marTop w:val="0"/>
          <w:marBottom w:val="0"/>
          <w:divBdr>
            <w:top w:val="none" w:sz="0" w:space="0" w:color="auto"/>
            <w:left w:val="none" w:sz="0" w:space="0" w:color="auto"/>
            <w:bottom w:val="none" w:sz="0" w:space="0" w:color="auto"/>
            <w:right w:val="none" w:sz="0" w:space="0" w:color="auto"/>
          </w:divBdr>
        </w:div>
        <w:div w:id="94139166">
          <w:marLeft w:val="0"/>
          <w:marRight w:val="0"/>
          <w:marTop w:val="0"/>
          <w:marBottom w:val="0"/>
          <w:divBdr>
            <w:top w:val="none" w:sz="0" w:space="0" w:color="auto"/>
            <w:left w:val="none" w:sz="0" w:space="0" w:color="auto"/>
            <w:bottom w:val="none" w:sz="0" w:space="0" w:color="auto"/>
            <w:right w:val="none" w:sz="0" w:space="0" w:color="auto"/>
          </w:divBdr>
        </w:div>
        <w:div w:id="1768623596">
          <w:marLeft w:val="0"/>
          <w:marRight w:val="0"/>
          <w:marTop w:val="0"/>
          <w:marBottom w:val="0"/>
          <w:divBdr>
            <w:top w:val="none" w:sz="0" w:space="0" w:color="auto"/>
            <w:left w:val="none" w:sz="0" w:space="0" w:color="auto"/>
            <w:bottom w:val="none" w:sz="0" w:space="0" w:color="auto"/>
            <w:right w:val="none" w:sz="0" w:space="0" w:color="auto"/>
          </w:divBdr>
        </w:div>
        <w:div w:id="868026770">
          <w:marLeft w:val="0"/>
          <w:marRight w:val="0"/>
          <w:marTop w:val="0"/>
          <w:marBottom w:val="0"/>
          <w:divBdr>
            <w:top w:val="none" w:sz="0" w:space="0" w:color="auto"/>
            <w:left w:val="none" w:sz="0" w:space="0" w:color="auto"/>
            <w:bottom w:val="none" w:sz="0" w:space="0" w:color="auto"/>
            <w:right w:val="none" w:sz="0" w:space="0" w:color="auto"/>
          </w:divBdr>
        </w:div>
        <w:div w:id="642659909">
          <w:marLeft w:val="0"/>
          <w:marRight w:val="0"/>
          <w:marTop w:val="0"/>
          <w:marBottom w:val="0"/>
          <w:divBdr>
            <w:top w:val="none" w:sz="0" w:space="0" w:color="auto"/>
            <w:left w:val="none" w:sz="0" w:space="0" w:color="auto"/>
            <w:bottom w:val="none" w:sz="0" w:space="0" w:color="auto"/>
            <w:right w:val="none" w:sz="0" w:space="0" w:color="auto"/>
          </w:divBdr>
        </w:div>
        <w:div w:id="166363067">
          <w:marLeft w:val="0"/>
          <w:marRight w:val="0"/>
          <w:marTop w:val="0"/>
          <w:marBottom w:val="0"/>
          <w:divBdr>
            <w:top w:val="none" w:sz="0" w:space="0" w:color="auto"/>
            <w:left w:val="none" w:sz="0" w:space="0" w:color="auto"/>
            <w:bottom w:val="none" w:sz="0" w:space="0" w:color="auto"/>
            <w:right w:val="none" w:sz="0" w:space="0" w:color="auto"/>
          </w:divBdr>
        </w:div>
        <w:div w:id="1757243979">
          <w:marLeft w:val="0"/>
          <w:marRight w:val="0"/>
          <w:marTop w:val="0"/>
          <w:marBottom w:val="0"/>
          <w:divBdr>
            <w:top w:val="none" w:sz="0" w:space="0" w:color="auto"/>
            <w:left w:val="none" w:sz="0" w:space="0" w:color="auto"/>
            <w:bottom w:val="none" w:sz="0" w:space="0" w:color="auto"/>
            <w:right w:val="none" w:sz="0" w:space="0" w:color="auto"/>
          </w:divBdr>
        </w:div>
        <w:div w:id="1664316299">
          <w:marLeft w:val="0"/>
          <w:marRight w:val="0"/>
          <w:marTop w:val="0"/>
          <w:marBottom w:val="0"/>
          <w:divBdr>
            <w:top w:val="none" w:sz="0" w:space="0" w:color="auto"/>
            <w:left w:val="none" w:sz="0" w:space="0" w:color="auto"/>
            <w:bottom w:val="none" w:sz="0" w:space="0" w:color="auto"/>
            <w:right w:val="none" w:sz="0" w:space="0" w:color="auto"/>
          </w:divBdr>
        </w:div>
        <w:div w:id="2131897966">
          <w:marLeft w:val="0"/>
          <w:marRight w:val="0"/>
          <w:marTop w:val="0"/>
          <w:marBottom w:val="0"/>
          <w:divBdr>
            <w:top w:val="none" w:sz="0" w:space="0" w:color="auto"/>
            <w:left w:val="none" w:sz="0" w:space="0" w:color="auto"/>
            <w:bottom w:val="none" w:sz="0" w:space="0" w:color="auto"/>
            <w:right w:val="none" w:sz="0" w:space="0" w:color="auto"/>
          </w:divBdr>
        </w:div>
        <w:div w:id="1285309392">
          <w:marLeft w:val="0"/>
          <w:marRight w:val="0"/>
          <w:marTop w:val="0"/>
          <w:marBottom w:val="0"/>
          <w:divBdr>
            <w:top w:val="none" w:sz="0" w:space="0" w:color="auto"/>
            <w:left w:val="none" w:sz="0" w:space="0" w:color="auto"/>
            <w:bottom w:val="none" w:sz="0" w:space="0" w:color="auto"/>
            <w:right w:val="none" w:sz="0" w:space="0" w:color="auto"/>
          </w:divBdr>
        </w:div>
        <w:div w:id="275914252">
          <w:marLeft w:val="0"/>
          <w:marRight w:val="0"/>
          <w:marTop w:val="0"/>
          <w:marBottom w:val="0"/>
          <w:divBdr>
            <w:top w:val="none" w:sz="0" w:space="0" w:color="auto"/>
            <w:left w:val="none" w:sz="0" w:space="0" w:color="auto"/>
            <w:bottom w:val="none" w:sz="0" w:space="0" w:color="auto"/>
            <w:right w:val="none" w:sz="0" w:space="0" w:color="auto"/>
          </w:divBdr>
        </w:div>
        <w:div w:id="1049110194">
          <w:marLeft w:val="0"/>
          <w:marRight w:val="0"/>
          <w:marTop w:val="0"/>
          <w:marBottom w:val="0"/>
          <w:divBdr>
            <w:top w:val="none" w:sz="0" w:space="0" w:color="auto"/>
            <w:left w:val="none" w:sz="0" w:space="0" w:color="auto"/>
            <w:bottom w:val="none" w:sz="0" w:space="0" w:color="auto"/>
            <w:right w:val="none" w:sz="0" w:space="0" w:color="auto"/>
          </w:divBdr>
        </w:div>
        <w:div w:id="395592767">
          <w:marLeft w:val="0"/>
          <w:marRight w:val="0"/>
          <w:marTop w:val="0"/>
          <w:marBottom w:val="0"/>
          <w:divBdr>
            <w:top w:val="none" w:sz="0" w:space="0" w:color="auto"/>
            <w:left w:val="none" w:sz="0" w:space="0" w:color="auto"/>
            <w:bottom w:val="none" w:sz="0" w:space="0" w:color="auto"/>
            <w:right w:val="none" w:sz="0" w:space="0" w:color="auto"/>
          </w:divBdr>
        </w:div>
        <w:div w:id="665015106">
          <w:marLeft w:val="0"/>
          <w:marRight w:val="0"/>
          <w:marTop w:val="0"/>
          <w:marBottom w:val="0"/>
          <w:divBdr>
            <w:top w:val="none" w:sz="0" w:space="0" w:color="auto"/>
            <w:left w:val="none" w:sz="0" w:space="0" w:color="auto"/>
            <w:bottom w:val="none" w:sz="0" w:space="0" w:color="auto"/>
            <w:right w:val="none" w:sz="0" w:space="0" w:color="auto"/>
          </w:divBdr>
          <w:divsChild>
            <w:div w:id="670067577">
              <w:marLeft w:val="0"/>
              <w:marRight w:val="0"/>
              <w:marTop w:val="0"/>
              <w:marBottom w:val="0"/>
              <w:divBdr>
                <w:top w:val="none" w:sz="0" w:space="0" w:color="auto"/>
                <w:left w:val="none" w:sz="0" w:space="0" w:color="auto"/>
                <w:bottom w:val="none" w:sz="0" w:space="0" w:color="auto"/>
                <w:right w:val="none" w:sz="0" w:space="0" w:color="auto"/>
              </w:divBdr>
              <w:divsChild>
                <w:div w:id="1929121964">
                  <w:marLeft w:val="0"/>
                  <w:marRight w:val="0"/>
                  <w:marTop w:val="0"/>
                  <w:marBottom w:val="0"/>
                  <w:divBdr>
                    <w:top w:val="single" w:sz="4" w:space="9" w:color="F0F2F5"/>
                    <w:left w:val="single" w:sz="4" w:space="12" w:color="F0F2F5"/>
                    <w:bottom w:val="single" w:sz="4" w:space="0" w:color="F0F2F5"/>
                    <w:right w:val="single" w:sz="4" w:space="12" w:color="F0F2F5"/>
                  </w:divBdr>
                  <w:divsChild>
                    <w:div w:id="130052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181160">
          <w:marLeft w:val="0"/>
          <w:marRight w:val="0"/>
          <w:marTop w:val="0"/>
          <w:marBottom w:val="0"/>
          <w:divBdr>
            <w:top w:val="none" w:sz="0" w:space="0" w:color="auto"/>
            <w:left w:val="none" w:sz="0" w:space="0" w:color="auto"/>
            <w:bottom w:val="none" w:sz="0" w:space="0" w:color="auto"/>
            <w:right w:val="none" w:sz="0" w:space="0" w:color="auto"/>
          </w:divBdr>
        </w:div>
        <w:div w:id="126749524">
          <w:marLeft w:val="0"/>
          <w:marRight w:val="0"/>
          <w:marTop w:val="0"/>
          <w:marBottom w:val="0"/>
          <w:divBdr>
            <w:top w:val="none" w:sz="0" w:space="0" w:color="auto"/>
            <w:left w:val="none" w:sz="0" w:space="0" w:color="auto"/>
            <w:bottom w:val="none" w:sz="0" w:space="0" w:color="auto"/>
            <w:right w:val="none" w:sz="0" w:space="0" w:color="auto"/>
          </w:divBdr>
        </w:div>
        <w:div w:id="1541941466">
          <w:marLeft w:val="0"/>
          <w:marRight w:val="0"/>
          <w:marTop w:val="0"/>
          <w:marBottom w:val="0"/>
          <w:divBdr>
            <w:top w:val="none" w:sz="0" w:space="0" w:color="auto"/>
            <w:left w:val="none" w:sz="0" w:space="0" w:color="auto"/>
            <w:bottom w:val="none" w:sz="0" w:space="0" w:color="auto"/>
            <w:right w:val="none" w:sz="0" w:space="0" w:color="auto"/>
          </w:divBdr>
        </w:div>
        <w:div w:id="1054040838">
          <w:marLeft w:val="0"/>
          <w:marRight w:val="0"/>
          <w:marTop w:val="0"/>
          <w:marBottom w:val="0"/>
          <w:divBdr>
            <w:top w:val="none" w:sz="0" w:space="0" w:color="auto"/>
            <w:left w:val="none" w:sz="0" w:space="0" w:color="auto"/>
            <w:bottom w:val="none" w:sz="0" w:space="0" w:color="auto"/>
            <w:right w:val="none" w:sz="0" w:space="0" w:color="auto"/>
          </w:divBdr>
        </w:div>
        <w:div w:id="970130035">
          <w:marLeft w:val="0"/>
          <w:marRight w:val="0"/>
          <w:marTop w:val="0"/>
          <w:marBottom w:val="0"/>
          <w:divBdr>
            <w:top w:val="none" w:sz="0" w:space="0" w:color="auto"/>
            <w:left w:val="none" w:sz="0" w:space="0" w:color="auto"/>
            <w:bottom w:val="none" w:sz="0" w:space="0" w:color="auto"/>
            <w:right w:val="none" w:sz="0" w:space="0" w:color="auto"/>
          </w:divBdr>
          <w:divsChild>
            <w:div w:id="598679689">
              <w:marLeft w:val="0"/>
              <w:marRight w:val="0"/>
              <w:marTop w:val="0"/>
              <w:marBottom w:val="0"/>
              <w:divBdr>
                <w:top w:val="none" w:sz="0" w:space="0" w:color="auto"/>
                <w:left w:val="none" w:sz="0" w:space="0" w:color="auto"/>
                <w:bottom w:val="none" w:sz="0" w:space="0" w:color="auto"/>
                <w:right w:val="none" w:sz="0" w:space="0" w:color="auto"/>
              </w:divBdr>
              <w:divsChild>
                <w:div w:id="1260985043">
                  <w:marLeft w:val="0"/>
                  <w:marRight w:val="0"/>
                  <w:marTop w:val="0"/>
                  <w:marBottom w:val="0"/>
                  <w:divBdr>
                    <w:top w:val="single" w:sz="4" w:space="9" w:color="F0F2F5"/>
                    <w:left w:val="single" w:sz="4" w:space="12" w:color="F0F2F5"/>
                    <w:bottom w:val="single" w:sz="4" w:space="0" w:color="F0F2F5"/>
                    <w:right w:val="single" w:sz="4" w:space="12" w:color="F0F2F5"/>
                  </w:divBdr>
                  <w:divsChild>
                    <w:div w:id="27394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134321">
          <w:marLeft w:val="0"/>
          <w:marRight w:val="0"/>
          <w:marTop w:val="0"/>
          <w:marBottom w:val="0"/>
          <w:divBdr>
            <w:top w:val="none" w:sz="0" w:space="0" w:color="auto"/>
            <w:left w:val="none" w:sz="0" w:space="0" w:color="auto"/>
            <w:bottom w:val="none" w:sz="0" w:space="0" w:color="auto"/>
            <w:right w:val="none" w:sz="0" w:space="0" w:color="auto"/>
          </w:divBdr>
        </w:div>
        <w:div w:id="1047948087">
          <w:marLeft w:val="0"/>
          <w:marRight w:val="0"/>
          <w:marTop w:val="0"/>
          <w:marBottom w:val="0"/>
          <w:divBdr>
            <w:top w:val="none" w:sz="0" w:space="0" w:color="auto"/>
            <w:left w:val="none" w:sz="0" w:space="0" w:color="auto"/>
            <w:bottom w:val="none" w:sz="0" w:space="0" w:color="auto"/>
            <w:right w:val="none" w:sz="0" w:space="0" w:color="auto"/>
          </w:divBdr>
        </w:div>
        <w:div w:id="1233614277">
          <w:marLeft w:val="0"/>
          <w:marRight w:val="0"/>
          <w:marTop w:val="0"/>
          <w:marBottom w:val="0"/>
          <w:divBdr>
            <w:top w:val="none" w:sz="0" w:space="0" w:color="auto"/>
            <w:left w:val="none" w:sz="0" w:space="0" w:color="auto"/>
            <w:bottom w:val="none" w:sz="0" w:space="0" w:color="auto"/>
            <w:right w:val="none" w:sz="0" w:space="0" w:color="auto"/>
          </w:divBdr>
        </w:div>
        <w:div w:id="518931685">
          <w:marLeft w:val="0"/>
          <w:marRight w:val="0"/>
          <w:marTop w:val="0"/>
          <w:marBottom w:val="0"/>
          <w:divBdr>
            <w:top w:val="none" w:sz="0" w:space="0" w:color="auto"/>
            <w:left w:val="none" w:sz="0" w:space="0" w:color="auto"/>
            <w:bottom w:val="none" w:sz="0" w:space="0" w:color="auto"/>
            <w:right w:val="none" w:sz="0" w:space="0" w:color="auto"/>
          </w:divBdr>
        </w:div>
        <w:div w:id="523326875">
          <w:marLeft w:val="0"/>
          <w:marRight w:val="0"/>
          <w:marTop w:val="0"/>
          <w:marBottom w:val="0"/>
          <w:divBdr>
            <w:top w:val="none" w:sz="0" w:space="0" w:color="auto"/>
            <w:left w:val="none" w:sz="0" w:space="0" w:color="auto"/>
            <w:bottom w:val="none" w:sz="0" w:space="0" w:color="auto"/>
            <w:right w:val="none" w:sz="0" w:space="0" w:color="auto"/>
          </w:divBdr>
        </w:div>
        <w:div w:id="1074205984">
          <w:marLeft w:val="0"/>
          <w:marRight w:val="0"/>
          <w:marTop w:val="0"/>
          <w:marBottom w:val="0"/>
          <w:divBdr>
            <w:top w:val="none" w:sz="0" w:space="0" w:color="auto"/>
            <w:left w:val="none" w:sz="0" w:space="0" w:color="auto"/>
            <w:bottom w:val="none" w:sz="0" w:space="0" w:color="auto"/>
            <w:right w:val="none" w:sz="0" w:space="0" w:color="auto"/>
          </w:divBdr>
        </w:div>
        <w:div w:id="1938949108">
          <w:marLeft w:val="0"/>
          <w:marRight w:val="0"/>
          <w:marTop w:val="0"/>
          <w:marBottom w:val="0"/>
          <w:divBdr>
            <w:top w:val="none" w:sz="0" w:space="0" w:color="auto"/>
            <w:left w:val="none" w:sz="0" w:space="0" w:color="auto"/>
            <w:bottom w:val="none" w:sz="0" w:space="0" w:color="auto"/>
            <w:right w:val="none" w:sz="0" w:space="0" w:color="auto"/>
          </w:divBdr>
        </w:div>
        <w:div w:id="1049721172">
          <w:marLeft w:val="0"/>
          <w:marRight w:val="0"/>
          <w:marTop w:val="0"/>
          <w:marBottom w:val="0"/>
          <w:divBdr>
            <w:top w:val="none" w:sz="0" w:space="0" w:color="auto"/>
            <w:left w:val="none" w:sz="0" w:space="0" w:color="auto"/>
            <w:bottom w:val="none" w:sz="0" w:space="0" w:color="auto"/>
            <w:right w:val="none" w:sz="0" w:space="0" w:color="auto"/>
          </w:divBdr>
        </w:div>
        <w:div w:id="1459835964">
          <w:marLeft w:val="0"/>
          <w:marRight w:val="0"/>
          <w:marTop w:val="0"/>
          <w:marBottom w:val="0"/>
          <w:divBdr>
            <w:top w:val="none" w:sz="0" w:space="0" w:color="auto"/>
            <w:left w:val="none" w:sz="0" w:space="0" w:color="auto"/>
            <w:bottom w:val="none" w:sz="0" w:space="0" w:color="auto"/>
            <w:right w:val="none" w:sz="0" w:space="0" w:color="auto"/>
          </w:divBdr>
        </w:div>
        <w:div w:id="732193141">
          <w:marLeft w:val="0"/>
          <w:marRight w:val="0"/>
          <w:marTop w:val="0"/>
          <w:marBottom w:val="0"/>
          <w:divBdr>
            <w:top w:val="none" w:sz="0" w:space="0" w:color="auto"/>
            <w:left w:val="none" w:sz="0" w:space="0" w:color="auto"/>
            <w:bottom w:val="none" w:sz="0" w:space="0" w:color="auto"/>
            <w:right w:val="none" w:sz="0" w:space="0" w:color="auto"/>
          </w:divBdr>
        </w:div>
        <w:div w:id="2103453377">
          <w:marLeft w:val="0"/>
          <w:marRight w:val="0"/>
          <w:marTop w:val="0"/>
          <w:marBottom w:val="0"/>
          <w:divBdr>
            <w:top w:val="none" w:sz="0" w:space="0" w:color="auto"/>
            <w:left w:val="none" w:sz="0" w:space="0" w:color="auto"/>
            <w:bottom w:val="none" w:sz="0" w:space="0" w:color="auto"/>
            <w:right w:val="none" w:sz="0" w:space="0" w:color="auto"/>
          </w:divBdr>
        </w:div>
        <w:div w:id="1089501431">
          <w:marLeft w:val="0"/>
          <w:marRight w:val="0"/>
          <w:marTop w:val="0"/>
          <w:marBottom w:val="0"/>
          <w:divBdr>
            <w:top w:val="none" w:sz="0" w:space="0" w:color="auto"/>
            <w:left w:val="none" w:sz="0" w:space="0" w:color="auto"/>
            <w:bottom w:val="none" w:sz="0" w:space="0" w:color="auto"/>
            <w:right w:val="none" w:sz="0" w:space="0" w:color="auto"/>
          </w:divBdr>
        </w:div>
        <w:div w:id="1449468913">
          <w:marLeft w:val="0"/>
          <w:marRight w:val="0"/>
          <w:marTop w:val="0"/>
          <w:marBottom w:val="0"/>
          <w:divBdr>
            <w:top w:val="none" w:sz="0" w:space="0" w:color="auto"/>
            <w:left w:val="none" w:sz="0" w:space="0" w:color="auto"/>
            <w:bottom w:val="none" w:sz="0" w:space="0" w:color="auto"/>
            <w:right w:val="none" w:sz="0" w:space="0" w:color="auto"/>
          </w:divBdr>
        </w:div>
        <w:div w:id="1264609422">
          <w:marLeft w:val="0"/>
          <w:marRight w:val="0"/>
          <w:marTop w:val="0"/>
          <w:marBottom w:val="0"/>
          <w:divBdr>
            <w:top w:val="none" w:sz="0" w:space="0" w:color="auto"/>
            <w:left w:val="none" w:sz="0" w:space="0" w:color="auto"/>
            <w:bottom w:val="none" w:sz="0" w:space="0" w:color="auto"/>
            <w:right w:val="none" w:sz="0" w:space="0" w:color="auto"/>
          </w:divBdr>
        </w:div>
        <w:div w:id="694428616">
          <w:marLeft w:val="0"/>
          <w:marRight w:val="0"/>
          <w:marTop w:val="0"/>
          <w:marBottom w:val="0"/>
          <w:divBdr>
            <w:top w:val="none" w:sz="0" w:space="0" w:color="auto"/>
            <w:left w:val="none" w:sz="0" w:space="0" w:color="auto"/>
            <w:bottom w:val="none" w:sz="0" w:space="0" w:color="auto"/>
            <w:right w:val="none" w:sz="0" w:space="0" w:color="auto"/>
          </w:divBdr>
        </w:div>
        <w:div w:id="1290433567">
          <w:marLeft w:val="0"/>
          <w:marRight w:val="0"/>
          <w:marTop w:val="0"/>
          <w:marBottom w:val="0"/>
          <w:divBdr>
            <w:top w:val="none" w:sz="0" w:space="0" w:color="auto"/>
            <w:left w:val="none" w:sz="0" w:space="0" w:color="auto"/>
            <w:bottom w:val="none" w:sz="0" w:space="0" w:color="auto"/>
            <w:right w:val="none" w:sz="0" w:space="0" w:color="auto"/>
          </w:divBdr>
        </w:div>
      </w:divsChild>
    </w:div>
    <w:div w:id="775559791">
      <w:bodyDiv w:val="1"/>
      <w:marLeft w:val="0"/>
      <w:marRight w:val="0"/>
      <w:marTop w:val="0"/>
      <w:marBottom w:val="0"/>
      <w:divBdr>
        <w:top w:val="none" w:sz="0" w:space="0" w:color="auto"/>
        <w:left w:val="none" w:sz="0" w:space="0" w:color="auto"/>
        <w:bottom w:val="none" w:sz="0" w:space="0" w:color="auto"/>
        <w:right w:val="none" w:sz="0" w:space="0" w:color="auto"/>
      </w:divBdr>
    </w:div>
    <w:div w:id="797257901">
      <w:bodyDiv w:val="1"/>
      <w:marLeft w:val="0"/>
      <w:marRight w:val="0"/>
      <w:marTop w:val="0"/>
      <w:marBottom w:val="0"/>
      <w:divBdr>
        <w:top w:val="none" w:sz="0" w:space="0" w:color="auto"/>
        <w:left w:val="none" w:sz="0" w:space="0" w:color="auto"/>
        <w:bottom w:val="none" w:sz="0" w:space="0" w:color="auto"/>
        <w:right w:val="none" w:sz="0" w:space="0" w:color="auto"/>
      </w:divBdr>
      <w:divsChild>
        <w:div w:id="1571691797">
          <w:marLeft w:val="0"/>
          <w:marRight w:val="0"/>
          <w:marTop w:val="360"/>
          <w:marBottom w:val="180"/>
          <w:divBdr>
            <w:top w:val="none" w:sz="0" w:space="0" w:color="auto"/>
            <w:left w:val="none" w:sz="0" w:space="0" w:color="auto"/>
            <w:bottom w:val="none" w:sz="0" w:space="0" w:color="auto"/>
            <w:right w:val="none" w:sz="0" w:space="0" w:color="auto"/>
          </w:divBdr>
        </w:div>
        <w:div w:id="938835922">
          <w:marLeft w:val="0"/>
          <w:marRight w:val="0"/>
          <w:marTop w:val="180"/>
          <w:marBottom w:val="240"/>
          <w:divBdr>
            <w:top w:val="none" w:sz="0" w:space="0" w:color="auto"/>
            <w:left w:val="none" w:sz="0" w:space="0" w:color="auto"/>
            <w:bottom w:val="none" w:sz="0" w:space="0" w:color="auto"/>
            <w:right w:val="none" w:sz="0" w:space="0" w:color="auto"/>
          </w:divBdr>
        </w:div>
        <w:div w:id="1422988715">
          <w:marLeft w:val="0"/>
          <w:marRight w:val="0"/>
          <w:marTop w:val="360"/>
          <w:marBottom w:val="180"/>
          <w:divBdr>
            <w:top w:val="none" w:sz="0" w:space="0" w:color="auto"/>
            <w:left w:val="none" w:sz="0" w:space="0" w:color="auto"/>
            <w:bottom w:val="none" w:sz="0" w:space="0" w:color="auto"/>
            <w:right w:val="none" w:sz="0" w:space="0" w:color="auto"/>
          </w:divBdr>
        </w:div>
        <w:div w:id="873350285">
          <w:marLeft w:val="0"/>
          <w:marRight w:val="0"/>
          <w:marTop w:val="360"/>
          <w:marBottom w:val="180"/>
          <w:divBdr>
            <w:top w:val="none" w:sz="0" w:space="0" w:color="auto"/>
            <w:left w:val="none" w:sz="0" w:space="0" w:color="auto"/>
            <w:bottom w:val="none" w:sz="0" w:space="0" w:color="auto"/>
            <w:right w:val="none" w:sz="0" w:space="0" w:color="auto"/>
          </w:divBdr>
        </w:div>
        <w:div w:id="313485940">
          <w:marLeft w:val="0"/>
          <w:marRight w:val="0"/>
          <w:marTop w:val="360"/>
          <w:marBottom w:val="180"/>
          <w:divBdr>
            <w:top w:val="none" w:sz="0" w:space="0" w:color="auto"/>
            <w:left w:val="none" w:sz="0" w:space="0" w:color="auto"/>
            <w:bottom w:val="none" w:sz="0" w:space="0" w:color="auto"/>
            <w:right w:val="none" w:sz="0" w:space="0" w:color="auto"/>
          </w:divBdr>
        </w:div>
      </w:divsChild>
    </w:div>
    <w:div w:id="812672810">
      <w:bodyDiv w:val="1"/>
      <w:marLeft w:val="0"/>
      <w:marRight w:val="0"/>
      <w:marTop w:val="0"/>
      <w:marBottom w:val="0"/>
      <w:divBdr>
        <w:top w:val="none" w:sz="0" w:space="0" w:color="auto"/>
        <w:left w:val="none" w:sz="0" w:space="0" w:color="auto"/>
        <w:bottom w:val="none" w:sz="0" w:space="0" w:color="auto"/>
        <w:right w:val="none" w:sz="0" w:space="0" w:color="auto"/>
      </w:divBdr>
      <w:divsChild>
        <w:div w:id="1543520000">
          <w:marLeft w:val="0"/>
          <w:marRight w:val="0"/>
          <w:marTop w:val="360"/>
          <w:marBottom w:val="180"/>
          <w:divBdr>
            <w:top w:val="none" w:sz="0" w:space="0" w:color="auto"/>
            <w:left w:val="none" w:sz="0" w:space="0" w:color="auto"/>
            <w:bottom w:val="none" w:sz="0" w:space="0" w:color="auto"/>
            <w:right w:val="none" w:sz="0" w:space="0" w:color="auto"/>
          </w:divBdr>
        </w:div>
        <w:div w:id="203102193">
          <w:marLeft w:val="0"/>
          <w:marRight w:val="0"/>
          <w:marTop w:val="180"/>
          <w:marBottom w:val="240"/>
          <w:divBdr>
            <w:top w:val="none" w:sz="0" w:space="0" w:color="auto"/>
            <w:left w:val="none" w:sz="0" w:space="0" w:color="auto"/>
            <w:bottom w:val="none" w:sz="0" w:space="0" w:color="auto"/>
            <w:right w:val="none" w:sz="0" w:space="0" w:color="auto"/>
          </w:divBdr>
        </w:div>
        <w:div w:id="430666351">
          <w:marLeft w:val="0"/>
          <w:marRight w:val="0"/>
          <w:marTop w:val="180"/>
          <w:marBottom w:val="240"/>
          <w:divBdr>
            <w:top w:val="none" w:sz="0" w:space="0" w:color="auto"/>
            <w:left w:val="none" w:sz="0" w:space="0" w:color="auto"/>
            <w:bottom w:val="none" w:sz="0" w:space="0" w:color="auto"/>
            <w:right w:val="none" w:sz="0" w:space="0" w:color="auto"/>
          </w:divBdr>
        </w:div>
        <w:div w:id="644966748">
          <w:marLeft w:val="0"/>
          <w:marRight w:val="0"/>
          <w:marTop w:val="360"/>
          <w:marBottom w:val="180"/>
          <w:divBdr>
            <w:top w:val="none" w:sz="0" w:space="0" w:color="auto"/>
            <w:left w:val="none" w:sz="0" w:space="0" w:color="auto"/>
            <w:bottom w:val="none" w:sz="0" w:space="0" w:color="auto"/>
            <w:right w:val="none" w:sz="0" w:space="0" w:color="auto"/>
          </w:divBdr>
        </w:div>
        <w:div w:id="464541507">
          <w:marLeft w:val="0"/>
          <w:marRight w:val="0"/>
          <w:marTop w:val="180"/>
          <w:marBottom w:val="240"/>
          <w:divBdr>
            <w:top w:val="none" w:sz="0" w:space="0" w:color="auto"/>
            <w:left w:val="none" w:sz="0" w:space="0" w:color="auto"/>
            <w:bottom w:val="none" w:sz="0" w:space="0" w:color="auto"/>
            <w:right w:val="none" w:sz="0" w:space="0" w:color="auto"/>
          </w:divBdr>
        </w:div>
        <w:div w:id="1289120306">
          <w:marLeft w:val="0"/>
          <w:marRight w:val="0"/>
          <w:marTop w:val="180"/>
          <w:marBottom w:val="240"/>
          <w:divBdr>
            <w:top w:val="none" w:sz="0" w:space="0" w:color="auto"/>
            <w:left w:val="none" w:sz="0" w:space="0" w:color="auto"/>
            <w:bottom w:val="none" w:sz="0" w:space="0" w:color="auto"/>
            <w:right w:val="none" w:sz="0" w:space="0" w:color="auto"/>
          </w:divBdr>
        </w:div>
        <w:div w:id="755135399">
          <w:marLeft w:val="0"/>
          <w:marRight w:val="0"/>
          <w:marTop w:val="360"/>
          <w:marBottom w:val="180"/>
          <w:divBdr>
            <w:top w:val="none" w:sz="0" w:space="0" w:color="auto"/>
            <w:left w:val="none" w:sz="0" w:space="0" w:color="auto"/>
            <w:bottom w:val="none" w:sz="0" w:space="0" w:color="auto"/>
            <w:right w:val="none" w:sz="0" w:space="0" w:color="auto"/>
          </w:divBdr>
        </w:div>
        <w:div w:id="2104494304">
          <w:marLeft w:val="0"/>
          <w:marRight w:val="0"/>
          <w:marTop w:val="360"/>
          <w:marBottom w:val="180"/>
          <w:divBdr>
            <w:top w:val="none" w:sz="0" w:space="0" w:color="auto"/>
            <w:left w:val="none" w:sz="0" w:space="0" w:color="auto"/>
            <w:bottom w:val="none" w:sz="0" w:space="0" w:color="auto"/>
            <w:right w:val="none" w:sz="0" w:space="0" w:color="auto"/>
          </w:divBdr>
        </w:div>
        <w:div w:id="1912962302">
          <w:marLeft w:val="0"/>
          <w:marRight w:val="0"/>
          <w:marTop w:val="180"/>
          <w:marBottom w:val="240"/>
          <w:divBdr>
            <w:top w:val="none" w:sz="0" w:space="0" w:color="auto"/>
            <w:left w:val="none" w:sz="0" w:space="0" w:color="auto"/>
            <w:bottom w:val="none" w:sz="0" w:space="0" w:color="auto"/>
            <w:right w:val="none" w:sz="0" w:space="0" w:color="auto"/>
          </w:divBdr>
        </w:div>
        <w:div w:id="1027565961">
          <w:marLeft w:val="0"/>
          <w:marRight w:val="0"/>
          <w:marTop w:val="360"/>
          <w:marBottom w:val="180"/>
          <w:divBdr>
            <w:top w:val="none" w:sz="0" w:space="0" w:color="auto"/>
            <w:left w:val="none" w:sz="0" w:space="0" w:color="auto"/>
            <w:bottom w:val="none" w:sz="0" w:space="0" w:color="auto"/>
            <w:right w:val="none" w:sz="0" w:space="0" w:color="auto"/>
          </w:divBdr>
        </w:div>
        <w:div w:id="1615363631">
          <w:marLeft w:val="0"/>
          <w:marRight w:val="0"/>
          <w:marTop w:val="180"/>
          <w:marBottom w:val="240"/>
          <w:divBdr>
            <w:top w:val="none" w:sz="0" w:space="0" w:color="auto"/>
            <w:left w:val="none" w:sz="0" w:space="0" w:color="auto"/>
            <w:bottom w:val="none" w:sz="0" w:space="0" w:color="auto"/>
            <w:right w:val="none" w:sz="0" w:space="0" w:color="auto"/>
          </w:divBdr>
        </w:div>
        <w:div w:id="1359812940">
          <w:marLeft w:val="0"/>
          <w:marRight w:val="0"/>
          <w:marTop w:val="360"/>
          <w:marBottom w:val="180"/>
          <w:divBdr>
            <w:top w:val="none" w:sz="0" w:space="0" w:color="auto"/>
            <w:left w:val="none" w:sz="0" w:space="0" w:color="auto"/>
            <w:bottom w:val="none" w:sz="0" w:space="0" w:color="auto"/>
            <w:right w:val="none" w:sz="0" w:space="0" w:color="auto"/>
          </w:divBdr>
        </w:div>
        <w:div w:id="433327694">
          <w:marLeft w:val="0"/>
          <w:marRight w:val="0"/>
          <w:marTop w:val="180"/>
          <w:marBottom w:val="240"/>
          <w:divBdr>
            <w:top w:val="none" w:sz="0" w:space="0" w:color="auto"/>
            <w:left w:val="none" w:sz="0" w:space="0" w:color="auto"/>
            <w:bottom w:val="none" w:sz="0" w:space="0" w:color="auto"/>
            <w:right w:val="none" w:sz="0" w:space="0" w:color="auto"/>
          </w:divBdr>
        </w:div>
        <w:div w:id="1637562034">
          <w:marLeft w:val="0"/>
          <w:marRight w:val="0"/>
          <w:marTop w:val="360"/>
          <w:marBottom w:val="180"/>
          <w:divBdr>
            <w:top w:val="none" w:sz="0" w:space="0" w:color="auto"/>
            <w:left w:val="none" w:sz="0" w:space="0" w:color="auto"/>
            <w:bottom w:val="none" w:sz="0" w:space="0" w:color="auto"/>
            <w:right w:val="none" w:sz="0" w:space="0" w:color="auto"/>
          </w:divBdr>
        </w:div>
        <w:div w:id="1672562720">
          <w:marLeft w:val="0"/>
          <w:marRight w:val="0"/>
          <w:marTop w:val="360"/>
          <w:marBottom w:val="180"/>
          <w:divBdr>
            <w:top w:val="none" w:sz="0" w:space="0" w:color="auto"/>
            <w:left w:val="none" w:sz="0" w:space="0" w:color="auto"/>
            <w:bottom w:val="none" w:sz="0" w:space="0" w:color="auto"/>
            <w:right w:val="none" w:sz="0" w:space="0" w:color="auto"/>
          </w:divBdr>
        </w:div>
        <w:div w:id="184484182">
          <w:marLeft w:val="0"/>
          <w:marRight w:val="0"/>
          <w:marTop w:val="180"/>
          <w:marBottom w:val="240"/>
          <w:divBdr>
            <w:top w:val="none" w:sz="0" w:space="0" w:color="auto"/>
            <w:left w:val="none" w:sz="0" w:space="0" w:color="auto"/>
            <w:bottom w:val="none" w:sz="0" w:space="0" w:color="auto"/>
            <w:right w:val="none" w:sz="0" w:space="0" w:color="auto"/>
          </w:divBdr>
        </w:div>
        <w:div w:id="1873221532">
          <w:marLeft w:val="0"/>
          <w:marRight w:val="0"/>
          <w:marTop w:val="360"/>
          <w:marBottom w:val="180"/>
          <w:divBdr>
            <w:top w:val="none" w:sz="0" w:space="0" w:color="auto"/>
            <w:left w:val="none" w:sz="0" w:space="0" w:color="auto"/>
            <w:bottom w:val="none" w:sz="0" w:space="0" w:color="auto"/>
            <w:right w:val="none" w:sz="0" w:space="0" w:color="auto"/>
          </w:divBdr>
        </w:div>
        <w:div w:id="947470465">
          <w:marLeft w:val="0"/>
          <w:marRight w:val="0"/>
          <w:marTop w:val="180"/>
          <w:marBottom w:val="240"/>
          <w:divBdr>
            <w:top w:val="none" w:sz="0" w:space="0" w:color="auto"/>
            <w:left w:val="none" w:sz="0" w:space="0" w:color="auto"/>
            <w:bottom w:val="none" w:sz="0" w:space="0" w:color="auto"/>
            <w:right w:val="none" w:sz="0" w:space="0" w:color="auto"/>
          </w:divBdr>
        </w:div>
      </w:divsChild>
    </w:div>
    <w:div w:id="815610195">
      <w:bodyDiv w:val="1"/>
      <w:marLeft w:val="0"/>
      <w:marRight w:val="0"/>
      <w:marTop w:val="0"/>
      <w:marBottom w:val="0"/>
      <w:divBdr>
        <w:top w:val="none" w:sz="0" w:space="0" w:color="auto"/>
        <w:left w:val="none" w:sz="0" w:space="0" w:color="auto"/>
        <w:bottom w:val="none" w:sz="0" w:space="0" w:color="auto"/>
        <w:right w:val="none" w:sz="0" w:space="0" w:color="auto"/>
      </w:divBdr>
      <w:divsChild>
        <w:div w:id="460348105">
          <w:marLeft w:val="0"/>
          <w:marRight w:val="0"/>
          <w:marTop w:val="360"/>
          <w:marBottom w:val="180"/>
          <w:divBdr>
            <w:top w:val="none" w:sz="0" w:space="0" w:color="auto"/>
            <w:left w:val="none" w:sz="0" w:space="0" w:color="auto"/>
            <w:bottom w:val="none" w:sz="0" w:space="0" w:color="auto"/>
            <w:right w:val="none" w:sz="0" w:space="0" w:color="auto"/>
          </w:divBdr>
        </w:div>
        <w:div w:id="2114979017">
          <w:marLeft w:val="0"/>
          <w:marRight w:val="0"/>
          <w:marTop w:val="180"/>
          <w:marBottom w:val="240"/>
          <w:divBdr>
            <w:top w:val="none" w:sz="0" w:space="0" w:color="auto"/>
            <w:left w:val="none" w:sz="0" w:space="0" w:color="auto"/>
            <w:bottom w:val="none" w:sz="0" w:space="0" w:color="auto"/>
            <w:right w:val="none" w:sz="0" w:space="0" w:color="auto"/>
          </w:divBdr>
        </w:div>
        <w:div w:id="301546243">
          <w:marLeft w:val="0"/>
          <w:marRight w:val="0"/>
          <w:marTop w:val="360"/>
          <w:marBottom w:val="180"/>
          <w:divBdr>
            <w:top w:val="none" w:sz="0" w:space="0" w:color="auto"/>
            <w:left w:val="none" w:sz="0" w:space="0" w:color="auto"/>
            <w:bottom w:val="none" w:sz="0" w:space="0" w:color="auto"/>
            <w:right w:val="none" w:sz="0" w:space="0" w:color="auto"/>
          </w:divBdr>
        </w:div>
        <w:div w:id="45222944">
          <w:marLeft w:val="0"/>
          <w:marRight w:val="0"/>
          <w:marTop w:val="180"/>
          <w:marBottom w:val="240"/>
          <w:divBdr>
            <w:top w:val="none" w:sz="0" w:space="0" w:color="auto"/>
            <w:left w:val="none" w:sz="0" w:space="0" w:color="auto"/>
            <w:bottom w:val="none" w:sz="0" w:space="0" w:color="auto"/>
            <w:right w:val="none" w:sz="0" w:space="0" w:color="auto"/>
          </w:divBdr>
        </w:div>
      </w:divsChild>
    </w:div>
    <w:div w:id="935478901">
      <w:bodyDiv w:val="1"/>
      <w:marLeft w:val="0"/>
      <w:marRight w:val="0"/>
      <w:marTop w:val="0"/>
      <w:marBottom w:val="0"/>
      <w:divBdr>
        <w:top w:val="none" w:sz="0" w:space="0" w:color="auto"/>
        <w:left w:val="none" w:sz="0" w:space="0" w:color="auto"/>
        <w:bottom w:val="none" w:sz="0" w:space="0" w:color="auto"/>
        <w:right w:val="none" w:sz="0" w:space="0" w:color="auto"/>
      </w:divBdr>
      <w:divsChild>
        <w:div w:id="1422220006">
          <w:marLeft w:val="0"/>
          <w:marRight w:val="0"/>
          <w:marTop w:val="180"/>
          <w:marBottom w:val="240"/>
          <w:divBdr>
            <w:top w:val="none" w:sz="0" w:space="0" w:color="auto"/>
            <w:left w:val="none" w:sz="0" w:space="0" w:color="auto"/>
            <w:bottom w:val="none" w:sz="0" w:space="0" w:color="auto"/>
            <w:right w:val="none" w:sz="0" w:space="0" w:color="auto"/>
          </w:divBdr>
        </w:div>
        <w:div w:id="1155562014">
          <w:marLeft w:val="0"/>
          <w:marRight w:val="0"/>
          <w:marTop w:val="360"/>
          <w:marBottom w:val="180"/>
          <w:divBdr>
            <w:top w:val="none" w:sz="0" w:space="0" w:color="auto"/>
            <w:left w:val="none" w:sz="0" w:space="0" w:color="auto"/>
            <w:bottom w:val="none" w:sz="0" w:space="0" w:color="auto"/>
            <w:right w:val="none" w:sz="0" w:space="0" w:color="auto"/>
          </w:divBdr>
        </w:div>
        <w:div w:id="2125298170">
          <w:marLeft w:val="0"/>
          <w:marRight w:val="0"/>
          <w:marTop w:val="180"/>
          <w:marBottom w:val="240"/>
          <w:divBdr>
            <w:top w:val="none" w:sz="0" w:space="0" w:color="auto"/>
            <w:left w:val="none" w:sz="0" w:space="0" w:color="auto"/>
            <w:bottom w:val="none" w:sz="0" w:space="0" w:color="auto"/>
            <w:right w:val="none" w:sz="0" w:space="0" w:color="auto"/>
          </w:divBdr>
        </w:div>
        <w:div w:id="944046256">
          <w:marLeft w:val="0"/>
          <w:marRight w:val="0"/>
          <w:marTop w:val="360"/>
          <w:marBottom w:val="180"/>
          <w:divBdr>
            <w:top w:val="none" w:sz="0" w:space="0" w:color="auto"/>
            <w:left w:val="none" w:sz="0" w:space="0" w:color="auto"/>
            <w:bottom w:val="none" w:sz="0" w:space="0" w:color="auto"/>
            <w:right w:val="none" w:sz="0" w:space="0" w:color="auto"/>
          </w:divBdr>
        </w:div>
        <w:div w:id="1506822573">
          <w:marLeft w:val="0"/>
          <w:marRight w:val="0"/>
          <w:marTop w:val="180"/>
          <w:marBottom w:val="240"/>
          <w:divBdr>
            <w:top w:val="none" w:sz="0" w:space="0" w:color="auto"/>
            <w:left w:val="none" w:sz="0" w:space="0" w:color="auto"/>
            <w:bottom w:val="none" w:sz="0" w:space="0" w:color="auto"/>
            <w:right w:val="none" w:sz="0" w:space="0" w:color="auto"/>
          </w:divBdr>
        </w:div>
        <w:div w:id="405415557">
          <w:marLeft w:val="0"/>
          <w:marRight w:val="0"/>
          <w:marTop w:val="360"/>
          <w:marBottom w:val="180"/>
          <w:divBdr>
            <w:top w:val="none" w:sz="0" w:space="0" w:color="auto"/>
            <w:left w:val="none" w:sz="0" w:space="0" w:color="auto"/>
            <w:bottom w:val="none" w:sz="0" w:space="0" w:color="auto"/>
            <w:right w:val="none" w:sz="0" w:space="0" w:color="auto"/>
          </w:divBdr>
        </w:div>
        <w:div w:id="1448348684">
          <w:marLeft w:val="0"/>
          <w:marRight w:val="0"/>
          <w:marTop w:val="180"/>
          <w:marBottom w:val="240"/>
          <w:divBdr>
            <w:top w:val="none" w:sz="0" w:space="0" w:color="auto"/>
            <w:left w:val="none" w:sz="0" w:space="0" w:color="auto"/>
            <w:bottom w:val="none" w:sz="0" w:space="0" w:color="auto"/>
            <w:right w:val="none" w:sz="0" w:space="0" w:color="auto"/>
          </w:divBdr>
        </w:div>
      </w:divsChild>
    </w:div>
    <w:div w:id="975917051">
      <w:bodyDiv w:val="1"/>
      <w:marLeft w:val="0"/>
      <w:marRight w:val="0"/>
      <w:marTop w:val="0"/>
      <w:marBottom w:val="0"/>
      <w:divBdr>
        <w:top w:val="none" w:sz="0" w:space="0" w:color="auto"/>
        <w:left w:val="none" w:sz="0" w:space="0" w:color="auto"/>
        <w:bottom w:val="none" w:sz="0" w:space="0" w:color="auto"/>
        <w:right w:val="none" w:sz="0" w:space="0" w:color="auto"/>
      </w:divBdr>
      <w:divsChild>
        <w:div w:id="1839222939">
          <w:marLeft w:val="0"/>
          <w:marRight w:val="0"/>
          <w:marTop w:val="180"/>
          <w:marBottom w:val="240"/>
          <w:divBdr>
            <w:top w:val="none" w:sz="0" w:space="0" w:color="auto"/>
            <w:left w:val="none" w:sz="0" w:space="0" w:color="auto"/>
            <w:bottom w:val="none" w:sz="0" w:space="0" w:color="auto"/>
            <w:right w:val="none" w:sz="0" w:space="0" w:color="auto"/>
          </w:divBdr>
        </w:div>
        <w:div w:id="982150587">
          <w:marLeft w:val="0"/>
          <w:marRight w:val="0"/>
          <w:marTop w:val="360"/>
          <w:marBottom w:val="180"/>
          <w:divBdr>
            <w:top w:val="none" w:sz="0" w:space="0" w:color="auto"/>
            <w:left w:val="none" w:sz="0" w:space="0" w:color="auto"/>
            <w:bottom w:val="none" w:sz="0" w:space="0" w:color="auto"/>
            <w:right w:val="none" w:sz="0" w:space="0" w:color="auto"/>
          </w:divBdr>
        </w:div>
        <w:div w:id="1014263457">
          <w:marLeft w:val="0"/>
          <w:marRight w:val="0"/>
          <w:marTop w:val="180"/>
          <w:marBottom w:val="240"/>
          <w:divBdr>
            <w:top w:val="none" w:sz="0" w:space="0" w:color="auto"/>
            <w:left w:val="none" w:sz="0" w:space="0" w:color="auto"/>
            <w:bottom w:val="none" w:sz="0" w:space="0" w:color="auto"/>
            <w:right w:val="none" w:sz="0" w:space="0" w:color="auto"/>
          </w:divBdr>
        </w:div>
      </w:divsChild>
    </w:div>
    <w:div w:id="982468938">
      <w:bodyDiv w:val="1"/>
      <w:marLeft w:val="0"/>
      <w:marRight w:val="0"/>
      <w:marTop w:val="0"/>
      <w:marBottom w:val="0"/>
      <w:divBdr>
        <w:top w:val="none" w:sz="0" w:space="0" w:color="auto"/>
        <w:left w:val="none" w:sz="0" w:space="0" w:color="auto"/>
        <w:bottom w:val="none" w:sz="0" w:space="0" w:color="auto"/>
        <w:right w:val="none" w:sz="0" w:space="0" w:color="auto"/>
      </w:divBdr>
      <w:divsChild>
        <w:div w:id="1634753361">
          <w:marLeft w:val="0"/>
          <w:marRight w:val="0"/>
          <w:marTop w:val="360"/>
          <w:marBottom w:val="180"/>
          <w:divBdr>
            <w:top w:val="none" w:sz="0" w:space="0" w:color="auto"/>
            <w:left w:val="none" w:sz="0" w:space="0" w:color="auto"/>
            <w:bottom w:val="none" w:sz="0" w:space="0" w:color="auto"/>
            <w:right w:val="none" w:sz="0" w:space="0" w:color="auto"/>
          </w:divBdr>
        </w:div>
        <w:div w:id="1505824114">
          <w:marLeft w:val="0"/>
          <w:marRight w:val="0"/>
          <w:marTop w:val="360"/>
          <w:marBottom w:val="180"/>
          <w:divBdr>
            <w:top w:val="none" w:sz="0" w:space="0" w:color="auto"/>
            <w:left w:val="none" w:sz="0" w:space="0" w:color="auto"/>
            <w:bottom w:val="none" w:sz="0" w:space="0" w:color="auto"/>
            <w:right w:val="none" w:sz="0" w:space="0" w:color="auto"/>
          </w:divBdr>
        </w:div>
        <w:div w:id="1426613173">
          <w:marLeft w:val="0"/>
          <w:marRight w:val="0"/>
          <w:marTop w:val="180"/>
          <w:marBottom w:val="240"/>
          <w:divBdr>
            <w:top w:val="none" w:sz="0" w:space="0" w:color="auto"/>
            <w:left w:val="none" w:sz="0" w:space="0" w:color="auto"/>
            <w:bottom w:val="none" w:sz="0" w:space="0" w:color="auto"/>
            <w:right w:val="none" w:sz="0" w:space="0" w:color="auto"/>
          </w:divBdr>
        </w:div>
        <w:div w:id="1187013898">
          <w:marLeft w:val="0"/>
          <w:marRight w:val="0"/>
          <w:marTop w:val="360"/>
          <w:marBottom w:val="180"/>
          <w:divBdr>
            <w:top w:val="none" w:sz="0" w:space="0" w:color="auto"/>
            <w:left w:val="none" w:sz="0" w:space="0" w:color="auto"/>
            <w:bottom w:val="none" w:sz="0" w:space="0" w:color="auto"/>
            <w:right w:val="none" w:sz="0" w:space="0" w:color="auto"/>
          </w:divBdr>
        </w:div>
        <w:div w:id="1398741115">
          <w:marLeft w:val="0"/>
          <w:marRight w:val="0"/>
          <w:marTop w:val="180"/>
          <w:marBottom w:val="240"/>
          <w:divBdr>
            <w:top w:val="none" w:sz="0" w:space="0" w:color="auto"/>
            <w:left w:val="none" w:sz="0" w:space="0" w:color="auto"/>
            <w:bottom w:val="none" w:sz="0" w:space="0" w:color="auto"/>
            <w:right w:val="none" w:sz="0" w:space="0" w:color="auto"/>
          </w:divBdr>
        </w:div>
      </w:divsChild>
    </w:div>
    <w:div w:id="1024944845">
      <w:bodyDiv w:val="1"/>
      <w:marLeft w:val="0"/>
      <w:marRight w:val="0"/>
      <w:marTop w:val="0"/>
      <w:marBottom w:val="0"/>
      <w:divBdr>
        <w:top w:val="none" w:sz="0" w:space="0" w:color="auto"/>
        <w:left w:val="none" w:sz="0" w:space="0" w:color="auto"/>
        <w:bottom w:val="none" w:sz="0" w:space="0" w:color="auto"/>
        <w:right w:val="none" w:sz="0" w:space="0" w:color="auto"/>
      </w:divBdr>
      <w:divsChild>
        <w:div w:id="1415859749">
          <w:marLeft w:val="0"/>
          <w:marRight w:val="0"/>
          <w:marTop w:val="360"/>
          <w:marBottom w:val="180"/>
          <w:divBdr>
            <w:top w:val="none" w:sz="0" w:space="0" w:color="auto"/>
            <w:left w:val="none" w:sz="0" w:space="0" w:color="auto"/>
            <w:bottom w:val="none" w:sz="0" w:space="0" w:color="auto"/>
            <w:right w:val="none" w:sz="0" w:space="0" w:color="auto"/>
          </w:divBdr>
        </w:div>
        <w:div w:id="2079594532">
          <w:marLeft w:val="0"/>
          <w:marRight w:val="0"/>
          <w:marTop w:val="180"/>
          <w:marBottom w:val="240"/>
          <w:divBdr>
            <w:top w:val="none" w:sz="0" w:space="0" w:color="auto"/>
            <w:left w:val="none" w:sz="0" w:space="0" w:color="auto"/>
            <w:bottom w:val="none" w:sz="0" w:space="0" w:color="auto"/>
            <w:right w:val="none" w:sz="0" w:space="0" w:color="auto"/>
          </w:divBdr>
        </w:div>
        <w:div w:id="723220574">
          <w:marLeft w:val="0"/>
          <w:marRight w:val="0"/>
          <w:marTop w:val="180"/>
          <w:marBottom w:val="240"/>
          <w:divBdr>
            <w:top w:val="none" w:sz="0" w:space="0" w:color="auto"/>
            <w:left w:val="none" w:sz="0" w:space="0" w:color="auto"/>
            <w:bottom w:val="none" w:sz="0" w:space="0" w:color="auto"/>
            <w:right w:val="none" w:sz="0" w:space="0" w:color="auto"/>
          </w:divBdr>
        </w:div>
        <w:div w:id="1265921226">
          <w:marLeft w:val="0"/>
          <w:marRight w:val="0"/>
          <w:marTop w:val="180"/>
          <w:marBottom w:val="240"/>
          <w:divBdr>
            <w:top w:val="none" w:sz="0" w:space="0" w:color="auto"/>
            <w:left w:val="none" w:sz="0" w:space="0" w:color="auto"/>
            <w:bottom w:val="none" w:sz="0" w:space="0" w:color="auto"/>
            <w:right w:val="none" w:sz="0" w:space="0" w:color="auto"/>
          </w:divBdr>
        </w:div>
        <w:div w:id="816384116">
          <w:marLeft w:val="0"/>
          <w:marRight w:val="0"/>
          <w:marTop w:val="360"/>
          <w:marBottom w:val="180"/>
          <w:divBdr>
            <w:top w:val="none" w:sz="0" w:space="0" w:color="auto"/>
            <w:left w:val="none" w:sz="0" w:space="0" w:color="auto"/>
            <w:bottom w:val="none" w:sz="0" w:space="0" w:color="auto"/>
            <w:right w:val="none" w:sz="0" w:space="0" w:color="auto"/>
          </w:divBdr>
        </w:div>
        <w:div w:id="1469082579">
          <w:marLeft w:val="0"/>
          <w:marRight w:val="0"/>
          <w:marTop w:val="180"/>
          <w:marBottom w:val="240"/>
          <w:divBdr>
            <w:top w:val="none" w:sz="0" w:space="0" w:color="auto"/>
            <w:left w:val="none" w:sz="0" w:space="0" w:color="auto"/>
            <w:bottom w:val="none" w:sz="0" w:space="0" w:color="auto"/>
            <w:right w:val="none" w:sz="0" w:space="0" w:color="auto"/>
          </w:divBdr>
        </w:div>
        <w:div w:id="884221828">
          <w:marLeft w:val="0"/>
          <w:marRight w:val="0"/>
          <w:marTop w:val="180"/>
          <w:marBottom w:val="240"/>
          <w:divBdr>
            <w:top w:val="none" w:sz="0" w:space="0" w:color="auto"/>
            <w:left w:val="none" w:sz="0" w:space="0" w:color="auto"/>
            <w:bottom w:val="none" w:sz="0" w:space="0" w:color="auto"/>
            <w:right w:val="none" w:sz="0" w:space="0" w:color="auto"/>
          </w:divBdr>
        </w:div>
        <w:div w:id="1206865608">
          <w:marLeft w:val="0"/>
          <w:marRight w:val="0"/>
          <w:marTop w:val="360"/>
          <w:marBottom w:val="180"/>
          <w:divBdr>
            <w:top w:val="none" w:sz="0" w:space="0" w:color="auto"/>
            <w:left w:val="none" w:sz="0" w:space="0" w:color="auto"/>
            <w:bottom w:val="none" w:sz="0" w:space="0" w:color="auto"/>
            <w:right w:val="none" w:sz="0" w:space="0" w:color="auto"/>
          </w:divBdr>
        </w:div>
        <w:div w:id="1972595429">
          <w:marLeft w:val="0"/>
          <w:marRight w:val="0"/>
          <w:marTop w:val="180"/>
          <w:marBottom w:val="240"/>
          <w:divBdr>
            <w:top w:val="none" w:sz="0" w:space="0" w:color="auto"/>
            <w:left w:val="none" w:sz="0" w:space="0" w:color="auto"/>
            <w:bottom w:val="none" w:sz="0" w:space="0" w:color="auto"/>
            <w:right w:val="none" w:sz="0" w:space="0" w:color="auto"/>
          </w:divBdr>
        </w:div>
        <w:div w:id="232863097">
          <w:marLeft w:val="0"/>
          <w:marRight w:val="0"/>
          <w:marTop w:val="360"/>
          <w:marBottom w:val="180"/>
          <w:divBdr>
            <w:top w:val="none" w:sz="0" w:space="0" w:color="auto"/>
            <w:left w:val="none" w:sz="0" w:space="0" w:color="auto"/>
            <w:bottom w:val="none" w:sz="0" w:space="0" w:color="auto"/>
            <w:right w:val="none" w:sz="0" w:space="0" w:color="auto"/>
          </w:divBdr>
        </w:div>
        <w:div w:id="225072679">
          <w:marLeft w:val="0"/>
          <w:marRight w:val="0"/>
          <w:marTop w:val="180"/>
          <w:marBottom w:val="240"/>
          <w:divBdr>
            <w:top w:val="none" w:sz="0" w:space="0" w:color="auto"/>
            <w:left w:val="none" w:sz="0" w:space="0" w:color="auto"/>
            <w:bottom w:val="none" w:sz="0" w:space="0" w:color="auto"/>
            <w:right w:val="none" w:sz="0" w:space="0" w:color="auto"/>
          </w:divBdr>
        </w:div>
        <w:div w:id="1141650674">
          <w:marLeft w:val="0"/>
          <w:marRight w:val="0"/>
          <w:marTop w:val="180"/>
          <w:marBottom w:val="240"/>
          <w:divBdr>
            <w:top w:val="none" w:sz="0" w:space="0" w:color="auto"/>
            <w:left w:val="none" w:sz="0" w:space="0" w:color="auto"/>
            <w:bottom w:val="none" w:sz="0" w:space="0" w:color="auto"/>
            <w:right w:val="none" w:sz="0" w:space="0" w:color="auto"/>
          </w:divBdr>
        </w:div>
        <w:div w:id="828447344">
          <w:marLeft w:val="0"/>
          <w:marRight w:val="0"/>
          <w:marTop w:val="180"/>
          <w:marBottom w:val="240"/>
          <w:divBdr>
            <w:top w:val="none" w:sz="0" w:space="0" w:color="auto"/>
            <w:left w:val="none" w:sz="0" w:space="0" w:color="auto"/>
            <w:bottom w:val="none" w:sz="0" w:space="0" w:color="auto"/>
            <w:right w:val="none" w:sz="0" w:space="0" w:color="auto"/>
          </w:divBdr>
        </w:div>
        <w:div w:id="999163796">
          <w:marLeft w:val="0"/>
          <w:marRight w:val="0"/>
          <w:marTop w:val="180"/>
          <w:marBottom w:val="240"/>
          <w:divBdr>
            <w:top w:val="none" w:sz="0" w:space="0" w:color="auto"/>
            <w:left w:val="none" w:sz="0" w:space="0" w:color="auto"/>
            <w:bottom w:val="none" w:sz="0" w:space="0" w:color="auto"/>
            <w:right w:val="none" w:sz="0" w:space="0" w:color="auto"/>
          </w:divBdr>
        </w:div>
      </w:divsChild>
    </w:div>
    <w:div w:id="1038818816">
      <w:bodyDiv w:val="1"/>
      <w:marLeft w:val="0"/>
      <w:marRight w:val="0"/>
      <w:marTop w:val="0"/>
      <w:marBottom w:val="0"/>
      <w:divBdr>
        <w:top w:val="none" w:sz="0" w:space="0" w:color="auto"/>
        <w:left w:val="none" w:sz="0" w:space="0" w:color="auto"/>
        <w:bottom w:val="none" w:sz="0" w:space="0" w:color="auto"/>
        <w:right w:val="none" w:sz="0" w:space="0" w:color="auto"/>
      </w:divBdr>
    </w:div>
    <w:div w:id="1044720564">
      <w:bodyDiv w:val="1"/>
      <w:marLeft w:val="0"/>
      <w:marRight w:val="0"/>
      <w:marTop w:val="0"/>
      <w:marBottom w:val="0"/>
      <w:divBdr>
        <w:top w:val="none" w:sz="0" w:space="0" w:color="auto"/>
        <w:left w:val="none" w:sz="0" w:space="0" w:color="auto"/>
        <w:bottom w:val="none" w:sz="0" w:space="0" w:color="auto"/>
        <w:right w:val="none" w:sz="0" w:space="0" w:color="auto"/>
      </w:divBdr>
      <w:divsChild>
        <w:div w:id="2029747305">
          <w:marLeft w:val="0"/>
          <w:marRight w:val="0"/>
          <w:marTop w:val="360"/>
          <w:marBottom w:val="180"/>
          <w:divBdr>
            <w:top w:val="none" w:sz="0" w:space="0" w:color="auto"/>
            <w:left w:val="none" w:sz="0" w:space="0" w:color="auto"/>
            <w:bottom w:val="none" w:sz="0" w:space="0" w:color="auto"/>
            <w:right w:val="none" w:sz="0" w:space="0" w:color="auto"/>
          </w:divBdr>
        </w:div>
        <w:div w:id="1865752378">
          <w:marLeft w:val="0"/>
          <w:marRight w:val="0"/>
          <w:marTop w:val="360"/>
          <w:marBottom w:val="180"/>
          <w:divBdr>
            <w:top w:val="none" w:sz="0" w:space="0" w:color="auto"/>
            <w:left w:val="none" w:sz="0" w:space="0" w:color="auto"/>
            <w:bottom w:val="none" w:sz="0" w:space="0" w:color="auto"/>
            <w:right w:val="none" w:sz="0" w:space="0" w:color="auto"/>
          </w:divBdr>
        </w:div>
        <w:div w:id="1951737681">
          <w:marLeft w:val="0"/>
          <w:marRight w:val="0"/>
          <w:marTop w:val="180"/>
          <w:marBottom w:val="240"/>
          <w:divBdr>
            <w:top w:val="none" w:sz="0" w:space="0" w:color="auto"/>
            <w:left w:val="none" w:sz="0" w:space="0" w:color="auto"/>
            <w:bottom w:val="none" w:sz="0" w:space="0" w:color="auto"/>
            <w:right w:val="none" w:sz="0" w:space="0" w:color="auto"/>
          </w:divBdr>
        </w:div>
        <w:div w:id="1471440244">
          <w:marLeft w:val="0"/>
          <w:marRight w:val="0"/>
          <w:marTop w:val="180"/>
          <w:marBottom w:val="240"/>
          <w:divBdr>
            <w:top w:val="none" w:sz="0" w:space="0" w:color="auto"/>
            <w:left w:val="none" w:sz="0" w:space="0" w:color="auto"/>
            <w:bottom w:val="none" w:sz="0" w:space="0" w:color="auto"/>
            <w:right w:val="none" w:sz="0" w:space="0" w:color="auto"/>
          </w:divBdr>
        </w:div>
        <w:div w:id="750196083">
          <w:marLeft w:val="0"/>
          <w:marRight w:val="0"/>
          <w:marTop w:val="360"/>
          <w:marBottom w:val="180"/>
          <w:divBdr>
            <w:top w:val="none" w:sz="0" w:space="0" w:color="auto"/>
            <w:left w:val="none" w:sz="0" w:space="0" w:color="auto"/>
            <w:bottom w:val="none" w:sz="0" w:space="0" w:color="auto"/>
            <w:right w:val="none" w:sz="0" w:space="0" w:color="auto"/>
          </w:divBdr>
        </w:div>
        <w:div w:id="1677611489">
          <w:marLeft w:val="0"/>
          <w:marRight w:val="0"/>
          <w:marTop w:val="180"/>
          <w:marBottom w:val="240"/>
          <w:divBdr>
            <w:top w:val="none" w:sz="0" w:space="0" w:color="auto"/>
            <w:left w:val="none" w:sz="0" w:space="0" w:color="auto"/>
            <w:bottom w:val="none" w:sz="0" w:space="0" w:color="auto"/>
            <w:right w:val="none" w:sz="0" w:space="0" w:color="auto"/>
          </w:divBdr>
        </w:div>
        <w:div w:id="1120103936">
          <w:marLeft w:val="0"/>
          <w:marRight w:val="0"/>
          <w:marTop w:val="180"/>
          <w:marBottom w:val="240"/>
          <w:divBdr>
            <w:top w:val="none" w:sz="0" w:space="0" w:color="auto"/>
            <w:left w:val="none" w:sz="0" w:space="0" w:color="auto"/>
            <w:bottom w:val="none" w:sz="0" w:space="0" w:color="auto"/>
            <w:right w:val="none" w:sz="0" w:space="0" w:color="auto"/>
          </w:divBdr>
        </w:div>
        <w:div w:id="566496389">
          <w:marLeft w:val="0"/>
          <w:marRight w:val="0"/>
          <w:marTop w:val="180"/>
          <w:marBottom w:val="240"/>
          <w:divBdr>
            <w:top w:val="none" w:sz="0" w:space="0" w:color="auto"/>
            <w:left w:val="none" w:sz="0" w:space="0" w:color="auto"/>
            <w:bottom w:val="none" w:sz="0" w:space="0" w:color="auto"/>
            <w:right w:val="none" w:sz="0" w:space="0" w:color="auto"/>
          </w:divBdr>
        </w:div>
        <w:div w:id="1457675120">
          <w:marLeft w:val="0"/>
          <w:marRight w:val="0"/>
          <w:marTop w:val="360"/>
          <w:marBottom w:val="180"/>
          <w:divBdr>
            <w:top w:val="none" w:sz="0" w:space="0" w:color="auto"/>
            <w:left w:val="none" w:sz="0" w:space="0" w:color="auto"/>
            <w:bottom w:val="none" w:sz="0" w:space="0" w:color="auto"/>
            <w:right w:val="none" w:sz="0" w:space="0" w:color="auto"/>
          </w:divBdr>
        </w:div>
        <w:div w:id="161047363">
          <w:marLeft w:val="0"/>
          <w:marRight w:val="0"/>
          <w:marTop w:val="360"/>
          <w:marBottom w:val="180"/>
          <w:divBdr>
            <w:top w:val="none" w:sz="0" w:space="0" w:color="auto"/>
            <w:left w:val="none" w:sz="0" w:space="0" w:color="auto"/>
            <w:bottom w:val="none" w:sz="0" w:space="0" w:color="auto"/>
            <w:right w:val="none" w:sz="0" w:space="0" w:color="auto"/>
          </w:divBdr>
        </w:div>
        <w:div w:id="791746146">
          <w:marLeft w:val="0"/>
          <w:marRight w:val="0"/>
          <w:marTop w:val="180"/>
          <w:marBottom w:val="240"/>
          <w:divBdr>
            <w:top w:val="none" w:sz="0" w:space="0" w:color="auto"/>
            <w:left w:val="none" w:sz="0" w:space="0" w:color="auto"/>
            <w:bottom w:val="none" w:sz="0" w:space="0" w:color="auto"/>
            <w:right w:val="none" w:sz="0" w:space="0" w:color="auto"/>
          </w:divBdr>
        </w:div>
        <w:div w:id="1076436964">
          <w:marLeft w:val="0"/>
          <w:marRight w:val="0"/>
          <w:marTop w:val="180"/>
          <w:marBottom w:val="240"/>
          <w:divBdr>
            <w:top w:val="none" w:sz="0" w:space="0" w:color="auto"/>
            <w:left w:val="none" w:sz="0" w:space="0" w:color="auto"/>
            <w:bottom w:val="none" w:sz="0" w:space="0" w:color="auto"/>
            <w:right w:val="none" w:sz="0" w:space="0" w:color="auto"/>
          </w:divBdr>
        </w:div>
        <w:div w:id="1887374720">
          <w:marLeft w:val="0"/>
          <w:marRight w:val="0"/>
          <w:marTop w:val="360"/>
          <w:marBottom w:val="180"/>
          <w:divBdr>
            <w:top w:val="none" w:sz="0" w:space="0" w:color="auto"/>
            <w:left w:val="none" w:sz="0" w:space="0" w:color="auto"/>
            <w:bottom w:val="none" w:sz="0" w:space="0" w:color="auto"/>
            <w:right w:val="none" w:sz="0" w:space="0" w:color="auto"/>
          </w:divBdr>
        </w:div>
        <w:div w:id="1725056482">
          <w:marLeft w:val="0"/>
          <w:marRight w:val="0"/>
          <w:marTop w:val="360"/>
          <w:marBottom w:val="180"/>
          <w:divBdr>
            <w:top w:val="none" w:sz="0" w:space="0" w:color="auto"/>
            <w:left w:val="none" w:sz="0" w:space="0" w:color="auto"/>
            <w:bottom w:val="none" w:sz="0" w:space="0" w:color="auto"/>
            <w:right w:val="none" w:sz="0" w:space="0" w:color="auto"/>
          </w:divBdr>
        </w:div>
        <w:div w:id="208614449">
          <w:marLeft w:val="0"/>
          <w:marRight w:val="0"/>
          <w:marTop w:val="180"/>
          <w:marBottom w:val="240"/>
          <w:divBdr>
            <w:top w:val="none" w:sz="0" w:space="0" w:color="auto"/>
            <w:left w:val="none" w:sz="0" w:space="0" w:color="auto"/>
            <w:bottom w:val="none" w:sz="0" w:space="0" w:color="auto"/>
            <w:right w:val="none" w:sz="0" w:space="0" w:color="auto"/>
          </w:divBdr>
        </w:div>
        <w:div w:id="1087118838">
          <w:marLeft w:val="0"/>
          <w:marRight w:val="0"/>
          <w:marTop w:val="360"/>
          <w:marBottom w:val="180"/>
          <w:divBdr>
            <w:top w:val="none" w:sz="0" w:space="0" w:color="auto"/>
            <w:left w:val="none" w:sz="0" w:space="0" w:color="auto"/>
            <w:bottom w:val="none" w:sz="0" w:space="0" w:color="auto"/>
            <w:right w:val="none" w:sz="0" w:space="0" w:color="auto"/>
          </w:divBdr>
        </w:div>
        <w:div w:id="111830281">
          <w:marLeft w:val="0"/>
          <w:marRight w:val="0"/>
          <w:marTop w:val="180"/>
          <w:marBottom w:val="240"/>
          <w:divBdr>
            <w:top w:val="none" w:sz="0" w:space="0" w:color="auto"/>
            <w:left w:val="none" w:sz="0" w:space="0" w:color="auto"/>
            <w:bottom w:val="none" w:sz="0" w:space="0" w:color="auto"/>
            <w:right w:val="none" w:sz="0" w:space="0" w:color="auto"/>
          </w:divBdr>
        </w:div>
        <w:div w:id="987318486">
          <w:marLeft w:val="0"/>
          <w:marRight w:val="0"/>
          <w:marTop w:val="360"/>
          <w:marBottom w:val="180"/>
          <w:divBdr>
            <w:top w:val="none" w:sz="0" w:space="0" w:color="auto"/>
            <w:left w:val="none" w:sz="0" w:space="0" w:color="auto"/>
            <w:bottom w:val="none" w:sz="0" w:space="0" w:color="auto"/>
            <w:right w:val="none" w:sz="0" w:space="0" w:color="auto"/>
          </w:divBdr>
        </w:div>
        <w:div w:id="1338919471">
          <w:marLeft w:val="0"/>
          <w:marRight w:val="0"/>
          <w:marTop w:val="180"/>
          <w:marBottom w:val="240"/>
          <w:divBdr>
            <w:top w:val="none" w:sz="0" w:space="0" w:color="auto"/>
            <w:left w:val="none" w:sz="0" w:space="0" w:color="auto"/>
            <w:bottom w:val="none" w:sz="0" w:space="0" w:color="auto"/>
            <w:right w:val="none" w:sz="0" w:space="0" w:color="auto"/>
          </w:divBdr>
        </w:div>
        <w:div w:id="387802508">
          <w:marLeft w:val="0"/>
          <w:marRight w:val="0"/>
          <w:marTop w:val="360"/>
          <w:marBottom w:val="180"/>
          <w:divBdr>
            <w:top w:val="none" w:sz="0" w:space="0" w:color="auto"/>
            <w:left w:val="none" w:sz="0" w:space="0" w:color="auto"/>
            <w:bottom w:val="none" w:sz="0" w:space="0" w:color="auto"/>
            <w:right w:val="none" w:sz="0" w:space="0" w:color="auto"/>
          </w:divBdr>
        </w:div>
        <w:div w:id="1630938503">
          <w:marLeft w:val="0"/>
          <w:marRight w:val="0"/>
          <w:marTop w:val="180"/>
          <w:marBottom w:val="240"/>
          <w:divBdr>
            <w:top w:val="none" w:sz="0" w:space="0" w:color="auto"/>
            <w:left w:val="none" w:sz="0" w:space="0" w:color="auto"/>
            <w:bottom w:val="none" w:sz="0" w:space="0" w:color="auto"/>
            <w:right w:val="none" w:sz="0" w:space="0" w:color="auto"/>
          </w:divBdr>
        </w:div>
        <w:div w:id="911692958">
          <w:marLeft w:val="0"/>
          <w:marRight w:val="0"/>
          <w:marTop w:val="360"/>
          <w:marBottom w:val="180"/>
          <w:divBdr>
            <w:top w:val="none" w:sz="0" w:space="0" w:color="auto"/>
            <w:left w:val="none" w:sz="0" w:space="0" w:color="auto"/>
            <w:bottom w:val="none" w:sz="0" w:space="0" w:color="auto"/>
            <w:right w:val="none" w:sz="0" w:space="0" w:color="auto"/>
          </w:divBdr>
        </w:div>
      </w:divsChild>
    </w:div>
    <w:div w:id="1064183004">
      <w:bodyDiv w:val="1"/>
      <w:marLeft w:val="0"/>
      <w:marRight w:val="0"/>
      <w:marTop w:val="0"/>
      <w:marBottom w:val="0"/>
      <w:divBdr>
        <w:top w:val="none" w:sz="0" w:space="0" w:color="auto"/>
        <w:left w:val="none" w:sz="0" w:space="0" w:color="auto"/>
        <w:bottom w:val="none" w:sz="0" w:space="0" w:color="auto"/>
        <w:right w:val="none" w:sz="0" w:space="0" w:color="auto"/>
      </w:divBdr>
      <w:divsChild>
        <w:div w:id="1426029332">
          <w:marLeft w:val="0"/>
          <w:marRight w:val="0"/>
          <w:marTop w:val="360"/>
          <w:marBottom w:val="180"/>
          <w:divBdr>
            <w:top w:val="none" w:sz="0" w:space="0" w:color="auto"/>
            <w:left w:val="none" w:sz="0" w:space="0" w:color="auto"/>
            <w:bottom w:val="none" w:sz="0" w:space="0" w:color="auto"/>
            <w:right w:val="none" w:sz="0" w:space="0" w:color="auto"/>
          </w:divBdr>
        </w:div>
        <w:div w:id="1685129933">
          <w:marLeft w:val="0"/>
          <w:marRight w:val="0"/>
          <w:marTop w:val="360"/>
          <w:marBottom w:val="180"/>
          <w:divBdr>
            <w:top w:val="none" w:sz="0" w:space="0" w:color="auto"/>
            <w:left w:val="none" w:sz="0" w:space="0" w:color="auto"/>
            <w:bottom w:val="none" w:sz="0" w:space="0" w:color="auto"/>
            <w:right w:val="none" w:sz="0" w:space="0" w:color="auto"/>
          </w:divBdr>
        </w:div>
        <w:div w:id="1917518661">
          <w:marLeft w:val="0"/>
          <w:marRight w:val="0"/>
          <w:marTop w:val="180"/>
          <w:marBottom w:val="240"/>
          <w:divBdr>
            <w:top w:val="none" w:sz="0" w:space="0" w:color="auto"/>
            <w:left w:val="none" w:sz="0" w:space="0" w:color="auto"/>
            <w:bottom w:val="none" w:sz="0" w:space="0" w:color="auto"/>
            <w:right w:val="none" w:sz="0" w:space="0" w:color="auto"/>
          </w:divBdr>
        </w:div>
        <w:div w:id="1793791803">
          <w:marLeft w:val="0"/>
          <w:marRight w:val="0"/>
          <w:marTop w:val="180"/>
          <w:marBottom w:val="240"/>
          <w:divBdr>
            <w:top w:val="none" w:sz="0" w:space="0" w:color="auto"/>
            <w:left w:val="none" w:sz="0" w:space="0" w:color="auto"/>
            <w:bottom w:val="none" w:sz="0" w:space="0" w:color="auto"/>
            <w:right w:val="none" w:sz="0" w:space="0" w:color="auto"/>
          </w:divBdr>
        </w:div>
        <w:div w:id="1317225934">
          <w:marLeft w:val="0"/>
          <w:marRight w:val="0"/>
          <w:marTop w:val="180"/>
          <w:marBottom w:val="240"/>
          <w:divBdr>
            <w:top w:val="none" w:sz="0" w:space="0" w:color="auto"/>
            <w:left w:val="none" w:sz="0" w:space="0" w:color="auto"/>
            <w:bottom w:val="none" w:sz="0" w:space="0" w:color="auto"/>
            <w:right w:val="none" w:sz="0" w:space="0" w:color="auto"/>
          </w:divBdr>
        </w:div>
        <w:div w:id="423454618">
          <w:marLeft w:val="0"/>
          <w:marRight w:val="0"/>
          <w:marTop w:val="360"/>
          <w:marBottom w:val="180"/>
          <w:divBdr>
            <w:top w:val="none" w:sz="0" w:space="0" w:color="auto"/>
            <w:left w:val="none" w:sz="0" w:space="0" w:color="auto"/>
            <w:bottom w:val="none" w:sz="0" w:space="0" w:color="auto"/>
            <w:right w:val="none" w:sz="0" w:space="0" w:color="auto"/>
          </w:divBdr>
        </w:div>
        <w:div w:id="554317704">
          <w:marLeft w:val="0"/>
          <w:marRight w:val="0"/>
          <w:marTop w:val="360"/>
          <w:marBottom w:val="180"/>
          <w:divBdr>
            <w:top w:val="none" w:sz="0" w:space="0" w:color="auto"/>
            <w:left w:val="none" w:sz="0" w:space="0" w:color="auto"/>
            <w:bottom w:val="none" w:sz="0" w:space="0" w:color="auto"/>
            <w:right w:val="none" w:sz="0" w:space="0" w:color="auto"/>
          </w:divBdr>
        </w:div>
        <w:div w:id="1817795412">
          <w:marLeft w:val="0"/>
          <w:marRight w:val="0"/>
          <w:marTop w:val="180"/>
          <w:marBottom w:val="240"/>
          <w:divBdr>
            <w:top w:val="none" w:sz="0" w:space="0" w:color="auto"/>
            <w:left w:val="none" w:sz="0" w:space="0" w:color="auto"/>
            <w:bottom w:val="none" w:sz="0" w:space="0" w:color="auto"/>
            <w:right w:val="none" w:sz="0" w:space="0" w:color="auto"/>
          </w:divBdr>
        </w:div>
        <w:div w:id="1421951420">
          <w:marLeft w:val="0"/>
          <w:marRight w:val="0"/>
          <w:marTop w:val="180"/>
          <w:marBottom w:val="240"/>
          <w:divBdr>
            <w:top w:val="none" w:sz="0" w:space="0" w:color="auto"/>
            <w:left w:val="none" w:sz="0" w:space="0" w:color="auto"/>
            <w:bottom w:val="none" w:sz="0" w:space="0" w:color="auto"/>
            <w:right w:val="none" w:sz="0" w:space="0" w:color="auto"/>
          </w:divBdr>
        </w:div>
        <w:div w:id="1821119404">
          <w:marLeft w:val="0"/>
          <w:marRight w:val="0"/>
          <w:marTop w:val="360"/>
          <w:marBottom w:val="180"/>
          <w:divBdr>
            <w:top w:val="none" w:sz="0" w:space="0" w:color="auto"/>
            <w:left w:val="none" w:sz="0" w:space="0" w:color="auto"/>
            <w:bottom w:val="none" w:sz="0" w:space="0" w:color="auto"/>
            <w:right w:val="none" w:sz="0" w:space="0" w:color="auto"/>
          </w:divBdr>
        </w:div>
        <w:div w:id="920943829">
          <w:marLeft w:val="0"/>
          <w:marRight w:val="0"/>
          <w:marTop w:val="180"/>
          <w:marBottom w:val="240"/>
          <w:divBdr>
            <w:top w:val="none" w:sz="0" w:space="0" w:color="auto"/>
            <w:left w:val="none" w:sz="0" w:space="0" w:color="auto"/>
            <w:bottom w:val="none" w:sz="0" w:space="0" w:color="auto"/>
            <w:right w:val="none" w:sz="0" w:space="0" w:color="auto"/>
          </w:divBdr>
        </w:div>
        <w:div w:id="509370189">
          <w:marLeft w:val="0"/>
          <w:marRight w:val="0"/>
          <w:marTop w:val="180"/>
          <w:marBottom w:val="240"/>
          <w:divBdr>
            <w:top w:val="none" w:sz="0" w:space="0" w:color="auto"/>
            <w:left w:val="none" w:sz="0" w:space="0" w:color="auto"/>
            <w:bottom w:val="none" w:sz="0" w:space="0" w:color="auto"/>
            <w:right w:val="none" w:sz="0" w:space="0" w:color="auto"/>
          </w:divBdr>
        </w:div>
        <w:div w:id="1145317729">
          <w:marLeft w:val="0"/>
          <w:marRight w:val="0"/>
          <w:marTop w:val="360"/>
          <w:marBottom w:val="180"/>
          <w:divBdr>
            <w:top w:val="none" w:sz="0" w:space="0" w:color="auto"/>
            <w:left w:val="none" w:sz="0" w:space="0" w:color="auto"/>
            <w:bottom w:val="none" w:sz="0" w:space="0" w:color="auto"/>
            <w:right w:val="none" w:sz="0" w:space="0" w:color="auto"/>
          </w:divBdr>
        </w:div>
        <w:div w:id="264579895">
          <w:marLeft w:val="0"/>
          <w:marRight w:val="0"/>
          <w:marTop w:val="180"/>
          <w:marBottom w:val="240"/>
          <w:divBdr>
            <w:top w:val="none" w:sz="0" w:space="0" w:color="auto"/>
            <w:left w:val="none" w:sz="0" w:space="0" w:color="auto"/>
            <w:bottom w:val="none" w:sz="0" w:space="0" w:color="auto"/>
            <w:right w:val="none" w:sz="0" w:space="0" w:color="auto"/>
          </w:divBdr>
        </w:div>
        <w:div w:id="216599403">
          <w:marLeft w:val="0"/>
          <w:marRight w:val="0"/>
          <w:marTop w:val="360"/>
          <w:marBottom w:val="180"/>
          <w:divBdr>
            <w:top w:val="none" w:sz="0" w:space="0" w:color="auto"/>
            <w:left w:val="none" w:sz="0" w:space="0" w:color="auto"/>
            <w:bottom w:val="none" w:sz="0" w:space="0" w:color="auto"/>
            <w:right w:val="none" w:sz="0" w:space="0" w:color="auto"/>
          </w:divBdr>
        </w:div>
        <w:div w:id="436143294">
          <w:marLeft w:val="0"/>
          <w:marRight w:val="0"/>
          <w:marTop w:val="360"/>
          <w:marBottom w:val="180"/>
          <w:divBdr>
            <w:top w:val="none" w:sz="0" w:space="0" w:color="auto"/>
            <w:left w:val="none" w:sz="0" w:space="0" w:color="auto"/>
            <w:bottom w:val="none" w:sz="0" w:space="0" w:color="auto"/>
            <w:right w:val="none" w:sz="0" w:space="0" w:color="auto"/>
          </w:divBdr>
        </w:div>
        <w:div w:id="1903178210">
          <w:marLeft w:val="0"/>
          <w:marRight w:val="0"/>
          <w:marTop w:val="180"/>
          <w:marBottom w:val="240"/>
          <w:divBdr>
            <w:top w:val="none" w:sz="0" w:space="0" w:color="auto"/>
            <w:left w:val="none" w:sz="0" w:space="0" w:color="auto"/>
            <w:bottom w:val="none" w:sz="0" w:space="0" w:color="auto"/>
            <w:right w:val="none" w:sz="0" w:space="0" w:color="auto"/>
          </w:divBdr>
        </w:div>
      </w:divsChild>
    </w:div>
    <w:div w:id="1091510410">
      <w:bodyDiv w:val="1"/>
      <w:marLeft w:val="0"/>
      <w:marRight w:val="0"/>
      <w:marTop w:val="0"/>
      <w:marBottom w:val="0"/>
      <w:divBdr>
        <w:top w:val="none" w:sz="0" w:space="0" w:color="auto"/>
        <w:left w:val="none" w:sz="0" w:space="0" w:color="auto"/>
        <w:bottom w:val="none" w:sz="0" w:space="0" w:color="auto"/>
        <w:right w:val="none" w:sz="0" w:space="0" w:color="auto"/>
      </w:divBdr>
      <w:divsChild>
        <w:div w:id="22248398">
          <w:marLeft w:val="0"/>
          <w:marRight w:val="0"/>
          <w:marTop w:val="360"/>
          <w:marBottom w:val="180"/>
          <w:divBdr>
            <w:top w:val="none" w:sz="0" w:space="0" w:color="auto"/>
            <w:left w:val="none" w:sz="0" w:space="0" w:color="auto"/>
            <w:bottom w:val="none" w:sz="0" w:space="0" w:color="auto"/>
            <w:right w:val="none" w:sz="0" w:space="0" w:color="auto"/>
          </w:divBdr>
        </w:div>
        <w:div w:id="1251432816">
          <w:marLeft w:val="0"/>
          <w:marRight w:val="0"/>
          <w:marTop w:val="180"/>
          <w:marBottom w:val="240"/>
          <w:divBdr>
            <w:top w:val="none" w:sz="0" w:space="0" w:color="auto"/>
            <w:left w:val="none" w:sz="0" w:space="0" w:color="auto"/>
            <w:bottom w:val="none" w:sz="0" w:space="0" w:color="auto"/>
            <w:right w:val="none" w:sz="0" w:space="0" w:color="auto"/>
          </w:divBdr>
        </w:div>
      </w:divsChild>
    </w:div>
    <w:div w:id="1099333414">
      <w:bodyDiv w:val="1"/>
      <w:marLeft w:val="0"/>
      <w:marRight w:val="0"/>
      <w:marTop w:val="0"/>
      <w:marBottom w:val="0"/>
      <w:divBdr>
        <w:top w:val="none" w:sz="0" w:space="0" w:color="auto"/>
        <w:left w:val="none" w:sz="0" w:space="0" w:color="auto"/>
        <w:bottom w:val="none" w:sz="0" w:space="0" w:color="auto"/>
        <w:right w:val="none" w:sz="0" w:space="0" w:color="auto"/>
      </w:divBdr>
      <w:divsChild>
        <w:div w:id="27224261">
          <w:marLeft w:val="0"/>
          <w:marRight w:val="0"/>
          <w:marTop w:val="180"/>
          <w:marBottom w:val="240"/>
          <w:divBdr>
            <w:top w:val="none" w:sz="0" w:space="0" w:color="auto"/>
            <w:left w:val="none" w:sz="0" w:space="0" w:color="auto"/>
            <w:bottom w:val="none" w:sz="0" w:space="0" w:color="auto"/>
            <w:right w:val="none" w:sz="0" w:space="0" w:color="auto"/>
          </w:divBdr>
        </w:div>
      </w:divsChild>
    </w:div>
    <w:div w:id="1192451514">
      <w:bodyDiv w:val="1"/>
      <w:marLeft w:val="0"/>
      <w:marRight w:val="0"/>
      <w:marTop w:val="0"/>
      <w:marBottom w:val="0"/>
      <w:divBdr>
        <w:top w:val="none" w:sz="0" w:space="0" w:color="auto"/>
        <w:left w:val="none" w:sz="0" w:space="0" w:color="auto"/>
        <w:bottom w:val="none" w:sz="0" w:space="0" w:color="auto"/>
        <w:right w:val="none" w:sz="0" w:space="0" w:color="auto"/>
      </w:divBdr>
      <w:divsChild>
        <w:div w:id="1342509932">
          <w:marLeft w:val="0"/>
          <w:marRight w:val="0"/>
          <w:marTop w:val="360"/>
          <w:marBottom w:val="180"/>
          <w:divBdr>
            <w:top w:val="none" w:sz="0" w:space="0" w:color="auto"/>
            <w:left w:val="none" w:sz="0" w:space="0" w:color="auto"/>
            <w:bottom w:val="none" w:sz="0" w:space="0" w:color="auto"/>
            <w:right w:val="none" w:sz="0" w:space="0" w:color="auto"/>
          </w:divBdr>
        </w:div>
        <w:div w:id="630133066">
          <w:marLeft w:val="0"/>
          <w:marRight w:val="0"/>
          <w:marTop w:val="180"/>
          <w:marBottom w:val="240"/>
          <w:divBdr>
            <w:top w:val="none" w:sz="0" w:space="0" w:color="auto"/>
            <w:left w:val="none" w:sz="0" w:space="0" w:color="auto"/>
            <w:bottom w:val="none" w:sz="0" w:space="0" w:color="auto"/>
            <w:right w:val="none" w:sz="0" w:space="0" w:color="auto"/>
          </w:divBdr>
        </w:div>
      </w:divsChild>
    </w:div>
    <w:div w:id="1196388144">
      <w:bodyDiv w:val="1"/>
      <w:marLeft w:val="0"/>
      <w:marRight w:val="0"/>
      <w:marTop w:val="0"/>
      <w:marBottom w:val="0"/>
      <w:divBdr>
        <w:top w:val="none" w:sz="0" w:space="0" w:color="auto"/>
        <w:left w:val="none" w:sz="0" w:space="0" w:color="auto"/>
        <w:bottom w:val="none" w:sz="0" w:space="0" w:color="auto"/>
        <w:right w:val="none" w:sz="0" w:space="0" w:color="auto"/>
      </w:divBdr>
      <w:divsChild>
        <w:div w:id="837386220">
          <w:marLeft w:val="0"/>
          <w:marRight w:val="0"/>
          <w:marTop w:val="360"/>
          <w:marBottom w:val="180"/>
          <w:divBdr>
            <w:top w:val="none" w:sz="0" w:space="0" w:color="auto"/>
            <w:left w:val="none" w:sz="0" w:space="0" w:color="auto"/>
            <w:bottom w:val="none" w:sz="0" w:space="0" w:color="auto"/>
            <w:right w:val="none" w:sz="0" w:space="0" w:color="auto"/>
          </w:divBdr>
        </w:div>
        <w:div w:id="764112519">
          <w:marLeft w:val="0"/>
          <w:marRight w:val="0"/>
          <w:marTop w:val="180"/>
          <w:marBottom w:val="240"/>
          <w:divBdr>
            <w:top w:val="none" w:sz="0" w:space="0" w:color="auto"/>
            <w:left w:val="none" w:sz="0" w:space="0" w:color="auto"/>
            <w:bottom w:val="none" w:sz="0" w:space="0" w:color="auto"/>
            <w:right w:val="none" w:sz="0" w:space="0" w:color="auto"/>
          </w:divBdr>
        </w:div>
        <w:div w:id="1215047928">
          <w:marLeft w:val="0"/>
          <w:marRight w:val="0"/>
          <w:marTop w:val="180"/>
          <w:marBottom w:val="240"/>
          <w:divBdr>
            <w:top w:val="none" w:sz="0" w:space="0" w:color="auto"/>
            <w:left w:val="none" w:sz="0" w:space="0" w:color="auto"/>
            <w:bottom w:val="none" w:sz="0" w:space="0" w:color="auto"/>
            <w:right w:val="none" w:sz="0" w:space="0" w:color="auto"/>
          </w:divBdr>
        </w:div>
        <w:div w:id="1110049478">
          <w:marLeft w:val="0"/>
          <w:marRight w:val="0"/>
          <w:marTop w:val="180"/>
          <w:marBottom w:val="240"/>
          <w:divBdr>
            <w:top w:val="none" w:sz="0" w:space="0" w:color="auto"/>
            <w:left w:val="none" w:sz="0" w:space="0" w:color="auto"/>
            <w:bottom w:val="none" w:sz="0" w:space="0" w:color="auto"/>
            <w:right w:val="none" w:sz="0" w:space="0" w:color="auto"/>
          </w:divBdr>
        </w:div>
        <w:div w:id="1816415811">
          <w:marLeft w:val="0"/>
          <w:marRight w:val="0"/>
          <w:marTop w:val="360"/>
          <w:marBottom w:val="180"/>
          <w:divBdr>
            <w:top w:val="none" w:sz="0" w:space="0" w:color="auto"/>
            <w:left w:val="none" w:sz="0" w:space="0" w:color="auto"/>
            <w:bottom w:val="none" w:sz="0" w:space="0" w:color="auto"/>
            <w:right w:val="none" w:sz="0" w:space="0" w:color="auto"/>
          </w:divBdr>
        </w:div>
        <w:div w:id="1921329292">
          <w:marLeft w:val="0"/>
          <w:marRight w:val="0"/>
          <w:marTop w:val="180"/>
          <w:marBottom w:val="240"/>
          <w:divBdr>
            <w:top w:val="none" w:sz="0" w:space="0" w:color="auto"/>
            <w:left w:val="none" w:sz="0" w:space="0" w:color="auto"/>
            <w:bottom w:val="none" w:sz="0" w:space="0" w:color="auto"/>
            <w:right w:val="none" w:sz="0" w:space="0" w:color="auto"/>
          </w:divBdr>
        </w:div>
        <w:div w:id="312373496">
          <w:marLeft w:val="0"/>
          <w:marRight w:val="0"/>
          <w:marTop w:val="180"/>
          <w:marBottom w:val="240"/>
          <w:divBdr>
            <w:top w:val="none" w:sz="0" w:space="0" w:color="auto"/>
            <w:left w:val="none" w:sz="0" w:space="0" w:color="auto"/>
            <w:bottom w:val="none" w:sz="0" w:space="0" w:color="auto"/>
            <w:right w:val="none" w:sz="0" w:space="0" w:color="auto"/>
          </w:divBdr>
        </w:div>
        <w:div w:id="865873699">
          <w:marLeft w:val="0"/>
          <w:marRight w:val="0"/>
          <w:marTop w:val="360"/>
          <w:marBottom w:val="180"/>
          <w:divBdr>
            <w:top w:val="none" w:sz="0" w:space="0" w:color="auto"/>
            <w:left w:val="none" w:sz="0" w:space="0" w:color="auto"/>
            <w:bottom w:val="none" w:sz="0" w:space="0" w:color="auto"/>
            <w:right w:val="none" w:sz="0" w:space="0" w:color="auto"/>
          </w:divBdr>
        </w:div>
        <w:div w:id="1588230981">
          <w:marLeft w:val="0"/>
          <w:marRight w:val="0"/>
          <w:marTop w:val="180"/>
          <w:marBottom w:val="240"/>
          <w:divBdr>
            <w:top w:val="none" w:sz="0" w:space="0" w:color="auto"/>
            <w:left w:val="none" w:sz="0" w:space="0" w:color="auto"/>
            <w:bottom w:val="none" w:sz="0" w:space="0" w:color="auto"/>
            <w:right w:val="none" w:sz="0" w:space="0" w:color="auto"/>
          </w:divBdr>
        </w:div>
        <w:div w:id="671952822">
          <w:marLeft w:val="0"/>
          <w:marRight w:val="0"/>
          <w:marTop w:val="360"/>
          <w:marBottom w:val="180"/>
          <w:divBdr>
            <w:top w:val="none" w:sz="0" w:space="0" w:color="auto"/>
            <w:left w:val="none" w:sz="0" w:space="0" w:color="auto"/>
            <w:bottom w:val="none" w:sz="0" w:space="0" w:color="auto"/>
            <w:right w:val="none" w:sz="0" w:space="0" w:color="auto"/>
          </w:divBdr>
        </w:div>
        <w:div w:id="2064283523">
          <w:marLeft w:val="0"/>
          <w:marRight w:val="0"/>
          <w:marTop w:val="180"/>
          <w:marBottom w:val="240"/>
          <w:divBdr>
            <w:top w:val="none" w:sz="0" w:space="0" w:color="auto"/>
            <w:left w:val="none" w:sz="0" w:space="0" w:color="auto"/>
            <w:bottom w:val="none" w:sz="0" w:space="0" w:color="auto"/>
            <w:right w:val="none" w:sz="0" w:space="0" w:color="auto"/>
          </w:divBdr>
        </w:div>
        <w:div w:id="278220068">
          <w:marLeft w:val="0"/>
          <w:marRight w:val="0"/>
          <w:marTop w:val="180"/>
          <w:marBottom w:val="240"/>
          <w:divBdr>
            <w:top w:val="none" w:sz="0" w:space="0" w:color="auto"/>
            <w:left w:val="none" w:sz="0" w:space="0" w:color="auto"/>
            <w:bottom w:val="none" w:sz="0" w:space="0" w:color="auto"/>
            <w:right w:val="none" w:sz="0" w:space="0" w:color="auto"/>
          </w:divBdr>
        </w:div>
        <w:div w:id="48772297">
          <w:marLeft w:val="0"/>
          <w:marRight w:val="0"/>
          <w:marTop w:val="180"/>
          <w:marBottom w:val="240"/>
          <w:divBdr>
            <w:top w:val="none" w:sz="0" w:space="0" w:color="auto"/>
            <w:left w:val="none" w:sz="0" w:space="0" w:color="auto"/>
            <w:bottom w:val="none" w:sz="0" w:space="0" w:color="auto"/>
            <w:right w:val="none" w:sz="0" w:space="0" w:color="auto"/>
          </w:divBdr>
        </w:div>
        <w:div w:id="560100475">
          <w:marLeft w:val="0"/>
          <w:marRight w:val="0"/>
          <w:marTop w:val="180"/>
          <w:marBottom w:val="240"/>
          <w:divBdr>
            <w:top w:val="none" w:sz="0" w:space="0" w:color="auto"/>
            <w:left w:val="none" w:sz="0" w:space="0" w:color="auto"/>
            <w:bottom w:val="none" w:sz="0" w:space="0" w:color="auto"/>
            <w:right w:val="none" w:sz="0" w:space="0" w:color="auto"/>
          </w:divBdr>
        </w:div>
      </w:divsChild>
    </w:div>
    <w:div w:id="1216163832">
      <w:bodyDiv w:val="1"/>
      <w:marLeft w:val="0"/>
      <w:marRight w:val="0"/>
      <w:marTop w:val="0"/>
      <w:marBottom w:val="0"/>
      <w:divBdr>
        <w:top w:val="none" w:sz="0" w:space="0" w:color="auto"/>
        <w:left w:val="none" w:sz="0" w:space="0" w:color="auto"/>
        <w:bottom w:val="none" w:sz="0" w:space="0" w:color="auto"/>
        <w:right w:val="none" w:sz="0" w:space="0" w:color="auto"/>
      </w:divBdr>
      <w:divsChild>
        <w:div w:id="1832914174">
          <w:marLeft w:val="0"/>
          <w:marRight w:val="0"/>
          <w:marTop w:val="360"/>
          <w:marBottom w:val="180"/>
          <w:divBdr>
            <w:top w:val="none" w:sz="0" w:space="0" w:color="auto"/>
            <w:left w:val="none" w:sz="0" w:space="0" w:color="auto"/>
            <w:bottom w:val="none" w:sz="0" w:space="0" w:color="auto"/>
            <w:right w:val="none" w:sz="0" w:space="0" w:color="auto"/>
          </w:divBdr>
        </w:div>
        <w:div w:id="1972589151">
          <w:marLeft w:val="0"/>
          <w:marRight w:val="0"/>
          <w:marTop w:val="180"/>
          <w:marBottom w:val="240"/>
          <w:divBdr>
            <w:top w:val="none" w:sz="0" w:space="0" w:color="auto"/>
            <w:left w:val="none" w:sz="0" w:space="0" w:color="auto"/>
            <w:bottom w:val="none" w:sz="0" w:space="0" w:color="auto"/>
            <w:right w:val="none" w:sz="0" w:space="0" w:color="auto"/>
          </w:divBdr>
        </w:div>
        <w:div w:id="1059128331">
          <w:marLeft w:val="0"/>
          <w:marRight w:val="0"/>
          <w:marTop w:val="360"/>
          <w:marBottom w:val="180"/>
          <w:divBdr>
            <w:top w:val="none" w:sz="0" w:space="0" w:color="auto"/>
            <w:left w:val="none" w:sz="0" w:space="0" w:color="auto"/>
            <w:bottom w:val="none" w:sz="0" w:space="0" w:color="auto"/>
            <w:right w:val="none" w:sz="0" w:space="0" w:color="auto"/>
          </w:divBdr>
        </w:div>
        <w:div w:id="363482105">
          <w:marLeft w:val="0"/>
          <w:marRight w:val="0"/>
          <w:marTop w:val="180"/>
          <w:marBottom w:val="240"/>
          <w:divBdr>
            <w:top w:val="none" w:sz="0" w:space="0" w:color="auto"/>
            <w:left w:val="none" w:sz="0" w:space="0" w:color="auto"/>
            <w:bottom w:val="none" w:sz="0" w:space="0" w:color="auto"/>
            <w:right w:val="none" w:sz="0" w:space="0" w:color="auto"/>
          </w:divBdr>
        </w:div>
        <w:div w:id="595526414">
          <w:marLeft w:val="0"/>
          <w:marRight w:val="0"/>
          <w:marTop w:val="360"/>
          <w:marBottom w:val="180"/>
          <w:divBdr>
            <w:top w:val="none" w:sz="0" w:space="0" w:color="auto"/>
            <w:left w:val="none" w:sz="0" w:space="0" w:color="auto"/>
            <w:bottom w:val="none" w:sz="0" w:space="0" w:color="auto"/>
            <w:right w:val="none" w:sz="0" w:space="0" w:color="auto"/>
          </w:divBdr>
        </w:div>
        <w:div w:id="820654422">
          <w:marLeft w:val="0"/>
          <w:marRight w:val="0"/>
          <w:marTop w:val="180"/>
          <w:marBottom w:val="240"/>
          <w:divBdr>
            <w:top w:val="none" w:sz="0" w:space="0" w:color="auto"/>
            <w:left w:val="none" w:sz="0" w:space="0" w:color="auto"/>
            <w:bottom w:val="none" w:sz="0" w:space="0" w:color="auto"/>
            <w:right w:val="none" w:sz="0" w:space="0" w:color="auto"/>
          </w:divBdr>
        </w:div>
      </w:divsChild>
    </w:div>
    <w:div w:id="1218318933">
      <w:bodyDiv w:val="1"/>
      <w:marLeft w:val="0"/>
      <w:marRight w:val="0"/>
      <w:marTop w:val="0"/>
      <w:marBottom w:val="0"/>
      <w:divBdr>
        <w:top w:val="none" w:sz="0" w:space="0" w:color="auto"/>
        <w:left w:val="none" w:sz="0" w:space="0" w:color="auto"/>
        <w:bottom w:val="none" w:sz="0" w:space="0" w:color="auto"/>
        <w:right w:val="none" w:sz="0" w:space="0" w:color="auto"/>
      </w:divBdr>
      <w:divsChild>
        <w:div w:id="85423983">
          <w:marLeft w:val="0"/>
          <w:marRight w:val="0"/>
          <w:marTop w:val="360"/>
          <w:marBottom w:val="180"/>
          <w:divBdr>
            <w:top w:val="none" w:sz="0" w:space="0" w:color="auto"/>
            <w:left w:val="none" w:sz="0" w:space="0" w:color="auto"/>
            <w:bottom w:val="none" w:sz="0" w:space="0" w:color="auto"/>
            <w:right w:val="none" w:sz="0" w:space="0" w:color="auto"/>
          </w:divBdr>
        </w:div>
        <w:div w:id="351884758">
          <w:marLeft w:val="0"/>
          <w:marRight w:val="0"/>
          <w:marTop w:val="360"/>
          <w:marBottom w:val="180"/>
          <w:divBdr>
            <w:top w:val="none" w:sz="0" w:space="0" w:color="auto"/>
            <w:left w:val="none" w:sz="0" w:space="0" w:color="auto"/>
            <w:bottom w:val="none" w:sz="0" w:space="0" w:color="auto"/>
            <w:right w:val="none" w:sz="0" w:space="0" w:color="auto"/>
          </w:divBdr>
        </w:div>
        <w:div w:id="313145550">
          <w:marLeft w:val="0"/>
          <w:marRight w:val="0"/>
          <w:marTop w:val="180"/>
          <w:marBottom w:val="240"/>
          <w:divBdr>
            <w:top w:val="none" w:sz="0" w:space="0" w:color="auto"/>
            <w:left w:val="none" w:sz="0" w:space="0" w:color="auto"/>
            <w:bottom w:val="none" w:sz="0" w:space="0" w:color="auto"/>
            <w:right w:val="none" w:sz="0" w:space="0" w:color="auto"/>
          </w:divBdr>
        </w:div>
        <w:div w:id="1053390998">
          <w:marLeft w:val="0"/>
          <w:marRight w:val="0"/>
          <w:marTop w:val="180"/>
          <w:marBottom w:val="240"/>
          <w:divBdr>
            <w:top w:val="none" w:sz="0" w:space="0" w:color="auto"/>
            <w:left w:val="none" w:sz="0" w:space="0" w:color="auto"/>
            <w:bottom w:val="none" w:sz="0" w:space="0" w:color="auto"/>
            <w:right w:val="none" w:sz="0" w:space="0" w:color="auto"/>
          </w:divBdr>
        </w:div>
        <w:div w:id="965039691">
          <w:marLeft w:val="0"/>
          <w:marRight w:val="0"/>
          <w:marTop w:val="360"/>
          <w:marBottom w:val="180"/>
          <w:divBdr>
            <w:top w:val="none" w:sz="0" w:space="0" w:color="auto"/>
            <w:left w:val="none" w:sz="0" w:space="0" w:color="auto"/>
            <w:bottom w:val="none" w:sz="0" w:space="0" w:color="auto"/>
            <w:right w:val="none" w:sz="0" w:space="0" w:color="auto"/>
          </w:divBdr>
        </w:div>
        <w:div w:id="702098355">
          <w:marLeft w:val="0"/>
          <w:marRight w:val="0"/>
          <w:marTop w:val="180"/>
          <w:marBottom w:val="240"/>
          <w:divBdr>
            <w:top w:val="none" w:sz="0" w:space="0" w:color="auto"/>
            <w:left w:val="none" w:sz="0" w:space="0" w:color="auto"/>
            <w:bottom w:val="none" w:sz="0" w:space="0" w:color="auto"/>
            <w:right w:val="none" w:sz="0" w:space="0" w:color="auto"/>
          </w:divBdr>
        </w:div>
        <w:div w:id="384062095">
          <w:marLeft w:val="0"/>
          <w:marRight w:val="0"/>
          <w:marTop w:val="360"/>
          <w:marBottom w:val="180"/>
          <w:divBdr>
            <w:top w:val="none" w:sz="0" w:space="0" w:color="auto"/>
            <w:left w:val="none" w:sz="0" w:space="0" w:color="auto"/>
            <w:bottom w:val="none" w:sz="0" w:space="0" w:color="auto"/>
            <w:right w:val="none" w:sz="0" w:space="0" w:color="auto"/>
          </w:divBdr>
        </w:div>
      </w:divsChild>
    </w:div>
    <w:div w:id="1244685611">
      <w:bodyDiv w:val="1"/>
      <w:marLeft w:val="0"/>
      <w:marRight w:val="0"/>
      <w:marTop w:val="0"/>
      <w:marBottom w:val="0"/>
      <w:divBdr>
        <w:top w:val="none" w:sz="0" w:space="0" w:color="auto"/>
        <w:left w:val="none" w:sz="0" w:space="0" w:color="auto"/>
        <w:bottom w:val="none" w:sz="0" w:space="0" w:color="auto"/>
        <w:right w:val="none" w:sz="0" w:space="0" w:color="auto"/>
      </w:divBdr>
    </w:div>
    <w:div w:id="1253510425">
      <w:bodyDiv w:val="1"/>
      <w:marLeft w:val="0"/>
      <w:marRight w:val="0"/>
      <w:marTop w:val="0"/>
      <w:marBottom w:val="0"/>
      <w:divBdr>
        <w:top w:val="none" w:sz="0" w:space="0" w:color="auto"/>
        <w:left w:val="none" w:sz="0" w:space="0" w:color="auto"/>
        <w:bottom w:val="none" w:sz="0" w:space="0" w:color="auto"/>
        <w:right w:val="none" w:sz="0" w:space="0" w:color="auto"/>
      </w:divBdr>
      <w:divsChild>
        <w:div w:id="1278484412">
          <w:marLeft w:val="0"/>
          <w:marRight w:val="0"/>
          <w:marTop w:val="360"/>
          <w:marBottom w:val="180"/>
          <w:divBdr>
            <w:top w:val="none" w:sz="0" w:space="0" w:color="auto"/>
            <w:left w:val="none" w:sz="0" w:space="0" w:color="auto"/>
            <w:bottom w:val="none" w:sz="0" w:space="0" w:color="auto"/>
            <w:right w:val="none" w:sz="0" w:space="0" w:color="auto"/>
          </w:divBdr>
        </w:div>
        <w:div w:id="150021575">
          <w:marLeft w:val="0"/>
          <w:marRight w:val="0"/>
          <w:marTop w:val="180"/>
          <w:marBottom w:val="240"/>
          <w:divBdr>
            <w:top w:val="none" w:sz="0" w:space="0" w:color="auto"/>
            <w:left w:val="none" w:sz="0" w:space="0" w:color="auto"/>
            <w:bottom w:val="none" w:sz="0" w:space="0" w:color="auto"/>
            <w:right w:val="none" w:sz="0" w:space="0" w:color="auto"/>
          </w:divBdr>
        </w:div>
      </w:divsChild>
    </w:div>
    <w:div w:id="1274019967">
      <w:bodyDiv w:val="1"/>
      <w:marLeft w:val="0"/>
      <w:marRight w:val="0"/>
      <w:marTop w:val="0"/>
      <w:marBottom w:val="0"/>
      <w:divBdr>
        <w:top w:val="none" w:sz="0" w:space="0" w:color="auto"/>
        <w:left w:val="none" w:sz="0" w:space="0" w:color="auto"/>
        <w:bottom w:val="none" w:sz="0" w:space="0" w:color="auto"/>
        <w:right w:val="none" w:sz="0" w:space="0" w:color="auto"/>
      </w:divBdr>
      <w:divsChild>
        <w:div w:id="1456289040">
          <w:marLeft w:val="0"/>
          <w:marRight w:val="0"/>
          <w:marTop w:val="180"/>
          <w:marBottom w:val="240"/>
          <w:divBdr>
            <w:top w:val="none" w:sz="0" w:space="0" w:color="auto"/>
            <w:left w:val="none" w:sz="0" w:space="0" w:color="auto"/>
            <w:bottom w:val="none" w:sz="0" w:space="0" w:color="auto"/>
            <w:right w:val="none" w:sz="0" w:space="0" w:color="auto"/>
          </w:divBdr>
        </w:div>
        <w:div w:id="934244317">
          <w:marLeft w:val="0"/>
          <w:marRight w:val="0"/>
          <w:marTop w:val="360"/>
          <w:marBottom w:val="180"/>
          <w:divBdr>
            <w:top w:val="none" w:sz="0" w:space="0" w:color="auto"/>
            <w:left w:val="none" w:sz="0" w:space="0" w:color="auto"/>
            <w:bottom w:val="none" w:sz="0" w:space="0" w:color="auto"/>
            <w:right w:val="none" w:sz="0" w:space="0" w:color="auto"/>
          </w:divBdr>
        </w:div>
        <w:div w:id="275330848">
          <w:marLeft w:val="0"/>
          <w:marRight w:val="0"/>
          <w:marTop w:val="180"/>
          <w:marBottom w:val="240"/>
          <w:divBdr>
            <w:top w:val="none" w:sz="0" w:space="0" w:color="auto"/>
            <w:left w:val="none" w:sz="0" w:space="0" w:color="auto"/>
            <w:bottom w:val="none" w:sz="0" w:space="0" w:color="auto"/>
            <w:right w:val="none" w:sz="0" w:space="0" w:color="auto"/>
          </w:divBdr>
        </w:div>
      </w:divsChild>
    </w:div>
    <w:div w:id="1334071854">
      <w:bodyDiv w:val="1"/>
      <w:marLeft w:val="0"/>
      <w:marRight w:val="0"/>
      <w:marTop w:val="0"/>
      <w:marBottom w:val="0"/>
      <w:divBdr>
        <w:top w:val="none" w:sz="0" w:space="0" w:color="auto"/>
        <w:left w:val="none" w:sz="0" w:space="0" w:color="auto"/>
        <w:bottom w:val="none" w:sz="0" w:space="0" w:color="auto"/>
        <w:right w:val="none" w:sz="0" w:space="0" w:color="auto"/>
      </w:divBdr>
      <w:divsChild>
        <w:div w:id="661198380">
          <w:marLeft w:val="0"/>
          <w:marRight w:val="0"/>
          <w:marTop w:val="360"/>
          <w:marBottom w:val="180"/>
          <w:divBdr>
            <w:top w:val="none" w:sz="0" w:space="0" w:color="auto"/>
            <w:left w:val="none" w:sz="0" w:space="0" w:color="auto"/>
            <w:bottom w:val="none" w:sz="0" w:space="0" w:color="auto"/>
            <w:right w:val="none" w:sz="0" w:space="0" w:color="auto"/>
          </w:divBdr>
        </w:div>
        <w:div w:id="375861645">
          <w:marLeft w:val="0"/>
          <w:marRight w:val="0"/>
          <w:marTop w:val="180"/>
          <w:marBottom w:val="240"/>
          <w:divBdr>
            <w:top w:val="none" w:sz="0" w:space="0" w:color="auto"/>
            <w:left w:val="none" w:sz="0" w:space="0" w:color="auto"/>
            <w:bottom w:val="none" w:sz="0" w:space="0" w:color="auto"/>
            <w:right w:val="none" w:sz="0" w:space="0" w:color="auto"/>
          </w:divBdr>
        </w:div>
        <w:div w:id="300770883">
          <w:marLeft w:val="0"/>
          <w:marRight w:val="0"/>
          <w:marTop w:val="180"/>
          <w:marBottom w:val="240"/>
          <w:divBdr>
            <w:top w:val="none" w:sz="0" w:space="0" w:color="auto"/>
            <w:left w:val="none" w:sz="0" w:space="0" w:color="auto"/>
            <w:bottom w:val="none" w:sz="0" w:space="0" w:color="auto"/>
            <w:right w:val="none" w:sz="0" w:space="0" w:color="auto"/>
          </w:divBdr>
        </w:div>
      </w:divsChild>
    </w:div>
    <w:div w:id="1367178911">
      <w:bodyDiv w:val="1"/>
      <w:marLeft w:val="0"/>
      <w:marRight w:val="0"/>
      <w:marTop w:val="0"/>
      <w:marBottom w:val="0"/>
      <w:divBdr>
        <w:top w:val="none" w:sz="0" w:space="0" w:color="auto"/>
        <w:left w:val="none" w:sz="0" w:space="0" w:color="auto"/>
        <w:bottom w:val="none" w:sz="0" w:space="0" w:color="auto"/>
        <w:right w:val="none" w:sz="0" w:space="0" w:color="auto"/>
      </w:divBdr>
      <w:divsChild>
        <w:div w:id="1363049316">
          <w:marLeft w:val="0"/>
          <w:marRight w:val="0"/>
          <w:marTop w:val="360"/>
          <w:marBottom w:val="180"/>
          <w:divBdr>
            <w:top w:val="none" w:sz="0" w:space="0" w:color="auto"/>
            <w:left w:val="none" w:sz="0" w:space="0" w:color="auto"/>
            <w:bottom w:val="none" w:sz="0" w:space="0" w:color="auto"/>
            <w:right w:val="none" w:sz="0" w:space="0" w:color="auto"/>
          </w:divBdr>
        </w:div>
        <w:div w:id="1532180172">
          <w:marLeft w:val="0"/>
          <w:marRight w:val="0"/>
          <w:marTop w:val="180"/>
          <w:marBottom w:val="240"/>
          <w:divBdr>
            <w:top w:val="none" w:sz="0" w:space="0" w:color="auto"/>
            <w:left w:val="none" w:sz="0" w:space="0" w:color="auto"/>
            <w:bottom w:val="none" w:sz="0" w:space="0" w:color="auto"/>
            <w:right w:val="none" w:sz="0" w:space="0" w:color="auto"/>
          </w:divBdr>
        </w:div>
      </w:divsChild>
    </w:div>
    <w:div w:id="1390228730">
      <w:bodyDiv w:val="1"/>
      <w:marLeft w:val="0"/>
      <w:marRight w:val="0"/>
      <w:marTop w:val="0"/>
      <w:marBottom w:val="0"/>
      <w:divBdr>
        <w:top w:val="none" w:sz="0" w:space="0" w:color="auto"/>
        <w:left w:val="none" w:sz="0" w:space="0" w:color="auto"/>
        <w:bottom w:val="none" w:sz="0" w:space="0" w:color="auto"/>
        <w:right w:val="none" w:sz="0" w:space="0" w:color="auto"/>
      </w:divBdr>
      <w:divsChild>
        <w:div w:id="1235437191">
          <w:marLeft w:val="0"/>
          <w:marRight w:val="0"/>
          <w:marTop w:val="180"/>
          <w:marBottom w:val="240"/>
          <w:divBdr>
            <w:top w:val="none" w:sz="0" w:space="0" w:color="auto"/>
            <w:left w:val="none" w:sz="0" w:space="0" w:color="auto"/>
            <w:bottom w:val="none" w:sz="0" w:space="0" w:color="auto"/>
            <w:right w:val="none" w:sz="0" w:space="0" w:color="auto"/>
          </w:divBdr>
        </w:div>
        <w:div w:id="947271142">
          <w:marLeft w:val="0"/>
          <w:marRight w:val="0"/>
          <w:marTop w:val="360"/>
          <w:marBottom w:val="180"/>
          <w:divBdr>
            <w:top w:val="none" w:sz="0" w:space="0" w:color="auto"/>
            <w:left w:val="none" w:sz="0" w:space="0" w:color="auto"/>
            <w:bottom w:val="none" w:sz="0" w:space="0" w:color="auto"/>
            <w:right w:val="none" w:sz="0" w:space="0" w:color="auto"/>
          </w:divBdr>
        </w:div>
        <w:div w:id="1468862370">
          <w:marLeft w:val="0"/>
          <w:marRight w:val="0"/>
          <w:marTop w:val="180"/>
          <w:marBottom w:val="240"/>
          <w:divBdr>
            <w:top w:val="none" w:sz="0" w:space="0" w:color="auto"/>
            <w:left w:val="none" w:sz="0" w:space="0" w:color="auto"/>
            <w:bottom w:val="none" w:sz="0" w:space="0" w:color="auto"/>
            <w:right w:val="none" w:sz="0" w:space="0" w:color="auto"/>
          </w:divBdr>
        </w:div>
      </w:divsChild>
    </w:div>
    <w:div w:id="1395394893">
      <w:bodyDiv w:val="1"/>
      <w:marLeft w:val="0"/>
      <w:marRight w:val="0"/>
      <w:marTop w:val="0"/>
      <w:marBottom w:val="0"/>
      <w:divBdr>
        <w:top w:val="none" w:sz="0" w:space="0" w:color="auto"/>
        <w:left w:val="none" w:sz="0" w:space="0" w:color="auto"/>
        <w:bottom w:val="none" w:sz="0" w:space="0" w:color="auto"/>
        <w:right w:val="none" w:sz="0" w:space="0" w:color="auto"/>
      </w:divBdr>
      <w:divsChild>
        <w:div w:id="921449416">
          <w:marLeft w:val="0"/>
          <w:marRight w:val="0"/>
          <w:marTop w:val="360"/>
          <w:marBottom w:val="180"/>
          <w:divBdr>
            <w:top w:val="none" w:sz="0" w:space="0" w:color="auto"/>
            <w:left w:val="none" w:sz="0" w:space="0" w:color="auto"/>
            <w:bottom w:val="none" w:sz="0" w:space="0" w:color="auto"/>
            <w:right w:val="none" w:sz="0" w:space="0" w:color="auto"/>
          </w:divBdr>
        </w:div>
        <w:div w:id="156114213">
          <w:marLeft w:val="0"/>
          <w:marRight w:val="0"/>
          <w:marTop w:val="180"/>
          <w:marBottom w:val="240"/>
          <w:divBdr>
            <w:top w:val="none" w:sz="0" w:space="0" w:color="auto"/>
            <w:left w:val="none" w:sz="0" w:space="0" w:color="auto"/>
            <w:bottom w:val="none" w:sz="0" w:space="0" w:color="auto"/>
            <w:right w:val="none" w:sz="0" w:space="0" w:color="auto"/>
          </w:divBdr>
        </w:div>
        <w:div w:id="1771853583">
          <w:marLeft w:val="0"/>
          <w:marRight w:val="0"/>
          <w:marTop w:val="180"/>
          <w:marBottom w:val="240"/>
          <w:divBdr>
            <w:top w:val="none" w:sz="0" w:space="0" w:color="auto"/>
            <w:left w:val="none" w:sz="0" w:space="0" w:color="auto"/>
            <w:bottom w:val="none" w:sz="0" w:space="0" w:color="auto"/>
            <w:right w:val="none" w:sz="0" w:space="0" w:color="auto"/>
          </w:divBdr>
        </w:div>
        <w:div w:id="631711442">
          <w:marLeft w:val="0"/>
          <w:marRight w:val="0"/>
          <w:marTop w:val="360"/>
          <w:marBottom w:val="180"/>
          <w:divBdr>
            <w:top w:val="none" w:sz="0" w:space="0" w:color="auto"/>
            <w:left w:val="none" w:sz="0" w:space="0" w:color="auto"/>
            <w:bottom w:val="none" w:sz="0" w:space="0" w:color="auto"/>
            <w:right w:val="none" w:sz="0" w:space="0" w:color="auto"/>
          </w:divBdr>
        </w:div>
        <w:div w:id="1672222784">
          <w:marLeft w:val="0"/>
          <w:marRight w:val="0"/>
          <w:marTop w:val="180"/>
          <w:marBottom w:val="240"/>
          <w:divBdr>
            <w:top w:val="none" w:sz="0" w:space="0" w:color="auto"/>
            <w:left w:val="none" w:sz="0" w:space="0" w:color="auto"/>
            <w:bottom w:val="none" w:sz="0" w:space="0" w:color="auto"/>
            <w:right w:val="none" w:sz="0" w:space="0" w:color="auto"/>
          </w:divBdr>
        </w:div>
      </w:divsChild>
    </w:div>
    <w:div w:id="1413233986">
      <w:bodyDiv w:val="1"/>
      <w:marLeft w:val="0"/>
      <w:marRight w:val="0"/>
      <w:marTop w:val="0"/>
      <w:marBottom w:val="0"/>
      <w:divBdr>
        <w:top w:val="none" w:sz="0" w:space="0" w:color="auto"/>
        <w:left w:val="none" w:sz="0" w:space="0" w:color="auto"/>
        <w:bottom w:val="none" w:sz="0" w:space="0" w:color="auto"/>
        <w:right w:val="none" w:sz="0" w:space="0" w:color="auto"/>
      </w:divBdr>
      <w:divsChild>
        <w:div w:id="1761876277">
          <w:marLeft w:val="0"/>
          <w:marRight w:val="0"/>
          <w:marTop w:val="360"/>
          <w:marBottom w:val="180"/>
          <w:divBdr>
            <w:top w:val="none" w:sz="0" w:space="0" w:color="auto"/>
            <w:left w:val="none" w:sz="0" w:space="0" w:color="auto"/>
            <w:bottom w:val="none" w:sz="0" w:space="0" w:color="auto"/>
            <w:right w:val="none" w:sz="0" w:space="0" w:color="auto"/>
          </w:divBdr>
        </w:div>
        <w:div w:id="381711394">
          <w:marLeft w:val="0"/>
          <w:marRight w:val="0"/>
          <w:marTop w:val="180"/>
          <w:marBottom w:val="240"/>
          <w:divBdr>
            <w:top w:val="none" w:sz="0" w:space="0" w:color="auto"/>
            <w:left w:val="none" w:sz="0" w:space="0" w:color="auto"/>
            <w:bottom w:val="none" w:sz="0" w:space="0" w:color="auto"/>
            <w:right w:val="none" w:sz="0" w:space="0" w:color="auto"/>
          </w:divBdr>
        </w:div>
      </w:divsChild>
    </w:div>
    <w:div w:id="1446189593">
      <w:bodyDiv w:val="1"/>
      <w:marLeft w:val="0"/>
      <w:marRight w:val="0"/>
      <w:marTop w:val="0"/>
      <w:marBottom w:val="0"/>
      <w:divBdr>
        <w:top w:val="none" w:sz="0" w:space="0" w:color="auto"/>
        <w:left w:val="none" w:sz="0" w:space="0" w:color="auto"/>
        <w:bottom w:val="none" w:sz="0" w:space="0" w:color="auto"/>
        <w:right w:val="none" w:sz="0" w:space="0" w:color="auto"/>
      </w:divBdr>
      <w:divsChild>
        <w:div w:id="1088116983">
          <w:marLeft w:val="0"/>
          <w:marRight w:val="0"/>
          <w:marTop w:val="180"/>
          <w:marBottom w:val="240"/>
          <w:divBdr>
            <w:top w:val="none" w:sz="0" w:space="0" w:color="auto"/>
            <w:left w:val="none" w:sz="0" w:space="0" w:color="auto"/>
            <w:bottom w:val="none" w:sz="0" w:space="0" w:color="auto"/>
            <w:right w:val="none" w:sz="0" w:space="0" w:color="auto"/>
          </w:divBdr>
        </w:div>
        <w:div w:id="668288587">
          <w:marLeft w:val="0"/>
          <w:marRight w:val="0"/>
          <w:marTop w:val="180"/>
          <w:marBottom w:val="240"/>
          <w:divBdr>
            <w:top w:val="none" w:sz="0" w:space="0" w:color="auto"/>
            <w:left w:val="none" w:sz="0" w:space="0" w:color="auto"/>
            <w:bottom w:val="none" w:sz="0" w:space="0" w:color="auto"/>
            <w:right w:val="none" w:sz="0" w:space="0" w:color="auto"/>
          </w:divBdr>
        </w:div>
        <w:div w:id="1311055068">
          <w:marLeft w:val="0"/>
          <w:marRight w:val="0"/>
          <w:marTop w:val="360"/>
          <w:marBottom w:val="180"/>
          <w:divBdr>
            <w:top w:val="none" w:sz="0" w:space="0" w:color="auto"/>
            <w:left w:val="none" w:sz="0" w:space="0" w:color="auto"/>
            <w:bottom w:val="none" w:sz="0" w:space="0" w:color="auto"/>
            <w:right w:val="none" w:sz="0" w:space="0" w:color="auto"/>
          </w:divBdr>
        </w:div>
        <w:div w:id="980577393">
          <w:marLeft w:val="0"/>
          <w:marRight w:val="0"/>
          <w:marTop w:val="180"/>
          <w:marBottom w:val="240"/>
          <w:divBdr>
            <w:top w:val="none" w:sz="0" w:space="0" w:color="auto"/>
            <w:left w:val="none" w:sz="0" w:space="0" w:color="auto"/>
            <w:bottom w:val="none" w:sz="0" w:space="0" w:color="auto"/>
            <w:right w:val="none" w:sz="0" w:space="0" w:color="auto"/>
          </w:divBdr>
        </w:div>
        <w:div w:id="1274441271">
          <w:marLeft w:val="0"/>
          <w:marRight w:val="0"/>
          <w:marTop w:val="180"/>
          <w:marBottom w:val="240"/>
          <w:divBdr>
            <w:top w:val="none" w:sz="0" w:space="0" w:color="auto"/>
            <w:left w:val="none" w:sz="0" w:space="0" w:color="auto"/>
            <w:bottom w:val="none" w:sz="0" w:space="0" w:color="auto"/>
            <w:right w:val="none" w:sz="0" w:space="0" w:color="auto"/>
          </w:divBdr>
        </w:div>
        <w:div w:id="1264648353">
          <w:marLeft w:val="0"/>
          <w:marRight w:val="0"/>
          <w:marTop w:val="360"/>
          <w:marBottom w:val="180"/>
          <w:divBdr>
            <w:top w:val="none" w:sz="0" w:space="0" w:color="auto"/>
            <w:left w:val="none" w:sz="0" w:space="0" w:color="auto"/>
            <w:bottom w:val="none" w:sz="0" w:space="0" w:color="auto"/>
            <w:right w:val="none" w:sz="0" w:space="0" w:color="auto"/>
          </w:divBdr>
        </w:div>
        <w:div w:id="981808774">
          <w:marLeft w:val="0"/>
          <w:marRight w:val="0"/>
          <w:marTop w:val="180"/>
          <w:marBottom w:val="240"/>
          <w:divBdr>
            <w:top w:val="none" w:sz="0" w:space="0" w:color="auto"/>
            <w:left w:val="none" w:sz="0" w:space="0" w:color="auto"/>
            <w:bottom w:val="none" w:sz="0" w:space="0" w:color="auto"/>
            <w:right w:val="none" w:sz="0" w:space="0" w:color="auto"/>
          </w:divBdr>
        </w:div>
        <w:div w:id="982854984">
          <w:marLeft w:val="0"/>
          <w:marRight w:val="0"/>
          <w:marTop w:val="180"/>
          <w:marBottom w:val="240"/>
          <w:divBdr>
            <w:top w:val="none" w:sz="0" w:space="0" w:color="auto"/>
            <w:left w:val="none" w:sz="0" w:space="0" w:color="auto"/>
            <w:bottom w:val="none" w:sz="0" w:space="0" w:color="auto"/>
            <w:right w:val="none" w:sz="0" w:space="0" w:color="auto"/>
          </w:divBdr>
        </w:div>
        <w:div w:id="855576337">
          <w:marLeft w:val="0"/>
          <w:marRight w:val="0"/>
          <w:marTop w:val="180"/>
          <w:marBottom w:val="240"/>
          <w:divBdr>
            <w:top w:val="none" w:sz="0" w:space="0" w:color="auto"/>
            <w:left w:val="none" w:sz="0" w:space="0" w:color="auto"/>
            <w:bottom w:val="none" w:sz="0" w:space="0" w:color="auto"/>
            <w:right w:val="none" w:sz="0" w:space="0" w:color="auto"/>
          </w:divBdr>
        </w:div>
        <w:div w:id="20133753">
          <w:marLeft w:val="0"/>
          <w:marRight w:val="0"/>
          <w:marTop w:val="360"/>
          <w:marBottom w:val="180"/>
          <w:divBdr>
            <w:top w:val="none" w:sz="0" w:space="0" w:color="auto"/>
            <w:left w:val="none" w:sz="0" w:space="0" w:color="auto"/>
            <w:bottom w:val="none" w:sz="0" w:space="0" w:color="auto"/>
            <w:right w:val="none" w:sz="0" w:space="0" w:color="auto"/>
          </w:divBdr>
        </w:div>
        <w:div w:id="685331869">
          <w:marLeft w:val="0"/>
          <w:marRight w:val="0"/>
          <w:marTop w:val="180"/>
          <w:marBottom w:val="240"/>
          <w:divBdr>
            <w:top w:val="none" w:sz="0" w:space="0" w:color="auto"/>
            <w:left w:val="none" w:sz="0" w:space="0" w:color="auto"/>
            <w:bottom w:val="none" w:sz="0" w:space="0" w:color="auto"/>
            <w:right w:val="none" w:sz="0" w:space="0" w:color="auto"/>
          </w:divBdr>
        </w:div>
        <w:div w:id="1998420070">
          <w:marLeft w:val="0"/>
          <w:marRight w:val="0"/>
          <w:marTop w:val="360"/>
          <w:marBottom w:val="180"/>
          <w:divBdr>
            <w:top w:val="none" w:sz="0" w:space="0" w:color="auto"/>
            <w:left w:val="none" w:sz="0" w:space="0" w:color="auto"/>
            <w:bottom w:val="none" w:sz="0" w:space="0" w:color="auto"/>
            <w:right w:val="none" w:sz="0" w:space="0" w:color="auto"/>
          </w:divBdr>
        </w:div>
        <w:div w:id="2141653405">
          <w:marLeft w:val="0"/>
          <w:marRight w:val="0"/>
          <w:marTop w:val="180"/>
          <w:marBottom w:val="240"/>
          <w:divBdr>
            <w:top w:val="none" w:sz="0" w:space="0" w:color="auto"/>
            <w:left w:val="none" w:sz="0" w:space="0" w:color="auto"/>
            <w:bottom w:val="none" w:sz="0" w:space="0" w:color="auto"/>
            <w:right w:val="none" w:sz="0" w:space="0" w:color="auto"/>
          </w:divBdr>
        </w:div>
      </w:divsChild>
    </w:div>
    <w:div w:id="1470509600">
      <w:bodyDiv w:val="1"/>
      <w:marLeft w:val="0"/>
      <w:marRight w:val="0"/>
      <w:marTop w:val="0"/>
      <w:marBottom w:val="0"/>
      <w:divBdr>
        <w:top w:val="none" w:sz="0" w:space="0" w:color="auto"/>
        <w:left w:val="none" w:sz="0" w:space="0" w:color="auto"/>
        <w:bottom w:val="none" w:sz="0" w:space="0" w:color="auto"/>
        <w:right w:val="none" w:sz="0" w:space="0" w:color="auto"/>
      </w:divBdr>
    </w:div>
    <w:div w:id="1508249714">
      <w:bodyDiv w:val="1"/>
      <w:marLeft w:val="0"/>
      <w:marRight w:val="0"/>
      <w:marTop w:val="0"/>
      <w:marBottom w:val="0"/>
      <w:divBdr>
        <w:top w:val="none" w:sz="0" w:space="0" w:color="auto"/>
        <w:left w:val="none" w:sz="0" w:space="0" w:color="auto"/>
        <w:bottom w:val="none" w:sz="0" w:space="0" w:color="auto"/>
        <w:right w:val="none" w:sz="0" w:space="0" w:color="auto"/>
      </w:divBdr>
      <w:divsChild>
        <w:div w:id="2123567657">
          <w:marLeft w:val="0"/>
          <w:marRight w:val="0"/>
          <w:marTop w:val="180"/>
          <w:marBottom w:val="240"/>
          <w:divBdr>
            <w:top w:val="none" w:sz="0" w:space="0" w:color="auto"/>
            <w:left w:val="none" w:sz="0" w:space="0" w:color="auto"/>
            <w:bottom w:val="none" w:sz="0" w:space="0" w:color="auto"/>
            <w:right w:val="none" w:sz="0" w:space="0" w:color="auto"/>
          </w:divBdr>
        </w:div>
        <w:div w:id="889153948">
          <w:marLeft w:val="0"/>
          <w:marRight w:val="0"/>
          <w:marTop w:val="360"/>
          <w:marBottom w:val="180"/>
          <w:divBdr>
            <w:top w:val="none" w:sz="0" w:space="0" w:color="auto"/>
            <w:left w:val="none" w:sz="0" w:space="0" w:color="auto"/>
            <w:bottom w:val="none" w:sz="0" w:space="0" w:color="auto"/>
            <w:right w:val="none" w:sz="0" w:space="0" w:color="auto"/>
          </w:divBdr>
        </w:div>
        <w:div w:id="896284290">
          <w:marLeft w:val="0"/>
          <w:marRight w:val="0"/>
          <w:marTop w:val="180"/>
          <w:marBottom w:val="240"/>
          <w:divBdr>
            <w:top w:val="none" w:sz="0" w:space="0" w:color="auto"/>
            <w:left w:val="none" w:sz="0" w:space="0" w:color="auto"/>
            <w:bottom w:val="none" w:sz="0" w:space="0" w:color="auto"/>
            <w:right w:val="none" w:sz="0" w:space="0" w:color="auto"/>
          </w:divBdr>
        </w:div>
        <w:div w:id="1597133180">
          <w:marLeft w:val="0"/>
          <w:marRight w:val="0"/>
          <w:marTop w:val="360"/>
          <w:marBottom w:val="180"/>
          <w:divBdr>
            <w:top w:val="none" w:sz="0" w:space="0" w:color="auto"/>
            <w:left w:val="none" w:sz="0" w:space="0" w:color="auto"/>
            <w:bottom w:val="none" w:sz="0" w:space="0" w:color="auto"/>
            <w:right w:val="none" w:sz="0" w:space="0" w:color="auto"/>
          </w:divBdr>
        </w:div>
        <w:div w:id="323630821">
          <w:marLeft w:val="0"/>
          <w:marRight w:val="0"/>
          <w:marTop w:val="180"/>
          <w:marBottom w:val="240"/>
          <w:divBdr>
            <w:top w:val="none" w:sz="0" w:space="0" w:color="auto"/>
            <w:left w:val="none" w:sz="0" w:space="0" w:color="auto"/>
            <w:bottom w:val="none" w:sz="0" w:space="0" w:color="auto"/>
            <w:right w:val="none" w:sz="0" w:space="0" w:color="auto"/>
          </w:divBdr>
        </w:div>
        <w:div w:id="1990547659">
          <w:marLeft w:val="0"/>
          <w:marRight w:val="0"/>
          <w:marTop w:val="360"/>
          <w:marBottom w:val="180"/>
          <w:divBdr>
            <w:top w:val="none" w:sz="0" w:space="0" w:color="auto"/>
            <w:left w:val="none" w:sz="0" w:space="0" w:color="auto"/>
            <w:bottom w:val="none" w:sz="0" w:space="0" w:color="auto"/>
            <w:right w:val="none" w:sz="0" w:space="0" w:color="auto"/>
          </w:divBdr>
        </w:div>
        <w:div w:id="128282294">
          <w:marLeft w:val="0"/>
          <w:marRight w:val="0"/>
          <w:marTop w:val="180"/>
          <w:marBottom w:val="240"/>
          <w:divBdr>
            <w:top w:val="none" w:sz="0" w:space="0" w:color="auto"/>
            <w:left w:val="none" w:sz="0" w:space="0" w:color="auto"/>
            <w:bottom w:val="none" w:sz="0" w:space="0" w:color="auto"/>
            <w:right w:val="none" w:sz="0" w:space="0" w:color="auto"/>
          </w:divBdr>
        </w:div>
      </w:divsChild>
    </w:div>
    <w:div w:id="1510485147">
      <w:bodyDiv w:val="1"/>
      <w:marLeft w:val="0"/>
      <w:marRight w:val="0"/>
      <w:marTop w:val="0"/>
      <w:marBottom w:val="0"/>
      <w:divBdr>
        <w:top w:val="none" w:sz="0" w:space="0" w:color="auto"/>
        <w:left w:val="none" w:sz="0" w:space="0" w:color="auto"/>
        <w:bottom w:val="none" w:sz="0" w:space="0" w:color="auto"/>
        <w:right w:val="none" w:sz="0" w:space="0" w:color="auto"/>
      </w:divBdr>
      <w:divsChild>
        <w:div w:id="531890231">
          <w:marLeft w:val="0"/>
          <w:marRight w:val="0"/>
          <w:marTop w:val="360"/>
          <w:marBottom w:val="180"/>
          <w:divBdr>
            <w:top w:val="none" w:sz="0" w:space="0" w:color="auto"/>
            <w:left w:val="none" w:sz="0" w:space="0" w:color="auto"/>
            <w:bottom w:val="none" w:sz="0" w:space="0" w:color="auto"/>
            <w:right w:val="none" w:sz="0" w:space="0" w:color="auto"/>
          </w:divBdr>
        </w:div>
        <w:div w:id="1275137470">
          <w:marLeft w:val="0"/>
          <w:marRight w:val="0"/>
          <w:marTop w:val="360"/>
          <w:marBottom w:val="180"/>
          <w:divBdr>
            <w:top w:val="none" w:sz="0" w:space="0" w:color="auto"/>
            <w:left w:val="none" w:sz="0" w:space="0" w:color="auto"/>
            <w:bottom w:val="none" w:sz="0" w:space="0" w:color="auto"/>
            <w:right w:val="none" w:sz="0" w:space="0" w:color="auto"/>
          </w:divBdr>
        </w:div>
        <w:div w:id="815531527">
          <w:marLeft w:val="0"/>
          <w:marRight w:val="0"/>
          <w:marTop w:val="180"/>
          <w:marBottom w:val="240"/>
          <w:divBdr>
            <w:top w:val="none" w:sz="0" w:space="0" w:color="auto"/>
            <w:left w:val="none" w:sz="0" w:space="0" w:color="auto"/>
            <w:bottom w:val="none" w:sz="0" w:space="0" w:color="auto"/>
            <w:right w:val="none" w:sz="0" w:space="0" w:color="auto"/>
          </w:divBdr>
        </w:div>
        <w:div w:id="877621970">
          <w:marLeft w:val="0"/>
          <w:marRight w:val="0"/>
          <w:marTop w:val="180"/>
          <w:marBottom w:val="240"/>
          <w:divBdr>
            <w:top w:val="none" w:sz="0" w:space="0" w:color="auto"/>
            <w:left w:val="none" w:sz="0" w:space="0" w:color="auto"/>
            <w:bottom w:val="none" w:sz="0" w:space="0" w:color="auto"/>
            <w:right w:val="none" w:sz="0" w:space="0" w:color="auto"/>
          </w:divBdr>
        </w:div>
        <w:div w:id="364645167">
          <w:marLeft w:val="0"/>
          <w:marRight w:val="0"/>
          <w:marTop w:val="360"/>
          <w:marBottom w:val="180"/>
          <w:divBdr>
            <w:top w:val="none" w:sz="0" w:space="0" w:color="auto"/>
            <w:left w:val="none" w:sz="0" w:space="0" w:color="auto"/>
            <w:bottom w:val="none" w:sz="0" w:space="0" w:color="auto"/>
            <w:right w:val="none" w:sz="0" w:space="0" w:color="auto"/>
          </w:divBdr>
        </w:div>
        <w:div w:id="674190941">
          <w:marLeft w:val="0"/>
          <w:marRight w:val="0"/>
          <w:marTop w:val="180"/>
          <w:marBottom w:val="240"/>
          <w:divBdr>
            <w:top w:val="none" w:sz="0" w:space="0" w:color="auto"/>
            <w:left w:val="none" w:sz="0" w:space="0" w:color="auto"/>
            <w:bottom w:val="none" w:sz="0" w:space="0" w:color="auto"/>
            <w:right w:val="none" w:sz="0" w:space="0" w:color="auto"/>
          </w:divBdr>
        </w:div>
        <w:div w:id="1553342141">
          <w:marLeft w:val="0"/>
          <w:marRight w:val="0"/>
          <w:marTop w:val="360"/>
          <w:marBottom w:val="180"/>
          <w:divBdr>
            <w:top w:val="none" w:sz="0" w:space="0" w:color="auto"/>
            <w:left w:val="none" w:sz="0" w:space="0" w:color="auto"/>
            <w:bottom w:val="none" w:sz="0" w:space="0" w:color="auto"/>
            <w:right w:val="none" w:sz="0" w:space="0" w:color="auto"/>
          </w:divBdr>
        </w:div>
      </w:divsChild>
    </w:div>
    <w:div w:id="1542329130">
      <w:bodyDiv w:val="1"/>
      <w:marLeft w:val="0"/>
      <w:marRight w:val="0"/>
      <w:marTop w:val="0"/>
      <w:marBottom w:val="0"/>
      <w:divBdr>
        <w:top w:val="none" w:sz="0" w:space="0" w:color="auto"/>
        <w:left w:val="none" w:sz="0" w:space="0" w:color="auto"/>
        <w:bottom w:val="none" w:sz="0" w:space="0" w:color="auto"/>
        <w:right w:val="none" w:sz="0" w:space="0" w:color="auto"/>
      </w:divBdr>
      <w:divsChild>
        <w:div w:id="899436139">
          <w:marLeft w:val="0"/>
          <w:marRight w:val="0"/>
          <w:marTop w:val="180"/>
          <w:marBottom w:val="240"/>
          <w:divBdr>
            <w:top w:val="none" w:sz="0" w:space="0" w:color="auto"/>
            <w:left w:val="none" w:sz="0" w:space="0" w:color="auto"/>
            <w:bottom w:val="none" w:sz="0" w:space="0" w:color="auto"/>
            <w:right w:val="none" w:sz="0" w:space="0" w:color="auto"/>
          </w:divBdr>
        </w:div>
        <w:div w:id="284390581">
          <w:marLeft w:val="0"/>
          <w:marRight w:val="0"/>
          <w:marTop w:val="360"/>
          <w:marBottom w:val="180"/>
          <w:divBdr>
            <w:top w:val="none" w:sz="0" w:space="0" w:color="auto"/>
            <w:left w:val="none" w:sz="0" w:space="0" w:color="auto"/>
            <w:bottom w:val="none" w:sz="0" w:space="0" w:color="auto"/>
            <w:right w:val="none" w:sz="0" w:space="0" w:color="auto"/>
          </w:divBdr>
        </w:div>
        <w:div w:id="1644386800">
          <w:marLeft w:val="0"/>
          <w:marRight w:val="0"/>
          <w:marTop w:val="180"/>
          <w:marBottom w:val="240"/>
          <w:divBdr>
            <w:top w:val="none" w:sz="0" w:space="0" w:color="auto"/>
            <w:left w:val="none" w:sz="0" w:space="0" w:color="auto"/>
            <w:bottom w:val="none" w:sz="0" w:space="0" w:color="auto"/>
            <w:right w:val="none" w:sz="0" w:space="0" w:color="auto"/>
          </w:divBdr>
        </w:div>
      </w:divsChild>
    </w:div>
    <w:div w:id="1574505197">
      <w:bodyDiv w:val="1"/>
      <w:marLeft w:val="0"/>
      <w:marRight w:val="0"/>
      <w:marTop w:val="0"/>
      <w:marBottom w:val="0"/>
      <w:divBdr>
        <w:top w:val="none" w:sz="0" w:space="0" w:color="auto"/>
        <w:left w:val="none" w:sz="0" w:space="0" w:color="auto"/>
        <w:bottom w:val="none" w:sz="0" w:space="0" w:color="auto"/>
        <w:right w:val="none" w:sz="0" w:space="0" w:color="auto"/>
      </w:divBdr>
      <w:divsChild>
        <w:div w:id="1941908469">
          <w:marLeft w:val="0"/>
          <w:marRight w:val="0"/>
          <w:marTop w:val="360"/>
          <w:marBottom w:val="180"/>
          <w:divBdr>
            <w:top w:val="none" w:sz="0" w:space="0" w:color="auto"/>
            <w:left w:val="none" w:sz="0" w:space="0" w:color="auto"/>
            <w:bottom w:val="none" w:sz="0" w:space="0" w:color="auto"/>
            <w:right w:val="none" w:sz="0" w:space="0" w:color="auto"/>
          </w:divBdr>
        </w:div>
        <w:div w:id="1879858535">
          <w:marLeft w:val="0"/>
          <w:marRight w:val="0"/>
          <w:marTop w:val="180"/>
          <w:marBottom w:val="240"/>
          <w:divBdr>
            <w:top w:val="none" w:sz="0" w:space="0" w:color="auto"/>
            <w:left w:val="none" w:sz="0" w:space="0" w:color="auto"/>
            <w:bottom w:val="none" w:sz="0" w:space="0" w:color="auto"/>
            <w:right w:val="none" w:sz="0" w:space="0" w:color="auto"/>
          </w:divBdr>
        </w:div>
      </w:divsChild>
    </w:div>
    <w:div w:id="1635214105">
      <w:bodyDiv w:val="1"/>
      <w:marLeft w:val="0"/>
      <w:marRight w:val="0"/>
      <w:marTop w:val="0"/>
      <w:marBottom w:val="0"/>
      <w:divBdr>
        <w:top w:val="none" w:sz="0" w:space="0" w:color="auto"/>
        <w:left w:val="none" w:sz="0" w:space="0" w:color="auto"/>
        <w:bottom w:val="none" w:sz="0" w:space="0" w:color="auto"/>
        <w:right w:val="none" w:sz="0" w:space="0" w:color="auto"/>
      </w:divBdr>
      <w:divsChild>
        <w:div w:id="362677748">
          <w:marLeft w:val="0"/>
          <w:marRight w:val="0"/>
          <w:marTop w:val="180"/>
          <w:marBottom w:val="240"/>
          <w:divBdr>
            <w:top w:val="none" w:sz="0" w:space="0" w:color="auto"/>
            <w:left w:val="none" w:sz="0" w:space="0" w:color="auto"/>
            <w:bottom w:val="none" w:sz="0" w:space="0" w:color="auto"/>
            <w:right w:val="none" w:sz="0" w:space="0" w:color="auto"/>
          </w:divBdr>
        </w:div>
        <w:div w:id="1685664027">
          <w:marLeft w:val="0"/>
          <w:marRight w:val="0"/>
          <w:marTop w:val="360"/>
          <w:marBottom w:val="180"/>
          <w:divBdr>
            <w:top w:val="none" w:sz="0" w:space="0" w:color="auto"/>
            <w:left w:val="none" w:sz="0" w:space="0" w:color="auto"/>
            <w:bottom w:val="none" w:sz="0" w:space="0" w:color="auto"/>
            <w:right w:val="none" w:sz="0" w:space="0" w:color="auto"/>
          </w:divBdr>
        </w:div>
        <w:div w:id="1914848804">
          <w:marLeft w:val="0"/>
          <w:marRight w:val="0"/>
          <w:marTop w:val="180"/>
          <w:marBottom w:val="240"/>
          <w:divBdr>
            <w:top w:val="none" w:sz="0" w:space="0" w:color="auto"/>
            <w:left w:val="none" w:sz="0" w:space="0" w:color="auto"/>
            <w:bottom w:val="none" w:sz="0" w:space="0" w:color="auto"/>
            <w:right w:val="none" w:sz="0" w:space="0" w:color="auto"/>
          </w:divBdr>
        </w:div>
      </w:divsChild>
    </w:div>
    <w:div w:id="1650086525">
      <w:bodyDiv w:val="1"/>
      <w:marLeft w:val="0"/>
      <w:marRight w:val="0"/>
      <w:marTop w:val="0"/>
      <w:marBottom w:val="0"/>
      <w:divBdr>
        <w:top w:val="none" w:sz="0" w:space="0" w:color="auto"/>
        <w:left w:val="none" w:sz="0" w:space="0" w:color="auto"/>
        <w:bottom w:val="none" w:sz="0" w:space="0" w:color="auto"/>
        <w:right w:val="none" w:sz="0" w:space="0" w:color="auto"/>
      </w:divBdr>
      <w:divsChild>
        <w:div w:id="830407689">
          <w:marLeft w:val="0"/>
          <w:marRight w:val="0"/>
          <w:marTop w:val="360"/>
          <w:marBottom w:val="180"/>
          <w:divBdr>
            <w:top w:val="none" w:sz="0" w:space="0" w:color="auto"/>
            <w:left w:val="none" w:sz="0" w:space="0" w:color="auto"/>
            <w:bottom w:val="none" w:sz="0" w:space="0" w:color="auto"/>
            <w:right w:val="none" w:sz="0" w:space="0" w:color="auto"/>
          </w:divBdr>
        </w:div>
        <w:div w:id="1460999295">
          <w:marLeft w:val="0"/>
          <w:marRight w:val="0"/>
          <w:marTop w:val="180"/>
          <w:marBottom w:val="240"/>
          <w:divBdr>
            <w:top w:val="none" w:sz="0" w:space="0" w:color="auto"/>
            <w:left w:val="none" w:sz="0" w:space="0" w:color="auto"/>
            <w:bottom w:val="none" w:sz="0" w:space="0" w:color="auto"/>
            <w:right w:val="none" w:sz="0" w:space="0" w:color="auto"/>
          </w:divBdr>
        </w:div>
      </w:divsChild>
    </w:div>
    <w:div w:id="1675181999">
      <w:bodyDiv w:val="1"/>
      <w:marLeft w:val="0"/>
      <w:marRight w:val="0"/>
      <w:marTop w:val="0"/>
      <w:marBottom w:val="0"/>
      <w:divBdr>
        <w:top w:val="none" w:sz="0" w:space="0" w:color="auto"/>
        <w:left w:val="none" w:sz="0" w:space="0" w:color="auto"/>
        <w:bottom w:val="none" w:sz="0" w:space="0" w:color="auto"/>
        <w:right w:val="none" w:sz="0" w:space="0" w:color="auto"/>
      </w:divBdr>
      <w:divsChild>
        <w:div w:id="1070931811">
          <w:marLeft w:val="0"/>
          <w:marRight w:val="0"/>
          <w:marTop w:val="360"/>
          <w:marBottom w:val="180"/>
          <w:divBdr>
            <w:top w:val="none" w:sz="0" w:space="0" w:color="auto"/>
            <w:left w:val="none" w:sz="0" w:space="0" w:color="auto"/>
            <w:bottom w:val="none" w:sz="0" w:space="0" w:color="auto"/>
            <w:right w:val="none" w:sz="0" w:space="0" w:color="auto"/>
          </w:divBdr>
        </w:div>
        <w:div w:id="455216706">
          <w:marLeft w:val="0"/>
          <w:marRight w:val="0"/>
          <w:marTop w:val="180"/>
          <w:marBottom w:val="240"/>
          <w:divBdr>
            <w:top w:val="none" w:sz="0" w:space="0" w:color="auto"/>
            <w:left w:val="none" w:sz="0" w:space="0" w:color="auto"/>
            <w:bottom w:val="none" w:sz="0" w:space="0" w:color="auto"/>
            <w:right w:val="none" w:sz="0" w:space="0" w:color="auto"/>
          </w:divBdr>
        </w:div>
        <w:div w:id="1580938685">
          <w:marLeft w:val="0"/>
          <w:marRight w:val="0"/>
          <w:marTop w:val="180"/>
          <w:marBottom w:val="240"/>
          <w:divBdr>
            <w:top w:val="none" w:sz="0" w:space="0" w:color="auto"/>
            <w:left w:val="none" w:sz="0" w:space="0" w:color="auto"/>
            <w:bottom w:val="none" w:sz="0" w:space="0" w:color="auto"/>
            <w:right w:val="none" w:sz="0" w:space="0" w:color="auto"/>
          </w:divBdr>
        </w:div>
        <w:div w:id="886796735">
          <w:marLeft w:val="0"/>
          <w:marRight w:val="0"/>
          <w:marTop w:val="360"/>
          <w:marBottom w:val="180"/>
          <w:divBdr>
            <w:top w:val="none" w:sz="0" w:space="0" w:color="auto"/>
            <w:left w:val="none" w:sz="0" w:space="0" w:color="auto"/>
            <w:bottom w:val="none" w:sz="0" w:space="0" w:color="auto"/>
            <w:right w:val="none" w:sz="0" w:space="0" w:color="auto"/>
          </w:divBdr>
        </w:div>
        <w:div w:id="1430926428">
          <w:marLeft w:val="0"/>
          <w:marRight w:val="0"/>
          <w:marTop w:val="180"/>
          <w:marBottom w:val="240"/>
          <w:divBdr>
            <w:top w:val="none" w:sz="0" w:space="0" w:color="auto"/>
            <w:left w:val="none" w:sz="0" w:space="0" w:color="auto"/>
            <w:bottom w:val="none" w:sz="0" w:space="0" w:color="auto"/>
            <w:right w:val="none" w:sz="0" w:space="0" w:color="auto"/>
          </w:divBdr>
        </w:div>
      </w:divsChild>
    </w:div>
    <w:div w:id="1701588613">
      <w:bodyDiv w:val="1"/>
      <w:marLeft w:val="0"/>
      <w:marRight w:val="0"/>
      <w:marTop w:val="0"/>
      <w:marBottom w:val="0"/>
      <w:divBdr>
        <w:top w:val="none" w:sz="0" w:space="0" w:color="auto"/>
        <w:left w:val="none" w:sz="0" w:space="0" w:color="auto"/>
        <w:bottom w:val="none" w:sz="0" w:space="0" w:color="auto"/>
        <w:right w:val="none" w:sz="0" w:space="0" w:color="auto"/>
      </w:divBdr>
      <w:divsChild>
        <w:div w:id="265888153">
          <w:marLeft w:val="0"/>
          <w:marRight w:val="0"/>
          <w:marTop w:val="360"/>
          <w:marBottom w:val="180"/>
          <w:divBdr>
            <w:top w:val="none" w:sz="0" w:space="0" w:color="auto"/>
            <w:left w:val="none" w:sz="0" w:space="0" w:color="auto"/>
            <w:bottom w:val="none" w:sz="0" w:space="0" w:color="auto"/>
            <w:right w:val="none" w:sz="0" w:space="0" w:color="auto"/>
          </w:divBdr>
        </w:div>
        <w:div w:id="2110269569">
          <w:marLeft w:val="0"/>
          <w:marRight w:val="0"/>
          <w:marTop w:val="180"/>
          <w:marBottom w:val="240"/>
          <w:divBdr>
            <w:top w:val="none" w:sz="0" w:space="0" w:color="auto"/>
            <w:left w:val="none" w:sz="0" w:space="0" w:color="auto"/>
            <w:bottom w:val="none" w:sz="0" w:space="0" w:color="auto"/>
            <w:right w:val="none" w:sz="0" w:space="0" w:color="auto"/>
          </w:divBdr>
        </w:div>
      </w:divsChild>
    </w:div>
    <w:div w:id="1723945981">
      <w:bodyDiv w:val="1"/>
      <w:marLeft w:val="0"/>
      <w:marRight w:val="0"/>
      <w:marTop w:val="0"/>
      <w:marBottom w:val="0"/>
      <w:divBdr>
        <w:top w:val="none" w:sz="0" w:space="0" w:color="auto"/>
        <w:left w:val="none" w:sz="0" w:space="0" w:color="auto"/>
        <w:bottom w:val="none" w:sz="0" w:space="0" w:color="auto"/>
        <w:right w:val="none" w:sz="0" w:space="0" w:color="auto"/>
      </w:divBdr>
      <w:divsChild>
        <w:div w:id="659696690">
          <w:marLeft w:val="0"/>
          <w:marRight w:val="0"/>
          <w:marTop w:val="360"/>
          <w:marBottom w:val="180"/>
          <w:divBdr>
            <w:top w:val="none" w:sz="0" w:space="0" w:color="auto"/>
            <w:left w:val="none" w:sz="0" w:space="0" w:color="auto"/>
            <w:bottom w:val="none" w:sz="0" w:space="0" w:color="auto"/>
            <w:right w:val="none" w:sz="0" w:space="0" w:color="auto"/>
          </w:divBdr>
        </w:div>
        <w:div w:id="555354645">
          <w:marLeft w:val="0"/>
          <w:marRight w:val="0"/>
          <w:marTop w:val="360"/>
          <w:marBottom w:val="180"/>
          <w:divBdr>
            <w:top w:val="none" w:sz="0" w:space="0" w:color="auto"/>
            <w:left w:val="none" w:sz="0" w:space="0" w:color="auto"/>
            <w:bottom w:val="none" w:sz="0" w:space="0" w:color="auto"/>
            <w:right w:val="none" w:sz="0" w:space="0" w:color="auto"/>
          </w:divBdr>
        </w:div>
        <w:div w:id="1473981384">
          <w:marLeft w:val="0"/>
          <w:marRight w:val="0"/>
          <w:marTop w:val="180"/>
          <w:marBottom w:val="240"/>
          <w:divBdr>
            <w:top w:val="none" w:sz="0" w:space="0" w:color="auto"/>
            <w:left w:val="none" w:sz="0" w:space="0" w:color="auto"/>
            <w:bottom w:val="none" w:sz="0" w:space="0" w:color="auto"/>
            <w:right w:val="none" w:sz="0" w:space="0" w:color="auto"/>
          </w:divBdr>
        </w:div>
        <w:div w:id="428237471">
          <w:marLeft w:val="0"/>
          <w:marRight w:val="0"/>
          <w:marTop w:val="180"/>
          <w:marBottom w:val="240"/>
          <w:divBdr>
            <w:top w:val="none" w:sz="0" w:space="0" w:color="auto"/>
            <w:left w:val="none" w:sz="0" w:space="0" w:color="auto"/>
            <w:bottom w:val="none" w:sz="0" w:space="0" w:color="auto"/>
            <w:right w:val="none" w:sz="0" w:space="0" w:color="auto"/>
          </w:divBdr>
        </w:div>
        <w:div w:id="234630460">
          <w:marLeft w:val="0"/>
          <w:marRight w:val="0"/>
          <w:marTop w:val="180"/>
          <w:marBottom w:val="240"/>
          <w:divBdr>
            <w:top w:val="none" w:sz="0" w:space="0" w:color="auto"/>
            <w:left w:val="none" w:sz="0" w:space="0" w:color="auto"/>
            <w:bottom w:val="none" w:sz="0" w:space="0" w:color="auto"/>
            <w:right w:val="none" w:sz="0" w:space="0" w:color="auto"/>
          </w:divBdr>
        </w:div>
        <w:div w:id="1618219330">
          <w:marLeft w:val="0"/>
          <w:marRight w:val="0"/>
          <w:marTop w:val="360"/>
          <w:marBottom w:val="180"/>
          <w:divBdr>
            <w:top w:val="none" w:sz="0" w:space="0" w:color="auto"/>
            <w:left w:val="none" w:sz="0" w:space="0" w:color="auto"/>
            <w:bottom w:val="none" w:sz="0" w:space="0" w:color="auto"/>
            <w:right w:val="none" w:sz="0" w:space="0" w:color="auto"/>
          </w:divBdr>
        </w:div>
        <w:div w:id="740252583">
          <w:marLeft w:val="0"/>
          <w:marRight w:val="0"/>
          <w:marTop w:val="180"/>
          <w:marBottom w:val="240"/>
          <w:divBdr>
            <w:top w:val="none" w:sz="0" w:space="0" w:color="auto"/>
            <w:left w:val="none" w:sz="0" w:space="0" w:color="auto"/>
            <w:bottom w:val="none" w:sz="0" w:space="0" w:color="auto"/>
            <w:right w:val="none" w:sz="0" w:space="0" w:color="auto"/>
          </w:divBdr>
        </w:div>
        <w:div w:id="1077287228">
          <w:marLeft w:val="0"/>
          <w:marRight w:val="0"/>
          <w:marTop w:val="180"/>
          <w:marBottom w:val="240"/>
          <w:divBdr>
            <w:top w:val="none" w:sz="0" w:space="0" w:color="auto"/>
            <w:left w:val="none" w:sz="0" w:space="0" w:color="auto"/>
            <w:bottom w:val="none" w:sz="0" w:space="0" w:color="auto"/>
            <w:right w:val="none" w:sz="0" w:space="0" w:color="auto"/>
          </w:divBdr>
        </w:div>
        <w:div w:id="249776302">
          <w:marLeft w:val="0"/>
          <w:marRight w:val="0"/>
          <w:marTop w:val="180"/>
          <w:marBottom w:val="240"/>
          <w:divBdr>
            <w:top w:val="none" w:sz="0" w:space="0" w:color="auto"/>
            <w:left w:val="none" w:sz="0" w:space="0" w:color="auto"/>
            <w:bottom w:val="none" w:sz="0" w:space="0" w:color="auto"/>
            <w:right w:val="none" w:sz="0" w:space="0" w:color="auto"/>
          </w:divBdr>
        </w:div>
      </w:divsChild>
    </w:div>
    <w:div w:id="1730835365">
      <w:bodyDiv w:val="1"/>
      <w:marLeft w:val="0"/>
      <w:marRight w:val="0"/>
      <w:marTop w:val="0"/>
      <w:marBottom w:val="0"/>
      <w:divBdr>
        <w:top w:val="none" w:sz="0" w:space="0" w:color="auto"/>
        <w:left w:val="none" w:sz="0" w:space="0" w:color="auto"/>
        <w:bottom w:val="none" w:sz="0" w:space="0" w:color="auto"/>
        <w:right w:val="none" w:sz="0" w:space="0" w:color="auto"/>
      </w:divBdr>
      <w:divsChild>
        <w:div w:id="485704109">
          <w:marLeft w:val="0"/>
          <w:marRight w:val="0"/>
          <w:marTop w:val="360"/>
          <w:marBottom w:val="180"/>
          <w:divBdr>
            <w:top w:val="none" w:sz="0" w:space="0" w:color="auto"/>
            <w:left w:val="none" w:sz="0" w:space="0" w:color="auto"/>
            <w:bottom w:val="none" w:sz="0" w:space="0" w:color="auto"/>
            <w:right w:val="none" w:sz="0" w:space="0" w:color="auto"/>
          </w:divBdr>
        </w:div>
        <w:div w:id="925378509">
          <w:marLeft w:val="0"/>
          <w:marRight w:val="0"/>
          <w:marTop w:val="180"/>
          <w:marBottom w:val="240"/>
          <w:divBdr>
            <w:top w:val="none" w:sz="0" w:space="0" w:color="auto"/>
            <w:left w:val="none" w:sz="0" w:space="0" w:color="auto"/>
            <w:bottom w:val="none" w:sz="0" w:space="0" w:color="auto"/>
            <w:right w:val="none" w:sz="0" w:space="0" w:color="auto"/>
          </w:divBdr>
        </w:div>
        <w:div w:id="20978808">
          <w:marLeft w:val="0"/>
          <w:marRight w:val="0"/>
          <w:marTop w:val="180"/>
          <w:marBottom w:val="240"/>
          <w:divBdr>
            <w:top w:val="none" w:sz="0" w:space="0" w:color="auto"/>
            <w:left w:val="none" w:sz="0" w:space="0" w:color="auto"/>
            <w:bottom w:val="none" w:sz="0" w:space="0" w:color="auto"/>
            <w:right w:val="none" w:sz="0" w:space="0" w:color="auto"/>
          </w:divBdr>
        </w:div>
        <w:div w:id="700204923">
          <w:marLeft w:val="0"/>
          <w:marRight w:val="0"/>
          <w:marTop w:val="180"/>
          <w:marBottom w:val="240"/>
          <w:divBdr>
            <w:top w:val="none" w:sz="0" w:space="0" w:color="auto"/>
            <w:left w:val="none" w:sz="0" w:space="0" w:color="auto"/>
            <w:bottom w:val="none" w:sz="0" w:space="0" w:color="auto"/>
            <w:right w:val="none" w:sz="0" w:space="0" w:color="auto"/>
          </w:divBdr>
        </w:div>
      </w:divsChild>
    </w:div>
    <w:div w:id="1738361160">
      <w:bodyDiv w:val="1"/>
      <w:marLeft w:val="0"/>
      <w:marRight w:val="0"/>
      <w:marTop w:val="0"/>
      <w:marBottom w:val="0"/>
      <w:divBdr>
        <w:top w:val="none" w:sz="0" w:space="0" w:color="auto"/>
        <w:left w:val="none" w:sz="0" w:space="0" w:color="auto"/>
        <w:bottom w:val="none" w:sz="0" w:space="0" w:color="auto"/>
        <w:right w:val="none" w:sz="0" w:space="0" w:color="auto"/>
      </w:divBdr>
      <w:divsChild>
        <w:div w:id="504323574">
          <w:marLeft w:val="0"/>
          <w:marRight w:val="0"/>
          <w:marTop w:val="360"/>
          <w:marBottom w:val="180"/>
          <w:divBdr>
            <w:top w:val="none" w:sz="0" w:space="0" w:color="auto"/>
            <w:left w:val="none" w:sz="0" w:space="0" w:color="auto"/>
            <w:bottom w:val="none" w:sz="0" w:space="0" w:color="auto"/>
            <w:right w:val="none" w:sz="0" w:space="0" w:color="auto"/>
          </w:divBdr>
        </w:div>
        <w:div w:id="1102340631">
          <w:marLeft w:val="0"/>
          <w:marRight w:val="0"/>
          <w:marTop w:val="360"/>
          <w:marBottom w:val="180"/>
          <w:divBdr>
            <w:top w:val="none" w:sz="0" w:space="0" w:color="auto"/>
            <w:left w:val="none" w:sz="0" w:space="0" w:color="auto"/>
            <w:bottom w:val="none" w:sz="0" w:space="0" w:color="auto"/>
            <w:right w:val="none" w:sz="0" w:space="0" w:color="auto"/>
          </w:divBdr>
        </w:div>
        <w:div w:id="1096438392">
          <w:marLeft w:val="0"/>
          <w:marRight w:val="0"/>
          <w:marTop w:val="180"/>
          <w:marBottom w:val="240"/>
          <w:divBdr>
            <w:top w:val="none" w:sz="0" w:space="0" w:color="auto"/>
            <w:left w:val="none" w:sz="0" w:space="0" w:color="auto"/>
            <w:bottom w:val="none" w:sz="0" w:space="0" w:color="auto"/>
            <w:right w:val="none" w:sz="0" w:space="0" w:color="auto"/>
          </w:divBdr>
        </w:div>
        <w:div w:id="1759524938">
          <w:marLeft w:val="0"/>
          <w:marRight w:val="0"/>
          <w:marTop w:val="180"/>
          <w:marBottom w:val="240"/>
          <w:divBdr>
            <w:top w:val="none" w:sz="0" w:space="0" w:color="auto"/>
            <w:left w:val="none" w:sz="0" w:space="0" w:color="auto"/>
            <w:bottom w:val="none" w:sz="0" w:space="0" w:color="auto"/>
            <w:right w:val="none" w:sz="0" w:space="0" w:color="auto"/>
          </w:divBdr>
        </w:div>
        <w:div w:id="2080790015">
          <w:marLeft w:val="0"/>
          <w:marRight w:val="0"/>
          <w:marTop w:val="180"/>
          <w:marBottom w:val="240"/>
          <w:divBdr>
            <w:top w:val="none" w:sz="0" w:space="0" w:color="auto"/>
            <w:left w:val="none" w:sz="0" w:space="0" w:color="auto"/>
            <w:bottom w:val="none" w:sz="0" w:space="0" w:color="auto"/>
            <w:right w:val="none" w:sz="0" w:space="0" w:color="auto"/>
          </w:divBdr>
        </w:div>
        <w:div w:id="920138440">
          <w:marLeft w:val="0"/>
          <w:marRight w:val="0"/>
          <w:marTop w:val="360"/>
          <w:marBottom w:val="180"/>
          <w:divBdr>
            <w:top w:val="none" w:sz="0" w:space="0" w:color="auto"/>
            <w:left w:val="none" w:sz="0" w:space="0" w:color="auto"/>
            <w:bottom w:val="none" w:sz="0" w:space="0" w:color="auto"/>
            <w:right w:val="none" w:sz="0" w:space="0" w:color="auto"/>
          </w:divBdr>
        </w:div>
        <w:div w:id="988511500">
          <w:marLeft w:val="0"/>
          <w:marRight w:val="0"/>
          <w:marTop w:val="180"/>
          <w:marBottom w:val="240"/>
          <w:divBdr>
            <w:top w:val="none" w:sz="0" w:space="0" w:color="auto"/>
            <w:left w:val="none" w:sz="0" w:space="0" w:color="auto"/>
            <w:bottom w:val="none" w:sz="0" w:space="0" w:color="auto"/>
            <w:right w:val="none" w:sz="0" w:space="0" w:color="auto"/>
          </w:divBdr>
        </w:div>
        <w:div w:id="1745179356">
          <w:marLeft w:val="0"/>
          <w:marRight w:val="0"/>
          <w:marTop w:val="180"/>
          <w:marBottom w:val="240"/>
          <w:divBdr>
            <w:top w:val="none" w:sz="0" w:space="0" w:color="auto"/>
            <w:left w:val="none" w:sz="0" w:space="0" w:color="auto"/>
            <w:bottom w:val="none" w:sz="0" w:space="0" w:color="auto"/>
            <w:right w:val="none" w:sz="0" w:space="0" w:color="auto"/>
          </w:divBdr>
        </w:div>
        <w:div w:id="1419407177">
          <w:marLeft w:val="0"/>
          <w:marRight w:val="0"/>
          <w:marTop w:val="180"/>
          <w:marBottom w:val="240"/>
          <w:divBdr>
            <w:top w:val="none" w:sz="0" w:space="0" w:color="auto"/>
            <w:left w:val="none" w:sz="0" w:space="0" w:color="auto"/>
            <w:bottom w:val="none" w:sz="0" w:space="0" w:color="auto"/>
            <w:right w:val="none" w:sz="0" w:space="0" w:color="auto"/>
          </w:divBdr>
        </w:div>
      </w:divsChild>
    </w:div>
    <w:div w:id="1823429235">
      <w:bodyDiv w:val="1"/>
      <w:marLeft w:val="0"/>
      <w:marRight w:val="0"/>
      <w:marTop w:val="0"/>
      <w:marBottom w:val="0"/>
      <w:divBdr>
        <w:top w:val="none" w:sz="0" w:space="0" w:color="auto"/>
        <w:left w:val="none" w:sz="0" w:space="0" w:color="auto"/>
        <w:bottom w:val="none" w:sz="0" w:space="0" w:color="auto"/>
        <w:right w:val="none" w:sz="0" w:space="0" w:color="auto"/>
      </w:divBdr>
      <w:divsChild>
        <w:div w:id="1211918717">
          <w:marLeft w:val="0"/>
          <w:marRight w:val="0"/>
          <w:marTop w:val="180"/>
          <w:marBottom w:val="240"/>
          <w:divBdr>
            <w:top w:val="none" w:sz="0" w:space="0" w:color="auto"/>
            <w:left w:val="none" w:sz="0" w:space="0" w:color="auto"/>
            <w:bottom w:val="none" w:sz="0" w:space="0" w:color="auto"/>
            <w:right w:val="none" w:sz="0" w:space="0" w:color="auto"/>
          </w:divBdr>
        </w:div>
      </w:divsChild>
    </w:div>
    <w:div w:id="1837570259">
      <w:bodyDiv w:val="1"/>
      <w:marLeft w:val="0"/>
      <w:marRight w:val="0"/>
      <w:marTop w:val="0"/>
      <w:marBottom w:val="0"/>
      <w:divBdr>
        <w:top w:val="none" w:sz="0" w:space="0" w:color="auto"/>
        <w:left w:val="none" w:sz="0" w:space="0" w:color="auto"/>
        <w:bottom w:val="none" w:sz="0" w:space="0" w:color="auto"/>
        <w:right w:val="none" w:sz="0" w:space="0" w:color="auto"/>
      </w:divBdr>
      <w:divsChild>
        <w:div w:id="1464734636">
          <w:marLeft w:val="0"/>
          <w:marRight w:val="0"/>
          <w:marTop w:val="360"/>
          <w:marBottom w:val="180"/>
          <w:divBdr>
            <w:top w:val="none" w:sz="0" w:space="0" w:color="auto"/>
            <w:left w:val="none" w:sz="0" w:space="0" w:color="auto"/>
            <w:bottom w:val="none" w:sz="0" w:space="0" w:color="auto"/>
            <w:right w:val="none" w:sz="0" w:space="0" w:color="auto"/>
          </w:divBdr>
        </w:div>
        <w:div w:id="1159930241">
          <w:marLeft w:val="0"/>
          <w:marRight w:val="0"/>
          <w:marTop w:val="180"/>
          <w:marBottom w:val="240"/>
          <w:divBdr>
            <w:top w:val="none" w:sz="0" w:space="0" w:color="auto"/>
            <w:left w:val="none" w:sz="0" w:space="0" w:color="auto"/>
            <w:bottom w:val="none" w:sz="0" w:space="0" w:color="auto"/>
            <w:right w:val="none" w:sz="0" w:space="0" w:color="auto"/>
          </w:divBdr>
        </w:div>
      </w:divsChild>
    </w:div>
    <w:div w:id="1838619476">
      <w:bodyDiv w:val="1"/>
      <w:marLeft w:val="0"/>
      <w:marRight w:val="0"/>
      <w:marTop w:val="0"/>
      <w:marBottom w:val="0"/>
      <w:divBdr>
        <w:top w:val="none" w:sz="0" w:space="0" w:color="auto"/>
        <w:left w:val="none" w:sz="0" w:space="0" w:color="auto"/>
        <w:bottom w:val="none" w:sz="0" w:space="0" w:color="auto"/>
        <w:right w:val="none" w:sz="0" w:space="0" w:color="auto"/>
      </w:divBdr>
      <w:divsChild>
        <w:div w:id="1008288214">
          <w:marLeft w:val="0"/>
          <w:marRight w:val="0"/>
          <w:marTop w:val="360"/>
          <w:marBottom w:val="180"/>
          <w:divBdr>
            <w:top w:val="none" w:sz="0" w:space="0" w:color="auto"/>
            <w:left w:val="none" w:sz="0" w:space="0" w:color="auto"/>
            <w:bottom w:val="none" w:sz="0" w:space="0" w:color="auto"/>
            <w:right w:val="none" w:sz="0" w:space="0" w:color="auto"/>
          </w:divBdr>
        </w:div>
        <w:div w:id="1063336454">
          <w:marLeft w:val="0"/>
          <w:marRight w:val="0"/>
          <w:marTop w:val="180"/>
          <w:marBottom w:val="240"/>
          <w:divBdr>
            <w:top w:val="none" w:sz="0" w:space="0" w:color="auto"/>
            <w:left w:val="none" w:sz="0" w:space="0" w:color="auto"/>
            <w:bottom w:val="none" w:sz="0" w:space="0" w:color="auto"/>
            <w:right w:val="none" w:sz="0" w:space="0" w:color="auto"/>
          </w:divBdr>
        </w:div>
        <w:div w:id="2121794990">
          <w:marLeft w:val="0"/>
          <w:marRight w:val="0"/>
          <w:marTop w:val="360"/>
          <w:marBottom w:val="180"/>
          <w:divBdr>
            <w:top w:val="none" w:sz="0" w:space="0" w:color="auto"/>
            <w:left w:val="none" w:sz="0" w:space="0" w:color="auto"/>
            <w:bottom w:val="none" w:sz="0" w:space="0" w:color="auto"/>
            <w:right w:val="none" w:sz="0" w:space="0" w:color="auto"/>
          </w:divBdr>
        </w:div>
        <w:div w:id="225531916">
          <w:marLeft w:val="0"/>
          <w:marRight w:val="0"/>
          <w:marTop w:val="360"/>
          <w:marBottom w:val="180"/>
          <w:divBdr>
            <w:top w:val="none" w:sz="0" w:space="0" w:color="auto"/>
            <w:left w:val="none" w:sz="0" w:space="0" w:color="auto"/>
            <w:bottom w:val="none" w:sz="0" w:space="0" w:color="auto"/>
            <w:right w:val="none" w:sz="0" w:space="0" w:color="auto"/>
          </w:divBdr>
        </w:div>
        <w:div w:id="1457989775">
          <w:marLeft w:val="0"/>
          <w:marRight w:val="0"/>
          <w:marTop w:val="360"/>
          <w:marBottom w:val="180"/>
          <w:divBdr>
            <w:top w:val="none" w:sz="0" w:space="0" w:color="auto"/>
            <w:left w:val="none" w:sz="0" w:space="0" w:color="auto"/>
            <w:bottom w:val="none" w:sz="0" w:space="0" w:color="auto"/>
            <w:right w:val="none" w:sz="0" w:space="0" w:color="auto"/>
          </w:divBdr>
        </w:div>
      </w:divsChild>
    </w:div>
    <w:div w:id="1868253491">
      <w:bodyDiv w:val="1"/>
      <w:marLeft w:val="0"/>
      <w:marRight w:val="0"/>
      <w:marTop w:val="0"/>
      <w:marBottom w:val="0"/>
      <w:divBdr>
        <w:top w:val="none" w:sz="0" w:space="0" w:color="auto"/>
        <w:left w:val="none" w:sz="0" w:space="0" w:color="auto"/>
        <w:bottom w:val="none" w:sz="0" w:space="0" w:color="auto"/>
        <w:right w:val="none" w:sz="0" w:space="0" w:color="auto"/>
      </w:divBdr>
      <w:divsChild>
        <w:div w:id="1352418024">
          <w:marLeft w:val="0"/>
          <w:marRight w:val="0"/>
          <w:marTop w:val="360"/>
          <w:marBottom w:val="180"/>
          <w:divBdr>
            <w:top w:val="none" w:sz="0" w:space="0" w:color="auto"/>
            <w:left w:val="none" w:sz="0" w:space="0" w:color="auto"/>
            <w:bottom w:val="none" w:sz="0" w:space="0" w:color="auto"/>
            <w:right w:val="none" w:sz="0" w:space="0" w:color="auto"/>
          </w:divBdr>
        </w:div>
        <w:div w:id="1523472489">
          <w:marLeft w:val="0"/>
          <w:marRight w:val="0"/>
          <w:marTop w:val="360"/>
          <w:marBottom w:val="180"/>
          <w:divBdr>
            <w:top w:val="none" w:sz="0" w:space="0" w:color="auto"/>
            <w:left w:val="none" w:sz="0" w:space="0" w:color="auto"/>
            <w:bottom w:val="none" w:sz="0" w:space="0" w:color="auto"/>
            <w:right w:val="none" w:sz="0" w:space="0" w:color="auto"/>
          </w:divBdr>
        </w:div>
        <w:div w:id="1511748802">
          <w:marLeft w:val="0"/>
          <w:marRight w:val="0"/>
          <w:marTop w:val="180"/>
          <w:marBottom w:val="240"/>
          <w:divBdr>
            <w:top w:val="none" w:sz="0" w:space="0" w:color="auto"/>
            <w:left w:val="none" w:sz="0" w:space="0" w:color="auto"/>
            <w:bottom w:val="none" w:sz="0" w:space="0" w:color="auto"/>
            <w:right w:val="none" w:sz="0" w:space="0" w:color="auto"/>
          </w:divBdr>
        </w:div>
      </w:divsChild>
    </w:div>
    <w:div w:id="1889023193">
      <w:bodyDiv w:val="1"/>
      <w:marLeft w:val="0"/>
      <w:marRight w:val="0"/>
      <w:marTop w:val="0"/>
      <w:marBottom w:val="0"/>
      <w:divBdr>
        <w:top w:val="none" w:sz="0" w:space="0" w:color="auto"/>
        <w:left w:val="none" w:sz="0" w:space="0" w:color="auto"/>
        <w:bottom w:val="none" w:sz="0" w:space="0" w:color="auto"/>
        <w:right w:val="none" w:sz="0" w:space="0" w:color="auto"/>
      </w:divBdr>
      <w:divsChild>
        <w:div w:id="1791968674">
          <w:marLeft w:val="0"/>
          <w:marRight w:val="0"/>
          <w:marTop w:val="180"/>
          <w:marBottom w:val="240"/>
          <w:divBdr>
            <w:top w:val="none" w:sz="0" w:space="0" w:color="auto"/>
            <w:left w:val="none" w:sz="0" w:space="0" w:color="auto"/>
            <w:bottom w:val="none" w:sz="0" w:space="0" w:color="auto"/>
            <w:right w:val="none" w:sz="0" w:space="0" w:color="auto"/>
          </w:divBdr>
        </w:div>
      </w:divsChild>
    </w:div>
    <w:div w:id="1892765129">
      <w:bodyDiv w:val="1"/>
      <w:marLeft w:val="0"/>
      <w:marRight w:val="0"/>
      <w:marTop w:val="0"/>
      <w:marBottom w:val="0"/>
      <w:divBdr>
        <w:top w:val="none" w:sz="0" w:space="0" w:color="auto"/>
        <w:left w:val="none" w:sz="0" w:space="0" w:color="auto"/>
        <w:bottom w:val="none" w:sz="0" w:space="0" w:color="auto"/>
        <w:right w:val="none" w:sz="0" w:space="0" w:color="auto"/>
      </w:divBdr>
      <w:divsChild>
        <w:div w:id="618880292">
          <w:marLeft w:val="0"/>
          <w:marRight w:val="0"/>
          <w:marTop w:val="180"/>
          <w:marBottom w:val="240"/>
          <w:divBdr>
            <w:top w:val="none" w:sz="0" w:space="0" w:color="auto"/>
            <w:left w:val="none" w:sz="0" w:space="0" w:color="auto"/>
            <w:bottom w:val="none" w:sz="0" w:space="0" w:color="auto"/>
            <w:right w:val="none" w:sz="0" w:space="0" w:color="auto"/>
          </w:divBdr>
        </w:div>
        <w:div w:id="1524393452">
          <w:marLeft w:val="0"/>
          <w:marRight w:val="0"/>
          <w:marTop w:val="360"/>
          <w:marBottom w:val="180"/>
          <w:divBdr>
            <w:top w:val="none" w:sz="0" w:space="0" w:color="auto"/>
            <w:left w:val="none" w:sz="0" w:space="0" w:color="auto"/>
            <w:bottom w:val="none" w:sz="0" w:space="0" w:color="auto"/>
            <w:right w:val="none" w:sz="0" w:space="0" w:color="auto"/>
          </w:divBdr>
        </w:div>
        <w:div w:id="1159686350">
          <w:marLeft w:val="0"/>
          <w:marRight w:val="0"/>
          <w:marTop w:val="360"/>
          <w:marBottom w:val="180"/>
          <w:divBdr>
            <w:top w:val="none" w:sz="0" w:space="0" w:color="auto"/>
            <w:left w:val="none" w:sz="0" w:space="0" w:color="auto"/>
            <w:bottom w:val="none" w:sz="0" w:space="0" w:color="auto"/>
            <w:right w:val="none" w:sz="0" w:space="0" w:color="auto"/>
          </w:divBdr>
        </w:div>
        <w:div w:id="1533762633">
          <w:marLeft w:val="0"/>
          <w:marRight w:val="0"/>
          <w:marTop w:val="180"/>
          <w:marBottom w:val="240"/>
          <w:divBdr>
            <w:top w:val="none" w:sz="0" w:space="0" w:color="auto"/>
            <w:left w:val="none" w:sz="0" w:space="0" w:color="auto"/>
            <w:bottom w:val="none" w:sz="0" w:space="0" w:color="auto"/>
            <w:right w:val="none" w:sz="0" w:space="0" w:color="auto"/>
          </w:divBdr>
        </w:div>
        <w:div w:id="2019846491">
          <w:marLeft w:val="0"/>
          <w:marRight w:val="0"/>
          <w:marTop w:val="180"/>
          <w:marBottom w:val="240"/>
          <w:divBdr>
            <w:top w:val="none" w:sz="0" w:space="0" w:color="auto"/>
            <w:left w:val="none" w:sz="0" w:space="0" w:color="auto"/>
            <w:bottom w:val="none" w:sz="0" w:space="0" w:color="auto"/>
            <w:right w:val="none" w:sz="0" w:space="0" w:color="auto"/>
          </w:divBdr>
        </w:div>
        <w:div w:id="2094159938">
          <w:marLeft w:val="0"/>
          <w:marRight w:val="0"/>
          <w:marTop w:val="360"/>
          <w:marBottom w:val="180"/>
          <w:divBdr>
            <w:top w:val="none" w:sz="0" w:space="0" w:color="auto"/>
            <w:left w:val="none" w:sz="0" w:space="0" w:color="auto"/>
            <w:bottom w:val="none" w:sz="0" w:space="0" w:color="auto"/>
            <w:right w:val="none" w:sz="0" w:space="0" w:color="auto"/>
          </w:divBdr>
        </w:div>
        <w:div w:id="43070909">
          <w:marLeft w:val="0"/>
          <w:marRight w:val="0"/>
          <w:marTop w:val="180"/>
          <w:marBottom w:val="240"/>
          <w:divBdr>
            <w:top w:val="none" w:sz="0" w:space="0" w:color="auto"/>
            <w:left w:val="none" w:sz="0" w:space="0" w:color="auto"/>
            <w:bottom w:val="none" w:sz="0" w:space="0" w:color="auto"/>
            <w:right w:val="none" w:sz="0" w:space="0" w:color="auto"/>
          </w:divBdr>
        </w:div>
        <w:div w:id="663045056">
          <w:marLeft w:val="0"/>
          <w:marRight w:val="0"/>
          <w:marTop w:val="180"/>
          <w:marBottom w:val="240"/>
          <w:divBdr>
            <w:top w:val="none" w:sz="0" w:space="0" w:color="auto"/>
            <w:left w:val="none" w:sz="0" w:space="0" w:color="auto"/>
            <w:bottom w:val="none" w:sz="0" w:space="0" w:color="auto"/>
            <w:right w:val="none" w:sz="0" w:space="0" w:color="auto"/>
          </w:divBdr>
        </w:div>
        <w:div w:id="819074275">
          <w:marLeft w:val="0"/>
          <w:marRight w:val="0"/>
          <w:marTop w:val="360"/>
          <w:marBottom w:val="180"/>
          <w:divBdr>
            <w:top w:val="none" w:sz="0" w:space="0" w:color="auto"/>
            <w:left w:val="none" w:sz="0" w:space="0" w:color="auto"/>
            <w:bottom w:val="none" w:sz="0" w:space="0" w:color="auto"/>
            <w:right w:val="none" w:sz="0" w:space="0" w:color="auto"/>
          </w:divBdr>
        </w:div>
        <w:div w:id="1220435574">
          <w:marLeft w:val="0"/>
          <w:marRight w:val="0"/>
          <w:marTop w:val="180"/>
          <w:marBottom w:val="240"/>
          <w:divBdr>
            <w:top w:val="none" w:sz="0" w:space="0" w:color="auto"/>
            <w:left w:val="none" w:sz="0" w:space="0" w:color="auto"/>
            <w:bottom w:val="none" w:sz="0" w:space="0" w:color="auto"/>
            <w:right w:val="none" w:sz="0" w:space="0" w:color="auto"/>
          </w:divBdr>
        </w:div>
        <w:div w:id="1933006423">
          <w:marLeft w:val="0"/>
          <w:marRight w:val="0"/>
          <w:marTop w:val="360"/>
          <w:marBottom w:val="180"/>
          <w:divBdr>
            <w:top w:val="none" w:sz="0" w:space="0" w:color="auto"/>
            <w:left w:val="none" w:sz="0" w:space="0" w:color="auto"/>
            <w:bottom w:val="none" w:sz="0" w:space="0" w:color="auto"/>
            <w:right w:val="none" w:sz="0" w:space="0" w:color="auto"/>
          </w:divBdr>
        </w:div>
        <w:div w:id="1677343331">
          <w:marLeft w:val="0"/>
          <w:marRight w:val="0"/>
          <w:marTop w:val="360"/>
          <w:marBottom w:val="180"/>
          <w:divBdr>
            <w:top w:val="none" w:sz="0" w:space="0" w:color="auto"/>
            <w:left w:val="none" w:sz="0" w:space="0" w:color="auto"/>
            <w:bottom w:val="none" w:sz="0" w:space="0" w:color="auto"/>
            <w:right w:val="none" w:sz="0" w:space="0" w:color="auto"/>
          </w:divBdr>
        </w:div>
        <w:div w:id="2036272632">
          <w:marLeft w:val="0"/>
          <w:marRight w:val="0"/>
          <w:marTop w:val="180"/>
          <w:marBottom w:val="240"/>
          <w:divBdr>
            <w:top w:val="none" w:sz="0" w:space="0" w:color="auto"/>
            <w:left w:val="none" w:sz="0" w:space="0" w:color="auto"/>
            <w:bottom w:val="none" w:sz="0" w:space="0" w:color="auto"/>
            <w:right w:val="none" w:sz="0" w:space="0" w:color="auto"/>
          </w:divBdr>
        </w:div>
      </w:divsChild>
    </w:div>
    <w:div w:id="1930697034">
      <w:bodyDiv w:val="1"/>
      <w:marLeft w:val="0"/>
      <w:marRight w:val="0"/>
      <w:marTop w:val="0"/>
      <w:marBottom w:val="0"/>
      <w:divBdr>
        <w:top w:val="none" w:sz="0" w:space="0" w:color="auto"/>
        <w:left w:val="none" w:sz="0" w:space="0" w:color="auto"/>
        <w:bottom w:val="none" w:sz="0" w:space="0" w:color="auto"/>
        <w:right w:val="none" w:sz="0" w:space="0" w:color="auto"/>
      </w:divBdr>
      <w:divsChild>
        <w:div w:id="764229581">
          <w:marLeft w:val="0"/>
          <w:marRight w:val="0"/>
          <w:marTop w:val="360"/>
          <w:marBottom w:val="180"/>
          <w:divBdr>
            <w:top w:val="none" w:sz="0" w:space="0" w:color="auto"/>
            <w:left w:val="none" w:sz="0" w:space="0" w:color="auto"/>
            <w:bottom w:val="none" w:sz="0" w:space="0" w:color="auto"/>
            <w:right w:val="none" w:sz="0" w:space="0" w:color="auto"/>
          </w:divBdr>
        </w:div>
        <w:div w:id="1520465654">
          <w:marLeft w:val="0"/>
          <w:marRight w:val="0"/>
          <w:marTop w:val="180"/>
          <w:marBottom w:val="240"/>
          <w:divBdr>
            <w:top w:val="none" w:sz="0" w:space="0" w:color="auto"/>
            <w:left w:val="none" w:sz="0" w:space="0" w:color="auto"/>
            <w:bottom w:val="none" w:sz="0" w:space="0" w:color="auto"/>
            <w:right w:val="none" w:sz="0" w:space="0" w:color="auto"/>
          </w:divBdr>
        </w:div>
        <w:div w:id="1581404544">
          <w:marLeft w:val="0"/>
          <w:marRight w:val="0"/>
          <w:marTop w:val="360"/>
          <w:marBottom w:val="180"/>
          <w:divBdr>
            <w:top w:val="none" w:sz="0" w:space="0" w:color="auto"/>
            <w:left w:val="none" w:sz="0" w:space="0" w:color="auto"/>
            <w:bottom w:val="none" w:sz="0" w:space="0" w:color="auto"/>
            <w:right w:val="none" w:sz="0" w:space="0" w:color="auto"/>
          </w:divBdr>
        </w:div>
        <w:div w:id="1021324554">
          <w:marLeft w:val="0"/>
          <w:marRight w:val="0"/>
          <w:marTop w:val="180"/>
          <w:marBottom w:val="240"/>
          <w:divBdr>
            <w:top w:val="none" w:sz="0" w:space="0" w:color="auto"/>
            <w:left w:val="none" w:sz="0" w:space="0" w:color="auto"/>
            <w:bottom w:val="none" w:sz="0" w:space="0" w:color="auto"/>
            <w:right w:val="none" w:sz="0" w:space="0" w:color="auto"/>
          </w:divBdr>
        </w:div>
      </w:divsChild>
    </w:div>
    <w:div w:id="1934245902">
      <w:bodyDiv w:val="1"/>
      <w:marLeft w:val="0"/>
      <w:marRight w:val="0"/>
      <w:marTop w:val="0"/>
      <w:marBottom w:val="0"/>
      <w:divBdr>
        <w:top w:val="none" w:sz="0" w:space="0" w:color="auto"/>
        <w:left w:val="none" w:sz="0" w:space="0" w:color="auto"/>
        <w:bottom w:val="none" w:sz="0" w:space="0" w:color="auto"/>
        <w:right w:val="none" w:sz="0" w:space="0" w:color="auto"/>
      </w:divBdr>
      <w:divsChild>
        <w:div w:id="829560113">
          <w:marLeft w:val="0"/>
          <w:marRight w:val="0"/>
          <w:marTop w:val="360"/>
          <w:marBottom w:val="180"/>
          <w:divBdr>
            <w:top w:val="none" w:sz="0" w:space="0" w:color="auto"/>
            <w:left w:val="none" w:sz="0" w:space="0" w:color="auto"/>
            <w:bottom w:val="none" w:sz="0" w:space="0" w:color="auto"/>
            <w:right w:val="none" w:sz="0" w:space="0" w:color="auto"/>
          </w:divBdr>
        </w:div>
        <w:div w:id="2008559167">
          <w:marLeft w:val="0"/>
          <w:marRight w:val="0"/>
          <w:marTop w:val="360"/>
          <w:marBottom w:val="180"/>
          <w:divBdr>
            <w:top w:val="none" w:sz="0" w:space="0" w:color="auto"/>
            <w:left w:val="none" w:sz="0" w:space="0" w:color="auto"/>
            <w:bottom w:val="none" w:sz="0" w:space="0" w:color="auto"/>
            <w:right w:val="none" w:sz="0" w:space="0" w:color="auto"/>
          </w:divBdr>
        </w:div>
        <w:div w:id="1016733131">
          <w:marLeft w:val="0"/>
          <w:marRight w:val="0"/>
          <w:marTop w:val="180"/>
          <w:marBottom w:val="240"/>
          <w:divBdr>
            <w:top w:val="none" w:sz="0" w:space="0" w:color="auto"/>
            <w:left w:val="none" w:sz="0" w:space="0" w:color="auto"/>
            <w:bottom w:val="none" w:sz="0" w:space="0" w:color="auto"/>
            <w:right w:val="none" w:sz="0" w:space="0" w:color="auto"/>
          </w:divBdr>
        </w:div>
      </w:divsChild>
    </w:div>
    <w:div w:id="1942102211">
      <w:bodyDiv w:val="1"/>
      <w:marLeft w:val="0"/>
      <w:marRight w:val="0"/>
      <w:marTop w:val="0"/>
      <w:marBottom w:val="0"/>
      <w:divBdr>
        <w:top w:val="none" w:sz="0" w:space="0" w:color="auto"/>
        <w:left w:val="none" w:sz="0" w:space="0" w:color="auto"/>
        <w:bottom w:val="none" w:sz="0" w:space="0" w:color="auto"/>
        <w:right w:val="none" w:sz="0" w:space="0" w:color="auto"/>
      </w:divBdr>
      <w:divsChild>
        <w:div w:id="331447267">
          <w:marLeft w:val="0"/>
          <w:marRight w:val="0"/>
          <w:marTop w:val="360"/>
          <w:marBottom w:val="180"/>
          <w:divBdr>
            <w:top w:val="none" w:sz="0" w:space="0" w:color="auto"/>
            <w:left w:val="none" w:sz="0" w:space="0" w:color="auto"/>
            <w:bottom w:val="none" w:sz="0" w:space="0" w:color="auto"/>
            <w:right w:val="none" w:sz="0" w:space="0" w:color="auto"/>
          </w:divBdr>
        </w:div>
        <w:div w:id="1569732415">
          <w:marLeft w:val="0"/>
          <w:marRight w:val="0"/>
          <w:marTop w:val="180"/>
          <w:marBottom w:val="240"/>
          <w:divBdr>
            <w:top w:val="none" w:sz="0" w:space="0" w:color="auto"/>
            <w:left w:val="none" w:sz="0" w:space="0" w:color="auto"/>
            <w:bottom w:val="none" w:sz="0" w:space="0" w:color="auto"/>
            <w:right w:val="none" w:sz="0" w:space="0" w:color="auto"/>
          </w:divBdr>
        </w:div>
      </w:divsChild>
    </w:div>
    <w:div w:id="1983733127">
      <w:bodyDiv w:val="1"/>
      <w:marLeft w:val="0"/>
      <w:marRight w:val="0"/>
      <w:marTop w:val="0"/>
      <w:marBottom w:val="0"/>
      <w:divBdr>
        <w:top w:val="none" w:sz="0" w:space="0" w:color="auto"/>
        <w:left w:val="none" w:sz="0" w:space="0" w:color="auto"/>
        <w:bottom w:val="none" w:sz="0" w:space="0" w:color="auto"/>
        <w:right w:val="none" w:sz="0" w:space="0" w:color="auto"/>
      </w:divBdr>
      <w:divsChild>
        <w:div w:id="682703685">
          <w:marLeft w:val="0"/>
          <w:marRight w:val="0"/>
          <w:marTop w:val="360"/>
          <w:marBottom w:val="180"/>
          <w:divBdr>
            <w:top w:val="none" w:sz="0" w:space="0" w:color="auto"/>
            <w:left w:val="none" w:sz="0" w:space="0" w:color="auto"/>
            <w:bottom w:val="none" w:sz="0" w:space="0" w:color="auto"/>
            <w:right w:val="none" w:sz="0" w:space="0" w:color="auto"/>
          </w:divBdr>
        </w:div>
        <w:div w:id="1488936087">
          <w:marLeft w:val="0"/>
          <w:marRight w:val="0"/>
          <w:marTop w:val="180"/>
          <w:marBottom w:val="240"/>
          <w:divBdr>
            <w:top w:val="none" w:sz="0" w:space="0" w:color="auto"/>
            <w:left w:val="none" w:sz="0" w:space="0" w:color="auto"/>
            <w:bottom w:val="none" w:sz="0" w:space="0" w:color="auto"/>
            <w:right w:val="none" w:sz="0" w:space="0" w:color="auto"/>
          </w:divBdr>
        </w:div>
        <w:div w:id="926497773">
          <w:marLeft w:val="0"/>
          <w:marRight w:val="0"/>
          <w:marTop w:val="360"/>
          <w:marBottom w:val="180"/>
          <w:divBdr>
            <w:top w:val="none" w:sz="0" w:space="0" w:color="auto"/>
            <w:left w:val="none" w:sz="0" w:space="0" w:color="auto"/>
            <w:bottom w:val="none" w:sz="0" w:space="0" w:color="auto"/>
            <w:right w:val="none" w:sz="0" w:space="0" w:color="auto"/>
          </w:divBdr>
        </w:div>
        <w:div w:id="869339187">
          <w:marLeft w:val="0"/>
          <w:marRight w:val="0"/>
          <w:marTop w:val="360"/>
          <w:marBottom w:val="180"/>
          <w:divBdr>
            <w:top w:val="none" w:sz="0" w:space="0" w:color="auto"/>
            <w:left w:val="none" w:sz="0" w:space="0" w:color="auto"/>
            <w:bottom w:val="none" w:sz="0" w:space="0" w:color="auto"/>
            <w:right w:val="none" w:sz="0" w:space="0" w:color="auto"/>
          </w:divBdr>
        </w:div>
      </w:divsChild>
    </w:div>
    <w:div w:id="2003583969">
      <w:bodyDiv w:val="1"/>
      <w:marLeft w:val="0"/>
      <w:marRight w:val="0"/>
      <w:marTop w:val="0"/>
      <w:marBottom w:val="0"/>
      <w:divBdr>
        <w:top w:val="none" w:sz="0" w:space="0" w:color="auto"/>
        <w:left w:val="none" w:sz="0" w:space="0" w:color="auto"/>
        <w:bottom w:val="none" w:sz="0" w:space="0" w:color="auto"/>
        <w:right w:val="none" w:sz="0" w:space="0" w:color="auto"/>
      </w:divBdr>
      <w:divsChild>
        <w:div w:id="405538370">
          <w:marLeft w:val="0"/>
          <w:marRight w:val="0"/>
          <w:marTop w:val="360"/>
          <w:marBottom w:val="180"/>
          <w:divBdr>
            <w:top w:val="none" w:sz="0" w:space="0" w:color="auto"/>
            <w:left w:val="none" w:sz="0" w:space="0" w:color="auto"/>
            <w:bottom w:val="none" w:sz="0" w:space="0" w:color="auto"/>
            <w:right w:val="none" w:sz="0" w:space="0" w:color="auto"/>
          </w:divBdr>
        </w:div>
        <w:div w:id="650477370">
          <w:marLeft w:val="0"/>
          <w:marRight w:val="0"/>
          <w:marTop w:val="180"/>
          <w:marBottom w:val="240"/>
          <w:divBdr>
            <w:top w:val="none" w:sz="0" w:space="0" w:color="auto"/>
            <w:left w:val="none" w:sz="0" w:space="0" w:color="auto"/>
            <w:bottom w:val="none" w:sz="0" w:space="0" w:color="auto"/>
            <w:right w:val="none" w:sz="0" w:space="0" w:color="auto"/>
          </w:divBdr>
        </w:div>
        <w:div w:id="1529833347">
          <w:marLeft w:val="0"/>
          <w:marRight w:val="0"/>
          <w:marTop w:val="360"/>
          <w:marBottom w:val="180"/>
          <w:divBdr>
            <w:top w:val="none" w:sz="0" w:space="0" w:color="auto"/>
            <w:left w:val="none" w:sz="0" w:space="0" w:color="auto"/>
            <w:bottom w:val="none" w:sz="0" w:space="0" w:color="auto"/>
            <w:right w:val="none" w:sz="0" w:space="0" w:color="auto"/>
          </w:divBdr>
        </w:div>
        <w:div w:id="911965241">
          <w:marLeft w:val="0"/>
          <w:marRight w:val="0"/>
          <w:marTop w:val="360"/>
          <w:marBottom w:val="180"/>
          <w:divBdr>
            <w:top w:val="none" w:sz="0" w:space="0" w:color="auto"/>
            <w:left w:val="none" w:sz="0" w:space="0" w:color="auto"/>
            <w:bottom w:val="none" w:sz="0" w:space="0" w:color="auto"/>
            <w:right w:val="none" w:sz="0" w:space="0" w:color="auto"/>
          </w:divBdr>
        </w:div>
        <w:div w:id="1136408358">
          <w:marLeft w:val="0"/>
          <w:marRight w:val="0"/>
          <w:marTop w:val="180"/>
          <w:marBottom w:val="240"/>
          <w:divBdr>
            <w:top w:val="none" w:sz="0" w:space="0" w:color="auto"/>
            <w:left w:val="none" w:sz="0" w:space="0" w:color="auto"/>
            <w:bottom w:val="none" w:sz="0" w:space="0" w:color="auto"/>
            <w:right w:val="none" w:sz="0" w:space="0" w:color="auto"/>
          </w:divBdr>
        </w:div>
        <w:div w:id="1425371163">
          <w:marLeft w:val="0"/>
          <w:marRight w:val="0"/>
          <w:marTop w:val="180"/>
          <w:marBottom w:val="240"/>
          <w:divBdr>
            <w:top w:val="none" w:sz="0" w:space="0" w:color="auto"/>
            <w:left w:val="none" w:sz="0" w:space="0" w:color="auto"/>
            <w:bottom w:val="none" w:sz="0" w:space="0" w:color="auto"/>
            <w:right w:val="none" w:sz="0" w:space="0" w:color="auto"/>
          </w:divBdr>
        </w:div>
        <w:div w:id="1507094823">
          <w:marLeft w:val="0"/>
          <w:marRight w:val="0"/>
          <w:marTop w:val="360"/>
          <w:marBottom w:val="180"/>
          <w:divBdr>
            <w:top w:val="none" w:sz="0" w:space="0" w:color="auto"/>
            <w:left w:val="none" w:sz="0" w:space="0" w:color="auto"/>
            <w:bottom w:val="none" w:sz="0" w:space="0" w:color="auto"/>
            <w:right w:val="none" w:sz="0" w:space="0" w:color="auto"/>
          </w:divBdr>
        </w:div>
        <w:div w:id="343483681">
          <w:marLeft w:val="0"/>
          <w:marRight w:val="0"/>
          <w:marTop w:val="180"/>
          <w:marBottom w:val="240"/>
          <w:divBdr>
            <w:top w:val="none" w:sz="0" w:space="0" w:color="auto"/>
            <w:left w:val="none" w:sz="0" w:space="0" w:color="auto"/>
            <w:bottom w:val="none" w:sz="0" w:space="0" w:color="auto"/>
            <w:right w:val="none" w:sz="0" w:space="0" w:color="auto"/>
          </w:divBdr>
        </w:div>
      </w:divsChild>
    </w:div>
    <w:div w:id="2006350163">
      <w:bodyDiv w:val="1"/>
      <w:marLeft w:val="0"/>
      <w:marRight w:val="0"/>
      <w:marTop w:val="0"/>
      <w:marBottom w:val="0"/>
      <w:divBdr>
        <w:top w:val="none" w:sz="0" w:space="0" w:color="auto"/>
        <w:left w:val="none" w:sz="0" w:space="0" w:color="auto"/>
        <w:bottom w:val="none" w:sz="0" w:space="0" w:color="auto"/>
        <w:right w:val="none" w:sz="0" w:space="0" w:color="auto"/>
      </w:divBdr>
      <w:divsChild>
        <w:div w:id="736055984">
          <w:marLeft w:val="0"/>
          <w:marRight w:val="0"/>
          <w:marTop w:val="360"/>
          <w:marBottom w:val="180"/>
          <w:divBdr>
            <w:top w:val="none" w:sz="0" w:space="0" w:color="auto"/>
            <w:left w:val="none" w:sz="0" w:space="0" w:color="auto"/>
            <w:bottom w:val="none" w:sz="0" w:space="0" w:color="auto"/>
            <w:right w:val="none" w:sz="0" w:space="0" w:color="auto"/>
          </w:divBdr>
        </w:div>
        <w:div w:id="1139960839">
          <w:marLeft w:val="0"/>
          <w:marRight w:val="0"/>
          <w:marTop w:val="180"/>
          <w:marBottom w:val="240"/>
          <w:divBdr>
            <w:top w:val="none" w:sz="0" w:space="0" w:color="auto"/>
            <w:left w:val="none" w:sz="0" w:space="0" w:color="auto"/>
            <w:bottom w:val="none" w:sz="0" w:space="0" w:color="auto"/>
            <w:right w:val="none" w:sz="0" w:space="0" w:color="auto"/>
          </w:divBdr>
        </w:div>
      </w:divsChild>
    </w:div>
    <w:div w:id="2035812630">
      <w:bodyDiv w:val="1"/>
      <w:marLeft w:val="0"/>
      <w:marRight w:val="0"/>
      <w:marTop w:val="0"/>
      <w:marBottom w:val="0"/>
      <w:divBdr>
        <w:top w:val="none" w:sz="0" w:space="0" w:color="auto"/>
        <w:left w:val="none" w:sz="0" w:space="0" w:color="auto"/>
        <w:bottom w:val="none" w:sz="0" w:space="0" w:color="auto"/>
        <w:right w:val="none" w:sz="0" w:space="0" w:color="auto"/>
      </w:divBdr>
      <w:divsChild>
        <w:div w:id="292759701">
          <w:marLeft w:val="0"/>
          <w:marRight w:val="0"/>
          <w:marTop w:val="180"/>
          <w:marBottom w:val="240"/>
          <w:divBdr>
            <w:top w:val="none" w:sz="0" w:space="0" w:color="auto"/>
            <w:left w:val="none" w:sz="0" w:space="0" w:color="auto"/>
            <w:bottom w:val="none" w:sz="0" w:space="0" w:color="auto"/>
            <w:right w:val="none" w:sz="0" w:space="0" w:color="auto"/>
          </w:divBdr>
        </w:div>
        <w:div w:id="1591742083">
          <w:marLeft w:val="0"/>
          <w:marRight w:val="0"/>
          <w:marTop w:val="360"/>
          <w:marBottom w:val="180"/>
          <w:divBdr>
            <w:top w:val="none" w:sz="0" w:space="0" w:color="auto"/>
            <w:left w:val="none" w:sz="0" w:space="0" w:color="auto"/>
            <w:bottom w:val="none" w:sz="0" w:space="0" w:color="auto"/>
            <w:right w:val="none" w:sz="0" w:space="0" w:color="auto"/>
          </w:divBdr>
        </w:div>
        <w:div w:id="1018000425">
          <w:marLeft w:val="0"/>
          <w:marRight w:val="0"/>
          <w:marTop w:val="180"/>
          <w:marBottom w:val="240"/>
          <w:divBdr>
            <w:top w:val="none" w:sz="0" w:space="0" w:color="auto"/>
            <w:left w:val="none" w:sz="0" w:space="0" w:color="auto"/>
            <w:bottom w:val="none" w:sz="0" w:space="0" w:color="auto"/>
            <w:right w:val="none" w:sz="0" w:space="0" w:color="auto"/>
          </w:divBdr>
        </w:div>
      </w:divsChild>
    </w:div>
    <w:div w:id="2081752190">
      <w:bodyDiv w:val="1"/>
      <w:marLeft w:val="0"/>
      <w:marRight w:val="0"/>
      <w:marTop w:val="0"/>
      <w:marBottom w:val="0"/>
      <w:divBdr>
        <w:top w:val="none" w:sz="0" w:space="0" w:color="auto"/>
        <w:left w:val="none" w:sz="0" w:space="0" w:color="auto"/>
        <w:bottom w:val="none" w:sz="0" w:space="0" w:color="auto"/>
        <w:right w:val="none" w:sz="0" w:space="0" w:color="auto"/>
      </w:divBdr>
      <w:divsChild>
        <w:div w:id="1712991610">
          <w:marLeft w:val="0"/>
          <w:marRight w:val="0"/>
          <w:marTop w:val="360"/>
          <w:marBottom w:val="180"/>
          <w:divBdr>
            <w:top w:val="none" w:sz="0" w:space="0" w:color="auto"/>
            <w:left w:val="none" w:sz="0" w:space="0" w:color="auto"/>
            <w:bottom w:val="none" w:sz="0" w:space="0" w:color="auto"/>
            <w:right w:val="none" w:sz="0" w:space="0" w:color="auto"/>
          </w:divBdr>
        </w:div>
        <w:div w:id="844826509">
          <w:marLeft w:val="0"/>
          <w:marRight w:val="0"/>
          <w:marTop w:val="360"/>
          <w:marBottom w:val="180"/>
          <w:divBdr>
            <w:top w:val="none" w:sz="0" w:space="0" w:color="auto"/>
            <w:left w:val="none" w:sz="0" w:space="0" w:color="auto"/>
            <w:bottom w:val="none" w:sz="0" w:space="0" w:color="auto"/>
            <w:right w:val="none" w:sz="0" w:space="0" w:color="auto"/>
          </w:divBdr>
        </w:div>
        <w:div w:id="809858247">
          <w:marLeft w:val="0"/>
          <w:marRight w:val="0"/>
          <w:marTop w:val="180"/>
          <w:marBottom w:val="240"/>
          <w:divBdr>
            <w:top w:val="none" w:sz="0" w:space="0" w:color="auto"/>
            <w:left w:val="none" w:sz="0" w:space="0" w:color="auto"/>
            <w:bottom w:val="none" w:sz="0" w:space="0" w:color="auto"/>
            <w:right w:val="none" w:sz="0" w:space="0" w:color="auto"/>
          </w:divBdr>
        </w:div>
        <w:div w:id="715542859">
          <w:marLeft w:val="0"/>
          <w:marRight w:val="0"/>
          <w:marTop w:val="180"/>
          <w:marBottom w:val="240"/>
          <w:divBdr>
            <w:top w:val="none" w:sz="0" w:space="0" w:color="auto"/>
            <w:left w:val="none" w:sz="0" w:space="0" w:color="auto"/>
            <w:bottom w:val="none" w:sz="0" w:space="0" w:color="auto"/>
            <w:right w:val="none" w:sz="0" w:space="0" w:color="auto"/>
          </w:divBdr>
        </w:div>
        <w:div w:id="1142308606">
          <w:marLeft w:val="0"/>
          <w:marRight w:val="0"/>
          <w:marTop w:val="180"/>
          <w:marBottom w:val="240"/>
          <w:divBdr>
            <w:top w:val="none" w:sz="0" w:space="0" w:color="auto"/>
            <w:left w:val="none" w:sz="0" w:space="0" w:color="auto"/>
            <w:bottom w:val="none" w:sz="0" w:space="0" w:color="auto"/>
            <w:right w:val="none" w:sz="0" w:space="0" w:color="auto"/>
          </w:divBdr>
        </w:div>
        <w:div w:id="1103573542">
          <w:marLeft w:val="0"/>
          <w:marRight w:val="0"/>
          <w:marTop w:val="360"/>
          <w:marBottom w:val="180"/>
          <w:divBdr>
            <w:top w:val="none" w:sz="0" w:space="0" w:color="auto"/>
            <w:left w:val="none" w:sz="0" w:space="0" w:color="auto"/>
            <w:bottom w:val="none" w:sz="0" w:space="0" w:color="auto"/>
            <w:right w:val="none" w:sz="0" w:space="0" w:color="auto"/>
          </w:divBdr>
        </w:div>
        <w:div w:id="2029217101">
          <w:marLeft w:val="0"/>
          <w:marRight w:val="0"/>
          <w:marTop w:val="360"/>
          <w:marBottom w:val="180"/>
          <w:divBdr>
            <w:top w:val="none" w:sz="0" w:space="0" w:color="auto"/>
            <w:left w:val="none" w:sz="0" w:space="0" w:color="auto"/>
            <w:bottom w:val="none" w:sz="0" w:space="0" w:color="auto"/>
            <w:right w:val="none" w:sz="0" w:space="0" w:color="auto"/>
          </w:divBdr>
        </w:div>
        <w:div w:id="1518034978">
          <w:marLeft w:val="0"/>
          <w:marRight w:val="0"/>
          <w:marTop w:val="180"/>
          <w:marBottom w:val="240"/>
          <w:divBdr>
            <w:top w:val="none" w:sz="0" w:space="0" w:color="auto"/>
            <w:left w:val="none" w:sz="0" w:space="0" w:color="auto"/>
            <w:bottom w:val="none" w:sz="0" w:space="0" w:color="auto"/>
            <w:right w:val="none" w:sz="0" w:space="0" w:color="auto"/>
          </w:divBdr>
        </w:div>
        <w:div w:id="399254430">
          <w:marLeft w:val="0"/>
          <w:marRight w:val="0"/>
          <w:marTop w:val="180"/>
          <w:marBottom w:val="240"/>
          <w:divBdr>
            <w:top w:val="none" w:sz="0" w:space="0" w:color="auto"/>
            <w:left w:val="none" w:sz="0" w:space="0" w:color="auto"/>
            <w:bottom w:val="none" w:sz="0" w:space="0" w:color="auto"/>
            <w:right w:val="none" w:sz="0" w:space="0" w:color="auto"/>
          </w:divBdr>
        </w:div>
        <w:div w:id="2062751579">
          <w:marLeft w:val="0"/>
          <w:marRight w:val="0"/>
          <w:marTop w:val="360"/>
          <w:marBottom w:val="180"/>
          <w:divBdr>
            <w:top w:val="none" w:sz="0" w:space="0" w:color="auto"/>
            <w:left w:val="none" w:sz="0" w:space="0" w:color="auto"/>
            <w:bottom w:val="none" w:sz="0" w:space="0" w:color="auto"/>
            <w:right w:val="none" w:sz="0" w:space="0" w:color="auto"/>
          </w:divBdr>
        </w:div>
        <w:div w:id="472017770">
          <w:marLeft w:val="0"/>
          <w:marRight w:val="0"/>
          <w:marTop w:val="180"/>
          <w:marBottom w:val="240"/>
          <w:divBdr>
            <w:top w:val="none" w:sz="0" w:space="0" w:color="auto"/>
            <w:left w:val="none" w:sz="0" w:space="0" w:color="auto"/>
            <w:bottom w:val="none" w:sz="0" w:space="0" w:color="auto"/>
            <w:right w:val="none" w:sz="0" w:space="0" w:color="auto"/>
          </w:divBdr>
        </w:div>
        <w:div w:id="1972437985">
          <w:marLeft w:val="0"/>
          <w:marRight w:val="0"/>
          <w:marTop w:val="180"/>
          <w:marBottom w:val="240"/>
          <w:divBdr>
            <w:top w:val="none" w:sz="0" w:space="0" w:color="auto"/>
            <w:left w:val="none" w:sz="0" w:space="0" w:color="auto"/>
            <w:bottom w:val="none" w:sz="0" w:space="0" w:color="auto"/>
            <w:right w:val="none" w:sz="0" w:space="0" w:color="auto"/>
          </w:divBdr>
        </w:div>
        <w:div w:id="1781028782">
          <w:marLeft w:val="0"/>
          <w:marRight w:val="0"/>
          <w:marTop w:val="360"/>
          <w:marBottom w:val="180"/>
          <w:divBdr>
            <w:top w:val="none" w:sz="0" w:space="0" w:color="auto"/>
            <w:left w:val="none" w:sz="0" w:space="0" w:color="auto"/>
            <w:bottom w:val="none" w:sz="0" w:space="0" w:color="auto"/>
            <w:right w:val="none" w:sz="0" w:space="0" w:color="auto"/>
          </w:divBdr>
        </w:div>
        <w:div w:id="1174687841">
          <w:marLeft w:val="0"/>
          <w:marRight w:val="0"/>
          <w:marTop w:val="180"/>
          <w:marBottom w:val="240"/>
          <w:divBdr>
            <w:top w:val="none" w:sz="0" w:space="0" w:color="auto"/>
            <w:left w:val="none" w:sz="0" w:space="0" w:color="auto"/>
            <w:bottom w:val="none" w:sz="0" w:space="0" w:color="auto"/>
            <w:right w:val="none" w:sz="0" w:space="0" w:color="auto"/>
          </w:divBdr>
        </w:div>
        <w:div w:id="1575579081">
          <w:marLeft w:val="0"/>
          <w:marRight w:val="0"/>
          <w:marTop w:val="360"/>
          <w:marBottom w:val="180"/>
          <w:divBdr>
            <w:top w:val="none" w:sz="0" w:space="0" w:color="auto"/>
            <w:left w:val="none" w:sz="0" w:space="0" w:color="auto"/>
            <w:bottom w:val="none" w:sz="0" w:space="0" w:color="auto"/>
            <w:right w:val="none" w:sz="0" w:space="0" w:color="auto"/>
          </w:divBdr>
        </w:div>
        <w:div w:id="1665548752">
          <w:marLeft w:val="0"/>
          <w:marRight w:val="0"/>
          <w:marTop w:val="360"/>
          <w:marBottom w:val="180"/>
          <w:divBdr>
            <w:top w:val="none" w:sz="0" w:space="0" w:color="auto"/>
            <w:left w:val="none" w:sz="0" w:space="0" w:color="auto"/>
            <w:bottom w:val="none" w:sz="0" w:space="0" w:color="auto"/>
            <w:right w:val="none" w:sz="0" w:space="0" w:color="auto"/>
          </w:divBdr>
        </w:div>
        <w:div w:id="1458910655">
          <w:marLeft w:val="0"/>
          <w:marRight w:val="0"/>
          <w:marTop w:val="180"/>
          <w:marBottom w:val="240"/>
          <w:divBdr>
            <w:top w:val="none" w:sz="0" w:space="0" w:color="auto"/>
            <w:left w:val="none" w:sz="0" w:space="0" w:color="auto"/>
            <w:bottom w:val="none" w:sz="0" w:space="0" w:color="auto"/>
            <w:right w:val="none" w:sz="0" w:space="0" w:color="auto"/>
          </w:divBdr>
        </w:div>
      </w:divsChild>
    </w:div>
    <w:div w:id="2146850770">
      <w:bodyDiv w:val="1"/>
      <w:marLeft w:val="0"/>
      <w:marRight w:val="0"/>
      <w:marTop w:val="0"/>
      <w:marBottom w:val="0"/>
      <w:divBdr>
        <w:top w:val="none" w:sz="0" w:space="0" w:color="auto"/>
        <w:left w:val="none" w:sz="0" w:space="0" w:color="auto"/>
        <w:bottom w:val="none" w:sz="0" w:space="0" w:color="auto"/>
        <w:right w:val="none" w:sz="0" w:space="0" w:color="auto"/>
      </w:divBdr>
      <w:divsChild>
        <w:div w:id="1712459451">
          <w:marLeft w:val="0"/>
          <w:marRight w:val="0"/>
          <w:marTop w:val="360"/>
          <w:marBottom w:val="180"/>
          <w:divBdr>
            <w:top w:val="none" w:sz="0" w:space="0" w:color="auto"/>
            <w:left w:val="none" w:sz="0" w:space="0" w:color="auto"/>
            <w:bottom w:val="none" w:sz="0" w:space="0" w:color="auto"/>
            <w:right w:val="none" w:sz="0" w:space="0" w:color="auto"/>
          </w:divBdr>
        </w:div>
        <w:div w:id="494228503">
          <w:marLeft w:val="0"/>
          <w:marRight w:val="0"/>
          <w:marTop w:val="180"/>
          <w:marBottom w:val="240"/>
          <w:divBdr>
            <w:top w:val="none" w:sz="0" w:space="0" w:color="auto"/>
            <w:left w:val="none" w:sz="0" w:space="0" w:color="auto"/>
            <w:bottom w:val="none" w:sz="0" w:space="0" w:color="auto"/>
            <w:right w:val="none" w:sz="0" w:space="0" w:color="auto"/>
          </w:divBdr>
        </w:div>
        <w:div w:id="188109313">
          <w:marLeft w:val="0"/>
          <w:marRight w:val="0"/>
          <w:marTop w:val="180"/>
          <w:marBottom w:val="240"/>
          <w:divBdr>
            <w:top w:val="none" w:sz="0" w:space="0" w:color="auto"/>
            <w:left w:val="none" w:sz="0" w:space="0" w:color="auto"/>
            <w:bottom w:val="none" w:sz="0" w:space="0" w:color="auto"/>
            <w:right w:val="none" w:sz="0" w:space="0" w:color="auto"/>
          </w:divBdr>
        </w:div>
        <w:div w:id="166792335">
          <w:marLeft w:val="0"/>
          <w:marRight w:val="0"/>
          <w:marTop w:val="360"/>
          <w:marBottom w:val="180"/>
          <w:divBdr>
            <w:top w:val="none" w:sz="0" w:space="0" w:color="auto"/>
            <w:left w:val="none" w:sz="0" w:space="0" w:color="auto"/>
            <w:bottom w:val="none" w:sz="0" w:space="0" w:color="auto"/>
            <w:right w:val="none" w:sz="0" w:space="0" w:color="auto"/>
          </w:divBdr>
        </w:div>
        <w:div w:id="1543326438">
          <w:marLeft w:val="0"/>
          <w:marRight w:val="0"/>
          <w:marTop w:val="180"/>
          <w:marBottom w:val="240"/>
          <w:divBdr>
            <w:top w:val="none" w:sz="0" w:space="0" w:color="auto"/>
            <w:left w:val="none" w:sz="0" w:space="0" w:color="auto"/>
            <w:bottom w:val="none" w:sz="0" w:space="0" w:color="auto"/>
            <w:right w:val="none" w:sz="0" w:space="0" w:color="auto"/>
          </w:divBdr>
        </w:div>
        <w:div w:id="1883786051">
          <w:marLeft w:val="0"/>
          <w:marRight w:val="0"/>
          <w:marTop w:val="180"/>
          <w:marBottom w:val="240"/>
          <w:divBdr>
            <w:top w:val="none" w:sz="0" w:space="0" w:color="auto"/>
            <w:left w:val="none" w:sz="0" w:space="0" w:color="auto"/>
            <w:bottom w:val="none" w:sz="0" w:space="0" w:color="auto"/>
            <w:right w:val="none" w:sz="0" w:space="0" w:color="auto"/>
          </w:divBdr>
        </w:div>
        <w:div w:id="1994868037">
          <w:marLeft w:val="0"/>
          <w:marRight w:val="0"/>
          <w:marTop w:val="360"/>
          <w:marBottom w:val="180"/>
          <w:divBdr>
            <w:top w:val="none" w:sz="0" w:space="0" w:color="auto"/>
            <w:left w:val="none" w:sz="0" w:space="0" w:color="auto"/>
            <w:bottom w:val="none" w:sz="0" w:space="0" w:color="auto"/>
            <w:right w:val="none" w:sz="0" w:space="0" w:color="auto"/>
          </w:divBdr>
        </w:div>
        <w:div w:id="237597548">
          <w:marLeft w:val="0"/>
          <w:marRight w:val="0"/>
          <w:marTop w:val="360"/>
          <w:marBottom w:val="180"/>
          <w:divBdr>
            <w:top w:val="none" w:sz="0" w:space="0" w:color="auto"/>
            <w:left w:val="none" w:sz="0" w:space="0" w:color="auto"/>
            <w:bottom w:val="none" w:sz="0" w:space="0" w:color="auto"/>
            <w:right w:val="none" w:sz="0" w:space="0" w:color="auto"/>
          </w:divBdr>
        </w:div>
        <w:div w:id="867765809">
          <w:marLeft w:val="0"/>
          <w:marRight w:val="0"/>
          <w:marTop w:val="180"/>
          <w:marBottom w:val="240"/>
          <w:divBdr>
            <w:top w:val="none" w:sz="0" w:space="0" w:color="auto"/>
            <w:left w:val="none" w:sz="0" w:space="0" w:color="auto"/>
            <w:bottom w:val="none" w:sz="0" w:space="0" w:color="auto"/>
            <w:right w:val="none" w:sz="0" w:space="0" w:color="auto"/>
          </w:divBdr>
        </w:div>
        <w:div w:id="2100902457">
          <w:marLeft w:val="0"/>
          <w:marRight w:val="0"/>
          <w:marTop w:val="360"/>
          <w:marBottom w:val="180"/>
          <w:divBdr>
            <w:top w:val="none" w:sz="0" w:space="0" w:color="auto"/>
            <w:left w:val="none" w:sz="0" w:space="0" w:color="auto"/>
            <w:bottom w:val="none" w:sz="0" w:space="0" w:color="auto"/>
            <w:right w:val="none" w:sz="0" w:space="0" w:color="auto"/>
          </w:divBdr>
        </w:div>
        <w:div w:id="819883356">
          <w:marLeft w:val="0"/>
          <w:marRight w:val="0"/>
          <w:marTop w:val="180"/>
          <w:marBottom w:val="240"/>
          <w:divBdr>
            <w:top w:val="none" w:sz="0" w:space="0" w:color="auto"/>
            <w:left w:val="none" w:sz="0" w:space="0" w:color="auto"/>
            <w:bottom w:val="none" w:sz="0" w:space="0" w:color="auto"/>
            <w:right w:val="none" w:sz="0" w:space="0" w:color="auto"/>
          </w:divBdr>
        </w:div>
        <w:div w:id="258413676">
          <w:marLeft w:val="0"/>
          <w:marRight w:val="0"/>
          <w:marTop w:val="360"/>
          <w:marBottom w:val="180"/>
          <w:divBdr>
            <w:top w:val="none" w:sz="0" w:space="0" w:color="auto"/>
            <w:left w:val="none" w:sz="0" w:space="0" w:color="auto"/>
            <w:bottom w:val="none" w:sz="0" w:space="0" w:color="auto"/>
            <w:right w:val="none" w:sz="0" w:space="0" w:color="auto"/>
          </w:divBdr>
        </w:div>
        <w:div w:id="233049973">
          <w:marLeft w:val="0"/>
          <w:marRight w:val="0"/>
          <w:marTop w:val="180"/>
          <w:marBottom w:val="240"/>
          <w:divBdr>
            <w:top w:val="none" w:sz="0" w:space="0" w:color="auto"/>
            <w:left w:val="none" w:sz="0" w:space="0" w:color="auto"/>
            <w:bottom w:val="none" w:sz="0" w:space="0" w:color="auto"/>
            <w:right w:val="none" w:sz="0" w:space="0" w:color="auto"/>
          </w:divBdr>
        </w:div>
        <w:div w:id="100076539">
          <w:marLeft w:val="0"/>
          <w:marRight w:val="0"/>
          <w:marTop w:val="360"/>
          <w:marBottom w:val="180"/>
          <w:divBdr>
            <w:top w:val="none" w:sz="0" w:space="0" w:color="auto"/>
            <w:left w:val="none" w:sz="0" w:space="0" w:color="auto"/>
            <w:bottom w:val="none" w:sz="0" w:space="0" w:color="auto"/>
            <w:right w:val="none" w:sz="0" w:space="0" w:color="auto"/>
          </w:divBdr>
        </w:div>
        <w:div w:id="779422548">
          <w:marLeft w:val="0"/>
          <w:marRight w:val="0"/>
          <w:marTop w:val="360"/>
          <w:marBottom w:val="180"/>
          <w:divBdr>
            <w:top w:val="none" w:sz="0" w:space="0" w:color="auto"/>
            <w:left w:val="none" w:sz="0" w:space="0" w:color="auto"/>
            <w:bottom w:val="none" w:sz="0" w:space="0" w:color="auto"/>
            <w:right w:val="none" w:sz="0" w:space="0" w:color="auto"/>
          </w:divBdr>
        </w:div>
        <w:div w:id="531651167">
          <w:marLeft w:val="0"/>
          <w:marRight w:val="0"/>
          <w:marTop w:val="180"/>
          <w:marBottom w:val="240"/>
          <w:divBdr>
            <w:top w:val="none" w:sz="0" w:space="0" w:color="auto"/>
            <w:left w:val="none" w:sz="0" w:space="0" w:color="auto"/>
            <w:bottom w:val="none" w:sz="0" w:space="0" w:color="auto"/>
            <w:right w:val="none" w:sz="0" w:space="0" w:color="auto"/>
          </w:divBdr>
        </w:div>
        <w:div w:id="971979055">
          <w:marLeft w:val="0"/>
          <w:marRight w:val="0"/>
          <w:marTop w:val="360"/>
          <w:marBottom w:val="180"/>
          <w:divBdr>
            <w:top w:val="none" w:sz="0" w:space="0" w:color="auto"/>
            <w:left w:val="none" w:sz="0" w:space="0" w:color="auto"/>
            <w:bottom w:val="none" w:sz="0" w:space="0" w:color="auto"/>
            <w:right w:val="none" w:sz="0" w:space="0" w:color="auto"/>
          </w:divBdr>
        </w:div>
        <w:div w:id="1328091380">
          <w:marLeft w:val="0"/>
          <w:marRight w:val="0"/>
          <w:marTop w:val="180"/>
          <w:marBottom w:val="24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hyperlink" Target="mailto:aboqolsoon114@gmail.com"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yperlink" Target="https://www.researchgate.net/publication/399750076_Somalia's_Economic_Reawakening_Post-HIPC_Debt_Relief_and_the_Strategic_Role_of_Islamic_Finance_in_Sustainable_Investment_and_Growth"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hyperlink" Target="https://odi.org/en/insights/pursuing-macro-financial-stability-in-a-dollarised-and-fragile-context-somalias-reform-path/"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yperlink" Target="https://centralbank.gov.s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534</TotalTime>
  <Pages>24</Pages>
  <Words>6282</Words>
  <Characters>35809</Characters>
  <Application>Microsoft Office Word</Application>
  <DocSecurity>0</DocSecurity>
  <Lines>298</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ABUKAR SH.AHMED MURSAL</dc:creator>
  <cp:lastModifiedBy>Abukar Mursal</cp:lastModifiedBy>
  <cp:revision>21</cp:revision>
  <dcterms:created xsi:type="dcterms:W3CDTF">2026-05-04T14:31:00Z</dcterms:created>
  <dcterms:modified xsi:type="dcterms:W3CDTF">2026-06-24T15:03:00Z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eyJoZGlkIjoiNWYxMzM4ZDViMGJmZTMwMWE3ZWExODIxMWZlNWEyZDkifQ==</vt:lpwstr>
  </property>
  <property fmtid="{D5CDD505-2E9C-101B-9397-08002B2CF9AE}" pid="3" name="KSOProductBuildVer">
    <vt:lpwstr>1033-12.1.0.25242</vt:lpwstr>
  </property>
  <property fmtid="{D5CDD505-2E9C-101B-9397-08002B2CF9AE}" pid="4" name="ICV">
    <vt:lpwstr>B9A1BA210E6246B18DA116E4F8B9CD14_12</vt:lpwstr>
  </property>
</Properties>
</file>