
<file path=[Content_Types].xml><?xml version="1.0" encoding="utf-8"?>
<Types xmlns="http://schemas.openxmlformats.org/package/2006/content-types">
  <Default Extension="png" ContentType="image/png"/>
  <Default Extension="rels" ContentType="application/vnd.openxmlformats-package.relationships+xml"/>
  <Default Extension="undefined" ContentType="application/octet-stream"/>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BFBD4" w14:textId="77777777" w:rsidR="001C5CC2" w:rsidRPr="008C504A" w:rsidRDefault="001C5CC2" w:rsidP="001C5CC2">
      <w:pPr>
        <w:contextualSpacing/>
        <w:jc w:val="center"/>
        <w:rPr>
          <w:rFonts w:ascii="Times New Roman" w:hAnsi="Times New Roman" w:cs="Times New Roman"/>
          <w:b/>
          <w:bCs/>
          <w:color w:val="000000" w:themeColor="text1"/>
          <w:sz w:val="24"/>
          <w:szCs w:val="24"/>
        </w:rPr>
      </w:pPr>
      <w:r w:rsidRPr="008C504A">
        <w:rPr>
          <w:rFonts w:ascii="Times New Roman" w:hAnsi="Times New Roman" w:cs="Times New Roman"/>
          <w:b/>
          <w:bCs/>
          <w:color w:val="000000" w:themeColor="text1"/>
          <w:sz w:val="24"/>
          <w:szCs w:val="24"/>
        </w:rPr>
        <w:t>Spatiotemporal Analysis of Urban Air Pollution Dynamics and Respiratory Health Risks Using Satellite and Ground-Based Environmental Data</w:t>
      </w:r>
    </w:p>
    <w:p w14:paraId="7FC8E873" w14:textId="77777777" w:rsidR="001C5CC2" w:rsidRPr="008C504A" w:rsidRDefault="001C5CC2" w:rsidP="001C5CC2">
      <w:pPr>
        <w:contextualSpacing/>
        <w:jc w:val="center"/>
        <w:rPr>
          <w:rFonts w:ascii="Times New Roman" w:hAnsi="Times New Roman" w:cs="Times New Roman"/>
          <w:b/>
          <w:bCs/>
          <w:color w:val="000000" w:themeColor="text1"/>
          <w:sz w:val="24"/>
          <w:szCs w:val="24"/>
        </w:rPr>
      </w:pPr>
    </w:p>
    <w:p w14:paraId="598A8E78" w14:textId="77777777" w:rsidR="001C5CC2" w:rsidRPr="008C504A" w:rsidRDefault="001C5CC2" w:rsidP="001C5CC2">
      <w:pPr>
        <w:contextualSpacing/>
        <w:jc w:val="center"/>
        <w:rPr>
          <w:rFonts w:ascii="Times New Roman" w:hAnsi="Times New Roman" w:cs="Times New Roman"/>
          <w:b/>
          <w:bCs/>
          <w:color w:val="000000" w:themeColor="text1"/>
          <w:sz w:val="24"/>
          <w:szCs w:val="24"/>
        </w:rPr>
      </w:pPr>
      <w:r w:rsidRPr="008C504A">
        <w:rPr>
          <w:rFonts w:ascii="Times New Roman" w:hAnsi="Times New Roman" w:cs="Times New Roman"/>
          <w:b/>
          <w:bCs/>
          <w:color w:val="000000" w:themeColor="text1"/>
          <w:sz w:val="24"/>
          <w:szCs w:val="24"/>
        </w:rPr>
        <w:t/>
      </w:r>
    </w:p>
    <w:p w14:paraId="338873D3" w14:textId="77777777" w:rsidR="001C5CC2" w:rsidRPr="008C504A" w:rsidRDefault="001C5CC2" w:rsidP="001C5CC2">
      <w:pPr>
        <w:contextualSpacing/>
        <w:jc w:val="center"/>
        <w:rPr>
          <w:rFonts w:ascii="Times New Roman" w:hAnsi="Times New Roman" w:cs="Times New Roman"/>
          <w:b/>
          <w:bCs/>
          <w:color w:val="000000" w:themeColor="text1"/>
          <w:sz w:val="24"/>
          <w:szCs w:val="24"/>
        </w:rPr>
      </w:pPr>
    </w:p>
    <w:p w14:paraId="14D04484" w14:textId="77777777" w:rsidR="001C5CC2" w:rsidRPr="008C504A" w:rsidRDefault="001C5CC2" w:rsidP="001C5CC2">
      <w:pPr>
        <w:jc w:val="center"/>
        <w:rPr>
          <w:rFonts w:ascii="Times New Roman" w:hAnsi="Times New Roman" w:cs="Times New Roman"/>
          <w:b/>
          <w:bCs/>
          <w:color w:val="000000" w:themeColor="text1"/>
          <w:sz w:val="24"/>
          <w:szCs w:val="24"/>
        </w:rPr>
      </w:pPr>
      <w:r w:rsidRPr="008C504A">
        <w:rPr>
          <w:rFonts w:ascii="Times New Roman" w:hAnsi="Times New Roman" w:cs="Times New Roman"/>
          <w:b/>
          <w:bCs/>
          <w:color w:val="000000" w:themeColor="text1"/>
          <w:sz w:val="24"/>
          <w:szCs w:val="24"/>
          <w:vertAlign w:val="superscript"/>
        </w:rPr>
        <w:t/>
      </w:r>
      <w:r w:rsidRPr="008C504A">
        <w:rPr>
          <w:rFonts w:ascii="Times New Roman" w:hAnsi="Times New Roman" w:cs="Times New Roman"/>
          <w:b/>
          <w:bCs/>
          <w:color w:val="000000" w:themeColor="text1"/>
          <w:sz w:val="24"/>
          <w:szCs w:val="24"/>
        </w:rPr>
        <w:t xml:space="preserve"/>
      </w:r>
      <w:r w:rsidRPr="008C504A">
        <w:rPr>
          <w:rFonts w:ascii="Times New Roman" w:hAnsi="Times New Roman" w:cs="Times New Roman"/>
          <w:b/>
          <w:bCs/>
          <w:color w:val="000000" w:themeColor="text1"/>
          <w:sz w:val="24"/>
          <w:szCs w:val="24"/>
          <w:vertAlign w:val="superscript"/>
        </w:rPr>
        <w:t/>
      </w:r>
      <w:r w:rsidRPr="008C504A">
        <w:rPr>
          <w:rFonts w:ascii="Times New Roman" w:hAnsi="Times New Roman" w:cs="Times New Roman"/>
          <w:b/>
          <w:bCs/>
          <w:color w:val="000000" w:themeColor="text1"/>
          <w:sz w:val="24"/>
          <w:szCs w:val="24"/>
        </w:rPr>
        <w:t xml:space="preserve"/>
      </w:r>
      <w:r w:rsidRPr="008C504A">
        <w:rPr>
          <w:rFonts w:ascii="Times New Roman" w:hAnsi="Times New Roman" w:cs="Times New Roman"/>
          <w:b/>
          <w:bCs/>
          <w:color w:val="000000" w:themeColor="text1"/>
          <w:sz w:val="24"/>
          <w:szCs w:val="24"/>
          <w:vertAlign w:val="superscript"/>
        </w:rPr>
        <w:t/>
      </w:r>
      <w:r w:rsidRPr="008C504A">
        <w:rPr>
          <w:rFonts w:ascii="Times New Roman" w:hAnsi="Times New Roman" w:cs="Times New Roman"/>
          <w:b/>
          <w:bCs/>
          <w:color w:val="000000" w:themeColor="text1"/>
          <w:sz w:val="24"/>
          <w:szCs w:val="24"/>
        </w:rPr>
        <w:t xml:space="preserve"/>
      </w:r>
      <w:r w:rsidRPr="008C504A">
        <w:rPr>
          <w:rFonts w:ascii="Times New Roman" w:hAnsi="Times New Roman" w:cs="Times New Roman"/>
          <w:b/>
          <w:bCs/>
          <w:color w:val="000000" w:themeColor="text1"/>
          <w:sz w:val="24"/>
          <w:szCs w:val="24"/>
          <w:vertAlign w:val="superscript"/>
        </w:rPr>
        <w:t/>
      </w:r>
      <w:r w:rsidRPr="008C504A">
        <w:rPr>
          <w:rFonts w:ascii="Times New Roman" w:hAnsi="Times New Roman" w:cs="Times New Roman"/>
          <w:b/>
          <w:bCs/>
          <w:color w:val="000000" w:themeColor="text1"/>
          <w:sz w:val="24"/>
          <w:szCs w:val="24"/>
        </w:rPr>
        <w:t/>
      </w:r>
    </w:p>
    <w:p w14:paraId="14E12DC9" w14:textId="77777777" w:rsidR="001C5CC2" w:rsidRPr="008C504A" w:rsidRDefault="001C5CC2" w:rsidP="001C5CC2">
      <w:pPr>
        <w:jc w:val="center"/>
        <w:rPr>
          <w:rFonts w:ascii="Times New Roman" w:hAnsi="Times New Roman" w:cs="Times New Roman"/>
          <w:b/>
          <w:bCs/>
          <w:color w:val="000000" w:themeColor="text1"/>
          <w:sz w:val="24"/>
          <w:szCs w:val="24"/>
        </w:rPr>
      </w:pPr>
    </w:p>
    <w:p w14:paraId="1DA6237B" w14:textId="77777777" w:rsidR="001C5CC2" w:rsidRPr="008C504A" w:rsidRDefault="001C5CC2" w:rsidP="001C5CC2">
      <w:pPr>
        <w:contextualSpacing/>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vertAlign w:val="superscript"/>
        </w:rPr>
        <w:t/>
      </w:r>
      <w:r w:rsidRPr="008C504A">
        <w:rPr>
          <w:rFonts w:ascii="Times New Roman" w:hAnsi="Times New Roman" w:cs="Times New Roman"/>
          <w:color w:val="000000" w:themeColor="text1"/>
          <w:sz w:val="24"/>
          <w:szCs w:val="24"/>
        </w:rPr>
        <w:t/>
      </w:r>
    </w:p>
    <w:p w14:paraId="09ABE6A6" w14:textId="77777777" w:rsidR="001C5CC2" w:rsidRPr="008C504A" w:rsidRDefault="001C5CC2" w:rsidP="001C5CC2">
      <w:pPr>
        <w:contextualSpacing/>
        <w:jc w:val="center"/>
        <w:rPr>
          <w:rFonts w:ascii="Times New Roman" w:hAnsi="Times New Roman" w:cs="Times New Roman"/>
          <w:color w:val="000000" w:themeColor="text1"/>
          <w:sz w:val="24"/>
          <w:szCs w:val="24"/>
        </w:rPr>
      </w:pPr>
    </w:p>
    <w:p w14:paraId="22BC344A" w14:textId="77777777" w:rsidR="001C5CC2" w:rsidRPr="008C504A" w:rsidRDefault="001C5CC2" w:rsidP="001C5CC2">
      <w:pPr>
        <w:contextualSpacing/>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vertAlign w:val="superscript"/>
        </w:rPr>
        <w:t/>
      </w:r>
      <w:r w:rsidRPr="008C504A">
        <w:rPr>
          <w:rFonts w:ascii="Times New Roman" w:hAnsi="Times New Roman" w:cs="Times New Roman"/>
          <w:color w:val="000000" w:themeColor="text1"/>
          <w:sz w:val="24"/>
          <w:szCs w:val="24"/>
        </w:rPr>
        <w:t/>
      </w:r>
    </w:p>
    <w:p w14:paraId="292EC763" w14:textId="77777777" w:rsidR="001C5CC2" w:rsidRPr="008C504A" w:rsidRDefault="001C5CC2" w:rsidP="001C5CC2">
      <w:pPr>
        <w:contextualSpacing/>
        <w:jc w:val="center"/>
        <w:rPr>
          <w:rFonts w:ascii="Times New Roman" w:hAnsi="Times New Roman" w:cs="Times New Roman"/>
          <w:color w:val="000000" w:themeColor="text1"/>
          <w:sz w:val="24"/>
          <w:szCs w:val="24"/>
        </w:rPr>
      </w:pPr>
    </w:p>
    <w:p w14:paraId="02A3E5E7" w14:textId="77777777" w:rsidR="001C5CC2" w:rsidRPr="008C504A" w:rsidRDefault="001C5CC2" w:rsidP="001C5CC2">
      <w:pPr>
        <w:contextualSpacing/>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vertAlign w:val="superscript"/>
        </w:rPr>
        <w:t/>
      </w:r>
      <w:r w:rsidRPr="008C504A">
        <w:rPr>
          <w:rFonts w:ascii="Times New Roman" w:hAnsi="Times New Roman" w:cs="Times New Roman"/>
          <w:color w:val="000000" w:themeColor="text1"/>
          <w:sz w:val="24"/>
          <w:szCs w:val="24"/>
        </w:rPr>
        <w:t/>
      </w:r>
    </w:p>
    <w:p w14:paraId="64B78696" w14:textId="77777777" w:rsidR="001C5CC2" w:rsidRPr="008C504A" w:rsidRDefault="001C5CC2" w:rsidP="001C5CC2">
      <w:pPr>
        <w:contextualSpacing/>
        <w:rPr>
          <w:rFonts w:ascii="Times New Roman" w:hAnsi="Times New Roman" w:cs="Times New Roman"/>
          <w:color w:val="000000" w:themeColor="text1"/>
          <w:sz w:val="24"/>
          <w:szCs w:val="24"/>
        </w:rPr>
      </w:pPr>
    </w:p>
    <w:p w14:paraId="6FB3271F" w14:textId="77777777" w:rsidR="001C5CC2" w:rsidRPr="008C504A" w:rsidRDefault="001C5CC2" w:rsidP="001C5CC2">
      <w:pPr>
        <w:contextualSpacing/>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vertAlign w:val="superscript"/>
        </w:rPr>
        <w:t/>
      </w:r>
      <w:r w:rsidRPr="008C504A">
        <w:rPr>
          <w:rFonts w:ascii="Times New Roman" w:hAnsi="Times New Roman" w:cs="Times New Roman"/>
          <w:color w:val="000000" w:themeColor="text1"/>
          <w:sz w:val="24"/>
          <w:szCs w:val="24"/>
        </w:rPr>
        <w:t/>
      </w:r>
    </w:p>
    <w:p w14:paraId="46F0C00E" w14:textId="77777777" w:rsidR="001C5CC2" w:rsidRPr="008C504A" w:rsidRDefault="001C5CC2" w:rsidP="001C5CC2">
      <w:pPr>
        <w:contextualSpacing/>
        <w:rPr>
          <w:rFonts w:ascii="Times New Roman" w:hAnsi="Times New Roman" w:cs="Times New Roman"/>
          <w:color w:val="000000" w:themeColor="text1"/>
          <w:sz w:val="24"/>
          <w:szCs w:val="24"/>
        </w:rPr>
      </w:pPr>
    </w:p>
    <w:p w14:paraId="1D04B33A" w14:textId="77777777" w:rsidR="001C5CC2" w:rsidRPr="008C504A" w:rsidRDefault="001C5CC2" w:rsidP="001C5CC2">
      <w:pPr>
        <w:jc w:val="center"/>
        <w:rPr>
          <w:rFonts w:ascii="Times New Roman" w:hAnsi="Times New Roman" w:cs="Times New Roman"/>
          <w:b/>
          <w:bCs/>
          <w:color w:val="000000" w:themeColor="text1"/>
          <w:sz w:val="24"/>
          <w:szCs w:val="24"/>
        </w:rPr>
      </w:pPr>
    </w:p>
    <w:p w14:paraId="585C7F40" w14:textId="77777777" w:rsidR="001C5CC2" w:rsidRPr="008C504A" w:rsidRDefault="001C5CC2" w:rsidP="001C5CC2">
      <w:pPr>
        <w:spacing w:after="30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t xml:space="preserve"/>
      </w:r>
      <w:r>
        <w:rPr>
          <w:rFonts w:ascii="Times New Roman" w:hAnsi="Times New Roman" w:cs="Times New Roman"/>
          <w:i/>
          <w:iCs/>
          <w:color w:val="000000" w:themeColor="text1"/>
          <w:sz w:val="24"/>
          <w:szCs w:val="24"/>
        </w:rPr>
        <w:t/>
      </w:r>
    </w:p>
    <w:p w14:paraId="6F8AA984"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Abstract</w:t>
      </w:r>
    </w:p>
    <w:p w14:paraId="3596230B" w14:textId="77777777" w:rsidR="001C5CC2" w:rsidRPr="008C504A" w:rsidRDefault="001C5CC2" w:rsidP="001C5CC2">
      <w:pPr>
        <w:spacing w:after="200"/>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Ground-based air quality monitoring networks, while accurate, are typically too spatially sparse to characterise the fine-scale pollution gradients that determine intra-urban variation in respiratory health risk. This study presents an integrated spatiotemporal framework that fuses satellite remote-sensing observations — Moderate Resolution Imaging Spectroradiometer (MODIS) Multi-Angle Implementation of Atmospheric Correction (MAIAC) aerosol optical depth (AOD) and Sentinel-5P TROPOMI tropospheric NO2, SO2, and O3 columns — with reference-grade ground monitoring data to generate continuous, high-resolution (1 km) daily pollutant exposure surfaces across a representative urban domain. Satellite-derived AOD was calibrated against co-located ground PM2.5 using a linear mixed-effects model incorporating meteorological covariates, and the resulting exposure field was refined using ordinary kriging and geographically weighted regression (GWR) to capture spatial non-stationarity in the pollutant–predictor relationship. Global Moran's I and Getis-Ord Gi* statistics were used to identify statistically significant pollution hotspots, and population-weighted exposure was linked to geocoded respiratory emergency department and hospital admission records to estimate relative risk and population attributable fraction (PAF) across exposure zones. The illustrative application of this framework indicates strong satellite–ground agreement (R² ≈ 0.85–0.90) after calibration, statistically significant spatial clustering of pollution in traffic- and industrial-influenced corridors, and a graded increase in respiratory hospitalisation risk and attributable burden with increasing modelled exposure, reaching a population attributable fraction of approximately 20–25% in the highest-exposure zone. These findings demonstrate that satellite-ground data fusion can substantially improve the spatial resolution of urban exposure assessment relative to sparse monitoring networks alone, enabling more precise identification of high-risk zones and better-targeted respiratory health interventions.</w:t>
      </w:r>
    </w:p>
    <w:p w14:paraId="5BCB1AA9" w14:textId="77777777" w:rsidR="001C5CC2" w:rsidRPr="008C504A" w:rsidRDefault="001C5CC2" w:rsidP="001C5CC2">
      <w:pPr>
        <w:spacing w:after="200"/>
        <w:jc w:val="both"/>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lastRenderedPageBreak/>
        <w:t>Keywords:</w:t>
      </w:r>
      <w:r w:rsidRPr="008C504A">
        <w:rPr>
          <w:rFonts w:ascii="Times New Roman" w:hAnsi="Times New Roman" w:cs="Times New Roman"/>
          <w:color w:val="000000" w:themeColor="text1"/>
          <w:sz w:val="24"/>
          <w:szCs w:val="24"/>
        </w:rPr>
        <w:t xml:space="preserve"> satellite remote sensing; aerosol optical depth; TROPOMI; spatiotemporal modelling; kriging; geographically weighted regression; respiratory health; population attributable fraction; urban air pollution.</w:t>
      </w:r>
    </w:p>
    <w:p w14:paraId="19CAB20B" w14:textId="77777777" w:rsidR="001C5CC2" w:rsidRPr="008C504A" w:rsidRDefault="001C5CC2" w:rsidP="001C5CC2">
      <w:pPr>
        <w:spacing w:after="200"/>
        <w:jc w:val="both"/>
        <w:rPr>
          <w:rFonts w:ascii="Times New Roman" w:hAnsi="Times New Roman" w:cs="Times New Roman"/>
          <w:color w:val="000000" w:themeColor="text1"/>
          <w:sz w:val="24"/>
          <w:szCs w:val="24"/>
        </w:rPr>
      </w:pPr>
    </w:p>
    <w:p w14:paraId="101D1203" w14:textId="77777777" w:rsidR="001C5CC2" w:rsidRPr="008C504A" w:rsidRDefault="001C5CC2" w:rsidP="001C5CC2">
      <w:pPr>
        <w:pStyle w:val="Heading1"/>
        <w:spacing w:before="360" w:after="180" w:line="360" w:lineRule="auto"/>
        <w:rPr>
          <w:rFonts w:ascii="Times New Roman" w:hAnsi="Times New Roman" w:cs="Times New Roman"/>
          <w:b/>
          <w:bCs/>
          <w:sz w:val="24"/>
          <w:szCs w:val="24"/>
        </w:rPr>
      </w:pPr>
      <w:r w:rsidRPr="008C504A">
        <w:rPr>
          <w:rFonts w:ascii="Times New Roman" w:hAnsi="Times New Roman" w:cs="Times New Roman"/>
          <w:b/>
          <w:bCs/>
          <w:sz w:val="24"/>
          <w:szCs w:val="24"/>
        </w:rPr>
        <w:t>1. Introduction</w:t>
      </w:r>
    </w:p>
    <w:p w14:paraId="4648B18A" w14:textId="01EF2C78" w:rsidR="001C5CC2" w:rsidRPr="008C504A" w:rsidRDefault="001C5CC2" w:rsidP="001C5CC2">
      <w:pPr>
        <w:spacing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Urban air pollution displays substantial spatial heterogeneity over relatively short distances, often ranging from tens to hundreds of metres. This variability is driven by the fine-scale distribution of traffic corridors, industrial facilities, land-use patterns, and urban morphology, all of which influence local pollutant emissions, dispersion, and accumulation</w:t>
      </w:r>
      <w:r w:rsidR="00447A42">
        <w:rPr>
          <w:rFonts w:ascii="Times New Roman" w:hAnsi="Times New Roman" w:cs="Times New Roman"/>
          <w:color w:val="000000" w:themeColor="text1"/>
          <w:sz w:val="24"/>
          <w:szCs w:val="24"/>
        </w:rPr>
        <w:t xml:space="preserve"> </w:t>
      </w:r>
      <w:r w:rsidR="00447A42">
        <w:rPr>
          <w:rFonts w:ascii="Times New Roman" w:hAnsi="Times New Roman" w:cs="Times New Roman"/>
          <w:color w:val="000000" w:themeColor="text1"/>
          <w:sz w:val="24"/>
          <w:szCs w:val="24"/>
        </w:rPr>
        <w:fldChar w:fldCharType="begin" w:fldLock="1"/>
      </w:r>
      <w:r w:rsidR="00447A42">
        <w:rPr>
          <w:rFonts w:ascii="Times New Roman" w:hAnsi="Times New Roman" w:cs="Times New Roman"/>
          <w:color w:val="000000" w:themeColor="text1"/>
          <w:sz w:val="24"/>
          <w:szCs w:val="24"/>
        </w:rPr>
        <w:instrText>ADDIN CSL_CITATION {"citationItems":[{"id":"ITEM-1","itemData":{"DOI":"10.3390/atmos17030234","ISSN":"2073-4433","abstract":"Urban air pollution from road traffic remains a major public health concern, with its spatial variability at neighbourhood scales strongly influenced by urban morphology. This study investigates how urban form affects the dispersion of traffic-related PM2.5 in four Italian cities (Lecce, Bari, Milan and Rome) representing diverse climatic and morphological contexts. Seasonal simulations were conducted using the ADMS-Roads dispersion model, integrating detailed road geometries, standardized traffic emissions, and city-level meteorological data for 2019–2021. Urban morphology was characterized at 100 m resolution using building plan area fraction (λp), street-canyon aspect ratio and mean building height derived from GIS analyses. Statistical analysis combined random forest regression with partial dependence plots and quantile regression to explore both average and distributional effects. Results reveal a generally negative association between λp and PM2.5 in Lecce, Milan, and Rome, particularly at higher concentration quantiles, suggesting that denser urban fabrics may mitigate extreme pollution episodes. Bari exhibits a weaker and more heterogeneous response, highlighting the influence of local wind regimes and traffic distribution. Wind speed and temperature consistently reduce PM2.5 across all cities, while street geometry effects are non-linear and season-dependent. These findings demonstrate the importance of considering urban morphology alongside traffic and meteorology when designing strategies to reduce exposure. Importantly, the methodological framework presented here, combining high-resolution dispersion modelling with interpretable machine-learning analyses, is transferable to other urban contexts, providing a robust approach to assess morphology–pollution interactions beyond the studied cities.","author":[{"dropping-particle":"","family":"Metrangolo","given":"Chiara","non-dropping-particle":"","parse-names":false,"suffix":""},{"dropping-particle":"","family":"Dinoi","given":"Adelaide","non-dropping-particle":"","parse-names":false,"suffix":""},{"dropping-particle":"","family":"Pappaccogli","given":"Gianluca","non-dropping-particle":"","parse-names":false,"suffix":""},{"dropping-particle":"","family":"Bozzeda","given":"Fabio","non-dropping-particle":"","parse-names":false,"suffix":""},{"dropping-particle":"","family":"Esposito","given":"Antonio","non-dropping-particle":"","parse-names":false,"suffix":""},{"dropping-particle":"","family":"Kumar","given":"Prashant","non-dropping-particle":"","parse-names":false,"suffix":""},{"dropping-particle":"","family":"Buccolieri","given":"Riccardo","non-dropping-particle":"","parse-names":false,"suffix":""}],"container-title":"Atmosphere","id":"ITEM-1","issue":"3","issued":{"date-parts":[["2026","2","25"]]},"page":"234","title":"Influence of Urban Morphology on Traffic-Related Air Pollution Dispersion in Urban Environments","type":"article-journal","volume":"17"},"uris":["http://www.mendeley.com/documents/?uuid=31044850-dc6a-4edb-841c-d5409113fb42"]},{"id":"ITEM-2","itemData":{"DOI":"10.1016/j.scs.2021.102985","ISSN":"22106707","author":[{"dropping-particle":"","family":"Liang","given":"Ze","non-dropping-particle":"","parse-names":false,"suffix":""},{"dropping-particle":"","family":"Huang","given":"Jiao","non-dropping-particle":"","parse-names":false,"suffix":""},{"dropping-particle":"","family":"Wang","given":"Yueyao","non-dropping-particle":"","parse-names":false,"suffix":""},{"dropping-particle":"","family":"Wei","given":"Feili","non-dropping-particle":"","parse-names":false,"suffix":""},{"dropping-particle":"","family":"Wu","given":"Shuyao","non-dropping-particle":"","parse-names":false,"suffix":""},{"dropping-particle":"","family":"Jiang","given":"Hong","non-dropping-particle":"","parse-names":false,"suffix":""},{"dropping-particle":"","family":"Zhang","given":"Xuliang","non-dropping-particle":"","parse-names":false,"suffix":""},{"dropping-particle":"","family":"Li","given":"Shuangcheng","non-dropping-particle":"","parse-names":false,"suffix":""}],"container-title":"Sustainable Cities and Society","id":"ITEM-2","issued":{"date-parts":[["2021","11"]]},"page":"102985","title":"The mediating effect of air pollution in the impacts of urban form on nighttime urban heat island intensity","type":"article-journal","volume":"74"},"uris":["http://www.mendeley.com/documents/?uuid=b6ceb3ba-2f72-4696-ba85-33b99e6cad83"]}],"mendeley":{"formattedCitation":"(Liang et al., 2021; Metrangolo et al., 2026)","plainTextFormattedCitation":"(Liang et al., 2021; Metrangolo et al., 2026)","previouslyFormattedCitation":"(Liang et al., 2021; Metrangolo et al., 2026)"},"properties":{"noteIndex":0},"schema":"https://github.com/citation-style-language/schema/raw/master/csl-citation.json"}</w:instrText>
      </w:r>
      <w:r w:rsidR="00447A42">
        <w:rPr>
          <w:rFonts w:ascii="Times New Roman" w:hAnsi="Times New Roman" w:cs="Times New Roman"/>
          <w:color w:val="000000" w:themeColor="text1"/>
          <w:sz w:val="24"/>
          <w:szCs w:val="24"/>
        </w:rPr>
        <w:fldChar w:fldCharType="separate"/>
      </w:r>
      <w:r w:rsidR="00447A42" w:rsidRPr="00447A42">
        <w:rPr>
          <w:rFonts w:ascii="Times New Roman" w:hAnsi="Times New Roman" w:cs="Times New Roman"/>
          <w:noProof/>
          <w:color w:val="000000" w:themeColor="text1"/>
          <w:sz w:val="24"/>
          <w:szCs w:val="24"/>
        </w:rPr>
        <w:t>(Liang et al., 2021; Metrangolo et al., 2026)</w:t>
      </w:r>
      <w:r w:rsidR="00447A42">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However, conventional regulatory air-quality monitoring networks commonly rely on a limited number of fixed monitoring stations within a city. Such networks are often insufficient to capture intra-urban exposure gradients, particularly in densely populated and rapidly urbanising environments </w:t>
      </w:r>
      <w:r w:rsidR="00447A42">
        <w:rPr>
          <w:rFonts w:ascii="Times New Roman" w:hAnsi="Times New Roman" w:cs="Times New Roman"/>
          <w:color w:val="000000" w:themeColor="text1"/>
          <w:sz w:val="24"/>
          <w:szCs w:val="24"/>
        </w:rPr>
        <w:fldChar w:fldCharType="begin" w:fldLock="1"/>
      </w:r>
      <w:r w:rsidR="00447A42">
        <w:rPr>
          <w:rFonts w:ascii="Times New Roman" w:hAnsi="Times New Roman" w:cs="Times New Roman"/>
          <w:color w:val="000000" w:themeColor="text1"/>
          <w:sz w:val="24"/>
          <w:szCs w:val="24"/>
        </w:rPr>
        <w:instrText>ADDIN CSL_CITATION {"citationItems":[{"id":"ITEM-1","itemData":{"DOI":"10.3390/ijgi7120468","ISSN":"2220-9964","abstract":"Air quality has had a significant impact on public health, the environment and eventually on the economy of countries for decades. Effectively mitigating air pollution in urban areas necessitates accurate air quality exposure information. Recent advancements in sensor technology and the increasing popularity of volunteered geographic information (VGI) open up new possibilities for air quality exposure assessment in cities. However, citizens and their sensors are put in areas deemed to be subjectively of interest (e.g., where citizens live, school of their kids or working spaces), and this leads to missed opportunities when it comes to optimal air quality exposure assessment. In addition, while the current literature on VGI has extensively discussed data quality and citizen engagement issues, few works, if any, offer techniques to fine-tune VGI contributions for an optimal air quality exposure assessment. This article presents and tests an approach to minimise land use regression prediction errors on citizen-contributed data. The approach was evaluated using a dataset (N = 116 sensors) from the city of Stuttgart, Germany. The comparison between the existing network design and the combination of locations selected by the optimisation method has shown a drop in spatial mean prediction error by 52%. The ideas presented in this article are useful for the systematic deployment of VGI air quality sensors, and can aid in the creation of higher resolution, more realistic maps for air quality monitoring in cities.","author":[{"dropping-particle":"","family":"Gupta","given":"Shivam","non-dropping-particle":"","parse-names":false,"suffix":""},{"dropping-particle":"","family":"Pebesma","given":"Edzer","non-dropping-particle":"","parse-names":false,"suffix":""},{"dropping-particle":"","family":"Degbelo","given":"Auriol","non-dropping-particle":"","parse-names":false,"suffix":""},{"dropping-particle":"","family":"Costa","given":"Ana Cristina","non-dropping-particle":"","parse-names":false,"suffix":""}],"container-title":"ISPRS International Journal of Geo-Information","id":"ITEM-1","issue":"12","issued":{"date-parts":[["2018","11","30"]]},"page":"468","title":"Optimising Citizen-Driven Air Quality Monitoring Networks for Cities","type":"article-journal","volume":"7"},"uris":["http://www.mendeley.com/documents/?uuid=1700172b-28e2-495f-9392-ea1f095f49b1"]},{"id":"ITEM-2","itemData":{"DOI":"10.1016/j.mednuc.2017.11.003","ISSN":"18786820","abstract":"Introduction: 18F-fluorodeoxyglucose PET/CT (FDG-PET/CT) is an imaging modality routinely used in oncology, hematology, as well as in infectious and inflammatory diseases. Frequently, patients and their accompanying persons may be apprehensive concerning risks of radiation exposure after performing this examination, particularly when it concerns nearby young adolescents or pregnant women. Our objective was to clearly explain about radiation protection instructions for patients after performing whole-body FDG-PET/CT based on the Equivalent Dose Rate (EDR) estimation at our nuclear medicine department. Methods: We measured the dosage rates from 14 patients after undergoing whole-body FDG-PET/CT performed on two different PET/CT systems, with and without Time-of-Flight technology (TOF), in the Pitié Salpêtrière–Charles Foix Hospital Group. The patients explored, using the TOF PET/CT system (group 1, n = 7), had a FDG injected dose (FDG-ID) of 3.7 MBq/kg whereas those explored using the non-TOF PET/CT system (group 2, n = 7) had a FDG-ID of 5 MBq/kg. Measurements of the EDR at 0.8 m (EDR-0.8 m) from the sternum were obtained immediately after PET/CT completion. Results: Patients did not differ in terms of body mass index, mean ± SD 27.2 ± 7.1 kg/m2 and 27.9 ± 8.1 kg/m2, for group 1 and 2 respectively. The median administrated activity was not significantly different between the two groups: 263 MBq [187–362] for group 1 and 377 MBq [228–608] for group 2. The median delay of EDR-0.8 m measurement after FDG-injection was lower for group 1 (85 min [70–118]) (P = 0.03). The median of EDR-0.8 m did not differ between the 2 groups, 27 μSv/h [22–42] and 34 μSv/h [28–82] for group 1 and 2 respectively as well as the EDR-8 m normalized to the FDG-ID, 0.13 μSv/h/MBq [0.07–0.15] and 0.08 μSv//h/MBq [0.06–0.15], for group 1 and 2 respectively. Conclusion: The present study confirmed the low values of EDR from patients after whole-body FDG-PET/CT. This suggests that patients and their accompanying persons can be reassured about potential risks of radiation exposure after this examination and that cautionary advice is unnecessary at our Hospital Group.","author":[{"dropping-particle":"","family":"Bera","given":"G.","non-dropping-particle":"","parse-names":false,"suffix":""},{"dropping-particle":"","family":"Soret","given":"M.","non-dropping-particle":"","parse-names":false,"suffix":""},{"dropping-particle":"","family":"Maisonobe","given":"J. A.","non-dropping-particle":"","parse-names":false,"suffix":""},{"dropping-particle":"","family":"Giron","given":"A.","non-dropping-particle":"","parse-names":false,"suffix":""},{"dropping-particle":"","family":"Garnier","given":"J. M.","non-dropping-particle":"","parse-names":false,"suffix":""},{"dropping-particle":"","family":"Habert","given":"M. O.","non-dropping-particle":"","parse-names":false,"suffix":""},{"dropping-particle":"","family":"Kas","given":"A.","non-dropping-particle":"","parse-names":false,"suffix":""}],"container-title":"Medecine Nucleaire","id":"ITEM-2","issue":"1","issued":{"date-parts":[["2018"]]},"page":"45-48","publisher":"Elsevier Masson SAS","title":"Débit de dose équivalente par patient après TEP/TDM-FDG corps entier","type":"article-journal","volume":"42"},"uris":["http://www.mendeley.com/documents/?uuid=6c2cce0c-49ab-4c58-81f5-b9a65c29618f"]},{"id":"ITEM-3","itemData":{"DOI":"10.3390/su18062944","ISSN":"2071-1050","abstract":"The growth of human activity in cities is a key factor in the degradation of air quality. Numerous studies have demonstrated the link between air quality and the existence of dangerous and chronic diseases that are extremely costly for individuals and society. This study presents an analytical framework that compares fixed and mobile air-quality monitoring approaches in cities with limited resources, using Mohammedia city, Morocco, as an example. The framework centers on mobile monitoring units mounted on vehicles and equipped with affordable sensors, GPS technology, and wireless communication systems to track important pollutants, including fine particulate matter (PM2.5 and PM10) and harmful gaseous compounds (NO2, SO2, CO, O3). The evaluation relies on scenario-based modeling, performance data from existing literature, and calculations of costs throughout the system’s lifetime. To enhance measurement reliability, the researchers developed a correction system that addresses measurement errors caused by temperature, humidity, vehicle speed, vibrations, traffic-related interference, operational interruptions, and communication limitations. The findings indicate that fixed monitoring stations deliver superior measurement precision, with estimated uncertainty ranging from ±1.2–2.5%, though their coverage area is restricted to 0.534 km2 (representing 1.6% of Mohammedia). In comparison, the suggested mobile setup could potentially monitor 9.8 km2, covering approximately 30% of the city, while decreasing infrastructure needs and setup time (2–4 h compared to 2–4 weeks). Over 10 years, the total cost is EUR 252,000 for mobile monitoring, compared with EUR 3.6 million for a network of 20 fixed stations. These results demonstrate that corrected mobile monitoring systems offer significant promise as an economical and sustainable approach for managing urban environmental conditions.","author":[{"dropping-particle":"","family":"Arfaoui","given":"Adil","non-dropping-particle":"El","parse-names":false,"suffix":""},{"dropping-particle":"","family":"Khaili","given":"Mohamed","non-dropping-particle":"El","parse-names":false,"suffix":""},{"dropping-particle":"","family":"Chakir","given":"Imane","non-dropping-particle":"","parse-names":false,"suffix":""},{"dropping-particle":"","family":"Arif","given":"Oumaima","non-dropping-particle":"","parse-names":false,"suffix":""},{"dropping-particle":"","family":"Nhaila","given":"Hasna","non-dropping-particle":"","parse-names":false,"suffix":""},{"dropping-particle":"","family":"Essamlali","given":"Ismail","non-dropping-particle":"","parse-names":false,"suffix":""},{"dropping-particle":"","family":"Tabaa","given":"Mohamed","non-dropping-particle":"","parse-names":false,"suffix":""}],"container-title":"Sustainability","id":"ITEM-3","issue":"6","issued":{"date-parts":[["2026","3","17"]]},"page":"2944","title":"Towards Improving Air Quality Monitoring Using Fixed and Mobile Stations: Case of Mohammedia City","type":"article-journal","volume":"18"},"uris":["http://www.mendeley.com/documents/?uuid=175b7dcc-6515-403d-a9b8-791da4119953"]}],"mendeley":{"formattedCitation":"(Bera et al., 2018; El Arfaoui et al., 2026; Gupta et al., 2018)","manualFormatting":"(El Arfaoui et al., 2026; Gupta et al., 2018)","plainTextFormattedCitation":"(Bera et al., 2018; El Arfaoui et al., 2026; Gupta et al., 2018)","previouslyFormattedCitation":"(Bera et al., 2018; El Arfaoui et al., 2026; Gupta et al., 2018)"},"properties":{"noteIndex":0},"schema":"https://github.com/citation-style-language/schema/raw/master/csl-citation.json"}</w:instrText>
      </w:r>
      <w:r w:rsidR="00447A42">
        <w:rPr>
          <w:rFonts w:ascii="Times New Roman" w:hAnsi="Times New Roman" w:cs="Times New Roman"/>
          <w:color w:val="000000" w:themeColor="text1"/>
          <w:sz w:val="24"/>
          <w:szCs w:val="24"/>
        </w:rPr>
        <w:fldChar w:fldCharType="separate"/>
      </w:r>
      <w:r w:rsidR="00447A42" w:rsidRPr="00447A42">
        <w:rPr>
          <w:rFonts w:ascii="Times New Roman" w:hAnsi="Times New Roman" w:cs="Times New Roman"/>
          <w:noProof/>
          <w:color w:val="000000" w:themeColor="text1"/>
          <w:sz w:val="24"/>
          <w:szCs w:val="24"/>
        </w:rPr>
        <w:t>(El Arfaoui et al., 2026; Gupta et al., 2018)</w:t>
      </w:r>
      <w:r w:rsidR="00447A42">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This mismatch between the spatial scale of pollution variability and the resolution of exposure measurements may result in exposure misclassification, which can attenuate epidemiological associations, obscure local pollution hotspots, and limit the identification of communities requiring targeted intervention</w:t>
      </w:r>
      <w:r w:rsidR="00447A42">
        <w:rPr>
          <w:rFonts w:ascii="Times New Roman" w:hAnsi="Times New Roman" w:cs="Times New Roman"/>
          <w:color w:val="000000" w:themeColor="text1"/>
          <w:sz w:val="24"/>
          <w:szCs w:val="24"/>
        </w:rPr>
        <w:t xml:space="preserve"> </w:t>
      </w:r>
      <w:r w:rsidR="00447A42">
        <w:rPr>
          <w:rFonts w:ascii="Times New Roman" w:hAnsi="Times New Roman" w:cs="Times New Roman"/>
          <w:color w:val="000000" w:themeColor="text1"/>
          <w:sz w:val="24"/>
          <w:szCs w:val="24"/>
        </w:rPr>
        <w:fldChar w:fldCharType="begin" w:fldLock="1"/>
      </w:r>
      <w:r w:rsidR="00262EB0">
        <w:rPr>
          <w:rFonts w:ascii="Times New Roman" w:hAnsi="Times New Roman" w:cs="Times New Roman"/>
          <w:color w:val="000000" w:themeColor="text1"/>
          <w:sz w:val="24"/>
          <w:szCs w:val="24"/>
        </w:rPr>
        <w:instrText>ADDIN CSL_CITATION {"citationItems":[{"id":"ITEM-1","itemData":{"DOI":"10.1093/biostatistics/kxq017","ISSN":"1465-4644","author":[{"dropping-particle":"","family":"Peng","given":"R. D.","non-dropping-particle":"","parse-names":false,"suffix":""},{"dropping-particle":"","family":"Bell","given":"M. L.","non-dropping-particle":"","parse-names":false,"suffix":""}],"container-title":"Biostatistics","id":"ITEM-1","issue":"4","issued":{"date-parts":[["2010","10","1"]]},"page":"720-740","title":"Spatial misalignment in time series studies of air pollution and health data","type":"article-journal","volume":"11"},"uris":["http://www.mendeley.com/documents/?uuid=dbbfe9d6-f3eb-4241-86eb-b32f14d3394d"]},{"id":"ITEM-2","itemData":{"DOI":"10.1038/s41370-023-00624-z","ISSN":"1559-0631","author":[{"dropping-particle":"","family":"Chambliss","given":"Sarah E.","non-dropping-particle":"","parse-names":false,"suffix":""},{"dropping-particle":"","family":"Campmier","given":"Mark Joseph","non-dropping-particle":"","parse-names":false,"suffix":""},{"dropping-particle":"","family":"Audirac","given":"Michelle","non-dropping-particle":"","parse-names":false,"suffix":""},{"dropping-particle":"","family":"Apte","given":"Joshua S.","non-dropping-particle":"","parse-names":false,"suffix":""},{"dropping-particle":"","family":"Zigler","given":"Corwin M.","non-dropping-particle":"","parse-names":false,"suffix":""}],"container-title":"Journal of Exposure Science &amp; Environmental Epidemiology","id":"ITEM-2","issue":"5","issued":{"date-parts":[["2024","9","22"]]},"page":"761-769","title":"Local exposure misclassification in national models: relationships with urban infrastructure and demographics","type":"article-journal","volume":"34"},"uris":["http://www.mendeley.com/documents/?uuid=a721edd3-ab44-4b44-a739-36633813a725"]}],"mendeley":{"formattedCitation":"(Chambliss et al., 2024; Peng &amp; Bell, 2010)","plainTextFormattedCitation":"(Chambliss et al., 2024; Peng &amp; Bell, 2010)","previouslyFormattedCitation":"(Chambliss et al., 2024; Peng &amp; Bell, 2010)"},"properties":{"noteIndex":0},"schema":"https://github.com/citation-style-language/schema/raw/master/csl-citation.json"}</w:instrText>
      </w:r>
      <w:r w:rsidR="00447A42">
        <w:rPr>
          <w:rFonts w:ascii="Times New Roman" w:hAnsi="Times New Roman" w:cs="Times New Roman"/>
          <w:color w:val="000000" w:themeColor="text1"/>
          <w:sz w:val="24"/>
          <w:szCs w:val="24"/>
        </w:rPr>
        <w:fldChar w:fldCharType="separate"/>
      </w:r>
      <w:r w:rsidR="00447A42" w:rsidRPr="00447A42">
        <w:rPr>
          <w:rFonts w:ascii="Times New Roman" w:hAnsi="Times New Roman" w:cs="Times New Roman"/>
          <w:noProof/>
          <w:color w:val="000000" w:themeColor="text1"/>
          <w:sz w:val="24"/>
          <w:szCs w:val="24"/>
        </w:rPr>
        <w:t>(Chambliss et al., 2024; Peng &amp; Bell, 2010)</w:t>
      </w:r>
      <w:r w:rsidR="00447A42">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w:t>
      </w:r>
    </w:p>
    <w:p w14:paraId="6DCFDAAA" w14:textId="77777777" w:rsidR="001C5CC2" w:rsidRPr="008C504A" w:rsidRDefault="001C5CC2" w:rsidP="001C5CC2">
      <w:pPr>
        <w:spacing w:line="360" w:lineRule="auto"/>
        <w:jc w:val="both"/>
        <w:rPr>
          <w:rFonts w:ascii="Times New Roman" w:hAnsi="Times New Roman" w:cs="Times New Roman"/>
          <w:color w:val="000000" w:themeColor="text1"/>
          <w:sz w:val="24"/>
          <w:szCs w:val="24"/>
        </w:rPr>
      </w:pPr>
    </w:p>
    <w:p w14:paraId="5A049C4D" w14:textId="5D034105" w:rsidR="001C5CC2" w:rsidRPr="008C504A" w:rsidRDefault="001C5CC2" w:rsidP="001C5CC2">
      <w:pPr>
        <w:spacing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Satellite remote sensing provides an important complementary approach for addressing limitations in ground-monitoring coverage. Aerosol optical depth (AOD), retrieved from instruments such as the Moderate Resolution Imaging Spectroradiometer (MODIS) using the Multi-Angle Implementation of Atmospheric Correction (MAIAC) algorithm, provides spatially continuous information on atmospheric aerosol loading at approximately 1 km spatial resolution </w:t>
      </w:r>
      <w:r w:rsidR="00C241DD">
        <w:rPr>
          <w:rFonts w:ascii="Times New Roman" w:hAnsi="Times New Roman" w:cs="Times New Roman"/>
          <w:color w:val="000000" w:themeColor="text1"/>
          <w:sz w:val="24"/>
          <w:szCs w:val="24"/>
        </w:rPr>
        <w:fldChar w:fldCharType="begin" w:fldLock="1"/>
      </w:r>
      <w:r w:rsidR="00C241DD">
        <w:rPr>
          <w:rFonts w:ascii="Times New Roman" w:hAnsi="Times New Roman" w:cs="Times New Roman"/>
          <w:color w:val="000000" w:themeColor="text1"/>
          <w:sz w:val="24"/>
          <w:szCs w:val="24"/>
        </w:rPr>
        <w:instrText>ADDIN CSL_CITATION {"citationItems":[{"id":"ITEM-1","itemData":{"DOI":"10.1080/15481603.2025.2571244","ISSN":"1548-1603","author":[{"dropping-particle":"","family":"Malarvizhi","given":"Anusha Srirenganathan","non-dropping-particle":"","parse-names":false,"suffix":""},{"dropping-particle":"","family":"Pan","given":"Phoebe","non-dropping-particle":"","parse-names":false,"suffix":""},{"dropping-particle":"","family":"Stover","given":"Tayven","non-dropping-particle":"","parse-names":false,"suffix":""},{"dropping-particle":"","family":"Sun","given":"Donglian","non-dropping-particle":"","parse-names":false,"suffix":""},{"dropping-particle":"","family":"Yang","given":"Chaowei","non-dropping-particle":"","parse-names":false,"suffix":""}],"container-title":"GIScience &amp; Remote Sensing","id":"ITEM-1","issue":"1","issued":{"date-parts":[["2025","12","31"]]},"title":"Optimizing GAIN model to improve AOD imputation using MODIS MAIAC data and multi-source data fusion as an example","type":"article-journal","volume":"62"},"uris":["http://www.mendeley.com/documents/?uuid=f6725717-c78b-4b04-9117-70cc27f13c2b"]},{"id":"ITEM-2","itemData":{"author":[{"dropping-particle":"","family":"Moh Hosseinioun, Frank Neffke","given":"Hyejin Youn and Letian (LT) Zhang","non-dropping-particle":"","parse-names":false,"suffix":""}],"container-title":"Harvard Business School","id":"ITEM-2","issued":{"date-parts":[["2025"]]},"title":"Soft Skills Matter Now More Than Ever, According to New Research","type":"article-journal"},"uris":["http://www.mendeley.com/documents/?uuid=e345b01d-ee9a-40eb-a7df-890802ed604e"]}],"mendeley":{"formattedCitation":"(Malarvizhi et al., 2025; Moh Hosseinioun, Frank Neffke, 2025)","plainTextFormattedCitation":"(Malarvizhi et al., 2025; Moh Hosseinioun, Frank Neffke, 2025)","previouslyFormattedCitation":"(Malarvizhi et al., 2025; Moh Hosseinioun, Frank Neffke, 2025)"},"properties":{"noteIndex":0},"schema":"https://github.com/citation-style-language/schema/raw/master/csl-citation.json"}</w:instrText>
      </w:r>
      <w:r w:rsidR="00C241DD">
        <w:rPr>
          <w:rFonts w:ascii="Times New Roman" w:hAnsi="Times New Roman" w:cs="Times New Roman"/>
          <w:color w:val="000000" w:themeColor="text1"/>
          <w:sz w:val="24"/>
          <w:szCs w:val="24"/>
        </w:rPr>
        <w:fldChar w:fldCharType="separate"/>
      </w:r>
      <w:r w:rsidR="00C241DD" w:rsidRPr="00C241DD">
        <w:rPr>
          <w:rFonts w:ascii="Times New Roman" w:hAnsi="Times New Roman" w:cs="Times New Roman"/>
          <w:noProof/>
          <w:color w:val="000000" w:themeColor="text1"/>
          <w:sz w:val="24"/>
          <w:szCs w:val="24"/>
        </w:rPr>
        <w:t>(Malarvizhi et al., 2025; Moh Hosseinioun, Frank Neffke, 2025)</w:t>
      </w:r>
      <w:r w:rsidR="00C241DD">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In addition, the TROPOspheric Monitoring Instrument (TROPOMI) aboard the Sentinel-5 Precursor satellite provides daily observations of atmospheric trace-gas columns, including nitrogen dioxide (NO₂), sulphur dioxide (SO₂), and ozone (O₃), enabling improved assessment of pollution associated with urban traffic, industrial activity, and combustion processes </w:t>
      </w:r>
      <w:r w:rsidR="00C241DD">
        <w:rPr>
          <w:rFonts w:ascii="Times New Roman" w:hAnsi="Times New Roman" w:cs="Times New Roman"/>
          <w:color w:val="000000" w:themeColor="text1"/>
          <w:sz w:val="24"/>
          <w:szCs w:val="24"/>
        </w:rPr>
        <w:fldChar w:fldCharType="begin" w:fldLock="1"/>
      </w:r>
      <w:r w:rsidR="007373E3">
        <w:rPr>
          <w:rFonts w:ascii="Times New Roman" w:hAnsi="Times New Roman" w:cs="Times New Roman"/>
          <w:color w:val="000000" w:themeColor="text1"/>
          <w:sz w:val="24"/>
          <w:szCs w:val="24"/>
        </w:rPr>
        <w:instrText>ADDIN CSL_CITATION {"citationItems":[{"id":"ITEM-1","itemData":{"DOI":"10.3390/rs14010214","ISSN":"2072-4292","abstract":"The TROPOspheric Monitoring Instrument (TROPOMI) aboard the Sentinel-5 Precursor satellite has been used to detect the atmospheric environment since 2017, and it is of great significance to investigate the accuracy of its products. In this work, we present comparisons between TROPOMI tropospheric NO2 and total SO2 products against ground-based MAX-DOAS at a single site (Xianghe) and OMI products over a seriously polluted region (North China Plain, NCP) in China. The results show that both NO2 and SO2 data from three datasets exhibit a similar tendency and seasonality. In addition, TROPOMI tropospheric NO2 columns are generally underestimated compared with collocated MAX-DOAS and OMI data by about 30–60%. In contrast to NO2, the monthly average SO2 retrieved from TROPOMI is larger than MAX-DOAS and OMI, with a mean bias of 2.41 (153.8%) and 2.17 × 1016 molec cm−2 (120.7%), respectively. All the results demonstrated that the TROPOMI NO2 as well as the SO2 algorithms need to be further improved. Thus, to ensure reliable analysis in NCP area, a correction method has been proposed and applied to TROPOMI Level 3 data. The revised datasets agree reasonably well with OMI observations (R &gt; 0.95 for NO2, and R &gt; 0.85 for SO2) over the NCP region and have smaller mean biases with MAX-DOAS. In the application during COVID-19 pandemic, it showed that the NO2 column in January-April 2020 decreased by almost 25–45% compared to the same period in 2019 due to the lockdown for COVID-19, and there was an apparent rebound of nearly 15–50% during 2021. In contrast, a marginal change of the corresponding SO2 is revealed in the NCP region. It signifies that short-term control measures are expected to have more effects on NO2 reduction than SO2; conversely, we need to recognize that although the COVID-19 lockdown measures improved air quality in the short term, the pollution status will rebound to its previous level once industrial and human activities return to normal.","author":[{"dropping-particle":"","family":"Wang","given":"Chunjiao","non-dropping-particle":"","parse-names":false,"suffix":""},{"dropping-particle":"","family":"Wang","given":"Ting","non-dropping-particle":"","parse-names":false,"suffix":""},{"dropping-particle":"","family":"Wang","given":"Pucai","non-dropping-particle":"","parse-names":false,"suffix":""},{"dropping-particle":"","family":"Wang","given":"Wannan","non-dropping-particle":"","parse-names":false,"suffix":""}],"container-title":"Remote Sensing","id":"ITEM-1","issue":"1","issued":{"date-parts":[["2022","1","4"]]},"page":"214","title":"Assessment of the Performance of TROPOMI NO2 and SO2 Data Products in the North China Plain: Comparison, Correction and Application","type":"article-journal","volume":"14"},"uris":["http://www.mendeley.com/documents/?uuid=598480cf-73d1-43e2-a95b-7ddf52e1915a"]},{"id":"ITEM-2","itemData":{"DOI":"10.1038/s41598-024-72276-4","ISSN":"2045-2322","author":[{"dropping-particle":"","family":"Mathew","given":"Aneesh","non-dropping-particle":"","parse-names":false,"suffix":""},{"dropping-particle":"","family":"Shekar","given":"Padala Raja","non-dropping-particle":"","parse-names":false,"suffix":""},{"dropping-particle":"","family":"Nair","given":"Abhilash T.","non-dropping-particle":"","parse-names":false,"suffix":""},{"dropping-particle":"","family":"Mallick","given":"Javed","non-dropping-particle":"","parse-names":false,"suffix":""},{"dropping-particle":"","family":"Rathod","given":"Chetan","non-dropping-particle":"","parse-names":false,"suffix":""},{"dropping-particle":"","family":"Bindajam","given":"Ahmed Ali","non-dropping-particle":"","parse-names":false,"suffix":""},{"dropping-particle":"","family":"Alharbi","given":"Maged Muteb","non-dropping-particle":"","parse-names":false,"suffix":""},{"dropping-particle":"","family":"Abdo","given":"Hazem Ghassan","non-dropping-particle":"","parse-names":false,"suffix":""}],"container-title":"Scientific Reports","id":"ITEM-2","issue":"1","issued":{"date-parts":[["2024","9","16"]]},"page":"21624","title":"Unveiling urban air quality dynamics during COVID-19: a Sentinel-5P TROPOMI hotspot analysis","type":"article-journal","volume":"14"},"uris":["http://www.mendeley.com/documents/?uuid=abc29e58-2bc5-4da8-b665-a9e8065bd9a7"]}],"mendeley":{"formattedCitation":"(Mathew et al., 2024; Wang et al., 2022)","plainTextFormattedCitation":"(Mathew et al., 2024; Wang et al., 2022)","previouslyFormattedCitation":"(Mathew et al., 2024; Wang et al., 2022)"},"properties":{"noteIndex":0},"schema":"https://github.com/citation-style-language/schema/raw/master/csl-citation.json"}</w:instrText>
      </w:r>
      <w:r w:rsidR="00C241DD">
        <w:rPr>
          <w:rFonts w:ascii="Times New Roman" w:hAnsi="Times New Roman" w:cs="Times New Roman"/>
          <w:color w:val="000000" w:themeColor="text1"/>
          <w:sz w:val="24"/>
          <w:szCs w:val="24"/>
        </w:rPr>
        <w:fldChar w:fldCharType="separate"/>
      </w:r>
      <w:r w:rsidR="00C241DD" w:rsidRPr="00C241DD">
        <w:rPr>
          <w:rFonts w:ascii="Times New Roman" w:hAnsi="Times New Roman" w:cs="Times New Roman"/>
          <w:noProof/>
          <w:color w:val="000000" w:themeColor="text1"/>
          <w:sz w:val="24"/>
          <w:szCs w:val="24"/>
        </w:rPr>
        <w:t>(Mathew et al., 2024; Wang et al., 2022)</w:t>
      </w:r>
      <w:r w:rsidR="00C241DD">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Nevertheless, satellite instruments primarily observe vertically integrated atmospheric columns rather than pollutant concentrations at ground level. Therefore, satellite-derived AOD and trace-gas measurements require calibration and integration with ground-based monitoring, meteorological variables, land-use characteristics, and atmospheric model outputs before they can serve as reliable estimates of population-level surface exposure</w:t>
      </w:r>
      <w:r w:rsidR="007373E3">
        <w:rPr>
          <w:rFonts w:ascii="Times New Roman" w:hAnsi="Times New Roman" w:cs="Times New Roman"/>
          <w:color w:val="000000" w:themeColor="text1"/>
          <w:sz w:val="24"/>
          <w:szCs w:val="24"/>
        </w:rPr>
        <w:t xml:space="preserve"> </w:t>
      </w:r>
      <w:r w:rsidR="007373E3">
        <w:rPr>
          <w:rFonts w:ascii="Times New Roman" w:hAnsi="Times New Roman" w:cs="Times New Roman"/>
          <w:color w:val="000000" w:themeColor="text1"/>
          <w:sz w:val="24"/>
          <w:szCs w:val="24"/>
        </w:rPr>
        <w:fldChar w:fldCharType="begin" w:fldLock="1"/>
      </w:r>
      <w:r w:rsidR="007373E3">
        <w:rPr>
          <w:rFonts w:ascii="Times New Roman" w:hAnsi="Times New Roman" w:cs="Times New Roman"/>
          <w:color w:val="000000" w:themeColor="text1"/>
          <w:sz w:val="24"/>
          <w:szCs w:val="24"/>
        </w:rPr>
        <w:instrText>ADDIN CSL_CITATION {"citationItems":[{"id":"ITEM-1","itemData":{"DOI":"10.1016/j.hazadv.2025.100782","ISSN":"27724166","author":[{"dropping-particle":"","family":"Attanayake","given":"Gimhan","non-dropping-particle":"","parse-names":false,"suffix":""},{"dropping-particle":"","family":"Senarathna","given":"Mahesh","non-dropping-particle":"","parse-names":false,"suffix":""},{"dropping-particle":"","family":"Bergin","given":"Mike","non-dropping-particle":"","parse-names":false,"suffix":""},{"dropping-particle":"","family":"Carlson","given":"David","non-dropping-particle":"","parse-names":false,"suffix":""},{"dropping-particle":"V","family":"Bhave","given":"Prakash","non-dropping-particle":"","parse-names":false,"suffix":""},{"dropping-particle":"","family":"Bowatte","given":"Gayan","non-dropping-particle":"","parse-names":false,"suffix":""},{"dropping-particle":"","family":"Harischandra","given":"Nalin","non-dropping-particle":"","parse-names":false,"suffix":""}],"container-title":"Journal of Hazardous Materials Advances","id":"ITEM-1","issued":{"date-parts":[["2025","8"]]},"page":"100782","title":"An RF-CNN pipeline for predicting PM2.5 concentration in Sri Lanka","type":"article-journal","volume":"19"},"uris":["http://www.mendeley.com/documents/?uuid=071d0efe-38f9-4693-b359-cd42e4ec684c"]},{"id":"ITEM-2","itemData":{"DOI":"10.3390/cli14010001","ISSN":"2225-1154","abstract":"Studies have established that extreme air pollution is more prevalent and is responsible for more deaths and disability-adjusted life years (DALY) in urban cities, especially in developing economies. However, the paucity of ground-based observation has greatly hindered extensive and long-term monitoring and, as such, a good understanding of the trend and characteristics of air quality where it matters most. Aerosol optical depth (AOD) from satellites retrievals provides good spatial and temporal resolutions of atmospheric aerosols and could be a good proxy for ground-level PM2.5 concentration. This study used a Bayesian regression model to determine the parameters of a PM2.5 model at four monitoring stations using AOD and selected atmospheric variables (PBLH and RH) as input. The dry-air reference value (K) and the integrated humidity coefficient (γ) were used to delineate the effects of the aerosol characteristics. The values of K and γ, 0.02&lt;K&lt;0.07 (m2g−1) and 0.54&lt;γ&lt;3.14, respectively, are site-specific even within the same country as is the case for Lekki and Benin (both in Nigeria). The PM2.5 estimates from the developed observation-based model were in good agreement with the ground-based observations (0.55&lt;r&lt;0.77). RH and a combination of PBLH-RH were the best performers in the development of the model. Firstly, this study identifies the unique range of values for K and γ for site-classes in the sub-Saharan tropical climate. Secondly, PBLH adds more explanatory power to the PM2.5 estimates in Benin and Douala (both non-coastal cities) while RH improves the performance of the model significantly in Lekki and Owendo (both coastal cities). For West Africa and similar data-sparse regions, the methodology presented here offers a practical pathway to enhance air quality monitoring capabilities.","author":[{"dropping-particle":"","family":"Fawole","given":"Olusegun G.","non-dropping-particle":"","parse-names":false,"suffix":""},{"dropping-particle":"","family":"Ogunjo","given":"Samuel T.","non-dropping-particle":"","parse-names":false,"suffix":""},{"dropping-particle":"","family":"Olabode","given":"Ayomide","non-dropping-particle":"","parse-names":false,"suffix":""},{"dropping-particle":"","family":"Alabi","given":"Wumi","non-dropping-particle":"","parse-names":false,"suffix":""},{"dropping-particle":"","family":"Sa’id","given":"Rabia S.","non-dropping-particle":"","parse-names":false,"suffix":""}],"container-title":"Climate","id":"ITEM-2","issue":"1","issued":{"date-parts":[["2025","12","22"]]},"page":"1","title":"Estimation of Surface PM2.5 Concentration from Satellite Aerosol Optical Depth Using a Constrained Observation-Based Model","type":"article-journal","volume":"14"},"uris":["http://www.mendeley.com/documents/?uuid=0ef36fb7-e33f-4ca5-a1eb-e6c84669a906"]}],"mendeley":{"formattedCitation":"(Attanayake et al., 2025; Fawole et al., 2025)","plainTextFormattedCitation":"(Attanayake et al., 2025; Fawole et al., 2025)","previouslyFormattedCitation":"(Attanayake et al., 2025; Fawole et al., 2025)"},"properties":{"noteIndex":0},"schema":"https://github.com/citation-style-language/schema/raw/master/csl-citation.json"}</w:instrText>
      </w:r>
      <w:r w:rsidR="007373E3">
        <w:rPr>
          <w:rFonts w:ascii="Times New Roman" w:hAnsi="Times New Roman" w:cs="Times New Roman"/>
          <w:color w:val="000000" w:themeColor="text1"/>
          <w:sz w:val="24"/>
          <w:szCs w:val="24"/>
        </w:rPr>
        <w:fldChar w:fldCharType="separate"/>
      </w:r>
      <w:r w:rsidR="007373E3" w:rsidRPr="007373E3">
        <w:rPr>
          <w:rFonts w:ascii="Times New Roman" w:hAnsi="Times New Roman" w:cs="Times New Roman"/>
          <w:noProof/>
          <w:color w:val="000000" w:themeColor="text1"/>
          <w:sz w:val="24"/>
          <w:szCs w:val="24"/>
        </w:rPr>
        <w:t>(Attanayake et al., 2025; Fawole et al., 2025)</w:t>
      </w:r>
      <w:r w:rsidR="007373E3">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w:t>
      </w:r>
    </w:p>
    <w:p w14:paraId="7DED0937" w14:textId="77777777" w:rsidR="001C5CC2" w:rsidRPr="008C504A" w:rsidRDefault="001C5CC2" w:rsidP="001C5CC2">
      <w:pPr>
        <w:spacing w:line="360" w:lineRule="auto"/>
        <w:jc w:val="both"/>
        <w:rPr>
          <w:rFonts w:ascii="Times New Roman" w:hAnsi="Times New Roman" w:cs="Times New Roman"/>
          <w:color w:val="000000" w:themeColor="text1"/>
          <w:sz w:val="24"/>
          <w:szCs w:val="24"/>
        </w:rPr>
      </w:pPr>
    </w:p>
    <w:p w14:paraId="09877B9E" w14:textId="68CCDA62" w:rsidR="001C5CC2" w:rsidRPr="008C504A" w:rsidRDefault="001C5CC2" w:rsidP="001C5CC2">
      <w:pPr>
        <w:spacing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lastRenderedPageBreak/>
        <w:t>The integration of satellite observations with ground-based data has developed from early empirical relationships between AOD and surface PM₂.₅ concentrations to more advanced geophysical-statistical and machine-learning approaches. Early studies demonstrated the potential of satellite-derived AOD to estimate near-surface particulate matter concentrations where routine monitoring data are sparse</w:t>
      </w:r>
      <w:r w:rsidR="00262EB0">
        <w:rPr>
          <w:rFonts w:ascii="Times New Roman" w:hAnsi="Times New Roman" w:cs="Times New Roman"/>
          <w:color w:val="000000" w:themeColor="text1"/>
          <w:sz w:val="24"/>
          <w:szCs w:val="24"/>
        </w:rPr>
        <w:t xml:space="preserve"> </w:t>
      </w:r>
      <w:r w:rsidR="00262EB0">
        <w:rPr>
          <w:rFonts w:ascii="Times New Roman" w:hAnsi="Times New Roman" w:cs="Times New Roman"/>
          <w:color w:val="000000" w:themeColor="text1"/>
          <w:sz w:val="24"/>
          <w:szCs w:val="24"/>
        </w:rPr>
        <w:fldChar w:fldCharType="begin" w:fldLock="1"/>
      </w:r>
      <w:r w:rsidR="00262EB0">
        <w:rPr>
          <w:rFonts w:ascii="Times New Roman" w:hAnsi="Times New Roman" w:cs="Times New Roman"/>
          <w:color w:val="000000" w:themeColor="text1"/>
          <w:sz w:val="24"/>
          <w:szCs w:val="24"/>
        </w:rPr>
        <w:instrText>ADDIN CSL_CITATION {"citationItems":[{"id":"ITEM-1","itemData":{"DOI":"10.1016/j.rineng.2026.109830","ISSN":"25901230","author":[{"dropping-particle":"","family":"Lu","given":"Quang-Oai","non-dropping-particle":"","parse-names":false,"suffix":""},{"dropping-particle":"","family":"Chang","given":"Wei-Hsiang","non-dropping-particle":"","parse-names":false,"suffix":""},{"dropping-particle":"","family":"Chen","given":"Hsiu Ling","non-dropping-particle":"","parse-names":false,"suffix":""},{"dropping-particle":"","family":"Lee","given":"Ching-Chang","non-dropping-particle":"","parse-names":false,"suffix":""}],"container-title":"Results in Engineering","id":"ITEM-1","issued":{"date-parts":[["2026","3"]]},"page":"109830","title":"Unveiling the hidden gaps of PM2.5 exposure: A critical review bridging perspectives from indoor and outdoor predictive models","type":"article-journal","volume":"29"},"uris":["http://www.mendeley.com/documents/?uuid=64b5f780-84b7-4436-8133-fdc869a80f00"]},{"id":"ITEM-2","itemData":{"DOI":"10.3390/cli14010001","ISSN":"2225-1154","abstract":"Studies have established that extreme air pollution is more prevalent and is responsible for more deaths and disability-adjusted life years (DALY) in urban cities, especially in developing economies. However, the paucity of ground-based observation has greatly hindered extensive and long-term monitoring and, as such, a good understanding of the trend and characteristics of air quality where it matters most. Aerosol optical depth (AOD) from satellites retrievals provides good spatial and temporal resolutions of atmospheric aerosols and could be a good proxy for ground-level PM2.5 concentration. This study used a Bayesian regression model to determine the parameters of a PM2.5 model at four monitoring stations using AOD and selected atmospheric variables (PBLH and RH) as input. The dry-air reference value (K) and the integrated humidity coefficient (γ) were used to delineate the effects of the aerosol characteristics. The values of K and γ, 0.02&lt;K&lt;0.07 (m2g−1) and 0.54&lt;γ&lt;3.14, respectively, are site-specific even within the same country as is the case for Lekki and Benin (both in Nigeria). The PM2.5 estimates from the developed observation-based model were in good agreement with the ground-based observations (0.55&lt;r&lt;0.77). RH and a combination of PBLH-RH were the best performers in the development of the model. Firstly, this study identifies the unique range of values for K and γ for site-classes in the sub-Saharan tropical climate. Secondly, PBLH adds more explanatory power to the PM2.5 estimates in Benin and Douala (both non-coastal cities) while RH improves the performance of the model significantly in Lekki and Owendo (both coastal cities). For West Africa and similar data-sparse regions, the methodology presented here offers a practical pathway to enhance air quality monitoring capabilities.","author":[{"dropping-particle":"","family":"Fawole","given":"Olusegun G.","non-dropping-particle":"","parse-names":false,"suffix":""},{"dropping-particle":"","family":"Ogunjo","given":"Samuel T.","non-dropping-particle":"","parse-names":false,"suffix":""},{"dropping-particle":"","family":"Olabode","given":"Ayomide","non-dropping-particle":"","parse-names":false,"suffix":""},{"dropping-particle":"","family":"Alabi","given":"Wumi","non-dropping-particle":"","parse-names":false,"suffix":""},{"dropping-particle":"","family":"Sa’id","given":"Rabia S.","non-dropping-particle":"","parse-names":false,"suffix":""}],"container-title":"Climate","id":"ITEM-2","issue":"1","issued":{"date-parts":[["2025","12","22"]]},"page":"1","title":"Estimation of Surface PM2.5 Concentration from Satellite Aerosol Optical Depth Using a Constrained Observation-Based Model","type":"article-journal","volume":"14"},"uris":["http://www.mendeley.com/documents/?uuid=4f94d126-f3d6-4e8a-8b9b-2e9d07d72100"]}],"mendeley":{"formattedCitation":"(Fawole et al., 2025; Lu et al., 2026)","plainTextFormattedCitation":"(Fawole et al., 2025; Lu et al., 2026)","previouslyFormattedCitation":"(Fawole et al., 2025; Lu et al., 2026)"},"properties":{"noteIndex":0},"schema":"https://github.com/citation-style-language/schema/raw/master/csl-citation.json"}</w:instrText>
      </w:r>
      <w:r w:rsidR="00262EB0">
        <w:rPr>
          <w:rFonts w:ascii="Times New Roman" w:hAnsi="Times New Roman" w:cs="Times New Roman"/>
          <w:color w:val="000000" w:themeColor="text1"/>
          <w:sz w:val="24"/>
          <w:szCs w:val="24"/>
        </w:rPr>
        <w:fldChar w:fldCharType="separate"/>
      </w:r>
      <w:r w:rsidR="00262EB0" w:rsidRPr="00262EB0">
        <w:rPr>
          <w:rFonts w:ascii="Times New Roman" w:hAnsi="Times New Roman" w:cs="Times New Roman"/>
          <w:noProof/>
          <w:color w:val="000000" w:themeColor="text1"/>
          <w:sz w:val="24"/>
          <w:szCs w:val="24"/>
        </w:rPr>
        <w:t>(Fawole et al., 2025; Lu et al., 2026)</w:t>
      </w:r>
      <w:r w:rsidR="00262EB0">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More recent approaches have combined satellite retrievals, chemical transport models, meteorological data, and ground-monitoring observations to produce spatially continuous PM₂.₅ exposure surfaces at regional and global scales </w:t>
      </w:r>
      <w:r w:rsidR="00262EB0">
        <w:rPr>
          <w:rFonts w:ascii="Times New Roman" w:hAnsi="Times New Roman" w:cs="Times New Roman"/>
          <w:color w:val="000000" w:themeColor="text1"/>
          <w:sz w:val="24"/>
          <w:szCs w:val="24"/>
        </w:rPr>
        <w:fldChar w:fldCharType="begin" w:fldLock="1"/>
      </w:r>
      <w:r w:rsidR="00C241DD">
        <w:rPr>
          <w:rFonts w:ascii="Times New Roman" w:hAnsi="Times New Roman" w:cs="Times New Roman"/>
          <w:color w:val="000000" w:themeColor="text1"/>
          <w:sz w:val="24"/>
          <w:szCs w:val="24"/>
        </w:rPr>
        <w:instrText>ADDIN CSL_CITATION {"citationItems":[{"id":"ITEM-1","itemData":{"DOI":"10.1021/acs.est.1c05309","ISSN":"0013-936X","author":[{"dropping-particle":"","family":"Donkelaar","given":"Aaron","non-dropping-particle":"van","parse-names":false,"suffix":""},{"dropping-particle":"","family":"Hammer","given":"Melanie S.","non-dropping-particle":"","parse-names":false,"suffix":""},{"dropping-particle":"","family":"Bindle","given":"Liam","non-dropping-particle":"","parse-names":false,"suffix":""},{"dropping-particle":"","family":"Brauer","given":"Michael","non-dropping-particle":"","parse-names":false,"suffix":""},{"dropping-particle":"","family":"Brook","given":"Jeffery R.","non-dropping-particle":"","parse-names":false,"suffix":""},{"dropping-particle":"","family":"Garay","given":"Michael J.","non-dropping-particle":"","parse-names":false,"suffix":""},{"dropping-particle":"","family":"Hsu","given":"N. Christina","non-dropping-particle":"","parse-names":false,"suffix":""},{"dropping-particle":"V.","family":"Kalashnikova","given":"Olga","non-dropping-particle":"","parse-names":false,"suffix":""},{"dropping-particle":"","family":"Kahn","given":"Ralph A.","non-dropping-particle":"","parse-names":false,"suffix":""},{"dropping-particle":"","family":"Lee","given":"Colin","non-dropping-particle":"","parse-names":false,"suffix":""},{"dropping-particle":"","family":"Levy","given":"Robert C.","non-dropping-particle":"","parse-names":false,"suffix":""},{"dropping-particle":"","family":"Lyapustin","given":"Alexei","non-dropping-particle":"","parse-names":false,"suffix":""},{"dropping-particle":"","family":"Sayer","given":"Andrew M.","non-dropping-particle":"","parse-names":false,"suffix":""},{"dropping-particle":"V.","family":"Martin","given":"Randall","non-dropping-particle":"","parse-names":false,"suffix":""}],"container-title":"Environmental Science &amp; Technology","id":"ITEM-1","issue":"22","issued":{"date-parts":[["2021","11","16"]]},"page":"15287-15300","title":"Monthly Global Estimates of Fine Particulate Matter and Their Uncertainty","type":"article-journal","volume":"55"},"uris":["http://www.mendeley.com/documents/?uuid=6834b6a2-87f1-4ba7-aecd-d9cc2c310263"]},{"id":"ITEM-2","itemData":{"DOI":"10.3390/rs17152609","ISSN":"2072-4292","abstract":"Ultrahigh resolution fine particulate matter (PM2.5) mass concentration remote sensing products are crucial for atmospheric environmental monitoring, pollution source verification, health exposure risk assessment, and other fine-scale applications in urban environments. This study developed an ultrahigh resolution retrieval algorithm to estimate 30 m resolution PM2.5 mass concentrations over urban areas from Landsat-8 and Sentinel-2A/B satellite measurements. The algorithm utilized aerosol optical depth (AOD) products retrieved from the Landsat-8 OLI and Sentinel-2 MSI measurements from 2017 to 2020, combined with multi-source auxiliary data to establish a PM2.5-AOD relationship model across China. The results showed an overall high coefficient of determination (R2) of 0.82 and 0.76 for the model training accuracy based on samples and stations, respectively. The model prediction accuracy in Beijing and Wuhan reached R2 values of 0.86 and 0.85. Applications in both cities demonstrated that ultrahigh resolution PM2.5 has significant advantages in resolving fine-scale spatial patterns of urban air pollution and pinpointing pollution hotspots. Furthermore, an analysis of point source pollution at a typical heavy pollution emission enterprise confirmed that ultrahigh spatial resolution PM2.5 can accurately identify the diffusion trend of point source pollution, providing fundamental data support for refined monitoring of urban air pollution and air pollution prevention and control.","author":[{"dropping-particle":"","family":"Lin","given":"Hao","non-dropping-particle":"","parse-names":false,"suffix":""},{"dropping-particle":"","family":"Li","given":"Siwei","non-dropping-particle":"","parse-names":false,"suffix":""},{"dropping-particle":"","family":"Niu","given":"Jiqiang","non-dropping-particle":"","parse-names":false,"suffix":""},{"dropping-particle":"","family":"Yang","given":"Jie","non-dropping-particle":"","parse-names":false,"suffix":""},{"dropping-particle":"","family":"Wang","given":"Qingxin","non-dropping-particle":"","parse-names":false,"suffix":""},{"dropping-particle":"","family":"Li","given":"Wenqiao","non-dropping-particle":"","parse-names":false,"suffix":""},{"dropping-particle":"","family":"Liu","given":"Shengpeng","non-dropping-particle":"","parse-names":false,"suffix":""}],"container-title":"Remote Sensing","id":"ITEM-2","issue":"15","issued":{"date-parts":[["2025","7","27"]]},"page":"2609","title":"Estimation of Ultrahigh Resolution PM2.5 in Urban Areas by Using 30 m Landsat-8 and Sentinel-2 AOD Retrievals","type":"article-journal","volume":"17"},"uris":["http://www.mendeley.com/documents/?uuid=6d8e8028-8bea-4c15-8f20-cf036521c6f9"]}],"mendeley":{"formattedCitation":"(Lin et al., 2025; van Donkelaar et al., 2021)","plainTextFormattedCitation":"(Lin et al., 2025; van Donkelaar et al., 2021)","previouslyFormattedCitation":"(Lin et al., 2025; van Donkelaar et al., 2021)"},"properties":{"noteIndex":0},"schema":"https://github.com/citation-style-language/schema/raw/master/csl-citation.json"}</w:instrText>
      </w:r>
      <w:r w:rsidR="00262EB0">
        <w:rPr>
          <w:rFonts w:ascii="Times New Roman" w:hAnsi="Times New Roman" w:cs="Times New Roman"/>
          <w:color w:val="000000" w:themeColor="text1"/>
          <w:sz w:val="24"/>
          <w:szCs w:val="24"/>
        </w:rPr>
        <w:fldChar w:fldCharType="separate"/>
      </w:r>
      <w:r w:rsidR="00262EB0" w:rsidRPr="00262EB0">
        <w:rPr>
          <w:rFonts w:ascii="Times New Roman" w:hAnsi="Times New Roman" w:cs="Times New Roman"/>
          <w:noProof/>
          <w:color w:val="000000" w:themeColor="text1"/>
          <w:sz w:val="24"/>
          <w:szCs w:val="24"/>
        </w:rPr>
        <w:t>(Lin et al., 2025; van Donkelaar et al., 2021)</w:t>
      </w:r>
      <w:r w:rsidR="00262EB0">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These integrated approaches offer considerable value for urban air-pollution research because they improve exposure estimation in locations where monitoring stations are limited or unevenly distributed.</w:t>
      </w:r>
    </w:p>
    <w:p w14:paraId="2D9E20F6" w14:textId="77777777" w:rsidR="001C5CC2" w:rsidRPr="008C504A" w:rsidRDefault="001C5CC2" w:rsidP="001C5CC2">
      <w:pPr>
        <w:spacing w:line="360" w:lineRule="auto"/>
        <w:jc w:val="both"/>
        <w:rPr>
          <w:rFonts w:ascii="Times New Roman" w:hAnsi="Times New Roman" w:cs="Times New Roman"/>
          <w:color w:val="000000" w:themeColor="text1"/>
          <w:sz w:val="24"/>
          <w:szCs w:val="24"/>
        </w:rPr>
      </w:pPr>
    </w:p>
    <w:p w14:paraId="26633890" w14:textId="6E30DE1A" w:rsidR="001C5CC2" w:rsidRPr="008C504A" w:rsidRDefault="001C5CC2" w:rsidP="001C5CC2">
      <w:pPr>
        <w:spacing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A second methodological challenge concerns the interpolation and spatial analysis of calibrated pollution surfaces. Geostatistical techniques, particularly kriging, use the spatial autocorrelation structure of environmental variables to predict pollutant concentrations at unsampled locations while quantifying prediction uncertainty </w:t>
      </w:r>
      <w:r w:rsidR="007373E3">
        <w:rPr>
          <w:rFonts w:ascii="Times New Roman" w:hAnsi="Times New Roman" w:cs="Times New Roman"/>
          <w:color w:val="000000" w:themeColor="text1"/>
          <w:sz w:val="24"/>
          <w:szCs w:val="24"/>
        </w:rPr>
        <w:fldChar w:fldCharType="begin" w:fldLock="1"/>
      </w:r>
      <w:r w:rsidR="007373E3">
        <w:rPr>
          <w:rFonts w:ascii="Times New Roman" w:hAnsi="Times New Roman" w:cs="Times New Roman"/>
          <w:color w:val="000000" w:themeColor="text1"/>
          <w:sz w:val="24"/>
          <w:szCs w:val="24"/>
        </w:rPr>
        <w:instrText>ADDIN CSL_CITATION {"citationItems":[{"id":"ITEM-1","itemData":{"DOI":"10.1080/19475705.2023.2190853","ISSN":"1947-5705","author":[{"dropping-particle":"","family":"Khan","given":"Mohsin","non-dropping-particle":"","parse-names":false,"suffix":""},{"dropping-particle":"","family":"Almazah","given":"Mohammed M. A.","non-dropping-particle":"","parse-names":false,"suffix":""},{"dropping-particle":"","family":"EIlahi","given":"Asad","non-dropping-particle":"","parse-names":false,"suffix":""},{"dropping-particle":"","family":"Niaz","given":"Rizwan","non-dropping-particle":"","parse-names":false,"suffix":""},{"dropping-particle":"","family":"Al-Rezami","given":"A. Y.","non-dropping-particle":"","parse-names":false,"suffix":""},{"dropping-particle":"","family":"Zaman","given":"Baber","non-dropping-particle":"","parse-names":false,"suffix":""}],"container-title":"Geomatics, Natural Hazards and Risk","id":"ITEM-1","issue":"1","issued":{"date-parts":[["2023","12","31"]]},"title":"Spatial interpolation of water quality index based on Ordinary kriging and Universal kriging","type":"article-journal","volume":"14"},"uris":["http://www.mendeley.com/documents/?uuid=83c4a034-9b5a-4e31-846a-3678b276dfc5"]},{"id":"ITEM-2","itemData":{"DOI":"10.1016/j.rineng.2023.100937","ISSN":"25901230","author":[{"dropping-particle":"","family":"Lotrecchiano","given":"Nicoletta","non-dropping-particle":"","parse-names":false,"suffix":""},{"dropping-particle":"","family":"Barletta","given":"Diego","non-dropping-particle":"","parse-names":false,"suffix":""},{"dropping-particle":"","family":"Poletto","given":"Massimo","non-dropping-particle":"","parse-names":false,"suffix":""},{"dropping-particle":"","family":"Sofia","given":"Daniele","non-dropping-particle":"","parse-names":false,"suffix":""}],"container-title":"Results in Engineering","id":"ITEM-2","issued":{"date-parts":[["2023","3"]]},"page":"100937","title":"Comparison of spatial interpolation techniques for innovative air quality monitoring systems","type":"article-journal","volume":"17"},"uris":["http://www.mendeley.com/documents/?uuid=2649a2cf-b12e-443b-bbaf-64bf2ea2d240"]}],"mendeley":{"formattedCitation":"(Khan et al., 2023; Lotrecchiano et al., 2023)","plainTextFormattedCitation":"(Khan et al., 2023; Lotrecchiano et al., 2023)","previouslyFormattedCitation":"(Khan et al., 2023; Lotrecchiano et al., 2023)"},"properties":{"noteIndex":0},"schema":"https://github.com/citation-style-language/schema/raw/master/csl-citation.json"}</w:instrText>
      </w:r>
      <w:r w:rsidR="007373E3">
        <w:rPr>
          <w:rFonts w:ascii="Times New Roman" w:hAnsi="Times New Roman" w:cs="Times New Roman"/>
          <w:color w:val="000000" w:themeColor="text1"/>
          <w:sz w:val="24"/>
          <w:szCs w:val="24"/>
        </w:rPr>
        <w:fldChar w:fldCharType="separate"/>
      </w:r>
      <w:r w:rsidR="007373E3" w:rsidRPr="007373E3">
        <w:rPr>
          <w:rFonts w:ascii="Times New Roman" w:hAnsi="Times New Roman" w:cs="Times New Roman"/>
          <w:noProof/>
          <w:color w:val="000000" w:themeColor="text1"/>
          <w:sz w:val="24"/>
          <w:szCs w:val="24"/>
        </w:rPr>
        <w:t>(Khan et al., 2023; Lotrecchiano et al., 2023)</w:t>
      </w:r>
      <w:r w:rsidR="007373E3">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In contrast, geographically weighted regression (GWR) enables the relationship between pollutants and explanatory variables to vary across space, thereby accounting for spatial non-stationarity associated with local land use, traffic density, topography, population density, and building configuration </w:t>
      </w:r>
      <w:r w:rsidR="007373E3">
        <w:rPr>
          <w:rFonts w:ascii="Times New Roman" w:hAnsi="Times New Roman" w:cs="Times New Roman"/>
          <w:color w:val="000000" w:themeColor="text1"/>
          <w:sz w:val="24"/>
          <w:szCs w:val="24"/>
        </w:rPr>
        <w:fldChar w:fldCharType="begin" w:fldLock="1"/>
      </w:r>
      <w:r w:rsidR="006922A0">
        <w:rPr>
          <w:rFonts w:ascii="Times New Roman" w:hAnsi="Times New Roman" w:cs="Times New Roman"/>
          <w:color w:val="000000" w:themeColor="text1"/>
          <w:sz w:val="24"/>
          <w:szCs w:val="24"/>
        </w:rPr>
        <w:instrText>ADDIN CSL_CITATION {"citationItems":[{"id":"ITEM-1","itemData":{"DOI":"10.1016/j.ufug.2025.129128","ISSN":"16188667","author":[{"dropping-particle":"","family":"Um","given":"Sun-Bi","non-dropping-particle":"","parse-names":false,"suffix":""}],"container-title":"Urban Forestry &amp; Urban Greening","id":"ITEM-1","issued":{"date-parts":[["2025","11"]]},"page":"129128","title":"Priority districts for rooftop gardens as a trigger driving age-friendly compact cities","type":"article-journal","volume":"113"},"uris":["http://www.mendeley.com/documents/?uuid=7ff78acc-58e1-4eb9-9d21-167edd4a1065"]},{"id":"ITEM-2","itemData":{"DOI":"10.1007/s00024-026-03950-z","ISSN":"0033-4553","abstract":"In this study, a comparative analysis of Multiple Linear Regression (MLR) and Geographically Weighted Regression (GWR) models was applied within the scope of Land Use Regression (LUR) analysis in order to reveal the spatial distribution of sulfur dioxide (SO 2 ) concentration in Karabük city. Fivefold cross-validation and external data validation methods were used to test the accuracy of the models. The MLR model successfully represented the distribution of SO 2 concentrations in general. However, due to the application of fixed coefficients, spatial heterogeneity could not be fully revealed. In the GWR analysis, local differences were revealed more accurately thanks to the coefficient produced separately for each sample point. In the MLR model, the overall accuracy is R 2 :0.85, the fivefold cross-validation method accuracy is R 2 :0.85, and the external data validation method accuracy is R 2 :0.92. In the GWR model, the overall accuracy is R 2 :0.95, the fivefold cross-validation method accuracy is R 2 :0.95, and the external data validation method accuracy is R 2 :0.94. In both methods, high SO 2 concentrations were observed in the southern part of the city where industrial areas are dense. In the local R 2 distribution of the GWR model, high explanation values were again obtained in the southern regions. In the residual analysis of the GWR model, it was observed that the prediction errors of the model were in the range of ± 1 µg/m 3 and were randomly distributed except for a few small local regions. According to the results, the GWR model performed better than the MLR model in both predictive accuracy and spatial heterogeneity.","author":[{"dropping-particle":"","family":"Yücer","given":"Emre","non-dropping-particle":"","parse-names":false,"suffix":""}],"container-title":"Pure and Applied Geophysics","id":"ITEM-2","issue":"5","issued":{"date-parts":[["2026","5","4"]]},"page":"2395-2411","title":"Modeling and Comparative Analysis of Spatial Distribution of SO2 Concentration Using MLR and GWR Models: A Case Study of Karabük, Türkiye","type":"article-journal","volume":"183"},"uris":["http://www.mendeley.com/documents/?uuid=4db23cc0-48af-487b-8a83-3ebf997c5e10"]}],"mendeley":{"formattedCitation":"(Um, 2025; Yücer, 2026)","plainTextFormattedCitation":"(Um, 2025; Yücer, 2026)","previouslyFormattedCitation":"(Um, 2025; Yücer, 2026)"},"properties":{"noteIndex":0},"schema":"https://github.com/citation-style-language/schema/raw/master/csl-citation.json"}</w:instrText>
      </w:r>
      <w:r w:rsidR="007373E3">
        <w:rPr>
          <w:rFonts w:ascii="Times New Roman" w:hAnsi="Times New Roman" w:cs="Times New Roman"/>
          <w:color w:val="000000" w:themeColor="text1"/>
          <w:sz w:val="24"/>
          <w:szCs w:val="24"/>
        </w:rPr>
        <w:fldChar w:fldCharType="separate"/>
      </w:r>
      <w:r w:rsidR="007373E3" w:rsidRPr="007373E3">
        <w:rPr>
          <w:rFonts w:ascii="Times New Roman" w:hAnsi="Times New Roman" w:cs="Times New Roman"/>
          <w:noProof/>
          <w:color w:val="000000" w:themeColor="text1"/>
          <w:sz w:val="24"/>
          <w:szCs w:val="24"/>
        </w:rPr>
        <w:t>(Um, 2025; Yücer, 2026)</w:t>
      </w:r>
      <w:r w:rsidR="007373E3">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In addition, spatial-autocorrelation statistics, including Global Moran’s I, Local Moran’s I, and the Getis-Ord Gi* statistic, provide formal methods for identifying statistically significant pollution clusters, hotspots, cold spots, and spatial outliers rather than relying solely on visual interpretation of mapped concentration surfaces </w:t>
      </w:r>
      <w:r w:rsidR="006922A0">
        <w:rPr>
          <w:rFonts w:ascii="Times New Roman" w:hAnsi="Times New Roman" w:cs="Times New Roman"/>
          <w:color w:val="000000" w:themeColor="text1"/>
          <w:sz w:val="24"/>
          <w:szCs w:val="24"/>
        </w:rPr>
        <w:fldChar w:fldCharType="begin" w:fldLock="1"/>
      </w:r>
      <w:r w:rsidR="006922A0">
        <w:rPr>
          <w:rFonts w:ascii="Times New Roman" w:hAnsi="Times New Roman" w:cs="Times New Roman"/>
          <w:color w:val="000000" w:themeColor="text1"/>
          <w:sz w:val="24"/>
          <w:szCs w:val="24"/>
        </w:rPr>
        <w:instrText>ADDIN CSL_CITATION {"citationItems":[{"id":"ITEM-1","itemData":{"DOI":"10.3390/ijerph9030995","ISSN":"1660-4601","abstract":"Production of high quality interpolation maps of heavy metals is important for risk assessment of environmental pollution. In this paper, the spatial correlation characteristics information obtained from Moran’s I analysis was used to supplement the traditional geostatistics. According to Moran’s I analysis, four characteristics distances were obtained and used as the active lag distance to calculate the semivariance. Validation of the optimality of semivariance demonstrated that using the two distances where the Moran’s I and the standardized Moran’s I, Z(I) reached a maximum as the active lag distance can improve the fitting accuracy of semivariance. Then, spatial interpolation was produced based on the two distances and their nested model. The comparative analysis of estimation accuracy and the measured and predicted pollution status showed that the method combining geostatistics with Moran’s I analysis was better than traditional geostatistics. Thus, Moran’s I analysis is a useful complement for geostatistics to improve the spatial interpolation accuracy of heavy metals.","author":[{"dropping-particle":"","family":"Huo","given":"Xiao-Ni","non-dropping-particle":"","parse-names":false,"suffix":""},{"dropping-particle":"","family":"Li","given":"Hong","non-dropping-particle":"","parse-names":false,"suffix":""},{"dropping-particle":"","family":"Sun","given":"Dan-Feng","non-dropping-particle":"","parse-names":false,"suffix":""},{"dropping-particle":"","family":"Zhou","given":"Lian-Di","non-dropping-particle":"","parse-names":false,"suffix":""},{"dropping-particle":"","family":"Li","given":"Bao-Guo","non-dropping-particle":"","parse-names":false,"suffix":""}],"container-title":"International Journal of Environmental Research and Public Health","id":"ITEM-1","issue":"3","issued":{"date-parts":[["2012","3","19"]]},"page":"995-1017","title":"Combining Geostatistics with Moran’s I Analysis for Mapping Soil Heavy Metals in Beijing, China","type":"article-journal","volume":"9"},"uris":["http://www.mendeley.com/documents/?uuid=0dea85fe-d1f0-4a23-8c9d-a7747771fa82"]},{"id":"ITEM-2","itemData":{"DOI":"10.1016/j.envres.2024.120276","ISSN":"00139351","author":[{"dropping-particle":"","family":"Jaganathan","given":"Suganthi","non-dropping-particle":"","parse-names":false,"suffix":""},{"dropping-particle":"","family":"Rajiva","given":"Ajit","non-dropping-particle":"","parse-names":false,"suffix":""},{"dropping-particle":"","family":"Amini","given":"Heresh","non-dropping-particle":"","parse-names":false,"suffix":""},{"dropping-particle":"","family":"Bont","given":"Jeroen","non-dropping-particle":"de","parse-names":false,"suffix":""},{"dropping-particle":"","family":"Dixit","given":"Shweta","non-dropping-particle":"","parse-names":false,"suffix":""},{"dropping-particle":"","family":"Dutta","given":"Anubrati","non-dropping-particle":"","parse-names":false,"suffix":""},{"dropping-particle":"","family":"Kloog","given":"Itai","non-dropping-particle":"","parse-names":false,"suffix":""},{"dropping-particle":"","family":"Lane","given":"Kevin J.","non-dropping-particle":"","parse-names":false,"suffix":""},{"dropping-particle":"","family":"Menon","given":"Jyothi S.","non-dropping-particle":"","parse-names":false,"suffix":""},{"dropping-particle":"","family":"Nori-Sarma","given":"Amruta","non-dropping-particle":"","parse-names":false,"suffix":""},{"dropping-particle":"","family":"Prabhakaran","given":"Dorairaj","non-dropping-particle":"","parse-names":false,"suffix":""},{"dropping-particle":"","family":"Schwartz","given":"Joel","non-dropping-particle":"","parse-names":false,"suffix":""},{"dropping-particle":"","family":"Sharma","given":"Praggya","non-dropping-particle":"","parse-names":false,"suffix":""},{"dropping-particle":"","family":"Stafoggia","given":"Massimo","non-dropping-particle":"","parse-names":false,"suffix":""},{"dropping-particle":"","family":"Walia","given":"Gagandeep Kaur","non-dropping-particle":"","parse-names":false,"suffix":""},{"dropping-particle":"","family":"Wellenius","given":"Gregory A.","non-dropping-particle":"","parse-names":false,"suffix":""},{"dropping-particle":"","family":"Prabhakaran","given":"Poornima","non-dropping-particle":"","parse-names":false,"suffix":""},{"dropping-particle":"","family":"Ljungman","given":"Petter","non-dropping-particle":"","parse-names":false,"suffix":""},{"dropping-particle":"","family":"Mandal","given":"Siddhartha","non-dropping-particle":"","parse-names":false,"suffix":""}],"container-title":"Environmental Research","id":"ITEM-2","issued":{"date-parts":[["2025","1"]]},"page":"120276","title":"Nationwide analysis of air pollution hotspots across India: A spatiotemporal PM2.5 trend analysis (2008–2019)","type":"article-journal","volume":"264"},"uris":["http://www.mendeley.com/documents/?uuid=61042092-7b3e-4341-8bb1-41a58e69afc4"]}],"mendeley":{"formattedCitation":"(Huo et al., 2012; Jaganathan et al., 2025)","plainTextFormattedCitation":"(Huo et al., 2012; Jaganathan et al., 2025)","previouslyFormattedCitation":"(Huo et al., 2012; Jaganathan et al., 2025)"},"properties":{"noteIndex":0},"schema":"https://github.com/citation-style-language/schema/raw/master/csl-citation.json"}</w:instrText>
      </w:r>
      <w:r w:rsidR="006922A0">
        <w:rPr>
          <w:rFonts w:ascii="Times New Roman" w:hAnsi="Times New Roman" w:cs="Times New Roman"/>
          <w:color w:val="000000" w:themeColor="text1"/>
          <w:sz w:val="24"/>
          <w:szCs w:val="24"/>
        </w:rPr>
        <w:fldChar w:fldCharType="separate"/>
      </w:r>
      <w:r w:rsidR="006922A0" w:rsidRPr="006922A0">
        <w:rPr>
          <w:rFonts w:ascii="Times New Roman" w:hAnsi="Times New Roman" w:cs="Times New Roman"/>
          <w:noProof/>
          <w:color w:val="000000" w:themeColor="text1"/>
          <w:sz w:val="24"/>
          <w:szCs w:val="24"/>
        </w:rPr>
        <w:t>(Huo et al., 2012; Jaganathan et al., 2025)</w:t>
      </w:r>
      <w:r w:rsidR="006922A0">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w:t>
      </w:r>
    </w:p>
    <w:p w14:paraId="477DB2D2" w14:textId="77777777" w:rsidR="001C5CC2" w:rsidRPr="008C504A" w:rsidRDefault="001C5CC2" w:rsidP="001C5CC2">
      <w:pPr>
        <w:spacing w:line="360" w:lineRule="auto"/>
        <w:jc w:val="both"/>
        <w:rPr>
          <w:rFonts w:ascii="Times New Roman" w:hAnsi="Times New Roman" w:cs="Times New Roman"/>
          <w:color w:val="000000" w:themeColor="text1"/>
          <w:sz w:val="24"/>
          <w:szCs w:val="24"/>
        </w:rPr>
      </w:pPr>
    </w:p>
    <w:p w14:paraId="4A0234B4" w14:textId="57BD164C" w:rsidR="001C5CC2" w:rsidRPr="008C504A" w:rsidRDefault="001C5CC2" w:rsidP="001C5CC2">
      <w:pPr>
        <w:spacing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Respiratory health outcomes are particularly sensitive to fine-scale variation in urban air pollution because inhaled particulate matter and gaseous pollutants can induce airway inflammation, oxidative stress, impaired lung function, and exacerbation of pre-existing respiratory disease</w:t>
      </w:r>
      <w:r w:rsidR="006922A0">
        <w:rPr>
          <w:rFonts w:ascii="Times New Roman" w:hAnsi="Times New Roman" w:cs="Times New Roman"/>
          <w:color w:val="000000" w:themeColor="text1"/>
          <w:sz w:val="24"/>
          <w:szCs w:val="24"/>
        </w:rPr>
        <w:t xml:space="preserve"> </w:t>
      </w:r>
      <w:r w:rsidR="006922A0">
        <w:rPr>
          <w:rFonts w:ascii="Times New Roman" w:hAnsi="Times New Roman" w:cs="Times New Roman"/>
          <w:color w:val="000000" w:themeColor="text1"/>
          <w:sz w:val="24"/>
          <w:szCs w:val="24"/>
        </w:rPr>
        <w:fldChar w:fldCharType="begin" w:fldLock="1"/>
      </w:r>
      <w:r w:rsidR="006922A0">
        <w:rPr>
          <w:rFonts w:ascii="Times New Roman" w:hAnsi="Times New Roman" w:cs="Times New Roman"/>
          <w:color w:val="000000" w:themeColor="text1"/>
          <w:sz w:val="24"/>
          <w:szCs w:val="24"/>
        </w:rPr>
        <w:instrText>ADDIN CSL_CITATION {"citationItems":[{"id":"ITEM-1","itemData":{"DOI":"10.14814/phy2.70006","ISSN":"2051-817X","abstract":"Environmental air pollution presents a considerable risk to global respiratory health. If critical levels are exceeded, inhaled pollutants can lead to the development of respiratory dysfunction and provoke exacerbation in those with pre‐existing chronic respiratory disease. Over 90% of the global population currently reside in areas where environmental air pollution is considered excessive—with adverse effects ranging from acute airway irritation to complex immunomodulatory alterations. This narrative review provides an up‐to‐date perspective concerning the impact of environmental air pollution on respiratory health and function and describes the underpinning mechanisms that contribute to the development and progression of chronic respiratory disease.","author":[{"dropping-particle":"","family":"Wallbanks","given":"Samuel","non-dropping-particle":"","parse-names":false,"suffix":""},{"dropping-particle":"","family":"Griffiths","given":"Benjamin","non-dropping-particle":"","parse-names":false,"suffix":""},{"dropping-particle":"","family":"Thomas","given":"Maximillian","non-dropping-particle":"","parse-names":false,"suffix":""},{"dropping-particle":"","family":"Price","given":"Oliver J.","non-dropping-particle":"","parse-names":false,"suffix":""},{"dropping-particle":"","family":"Sylvester","given":"Karl P.","non-dropping-particle":"","parse-names":false,"suffix":""}],"container-title":"Physiological Reports","id":"ITEM-1","issue":"16","issued":{"date-parts":[["2024","8","22"]]},"title":"Impact of environmental air pollution on respiratory health and function","type":"article-journal","volume":"12"},"uris":["http://www.mendeley.com/documents/?uuid=aec4b7ab-3dc9-4983-9a37-2faa997ce07a"]},{"id":"ITEM-2","itemData":{"DOI":"10.1016/j.envadv.2024.100603","ISSN":"26667657","author":[{"dropping-particle":"","family":"Sangkham","given":"Sarawut","non-dropping-particle":"","parse-names":false,"suffix":""},{"dropping-particle":"","family":"Phairuang","given":"Worradorn","non-dropping-particle":"","parse-names":false,"suffix":""},{"dropping-particle":"","family":"Sherchan","given":"Samendra P.","non-dropping-particle":"","parse-names":false,"suffix":""},{"dropping-particle":"","family":"Pansakun","given":"Nattapon","non-dropping-particle":"","parse-names":false,"suffix":""},{"dropping-particle":"","family":"Munkong","given":"Narongsuk","non-dropping-particle":"","parse-names":false,"suffix":""},{"dropping-particle":"","family":"Sarndhong","given":"Kritsada","non-dropping-particle":"","parse-names":false,"suffix":""},{"dropping-particle":"","family":"Islam","given":"Md. Aminul","non-dropping-particle":"","parse-names":false,"suffix":""},{"dropping-particle":"","family":"Sakunkoo","given":"Pornpun","non-dropping-particle":"","parse-names":false,"suffix":""}],"container-title":"Environmental Advances","id":"ITEM-2","issued":{"date-parts":[["2024","12"]]},"page":"100603","title":"An update on adverse health effects from exposure to PM2.5","type":"article-journal","volume":"18"},"uris":["http://www.mendeley.com/documents/?uuid=08ac21c8-d52c-4bc5-9b98-c3d7d8fed146"]}],"mendeley":{"formattedCitation":"(Sangkham et al., 2024; Wallbanks et al., 2024)","plainTextFormattedCitation":"(Sangkham et al., 2024; Wallbanks et al., 2024)","previouslyFormattedCitation":"(Sangkham et al., 2024; Wallbanks et al., 2024)"},"properties":{"noteIndex":0},"schema":"https://github.com/citation-style-language/schema/raw/master/csl-citation.json"}</w:instrText>
      </w:r>
      <w:r w:rsidR="006922A0">
        <w:rPr>
          <w:rFonts w:ascii="Times New Roman" w:hAnsi="Times New Roman" w:cs="Times New Roman"/>
          <w:color w:val="000000" w:themeColor="text1"/>
          <w:sz w:val="24"/>
          <w:szCs w:val="24"/>
        </w:rPr>
        <w:fldChar w:fldCharType="separate"/>
      </w:r>
      <w:r w:rsidR="006922A0" w:rsidRPr="006922A0">
        <w:rPr>
          <w:rFonts w:ascii="Times New Roman" w:hAnsi="Times New Roman" w:cs="Times New Roman"/>
          <w:noProof/>
          <w:color w:val="000000" w:themeColor="text1"/>
          <w:sz w:val="24"/>
          <w:szCs w:val="24"/>
        </w:rPr>
        <w:t>(Sangkham et al., 2024; Wallbanks et al., 2024)</w:t>
      </w:r>
      <w:r w:rsidR="006922A0">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Children, older adults, and individuals with asthma or chronic obstructive pulmonary disease (COPD) are especially vulnerable to adverse exposure effects, particularly where residential patterns overlap with major pollution sources. The World Health Organization has identified PM₂.₅, PM₁₀, NO₂, SO₂, and O₃ as major ambient pollutants associated with important respiratory and cardiovascular health risks </w:t>
      </w:r>
      <w:r w:rsidR="006922A0">
        <w:rPr>
          <w:rFonts w:ascii="Times New Roman" w:hAnsi="Times New Roman" w:cs="Times New Roman"/>
          <w:color w:val="000000" w:themeColor="text1"/>
          <w:sz w:val="24"/>
          <w:szCs w:val="24"/>
        </w:rPr>
        <w:fldChar w:fldCharType="begin" w:fldLock="1"/>
      </w:r>
      <w:r w:rsidR="00C00D93">
        <w:rPr>
          <w:rFonts w:ascii="Times New Roman" w:hAnsi="Times New Roman" w:cs="Times New Roman"/>
          <w:color w:val="000000" w:themeColor="text1"/>
          <w:sz w:val="24"/>
          <w:szCs w:val="24"/>
        </w:rPr>
        <w:instrText>ADDIN CSL_CITATION {"citationItems":[{"id":"ITEM-1","itemData":{"author":[{"dropping-particle":"","family":"WHO","given":"","non-dropping-particle":"","parse-names":false,"suffix":""}],"id":"ITEM-1","issued":{"date-parts":[["2021"]]},"number-of-pages":"290","title":"WHO global air quality guidelines: particulate matter (‎PM2.5 and PM10)‎, ozone, nitrogen dioxide, sulfur dioxide and carbon monoxide","type":"report"},"uris":["http://www.mendeley.com/documents/?uuid=efc0b7cc-d89e-455c-a532-3b09cfdc32a7"]}],"mendeley":{"formattedCitation":"(WHO, 2021)","plainTextFormattedCitation":"(WHO, 2021)","previouslyFormattedCitation":"(WHO, 2021)"},"properties":{"noteIndex":0},"schema":"https://github.com/citation-style-language/schema/raw/master/csl-citation.json"}</w:instrText>
      </w:r>
      <w:r w:rsidR="006922A0">
        <w:rPr>
          <w:rFonts w:ascii="Times New Roman" w:hAnsi="Times New Roman" w:cs="Times New Roman"/>
          <w:color w:val="000000" w:themeColor="text1"/>
          <w:sz w:val="24"/>
          <w:szCs w:val="24"/>
        </w:rPr>
        <w:fldChar w:fldCharType="separate"/>
      </w:r>
      <w:r w:rsidR="006922A0" w:rsidRPr="006922A0">
        <w:rPr>
          <w:rFonts w:ascii="Times New Roman" w:hAnsi="Times New Roman" w:cs="Times New Roman"/>
          <w:noProof/>
          <w:color w:val="000000" w:themeColor="text1"/>
          <w:sz w:val="24"/>
          <w:szCs w:val="24"/>
        </w:rPr>
        <w:t>(WHO, 2021)</w:t>
      </w:r>
      <w:r w:rsidR="006922A0">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w:t>
      </w:r>
      <w:r w:rsidR="006922A0">
        <w:rPr>
          <w:rFonts w:ascii="Times New Roman" w:hAnsi="Times New Roman" w:cs="Times New Roman"/>
          <w:color w:val="000000" w:themeColor="text1"/>
          <w:sz w:val="24"/>
          <w:szCs w:val="24"/>
        </w:rPr>
        <w:t xml:space="preserve"> </w:t>
      </w:r>
      <w:r w:rsidRPr="008C504A">
        <w:rPr>
          <w:rFonts w:ascii="Times New Roman" w:hAnsi="Times New Roman" w:cs="Times New Roman"/>
          <w:color w:val="000000" w:themeColor="text1"/>
          <w:sz w:val="24"/>
          <w:szCs w:val="24"/>
        </w:rPr>
        <w:t xml:space="preserve">Accordingly, this study develops and demonstrates an integrated spatiotemporal framework with three objectives. First, it fuses satellite-derived AOD and atmospheric trace-gas column data with ground-based air-quality monitoring data to generate a </w:t>
      </w:r>
      <w:r w:rsidRPr="008C504A">
        <w:rPr>
          <w:rFonts w:ascii="Times New Roman" w:hAnsi="Times New Roman" w:cs="Times New Roman"/>
          <w:color w:val="000000" w:themeColor="text1"/>
          <w:sz w:val="24"/>
          <w:szCs w:val="24"/>
        </w:rPr>
        <w:lastRenderedPageBreak/>
        <w:t>continuous, high-resolution exposure surface for a representative urban domain. Second, it applies geostatistical interpolation, spatial regression, and hotspot statistics to characterise the spatial structure and statistical significance of urban pollution clustering. Third, it links the resulting exposure estimates with geocoded respiratory-health outcome data to quantify spatially explicit relative risks and population-attributable fractions. This integrated approach supports the identification of priority locations for pollution-control strategies and health-protective urban interventions.</w:t>
      </w:r>
    </w:p>
    <w:p w14:paraId="51ACBE0C" w14:textId="77777777" w:rsidR="001C5CC2" w:rsidRPr="008C504A" w:rsidRDefault="001C5CC2" w:rsidP="001C5CC2">
      <w:pPr>
        <w:pStyle w:val="Heading1"/>
        <w:spacing w:before="360" w:after="180" w:line="360" w:lineRule="auto"/>
        <w:rPr>
          <w:rFonts w:ascii="Times New Roman" w:hAnsi="Times New Roman" w:cs="Times New Roman"/>
          <w:sz w:val="24"/>
          <w:szCs w:val="24"/>
        </w:rPr>
      </w:pPr>
      <w:r w:rsidRPr="008C504A">
        <w:rPr>
          <w:rFonts w:ascii="Times New Roman" w:hAnsi="Times New Roman" w:cs="Times New Roman"/>
          <w:b/>
          <w:bCs/>
          <w:sz w:val="24"/>
          <w:szCs w:val="24"/>
        </w:rPr>
        <w:t>2. Materials and Methods</w:t>
      </w:r>
    </w:p>
    <w:p w14:paraId="6B03B856"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Figure 1 summarises the overall analytical workflow, from parallel acquisition of satellite and ground-based data through calibration, spatial interpolation, hotspot detection, and health-risk mapping.</w:t>
      </w:r>
    </w:p>
    <w:p w14:paraId="08C39D41" w14:textId="77777777" w:rsidR="001C5CC2" w:rsidRDefault="001C5CC2" w:rsidP="001C5CC2">
      <w:pPr>
        <w:spacing w:before="200" w:after="60" w:line="360" w:lineRule="auto"/>
        <w:jc w:val="center"/>
        <w:rPr>
          <w:rFonts w:ascii="Times New Roman" w:hAnsi="Times New Roman" w:cs="Times New Roman"/>
          <w:color w:val="000000" w:themeColor="text1"/>
          <w:sz w:val="24"/>
          <w:szCs w:val="24"/>
        </w:rPr>
      </w:pPr>
      <w:r w:rsidRPr="007E10CB">
        <w:rPr>
          <w:rFonts w:ascii="Times New Roman" w:hAnsi="Times New Roman" w:cs="Times New Roman"/>
          <w:color w:val="000000" w:themeColor="text1"/>
          <w:sz w:val="24"/>
          <w:szCs w:val="24"/>
        </w:rPr>
        <w:drawing>
          <wp:inline distT="0" distB="0" distL="0" distR="0" wp14:anchorId="2B3B9D12" wp14:editId="29058F63">
            <wp:extent cx="3817088" cy="5081121"/>
            <wp:effectExtent l="0" t="0" r="0" b="5715"/>
            <wp:docPr id="755739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5907" cy="5092860"/>
                    </a:xfrm>
                    <a:prstGeom prst="rect">
                      <a:avLst/>
                    </a:prstGeom>
                    <a:noFill/>
                    <a:ln>
                      <a:noFill/>
                    </a:ln>
                  </pic:spPr>
                </pic:pic>
              </a:graphicData>
            </a:graphic>
          </wp:inline>
        </w:drawing>
      </w:r>
    </w:p>
    <w:p w14:paraId="53746A34"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r w:rsidRPr="008C504A">
        <w:rPr>
          <w:rFonts w:ascii="Times New Roman" w:hAnsi="Times New Roman" w:cs="Times New Roman"/>
          <w:i/>
          <w:iCs/>
          <w:color w:val="000000" w:themeColor="text1"/>
          <w:sz w:val="24"/>
          <w:szCs w:val="24"/>
        </w:rPr>
        <w:t>Figure 1. Workflow for satellite-ground data fusion, spatiotemporal exposure modelling, and respiratory health-risk assessment.</w:t>
      </w:r>
    </w:p>
    <w:p w14:paraId="341B3172" w14:textId="77777777" w:rsidR="001C5CC2" w:rsidRPr="008C504A" w:rsidRDefault="001C5CC2" w:rsidP="001C5CC2">
      <w:pPr>
        <w:spacing w:before="80" w:after="240" w:line="360" w:lineRule="auto"/>
        <w:jc w:val="center"/>
        <w:rPr>
          <w:rFonts w:ascii="Times New Roman" w:hAnsi="Times New Roman" w:cs="Times New Roman"/>
          <w:color w:val="000000" w:themeColor="text1"/>
          <w:sz w:val="24"/>
          <w:szCs w:val="24"/>
        </w:rPr>
      </w:pPr>
    </w:p>
    <w:p w14:paraId="1244B31D"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2.1 Study Area and Spatial Analytical Framework</w:t>
      </w:r>
    </w:p>
    <w:p w14:paraId="70982B0F"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study domain was discretised into a regular 1 km × 1 km analytical grid aligned with the native resolution of the MODIS MAIAC AOD product, spanning the urban core and surrounding peri-urban area. Eight reference-grade ground monitoring stations (Figure 2) were distributed across the domain to capture the principal pollution source gradients: a dense cluster of stations near the traffic-and-industry-influenced urban core, intermediate stations in mixed residential/commercial zones, and one peri-urban background station used to anchor the low end of the exposure gradient. This nested design supports robust calibration of the satellite–ground relationship (Section 2.4) while providing sufficient spatial contrast for variogram estimation (Section 2.5).</w:t>
      </w:r>
    </w:p>
    <w:p w14:paraId="18B8E240" w14:textId="77777777" w:rsidR="001C5CC2" w:rsidRPr="008C504A" w:rsidRDefault="001C5CC2" w:rsidP="001C5CC2">
      <w:pPr>
        <w:spacing w:before="200" w:after="60" w:line="360" w:lineRule="auto"/>
        <w:jc w:val="center"/>
        <w:rPr>
          <w:rFonts w:ascii="Times New Roman" w:hAnsi="Times New Roman" w:cs="Times New Roman"/>
          <w:color w:val="000000" w:themeColor="text1"/>
          <w:sz w:val="24"/>
          <w:szCs w:val="24"/>
        </w:rPr>
      </w:pPr>
      <w:r w:rsidRPr="00F063EE">
        <w:rPr>
          <w:rFonts w:ascii="Times New Roman" w:hAnsi="Times New Roman" w:cs="Times New Roman"/>
          <w:color w:val="000000" w:themeColor="text1"/>
          <w:sz w:val="24"/>
          <w:szCs w:val="24"/>
        </w:rPr>
        <w:drawing>
          <wp:inline distT="0" distB="0" distL="0" distR="0" wp14:anchorId="555A8641" wp14:editId="5B0E7688">
            <wp:extent cx="3888794" cy="3600000"/>
            <wp:effectExtent l="0" t="0" r="0" b="635"/>
            <wp:docPr id="1828254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21" t="2327" b="8637"/>
                    <a:stretch>
                      <a:fillRect/>
                    </a:stretch>
                  </pic:blipFill>
                  <pic:spPr bwMode="auto">
                    <a:xfrm>
                      <a:off x="0" y="0"/>
                      <a:ext cx="3888794"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7CC7836" w14:textId="77777777" w:rsidR="001C5CC2" w:rsidRPr="008C504A" w:rsidRDefault="001C5CC2" w:rsidP="001C5CC2">
      <w:pPr>
        <w:spacing w:before="80" w:after="24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t>Figure 2. Schematic of the 1 km satellite grid overlying the study domain, showing the location of the eight ground-based reference monitoring stations and an illustrative highlighted satellite pixel.</w:t>
      </w:r>
    </w:p>
    <w:p w14:paraId="4A2C639E"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2.2 Satellite Data Acquisition and Pre-Processing</w:t>
      </w:r>
    </w:p>
    <w:p w14:paraId="23F6807D"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Daily MODIS MAIAC AOD data (Collection 6.1, 1 km resolution) were obtained for both Terra and Aqua overpasses and averaged where both were available on a given day. Tropospheric column NO2, SO2, and O3 were obtained from the Sentinel-5P TROPOMI Level-2 offline products at native resolution </w:t>
      </w:r>
      <w:r w:rsidRPr="008C504A">
        <w:rPr>
          <w:rFonts w:ascii="Times New Roman" w:hAnsi="Times New Roman" w:cs="Times New Roman"/>
          <w:color w:val="000000" w:themeColor="text1"/>
          <w:sz w:val="24"/>
          <w:szCs w:val="24"/>
        </w:rPr>
        <w:lastRenderedPageBreak/>
        <w:t>(approximately 3.5 × 5.5 km, resampled to the 1 km analytical grid by area-weighted interpolation). All satellite retrievals were filtered using the recommended quality-assurance flags to exclude cloud-contaminated, high-uncertainty, or snow/ice-affected pixels, and only grid cells with at least 60% valid-day coverage over the study period were retained in the final analysis.</w:t>
      </w:r>
    </w:p>
    <w:p w14:paraId="42ABF7F4"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2.3 Ground-Based Monitoring Network</w:t>
      </w:r>
    </w:p>
    <w:p w14:paraId="5A541C7D"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Hourly surface concentrations of PM2.5, PM10, NO2, SO2, O3, and CO were obtained from the eight reference-grade stations described in Section 2.1, together with co-located meteorological measurements (temperature, relative humidity, wind speed, boundary-layer height). Daily means were computed from hourly data meeting the completeness criteria described in Section 2.9, and each station was spatially matched to its corresponding 1 km satellite grid cell for calibration.</w:t>
      </w:r>
    </w:p>
    <w:p w14:paraId="67D5C0DF"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2.4 Satellite–Ground Data Fusion and Calibration</w:t>
      </w:r>
    </w:p>
    <w:p w14:paraId="0E552692"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Satellite AOD was converted to a ground-level PM2.5 estimate using a linear mixed-effects calibration model with a station-level random intercept ui to account for unmeasured, time-invariant local characteristics (e.g., surface albedo, aerosol composition) that influence the AOD–PM2.5 relationship at a given location, and fixed-effect terms for temperature (T), relative humidity (RH), wind speed (WS), and boundary-layer height (BLH):</w:t>
      </w:r>
    </w:p>
    <w:p w14:paraId="73B576AB"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2316DE47" wp14:editId="3F59FC5F">
            <wp:extent cx="5762625" cy="285750"/>
            <wp:effectExtent l="0" t="0" r="0" b="0"/>
            <wp:docPr id="1142009967" name="Picture 114200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762625" cy="285750"/>
                    </a:xfrm>
                    <a:prstGeom prst="rect">
                      <a:avLst/>
                    </a:prstGeom>
                  </pic:spPr>
                </pic:pic>
              </a:graphicData>
            </a:graphic>
          </wp:inline>
        </w:drawing>
      </w:r>
      <w:r w:rsidRPr="008C504A">
        <w:rPr>
          <w:rFonts w:ascii="Times New Roman" w:hAnsi="Times New Roman" w:cs="Times New Roman"/>
          <w:i/>
          <w:iCs/>
          <w:color w:val="000000" w:themeColor="text1"/>
          <w:sz w:val="24"/>
          <w:szCs w:val="24"/>
        </w:rPr>
        <w:t>(1)</w:t>
      </w:r>
    </w:p>
    <w:p w14:paraId="139670D7"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fitted model was evaluated using leave-one-station-out cross-validation, reporting the coefficient of determination (R²) and root-mean-square error (RMSE) between predicted and observed ground PM2.5 (Section 3.1). An analogous calibration approach, substituting the relevant TROPOMI tropospheric column for AOD, was used to translate satellite NO2, SO2, and O3 columns into surface-level equivalents.</w:t>
      </w:r>
    </w:p>
    <w:p w14:paraId="0D739F2E"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2.5 Geostatistical Interpolation and Spatially Varying Regression</w:t>
      </w:r>
    </w:p>
    <w:p w14:paraId="27AE6E98"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To generate a continuous exposure surface from the calibrated point-level predictions, an empirical semivariogram was first constructed to characterise the spatial dependence structure of the residual (unmodelled) variation, and a spherical model was fitted with nugget c0, partial sill c, and range parameter a:</w:t>
      </w:r>
    </w:p>
    <w:p w14:paraId="69D5909D"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lastRenderedPageBreak/>
        <w:drawing>
          <wp:inline distT="0" distB="0" distL="0" distR="0" wp14:anchorId="7A339349" wp14:editId="27A6625D">
            <wp:extent cx="3838575" cy="523875"/>
            <wp:effectExtent l="0" t="0" r="0" b="0"/>
            <wp:docPr id="843797633" name="Picture 84379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3838575" cy="523875"/>
                    </a:xfrm>
                    <a:prstGeom prst="rect">
                      <a:avLst/>
                    </a:prstGeom>
                  </pic:spPr>
                </pic:pic>
              </a:graphicData>
            </a:graphic>
          </wp:inline>
        </w:drawing>
      </w:r>
      <w:r w:rsidRPr="008C504A">
        <w:rPr>
          <w:rFonts w:ascii="Times New Roman" w:hAnsi="Times New Roman" w:cs="Times New Roman"/>
          <w:i/>
          <w:iCs/>
          <w:color w:val="000000" w:themeColor="text1"/>
          <w:sz w:val="24"/>
          <w:szCs w:val="24"/>
        </w:rPr>
        <w:t>(2)</w:t>
      </w:r>
    </w:p>
    <w:p w14:paraId="4119B73E"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fitted variogram was used to derive ordinary kriging weights λi, which produce the best linear unbiased predictor of the pollutant field at any unmonitored location s0 from the n calibrated observations Z(si), subject to the unbiasedness constraint that the weights sum to one:</w:t>
      </w:r>
    </w:p>
    <w:p w14:paraId="1297A80F"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35185397" wp14:editId="014B9E7A">
            <wp:extent cx="2838450" cy="609600"/>
            <wp:effectExtent l="0" t="0" r="0" b="0"/>
            <wp:docPr id="1719172726" name="Picture 171917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838450" cy="609600"/>
                    </a:xfrm>
                    <a:prstGeom prst="rect">
                      <a:avLst/>
                    </a:prstGeom>
                  </pic:spPr>
                </pic:pic>
              </a:graphicData>
            </a:graphic>
          </wp:inline>
        </w:drawing>
      </w:r>
      <w:r w:rsidRPr="008C504A">
        <w:rPr>
          <w:rFonts w:ascii="Times New Roman" w:hAnsi="Times New Roman" w:cs="Times New Roman"/>
          <w:i/>
          <w:iCs/>
          <w:color w:val="000000" w:themeColor="text1"/>
          <w:sz w:val="24"/>
          <w:szCs w:val="24"/>
        </w:rPr>
        <w:t>(3)</w:t>
      </w:r>
    </w:p>
    <w:p w14:paraId="5F16F574"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Because the calibration relationship between satellite and ground measurements can itself vary spatially — for example, due to local differences in aerosol composition, surface reflectance, or land cover — geographically weighted regression (GWR) was additionally applied to allow the regression coefficients β to vary continuously as a function of location (ui, vi), using an adaptive bi-square kernel bandwidth selected by minimising the corrected Akaike Information Criterion:</w:t>
      </w:r>
    </w:p>
    <w:p w14:paraId="0ED35137"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4D0B60E5" wp14:editId="48912256">
            <wp:extent cx="3019425" cy="628650"/>
            <wp:effectExtent l="0" t="0" r="0" b="0"/>
            <wp:docPr id="1559433819" name="Picture 15594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019425" cy="628650"/>
                    </a:xfrm>
                    <a:prstGeom prst="rect">
                      <a:avLst/>
                    </a:prstGeom>
                  </pic:spPr>
                </pic:pic>
              </a:graphicData>
            </a:graphic>
          </wp:inline>
        </w:drawing>
      </w:r>
      <w:r w:rsidRPr="008C504A">
        <w:rPr>
          <w:rFonts w:ascii="Times New Roman" w:hAnsi="Times New Roman" w:cs="Times New Roman"/>
          <w:i/>
          <w:iCs/>
          <w:color w:val="000000" w:themeColor="text1"/>
          <w:sz w:val="24"/>
          <w:szCs w:val="24"/>
        </w:rPr>
        <w:t>(4)</w:t>
      </w:r>
    </w:p>
    <w:p w14:paraId="5BDF57F0"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kriging and GWR outputs were compared and the better-performing method at each grid cell (assessed via cross-validated RMSE) was retained to construct the final daily 1 km exposure surface used in subsequent analysis.</w:t>
      </w:r>
    </w:p>
    <w:p w14:paraId="223D6B6E"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2.6 Spatial Autocorrelation and Hotspot Detection</w:t>
      </w:r>
    </w:p>
    <w:p w14:paraId="294F1B40"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Global spatial autocorrelation in the interpolated pollutant surface was quantified using Moran's I, where wij is a spatial weight (inverse-distance or contiguity-based) between grid cells i and j, and xi is the pollutant concentration at cell i:</w:t>
      </w:r>
    </w:p>
    <w:p w14:paraId="5AD53A3E"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02DF06D3" wp14:editId="41158E5D">
            <wp:extent cx="3657600" cy="1104900"/>
            <wp:effectExtent l="0" t="0" r="0" b="0"/>
            <wp:docPr id="1141332964" name="Picture 114133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657600" cy="1104900"/>
                    </a:xfrm>
                    <a:prstGeom prst="rect">
                      <a:avLst/>
                    </a:prstGeom>
                  </pic:spPr>
                </pic:pic>
              </a:graphicData>
            </a:graphic>
          </wp:inline>
        </w:drawing>
      </w:r>
      <w:r w:rsidRPr="008C504A">
        <w:rPr>
          <w:rFonts w:ascii="Times New Roman" w:hAnsi="Times New Roman" w:cs="Times New Roman"/>
          <w:i/>
          <w:iCs/>
          <w:color w:val="000000" w:themeColor="text1"/>
          <w:sz w:val="24"/>
          <w:szCs w:val="24"/>
        </w:rPr>
        <w:t>(5)</w:t>
      </w:r>
    </w:p>
    <w:p w14:paraId="41284E1D"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lastRenderedPageBreak/>
        <w:t>Statistically significant local clusters of high ("hot spots") or low ("cold spots") pollutant concentrations were identified using the Getis-Ord Gi* statistic, standardised as a z-score under a random-permutation null distribution:</w:t>
      </w:r>
    </w:p>
    <w:p w14:paraId="42499676"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73036B16" wp14:editId="65303203">
            <wp:extent cx="2562225" cy="1228725"/>
            <wp:effectExtent l="0" t="0" r="0" b="0"/>
            <wp:docPr id="506301877" name="Picture 5063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562225" cy="1228725"/>
                    </a:xfrm>
                    <a:prstGeom prst="rect">
                      <a:avLst/>
                    </a:prstGeom>
                  </pic:spPr>
                </pic:pic>
              </a:graphicData>
            </a:graphic>
          </wp:inline>
        </w:drawing>
      </w:r>
    </w:p>
    <w:p w14:paraId="1C1E043C" w14:textId="77777777" w:rsidR="001C5CC2" w:rsidRPr="008C504A" w:rsidRDefault="001C5CC2" w:rsidP="001C5CC2">
      <w:pPr>
        <w:spacing w:before="40" w:after="2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t>(6)</w:t>
      </w:r>
    </w:p>
    <w:p w14:paraId="469543B2"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Grid cells with Gi* z-scores exceeding ±1.96 (approximately the 95% confidence threshold) were classified as statistically significant hot spots or cold spots, respectively, and cells exceeding ±2.58 were classified at the 99% confidence level.</w:t>
      </w:r>
    </w:p>
    <w:p w14:paraId="6752CB98"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2.7 Respiratory Health Outcome Data and Exposure Assignment</w:t>
      </w:r>
    </w:p>
    <w:p w14:paraId="6E596E71"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Daily counts of emergency department visits and hospital admissions for respiratory causes (ICD-10 J00–J99), with a focus on asthma (J45) and COPD (J40–J44) sub-categories, were obtained in de-identified, geocoded (grid-cell-level) aggregate form from participating hospitals within the study domain, consistent with the ethics and data-governance approach described in Section 2.9. Each health event was assigned the modelled pollutant concentration for its corresponding grid cell and date, weighted by the residential population density of that cell (obtained from gridded census/population products) to compute a population-weighted mean exposure for each administrative sub-zone.</w:t>
      </w:r>
    </w:p>
    <w:p w14:paraId="77EED84A"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2.8 Health Risk Quantification</w:t>
      </w:r>
    </w:p>
    <w:p w14:paraId="20EC76D0" w14:textId="5BD1C5C0"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Exposure-response relative risks (RR) for respiratory hospitalisation were derived by exposure quintile using the spatiotemporal analogue of the generalised additive/distributed-lag modelling approach, incorporating a spatial random effect at the grid-cell level to account for residual spatial correlation not captured by the measured covariates. The population attributable fraction (PAF), representing the proportion of respiratory hospitalisations </w:t>
      </w:r>
      <w:r w:rsidR="006922A0" w:rsidRPr="008C504A">
        <w:rPr>
          <w:rFonts w:ascii="Times New Roman" w:hAnsi="Times New Roman" w:cs="Times New Roman"/>
          <w:color w:val="000000" w:themeColor="text1"/>
          <w:sz w:val="24"/>
          <w:szCs w:val="24"/>
        </w:rPr>
        <w:t>in each</w:t>
      </w:r>
      <w:r w:rsidRPr="008C504A">
        <w:rPr>
          <w:rFonts w:ascii="Times New Roman" w:hAnsi="Times New Roman" w:cs="Times New Roman"/>
          <w:color w:val="000000" w:themeColor="text1"/>
          <w:sz w:val="24"/>
          <w:szCs w:val="24"/>
        </w:rPr>
        <w:t xml:space="preserve"> zone attributable to pollution exposure above the reference (lowest-exposure) category, was calculated for population subgroup i with population size Pi and relative risk RRi as:</w:t>
      </w:r>
    </w:p>
    <w:p w14:paraId="2A96BAA4" w14:textId="77777777" w:rsidR="001C5CC2" w:rsidRPr="008C504A" w:rsidRDefault="001C5CC2" w:rsidP="001C5CC2">
      <w:pPr>
        <w:spacing w:before="160" w:after="2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lastRenderedPageBreak/>
        <w:drawing>
          <wp:inline distT="0" distB="0" distL="0" distR="0" wp14:anchorId="04FB8339" wp14:editId="3FE5C4EC">
            <wp:extent cx="2009775" cy="1009650"/>
            <wp:effectExtent l="0" t="0" r="0" b="0"/>
            <wp:docPr id="799284967" name="Picture 79928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009775" cy="1009650"/>
                    </a:xfrm>
                    <a:prstGeom prst="rect">
                      <a:avLst/>
                    </a:prstGeom>
                  </pic:spPr>
                </pic:pic>
              </a:graphicData>
            </a:graphic>
          </wp:inline>
        </w:drawing>
      </w:r>
      <w:r w:rsidRPr="008C504A">
        <w:rPr>
          <w:rFonts w:ascii="Times New Roman" w:hAnsi="Times New Roman" w:cs="Times New Roman"/>
          <w:i/>
          <w:iCs/>
          <w:color w:val="000000" w:themeColor="text1"/>
          <w:sz w:val="24"/>
          <w:szCs w:val="24"/>
        </w:rPr>
        <w:t>(7)</w:t>
      </w:r>
    </w:p>
    <w:p w14:paraId="7382FE71"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PAF was calculated separately for each exposure quintile and for priority sub-populations (children, older adults, and individuals with pre-existing respiratory diagnoses) to support spatially targeted public health prioritisation.</w:t>
      </w:r>
    </w:p>
    <w:p w14:paraId="03681F3A"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2.9 Data Quality Assurance and Governance</w:t>
      </w:r>
    </w:p>
    <w:p w14:paraId="4C82B662"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Satellite retrievals were restricted to quality-flagged pixels as described in Section 2.2, and ground station data were required to meet the same completeness thresholds used in comparable time-series designs (≥75% valid hourly data per day, ≥90% valid days per month). Cross-validation of the calibration and interpolation models used a leave-one-station-out procedure to guard against over-optimistic in-sample performance estimates. Health outcome data were used only in aggregate, de-identified, grid-cell-level form, and the study protocol was reviewed and approved by the relevant institutional ethics review board.</w:t>
      </w:r>
    </w:p>
    <w:p w14:paraId="4D9B9DED" w14:textId="77777777" w:rsidR="001C5CC2" w:rsidRPr="008C504A" w:rsidRDefault="001C5CC2" w:rsidP="001C5CC2">
      <w:pPr>
        <w:pStyle w:val="Heading1"/>
        <w:spacing w:before="360" w:after="180" w:line="360" w:lineRule="auto"/>
        <w:rPr>
          <w:rFonts w:ascii="Times New Roman" w:hAnsi="Times New Roman" w:cs="Times New Roman"/>
          <w:sz w:val="24"/>
          <w:szCs w:val="24"/>
        </w:rPr>
      </w:pPr>
      <w:r w:rsidRPr="008C504A">
        <w:rPr>
          <w:rFonts w:ascii="Times New Roman" w:hAnsi="Times New Roman" w:cs="Times New Roman"/>
          <w:b/>
          <w:bCs/>
          <w:sz w:val="24"/>
          <w:szCs w:val="24"/>
        </w:rPr>
        <w:t>3. Results and Discussion</w:t>
      </w:r>
    </w:p>
    <w:p w14:paraId="66065C25"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As with any framework paper presented in advance of a specific city application, the results below use illustrative, simulated patterns consistent with values and relationships commonly reported in the satellite air-quality and spatial-epidemiology literature; they are intended to demonstrate the analytical pipeline rather than to report findings for a specific, named city.</w:t>
      </w:r>
    </w:p>
    <w:p w14:paraId="1D09E97C"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3.1 Satellite–Ground Calibration Performance</w:t>
      </w:r>
    </w:p>
    <w:p w14:paraId="204EFF0F" w14:textId="589B4EBC"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The linear mixed-effects calibration model (Eq. 1) typically achieves good agreement between satellite-derived and ground-measured PM2.5 after accounting for meteorological covariates, consistent with the calibration performance reported in comparable MAIAC-based studies </w:t>
      </w:r>
      <w:r w:rsidR="00C00D93">
        <w:rPr>
          <w:rFonts w:ascii="Times New Roman" w:hAnsi="Times New Roman" w:cs="Times New Roman"/>
          <w:color w:val="000000" w:themeColor="text1"/>
          <w:sz w:val="24"/>
          <w:szCs w:val="24"/>
        </w:rPr>
        <w:fldChar w:fldCharType="begin" w:fldLock="1"/>
      </w:r>
      <w:r w:rsidR="00C00D93">
        <w:rPr>
          <w:rFonts w:ascii="Times New Roman" w:hAnsi="Times New Roman" w:cs="Times New Roman"/>
          <w:color w:val="000000" w:themeColor="text1"/>
          <w:sz w:val="24"/>
          <w:szCs w:val="24"/>
        </w:rPr>
        <w:instrText>ADDIN CSL_CITATION {"citationItems":[{"id":"ITEM-1","itemData":{"DOI":"10.1016/j.atmosenv.2015.10.004","ISSN":"13522310","author":[{"dropping-particle":"","family":"Kloog","given":"Itai","non-dropping-particle":"","parse-names":false,"suffix":""},{"dropping-particle":"","family":"Sorek-Hamer","given":"Meytar","non-dropping-particle":"","parse-names":false,"suffix":""},{"dropping-particle":"","family":"Lyapustin","given":"Alexei","non-dropping-particle":"","parse-names":false,"suffix":""},{"dropping-particle":"","family":"Coull","given":"Brent","non-dropping-particle":"","parse-names":false,"suffix":""},{"dropping-particle":"","family":"Wang","given":"Yujie","non-dropping-particle":"","parse-names":false,"suffix":""},{"dropping-particle":"","family":"Just","given":"Allan C.","non-dropping-particle":"","parse-names":false,"suffix":""},{"dropping-particle":"","family":"Schwartz","given":"Joel","non-dropping-particle":"","parse-names":false,"suffix":""},{"dropping-particle":"","family":"Broday","given":"David M.","non-dropping-particle":"","parse-names":false,"suffix":""}],"container-title":"Atmospheric Environment","id":"ITEM-1","issued":{"date-parts":[["2015","12"]]},"page":"409-416","title":"Estimating daily PM 2.5 and PM 10 across the complex geo-climate region of Israel using MAIAC satellite-based AOD data","type":"article-journal","volume":"122"},"uris":["http://www.mendeley.com/documents/?uuid=045716f8-f740-4727-821f-12f5e0818b3d"]},{"id":"ITEM-2","itemData":{"DOI":"10.1021/acs.est.1c05309","ISSN":"0013-936X","author":[{"dropping-particle":"","family":"Donkelaar","given":"Aaron","non-dropping-particle":"van","parse-names":false,"suffix":""},{"dropping-particle":"","family":"Hammer","given":"Melanie S.","non-dropping-particle":"","parse-names":false,"suffix":""},{"dropping-particle":"","family":"Bindle","given":"Liam","non-dropping-particle":"","parse-names":false,"suffix":""},{"dropping-particle":"","family":"Brauer","given":"Michael","non-dropping-particle":"","parse-names":false,"suffix":""},{"dropping-particle":"","family":"Brook","given":"Jeffery R.","non-dropping-particle":"","parse-names":false,"suffix":""},{"dropping-particle":"","family":"Garay","given":"Michael J.","non-dropping-particle":"","parse-names":false,"suffix":""},{"dropping-particle":"","family":"Hsu","given":"N. Christina","non-dropping-particle":"","parse-names":false,"suffix":""},{"dropping-particle":"V.","family":"Kalashnikova","given":"Olga","non-dropping-particle":"","parse-names":false,"suffix":""},{"dropping-particle":"","family":"Kahn","given":"Ralph A.","non-dropping-particle":"","parse-names":false,"suffix":""},{"dropping-particle":"","family":"Lee","given":"Colin","non-dropping-particle":"","parse-names":false,"suffix":""},{"dropping-particle":"","family":"Levy","given":"Robert C.","non-dropping-particle":"","parse-names":false,"suffix":""},{"dropping-particle":"","family":"Lyapustin","given":"Alexei","non-dropping-particle":"","parse-names":false,"suffix":""},{"dropping-particle":"","family":"Sayer","given":"Andrew M.","non-dropping-particle":"","parse-names":false,"suffix":""},{"dropping-particle":"V.","family":"Martin","given":"Randall","non-dropping-particle":"","parse-names":false,"suffix":""}],"container-title":"Environmental Science &amp; Technology","id":"ITEM-2","issue":"22","issued":{"date-parts":[["2021","11","16"]]},"page":"15287-15300","title":"Monthly Global Estimates of Fine Particulate Matter and Their Uncertainty","type":"article-journal","volume":"55"},"uris":["http://www.mendeley.com/documents/?uuid=6834b6a2-87f1-4ba7-aecd-d9cc2c310263"]}],"mendeley":{"formattedCitation":"(Kloog et al., 2015; van Donkelaar et al., 2021)","plainTextFormattedCitation":"(Kloog et al., 2015; van Donkelaar et al., 2021)","previouslyFormattedCitation":"(Kloog et al., 2015; van Donkelaar et al., 2021)"},"properties":{"noteIndex":0},"schema":"https://github.com/citation-style-language/schema/raw/master/csl-citation.json"}</w:instrText>
      </w:r>
      <w:r w:rsidR="00C00D93">
        <w:rPr>
          <w:rFonts w:ascii="Times New Roman" w:hAnsi="Times New Roman" w:cs="Times New Roman"/>
          <w:color w:val="000000" w:themeColor="text1"/>
          <w:sz w:val="24"/>
          <w:szCs w:val="24"/>
        </w:rPr>
        <w:fldChar w:fldCharType="separate"/>
      </w:r>
      <w:r w:rsidR="00C00D93" w:rsidRPr="00C00D93">
        <w:rPr>
          <w:rFonts w:ascii="Times New Roman" w:hAnsi="Times New Roman" w:cs="Times New Roman"/>
          <w:noProof/>
          <w:color w:val="000000" w:themeColor="text1"/>
          <w:sz w:val="24"/>
          <w:szCs w:val="24"/>
        </w:rPr>
        <w:t>(Kloog et al., 2015; van Donkelaar et al., 2021)</w:t>
      </w:r>
      <w:r w:rsidR="00C00D93">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Figure 3 illustrates the expected form of this relationship and cross-validation performance.</w:t>
      </w:r>
    </w:p>
    <w:p w14:paraId="119BA118" w14:textId="77777777" w:rsidR="001C5CC2" w:rsidRPr="008C504A" w:rsidRDefault="001C5CC2" w:rsidP="001C5CC2">
      <w:pPr>
        <w:spacing w:before="200" w:after="6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lastRenderedPageBreak/>
        <w:drawing>
          <wp:inline distT="0" distB="0" distL="0" distR="0" wp14:anchorId="6CC079CF" wp14:editId="2F0DDF81">
            <wp:extent cx="4752975" cy="3781425"/>
            <wp:effectExtent l="0" t="0" r="0" b="0"/>
            <wp:docPr id="1700308243" name="Picture 170030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752975" cy="3781425"/>
                    </a:xfrm>
                    <a:prstGeom prst="rect">
                      <a:avLst/>
                    </a:prstGeom>
                  </pic:spPr>
                </pic:pic>
              </a:graphicData>
            </a:graphic>
          </wp:inline>
        </w:drawing>
      </w:r>
    </w:p>
    <w:p w14:paraId="1A7FC381"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r w:rsidRPr="008C504A">
        <w:rPr>
          <w:rFonts w:ascii="Times New Roman" w:hAnsi="Times New Roman" w:cs="Times New Roman"/>
          <w:i/>
          <w:iCs/>
          <w:color w:val="000000" w:themeColor="text1"/>
          <w:sz w:val="24"/>
          <w:szCs w:val="24"/>
        </w:rPr>
        <w:t>Figure 3. Illustrative calibration relationship between MODIS MAIAC AOD and ground-based PM2.5, with linear mixed-effects fit and cross-validation performance statistics.</w:t>
      </w:r>
    </w:p>
    <w:p w14:paraId="327BDEAA"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p>
    <w:p w14:paraId="5519FF71" w14:textId="77777777" w:rsidR="001C5CC2" w:rsidRPr="008C504A" w:rsidRDefault="001C5CC2" w:rsidP="001C5CC2">
      <w:pPr>
        <w:spacing w:before="80" w:after="24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t>Table 1. Illustrative cross-validated calibration performance for satellite-to-surface pollutant conversion models, representative of ranges reported in comparable remote-sensing calibration studies.</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1800"/>
        <w:gridCol w:w="1800"/>
        <w:gridCol w:w="1800"/>
      </w:tblGrid>
      <w:tr w:rsidR="001C5CC2" w:rsidRPr="008C504A" w14:paraId="47DAC65A" w14:textId="77777777" w:rsidTr="00132904">
        <w:trPr>
          <w:tblHeader/>
          <w:jc w:val="center"/>
        </w:trPr>
        <w:tc>
          <w:tcPr>
            <w:tcW w:w="2600" w:type="dxa"/>
            <w:shd w:val="clear" w:color="auto" w:fill="B7CFED" w:themeFill="text2" w:themeFillTint="40"/>
            <w:tcMar>
              <w:top w:w="80" w:type="dxa"/>
              <w:left w:w="100" w:type="dxa"/>
              <w:bottom w:w="80" w:type="dxa"/>
              <w:right w:w="100" w:type="dxa"/>
            </w:tcMar>
          </w:tcPr>
          <w:p w14:paraId="61696A2A"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Pollutant Pair</w:t>
            </w:r>
          </w:p>
        </w:tc>
        <w:tc>
          <w:tcPr>
            <w:tcW w:w="1800" w:type="dxa"/>
            <w:shd w:val="clear" w:color="auto" w:fill="B7CFED" w:themeFill="text2" w:themeFillTint="40"/>
            <w:tcMar>
              <w:top w:w="80" w:type="dxa"/>
              <w:left w:w="100" w:type="dxa"/>
              <w:bottom w:w="80" w:type="dxa"/>
              <w:right w:w="100" w:type="dxa"/>
            </w:tcMar>
          </w:tcPr>
          <w:p w14:paraId="241ABE7A"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Cross-Validated R²</w:t>
            </w:r>
          </w:p>
        </w:tc>
        <w:tc>
          <w:tcPr>
            <w:tcW w:w="1800" w:type="dxa"/>
            <w:shd w:val="clear" w:color="auto" w:fill="B7CFED" w:themeFill="text2" w:themeFillTint="40"/>
            <w:tcMar>
              <w:top w:w="80" w:type="dxa"/>
              <w:left w:w="100" w:type="dxa"/>
              <w:bottom w:w="80" w:type="dxa"/>
              <w:right w:w="100" w:type="dxa"/>
            </w:tcMar>
          </w:tcPr>
          <w:p w14:paraId="310A1368"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RMSE</w:t>
            </w:r>
          </w:p>
        </w:tc>
        <w:tc>
          <w:tcPr>
            <w:tcW w:w="1800" w:type="dxa"/>
            <w:shd w:val="clear" w:color="auto" w:fill="B7CFED" w:themeFill="text2" w:themeFillTint="40"/>
            <w:tcMar>
              <w:top w:w="80" w:type="dxa"/>
              <w:left w:w="100" w:type="dxa"/>
              <w:bottom w:w="80" w:type="dxa"/>
              <w:right w:w="100" w:type="dxa"/>
            </w:tcMar>
          </w:tcPr>
          <w:p w14:paraId="6A974263"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Mean Bias</w:t>
            </w:r>
          </w:p>
        </w:tc>
      </w:tr>
      <w:tr w:rsidR="001C5CC2" w:rsidRPr="008C504A" w14:paraId="6FB40411" w14:textId="77777777" w:rsidTr="00132904">
        <w:trPr>
          <w:jc w:val="center"/>
        </w:trPr>
        <w:tc>
          <w:tcPr>
            <w:tcW w:w="2600" w:type="dxa"/>
            <w:tcMar>
              <w:top w:w="80" w:type="dxa"/>
              <w:left w:w="100" w:type="dxa"/>
              <w:bottom w:w="80" w:type="dxa"/>
              <w:right w:w="100" w:type="dxa"/>
            </w:tcMar>
          </w:tcPr>
          <w:p w14:paraId="2EF8443C"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AOD → PM2.5</w:t>
            </w:r>
          </w:p>
        </w:tc>
        <w:tc>
          <w:tcPr>
            <w:tcW w:w="1800" w:type="dxa"/>
            <w:tcMar>
              <w:top w:w="80" w:type="dxa"/>
              <w:left w:w="100" w:type="dxa"/>
              <w:bottom w:w="80" w:type="dxa"/>
              <w:right w:w="100" w:type="dxa"/>
            </w:tcMar>
          </w:tcPr>
          <w:p w14:paraId="055E8DF6"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0.85–0.90</w:t>
            </w:r>
          </w:p>
        </w:tc>
        <w:tc>
          <w:tcPr>
            <w:tcW w:w="1800" w:type="dxa"/>
            <w:tcMar>
              <w:top w:w="80" w:type="dxa"/>
              <w:left w:w="100" w:type="dxa"/>
              <w:bottom w:w="80" w:type="dxa"/>
              <w:right w:w="100" w:type="dxa"/>
            </w:tcMar>
          </w:tcPr>
          <w:p w14:paraId="1778D9E1"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7–10 µg/m³</w:t>
            </w:r>
          </w:p>
        </w:tc>
        <w:tc>
          <w:tcPr>
            <w:tcW w:w="1800" w:type="dxa"/>
            <w:tcMar>
              <w:top w:w="80" w:type="dxa"/>
              <w:left w:w="100" w:type="dxa"/>
              <w:bottom w:w="80" w:type="dxa"/>
              <w:right w:w="100" w:type="dxa"/>
            </w:tcMar>
          </w:tcPr>
          <w:p w14:paraId="124B5978"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±1–2 µg/m³</w:t>
            </w:r>
          </w:p>
        </w:tc>
      </w:tr>
      <w:tr w:rsidR="001C5CC2" w:rsidRPr="008C504A" w14:paraId="56D59213" w14:textId="77777777" w:rsidTr="00132904">
        <w:trPr>
          <w:jc w:val="center"/>
        </w:trPr>
        <w:tc>
          <w:tcPr>
            <w:tcW w:w="2600" w:type="dxa"/>
            <w:tcMar>
              <w:top w:w="80" w:type="dxa"/>
              <w:left w:w="100" w:type="dxa"/>
              <w:bottom w:w="80" w:type="dxa"/>
              <w:right w:w="100" w:type="dxa"/>
            </w:tcMar>
          </w:tcPr>
          <w:p w14:paraId="680CF835"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TROPOMI NO2 → surface NO2</w:t>
            </w:r>
          </w:p>
        </w:tc>
        <w:tc>
          <w:tcPr>
            <w:tcW w:w="1800" w:type="dxa"/>
            <w:tcMar>
              <w:top w:w="80" w:type="dxa"/>
              <w:left w:w="100" w:type="dxa"/>
              <w:bottom w:w="80" w:type="dxa"/>
              <w:right w:w="100" w:type="dxa"/>
            </w:tcMar>
          </w:tcPr>
          <w:p w14:paraId="549B0928"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0.72–0.81</w:t>
            </w:r>
          </w:p>
        </w:tc>
        <w:tc>
          <w:tcPr>
            <w:tcW w:w="1800" w:type="dxa"/>
            <w:tcMar>
              <w:top w:w="80" w:type="dxa"/>
              <w:left w:w="100" w:type="dxa"/>
              <w:bottom w:w="80" w:type="dxa"/>
              <w:right w:w="100" w:type="dxa"/>
            </w:tcMar>
          </w:tcPr>
          <w:p w14:paraId="5ABB1FB1"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6–9 µg/m³</w:t>
            </w:r>
          </w:p>
        </w:tc>
        <w:tc>
          <w:tcPr>
            <w:tcW w:w="1800" w:type="dxa"/>
            <w:tcMar>
              <w:top w:w="80" w:type="dxa"/>
              <w:left w:w="100" w:type="dxa"/>
              <w:bottom w:w="80" w:type="dxa"/>
              <w:right w:w="100" w:type="dxa"/>
            </w:tcMar>
          </w:tcPr>
          <w:p w14:paraId="57BBB32C"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±2–3 µg/m³</w:t>
            </w:r>
          </w:p>
        </w:tc>
      </w:tr>
      <w:tr w:rsidR="001C5CC2" w:rsidRPr="008C504A" w14:paraId="06BFD7D2" w14:textId="77777777" w:rsidTr="00132904">
        <w:trPr>
          <w:jc w:val="center"/>
        </w:trPr>
        <w:tc>
          <w:tcPr>
            <w:tcW w:w="2600" w:type="dxa"/>
            <w:tcMar>
              <w:top w:w="80" w:type="dxa"/>
              <w:left w:w="100" w:type="dxa"/>
              <w:bottom w:w="80" w:type="dxa"/>
              <w:right w:w="100" w:type="dxa"/>
            </w:tcMar>
          </w:tcPr>
          <w:p w14:paraId="5A51BCBD"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TROPOMI SO2 → surface SO2</w:t>
            </w:r>
          </w:p>
        </w:tc>
        <w:tc>
          <w:tcPr>
            <w:tcW w:w="1800" w:type="dxa"/>
            <w:tcMar>
              <w:top w:w="80" w:type="dxa"/>
              <w:left w:w="100" w:type="dxa"/>
              <w:bottom w:w="80" w:type="dxa"/>
              <w:right w:w="100" w:type="dxa"/>
            </w:tcMar>
          </w:tcPr>
          <w:p w14:paraId="0CC296B3"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0.58–0.68</w:t>
            </w:r>
          </w:p>
        </w:tc>
        <w:tc>
          <w:tcPr>
            <w:tcW w:w="1800" w:type="dxa"/>
            <w:tcMar>
              <w:top w:w="80" w:type="dxa"/>
              <w:left w:w="100" w:type="dxa"/>
              <w:bottom w:w="80" w:type="dxa"/>
              <w:right w:w="100" w:type="dxa"/>
            </w:tcMar>
          </w:tcPr>
          <w:p w14:paraId="201C040E"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3–5 µg/m³</w:t>
            </w:r>
          </w:p>
        </w:tc>
        <w:tc>
          <w:tcPr>
            <w:tcW w:w="1800" w:type="dxa"/>
            <w:tcMar>
              <w:top w:w="80" w:type="dxa"/>
              <w:left w:w="100" w:type="dxa"/>
              <w:bottom w:w="80" w:type="dxa"/>
              <w:right w:w="100" w:type="dxa"/>
            </w:tcMar>
          </w:tcPr>
          <w:p w14:paraId="6DD45B4F"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±1–2 µg/m³</w:t>
            </w:r>
          </w:p>
        </w:tc>
      </w:tr>
      <w:tr w:rsidR="001C5CC2" w:rsidRPr="008C504A" w14:paraId="4F6324D1" w14:textId="77777777" w:rsidTr="00132904">
        <w:trPr>
          <w:jc w:val="center"/>
        </w:trPr>
        <w:tc>
          <w:tcPr>
            <w:tcW w:w="2600" w:type="dxa"/>
            <w:tcMar>
              <w:top w:w="80" w:type="dxa"/>
              <w:left w:w="100" w:type="dxa"/>
              <w:bottom w:w="80" w:type="dxa"/>
              <w:right w:w="100" w:type="dxa"/>
            </w:tcMar>
          </w:tcPr>
          <w:p w14:paraId="08C738FB"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lastRenderedPageBreak/>
              <w:t>TROPOMI O3 → surface O3</w:t>
            </w:r>
          </w:p>
        </w:tc>
        <w:tc>
          <w:tcPr>
            <w:tcW w:w="1800" w:type="dxa"/>
            <w:tcMar>
              <w:top w:w="80" w:type="dxa"/>
              <w:left w:w="100" w:type="dxa"/>
              <w:bottom w:w="80" w:type="dxa"/>
              <w:right w:w="100" w:type="dxa"/>
            </w:tcMar>
          </w:tcPr>
          <w:p w14:paraId="5DE1B6AB"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0.65–0.75</w:t>
            </w:r>
          </w:p>
        </w:tc>
        <w:tc>
          <w:tcPr>
            <w:tcW w:w="1800" w:type="dxa"/>
            <w:tcMar>
              <w:top w:w="80" w:type="dxa"/>
              <w:left w:w="100" w:type="dxa"/>
              <w:bottom w:w="80" w:type="dxa"/>
              <w:right w:w="100" w:type="dxa"/>
            </w:tcMar>
          </w:tcPr>
          <w:p w14:paraId="3729B4E2"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8–12 µg/m³</w:t>
            </w:r>
          </w:p>
        </w:tc>
        <w:tc>
          <w:tcPr>
            <w:tcW w:w="1800" w:type="dxa"/>
            <w:tcMar>
              <w:top w:w="80" w:type="dxa"/>
              <w:left w:w="100" w:type="dxa"/>
              <w:bottom w:w="80" w:type="dxa"/>
              <w:right w:w="100" w:type="dxa"/>
            </w:tcMar>
          </w:tcPr>
          <w:p w14:paraId="560D181E"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±2–4 µg/m³</w:t>
            </w:r>
          </w:p>
        </w:tc>
      </w:tr>
    </w:tbl>
    <w:p w14:paraId="298851AD"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3.2 Spatial Distribution of Predicted Exposure</w:t>
      </w:r>
    </w:p>
    <w:p w14:paraId="6DB214F7" w14:textId="53DCBB44"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fused kriging/GWR exposure surface (Figure 4) typically reveals a pronounced concentration peak centred on the traffic-and-industry-influenced urban core, with a secondary elongated ridge of elevated concentration extending along the dominant arterial corridor — consistent with the expected combination of point-source (industrial) and line-source (traffic corridor) emission patterns</w:t>
      </w:r>
      <w:r w:rsidR="00C00D93">
        <w:rPr>
          <w:rFonts w:ascii="Times New Roman" w:hAnsi="Times New Roman" w:cs="Times New Roman"/>
          <w:color w:val="000000" w:themeColor="text1"/>
          <w:sz w:val="24"/>
          <w:szCs w:val="24"/>
        </w:rPr>
        <w:t xml:space="preserve"> </w:t>
      </w:r>
      <w:r w:rsidR="00C00D93">
        <w:rPr>
          <w:rFonts w:ascii="Times New Roman" w:hAnsi="Times New Roman" w:cs="Times New Roman"/>
          <w:color w:val="000000" w:themeColor="text1"/>
          <w:sz w:val="24"/>
          <w:szCs w:val="24"/>
        </w:rPr>
        <w:fldChar w:fldCharType="begin" w:fldLock="1"/>
      </w:r>
      <w:r w:rsidR="00D1169B">
        <w:rPr>
          <w:rFonts w:ascii="Times New Roman" w:hAnsi="Times New Roman" w:cs="Times New Roman"/>
          <w:color w:val="000000" w:themeColor="text1"/>
          <w:sz w:val="24"/>
          <w:szCs w:val="24"/>
        </w:rPr>
        <w:instrText>ADDIN CSL_CITATION {"citationItems":[{"id":"ITEM-1","itemData":{"DOI":"10.1371/journal.pone.0326241","ISSN":"1932-6203","abstract":"Clarifying the spatio-temporal evolution of PM2.5 concentration law and its driving mechanism is crucial for the prevention and control of air pollution in urban agglomerations, also helping promote their high-quality development. Based on remote sensing and statistics of urban agglomerations in China’s Beijing-Tianjin-Hebei (BTH), Yangtze River Delta (YRD), and Pearl River Delta (PRD) from 2005 to 2020, the paper analyses the evolution characteristics of the pollution concentration pattern and identifies the influencing factors through spatial analysis method combining the geodetector and geographically weighted regression (GWR) model. As the results show, during the study period: (1) Temporal Trends: annual PM2.5 concentrations exhibited significant declines, with BTH decreasing from 1004.71 μg/m 3 (2006) to 528 μg/m 3 (2020), YRD from 1434.81 μg/m 3 (2008) to 621 μg/m 3 , and PRD from 405.02 μg/m 3 (2007) to 292 μg/m 3 . The ranking remained YRD &gt; BTH &gt; PRD throughout the study period. (2) Spatial Heterogeneity: Spatial clustering (Moran’s I: 0.286–0.729, p &lt; 0.05) dominated all regions. BTH showed a “high-south” pattern (e.g., Xingtai: 78.3 μg/m 3 vs. Qinhuangdao: 34.2 μg/m 3 ), YRD displayed “high-northwest” characteristics (Hefei: 68.5 μg/m 3 vs. Ningbo: 42.1 μg/m 3 ), while PRD exhibited a west-east gradient (Foshan: 49.8 μg/m 3 vs. Shenzhen: 25.6 μg/m 3 ). (3) The evolution of PM2.5 concentration in three urban agglomerations is generally positive autocorrelative aggregative distribution, and aggregation types include “high-high”, “low-low” and “high-low”. (4) The measurement of geographical detector indicates the differentiation of PM2.5 concentration is affected by both natural geography and socio-economic factors, and the former ones have stronger driving forces. (5) The measurement of GWR model indicates temperature, precipitation, vegetation coverage, urban expansion, industrial structure, and energy efficiency are main influencing factors of PM2.5 concentration pattern, and the degree of influence of these factors is different.","author":[{"dropping-particle":"","family":"Zou","given":"Zeduo","non-dropping-particle":"","parse-names":false,"suffix":""},{"dropping-particle":"","family":"Zhao","given":"Xiuyan","non-dropping-particle":"","parse-names":false,"suffix":""},{"dropping-particle":"","family":"Liu","given":"Shuyuan","non-dropping-particle":"","parse-names":false,"suffix":""},{"dropping-particle":"","family":"Yuan","given":"Xiaodie","non-dropping-particle":"","parse-names":false,"suffix":""},{"dropping-particle":"","family":"Zhou","given":"Chunshan","non-dropping-particle":"","parse-names":false,"suffix":""}],"container-title":"PLOS One","editor":[{"dropping-particle":"","family":"Filonchyk","given":"Mikalai","non-dropping-particle":"","parse-names":false,"suffix":""}],"id":"ITEM-1","issue":"7","issued":{"date-parts":[["2025","7","7"]]},"page":"e0326241","title":"Quantitative attribution of spatio-temporal pattern of pm2.5 concentration based on geodetector and GWR model: Evidence from China’s three major urban agglomerations","type":"article-journal","volume":"20"},"uris":["http://www.mendeley.com/documents/?uuid=2e0d7f14-90ac-4467-8418-0b2ef4d1bddd"]},{"id":"ITEM-2","itemData":{"DOI":"10.1007/s00411-022-01000-5","ISBN":"0123456789","ISSN":"1432-2099","author":[{"dropping-particle":"","family":"Bo","given":"Wei","non-dropping-particle":"","parse-names":false,"suffix":""},{"dropping-particle":"","family":"Céline","given":"Li","non-dropping-particle":"","parse-names":false,"suffix":""},{"dropping-particle":"","family":"Capely","given":"Bouvier","non-dropping-particle":"","parse-names":false,"suffix":""},{"dropping-particle":"","family":"Saldarriaga","given":"Clarita","non-dropping-particle":"","parse-names":false,"suffix":""},{"dropping-particle":"","family":"Andersson","given":"Michelle","non-dropping-particle":"","parse-names":false,"suffix":""},{"dropping-particle":"","family":"Madas","given":"Balázs","non-dropping-particle":"","parse-names":false,"suffix":""}],"container-title":"Radiation and Environmental Biophysics","id":"ITEM-2","issue":"4","issued":{"date-parts":[["2022"]]},"page":"579-596","publisher":"Springer Berlin Heidelberg","title":"Heterogeneity of dose distribution in normal tissues in case of radiopharmaceutical therapy with alpha ‑ emitting radionuclides","type":"article-journal","volume":"61"},"uris":["http://www.mendeley.com/documents/?uuid=535d1e59-8279-405d-bf80-3ecf0e7c50f9"]}],"mendeley":{"formattedCitation":"(Bo et al., 2022; Zou et al., 2025)","plainTextFormattedCitation":"(Bo et al., 2022; Zou et al., 2025)","previouslyFormattedCitation":"(Bo et al., 2022; Zou et al., 2025)"},"properties":{"noteIndex":0},"schema":"https://github.com/citation-style-language/schema/raw/master/csl-citation.json"}</w:instrText>
      </w:r>
      <w:r w:rsidR="00C00D93">
        <w:rPr>
          <w:rFonts w:ascii="Times New Roman" w:hAnsi="Times New Roman" w:cs="Times New Roman"/>
          <w:color w:val="000000" w:themeColor="text1"/>
          <w:sz w:val="24"/>
          <w:szCs w:val="24"/>
        </w:rPr>
        <w:fldChar w:fldCharType="separate"/>
      </w:r>
      <w:r w:rsidR="00C00D93" w:rsidRPr="00C00D93">
        <w:rPr>
          <w:rFonts w:ascii="Times New Roman" w:hAnsi="Times New Roman" w:cs="Times New Roman"/>
          <w:noProof/>
          <w:color w:val="000000" w:themeColor="text1"/>
          <w:sz w:val="24"/>
          <w:szCs w:val="24"/>
        </w:rPr>
        <w:t>(Bo et al., 2022; Zou et al., 2025)</w:t>
      </w:r>
      <w:r w:rsidR="00C00D93">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 xml:space="preserve">. Concentrations decline sharply with distance from these features, approaching background levels at the peri-urban margins of the domain, consistent with the well-documented spatial decay of traffic- and industry-related pollutants </w:t>
      </w:r>
      <w:r w:rsidR="00D1169B">
        <w:rPr>
          <w:rFonts w:ascii="Times New Roman" w:hAnsi="Times New Roman" w:cs="Times New Roman"/>
          <w:color w:val="000000" w:themeColor="text1"/>
          <w:sz w:val="24"/>
          <w:szCs w:val="24"/>
        </w:rPr>
        <w:fldChar w:fldCharType="begin" w:fldLock="1"/>
      </w:r>
      <w:r w:rsidR="00D1169B">
        <w:rPr>
          <w:rFonts w:ascii="Times New Roman" w:hAnsi="Times New Roman" w:cs="Times New Roman"/>
          <w:color w:val="000000" w:themeColor="text1"/>
          <w:sz w:val="24"/>
          <w:szCs w:val="24"/>
        </w:rPr>
        <w:instrText>ADDIN CSL_CITATION {"citationItems":[{"id":"ITEM-1","itemData":{"DOI":"10.3390/f17010081","ISSN":"1999-4907","abstract":"Air pollution is a major but often under-integrated driver of forest dynamics at the global scale. This review combines a bibliometric analysis of 258 peer-reviewed studies with a synthesis of ecological, physiological, and biogeochemical evidence to clarify how multiple air pollutants influence forest structure, function, and regeneration. Research output is dominated by Europe, East Asia, and North America, with ozone, nitrogen deposition, particulate matter, and acidic precipitation receiving the greatest attention. Across forest biomes, air pollution affects growth, wood anatomy, nutrient cycling, photosynthesis, species composition, litter decomposition, and soil chemistry through interacting pathways. Regional patterns reveal strong context dependency, with heightened sensitivity in mountain and boreal forests, pronounced ozone exposure in Mediterranean and peri-urban systems, episodic oxidative stress in tropical forests, and long-term heavy-metal accumulation in industrial regions. Beyond being impacted, forests actively modify atmospheric chemistry through pollutant filtration, aerosol interactions, and deposition processes. The novelty of this review lies in explicitly framing air pollution as a dynamic driver of forest change, with direct implications for afforestation and restoration on degraded lands. Key knowledge gaps remain regarding combined pollution–climate effects, understudied forest biomes, and the scaling of physiological responses to ecosystem and regional levels, which must be addressed to support effective forest management under global change.","author":[{"dropping-particle":"","family":"Tupu","given":"Eliza","non-dropping-particle":"","parse-names":false,"suffix":""},{"dropping-particle":"","family":"Dincă","given":"Lucian","non-dropping-particle":"","parse-names":false,"suffix":""},{"dropping-particle":"","family":"Murariu","given":"Gabriel","non-dropping-particle":"","parse-names":false,"suffix":""},{"dropping-particle":"","family":"Drasovean","given":"Romana","non-dropping-particle":"","parse-names":false,"suffix":""},{"dropping-particle":"","family":"Munteanu","given":"Dan","non-dropping-particle":"","parse-names":false,"suffix":""},{"dropping-particle":"","family":"Soare","given":"Ionica","non-dropping-particle":"","parse-names":false,"suffix":""},{"dropping-particle":"","family":"Mocanu","given":"George Danut","non-dropping-particle":"","parse-names":false,"suffix":""}],"container-title":"Forests","id":"ITEM-1","issue":"1","issued":{"date-parts":[["2026","1","8"]]},"page":"81","title":"Air Pollution as a Driver of Forest Dynamics: Patterns, Mechanisms, and Knowledge Gaps","type":"article-journal","volume":"17"},"uris":["http://www.mendeley.com/documents/?uuid=c754d851-4135-4d5a-872a-b4258f0e9825"]},{"id":"ITEM-2","itemData":{"DOI":"10.1016/j.atmosenv.2014.09.072","ISSN":"13522310","author":[{"dropping-particle":"","family":"Patton","given":"Allison P.","non-dropping-particle":"","parse-names":false,"suffix":""},{"dropping-particle":"","family":"Perkins","given":"Jessica","non-dropping-particle":"","parse-names":false,"suffix":""},{"dropping-particle":"","family":"Zamore","given":"Wig","non-dropping-particle":"","parse-names":false,"suffix":""},{"dropping-particle":"","family":"Levy","given":"Jonathan I.","non-dropping-particle":"","parse-names":false,"suffix":""},{"dropping-particle":"","family":"Brugge","given":"Doug","non-dropping-particle":"","parse-names":false,"suffix":""},{"dropping-particle":"","family":"Durant","given":"John L.","non-dropping-particle":"","parse-names":false,"suffix":""}],"container-title":"Atmospheric Environment","id":"ITEM-2","issued":{"date-parts":[["2014","12"]]},"page":"309-321","title":"Spatial and temporal differences in traffic-related air pollution in three urban neighborhoods near an interstate highway","type":"article-journal","volume":"99"},"uris":["http://www.mendeley.com/documents/?uuid=33c36e9c-b710-4e7c-9fc9-2ac12a179501"]}],"mendeley":{"formattedCitation":"(Patton et al., 2014; Tupu et al., 2026)","plainTextFormattedCitation":"(Patton et al., 2014; Tupu et al., 2026)"},"properties":{"noteIndex":0},"schema":"https://github.com/citation-style-language/schema/raw/master/csl-citation.json"}</w:instrText>
      </w:r>
      <w:r w:rsidR="00D1169B">
        <w:rPr>
          <w:rFonts w:ascii="Times New Roman" w:hAnsi="Times New Roman" w:cs="Times New Roman"/>
          <w:color w:val="000000" w:themeColor="text1"/>
          <w:sz w:val="24"/>
          <w:szCs w:val="24"/>
        </w:rPr>
        <w:fldChar w:fldCharType="separate"/>
      </w:r>
      <w:r w:rsidR="00D1169B" w:rsidRPr="00D1169B">
        <w:rPr>
          <w:rFonts w:ascii="Times New Roman" w:hAnsi="Times New Roman" w:cs="Times New Roman"/>
          <w:noProof/>
          <w:color w:val="000000" w:themeColor="text1"/>
          <w:sz w:val="24"/>
          <w:szCs w:val="24"/>
        </w:rPr>
        <w:t>(Patton et al., 2014; Tupu et al., 2026)</w:t>
      </w:r>
      <w:r w:rsidR="00D1169B">
        <w:rPr>
          <w:rFonts w:ascii="Times New Roman" w:hAnsi="Times New Roman" w:cs="Times New Roman"/>
          <w:color w:val="000000" w:themeColor="text1"/>
          <w:sz w:val="24"/>
          <w:szCs w:val="24"/>
        </w:rPr>
        <w:fldChar w:fldCharType="end"/>
      </w:r>
      <w:r w:rsidRPr="008C504A">
        <w:rPr>
          <w:rFonts w:ascii="Times New Roman" w:hAnsi="Times New Roman" w:cs="Times New Roman"/>
          <w:color w:val="000000" w:themeColor="text1"/>
          <w:sz w:val="24"/>
          <w:szCs w:val="24"/>
        </w:rPr>
        <w:t>.</w:t>
      </w:r>
    </w:p>
    <w:p w14:paraId="63DB2DA2" w14:textId="77777777" w:rsidR="001C5CC2" w:rsidRPr="008C504A" w:rsidRDefault="001C5CC2" w:rsidP="001C5CC2">
      <w:pPr>
        <w:spacing w:before="200" w:after="6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42442185" wp14:editId="4AC6B3FF">
            <wp:extent cx="4572000" cy="4076700"/>
            <wp:effectExtent l="0" t="0" r="0" b="0"/>
            <wp:docPr id="837642754" name="Picture 83764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572000" cy="4076700"/>
                    </a:xfrm>
                    <a:prstGeom prst="rect">
                      <a:avLst/>
                    </a:prstGeom>
                  </pic:spPr>
                </pic:pic>
              </a:graphicData>
            </a:graphic>
          </wp:inline>
        </w:drawing>
      </w:r>
    </w:p>
    <w:p w14:paraId="6A727AE3" w14:textId="77777777" w:rsidR="001C5CC2" w:rsidRPr="008C504A" w:rsidRDefault="001C5CC2" w:rsidP="001C5CC2">
      <w:pPr>
        <w:spacing w:before="80" w:after="24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lastRenderedPageBreak/>
        <w:t>Figure 4. Illustrative ordinary kriging surface of annual mean PM2.5 across the study domain, showing concentration peaks at the urban core and along the dominant traffic corridor, overlaid with ground station locations.</w:t>
      </w:r>
    </w:p>
    <w:p w14:paraId="44E14AE7"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3.3 Spatial Autocorrelation and Pollution Hotspots</w:t>
      </w:r>
    </w:p>
    <w:p w14:paraId="1203641A"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Global Moran's I statistics computed on the interpolated pollutant surface are typically large, positive, and highly statistically significant, confirming strong positive spatial autocorrelation — that is, high-concentration cells cluster spatially rather than occurring at random. The Getis-Ord Gi* analysis (Figure 5) further localises this clustering into a statistically significant hot spot centred on the urban core and traffic corridor, with a smaller, less pronounced cold spot near the peri-urban background station. Table 2 summarises illustrative global spatial autocorrelation statistics by pollutant.</w:t>
      </w:r>
    </w:p>
    <w:p w14:paraId="2723E74E" w14:textId="77777777" w:rsidR="001C5CC2" w:rsidRPr="008C504A" w:rsidRDefault="001C5CC2" w:rsidP="001C5CC2">
      <w:pPr>
        <w:spacing w:before="200" w:after="6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43F41ED2" wp14:editId="074F2852">
            <wp:extent cx="4572000" cy="4057650"/>
            <wp:effectExtent l="0" t="0" r="0" b="0"/>
            <wp:docPr id="1264762460" name="Picture 126476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572000" cy="4057650"/>
                    </a:xfrm>
                    <a:prstGeom prst="rect">
                      <a:avLst/>
                    </a:prstGeom>
                  </pic:spPr>
                </pic:pic>
              </a:graphicData>
            </a:graphic>
          </wp:inline>
        </w:drawing>
      </w:r>
    </w:p>
    <w:p w14:paraId="276D551C"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r w:rsidRPr="008C504A">
        <w:rPr>
          <w:rFonts w:ascii="Times New Roman" w:hAnsi="Times New Roman" w:cs="Times New Roman"/>
          <w:i/>
          <w:iCs/>
          <w:color w:val="000000" w:themeColor="text1"/>
          <w:sz w:val="24"/>
          <w:szCs w:val="24"/>
        </w:rPr>
        <w:t>Figure 5. Illustrative Getis-Ord Gi* hotspot analysis of the interpolated PM2.5 surface, showing a statistically significant hot spot (99% confidence) centred on the urban core and traffic corridor.</w:t>
      </w:r>
    </w:p>
    <w:p w14:paraId="2866C85F"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p>
    <w:p w14:paraId="0A21BD01" w14:textId="77777777" w:rsidR="001C5CC2" w:rsidRPr="008C504A" w:rsidRDefault="001C5CC2" w:rsidP="001C5CC2">
      <w:pPr>
        <w:spacing w:before="80" w:after="24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lastRenderedPageBreak/>
        <w:t>Table 2. Illustrative global Moran's I statistics for the interpolated pollutant surfaces, indicating strong and highly significant positive spatial autocorrelation for all pollutants, most pronounced for NO2 and PM2.5.</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1800"/>
        <w:gridCol w:w="1800"/>
        <w:gridCol w:w="1800"/>
      </w:tblGrid>
      <w:tr w:rsidR="001C5CC2" w:rsidRPr="008C504A" w14:paraId="2A5E9203" w14:textId="77777777" w:rsidTr="00132904">
        <w:trPr>
          <w:tblHeader/>
          <w:jc w:val="center"/>
        </w:trPr>
        <w:tc>
          <w:tcPr>
            <w:tcW w:w="2600" w:type="dxa"/>
            <w:shd w:val="clear" w:color="auto" w:fill="B7CFED" w:themeFill="text2" w:themeFillTint="40"/>
            <w:tcMar>
              <w:top w:w="80" w:type="dxa"/>
              <w:left w:w="100" w:type="dxa"/>
              <w:bottom w:w="80" w:type="dxa"/>
              <w:right w:w="100" w:type="dxa"/>
            </w:tcMar>
          </w:tcPr>
          <w:p w14:paraId="4B5C96B2"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Pollutant</w:t>
            </w:r>
          </w:p>
        </w:tc>
        <w:tc>
          <w:tcPr>
            <w:tcW w:w="1800" w:type="dxa"/>
            <w:shd w:val="clear" w:color="auto" w:fill="B7CFED" w:themeFill="text2" w:themeFillTint="40"/>
            <w:tcMar>
              <w:top w:w="80" w:type="dxa"/>
              <w:left w:w="100" w:type="dxa"/>
              <w:bottom w:w="80" w:type="dxa"/>
              <w:right w:w="100" w:type="dxa"/>
            </w:tcMar>
          </w:tcPr>
          <w:p w14:paraId="3A0E0182"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Global Moran's I</w:t>
            </w:r>
          </w:p>
        </w:tc>
        <w:tc>
          <w:tcPr>
            <w:tcW w:w="1800" w:type="dxa"/>
            <w:shd w:val="clear" w:color="auto" w:fill="B7CFED" w:themeFill="text2" w:themeFillTint="40"/>
            <w:tcMar>
              <w:top w:w="80" w:type="dxa"/>
              <w:left w:w="100" w:type="dxa"/>
              <w:bottom w:w="80" w:type="dxa"/>
              <w:right w:w="100" w:type="dxa"/>
            </w:tcMar>
          </w:tcPr>
          <w:p w14:paraId="465C9FB5"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z-score</w:t>
            </w:r>
          </w:p>
        </w:tc>
        <w:tc>
          <w:tcPr>
            <w:tcW w:w="1800" w:type="dxa"/>
            <w:shd w:val="clear" w:color="auto" w:fill="B7CFED" w:themeFill="text2" w:themeFillTint="40"/>
            <w:tcMar>
              <w:top w:w="80" w:type="dxa"/>
              <w:left w:w="100" w:type="dxa"/>
              <w:bottom w:w="80" w:type="dxa"/>
              <w:right w:w="100" w:type="dxa"/>
            </w:tcMar>
          </w:tcPr>
          <w:p w14:paraId="6A67C788"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p-value</w:t>
            </w:r>
          </w:p>
        </w:tc>
      </w:tr>
      <w:tr w:rsidR="001C5CC2" w:rsidRPr="008C504A" w14:paraId="25FD89A4" w14:textId="77777777" w:rsidTr="00132904">
        <w:trPr>
          <w:jc w:val="center"/>
        </w:trPr>
        <w:tc>
          <w:tcPr>
            <w:tcW w:w="2600" w:type="dxa"/>
            <w:tcMar>
              <w:top w:w="80" w:type="dxa"/>
              <w:left w:w="100" w:type="dxa"/>
              <w:bottom w:w="80" w:type="dxa"/>
              <w:right w:w="100" w:type="dxa"/>
            </w:tcMar>
          </w:tcPr>
          <w:p w14:paraId="09143C42"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PM2.5</w:t>
            </w:r>
          </w:p>
        </w:tc>
        <w:tc>
          <w:tcPr>
            <w:tcW w:w="1800" w:type="dxa"/>
            <w:tcMar>
              <w:top w:w="80" w:type="dxa"/>
              <w:left w:w="100" w:type="dxa"/>
              <w:bottom w:w="80" w:type="dxa"/>
              <w:right w:w="100" w:type="dxa"/>
            </w:tcMar>
          </w:tcPr>
          <w:p w14:paraId="6858682C"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0.58–0.68</w:t>
            </w:r>
          </w:p>
        </w:tc>
        <w:tc>
          <w:tcPr>
            <w:tcW w:w="1800" w:type="dxa"/>
            <w:tcMar>
              <w:top w:w="80" w:type="dxa"/>
              <w:left w:w="100" w:type="dxa"/>
              <w:bottom w:w="80" w:type="dxa"/>
              <w:right w:w="100" w:type="dxa"/>
            </w:tcMar>
          </w:tcPr>
          <w:p w14:paraId="22A142AB"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14–19</w:t>
            </w:r>
          </w:p>
        </w:tc>
        <w:tc>
          <w:tcPr>
            <w:tcW w:w="1800" w:type="dxa"/>
            <w:tcMar>
              <w:top w:w="80" w:type="dxa"/>
              <w:left w:w="100" w:type="dxa"/>
              <w:bottom w:w="80" w:type="dxa"/>
              <w:right w:w="100" w:type="dxa"/>
            </w:tcMar>
          </w:tcPr>
          <w:p w14:paraId="1F875611"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&lt; 0.001</w:t>
            </w:r>
          </w:p>
        </w:tc>
      </w:tr>
      <w:tr w:rsidR="001C5CC2" w:rsidRPr="008C504A" w14:paraId="3FBBBDA4" w14:textId="77777777" w:rsidTr="00132904">
        <w:trPr>
          <w:jc w:val="center"/>
        </w:trPr>
        <w:tc>
          <w:tcPr>
            <w:tcW w:w="2600" w:type="dxa"/>
            <w:tcMar>
              <w:top w:w="80" w:type="dxa"/>
              <w:left w:w="100" w:type="dxa"/>
              <w:bottom w:w="80" w:type="dxa"/>
              <w:right w:w="100" w:type="dxa"/>
            </w:tcMar>
          </w:tcPr>
          <w:p w14:paraId="0A962CA7"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PM10</w:t>
            </w:r>
          </w:p>
        </w:tc>
        <w:tc>
          <w:tcPr>
            <w:tcW w:w="1800" w:type="dxa"/>
            <w:tcMar>
              <w:top w:w="80" w:type="dxa"/>
              <w:left w:w="100" w:type="dxa"/>
              <w:bottom w:w="80" w:type="dxa"/>
              <w:right w:w="100" w:type="dxa"/>
            </w:tcMar>
          </w:tcPr>
          <w:p w14:paraId="3E3BAE80"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0.52–0.63</w:t>
            </w:r>
          </w:p>
        </w:tc>
        <w:tc>
          <w:tcPr>
            <w:tcW w:w="1800" w:type="dxa"/>
            <w:tcMar>
              <w:top w:w="80" w:type="dxa"/>
              <w:left w:w="100" w:type="dxa"/>
              <w:bottom w:w="80" w:type="dxa"/>
              <w:right w:w="100" w:type="dxa"/>
            </w:tcMar>
          </w:tcPr>
          <w:p w14:paraId="12A2484F"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12–17</w:t>
            </w:r>
          </w:p>
        </w:tc>
        <w:tc>
          <w:tcPr>
            <w:tcW w:w="1800" w:type="dxa"/>
            <w:tcMar>
              <w:top w:w="80" w:type="dxa"/>
              <w:left w:w="100" w:type="dxa"/>
              <w:bottom w:w="80" w:type="dxa"/>
              <w:right w:w="100" w:type="dxa"/>
            </w:tcMar>
          </w:tcPr>
          <w:p w14:paraId="76BCB013"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&lt; 0.001</w:t>
            </w:r>
          </w:p>
        </w:tc>
      </w:tr>
      <w:tr w:rsidR="001C5CC2" w:rsidRPr="008C504A" w14:paraId="1962A90E" w14:textId="77777777" w:rsidTr="00132904">
        <w:trPr>
          <w:jc w:val="center"/>
        </w:trPr>
        <w:tc>
          <w:tcPr>
            <w:tcW w:w="2600" w:type="dxa"/>
            <w:tcMar>
              <w:top w:w="80" w:type="dxa"/>
              <w:left w:w="100" w:type="dxa"/>
              <w:bottom w:w="80" w:type="dxa"/>
              <w:right w:w="100" w:type="dxa"/>
            </w:tcMar>
          </w:tcPr>
          <w:p w14:paraId="2067166B"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NO2</w:t>
            </w:r>
          </w:p>
        </w:tc>
        <w:tc>
          <w:tcPr>
            <w:tcW w:w="1800" w:type="dxa"/>
            <w:tcMar>
              <w:top w:w="80" w:type="dxa"/>
              <w:left w:w="100" w:type="dxa"/>
              <w:bottom w:w="80" w:type="dxa"/>
              <w:right w:w="100" w:type="dxa"/>
            </w:tcMar>
          </w:tcPr>
          <w:p w14:paraId="2DD3D88B"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0.61–0.71</w:t>
            </w:r>
          </w:p>
        </w:tc>
        <w:tc>
          <w:tcPr>
            <w:tcW w:w="1800" w:type="dxa"/>
            <w:tcMar>
              <w:top w:w="80" w:type="dxa"/>
              <w:left w:w="100" w:type="dxa"/>
              <w:bottom w:w="80" w:type="dxa"/>
              <w:right w:w="100" w:type="dxa"/>
            </w:tcMar>
          </w:tcPr>
          <w:p w14:paraId="332725E3"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15–20</w:t>
            </w:r>
          </w:p>
        </w:tc>
        <w:tc>
          <w:tcPr>
            <w:tcW w:w="1800" w:type="dxa"/>
            <w:tcMar>
              <w:top w:w="80" w:type="dxa"/>
              <w:left w:w="100" w:type="dxa"/>
              <w:bottom w:w="80" w:type="dxa"/>
              <w:right w:w="100" w:type="dxa"/>
            </w:tcMar>
          </w:tcPr>
          <w:p w14:paraId="7FE543B0"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&lt; 0.001</w:t>
            </w:r>
          </w:p>
        </w:tc>
      </w:tr>
      <w:tr w:rsidR="001C5CC2" w:rsidRPr="008C504A" w14:paraId="32CA9114" w14:textId="77777777" w:rsidTr="00132904">
        <w:trPr>
          <w:jc w:val="center"/>
        </w:trPr>
        <w:tc>
          <w:tcPr>
            <w:tcW w:w="2600" w:type="dxa"/>
            <w:tcMar>
              <w:top w:w="80" w:type="dxa"/>
              <w:left w:w="100" w:type="dxa"/>
              <w:bottom w:w="80" w:type="dxa"/>
              <w:right w:w="100" w:type="dxa"/>
            </w:tcMar>
          </w:tcPr>
          <w:p w14:paraId="78FC4A23"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O3</w:t>
            </w:r>
          </w:p>
        </w:tc>
        <w:tc>
          <w:tcPr>
            <w:tcW w:w="1800" w:type="dxa"/>
            <w:tcMar>
              <w:top w:w="80" w:type="dxa"/>
              <w:left w:w="100" w:type="dxa"/>
              <w:bottom w:w="80" w:type="dxa"/>
              <w:right w:w="100" w:type="dxa"/>
            </w:tcMar>
          </w:tcPr>
          <w:p w14:paraId="01B50892"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0.35–0.46</w:t>
            </w:r>
          </w:p>
        </w:tc>
        <w:tc>
          <w:tcPr>
            <w:tcW w:w="1800" w:type="dxa"/>
            <w:tcMar>
              <w:top w:w="80" w:type="dxa"/>
              <w:left w:w="100" w:type="dxa"/>
              <w:bottom w:w="80" w:type="dxa"/>
              <w:right w:w="100" w:type="dxa"/>
            </w:tcMar>
          </w:tcPr>
          <w:p w14:paraId="1916733A"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8–12</w:t>
            </w:r>
          </w:p>
        </w:tc>
        <w:tc>
          <w:tcPr>
            <w:tcW w:w="1800" w:type="dxa"/>
            <w:tcMar>
              <w:top w:w="80" w:type="dxa"/>
              <w:left w:w="100" w:type="dxa"/>
              <w:bottom w:w="80" w:type="dxa"/>
              <w:right w:w="100" w:type="dxa"/>
            </w:tcMar>
          </w:tcPr>
          <w:p w14:paraId="0D4F35AB"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&lt; 0.001</w:t>
            </w:r>
          </w:p>
        </w:tc>
      </w:tr>
    </w:tbl>
    <w:p w14:paraId="202C6956"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p>
    <w:p w14:paraId="62D1BD24"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identification of a statistically robust, spatially compact hot spot — rather than a diffuse, city-wide elevation in concentration — has direct implications for the cost-effectiveness of interventions: targeted measures within the delineated hot-spot boundary (e.g., low-emission zones, targeted vegetation buffers, industrial emission controls) are likely to address a disproportionate share of the population's excess exposure relative to city-wide measures of equivalent cost (Anselin, 1995; Getis &amp; Ord, 1992).</w:t>
      </w:r>
    </w:p>
    <w:p w14:paraId="2351F10F"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3.4 Spatiotemporal Dynamics</w:t>
      </w:r>
    </w:p>
    <w:p w14:paraId="1999A445"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Overlaying the daily satellite retrievals onto the fixed spatial hotspot structure typically shows that the hot-spot boundary itself is relatively stable through time (governed by fixed emission-source geometry and prevailing wind patterns), while the intensity of the concentration gradient within that boundary fluctuates seasonally in a manner consistent with the diurnal and seasonal drivers described for ground-based data in comparable single-city time-series studies — higher intensity during cooler, low-wind-speed, low-boundary-layer-height periods, and lower intensity during warmer, well-ventilated periods. This spatiotemporal stability in hot-spot location, combined with temporal variability in intensity, supports a two-tier management strategy: permanent, location-specific structural interventions within the identified hot-spot zone, complemented by dynamic, forecast-triggered measures (e.g., temporary traffic restrictions) during periods of adverse dispersion meteorology.</w:t>
      </w:r>
    </w:p>
    <w:p w14:paraId="363F9A0C"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lastRenderedPageBreak/>
        <w:t>3.5 Respiratory Health Risk and Attributable Burden</w:t>
      </w:r>
    </w:p>
    <w:p w14:paraId="410593EE"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Linking the population-weighted exposure surface to geocoded respiratory hospitalisation data typically yields a clear, graded exposure-response relationship, with relative risk increasing monotonically across exposure quintiles (Figure 6, left panel) and the corresponding population attributable fraction rising sharply in the highest-exposure zone (Figure 6, right panel). Table 3 summarises illustrative relative risk and attributable case estimates by exposure zone.</w:t>
      </w:r>
    </w:p>
    <w:p w14:paraId="0E08D593" w14:textId="77777777" w:rsidR="001C5CC2" w:rsidRPr="008C504A" w:rsidRDefault="001C5CC2" w:rsidP="001C5CC2">
      <w:pPr>
        <w:spacing w:before="200" w:after="6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noProof/>
          <w:color w:val="000000" w:themeColor="text1"/>
          <w:sz w:val="24"/>
          <w:szCs w:val="24"/>
        </w:rPr>
        <w:drawing>
          <wp:inline distT="0" distB="0" distL="0" distR="0" wp14:anchorId="02CA96F4" wp14:editId="310DB4DB">
            <wp:extent cx="5762625" cy="2524125"/>
            <wp:effectExtent l="0" t="0" r="0" b="0"/>
            <wp:docPr id="905226245" name="Picture 90522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762625" cy="2524125"/>
                    </a:xfrm>
                    <a:prstGeom prst="rect">
                      <a:avLst/>
                    </a:prstGeom>
                  </pic:spPr>
                </pic:pic>
              </a:graphicData>
            </a:graphic>
          </wp:inline>
        </w:drawing>
      </w:r>
    </w:p>
    <w:p w14:paraId="03F62027"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r w:rsidRPr="008C504A">
        <w:rPr>
          <w:rFonts w:ascii="Times New Roman" w:hAnsi="Times New Roman" w:cs="Times New Roman"/>
          <w:i/>
          <w:iCs/>
          <w:color w:val="000000" w:themeColor="text1"/>
          <w:sz w:val="24"/>
          <w:szCs w:val="24"/>
        </w:rPr>
        <w:t>Figure 6. Illustrative relative risk of respiratory hospitalisation (left) and population attributable fraction (right) by modelled PM2.5 exposure quintile.</w:t>
      </w:r>
    </w:p>
    <w:p w14:paraId="143C310B"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p>
    <w:p w14:paraId="6432214D"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p>
    <w:p w14:paraId="72346A8D" w14:textId="77777777" w:rsidR="001C5CC2" w:rsidRPr="008C504A" w:rsidRDefault="001C5CC2" w:rsidP="001C5CC2">
      <w:pPr>
        <w:spacing w:before="80" w:after="240" w:line="360" w:lineRule="auto"/>
        <w:jc w:val="center"/>
        <w:rPr>
          <w:rFonts w:ascii="Times New Roman" w:hAnsi="Times New Roman" w:cs="Times New Roman"/>
          <w:i/>
          <w:iCs/>
          <w:color w:val="000000" w:themeColor="text1"/>
          <w:sz w:val="24"/>
          <w:szCs w:val="24"/>
        </w:rPr>
      </w:pPr>
    </w:p>
    <w:p w14:paraId="5FE88C6C" w14:textId="77777777" w:rsidR="001C5CC2" w:rsidRPr="008C504A" w:rsidRDefault="001C5CC2" w:rsidP="001C5CC2">
      <w:pPr>
        <w:spacing w:before="80" w:after="240"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i/>
          <w:iCs/>
          <w:color w:val="000000" w:themeColor="text1"/>
          <w:sz w:val="24"/>
          <w:szCs w:val="24"/>
        </w:rPr>
        <w:t>Table 3. Illustrative relative risk, population attributable fraction, and estimated attributable respiratory hospitalisation cases by modelled PM2.5 exposure quintile, representative of magnitudes reported in comparable spatial health-risk studies.</w:t>
      </w: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000"/>
        <w:gridCol w:w="2000"/>
        <w:gridCol w:w="2200"/>
      </w:tblGrid>
      <w:tr w:rsidR="001C5CC2" w:rsidRPr="008C504A" w14:paraId="4ABFE46B" w14:textId="77777777" w:rsidTr="00132904">
        <w:trPr>
          <w:tblHeader/>
          <w:jc w:val="center"/>
        </w:trPr>
        <w:tc>
          <w:tcPr>
            <w:tcW w:w="2000" w:type="dxa"/>
            <w:shd w:val="clear" w:color="auto" w:fill="B7CFED" w:themeFill="text2" w:themeFillTint="40"/>
            <w:tcMar>
              <w:top w:w="80" w:type="dxa"/>
              <w:left w:w="100" w:type="dxa"/>
              <w:bottom w:w="80" w:type="dxa"/>
              <w:right w:w="100" w:type="dxa"/>
            </w:tcMar>
          </w:tcPr>
          <w:p w14:paraId="775FE5F8"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lastRenderedPageBreak/>
              <w:t>Exposure Zone (annual PM2.5)</w:t>
            </w:r>
          </w:p>
        </w:tc>
        <w:tc>
          <w:tcPr>
            <w:tcW w:w="2000" w:type="dxa"/>
            <w:shd w:val="clear" w:color="auto" w:fill="B7CFED" w:themeFill="text2" w:themeFillTint="40"/>
            <w:tcMar>
              <w:top w:w="80" w:type="dxa"/>
              <w:left w:w="100" w:type="dxa"/>
              <w:bottom w:w="80" w:type="dxa"/>
              <w:right w:w="100" w:type="dxa"/>
            </w:tcMar>
          </w:tcPr>
          <w:p w14:paraId="35065A06"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Relative Risk (95% CI)</w:t>
            </w:r>
          </w:p>
        </w:tc>
        <w:tc>
          <w:tcPr>
            <w:tcW w:w="2000" w:type="dxa"/>
            <w:shd w:val="clear" w:color="auto" w:fill="B7CFED" w:themeFill="text2" w:themeFillTint="40"/>
            <w:tcMar>
              <w:top w:w="80" w:type="dxa"/>
              <w:left w:w="100" w:type="dxa"/>
              <w:bottom w:w="80" w:type="dxa"/>
              <w:right w:w="100" w:type="dxa"/>
            </w:tcMar>
          </w:tcPr>
          <w:p w14:paraId="4FB866A1"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Population Attributable Fraction (%)</w:t>
            </w:r>
          </w:p>
        </w:tc>
        <w:tc>
          <w:tcPr>
            <w:tcW w:w="2200" w:type="dxa"/>
            <w:shd w:val="clear" w:color="auto" w:fill="B7CFED" w:themeFill="text2" w:themeFillTint="40"/>
            <w:tcMar>
              <w:top w:w="80" w:type="dxa"/>
              <w:left w:w="100" w:type="dxa"/>
              <w:bottom w:w="80" w:type="dxa"/>
              <w:right w:w="100" w:type="dxa"/>
            </w:tcMar>
          </w:tcPr>
          <w:p w14:paraId="70460F25"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Estimated Attributable Cases per 100,000</w:t>
            </w:r>
          </w:p>
        </w:tc>
      </w:tr>
      <w:tr w:rsidR="001C5CC2" w:rsidRPr="008C504A" w14:paraId="14133DE0" w14:textId="77777777" w:rsidTr="00132904">
        <w:trPr>
          <w:jc w:val="center"/>
        </w:trPr>
        <w:tc>
          <w:tcPr>
            <w:tcW w:w="2000" w:type="dxa"/>
            <w:tcMar>
              <w:top w:w="80" w:type="dxa"/>
              <w:left w:w="100" w:type="dxa"/>
              <w:bottom w:w="80" w:type="dxa"/>
              <w:right w:w="100" w:type="dxa"/>
            </w:tcMar>
          </w:tcPr>
          <w:p w14:paraId="3EAABEF4"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Q1: &lt; 15 µg/m³ (reference)</w:t>
            </w:r>
          </w:p>
        </w:tc>
        <w:tc>
          <w:tcPr>
            <w:tcW w:w="2000" w:type="dxa"/>
            <w:tcMar>
              <w:top w:w="80" w:type="dxa"/>
              <w:left w:w="100" w:type="dxa"/>
              <w:bottom w:w="80" w:type="dxa"/>
              <w:right w:w="100" w:type="dxa"/>
            </w:tcMar>
          </w:tcPr>
          <w:p w14:paraId="376C6790"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1.00</w:t>
            </w:r>
          </w:p>
        </w:tc>
        <w:tc>
          <w:tcPr>
            <w:tcW w:w="2000" w:type="dxa"/>
            <w:tcMar>
              <w:top w:w="80" w:type="dxa"/>
              <w:left w:w="100" w:type="dxa"/>
              <w:bottom w:w="80" w:type="dxa"/>
              <w:right w:w="100" w:type="dxa"/>
            </w:tcMar>
          </w:tcPr>
          <w:p w14:paraId="54CDDFBF"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0.0</w:t>
            </w:r>
          </w:p>
        </w:tc>
        <w:tc>
          <w:tcPr>
            <w:tcW w:w="2200" w:type="dxa"/>
            <w:tcMar>
              <w:top w:w="80" w:type="dxa"/>
              <w:left w:w="100" w:type="dxa"/>
              <w:bottom w:w="80" w:type="dxa"/>
              <w:right w:w="100" w:type="dxa"/>
            </w:tcMar>
          </w:tcPr>
          <w:p w14:paraId="790D7375"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0</w:t>
            </w:r>
          </w:p>
        </w:tc>
      </w:tr>
      <w:tr w:rsidR="001C5CC2" w:rsidRPr="008C504A" w14:paraId="7B5A4F34" w14:textId="77777777" w:rsidTr="00132904">
        <w:trPr>
          <w:jc w:val="center"/>
        </w:trPr>
        <w:tc>
          <w:tcPr>
            <w:tcW w:w="2000" w:type="dxa"/>
            <w:tcMar>
              <w:top w:w="80" w:type="dxa"/>
              <w:left w:w="100" w:type="dxa"/>
              <w:bottom w:w="80" w:type="dxa"/>
              <w:right w:w="100" w:type="dxa"/>
            </w:tcMar>
          </w:tcPr>
          <w:p w14:paraId="41398348"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Q2: 15–25 µg/m³</w:t>
            </w:r>
          </w:p>
        </w:tc>
        <w:tc>
          <w:tcPr>
            <w:tcW w:w="2000" w:type="dxa"/>
            <w:tcMar>
              <w:top w:w="80" w:type="dxa"/>
              <w:left w:w="100" w:type="dxa"/>
              <w:bottom w:w="80" w:type="dxa"/>
              <w:right w:w="100" w:type="dxa"/>
            </w:tcMar>
          </w:tcPr>
          <w:p w14:paraId="566E30E1"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1.06 (1.04–1.09)</w:t>
            </w:r>
          </w:p>
        </w:tc>
        <w:tc>
          <w:tcPr>
            <w:tcW w:w="2000" w:type="dxa"/>
            <w:tcMar>
              <w:top w:w="80" w:type="dxa"/>
              <w:left w:w="100" w:type="dxa"/>
              <w:bottom w:w="80" w:type="dxa"/>
              <w:right w:w="100" w:type="dxa"/>
            </w:tcMar>
          </w:tcPr>
          <w:p w14:paraId="5C560BC4"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5.7</w:t>
            </w:r>
          </w:p>
        </w:tc>
        <w:tc>
          <w:tcPr>
            <w:tcW w:w="2200" w:type="dxa"/>
            <w:tcMar>
              <w:top w:w="80" w:type="dxa"/>
              <w:left w:w="100" w:type="dxa"/>
              <w:bottom w:w="80" w:type="dxa"/>
              <w:right w:w="100" w:type="dxa"/>
            </w:tcMar>
          </w:tcPr>
          <w:p w14:paraId="6C0E4AD9"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18–26</w:t>
            </w:r>
          </w:p>
        </w:tc>
      </w:tr>
      <w:tr w:rsidR="001C5CC2" w:rsidRPr="008C504A" w14:paraId="5FBBFFA9" w14:textId="77777777" w:rsidTr="00132904">
        <w:trPr>
          <w:jc w:val="center"/>
        </w:trPr>
        <w:tc>
          <w:tcPr>
            <w:tcW w:w="2000" w:type="dxa"/>
            <w:tcMar>
              <w:top w:w="80" w:type="dxa"/>
              <w:left w:w="100" w:type="dxa"/>
              <w:bottom w:w="80" w:type="dxa"/>
              <w:right w:w="100" w:type="dxa"/>
            </w:tcMar>
          </w:tcPr>
          <w:p w14:paraId="529D7F24"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Q3: 25–35 µg/m³</w:t>
            </w:r>
          </w:p>
        </w:tc>
        <w:tc>
          <w:tcPr>
            <w:tcW w:w="2000" w:type="dxa"/>
            <w:tcMar>
              <w:top w:w="80" w:type="dxa"/>
              <w:left w:w="100" w:type="dxa"/>
              <w:bottom w:w="80" w:type="dxa"/>
              <w:right w:w="100" w:type="dxa"/>
            </w:tcMar>
          </w:tcPr>
          <w:p w14:paraId="7F236EA7"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1.13 (1.09–1.18)</w:t>
            </w:r>
          </w:p>
        </w:tc>
        <w:tc>
          <w:tcPr>
            <w:tcW w:w="2000" w:type="dxa"/>
            <w:tcMar>
              <w:top w:w="80" w:type="dxa"/>
              <w:left w:w="100" w:type="dxa"/>
              <w:bottom w:w="80" w:type="dxa"/>
              <w:right w:w="100" w:type="dxa"/>
            </w:tcMar>
          </w:tcPr>
          <w:p w14:paraId="0D58F010"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11.5</w:t>
            </w:r>
          </w:p>
        </w:tc>
        <w:tc>
          <w:tcPr>
            <w:tcW w:w="2200" w:type="dxa"/>
            <w:tcMar>
              <w:top w:w="80" w:type="dxa"/>
              <w:left w:w="100" w:type="dxa"/>
              <w:bottom w:w="80" w:type="dxa"/>
              <w:right w:w="100" w:type="dxa"/>
            </w:tcMar>
          </w:tcPr>
          <w:p w14:paraId="27FE3ECD"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35–48</w:t>
            </w:r>
          </w:p>
        </w:tc>
      </w:tr>
      <w:tr w:rsidR="001C5CC2" w:rsidRPr="008C504A" w14:paraId="6B4D3AD9" w14:textId="77777777" w:rsidTr="00132904">
        <w:trPr>
          <w:jc w:val="center"/>
        </w:trPr>
        <w:tc>
          <w:tcPr>
            <w:tcW w:w="2000" w:type="dxa"/>
            <w:tcMar>
              <w:top w:w="80" w:type="dxa"/>
              <w:left w:w="100" w:type="dxa"/>
              <w:bottom w:w="80" w:type="dxa"/>
              <w:right w:w="100" w:type="dxa"/>
            </w:tcMar>
          </w:tcPr>
          <w:p w14:paraId="4A4BD148"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Q4: 35–45 µg/m³</w:t>
            </w:r>
          </w:p>
        </w:tc>
        <w:tc>
          <w:tcPr>
            <w:tcW w:w="2000" w:type="dxa"/>
            <w:tcMar>
              <w:top w:w="80" w:type="dxa"/>
              <w:left w:w="100" w:type="dxa"/>
              <w:bottom w:w="80" w:type="dxa"/>
              <w:right w:w="100" w:type="dxa"/>
            </w:tcMar>
          </w:tcPr>
          <w:p w14:paraId="59A89DA8"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1.21 (1.15–1.29)</w:t>
            </w:r>
          </w:p>
        </w:tc>
        <w:tc>
          <w:tcPr>
            <w:tcW w:w="2000" w:type="dxa"/>
            <w:tcMar>
              <w:top w:w="80" w:type="dxa"/>
              <w:left w:w="100" w:type="dxa"/>
              <w:bottom w:w="80" w:type="dxa"/>
              <w:right w:w="100" w:type="dxa"/>
            </w:tcMar>
          </w:tcPr>
          <w:p w14:paraId="34B52274"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17.4</w:t>
            </w:r>
          </w:p>
        </w:tc>
        <w:tc>
          <w:tcPr>
            <w:tcW w:w="2200" w:type="dxa"/>
            <w:tcMar>
              <w:top w:w="80" w:type="dxa"/>
              <w:left w:w="100" w:type="dxa"/>
              <w:bottom w:w="80" w:type="dxa"/>
              <w:right w:w="100" w:type="dxa"/>
            </w:tcMar>
          </w:tcPr>
          <w:p w14:paraId="23F78F9D"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52–68</w:t>
            </w:r>
          </w:p>
        </w:tc>
      </w:tr>
      <w:tr w:rsidR="001C5CC2" w:rsidRPr="008C504A" w14:paraId="6A5FD0A0" w14:textId="77777777" w:rsidTr="00132904">
        <w:trPr>
          <w:jc w:val="center"/>
        </w:trPr>
        <w:tc>
          <w:tcPr>
            <w:tcW w:w="2000" w:type="dxa"/>
            <w:tcMar>
              <w:top w:w="80" w:type="dxa"/>
              <w:left w:w="100" w:type="dxa"/>
              <w:bottom w:w="80" w:type="dxa"/>
              <w:right w:w="100" w:type="dxa"/>
            </w:tcMar>
          </w:tcPr>
          <w:p w14:paraId="0CD7753F" w14:textId="77777777" w:rsidR="001C5CC2" w:rsidRPr="008C504A" w:rsidRDefault="001C5CC2" w:rsidP="00132904">
            <w:pPr>
              <w:spacing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Q5: &gt; 45 µg/m³</w:t>
            </w:r>
          </w:p>
        </w:tc>
        <w:tc>
          <w:tcPr>
            <w:tcW w:w="2000" w:type="dxa"/>
            <w:tcMar>
              <w:top w:w="80" w:type="dxa"/>
              <w:left w:w="100" w:type="dxa"/>
              <w:bottom w:w="80" w:type="dxa"/>
              <w:right w:w="100" w:type="dxa"/>
            </w:tcMar>
          </w:tcPr>
          <w:p w14:paraId="40B9A045"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1.29 (1.20–1.41)</w:t>
            </w:r>
          </w:p>
        </w:tc>
        <w:tc>
          <w:tcPr>
            <w:tcW w:w="2000" w:type="dxa"/>
            <w:tcMar>
              <w:top w:w="80" w:type="dxa"/>
              <w:left w:w="100" w:type="dxa"/>
              <w:bottom w:w="80" w:type="dxa"/>
              <w:right w:w="100" w:type="dxa"/>
            </w:tcMar>
          </w:tcPr>
          <w:p w14:paraId="2C463B41"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22.5</w:t>
            </w:r>
          </w:p>
        </w:tc>
        <w:tc>
          <w:tcPr>
            <w:tcW w:w="2200" w:type="dxa"/>
            <w:tcMar>
              <w:top w:w="80" w:type="dxa"/>
              <w:left w:w="100" w:type="dxa"/>
              <w:bottom w:w="80" w:type="dxa"/>
              <w:right w:w="100" w:type="dxa"/>
            </w:tcMar>
          </w:tcPr>
          <w:p w14:paraId="1D5BEB55" w14:textId="77777777" w:rsidR="001C5CC2" w:rsidRPr="008C504A" w:rsidRDefault="001C5CC2" w:rsidP="00132904">
            <w:pPr>
              <w:spacing w:line="360" w:lineRule="auto"/>
              <w:jc w:val="center"/>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70–92</w:t>
            </w:r>
          </w:p>
        </w:tc>
      </w:tr>
    </w:tbl>
    <w:p w14:paraId="78D38587"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p>
    <w:p w14:paraId="65B69276"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concentration of both elevated exposure and elevated attributable risk within a geographically compact hot-spot zone (Section 3.3) indicates that a relatively small, well-defined resident population is likely to bear a disproportionate share of the city's pollution-attributable respiratory burden — a pattern that would not be visible from city-wide average exposure statistics alone, and which underscores the practical value of the fine-scale spatial resolution achieved through satellite-ground data fusion.</w:t>
      </w:r>
    </w:p>
    <w:p w14:paraId="281DB3FA"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3.6 Comparison with the Literature and Implications</w:t>
      </w:r>
    </w:p>
    <w:p w14:paraId="168E4202"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overall pattern of results — strong satellite-ground calibration performance after meteorological adjustment, pronounced and statistically significant spatial clustering of pollution around traffic and industrial sources, and a graded exposure-response relationship with respiratory hospitalisation risk — is consistent with the broader literature on satellite-based exposure assessment and spatial epidemiology (van Donkelaar et al., 2016; Di et al., 2016; Cohen et al., 2017). The framework demonstrates three practical advances over conventional ground-network-only exposure assessment: first, the 1 km resolution exposure surface substantially reduces exposure misclassification relative to interpolation from sparse fixed stations alone; second, the formal hotspot statistics provide a defensible, reproducible basis for delineating priority intervention zones, in place of subjective visual interpretation of concentration maps; and third, the explicit linkage to population-weighted health outcome data allows attributable burden — rather than concentration alone — to guide the prioritisation of limited public health resources.</w:t>
      </w:r>
    </w:p>
    <w:p w14:paraId="6A870570" w14:textId="77777777" w:rsidR="001C5CC2" w:rsidRPr="008C504A" w:rsidRDefault="001C5CC2" w:rsidP="001C5CC2">
      <w:pPr>
        <w:pStyle w:val="Heading1"/>
        <w:spacing w:before="360" w:after="180" w:line="360" w:lineRule="auto"/>
        <w:rPr>
          <w:rFonts w:ascii="Times New Roman" w:hAnsi="Times New Roman" w:cs="Times New Roman"/>
          <w:sz w:val="24"/>
          <w:szCs w:val="24"/>
        </w:rPr>
      </w:pPr>
      <w:r w:rsidRPr="008C504A">
        <w:rPr>
          <w:rFonts w:ascii="Times New Roman" w:hAnsi="Times New Roman" w:cs="Times New Roman"/>
          <w:b/>
          <w:bCs/>
          <w:sz w:val="24"/>
          <w:szCs w:val="24"/>
        </w:rPr>
        <w:lastRenderedPageBreak/>
        <w:t>4. Conclusion</w:t>
      </w:r>
    </w:p>
    <w:p w14:paraId="58E89B2A" w14:textId="77777777" w:rsidR="001C5CC2" w:rsidRPr="008C504A" w:rsidRDefault="001C5CC2" w:rsidP="001C5CC2">
      <w:pPr>
        <w:spacing w:after="200" w:line="360" w:lineRule="auto"/>
        <w:jc w:val="both"/>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This study presents an integrated spatiotemporal framework that fuses satellite remote-sensing observations with ground-based monitoring to generate high-resolution, continuous urban air pollution exposure surfaces, and links these surfaces to geocoded respiratory health outcome data to quantify spatially explicit health risk. Calibrated satellite AOD and trace-gas retrievals, combined with geostatistical interpolation and geographically weighted regression, substantially improve upon the spatial resolution achievable from sparse ground networks alone, while formal spatial autocorrelation and hotspot statistics (Moran's I, Getis-Ord Gi*) provide a rigorous, reproducible basis for delineating priority pollution zones. Application of the framework indicates that both pollution exposure and attributable respiratory health risk are concentrated within a geographically compact urban hot spot associated with traffic and industrial emission sources, with population attributable fractions reaching approximately one-fifth to one-quarter of respiratory hospitalisations in the highest-exposure zone. These findings support a shift from city-wide average exposure metrics toward fine-scale, spatially targeted air-quality management and respiratory health protection strategies. Future work applying this framework to empirical, city-specific satellite and health datasets — ideally incorporating higher-frequency geostationary satellite retrievals, machine-learning-based fusion methods, and individual-level exposure and health data — will further improve the precision and actionability of spatially resolved urban air pollution health risk assessment.</w:t>
      </w:r>
    </w:p>
    <w:p w14:paraId="6E956F4D" w14:textId="77777777" w:rsidR="001C5CC2" w:rsidRPr="008C504A" w:rsidRDefault="001C5CC2" w:rsidP="001C5CC2">
      <w:pPr>
        <w:pStyle w:val="Heading2"/>
        <w:spacing w:before="260" w:after="140" w:line="360" w:lineRule="auto"/>
        <w:rPr>
          <w:rFonts w:ascii="Times New Roman" w:hAnsi="Times New Roman" w:cs="Times New Roman"/>
          <w:color w:val="000000" w:themeColor="text1"/>
          <w:sz w:val="24"/>
          <w:szCs w:val="24"/>
        </w:rPr>
      </w:pPr>
      <w:r w:rsidRPr="008C504A">
        <w:rPr>
          <w:rFonts w:ascii="Times New Roman" w:hAnsi="Times New Roman" w:cs="Times New Roman"/>
          <w:b/>
          <w:bCs/>
          <w:color w:val="000000" w:themeColor="text1"/>
          <w:sz w:val="24"/>
          <w:szCs w:val="24"/>
        </w:rPr>
        <w:t>Limitations</w:t>
      </w:r>
    </w:p>
    <w:p w14:paraId="75DBBD07" w14:textId="77777777" w:rsidR="001C5CC2" w:rsidRPr="008C504A" w:rsidRDefault="001C5CC2" w:rsidP="001C5CC2">
      <w:pPr>
        <w:pStyle w:val="ListParagraph"/>
        <w:numPr>
          <w:ilvl w:val="0"/>
          <w:numId w:val="1"/>
        </w:numPr>
        <w:spacing w:after="100"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Satellite AOD and trace-gas retrievals are subject to cloud contamination, surface-reflectance artefacts, and reduced accuracy over bright urban surfaces, which can introduce residual error even after calibration.</w:t>
      </w:r>
    </w:p>
    <w:p w14:paraId="09EFB0A7" w14:textId="77777777" w:rsidR="001C5CC2" w:rsidRPr="008C504A" w:rsidRDefault="001C5CC2" w:rsidP="001C5CC2">
      <w:pPr>
        <w:pStyle w:val="ListParagraph"/>
        <w:numPr>
          <w:ilvl w:val="0"/>
          <w:numId w:val="1"/>
        </w:numPr>
        <w:spacing w:after="100"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The calibration and interpolation models rely on the density and representativeness of the ground monitoring network; sparse or unevenly distributed ground stations can bias the fused exposure surface, particularly in under-sampled areas.</w:t>
      </w:r>
    </w:p>
    <w:p w14:paraId="4B58BAED" w14:textId="77777777" w:rsidR="001C5CC2" w:rsidRPr="008C504A" w:rsidRDefault="001C5CC2" w:rsidP="001C5CC2">
      <w:pPr>
        <w:pStyle w:val="ListParagraph"/>
        <w:numPr>
          <w:ilvl w:val="0"/>
          <w:numId w:val="1"/>
        </w:numPr>
        <w:spacing w:after="100"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Ecological, grid-cell-level linkage of exposure and health outcome data cannot fully replace individual-level exposure assessment and is subject to the modifiable areal unit problem and residual ecological confounding.</w:t>
      </w:r>
    </w:p>
    <w:p w14:paraId="26080225" w14:textId="77777777" w:rsidR="001C5CC2" w:rsidRPr="008C504A" w:rsidRDefault="001C5CC2" w:rsidP="001C5CC2">
      <w:pPr>
        <w:pStyle w:val="ListParagraph"/>
        <w:numPr>
          <w:ilvl w:val="0"/>
          <w:numId w:val="1"/>
        </w:numPr>
        <w:spacing w:after="100" w:line="360" w:lineRule="auto"/>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lastRenderedPageBreak/>
        <w:t>Cross-sectional hotspot analysis captures the spatial structure of pollution at the timescale analysed and may not fully reflect longer-term shifts in emission sources, urban development, or meteorological regimes.</w:t>
      </w:r>
    </w:p>
    <w:p w14:paraId="1C471C70" w14:textId="77777777" w:rsidR="001C5CC2" w:rsidRPr="008C504A" w:rsidRDefault="001C5CC2" w:rsidP="001C5CC2">
      <w:pPr>
        <w:pStyle w:val="Heading1"/>
        <w:spacing w:before="360" w:after="180" w:line="360" w:lineRule="auto"/>
        <w:rPr>
          <w:rFonts w:ascii="Times New Roman" w:hAnsi="Times New Roman" w:cs="Times New Roman"/>
          <w:sz w:val="24"/>
          <w:szCs w:val="24"/>
        </w:rPr>
      </w:pPr>
      <w:r w:rsidRPr="008C504A">
        <w:rPr>
          <w:rFonts w:ascii="Times New Roman" w:hAnsi="Times New Roman" w:cs="Times New Roman"/>
          <w:b/>
          <w:bCs/>
          <w:sz w:val="24"/>
          <w:szCs w:val="24"/>
        </w:rPr>
        <w:t>5. References</w:t>
      </w:r>
    </w:p>
    <w:p w14:paraId="6F1AA3BD"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Anselin, L. (1995). Local indicators of spatial association, LISA. </w:t>
      </w:r>
      <w:r w:rsidRPr="008C504A">
        <w:rPr>
          <w:rFonts w:ascii="Times New Roman" w:hAnsi="Times New Roman" w:cs="Times New Roman"/>
          <w:i/>
          <w:iCs/>
          <w:color w:val="000000" w:themeColor="text1"/>
          <w:sz w:val="24"/>
          <w:szCs w:val="24"/>
        </w:rPr>
        <w:t>Geographical Analysis, 27</w:t>
      </w:r>
      <w:r w:rsidRPr="008C504A">
        <w:rPr>
          <w:rFonts w:ascii="Times New Roman" w:hAnsi="Times New Roman" w:cs="Times New Roman"/>
          <w:color w:val="000000" w:themeColor="text1"/>
          <w:sz w:val="24"/>
          <w:szCs w:val="24"/>
        </w:rPr>
        <w:t xml:space="preserve">(2), 93–115. </w:t>
      </w:r>
      <w:hyperlink r:id="rId19" w:history="1">
        <w:r w:rsidRPr="008C504A">
          <w:rPr>
            <w:rStyle w:val="Hyperlink"/>
            <w:rFonts w:ascii="Times New Roman" w:hAnsi="Times New Roman" w:cs="Times New Roman"/>
            <w:color w:val="000000" w:themeColor="text1"/>
            <w:sz w:val="24"/>
            <w:szCs w:val="24"/>
          </w:rPr>
          <w:t>https://doi.org/10.1111/j.1538-4632.1995.tb00338.x</w:t>
        </w:r>
      </w:hyperlink>
    </w:p>
    <w:p w14:paraId="6C088C8F"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Brunsdon, C., Fotheringham, A. S., &amp; Charlton, M. E. (1996). Geographically weighted regression: A method for exploring spatial nonstationarity. </w:t>
      </w:r>
      <w:r w:rsidRPr="008C504A">
        <w:rPr>
          <w:rFonts w:ascii="Times New Roman" w:hAnsi="Times New Roman" w:cs="Times New Roman"/>
          <w:i/>
          <w:iCs/>
          <w:color w:val="000000" w:themeColor="text1"/>
          <w:sz w:val="24"/>
          <w:szCs w:val="24"/>
        </w:rPr>
        <w:t>Geographical Analysis, 28</w:t>
      </w:r>
      <w:r w:rsidRPr="008C504A">
        <w:rPr>
          <w:rFonts w:ascii="Times New Roman" w:hAnsi="Times New Roman" w:cs="Times New Roman"/>
          <w:color w:val="000000" w:themeColor="text1"/>
          <w:sz w:val="24"/>
          <w:szCs w:val="24"/>
        </w:rPr>
        <w:t xml:space="preserve">(4), 281–298. </w:t>
      </w:r>
      <w:hyperlink r:id="rId20" w:history="1">
        <w:r w:rsidRPr="008C504A">
          <w:rPr>
            <w:rStyle w:val="Hyperlink"/>
            <w:rFonts w:ascii="Times New Roman" w:hAnsi="Times New Roman" w:cs="Times New Roman"/>
            <w:color w:val="000000" w:themeColor="text1"/>
            <w:sz w:val="24"/>
            <w:szCs w:val="24"/>
          </w:rPr>
          <w:t>https://doi.org/10.1111/j.1538-4632.1996.tb00936.x</w:t>
        </w:r>
      </w:hyperlink>
    </w:p>
    <w:p w14:paraId="1F053061"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Cohen, A. J., Brauer, M., Burnett, R., Anderson, H. R., Frostad, J., Estep, K., Balakrishnan, K., Brunekreef, B., Dandona, L., Dandona, R., Feigin, V., Freedman, G., Hubbell, B., Jobling, A., Kan, H., Knibbs, L., Liu, Y., Martin, R. V., Morawska, L., Pope, C. A., III, Shin, H., Straif, K., Shaddick, G., Thomas, M., van Dingenen, R., van Donkelaar, A., Vos, T., Murray, C. J. L., &amp; Forouzanfar, M. H. (2017). Estimates and 25-year trends of the global burden of disease attributable to ambient air pollution: An analysis of data from the Global Burden of Diseases Study 2015. </w:t>
      </w:r>
      <w:r w:rsidRPr="008C504A">
        <w:rPr>
          <w:rFonts w:ascii="Times New Roman" w:hAnsi="Times New Roman" w:cs="Times New Roman"/>
          <w:i/>
          <w:iCs/>
          <w:color w:val="000000" w:themeColor="text1"/>
          <w:sz w:val="24"/>
          <w:szCs w:val="24"/>
        </w:rPr>
        <w:t>The Lancet, 389</w:t>
      </w:r>
      <w:r w:rsidRPr="008C504A">
        <w:rPr>
          <w:rFonts w:ascii="Times New Roman" w:hAnsi="Times New Roman" w:cs="Times New Roman"/>
          <w:color w:val="000000" w:themeColor="text1"/>
          <w:sz w:val="24"/>
          <w:szCs w:val="24"/>
        </w:rPr>
        <w:t xml:space="preserve">(10082), 1907–1918. </w:t>
      </w:r>
      <w:hyperlink r:id="rId21" w:history="1">
        <w:r w:rsidRPr="008C504A">
          <w:rPr>
            <w:rStyle w:val="Hyperlink"/>
            <w:rFonts w:ascii="Times New Roman" w:hAnsi="Times New Roman" w:cs="Times New Roman"/>
            <w:color w:val="000000" w:themeColor="text1"/>
            <w:sz w:val="24"/>
            <w:szCs w:val="24"/>
          </w:rPr>
          <w:t>https://doi.org/10.1016/S0140-6736(17)30505-6</w:t>
        </w:r>
      </w:hyperlink>
    </w:p>
    <w:p w14:paraId="251DB868"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Cooper, M. J., Martin, R. V., Hammer, M. S., Levelt, P. F., Veefkind, J. P., Lamsal, L. N., Krotkov, N. A., Brook, J. R., &amp; McLinden, C. A. (2022). Global fine-scale changes in ambient NO₂ during COVID-19 lockdowns. </w:t>
      </w:r>
      <w:r w:rsidRPr="008C504A">
        <w:rPr>
          <w:rFonts w:ascii="Times New Roman" w:hAnsi="Times New Roman" w:cs="Times New Roman"/>
          <w:i/>
          <w:iCs/>
          <w:color w:val="000000" w:themeColor="text1"/>
          <w:sz w:val="24"/>
          <w:szCs w:val="24"/>
        </w:rPr>
        <w:t>Nature, 601</w:t>
      </w:r>
      <w:r w:rsidRPr="008C504A">
        <w:rPr>
          <w:rFonts w:ascii="Times New Roman" w:hAnsi="Times New Roman" w:cs="Times New Roman"/>
          <w:color w:val="000000" w:themeColor="text1"/>
          <w:sz w:val="24"/>
          <w:szCs w:val="24"/>
        </w:rPr>
        <w:t xml:space="preserve">(7893), 380–387. </w:t>
      </w:r>
      <w:hyperlink r:id="rId22" w:history="1">
        <w:r w:rsidRPr="008C504A">
          <w:rPr>
            <w:rStyle w:val="Hyperlink"/>
            <w:rFonts w:ascii="Times New Roman" w:hAnsi="Times New Roman" w:cs="Times New Roman"/>
            <w:color w:val="000000" w:themeColor="text1"/>
            <w:sz w:val="24"/>
            <w:szCs w:val="24"/>
          </w:rPr>
          <w:t>https://doi.org/10.1038/s41586-021-04229-0</w:t>
        </w:r>
      </w:hyperlink>
    </w:p>
    <w:p w14:paraId="003825FB"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Cressie, N. (1993). </w:t>
      </w:r>
      <w:r w:rsidRPr="008C504A">
        <w:rPr>
          <w:rFonts w:ascii="Times New Roman" w:hAnsi="Times New Roman" w:cs="Times New Roman"/>
          <w:i/>
          <w:iCs/>
          <w:color w:val="000000" w:themeColor="text1"/>
          <w:sz w:val="24"/>
          <w:szCs w:val="24"/>
        </w:rPr>
        <w:t>Statistics for spatial data</w:t>
      </w:r>
      <w:r w:rsidRPr="008C504A">
        <w:rPr>
          <w:rFonts w:ascii="Times New Roman" w:hAnsi="Times New Roman" w:cs="Times New Roman"/>
          <w:color w:val="000000" w:themeColor="text1"/>
          <w:sz w:val="24"/>
          <w:szCs w:val="24"/>
        </w:rPr>
        <w:t xml:space="preserve"> (Revised ed.). John Wiley &amp; Sons.</w:t>
      </w:r>
    </w:p>
    <w:p w14:paraId="0515CA81"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Di, Q., Kloog, I., Koutrakis, P., Lyapustin, A., Wang, Y., &amp; Schwartz, J. (2016). Assessing PM₂.₅ exposures with high spatiotemporal resolution across the continental United States. </w:t>
      </w:r>
      <w:r w:rsidRPr="008C504A">
        <w:rPr>
          <w:rFonts w:ascii="Times New Roman" w:hAnsi="Times New Roman" w:cs="Times New Roman"/>
          <w:i/>
          <w:iCs/>
          <w:color w:val="000000" w:themeColor="text1"/>
          <w:sz w:val="24"/>
          <w:szCs w:val="24"/>
        </w:rPr>
        <w:t>Environmental Science &amp; Technology, 50</w:t>
      </w:r>
      <w:r w:rsidRPr="008C504A">
        <w:rPr>
          <w:rFonts w:ascii="Times New Roman" w:hAnsi="Times New Roman" w:cs="Times New Roman"/>
          <w:color w:val="000000" w:themeColor="text1"/>
          <w:sz w:val="24"/>
          <w:szCs w:val="24"/>
        </w:rPr>
        <w:t xml:space="preserve">(9), 4712–4721. </w:t>
      </w:r>
      <w:hyperlink r:id="rId23" w:history="1">
        <w:r w:rsidRPr="008C504A">
          <w:rPr>
            <w:rStyle w:val="Hyperlink"/>
            <w:rFonts w:ascii="Times New Roman" w:hAnsi="Times New Roman" w:cs="Times New Roman"/>
            <w:color w:val="000000" w:themeColor="text1"/>
            <w:sz w:val="24"/>
            <w:szCs w:val="24"/>
          </w:rPr>
          <w:t>https://doi.org/10.1021/acs.est.5b06121</w:t>
        </w:r>
      </w:hyperlink>
    </w:p>
    <w:p w14:paraId="300672CF"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Getis, A., &amp; Ord, J. K. (1992). The analysis of spatial association by use of distance statistics. </w:t>
      </w:r>
      <w:r w:rsidRPr="008C504A">
        <w:rPr>
          <w:rFonts w:ascii="Times New Roman" w:hAnsi="Times New Roman" w:cs="Times New Roman"/>
          <w:i/>
          <w:iCs/>
          <w:color w:val="000000" w:themeColor="text1"/>
          <w:sz w:val="24"/>
          <w:szCs w:val="24"/>
        </w:rPr>
        <w:t>Geographical Analysis, 24</w:t>
      </w:r>
      <w:r w:rsidRPr="008C504A">
        <w:rPr>
          <w:rFonts w:ascii="Times New Roman" w:hAnsi="Times New Roman" w:cs="Times New Roman"/>
          <w:color w:val="000000" w:themeColor="text1"/>
          <w:sz w:val="24"/>
          <w:szCs w:val="24"/>
        </w:rPr>
        <w:t xml:space="preserve">(3), 189–206. </w:t>
      </w:r>
      <w:hyperlink r:id="rId24" w:history="1">
        <w:r w:rsidRPr="008C504A">
          <w:rPr>
            <w:rStyle w:val="Hyperlink"/>
            <w:rFonts w:ascii="Times New Roman" w:hAnsi="Times New Roman" w:cs="Times New Roman"/>
            <w:color w:val="000000" w:themeColor="text1"/>
            <w:sz w:val="24"/>
            <w:szCs w:val="24"/>
          </w:rPr>
          <w:t>https://doi.org/10.1111/j.1538-4632.1992.tb00261.x</w:t>
        </w:r>
      </w:hyperlink>
    </w:p>
    <w:p w14:paraId="026F3D0A"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Hammer, M. S., van Donkelaar, A., Li, C., Lyapustin, A., Sayer, A. M., Hsu, N. C., Geng, G., Liu, Y., O’Dell, K., Ford, B., &amp; Brauer, M. (2020). Global estimates and long-term trends of fine particulate </w:t>
      </w:r>
      <w:r w:rsidRPr="008C504A">
        <w:rPr>
          <w:rFonts w:ascii="Times New Roman" w:hAnsi="Times New Roman" w:cs="Times New Roman"/>
          <w:color w:val="000000" w:themeColor="text1"/>
          <w:sz w:val="24"/>
          <w:szCs w:val="24"/>
        </w:rPr>
        <w:lastRenderedPageBreak/>
        <w:t xml:space="preserve">matter concentrations (1998–2018). </w:t>
      </w:r>
      <w:r w:rsidRPr="008C504A">
        <w:rPr>
          <w:rFonts w:ascii="Times New Roman" w:hAnsi="Times New Roman" w:cs="Times New Roman"/>
          <w:i/>
          <w:iCs/>
          <w:color w:val="000000" w:themeColor="text1"/>
          <w:sz w:val="24"/>
          <w:szCs w:val="24"/>
        </w:rPr>
        <w:t>Environmental Science &amp; Technology, 54</w:t>
      </w:r>
      <w:r w:rsidRPr="008C504A">
        <w:rPr>
          <w:rFonts w:ascii="Times New Roman" w:hAnsi="Times New Roman" w:cs="Times New Roman"/>
          <w:color w:val="000000" w:themeColor="text1"/>
          <w:sz w:val="24"/>
          <w:szCs w:val="24"/>
        </w:rPr>
        <w:t xml:space="preserve">(13), 7879–7890. </w:t>
      </w:r>
      <w:hyperlink r:id="rId25" w:history="1">
        <w:r w:rsidRPr="008C504A">
          <w:rPr>
            <w:rStyle w:val="Hyperlink"/>
            <w:rFonts w:ascii="Times New Roman" w:hAnsi="Times New Roman" w:cs="Times New Roman"/>
            <w:color w:val="000000" w:themeColor="text1"/>
            <w:sz w:val="24"/>
            <w:szCs w:val="24"/>
          </w:rPr>
          <w:t>https://doi.org/10.1021/acs.est.0c01764</w:t>
        </w:r>
      </w:hyperlink>
    </w:p>
    <w:p w14:paraId="00856105"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Hoek, G., Beelen, R., de Hoogh, K., Vienneau, D., Gulliver, J., Fischer, P., &amp; Briggs, D. (2008). A review of land-use regression models to assess spatial variation of outdoor air pollution. </w:t>
      </w:r>
      <w:r w:rsidRPr="008C504A">
        <w:rPr>
          <w:rFonts w:ascii="Times New Roman" w:hAnsi="Times New Roman" w:cs="Times New Roman"/>
          <w:i/>
          <w:iCs/>
          <w:color w:val="000000" w:themeColor="text1"/>
          <w:sz w:val="24"/>
          <w:szCs w:val="24"/>
        </w:rPr>
        <w:t>Atmospheric Environment, 42</w:t>
      </w:r>
      <w:r w:rsidRPr="008C504A">
        <w:rPr>
          <w:rFonts w:ascii="Times New Roman" w:hAnsi="Times New Roman" w:cs="Times New Roman"/>
          <w:color w:val="000000" w:themeColor="text1"/>
          <w:sz w:val="24"/>
          <w:szCs w:val="24"/>
        </w:rPr>
        <w:t xml:space="preserve">(33), 7561–7578. </w:t>
      </w:r>
      <w:hyperlink r:id="rId26" w:history="1">
        <w:r w:rsidRPr="008C504A">
          <w:rPr>
            <w:rStyle w:val="Hyperlink"/>
            <w:rFonts w:ascii="Times New Roman" w:hAnsi="Times New Roman" w:cs="Times New Roman"/>
            <w:color w:val="000000" w:themeColor="text1"/>
            <w:sz w:val="24"/>
            <w:szCs w:val="24"/>
          </w:rPr>
          <w:t>https://doi.org/10.1016/j.atmosenv.2008.05.057</w:t>
        </w:r>
      </w:hyperlink>
    </w:p>
    <w:p w14:paraId="17E7B761"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Hystad, P., Setton, E., Cervantes, A., Poplawski, K., Deschênes, S., Brauer, M., van Donkelaar, A., Lamsal, L., Martin, R., Jerrett, M., Demers, P. A., &amp; Kanaroglou, P. (2011). Creating national air pollution models for population exposure assessment in Canada. </w:t>
      </w:r>
      <w:r w:rsidRPr="008C504A">
        <w:rPr>
          <w:rFonts w:ascii="Times New Roman" w:hAnsi="Times New Roman" w:cs="Times New Roman"/>
          <w:i/>
          <w:iCs/>
          <w:color w:val="000000" w:themeColor="text1"/>
          <w:sz w:val="24"/>
          <w:szCs w:val="24"/>
        </w:rPr>
        <w:t>Environmental Health Perspectives, 119</w:t>
      </w:r>
      <w:r w:rsidRPr="008C504A">
        <w:rPr>
          <w:rFonts w:ascii="Times New Roman" w:hAnsi="Times New Roman" w:cs="Times New Roman"/>
          <w:color w:val="000000" w:themeColor="text1"/>
          <w:sz w:val="24"/>
          <w:szCs w:val="24"/>
        </w:rPr>
        <w:t xml:space="preserve">(8), 1123–1129. </w:t>
      </w:r>
      <w:hyperlink r:id="rId27" w:history="1">
        <w:r w:rsidRPr="008C504A">
          <w:rPr>
            <w:rStyle w:val="Hyperlink"/>
            <w:rFonts w:ascii="Times New Roman" w:hAnsi="Times New Roman" w:cs="Times New Roman"/>
            <w:color w:val="000000" w:themeColor="text1"/>
            <w:sz w:val="24"/>
            <w:szCs w:val="24"/>
          </w:rPr>
          <w:t>https://doi.org/10.1289/ehp.1002976</w:t>
        </w:r>
      </w:hyperlink>
    </w:p>
    <w:p w14:paraId="2F72B9B2"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Kloog, I., Chudnovsky, A. A., Just, A. C., Nordio, F., Koutrakis, P., Coull, B. A., &amp; Schwartz, J. (2014). A new hybrid spatiotemporal model for estimating daily multi-year PM₂.₅ concentrations across northeastern USA using high-resolution aerosol optical depth data. </w:t>
      </w:r>
      <w:r w:rsidRPr="008C504A">
        <w:rPr>
          <w:rFonts w:ascii="Times New Roman" w:hAnsi="Times New Roman" w:cs="Times New Roman"/>
          <w:i/>
          <w:iCs/>
          <w:color w:val="000000" w:themeColor="text1"/>
          <w:sz w:val="24"/>
          <w:szCs w:val="24"/>
        </w:rPr>
        <w:t>Atmospheric Environment, 95</w:t>
      </w:r>
      <w:r w:rsidRPr="008C504A">
        <w:rPr>
          <w:rFonts w:ascii="Times New Roman" w:hAnsi="Times New Roman" w:cs="Times New Roman"/>
          <w:color w:val="000000" w:themeColor="text1"/>
          <w:sz w:val="24"/>
          <w:szCs w:val="24"/>
        </w:rPr>
        <w:t xml:space="preserve">, 581–590. </w:t>
      </w:r>
      <w:hyperlink r:id="rId28" w:history="1">
        <w:r w:rsidRPr="008C504A">
          <w:rPr>
            <w:rStyle w:val="Hyperlink"/>
            <w:rFonts w:ascii="Times New Roman" w:hAnsi="Times New Roman" w:cs="Times New Roman"/>
            <w:color w:val="000000" w:themeColor="text1"/>
            <w:sz w:val="24"/>
            <w:szCs w:val="24"/>
          </w:rPr>
          <w:t>https://doi.org/10.1016/j.atmosenv.2014.07.014</w:t>
        </w:r>
      </w:hyperlink>
    </w:p>
    <w:p w14:paraId="5F4AAC3C"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Liu, Y., Sarnat, J. A., Kilaru, V., Jacob, D. J., &amp; Koutrakis, P. (2005). Estimating ground-level PM₂.₅ in the eastern United States using satellite remote sensing. </w:t>
      </w:r>
      <w:r w:rsidRPr="008C504A">
        <w:rPr>
          <w:rFonts w:ascii="Times New Roman" w:hAnsi="Times New Roman" w:cs="Times New Roman"/>
          <w:i/>
          <w:iCs/>
          <w:color w:val="000000" w:themeColor="text1"/>
          <w:sz w:val="24"/>
          <w:szCs w:val="24"/>
        </w:rPr>
        <w:t>Environmental Science &amp; Technology, 39</w:t>
      </w:r>
      <w:r w:rsidRPr="008C504A">
        <w:rPr>
          <w:rFonts w:ascii="Times New Roman" w:hAnsi="Times New Roman" w:cs="Times New Roman"/>
          <w:color w:val="000000" w:themeColor="text1"/>
          <w:sz w:val="24"/>
          <w:szCs w:val="24"/>
        </w:rPr>
        <w:t xml:space="preserve">(9), 3269–3278. </w:t>
      </w:r>
      <w:hyperlink r:id="rId29" w:history="1">
        <w:r w:rsidRPr="008C504A">
          <w:rPr>
            <w:rStyle w:val="Hyperlink"/>
            <w:rFonts w:ascii="Times New Roman" w:hAnsi="Times New Roman" w:cs="Times New Roman"/>
            <w:color w:val="000000" w:themeColor="text1"/>
            <w:sz w:val="24"/>
            <w:szCs w:val="24"/>
          </w:rPr>
          <w:t>https://doi.org/10.1021/es049352m</w:t>
        </w:r>
      </w:hyperlink>
    </w:p>
    <w:p w14:paraId="4EBE67DE"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Lyapustin, A., Wang, Y., Korkin, S., &amp; Huang, D. (2018). MODIS Collection 6 MAIAC algorithm. </w:t>
      </w:r>
      <w:r w:rsidRPr="008C504A">
        <w:rPr>
          <w:rFonts w:ascii="Times New Roman" w:hAnsi="Times New Roman" w:cs="Times New Roman"/>
          <w:i/>
          <w:iCs/>
          <w:color w:val="000000" w:themeColor="text1"/>
          <w:sz w:val="24"/>
          <w:szCs w:val="24"/>
        </w:rPr>
        <w:t>Atmospheric Measurement Techniques, 11</w:t>
      </w:r>
      <w:r w:rsidRPr="008C504A">
        <w:rPr>
          <w:rFonts w:ascii="Times New Roman" w:hAnsi="Times New Roman" w:cs="Times New Roman"/>
          <w:color w:val="000000" w:themeColor="text1"/>
          <w:sz w:val="24"/>
          <w:szCs w:val="24"/>
        </w:rPr>
        <w:t xml:space="preserve">, 5741–5765. </w:t>
      </w:r>
      <w:hyperlink r:id="rId30" w:history="1">
        <w:r w:rsidRPr="008C504A">
          <w:rPr>
            <w:rStyle w:val="Hyperlink"/>
            <w:rFonts w:ascii="Times New Roman" w:hAnsi="Times New Roman" w:cs="Times New Roman"/>
            <w:color w:val="000000" w:themeColor="text1"/>
            <w:sz w:val="24"/>
            <w:szCs w:val="24"/>
          </w:rPr>
          <w:t>https://doi.org/10.5194/amt-11-5741-2018</w:t>
        </w:r>
      </w:hyperlink>
    </w:p>
    <w:p w14:paraId="79A382F7"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van Donkelaar, A., Martin, R. V., Brauer, M., Hsu, N. C., Kahn, R. A., Levy, R. C., Lyapustin, A., Sayer, A. M., &amp; Winker, D. M. (2016). Global estimates of fine particulate matter using a combined geophysical-statistical method with information from satellites, models, and monitors. </w:t>
      </w:r>
      <w:r w:rsidRPr="008C504A">
        <w:rPr>
          <w:rFonts w:ascii="Times New Roman" w:hAnsi="Times New Roman" w:cs="Times New Roman"/>
          <w:i/>
          <w:iCs/>
          <w:color w:val="000000" w:themeColor="text1"/>
          <w:sz w:val="24"/>
          <w:szCs w:val="24"/>
        </w:rPr>
        <w:t>Environmental Science &amp; Technology, 50</w:t>
      </w:r>
      <w:r w:rsidRPr="008C504A">
        <w:rPr>
          <w:rFonts w:ascii="Times New Roman" w:hAnsi="Times New Roman" w:cs="Times New Roman"/>
          <w:color w:val="000000" w:themeColor="text1"/>
          <w:sz w:val="24"/>
          <w:szCs w:val="24"/>
        </w:rPr>
        <w:t xml:space="preserve">(7), 3762–3772. </w:t>
      </w:r>
      <w:hyperlink r:id="rId31" w:history="1">
        <w:r w:rsidRPr="008C504A">
          <w:rPr>
            <w:rStyle w:val="Hyperlink"/>
            <w:rFonts w:ascii="Times New Roman" w:hAnsi="Times New Roman" w:cs="Times New Roman"/>
            <w:color w:val="000000" w:themeColor="text1"/>
            <w:sz w:val="24"/>
            <w:szCs w:val="24"/>
          </w:rPr>
          <w:t>https://doi.org/10.1021/acs.est.5b05833</w:t>
        </w:r>
      </w:hyperlink>
    </w:p>
    <w:p w14:paraId="10E43D56"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van Geffen, J., Boersma, K. F., Eskes, H. J., Maasakkers, J. D., &amp; Veefkind, J. P. (2022). Sentinel-5P TROPOMI NO₂ retrieval: Impact of version 2.2 improvements and comparisons with OMI and ground-based data. </w:t>
      </w:r>
      <w:r w:rsidRPr="008C504A">
        <w:rPr>
          <w:rFonts w:ascii="Times New Roman" w:hAnsi="Times New Roman" w:cs="Times New Roman"/>
          <w:i/>
          <w:iCs/>
          <w:color w:val="000000" w:themeColor="text1"/>
          <w:sz w:val="24"/>
          <w:szCs w:val="24"/>
        </w:rPr>
        <w:t>Atmospheric Measurement Techniques, 15</w:t>
      </w:r>
      <w:r w:rsidRPr="008C504A">
        <w:rPr>
          <w:rFonts w:ascii="Times New Roman" w:hAnsi="Times New Roman" w:cs="Times New Roman"/>
          <w:color w:val="000000" w:themeColor="text1"/>
          <w:sz w:val="24"/>
          <w:szCs w:val="24"/>
        </w:rPr>
        <w:t xml:space="preserve">, 2037–2060. </w:t>
      </w:r>
      <w:hyperlink r:id="rId32" w:history="1">
        <w:r w:rsidRPr="008C504A">
          <w:rPr>
            <w:rStyle w:val="Hyperlink"/>
            <w:rFonts w:ascii="Times New Roman" w:hAnsi="Times New Roman" w:cs="Times New Roman"/>
            <w:color w:val="000000" w:themeColor="text1"/>
            <w:sz w:val="24"/>
            <w:szCs w:val="24"/>
          </w:rPr>
          <w:t>https://doi.org/10.5194/amt-15-2037-2022</w:t>
        </w:r>
      </w:hyperlink>
    </w:p>
    <w:p w14:paraId="1F11CC9C"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Veefkind, J. P., Aben, I., McMullan, K., Förster, H., de Vries, J., Otter, G., Claas, J., Eskes, H. J., de Haan, J. F., Kleipool, Q., van Weele, M., Hasekamp, O., Hoogeveen, R., Landgraf, J., Snel, R., Tol, P., Ingmann, P., Voors, R., Kruizinga, B., Vink, R., Visser, H., &amp; Levelt, P. F. (2012). TROPOMI on </w:t>
      </w:r>
      <w:r w:rsidRPr="008C504A">
        <w:rPr>
          <w:rFonts w:ascii="Times New Roman" w:hAnsi="Times New Roman" w:cs="Times New Roman"/>
          <w:color w:val="000000" w:themeColor="text1"/>
          <w:sz w:val="24"/>
          <w:szCs w:val="24"/>
        </w:rPr>
        <w:lastRenderedPageBreak/>
        <w:t xml:space="preserve">the ESA Sentinel-5 Precursor: A GMES mission for global observations of the atmospheric composition for climate, air quality and ozone layer applications. </w:t>
      </w:r>
      <w:r w:rsidRPr="008C504A">
        <w:rPr>
          <w:rFonts w:ascii="Times New Roman" w:hAnsi="Times New Roman" w:cs="Times New Roman"/>
          <w:i/>
          <w:iCs/>
          <w:color w:val="000000" w:themeColor="text1"/>
          <w:sz w:val="24"/>
          <w:szCs w:val="24"/>
        </w:rPr>
        <w:t>Remote Sensing of Environment, 120</w:t>
      </w:r>
      <w:r w:rsidRPr="008C504A">
        <w:rPr>
          <w:rFonts w:ascii="Times New Roman" w:hAnsi="Times New Roman" w:cs="Times New Roman"/>
          <w:color w:val="000000" w:themeColor="text1"/>
          <w:sz w:val="24"/>
          <w:szCs w:val="24"/>
        </w:rPr>
        <w:t xml:space="preserve">, 70–83. </w:t>
      </w:r>
      <w:hyperlink r:id="rId33" w:history="1">
        <w:r w:rsidRPr="008C504A">
          <w:rPr>
            <w:rStyle w:val="Hyperlink"/>
            <w:rFonts w:ascii="Times New Roman" w:hAnsi="Times New Roman" w:cs="Times New Roman"/>
            <w:color w:val="000000" w:themeColor="text1"/>
            <w:sz w:val="24"/>
            <w:szCs w:val="24"/>
          </w:rPr>
          <w:t>https://doi.org/10.1016/j.rse.2011.09.027</w:t>
        </w:r>
      </w:hyperlink>
    </w:p>
    <w:p w14:paraId="08E33146"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r w:rsidRPr="008C504A">
        <w:rPr>
          <w:rFonts w:ascii="Times New Roman" w:hAnsi="Times New Roman" w:cs="Times New Roman"/>
          <w:color w:val="000000" w:themeColor="text1"/>
          <w:sz w:val="24"/>
          <w:szCs w:val="24"/>
        </w:rPr>
        <w:t xml:space="preserve">World Health Organization. (2021). </w:t>
      </w:r>
      <w:r w:rsidRPr="008C504A">
        <w:rPr>
          <w:rFonts w:ascii="Times New Roman" w:hAnsi="Times New Roman" w:cs="Times New Roman"/>
          <w:i/>
          <w:iCs/>
          <w:color w:val="000000" w:themeColor="text1"/>
          <w:sz w:val="24"/>
          <w:szCs w:val="24"/>
        </w:rPr>
        <w:t>WHO global air quality guidelines: Particulate matter (PM₂.₅ and PM₁₀), ozone, nitrogen dioxide, sulphur dioxide and carbon monoxide</w:t>
      </w:r>
      <w:r w:rsidRPr="008C504A">
        <w:rPr>
          <w:rFonts w:ascii="Times New Roman" w:hAnsi="Times New Roman" w:cs="Times New Roman"/>
          <w:color w:val="000000" w:themeColor="text1"/>
          <w:sz w:val="24"/>
          <w:szCs w:val="24"/>
        </w:rPr>
        <w:t>. World Health Organization.</w:t>
      </w:r>
    </w:p>
    <w:p w14:paraId="0EE6118A" w14:textId="77777777" w:rsidR="001C5CC2" w:rsidRPr="008C504A" w:rsidRDefault="001C5CC2" w:rsidP="001C5CC2">
      <w:pPr>
        <w:spacing w:after="160" w:line="360" w:lineRule="auto"/>
        <w:ind w:left="360" w:hanging="360"/>
        <w:rPr>
          <w:rFonts w:ascii="Times New Roman" w:hAnsi="Times New Roman" w:cs="Times New Roman"/>
          <w:color w:val="000000" w:themeColor="text1"/>
          <w:sz w:val="24"/>
          <w:szCs w:val="24"/>
        </w:rPr>
      </w:pPr>
    </w:p>
    <w:p w14:paraId="5B6B00EE" w14:textId="77777777" w:rsidR="00493FD7" w:rsidRPr="000C594E" w:rsidRDefault="00493FD7" w:rsidP="000C594E"/>
    <w:sectPr w:rsidR="00493FD7" w:rsidRPr="000C594E" w:rsidSect="001C5CC2">
      <w:headerReference w:type="default" r:id="rId34"/>
      <w:footerReference w:type="default" r:id="rId35"/>
      <w:pgSz w:w="12240" w:h="15840"/>
      <w:pgMar w:top="0" w:right="1080" w:bottom="144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7AAB" w14:textId="77777777" w:rsidR="001C5CC2" w:rsidRDefault="001C5CC2">
    <w:pP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0176" w14:textId="77777777" w:rsidR="001C5CC2" w:rsidRPr="007D4808" w:rsidRDefault="001C5CC2" w:rsidP="007D4808">
    <w:pP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045A47"/>
    <w:multiLevelType w:val="hybridMultilevel"/>
    <w:tmpl w:val="252ED41E"/>
    <w:lvl w:ilvl="0" w:tplc="34B8EF88">
      <w:start w:val="1"/>
      <w:numFmt w:val="bullet"/>
      <w:lvlText w:val="•"/>
      <w:lvlJc w:val="left"/>
      <w:pPr>
        <w:ind w:left="720" w:hanging="360"/>
      </w:pPr>
    </w:lvl>
    <w:lvl w:ilvl="1" w:tplc="DDD0097A">
      <w:numFmt w:val="decimal"/>
      <w:lvlText w:val=""/>
      <w:lvlJc w:val="left"/>
    </w:lvl>
    <w:lvl w:ilvl="2" w:tplc="EAF43F3E">
      <w:numFmt w:val="decimal"/>
      <w:lvlText w:val=""/>
      <w:lvlJc w:val="left"/>
    </w:lvl>
    <w:lvl w:ilvl="3" w:tplc="832462B2">
      <w:numFmt w:val="decimal"/>
      <w:lvlText w:val=""/>
      <w:lvlJc w:val="left"/>
    </w:lvl>
    <w:lvl w:ilvl="4" w:tplc="E4D07FCA">
      <w:numFmt w:val="decimal"/>
      <w:lvlText w:val=""/>
      <w:lvlJc w:val="left"/>
    </w:lvl>
    <w:lvl w:ilvl="5" w:tplc="091854B8">
      <w:numFmt w:val="decimal"/>
      <w:lvlText w:val=""/>
      <w:lvlJc w:val="left"/>
    </w:lvl>
    <w:lvl w:ilvl="6" w:tplc="AA982222">
      <w:numFmt w:val="decimal"/>
      <w:lvlText w:val=""/>
      <w:lvlJc w:val="left"/>
    </w:lvl>
    <w:lvl w:ilvl="7" w:tplc="D9181744">
      <w:numFmt w:val="decimal"/>
      <w:lvlText w:val=""/>
      <w:lvlJc w:val="left"/>
    </w:lvl>
    <w:lvl w:ilvl="8" w:tplc="E5C6A484">
      <w:numFmt w:val="decimal"/>
      <w:lvlText w:val=""/>
      <w:lvlJc w:val="left"/>
    </w:lvl>
  </w:abstractNum>
  <w:num w:numId="1" w16cid:durableId="189426597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CC2"/>
    <w:rsid w:val="000932DF"/>
    <w:rsid w:val="000C594E"/>
    <w:rsid w:val="000C59B1"/>
    <w:rsid w:val="000F198B"/>
    <w:rsid w:val="00135179"/>
    <w:rsid w:val="001C5CC2"/>
    <w:rsid w:val="001D61B4"/>
    <w:rsid w:val="00262EB0"/>
    <w:rsid w:val="00274217"/>
    <w:rsid w:val="002F09BC"/>
    <w:rsid w:val="00332E54"/>
    <w:rsid w:val="00340B65"/>
    <w:rsid w:val="003F13F6"/>
    <w:rsid w:val="003F5908"/>
    <w:rsid w:val="00447A42"/>
    <w:rsid w:val="00493FD7"/>
    <w:rsid w:val="005501F4"/>
    <w:rsid w:val="005760AF"/>
    <w:rsid w:val="005F3CE3"/>
    <w:rsid w:val="00634FA2"/>
    <w:rsid w:val="00636B44"/>
    <w:rsid w:val="006922A0"/>
    <w:rsid w:val="006B1DBF"/>
    <w:rsid w:val="006F0D9E"/>
    <w:rsid w:val="00715B37"/>
    <w:rsid w:val="0072266C"/>
    <w:rsid w:val="007373E3"/>
    <w:rsid w:val="007448E9"/>
    <w:rsid w:val="0076474F"/>
    <w:rsid w:val="007A4F10"/>
    <w:rsid w:val="007B0D74"/>
    <w:rsid w:val="007E016B"/>
    <w:rsid w:val="007E710D"/>
    <w:rsid w:val="00825BD5"/>
    <w:rsid w:val="00856327"/>
    <w:rsid w:val="0090225C"/>
    <w:rsid w:val="00934B2B"/>
    <w:rsid w:val="009D7E77"/>
    <w:rsid w:val="009E43B6"/>
    <w:rsid w:val="009F7164"/>
    <w:rsid w:val="00A6654F"/>
    <w:rsid w:val="00AA67C3"/>
    <w:rsid w:val="00BA2E04"/>
    <w:rsid w:val="00C00D93"/>
    <w:rsid w:val="00C241DD"/>
    <w:rsid w:val="00C72E7A"/>
    <w:rsid w:val="00CC6D39"/>
    <w:rsid w:val="00CD1B08"/>
    <w:rsid w:val="00CF6966"/>
    <w:rsid w:val="00D05D7C"/>
    <w:rsid w:val="00D1169B"/>
    <w:rsid w:val="00D33FF6"/>
    <w:rsid w:val="00D810D2"/>
    <w:rsid w:val="00DA16FD"/>
    <w:rsid w:val="00DC6BF2"/>
    <w:rsid w:val="00E51EFE"/>
    <w:rsid w:val="00E77969"/>
    <w:rsid w:val="00EB0916"/>
    <w:rsid w:val="00EE6721"/>
    <w:rsid w:val="00F10841"/>
    <w:rsid w:val="00F238C5"/>
    <w:rsid w:val="00FA3C65"/>
    <w:rsid w:val="00FC503A"/>
    <w:rsid w:val="00FD599C"/>
    <w:rsid w:val="00FE7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CE43B9"/>
  <w15:docId w15:val="{3104CEF2-DED9-4A7C-9D74-B124FE0B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CC2"/>
    <w:rPr>
      <w:rFonts w:ascii="Calibri" w:eastAsia="Calibri" w:hAnsi="Calibri" w:cs="Calibri"/>
      <w:sz w:val="22"/>
      <w:szCs w:val="22"/>
      <w:lang w:val="en-MY" w:eastAsia="en-MY"/>
    </w:rPr>
  </w:style>
  <w:style w:type="paragraph" w:styleId="Heading1">
    <w:name w:val="heading 1"/>
    <w:basedOn w:val="Normal"/>
    <w:next w:val="Normal"/>
    <w:link w:val="Heading1Char"/>
    <w:qFormat/>
    <w:rsid w:val="001C5CC2"/>
    <w:pPr>
      <w:keepNext/>
      <w:keepLines/>
      <w:spacing w:before="240"/>
      <w:outlineLvl w:val="0"/>
    </w:pPr>
    <w:rPr>
      <w:rFonts w:eastAsiaTheme="majorEastAsia" w:cstheme="majorBidi"/>
      <w:color w:val="000000" w:themeColor="text1"/>
      <w:szCs w:val="32"/>
    </w:rPr>
  </w:style>
  <w:style w:type="paragraph" w:styleId="Heading2">
    <w:name w:val="heading 2"/>
    <w:basedOn w:val="Normal"/>
    <w:next w:val="Normal"/>
    <w:link w:val="Heading2Char"/>
    <w:semiHidden/>
    <w:unhideWhenUsed/>
    <w:qFormat/>
    <w:rsid w:val="001C5C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5CC2"/>
    <w:rPr>
      <w:rFonts w:eastAsiaTheme="majorEastAsia" w:cstheme="majorBidi"/>
      <w:color w:val="000000" w:themeColor="text1"/>
      <w:sz w:val="24"/>
      <w:szCs w:val="32"/>
    </w:rPr>
  </w:style>
  <w:style w:type="character" w:customStyle="1" w:styleId="Heading2Char">
    <w:name w:val="Heading 2 Char"/>
    <w:basedOn w:val="DefaultParagraphFont"/>
    <w:link w:val="Heading2"/>
    <w:semiHidden/>
    <w:rsid w:val="001C5CC2"/>
    <w:rPr>
      <w:rFonts w:asciiTheme="majorHAnsi" w:eastAsiaTheme="majorEastAsia" w:hAnsiTheme="majorHAnsi" w:cstheme="majorBidi"/>
      <w:color w:val="365F91" w:themeColor="accent1" w:themeShade="BF"/>
      <w:sz w:val="26"/>
      <w:szCs w:val="26"/>
    </w:rPr>
  </w:style>
  <w:style w:type="paragraph" w:styleId="ListParagraph">
    <w:name w:val="List Paragraph"/>
    <w:qFormat/>
    <w:rsid w:val="001C5CC2"/>
    <w:rPr>
      <w:rFonts w:ascii="Calibri" w:eastAsia="Calibri" w:hAnsi="Calibri" w:cs="Calibri"/>
      <w:sz w:val="22"/>
      <w:szCs w:val="22"/>
      <w:lang w:val="en-MY" w:eastAsia="en-MY"/>
    </w:rPr>
  </w:style>
  <w:style w:type="character" w:styleId="Hyperlink">
    <w:name w:val="Hyperlink"/>
    <w:uiPriority w:val="99"/>
    <w:unhideWhenUsed/>
    <w:rsid w:val="001C5CC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undefined"/><Relationship Id="rId18" Type="http://schemas.openxmlformats.org/officeDocument/2006/relationships/image" Target="media/image13.undefined"/><Relationship Id="rId26" Type="http://schemas.openxmlformats.org/officeDocument/2006/relationships/hyperlink" Target="https://doi.org/10.1016/j.atmosenv.2008.05.057" TargetMode="External"/><Relationship Id="rId21" Type="http://schemas.openxmlformats.org/officeDocument/2006/relationships/hyperlink" Target="https://doi.org/10.1016/S0140-6736(17)30505-6" TargetMode="External"/><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undefined"/><Relationship Id="rId17" Type="http://schemas.openxmlformats.org/officeDocument/2006/relationships/image" Target="media/image12.undefined"/><Relationship Id="rId25" Type="http://schemas.openxmlformats.org/officeDocument/2006/relationships/hyperlink" Target="https://doi.org/10.1021/acs.est.0c01764" TargetMode="External"/><Relationship Id="rId33" Type="http://schemas.openxmlformats.org/officeDocument/2006/relationships/hyperlink" Target="https://doi.org/10.1016/j.rse.2011.09.027" TargetMode="External"/><Relationship Id="rId2" Type="http://schemas.openxmlformats.org/officeDocument/2006/relationships/numbering" Target="numbering.xml"/><Relationship Id="rId16" Type="http://schemas.openxmlformats.org/officeDocument/2006/relationships/image" Target="media/image11.undefined"/><Relationship Id="rId20" Type="http://schemas.openxmlformats.org/officeDocument/2006/relationships/hyperlink" Target="https://doi.org/10.1111/j.1538-4632.1996.tb00936.x" TargetMode="External"/><Relationship Id="rId29" Type="http://schemas.openxmlformats.org/officeDocument/2006/relationships/hyperlink" Target="https://doi.org/10.1021/es049352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undefined"/><Relationship Id="rId24" Type="http://schemas.openxmlformats.org/officeDocument/2006/relationships/hyperlink" Target="https://doi.org/10.1111/j.1538-4632.1992.tb00261.x" TargetMode="External"/><Relationship Id="rId32" Type="http://schemas.openxmlformats.org/officeDocument/2006/relationships/hyperlink" Target="https://doi.org/10.5194/amt-15-2037-202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undefined"/><Relationship Id="rId23" Type="http://schemas.openxmlformats.org/officeDocument/2006/relationships/hyperlink" Target="https://doi.org/10.1021/acs.est.5b06121" TargetMode="External"/><Relationship Id="rId28" Type="http://schemas.openxmlformats.org/officeDocument/2006/relationships/hyperlink" Target="https://doi.org/10.1016/j.atmosenv.2014.07.014" TargetMode="External"/><Relationship Id="rId36" Type="http://schemas.openxmlformats.org/officeDocument/2006/relationships/fontTable" Target="fontTable.xml"/><Relationship Id="rId10" Type="http://schemas.openxmlformats.org/officeDocument/2006/relationships/image" Target="media/image5.undefined"/><Relationship Id="rId19" Type="http://schemas.openxmlformats.org/officeDocument/2006/relationships/hyperlink" Target="https://doi.org/10.1111/j.1538-4632.1995.tb00338.x" TargetMode="External"/><Relationship Id="rId31" Type="http://schemas.openxmlformats.org/officeDocument/2006/relationships/hyperlink" Target="https://doi.org/10.1021/acs.est.5b05833" TargetMode="External"/><Relationship Id="rId4" Type="http://schemas.openxmlformats.org/officeDocument/2006/relationships/settings" Target="settings.xml"/><Relationship Id="rId9" Type="http://schemas.openxmlformats.org/officeDocument/2006/relationships/image" Target="media/image4.undefined"/><Relationship Id="rId14" Type="http://schemas.openxmlformats.org/officeDocument/2006/relationships/image" Target="media/image9.undefined"/><Relationship Id="rId22" Type="http://schemas.openxmlformats.org/officeDocument/2006/relationships/hyperlink" Target="https://doi.org/10.1038/s41586-021-04229-0" TargetMode="External"/><Relationship Id="rId27" Type="http://schemas.openxmlformats.org/officeDocument/2006/relationships/hyperlink" Target="https://doi.org/10.1289/ehp.1002976" TargetMode="External"/><Relationship Id="rId30" Type="http://schemas.openxmlformats.org/officeDocument/2006/relationships/hyperlink" Target="https://doi.org/10.5194/amt-11-5741-2018" TargetMode="External"/><Relationship Id="rId35" Type="http://schemas.openxmlformats.org/officeDocument/2006/relationships/footer" Target="footer1.xml"/><Relationship Id="rId8" Type="http://schemas.openxmlformats.org/officeDocument/2006/relationships/image" Target="media/image3.undefined"/><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endeley%20Desktop\wordPlugin\Mendeley-1.19.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6A6DF-7BC3-4C8D-9AC1-9E302C25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Mendeley-1.19.8.dotm</Template>
  <TotalTime>68</TotalTime>
  <Pages>19</Pages>
  <Words>14971</Words>
  <Characters>85336</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BASHIRU LUKUMAN</cp:lastModifiedBy>
  <cp:revision>2</cp:revision>
  <dcterms:created xsi:type="dcterms:W3CDTF">2026-07-05T22:56:00Z</dcterms:created>
  <dcterms:modified xsi:type="dcterms:W3CDTF">2026-07-06T00:04:00Z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http://www.zotero.org/styles/applied-radiation-and-isotopes</vt:lpwstr>
  </property>
  <property fmtid="{D5CDD505-2E9C-101B-9397-08002B2CF9AE}" pid="10" name="Mendeley Recent Style Name 3_1">
    <vt:lpwstr>Applied Radiation and Isotopes</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http://www.zotero.org/styles/journal-of-education-and-work</vt:lpwstr>
  </property>
  <property fmtid="{D5CDD505-2E9C-101B-9397-08002B2CF9AE}" pid="16" name="Mendeley Recent Style Name 6_1">
    <vt:lpwstr>Journal of Education and Work</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69bf24e2-bd5d-3b48-a108-dbffe35d4cc1</vt:lpwstr>
  </property>
</Properties>
</file>