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25AB" w14:textId="2C5B6F92" w:rsidR="00C5462F" w:rsidRPr="00F50AF3" w:rsidRDefault="0050096D" w:rsidP="00F50AF3">
      <w:pPr>
        <w:pStyle w:val="BodyText"/>
        <w:spacing w:line="240" w:lineRule="auto"/>
        <w:rPr>
          <w:rFonts w:ascii="Times New Roman" w:hAnsi="Times New Roman" w:cs="Times New Roman"/>
          <w:sz w:val="36"/>
          <w:szCs w:val="36"/>
        </w:rPr>
      </w:pPr>
      <w:r w:rsidRPr="00F50AF3">
        <w:rPr>
          <w:rFonts w:ascii="Times New Roman" w:hAnsi="Times New Roman" w:cs="Times New Roman"/>
          <w:sz w:val="36"/>
          <w:szCs w:val="36"/>
        </w:rPr>
        <w:t>LEARNING NEEDS ASSESSMENT OF THE SANGGUNIANG KABATAAN OFFICIALS IN THE PROVINCE OF DAVAO DEL NORTE</w:t>
      </w:r>
    </w:p>
    <w:p w14:paraId="7B1114B1" w14:textId="77777777" w:rsidR="00D15C23" w:rsidRPr="00F50AF3" w:rsidRDefault="00D15C23" w:rsidP="00F50AF3">
      <w:pPr>
        <w:pStyle w:val="NoSpacing"/>
        <w:jc w:val="center"/>
        <w:rPr>
          <w:rFonts w:ascii="Times New Roman" w:hAnsi="Times New Roman" w:cs="Times New Roman"/>
          <w:sz w:val="24"/>
          <w:szCs w:val="24"/>
        </w:rPr>
      </w:pPr>
      <w:r w:rsidRPr="00F50AF3">
        <w:rPr>
          <w:rFonts w:ascii="Times New Roman" w:hAnsi="Times New Roman" w:cs="Times New Roman"/>
          <w:sz w:val="24"/>
          <w:szCs w:val="24"/>
        </w:rPr>
        <w:t/>
      </w:r>
    </w:p>
    <w:p w14:paraId="5953C901" w14:textId="77777777" w:rsidR="00D15C23" w:rsidRPr="00F50AF3" w:rsidRDefault="00D15C23" w:rsidP="00F50AF3">
      <w:pPr>
        <w:pStyle w:val="NoSpacing"/>
        <w:jc w:val="center"/>
        <w:rPr>
          <w:rFonts w:ascii="Times New Roman" w:eastAsia="Arial Narrow" w:hAnsi="Times New Roman" w:cs="Times New Roman"/>
          <w:sz w:val="24"/>
          <w:szCs w:val="24"/>
        </w:rPr>
      </w:pPr>
      <w:r w:rsidRPr="00F50AF3">
        <w:rPr>
          <w:rFonts w:ascii="Times New Roman" w:eastAsia="Arial Narrow" w:hAnsi="Times New Roman" w:cs="Times New Roman"/>
          <w:sz w:val="24"/>
          <w:szCs w:val="24"/>
        </w:rPr>
        <w:t/>
      </w:r>
    </w:p>
    <w:p w14:paraId="7E530B31" w14:textId="4634DA6E" w:rsidR="00D15C23" w:rsidRPr="00F50AF3" w:rsidRDefault="00D15C23" w:rsidP="00F50AF3">
      <w:pPr>
        <w:pStyle w:val="NoSpacing"/>
        <w:jc w:val="center"/>
        <w:rPr>
          <w:rFonts w:ascii="Times New Roman" w:hAnsi="Times New Roman" w:cs="Times New Roman"/>
          <w:sz w:val="24"/>
          <w:szCs w:val="24"/>
        </w:rPr>
      </w:pPr>
      <w:r w:rsidRPr="00F50AF3">
        <w:rPr>
          <w:rFonts w:ascii="Times New Roman" w:eastAsia="Arial Narrow" w:hAnsi="Times New Roman" w:cs="Times New Roman"/>
          <w:sz w:val="24"/>
          <w:szCs w:val="24"/>
        </w:rPr>
        <w:t xml:space="preserve"/>
      </w:r>
      <w:hyperlink r:id="rId8" w:history="1">
        <w:r w:rsidRPr="00F50AF3">
          <w:rPr>
            <w:rStyle w:val="Hyperlink"/>
            <w:rFonts w:ascii="Times New Roman" w:hAnsi="Times New Roman" w:cs="Times New Roman"/>
            <w:sz w:val="24"/>
            <w:szCs w:val="24"/>
          </w:rPr>
          <w:t/>
        </w:r>
      </w:hyperlink>
    </w:p>
    <w:p w14:paraId="52E16337" w14:textId="77777777" w:rsidR="00D15C23" w:rsidRPr="00F50AF3" w:rsidRDefault="00D15C23" w:rsidP="00F50AF3">
      <w:pPr>
        <w:spacing w:line="240" w:lineRule="auto"/>
        <w:jc w:val="center"/>
        <w:rPr>
          <w:rFonts w:ascii="Times New Roman" w:eastAsia="Arial Narrow" w:hAnsi="Times New Roman" w:cs="Times New Roman"/>
          <w:sz w:val="24"/>
          <w:szCs w:val="24"/>
        </w:rPr>
      </w:pPr>
    </w:p>
    <w:p w14:paraId="2BA81E1B" w14:textId="77777777" w:rsidR="00D15C23" w:rsidRPr="00F50AF3" w:rsidRDefault="00D15C23" w:rsidP="00F50AF3">
      <w:pPr>
        <w:pStyle w:val="Heading5"/>
      </w:pPr>
      <w:r w:rsidRPr="00F50AF3">
        <w:t>ABSTRACT</w:t>
      </w:r>
    </w:p>
    <w:p w14:paraId="6B97C593" w14:textId="77777777" w:rsidR="00D15C23" w:rsidRPr="00F50AF3" w:rsidRDefault="00D15C23" w:rsidP="00F50AF3">
      <w:pPr>
        <w:pStyle w:val="BodyText2"/>
        <w:spacing w:line="240" w:lineRule="auto"/>
        <w:rPr>
          <w:rFonts w:ascii="Times New Roman" w:hAnsi="Times New Roman" w:cs="Times New Roman"/>
          <w:sz w:val="24"/>
          <w:szCs w:val="24"/>
        </w:rPr>
      </w:pPr>
      <w:r w:rsidRPr="00F50AF3">
        <w:rPr>
          <w:rFonts w:ascii="Times New Roman" w:hAnsi="Times New Roman" w:cs="Times New Roman"/>
          <w:sz w:val="24"/>
          <w:szCs w:val="24"/>
        </w:rPr>
        <w:t>The Sangguniang Kabataan (SK), established by RA 7160, is vital for youth representation and nation-building in the Philippines. However, the Sanggunian Kabataan (SK) has struggled with ineffectiveness, limited governance understanding, and inadequate training, signaling a gap between officials' competencies and their roles. This study conducts a Learning Needs Assessment for SK officials in Da</w:t>
      </w:r>
      <w:bookmarkStart w:id="0" w:name="_GoBack"/>
      <w:bookmarkEnd w:id="0"/>
      <w:r w:rsidRPr="00F50AF3">
        <w:rPr>
          <w:rFonts w:ascii="Times New Roman" w:hAnsi="Times New Roman" w:cs="Times New Roman"/>
          <w:sz w:val="24"/>
          <w:szCs w:val="24"/>
        </w:rPr>
        <w:t xml:space="preserve">vao del Norte, across the three cities and eight municipalities, with a total of 223 respondents. Grounded in Human Capital Theory and Competency-Based Training (CBT), the research assesses SK officials' current core, technical, leadership, and functional competencies, along with core skills, considering their educational attainment. Using a descriptive survey with a quantitative approach, data from elected and appointed SK officials will identify specific skill and competency deficiencies. The findings informed a comprehensive training plan to boost SK officials' efficiency and effectiveness. This study offers significant contributions by pinpointing training needs, providing a foundation for policy recommendations to strengthen the SK, and guiding future research on youth leadership development in the Philippines. </w:t>
      </w:r>
    </w:p>
    <w:p w14:paraId="38839B74" w14:textId="77777777" w:rsidR="00D15C23" w:rsidRPr="00F50AF3" w:rsidRDefault="00D15C23" w:rsidP="00F50AF3">
      <w:pPr>
        <w:spacing w:line="240" w:lineRule="auto"/>
        <w:jc w:val="both"/>
        <w:rPr>
          <w:rFonts w:ascii="Times New Roman" w:eastAsia="Arial Narrow" w:hAnsi="Times New Roman" w:cs="Times New Roman"/>
          <w:i/>
          <w:sz w:val="24"/>
          <w:szCs w:val="24"/>
        </w:rPr>
      </w:pPr>
      <w:r w:rsidRPr="00F50AF3">
        <w:rPr>
          <w:rFonts w:ascii="Times New Roman" w:eastAsia="Arial Narrow" w:hAnsi="Times New Roman" w:cs="Times New Roman"/>
          <w:b/>
          <w:sz w:val="24"/>
          <w:szCs w:val="24"/>
        </w:rPr>
        <w:t>Keywords:</w:t>
      </w:r>
      <w:r w:rsidRPr="00F50AF3">
        <w:rPr>
          <w:rFonts w:ascii="Times New Roman" w:eastAsia="Arial Narrow" w:hAnsi="Times New Roman" w:cs="Times New Roman"/>
          <w:sz w:val="24"/>
          <w:szCs w:val="24"/>
        </w:rPr>
        <w:t xml:space="preserve"> </w:t>
      </w:r>
      <w:r w:rsidRPr="00F50AF3">
        <w:rPr>
          <w:rFonts w:ascii="Times New Roman" w:eastAsia="Arial Narrow" w:hAnsi="Times New Roman" w:cs="Times New Roman"/>
          <w:i/>
          <w:sz w:val="24"/>
          <w:szCs w:val="24"/>
        </w:rPr>
        <w:t xml:space="preserve">Learning Needs Assessment, Skills and Competencies, Training and Development, Policy Recommendations, Educational Attainment, Descriptive survey, Davao del Norte, Philippines </w:t>
      </w:r>
    </w:p>
    <w:p w14:paraId="2BEF7F24" w14:textId="77777777" w:rsidR="00D15C23" w:rsidRPr="00F50AF3" w:rsidRDefault="00D15C23" w:rsidP="00F50AF3">
      <w:pPr>
        <w:pStyle w:val="Heading1"/>
        <w:spacing w:line="240" w:lineRule="auto"/>
        <w:rPr>
          <w:rFonts w:ascii="Times New Roman" w:hAnsi="Times New Roman" w:cs="Times New Roman"/>
          <w:sz w:val="28"/>
          <w:szCs w:val="28"/>
        </w:rPr>
      </w:pPr>
      <w:r w:rsidRPr="00F50AF3">
        <w:rPr>
          <w:rFonts w:ascii="Times New Roman" w:hAnsi="Times New Roman" w:cs="Times New Roman"/>
          <w:sz w:val="28"/>
          <w:szCs w:val="28"/>
        </w:rPr>
        <w:t>INTRODUCTION</w:t>
      </w:r>
    </w:p>
    <w:p w14:paraId="1DED654B" w14:textId="77777777" w:rsidR="00D15C23" w:rsidRPr="00F50AF3" w:rsidRDefault="00D15C23"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t xml:space="preserve">The youth make up the largest, liveliest, and most active segment of society; they are essential components in any country. A nation's future becomes unstable when its young people are neglected, and the repercussions are typically severe and extensive (Castillo, Cruz, Lapaz, Marcha, Padillo, Vegiga, &amp; Vallespin, 2024). The 1987 Philippine Constitution's Article II, Section 13 indicates that the State is dedicated to promoting and upholding the physical, moral, spiritual, intellectual, and social welfare of the youth because it recognizes their critical role in the development of the country. It will encourage young people to participate in public and civic affairs and instill in them a sense of patriotism and nationalism. </w:t>
      </w:r>
    </w:p>
    <w:p w14:paraId="3753A039" w14:textId="77777777" w:rsidR="00D15C23" w:rsidRPr="00F50AF3" w:rsidRDefault="00D15C23"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t xml:space="preserve">According to RA 10742, also known as the SK Reform Act, the Sangguniang Kabataan (SK) is a body established under RA 7160, also known as the Local Government Code of 1991. It was institutionalized to represent the youth of each barangay. Moreover, as cited in Balanon, Ong, Torre, and Trinidad (2017), the specific roles of Sangguniang Kabataan include the initiation of programs to carry out objectives, promulgation of resolutions and policies, consultations with local youth organizations for formulating policy and implementation of programs, and tapping the appropriate agency to implement programs and projects. </w:t>
      </w:r>
    </w:p>
    <w:p w14:paraId="1E368A78" w14:textId="11C55FC6" w:rsidR="00D15C23" w:rsidRPr="00F50AF3" w:rsidRDefault="00D15C23"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t xml:space="preserve">Furthermore, following the SK Reform Act of 2015, Sangguniang Kabataan officials, whether elected or appointed, shall undergo mandatory and continuing training programs before </w:t>
      </w:r>
      <w:r w:rsidR="00DB6836" w:rsidRPr="00F50AF3">
        <w:rPr>
          <w:rFonts w:ascii="Times New Roman" w:eastAsia="Arial Narrow" w:hAnsi="Times New Roman" w:cs="Times New Roman"/>
          <w:bCs/>
          <w:sz w:val="24"/>
          <w:szCs w:val="24"/>
        </w:rPr>
        <w:t>they</w:t>
      </w:r>
      <w:r w:rsidRPr="00F50AF3">
        <w:rPr>
          <w:rFonts w:ascii="Times New Roman" w:eastAsia="Arial Narrow" w:hAnsi="Times New Roman" w:cs="Times New Roman"/>
          <w:bCs/>
          <w:sz w:val="24"/>
          <w:szCs w:val="24"/>
        </w:rPr>
        <w:t xml:space="preserve"> can assume office. They are required to participate in the ongoing training initiatives that the Commission will carry out in collaboration with the DILG. Deliberate non-attendance at the aforementioned training sessions will be sufficient to disqualify the LYDC member or Sangguniang Kabataan official in question, or subject them to disciplinary action. To help Sangguniang Kabataan officials better understand and utilize the authority and responsibilities granted to them by the Sangguniang Kabataan Reform Act of 2015, the Department of the Interior and Local Government</w:t>
      </w:r>
      <w:r w:rsidR="00E748E4" w:rsidRPr="00F50AF3">
        <w:rPr>
          <w:rFonts w:ascii="Times New Roman" w:eastAsia="Arial Narrow" w:hAnsi="Times New Roman" w:cs="Times New Roman"/>
          <w:bCs/>
          <w:sz w:val="24"/>
          <w:szCs w:val="24"/>
        </w:rPr>
        <w:t xml:space="preserve"> (DILG) should continue to host </w:t>
      </w:r>
      <w:r w:rsidRPr="00F50AF3">
        <w:rPr>
          <w:rFonts w:ascii="Times New Roman" w:eastAsia="Arial Narrow" w:hAnsi="Times New Roman" w:cs="Times New Roman"/>
          <w:bCs/>
          <w:sz w:val="24"/>
          <w:szCs w:val="24"/>
        </w:rPr>
        <w:t xml:space="preserve">leadership events, training sessions, seminars, and information drives (Erlina, Boncalo, Gortifacion, Sumampong, Montalba, Ganto, &amp; Chua, 2023). However, Erlina, Boncalo, Gortifacion, Sumampong, Montalba, Ganto, and Chua (2023) stated that Sangguniang Kabataan, under its current structure, had lost its effectiveness in advancing the democratic ideals in service-oriented youth. This governing body seemed to be losing the trust of the public. This could be because they lacked sufficient knowledge of good </w:t>
      </w:r>
      <w:r w:rsidRPr="00F50AF3">
        <w:rPr>
          <w:rFonts w:ascii="Times New Roman" w:eastAsia="Arial Narrow" w:hAnsi="Times New Roman" w:cs="Times New Roman"/>
          <w:bCs/>
          <w:sz w:val="24"/>
          <w:szCs w:val="24"/>
        </w:rPr>
        <w:lastRenderedPageBreak/>
        <w:t xml:space="preserve">governance, received inadequate training, were involved in graft and corruption, or lacked sufficient experience in public service, which makes it harder for them to perform their job of serving the community. According to Ivanyna and Salerno (2021), a government's ability to promote equitable growth can be significantly hindered by poor governance. The competence view of corruption overlooks the systemic impact on development, arguing that it may "grease the wheels" of the economy. </w:t>
      </w:r>
    </w:p>
    <w:p w14:paraId="2D6AD651" w14:textId="77777777" w:rsidR="00D15C23" w:rsidRP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 xml:space="preserve">In addition, concerns of theft and nepotism have also affected public trust, leading to the belief that the SK occasionally prioritizes its own interests before public services. To develop targeted solutions, it is significant to look into the underlying reasons for corruption in the SK (Guelos, Duncara, Helbolario, &amp; Villarosa, 2024). Moreover, the absence of continuous development programs, training, and learning leads to ineffective quality service. Without a structured process that will address these challenges, the ability of SK officials will continue to be a concern in the field of local governance. </w:t>
      </w:r>
    </w:p>
    <w:p w14:paraId="76ACA828" w14:textId="77777777" w:rsidR="00D15C23" w:rsidRPr="00F50AF3" w:rsidRDefault="00D15C23"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Training Needs Analysis (TNA) was first introduced in the book called “Training in Business and Industry’’ by McGehee and Thayer in 1961. Since then, many organizations have used training needs analysis as a basis to bridge the gap between actual training needs and individual knowledge and skills. Although there are other methods for performing TNA, McGhee and Thayer's Three Level Analysis is one that is frequently used (Fatima, 2024). According to Sundari and Aksara (2022), in essence, training needs analysis is a data collection technique used to compare and identify the organization's actual performance level with the expected or planned performance level. Training is required w</w:t>
      </w:r>
      <w:r w:rsidR="00E748E4" w:rsidRPr="00F50AF3">
        <w:rPr>
          <w:rFonts w:ascii="Times New Roman" w:eastAsia="Arial Narrow" w:hAnsi="Times New Roman" w:cs="Times New Roman"/>
          <w:bCs/>
          <w:sz w:val="24"/>
          <w:szCs w:val="24"/>
        </w:rPr>
        <w:t xml:space="preserve">hen a person's competencies and </w:t>
      </w:r>
      <w:r w:rsidRPr="00F50AF3">
        <w:rPr>
          <w:rFonts w:ascii="Times New Roman" w:eastAsia="Arial Narrow" w:hAnsi="Times New Roman" w:cs="Times New Roman"/>
          <w:bCs/>
          <w:sz w:val="24"/>
          <w:szCs w:val="24"/>
        </w:rPr>
        <w:t xml:space="preserve">what they must do to perform their job effectively are not aligned. One way to ascertain whether there is a training need and, if so, what training is required to close the gap is through a training needs analysis. </w:t>
      </w:r>
    </w:p>
    <w:p w14:paraId="58BBF25A" w14:textId="77777777" w:rsidR="00D15C23" w:rsidRP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 xml:space="preserve">Similarly, according to Markaki, Malhotra, Billings, and Theus (2021). TNA explains the current level of an individual's efficiency, the skill areas that require the most improvement, and the best approaches to accomplish them. It is an essential step in creating training plans, the instrument that guides the development of tailored training to address the needs of professional growth. Training is a fundamental instrument in developing a work efficiency culture; hence, an organization must provide development programs and construct training that addresses the efficiency gap of its workers (Ibrahim, Boerhannoeddin &amp; Bakare, 2017). Identifying the population's learning needs through a systematic consultation is the first step in developing an acceptable and successful training cycle. Following this should be the planning, execution, evaluation, and assurance of training transfer. Because of this, TNA's involvement is essential to making sure the training program covers the gaps in the knowledge and skills that employees need to achieve the organization's objectives and prevent resource waste (Kodwani, 2017). In this study, TNA helped determine the skills and competency gaps among SK officials, allowing the study to identify the training needs they needed to close the gaps. </w:t>
      </w:r>
    </w:p>
    <w:p w14:paraId="3D4D4F39" w14:textId="77777777" w:rsidR="00D15C23" w:rsidRP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Competency-based training (CBT) originated in the mid-1960s as a popular method in Australia for vocational education and training (VET) (Sandhu, 2023). For the past 30 years, it has served as the primary training paradigm in the VET sector when state education departments were concerned about inadequate teacher training programs and low student achievement (McKenna, 1992). CBT is centered on clear, measurable objectives that relate directly to instructional activities. Trainees do posttest performance assessments to see if they have mastered the necessary attitudes, skills, and information. Instructors or supervisors review these results, make any program changes, and provide additional training and mentoring to trainees who did not understand the content. Similarly, this theory corresponds with the objectives of the study, which are to assess the le</w:t>
      </w:r>
      <w:r w:rsidRPr="00F50AF3">
        <w:rPr>
          <w:rFonts w:ascii="Times New Roman" w:eastAsia="Arial Narrow" w:hAnsi="Times New Roman" w:cs="Times New Roman"/>
          <w:bCs/>
          <w:sz w:val="24"/>
          <w:szCs w:val="24"/>
        </w:rPr>
        <w:t>vel of skills and comp</w:t>
      </w:r>
      <w:r w:rsidR="005D2629" w:rsidRPr="00F50AF3">
        <w:rPr>
          <w:rFonts w:ascii="Times New Roman" w:eastAsia="Arial Narrow" w:hAnsi="Times New Roman" w:cs="Times New Roman"/>
          <w:bCs/>
          <w:sz w:val="24"/>
          <w:szCs w:val="24"/>
        </w:rPr>
        <w:t xml:space="preserve">etency of </w:t>
      </w:r>
      <w:r w:rsidR="00D15C23" w:rsidRPr="00F50AF3">
        <w:rPr>
          <w:rFonts w:ascii="Times New Roman" w:eastAsia="Arial Narrow" w:hAnsi="Times New Roman" w:cs="Times New Roman"/>
          <w:bCs/>
          <w:sz w:val="24"/>
          <w:szCs w:val="24"/>
        </w:rPr>
        <w:t xml:space="preserve">the Sanggunaing Kabataan (SK) officials and develop a training plan based on their results. </w:t>
      </w:r>
    </w:p>
    <w:p w14:paraId="59E50018" w14:textId="77777777" w:rsidR="00D15C23" w:rsidRP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 xml:space="preserve">American economists Theodore Shultz and Gary Becker created the Human Capital Theory in 1950. Human capital theory holds that education is like an investment that pays off in the future (Leoni, 2025). Furthermore, the theory suggests that greater education and skill development can help human beings become more productive. By increasing their level of education or acquiring new skills, an individual can enhance their human capital (Ross, 2024). This theory supports the assessment of SK officials' competencies and the significance of their level of education in determining how successful they are in their roles. It may strengthen the need for training programs intended to improve their skills. </w:t>
      </w:r>
    </w:p>
    <w:p w14:paraId="41417003" w14:textId="77777777" w:rsidR="00D15C23" w:rsidRP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 xml:space="preserve">The purpose of this study is to assess the learning needs of Sangguniang Kabataan (SK) officials in three (3) cities and eight (8) municipalities in the province of Davao del Norte. This involves identifying the gender </w:t>
      </w:r>
      <w:r w:rsidR="00D15C23" w:rsidRPr="00F50AF3">
        <w:rPr>
          <w:rFonts w:ascii="Times New Roman" w:eastAsia="Arial Narrow" w:hAnsi="Times New Roman" w:cs="Times New Roman"/>
          <w:bCs/>
          <w:sz w:val="24"/>
          <w:szCs w:val="24"/>
        </w:rPr>
        <w:lastRenderedPageBreak/>
        <w:t xml:space="preserve">and local demographics of Sangguniang Kabataan (SK) officials, as well as their training preferences in project development, volunteer mobilization, and common skills. Additionally, the study will assess their proficiency in technical, functional, leadership, and core skills. Furthermore, it will evaluate their competence across core, leadership, technical, and functional abilities. Moreover, the study's results provide a valuable basis for policy recommendations on how to improve the core of Sangguniang Kabataan (SK), ensuring that training and development conducted address the overall specific needs of SK officials to perform their duties efficiently and effectively. </w:t>
      </w:r>
    </w:p>
    <w:p w14:paraId="481C135C" w14:textId="77777777" w:rsidR="00F50AF3" w:rsidRDefault="00E748E4" w:rsidP="00F50AF3">
      <w:pPr>
        <w:spacing w:line="240" w:lineRule="auto"/>
        <w:jc w:val="both"/>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ab/>
      </w:r>
    </w:p>
    <w:p w14:paraId="6E0212C2" w14:textId="77777777" w:rsidR="00F50AF3" w:rsidRDefault="00F50AF3" w:rsidP="00F50AF3">
      <w:pPr>
        <w:spacing w:line="240" w:lineRule="auto"/>
        <w:jc w:val="both"/>
        <w:rPr>
          <w:rFonts w:ascii="Times New Roman" w:eastAsia="Arial Narrow" w:hAnsi="Times New Roman" w:cs="Times New Roman"/>
          <w:bCs/>
          <w:sz w:val="24"/>
          <w:szCs w:val="24"/>
        </w:rPr>
      </w:pPr>
    </w:p>
    <w:p w14:paraId="60968F0A" w14:textId="77777777" w:rsidR="00F50AF3" w:rsidRDefault="00F50AF3" w:rsidP="00F50AF3">
      <w:pPr>
        <w:spacing w:line="240" w:lineRule="auto"/>
        <w:jc w:val="both"/>
        <w:rPr>
          <w:rFonts w:ascii="Times New Roman" w:eastAsia="Arial Narrow" w:hAnsi="Times New Roman" w:cs="Times New Roman"/>
          <w:bCs/>
          <w:sz w:val="24"/>
          <w:szCs w:val="24"/>
        </w:rPr>
      </w:pPr>
    </w:p>
    <w:p w14:paraId="0AFA6880" w14:textId="77777777" w:rsidR="00F50AF3" w:rsidRDefault="00F50AF3" w:rsidP="00F50AF3">
      <w:pPr>
        <w:spacing w:line="240" w:lineRule="auto"/>
        <w:jc w:val="both"/>
        <w:rPr>
          <w:rFonts w:ascii="Times New Roman" w:eastAsia="Arial Narrow" w:hAnsi="Times New Roman" w:cs="Times New Roman"/>
          <w:bCs/>
          <w:sz w:val="24"/>
          <w:szCs w:val="24"/>
        </w:rPr>
      </w:pPr>
    </w:p>
    <w:p w14:paraId="43879F43" w14:textId="77777777" w:rsidR="00F50AF3" w:rsidRDefault="00F50AF3" w:rsidP="00F50AF3">
      <w:pPr>
        <w:spacing w:line="240" w:lineRule="auto"/>
        <w:jc w:val="both"/>
        <w:rPr>
          <w:rFonts w:ascii="Times New Roman" w:eastAsia="Arial Narrow" w:hAnsi="Times New Roman" w:cs="Times New Roman"/>
          <w:bCs/>
          <w:sz w:val="24"/>
          <w:szCs w:val="24"/>
        </w:rPr>
      </w:pPr>
    </w:p>
    <w:p w14:paraId="44F59FFC" w14:textId="77777777" w:rsidR="00F50AF3" w:rsidRDefault="00F50AF3" w:rsidP="00F50AF3">
      <w:pPr>
        <w:spacing w:line="240" w:lineRule="auto"/>
        <w:jc w:val="both"/>
        <w:rPr>
          <w:rFonts w:ascii="Times New Roman" w:eastAsia="Arial Narrow" w:hAnsi="Times New Roman" w:cs="Times New Roman"/>
          <w:bCs/>
          <w:sz w:val="24"/>
          <w:szCs w:val="24"/>
        </w:rPr>
      </w:pPr>
    </w:p>
    <w:p w14:paraId="1E076DCD" w14:textId="77777777" w:rsidR="00F50AF3" w:rsidRDefault="00F50AF3" w:rsidP="00F50AF3">
      <w:pPr>
        <w:spacing w:line="240" w:lineRule="auto"/>
        <w:jc w:val="both"/>
        <w:rPr>
          <w:rFonts w:ascii="Times New Roman" w:eastAsia="Arial Narrow" w:hAnsi="Times New Roman" w:cs="Times New Roman"/>
          <w:bCs/>
          <w:sz w:val="24"/>
          <w:szCs w:val="24"/>
        </w:rPr>
      </w:pPr>
    </w:p>
    <w:p w14:paraId="1E0C107D" w14:textId="77777777" w:rsidR="00F50AF3" w:rsidRDefault="00F50AF3" w:rsidP="00F50AF3">
      <w:pPr>
        <w:spacing w:line="240" w:lineRule="auto"/>
        <w:jc w:val="both"/>
        <w:rPr>
          <w:rFonts w:ascii="Times New Roman" w:eastAsia="Arial Narrow" w:hAnsi="Times New Roman" w:cs="Times New Roman"/>
          <w:bCs/>
          <w:sz w:val="24"/>
          <w:szCs w:val="24"/>
        </w:rPr>
      </w:pPr>
    </w:p>
    <w:p w14:paraId="4FE15C08" w14:textId="77777777" w:rsidR="00F50AF3" w:rsidRDefault="00F50AF3" w:rsidP="00F50AF3">
      <w:pPr>
        <w:spacing w:line="240" w:lineRule="auto"/>
        <w:jc w:val="both"/>
        <w:rPr>
          <w:rFonts w:ascii="Times New Roman" w:eastAsia="Arial Narrow" w:hAnsi="Times New Roman" w:cs="Times New Roman"/>
          <w:bCs/>
          <w:sz w:val="24"/>
          <w:szCs w:val="24"/>
        </w:rPr>
      </w:pPr>
    </w:p>
    <w:p w14:paraId="139489D5" w14:textId="77777777" w:rsidR="00F50AF3" w:rsidRDefault="00F50AF3" w:rsidP="00F50AF3">
      <w:pPr>
        <w:spacing w:line="240" w:lineRule="auto"/>
        <w:jc w:val="both"/>
        <w:rPr>
          <w:rFonts w:ascii="Times New Roman" w:eastAsia="Arial Narrow" w:hAnsi="Times New Roman" w:cs="Times New Roman"/>
          <w:bCs/>
          <w:sz w:val="24"/>
          <w:szCs w:val="24"/>
        </w:rPr>
      </w:pPr>
    </w:p>
    <w:p w14:paraId="44786B93" w14:textId="77777777" w:rsidR="00F50AF3" w:rsidRDefault="00F50AF3" w:rsidP="00F50AF3">
      <w:pPr>
        <w:spacing w:line="240" w:lineRule="auto"/>
        <w:jc w:val="both"/>
        <w:rPr>
          <w:rFonts w:ascii="Times New Roman" w:eastAsia="Arial Narrow" w:hAnsi="Times New Roman" w:cs="Times New Roman"/>
          <w:bCs/>
          <w:sz w:val="24"/>
          <w:szCs w:val="24"/>
        </w:rPr>
      </w:pPr>
    </w:p>
    <w:p w14:paraId="6264B3E4" w14:textId="45F1B42A" w:rsidR="00F50AF3" w:rsidRDefault="00F50AF3" w:rsidP="00F50AF3">
      <w:pPr>
        <w:spacing w:line="240" w:lineRule="auto"/>
        <w:jc w:val="center"/>
        <w:rPr>
          <w:rFonts w:ascii="Times New Roman" w:eastAsia="Arial Narrow" w:hAnsi="Times New Roman" w:cs="Times New Roman"/>
          <w:bCs/>
          <w:sz w:val="24"/>
          <w:szCs w:val="24"/>
        </w:rPr>
      </w:pPr>
      <w:r w:rsidRPr="00F50AF3">
        <w:rPr>
          <w:rFonts w:ascii="Times New Roman" w:eastAsia="Arial Narrow" w:hAnsi="Times New Roman" w:cs="Times New Roman"/>
          <w:bCs/>
          <w:sz w:val="24"/>
          <w:szCs w:val="24"/>
        </w:rPr>
        <w:t>Figure 1. Conceptual Framework of the S</w:t>
      </w:r>
      <w:r>
        <w:rPr>
          <w:rFonts w:ascii="Times New Roman" w:eastAsia="Arial Narrow" w:hAnsi="Times New Roman" w:cs="Times New Roman"/>
          <w:bCs/>
          <w:sz w:val="24"/>
          <w:szCs w:val="24"/>
        </w:rPr>
        <w:t>tudy</w:t>
      </w:r>
    </w:p>
    <w:p w14:paraId="0672EE06" w14:textId="37E1C38E" w:rsidR="00D15C23" w:rsidRPr="00F50AF3" w:rsidRDefault="00F50AF3" w:rsidP="00F50AF3">
      <w:pPr>
        <w:spacing w:line="240" w:lineRule="auto"/>
        <w:jc w:val="both"/>
        <w:rPr>
          <w:rFonts w:ascii="Times New Roman" w:hAnsi="Times New Roman" w:cs="Times New Roman"/>
          <w:bCs/>
          <w:sz w:val="24"/>
          <w:szCs w:val="24"/>
        </w:rPr>
      </w:pPr>
      <w:r>
        <w:rPr>
          <w:rFonts w:ascii="Times New Roman" w:eastAsia="Arial Narrow" w:hAnsi="Times New Roman" w:cs="Times New Roman"/>
          <w:bCs/>
          <w:sz w:val="24"/>
          <w:szCs w:val="24"/>
        </w:rPr>
        <w:tab/>
      </w:r>
      <w:r w:rsidR="00D15C23" w:rsidRPr="00F50AF3">
        <w:rPr>
          <w:rFonts w:ascii="Times New Roman" w:eastAsia="Arial Narrow" w:hAnsi="Times New Roman" w:cs="Times New Roman"/>
          <w:bCs/>
          <w:sz w:val="24"/>
          <w:szCs w:val="24"/>
        </w:rPr>
        <w:t>Figure 1 demonstrates the conceptual framework of the study, the primary objective of which is to get the demographic profile of the Sangguniang Kabataan (SK) officials within the scope of Davao del Norte and their perceived trainings, assess the current level of skills and competencies of Sangguniang Kabataan (SK) officials in terms of core competencies, technical competencies, leadership competencies, functional expertise, and core s</w:t>
      </w:r>
      <w:r w:rsidR="00E748E4" w:rsidRPr="00F50AF3">
        <w:rPr>
          <w:rFonts w:ascii="Times New Roman" w:eastAsia="Arial Narrow" w:hAnsi="Times New Roman" w:cs="Times New Roman"/>
          <w:bCs/>
          <w:sz w:val="24"/>
          <w:szCs w:val="24"/>
        </w:rPr>
        <w:t xml:space="preserve">kills through the use of survey </w:t>
      </w:r>
      <w:r w:rsidR="00D15C23" w:rsidRPr="00F50AF3">
        <w:rPr>
          <w:rFonts w:ascii="Times New Roman" w:hAnsi="Times New Roman" w:cs="Times New Roman"/>
          <w:bCs/>
          <w:sz w:val="24"/>
          <w:szCs w:val="24"/>
        </w:rPr>
        <w:t xml:space="preserve">questionnaires and statistical analysis, and develop a training plan intended for </w:t>
      </w:r>
      <w:r w:rsidR="00E748E4" w:rsidRPr="00F50AF3">
        <w:rPr>
          <w:rFonts w:ascii="Times New Roman" w:eastAsia="Arial Narrow" w:hAnsi="Times New Roman" w:cs="Times New Roman"/>
          <w:bCs/>
          <w:noProof/>
          <w:sz w:val="24"/>
          <w:szCs w:val="24"/>
          <w:lang w:eastAsia="en-PH"/>
        </w:rPr>
        <mc:AlternateContent>
          <mc:Choice Requires="wps">
            <w:drawing>
              <wp:anchor distT="45720" distB="45720" distL="114300" distR="114300" simplePos="0" relativeHeight="251659264" behindDoc="0" locked="0" layoutInCell="1" allowOverlap="1" wp14:anchorId="6633F749" wp14:editId="72A28B0D">
                <wp:simplePos x="0" y="0"/>
                <wp:positionH relativeFrom="column">
                  <wp:posOffset>0</wp:posOffset>
                </wp:positionH>
                <wp:positionV relativeFrom="page">
                  <wp:posOffset>2078966</wp:posOffset>
                </wp:positionV>
                <wp:extent cx="1863090" cy="2690495"/>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690495"/>
                        </a:xfrm>
                        <a:prstGeom prst="rect">
                          <a:avLst/>
                        </a:prstGeom>
                        <a:noFill/>
                        <a:ln w="19050">
                          <a:solidFill>
                            <a:schemeClr val="tx1"/>
                          </a:solidFill>
                          <a:miter lim="800000"/>
                          <a:headEnd/>
                          <a:tailEnd/>
                        </a:ln>
                      </wps:spPr>
                      <wps:txbx>
                        <w:txbxContent>
                          <w:p w14:paraId="6048A9F2" w14:textId="77777777" w:rsidR="00DB6836" w:rsidRPr="00742ABB" w:rsidRDefault="00DB6836" w:rsidP="008C4172">
                            <w:pPr>
                              <w:pStyle w:val="Heading1"/>
                              <w:spacing w:after="0"/>
                              <w:rPr>
                                <w:rFonts w:ascii="Times New Roman" w:eastAsiaTheme="minorHAnsi" w:hAnsi="Times New Roman" w:cs="Times New Roman"/>
                                <w:lang w:val="en-US"/>
                              </w:rPr>
                            </w:pPr>
                            <w:r w:rsidRPr="00742ABB">
                              <w:rPr>
                                <w:rFonts w:ascii="Times New Roman" w:eastAsiaTheme="minorHAnsi" w:hAnsi="Times New Roman" w:cs="Times New Roman"/>
                                <w:lang w:val="en-US"/>
                              </w:rPr>
                              <w:t>INPUT</w:t>
                            </w:r>
                          </w:p>
                          <w:p w14:paraId="5EAC993B"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Demographics </w:t>
                            </w:r>
                          </w:p>
                          <w:p w14:paraId="1E7F50FD"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Locality </w:t>
                            </w:r>
                          </w:p>
                          <w:p w14:paraId="1552CA9C"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Gender </w:t>
                            </w:r>
                          </w:p>
                          <w:p w14:paraId="24338E34"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Training and Development </w:t>
                            </w:r>
                          </w:p>
                          <w:p w14:paraId="68E317F6"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Common Skills </w:t>
                            </w:r>
                          </w:p>
                          <w:p w14:paraId="6B1B259C"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Project Development </w:t>
                            </w:r>
                          </w:p>
                          <w:p w14:paraId="0B7ECB6F"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Volunteer Mobilization </w:t>
                            </w:r>
                          </w:p>
                          <w:p w14:paraId="1A4F1B3F"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Skills and Competencies </w:t>
                            </w:r>
                          </w:p>
                          <w:p w14:paraId="67D50305"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Core Competency</w:t>
                            </w:r>
                          </w:p>
                          <w:p w14:paraId="71E1CD6D"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Technical Competency </w:t>
                            </w:r>
                          </w:p>
                          <w:p w14:paraId="7E92BD0A"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Ledearship Competency </w:t>
                            </w:r>
                          </w:p>
                          <w:p w14:paraId="5E6B1EF1"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Functional Expertise </w:t>
                            </w:r>
                          </w:p>
                          <w:p w14:paraId="4E8EFC8F" w14:textId="77777777" w:rsidR="00DB6836" w:rsidRPr="00E748E4" w:rsidRDefault="00DB6836" w:rsidP="008C4172">
                            <w:pPr>
                              <w:rPr>
                                <w:lang w:val="en-US"/>
                              </w:rPr>
                            </w:pPr>
                          </w:p>
                          <w:p w14:paraId="5E7BE133" w14:textId="77777777" w:rsidR="00DB6836" w:rsidRPr="00E748E4" w:rsidRDefault="00DB6836" w:rsidP="008C4172">
                            <w:pPr>
                              <w:spacing w:after="0" w:line="276" w:lineRule="auto"/>
                              <w:rPr>
                                <w:lang w:val="en-US"/>
                              </w:rPr>
                            </w:pPr>
                          </w:p>
                          <w:p w14:paraId="517B46E8" w14:textId="77777777" w:rsidR="00DB6836" w:rsidRPr="008C4172" w:rsidRDefault="00DB6836" w:rsidP="008C4172">
                            <w:pPr>
                              <w:spacing w:after="0" w:line="276" w:lineRule="auto"/>
                              <w:rPr>
                                <w:b/>
                                <w:lang w:val="en-US"/>
                              </w:rPr>
                            </w:pPr>
                          </w:p>
                          <w:p w14:paraId="015C02E9" w14:textId="77777777" w:rsidR="00DB6836" w:rsidRPr="00E748E4" w:rsidRDefault="00DB6836" w:rsidP="008C4172">
                            <w:pPr>
                              <w:spacing w:after="0" w:line="276" w:lineRule="auto"/>
                              <w:rPr>
                                <w:lang w:val="en-US"/>
                              </w:rPr>
                            </w:pPr>
                          </w:p>
                          <w:p w14:paraId="41E842D7" w14:textId="77777777" w:rsidR="00DB6836" w:rsidRPr="00E748E4" w:rsidRDefault="00DB6836" w:rsidP="008C4172">
                            <w:pPr>
                              <w:spacing w:after="0" w:line="276" w:lineRule="auto"/>
                              <w:rPr>
                                <w:lang w:val="en-US"/>
                              </w:rPr>
                            </w:pPr>
                          </w:p>
                          <w:p w14:paraId="065913AB" w14:textId="77777777" w:rsidR="00DB6836" w:rsidRPr="00E748E4" w:rsidRDefault="00DB6836" w:rsidP="008C4172">
                            <w:pPr>
                              <w:spacing w:after="0" w:line="276" w:lineRule="auto"/>
                              <w:rPr>
                                <w:b/>
                                <w:lang w:val="en-US"/>
                              </w:rPr>
                            </w:pPr>
                          </w:p>
                          <w:p w14:paraId="225432BB" w14:textId="77777777" w:rsidR="00DB6836" w:rsidRPr="00E748E4" w:rsidRDefault="00DB6836" w:rsidP="008C4172">
                            <w:pPr>
                              <w:spacing w:after="0" w:line="276" w:lineRule="auto"/>
                              <w:rPr>
                                <w:lang w:val="en-US"/>
                              </w:rPr>
                            </w:pPr>
                          </w:p>
                          <w:p w14:paraId="132AFED6" w14:textId="77777777" w:rsidR="00DB6836" w:rsidRPr="00E748E4" w:rsidRDefault="00DB6836" w:rsidP="008C4172">
                            <w:pPr>
                              <w:spacing w:after="0" w:line="276"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3F749" id="_x0000_t202" coordsize="21600,21600" o:spt="202" path="m,l,21600r21600,l21600,xe">
                <v:stroke joinstyle="miter"/>
                <v:path gradientshapeok="t" o:connecttype="rect"/>
              </v:shapetype>
              <v:shape id="Text Box 2" o:spid="_x0000_s1026" type="#_x0000_t202" style="position:absolute;left:0;text-align:left;margin-left:0;margin-top:163.7pt;width:146.7pt;height:2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" filled="f" strokecolor="black [3213]" strokeweight="1.5pt">
                <v:textbox>
                  <w:txbxContent>
                    <w:p w14:paraId="6048A9F2" w14:textId="77777777" w:rsidR="00DB6836" w:rsidRPr="00742ABB" w:rsidRDefault="00DB6836" w:rsidP="008C4172">
                      <w:pPr>
                        <w:pStyle w:val="Heading1"/>
                        <w:spacing w:after="0"/>
                        <w:rPr>
                          <w:rFonts w:ascii="Times New Roman" w:eastAsiaTheme="minorHAnsi" w:hAnsi="Times New Roman" w:cs="Times New Roman"/>
                          <w:lang w:val="en-US"/>
                        </w:rPr>
                      </w:pPr>
                      <w:r w:rsidRPr="00742ABB">
                        <w:rPr>
                          <w:rFonts w:ascii="Times New Roman" w:eastAsiaTheme="minorHAnsi" w:hAnsi="Times New Roman" w:cs="Times New Roman"/>
                          <w:lang w:val="en-US"/>
                        </w:rPr>
                        <w:t>INPUT</w:t>
                      </w:r>
                    </w:p>
                    <w:p w14:paraId="5EAC993B"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Demographics </w:t>
                      </w:r>
                    </w:p>
                    <w:p w14:paraId="1E7F50FD"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Locality </w:t>
                      </w:r>
                    </w:p>
                    <w:p w14:paraId="1552CA9C"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Gender </w:t>
                      </w:r>
                    </w:p>
                    <w:p w14:paraId="24338E34"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Training and Development </w:t>
                      </w:r>
                    </w:p>
                    <w:p w14:paraId="68E317F6"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Common Skills </w:t>
                      </w:r>
                    </w:p>
                    <w:p w14:paraId="6B1B259C"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Project Development </w:t>
                      </w:r>
                    </w:p>
                    <w:p w14:paraId="0B7ECB6F"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xml:space="preserve">- Volunteer Mobilization </w:t>
                      </w:r>
                    </w:p>
                    <w:p w14:paraId="1A4F1B3F" w14:textId="77777777" w:rsidR="00DB6836" w:rsidRPr="00742ABB" w:rsidRDefault="00DB6836" w:rsidP="008C4172">
                      <w:pPr>
                        <w:pStyle w:val="Heading2"/>
                        <w:spacing w:after="0" w:line="276" w:lineRule="auto"/>
                        <w:rPr>
                          <w:rFonts w:ascii="Times New Roman" w:hAnsi="Times New Roman" w:cs="Times New Roman"/>
                        </w:rPr>
                      </w:pPr>
                      <w:r w:rsidRPr="00742ABB">
                        <w:rPr>
                          <w:rFonts w:ascii="Times New Roman" w:hAnsi="Times New Roman" w:cs="Times New Roman"/>
                        </w:rPr>
                        <w:t xml:space="preserve">Skills and Competencies </w:t>
                      </w:r>
                    </w:p>
                    <w:p w14:paraId="67D50305" w14:textId="77777777" w:rsidR="00DB6836" w:rsidRPr="00742ABB" w:rsidRDefault="00DB6836" w:rsidP="008C4172">
                      <w:pPr>
                        <w:spacing w:after="0" w:line="276" w:lineRule="auto"/>
                        <w:rPr>
                          <w:rFonts w:ascii="Times New Roman" w:hAnsi="Times New Roman" w:cs="Times New Roman"/>
                          <w:lang w:val="en-US"/>
                        </w:rPr>
                      </w:pPr>
                      <w:r w:rsidRPr="00742ABB">
                        <w:rPr>
                          <w:rFonts w:ascii="Times New Roman" w:hAnsi="Times New Roman" w:cs="Times New Roman"/>
                          <w:lang w:val="en-US"/>
                        </w:rPr>
                        <w:t>- Core Competency</w:t>
                      </w:r>
                    </w:p>
                    <w:p w14:paraId="71E1CD6D"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Technical Competency </w:t>
                      </w:r>
                    </w:p>
                    <w:p w14:paraId="7E92BD0A"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Ledearship Competency </w:t>
                      </w:r>
                    </w:p>
                    <w:p w14:paraId="5E6B1EF1" w14:textId="77777777" w:rsidR="00DB6836" w:rsidRPr="00742ABB" w:rsidRDefault="00DB6836" w:rsidP="008C4172">
                      <w:pPr>
                        <w:spacing w:after="0"/>
                        <w:rPr>
                          <w:rFonts w:ascii="Times New Roman" w:hAnsi="Times New Roman" w:cs="Times New Roman"/>
                          <w:lang w:val="en-US"/>
                        </w:rPr>
                      </w:pPr>
                      <w:r w:rsidRPr="00742ABB">
                        <w:rPr>
                          <w:rFonts w:ascii="Times New Roman" w:hAnsi="Times New Roman" w:cs="Times New Roman"/>
                          <w:lang w:val="en-US"/>
                        </w:rPr>
                        <w:t xml:space="preserve">- Functional Expertise </w:t>
                      </w:r>
                    </w:p>
                    <w:p w14:paraId="4E8EFC8F" w14:textId="77777777" w:rsidR="00DB6836" w:rsidRPr="00E748E4" w:rsidRDefault="00DB6836" w:rsidP="008C4172">
                      <w:pPr>
                        <w:rPr>
                          <w:lang w:val="en-US"/>
                        </w:rPr>
                      </w:pPr>
                    </w:p>
                    <w:p w14:paraId="5E7BE133" w14:textId="77777777" w:rsidR="00DB6836" w:rsidRPr="00E748E4" w:rsidRDefault="00DB6836" w:rsidP="008C4172">
                      <w:pPr>
                        <w:spacing w:after="0" w:line="276" w:lineRule="auto"/>
                        <w:rPr>
                          <w:lang w:val="en-US"/>
                        </w:rPr>
                      </w:pPr>
                    </w:p>
                    <w:p w14:paraId="517B46E8" w14:textId="77777777" w:rsidR="00DB6836" w:rsidRPr="008C4172" w:rsidRDefault="00DB6836" w:rsidP="008C4172">
                      <w:pPr>
                        <w:spacing w:after="0" w:line="276" w:lineRule="auto"/>
                        <w:rPr>
                          <w:b/>
                          <w:lang w:val="en-US"/>
                        </w:rPr>
                      </w:pPr>
                    </w:p>
                    <w:p w14:paraId="015C02E9" w14:textId="77777777" w:rsidR="00DB6836" w:rsidRPr="00E748E4" w:rsidRDefault="00DB6836" w:rsidP="008C4172">
                      <w:pPr>
                        <w:spacing w:after="0" w:line="276" w:lineRule="auto"/>
                        <w:rPr>
                          <w:lang w:val="en-US"/>
                        </w:rPr>
                      </w:pPr>
                    </w:p>
                    <w:p w14:paraId="41E842D7" w14:textId="77777777" w:rsidR="00DB6836" w:rsidRPr="00E748E4" w:rsidRDefault="00DB6836" w:rsidP="008C4172">
                      <w:pPr>
                        <w:spacing w:after="0" w:line="276" w:lineRule="auto"/>
                        <w:rPr>
                          <w:lang w:val="en-US"/>
                        </w:rPr>
                      </w:pPr>
                    </w:p>
                    <w:p w14:paraId="065913AB" w14:textId="77777777" w:rsidR="00DB6836" w:rsidRPr="00E748E4" w:rsidRDefault="00DB6836" w:rsidP="008C4172">
                      <w:pPr>
                        <w:spacing w:after="0" w:line="276" w:lineRule="auto"/>
                        <w:rPr>
                          <w:b/>
                          <w:lang w:val="en-US"/>
                        </w:rPr>
                      </w:pPr>
                    </w:p>
                    <w:p w14:paraId="225432BB" w14:textId="77777777" w:rsidR="00DB6836" w:rsidRPr="00E748E4" w:rsidRDefault="00DB6836" w:rsidP="008C4172">
                      <w:pPr>
                        <w:spacing w:after="0" w:line="276" w:lineRule="auto"/>
                        <w:rPr>
                          <w:lang w:val="en-US"/>
                        </w:rPr>
                      </w:pPr>
                    </w:p>
                    <w:p w14:paraId="132AFED6" w14:textId="77777777" w:rsidR="00DB6836" w:rsidRPr="00E748E4" w:rsidRDefault="00DB6836" w:rsidP="008C4172">
                      <w:pPr>
                        <w:spacing w:after="0" w:line="276" w:lineRule="auto"/>
                        <w:rPr>
                          <w:lang w:val="en-US"/>
                        </w:rPr>
                      </w:pPr>
                    </w:p>
                  </w:txbxContent>
                </v:textbox>
                <w10:wrap type="square" anchory="page"/>
              </v:shape>
            </w:pict>
          </mc:Fallback>
        </mc:AlternateContent>
      </w:r>
      <w:r w:rsidR="00E748E4" w:rsidRPr="00F50AF3">
        <w:rPr>
          <w:rFonts w:ascii="Times New Roman" w:eastAsia="Arial Narrow" w:hAnsi="Times New Roman" w:cs="Times New Roman"/>
          <w:bCs/>
          <w:noProof/>
          <w:sz w:val="24"/>
          <w:szCs w:val="24"/>
          <w:lang w:eastAsia="en-PH"/>
        </w:rPr>
        <mc:AlternateContent>
          <mc:Choice Requires="wps">
            <w:drawing>
              <wp:anchor distT="45720" distB="45720" distL="114300" distR="114300" simplePos="0" relativeHeight="251666432" behindDoc="0" locked="0" layoutInCell="1" allowOverlap="1" wp14:anchorId="278595CC" wp14:editId="4AD08501">
                <wp:simplePos x="0" y="0"/>
                <wp:positionH relativeFrom="column">
                  <wp:posOffset>4382219</wp:posOffset>
                </wp:positionH>
                <wp:positionV relativeFrom="page">
                  <wp:posOffset>2070340</wp:posOffset>
                </wp:positionV>
                <wp:extent cx="1811020" cy="2699385"/>
                <wp:effectExtent l="0" t="0" r="1778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699385"/>
                        </a:xfrm>
                        <a:prstGeom prst="rect">
                          <a:avLst/>
                        </a:prstGeom>
                        <a:noFill/>
                        <a:ln w="19050">
                          <a:solidFill>
                            <a:schemeClr val="tx1"/>
                          </a:solidFill>
                          <a:miter lim="800000"/>
                          <a:headEnd/>
                          <a:tailEnd/>
                        </a:ln>
                      </wps:spPr>
                      <wps:txbx>
                        <w:txbxContent>
                          <w:p w14:paraId="6D68034C" w14:textId="77777777" w:rsidR="00DB6836" w:rsidRPr="00742ABB" w:rsidRDefault="00DB6836" w:rsidP="00E748E4">
                            <w:pPr>
                              <w:pStyle w:val="Heading1"/>
                              <w:spacing w:line="259" w:lineRule="auto"/>
                              <w:rPr>
                                <w:rFonts w:ascii="Times New Roman" w:eastAsiaTheme="minorHAnsi" w:hAnsi="Times New Roman" w:cs="Times New Roman"/>
                                <w:sz w:val="24"/>
                                <w:szCs w:val="24"/>
                                <w:lang w:val="en-US"/>
                              </w:rPr>
                            </w:pPr>
                            <w:r w:rsidRPr="00742ABB">
                              <w:rPr>
                                <w:rFonts w:ascii="Times New Roman" w:eastAsiaTheme="minorHAnsi" w:hAnsi="Times New Roman" w:cs="Times New Roman"/>
                                <w:sz w:val="24"/>
                                <w:szCs w:val="24"/>
                                <w:lang w:val="en-US"/>
                              </w:rPr>
                              <w:t>OUTPUT</w:t>
                            </w:r>
                          </w:p>
                          <w:p w14:paraId="4A535EF0" w14:textId="77777777" w:rsidR="00DB6836" w:rsidRPr="00742ABB" w:rsidRDefault="00DB6836" w:rsidP="008C4172">
                            <w:pPr>
                              <w:rPr>
                                <w:rFonts w:ascii="Times New Roman" w:hAnsi="Times New Roman" w:cs="Times New Roman"/>
                                <w:sz w:val="24"/>
                                <w:szCs w:val="24"/>
                                <w:lang w:val="en-US"/>
                              </w:rPr>
                            </w:pPr>
                          </w:p>
                          <w:p w14:paraId="7B6DFF6A" w14:textId="77777777" w:rsidR="00DB6836" w:rsidRPr="00742ABB" w:rsidRDefault="00DB6836" w:rsidP="008C4172">
                            <w:pPr>
                              <w:rPr>
                                <w:rFonts w:ascii="Times New Roman" w:hAnsi="Times New Roman" w:cs="Times New Roman"/>
                                <w:sz w:val="24"/>
                                <w:szCs w:val="24"/>
                                <w:lang w:val="en-US"/>
                              </w:rPr>
                            </w:pPr>
                          </w:p>
                          <w:p w14:paraId="45EC8ABB" w14:textId="77777777" w:rsidR="00DB6836" w:rsidRPr="00742ABB" w:rsidRDefault="00DB6836" w:rsidP="00742ABB">
                            <w:pPr>
                              <w:pStyle w:val="NoSpacing"/>
                              <w:spacing w:after="160" w:line="259" w:lineRule="auto"/>
                              <w:rPr>
                                <w:rFonts w:ascii="Times New Roman" w:hAnsi="Times New Roman" w:cs="Times New Roman"/>
                                <w:sz w:val="24"/>
                                <w:szCs w:val="24"/>
                                <w:lang w:val="en-US"/>
                              </w:rPr>
                            </w:pPr>
                          </w:p>
                          <w:p w14:paraId="1E930047" w14:textId="77777777" w:rsidR="00DB6836" w:rsidRPr="00742ABB" w:rsidRDefault="00DB6836" w:rsidP="008C4172">
                            <w:pPr>
                              <w:pStyle w:val="Heading1"/>
                              <w:spacing w:line="259" w:lineRule="auto"/>
                              <w:rPr>
                                <w:rFonts w:ascii="Times New Roman" w:eastAsiaTheme="minorHAnsi" w:hAnsi="Times New Roman" w:cs="Times New Roman"/>
                                <w:sz w:val="24"/>
                                <w:szCs w:val="24"/>
                                <w:lang w:val="en-US"/>
                              </w:rPr>
                            </w:pPr>
                            <w:r w:rsidRPr="00742ABB">
                              <w:rPr>
                                <w:rFonts w:ascii="Times New Roman" w:eastAsiaTheme="minorHAnsi" w:hAnsi="Times New Roman" w:cs="Times New Roman"/>
                                <w:sz w:val="24"/>
                                <w:szCs w:val="24"/>
                                <w:lang w:val="en-US"/>
                              </w:rPr>
                              <w:t>Proposed Training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595CC" id="_x0000_s1027" type="#_x0000_t202" style="position:absolute;left:0;text-align:left;margin-left:345.05pt;margin-top:163pt;width:142.6pt;height:21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" filled="f" strokecolor="black [3213]" strokeweight="1.5pt">
                <v:textbox>
                  <w:txbxContent>
                    <w:p w14:paraId="6D68034C" w14:textId="77777777" w:rsidR="00DB6836" w:rsidRPr="00742ABB" w:rsidRDefault="00DB6836" w:rsidP="00E748E4">
                      <w:pPr>
                        <w:pStyle w:val="Heading1"/>
                        <w:spacing w:line="259" w:lineRule="auto"/>
                        <w:rPr>
                          <w:rFonts w:ascii="Times New Roman" w:eastAsiaTheme="minorHAnsi" w:hAnsi="Times New Roman" w:cs="Times New Roman"/>
                          <w:sz w:val="24"/>
                          <w:szCs w:val="24"/>
                          <w:lang w:val="en-US"/>
                        </w:rPr>
                      </w:pPr>
                      <w:r w:rsidRPr="00742ABB">
                        <w:rPr>
                          <w:rFonts w:ascii="Times New Roman" w:eastAsiaTheme="minorHAnsi" w:hAnsi="Times New Roman" w:cs="Times New Roman"/>
                          <w:sz w:val="24"/>
                          <w:szCs w:val="24"/>
                          <w:lang w:val="en-US"/>
                        </w:rPr>
                        <w:t>OUTPUT</w:t>
                      </w:r>
                    </w:p>
                    <w:p w14:paraId="4A535EF0" w14:textId="77777777" w:rsidR="00DB6836" w:rsidRPr="00742ABB" w:rsidRDefault="00DB6836" w:rsidP="008C4172">
                      <w:pPr>
                        <w:rPr>
                          <w:rFonts w:ascii="Times New Roman" w:hAnsi="Times New Roman" w:cs="Times New Roman"/>
                          <w:sz w:val="24"/>
                          <w:szCs w:val="24"/>
                          <w:lang w:val="en-US"/>
                        </w:rPr>
                      </w:pPr>
                    </w:p>
                    <w:p w14:paraId="7B6DFF6A" w14:textId="77777777" w:rsidR="00DB6836" w:rsidRPr="00742ABB" w:rsidRDefault="00DB6836" w:rsidP="008C4172">
                      <w:pPr>
                        <w:rPr>
                          <w:rFonts w:ascii="Times New Roman" w:hAnsi="Times New Roman" w:cs="Times New Roman"/>
                          <w:sz w:val="24"/>
                          <w:szCs w:val="24"/>
                          <w:lang w:val="en-US"/>
                        </w:rPr>
                      </w:pPr>
                    </w:p>
                    <w:p w14:paraId="45EC8ABB" w14:textId="77777777" w:rsidR="00DB6836" w:rsidRPr="00742ABB" w:rsidRDefault="00DB6836" w:rsidP="00742ABB">
                      <w:pPr>
                        <w:pStyle w:val="NoSpacing"/>
                        <w:spacing w:after="160" w:line="259" w:lineRule="auto"/>
                        <w:rPr>
                          <w:rFonts w:ascii="Times New Roman" w:hAnsi="Times New Roman" w:cs="Times New Roman"/>
                          <w:sz w:val="24"/>
                          <w:szCs w:val="24"/>
                          <w:lang w:val="en-US"/>
                        </w:rPr>
                      </w:pPr>
                    </w:p>
                    <w:p w14:paraId="1E930047" w14:textId="77777777" w:rsidR="00DB6836" w:rsidRPr="00742ABB" w:rsidRDefault="00DB6836" w:rsidP="008C4172">
                      <w:pPr>
                        <w:pStyle w:val="Heading1"/>
                        <w:spacing w:line="259" w:lineRule="auto"/>
                        <w:rPr>
                          <w:rFonts w:ascii="Times New Roman" w:eastAsiaTheme="minorHAnsi" w:hAnsi="Times New Roman" w:cs="Times New Roman"/>
                          <w:sz w:val="24"/>
                          <w:szCs w:val="24"/>
                          <w:lang w:val="en-US"/>
                        </w:rPr>
                      </w:pPr>
                      <w:r w:rsidRPr="00742ABB">
                        <w:rPr>
                          <w:rFonts w:ascii="Times New Roman" w:eastAsiaTheme="minorHAnsi" w:hAnsi="Times New Roman" w:cs="Times New Roman"/>
                          <w:sz w:val="24"/>
                          <w:szCs w:val="24"/>
                          <w:lang w:val="en-US"/>
                        </w:rPr>
                        <w:t>Proposed Training Plan</w:t>
                      </w:r>
                    </w:p>
                  </w:txbxContent>
                </v:textbox>
                <w10:wrap type="square" anchory="page"/>
              </v:shape>
            </w:pict>
          </mc:Fallback>
        </mc:AlternateContent>
      </w:r>
      <w:r w:rsidR="00E748E4" w:rsidRPr="00F50AF3">
        <w:rPr>
          <w:rFonts w:ascii="Times New Roman" w:eastAsia="Arial Narrow" w:hAnsi="Times New Roman" w:cs="Times New Roman"/>
          <w:bCs/>
          <w:noProof/>
          <w:sz w:val="24"/>
          <w:szCs w:val="24"/>
          <w:lang w:eastAsia="en-PH"/>
        </w:rPr>
        <mc:AlternateContent>
          <mc:Choice Requires="wps">
            <w:drawing>
              <wp:anchor distT="45720" distB="45720" distL="114300" distR="114300" simplePos="0" relativeHeight="251662336" behindDoc="0" locked="0" layoutInCell="1" allowOverlap="1" wp14:anchorId="6981D3A4" wp14:editId="34A13546">
                <wp:simplePos x="0" y="0"/>
                <wp:positionH relativeFrom="column">
                  <wp:posOffset>2182483</wp:posOffset>
                </wp:positionH>
                <wp:positionV relativeFrom="page">
                  <wp:posOffset>2070340</wp:posOffset>
                </wp:positionV>
                <wp:extent cx="1880235" cy="2699385"/>
                <wp:effectExtent l="0" t="0" r="2476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2699385"/>
                        </a:xfrm>
                        <a:prstGeom prst="rect">
                          <a:avLst/>
                        </a:prstGeom>
                        <a:noFill/>
                        <a:ln w="19050">
                          <a:solidFill>
                            <a:schemeClr val="tx1"/>
                          </a:solidFill>
                          <a:miter lim="800000"/>
                          <a:headEnd/>
                          <a:tailEnd/>
                        </a:ln>
                      </wps:spPr>
                      <wps:txbx>
                        <w:txbxContent>
                          <w:p w14:paraId="72C9D985" w14:textId="77777777" w:rsidR="00DB6836" w:rsidRPr="00742ABB" w:rsidRDefault="00DB6836" w:rsidP="00E748E4">
                            <w:pPr>
                              <w:pStyle w:val="Heading1"/>
                              <w:spacing w:line="259" w:lineRule="auto"/>
                              <w:rPr>
                                <w:rFonts w:ascii="Times New Roman" w:eastAsiaTheme="minorHAnsi" w:hAnsi="Times New Roman" w:cs="Times New Roman"/>
                                <w:lang w:val="en-US"/>
                              </w:rPr>
                            </w:pPr>
                            <w:r w:rsidRPr="00742ABB">
                              <w:rPr>
                                <w:rFonts w:ascii="Times New Roman" w:eastAsiaTheme="minorHAnsi" w:hAnsi="Times New Roman" w:cs="Times New Roman"/>
                                <w:lang w:val="en-US"/>
                              </w:rPr>
                              <w:t>PROCESS</w:t>
                            </w:r>
                          </w:p>
                          <w:p w14:paraId="44AAB069" w14:textId="77777777" w:rsidR="00DB6836" w:rsidRPr="00742ABB" w:rsidRDefault="00DB6836" w:rsidP="008C4172">
                            <w:pPr>
                              <w:pStyle w:val="Heading2"/>
                              <w:rPr>
                                <w:rFonts w:ascii="Times New Roman" w:hAnsi="Times New Roman" w:cs="Times New Roman"/>
                              </w:rPr>
                            </w:pPr>
                            <w:r w:rsidRPr="00742ABB">
                              <w:rPr>
                                <w:rFonts w:ascii="Times New Roman" w:hAnsi="Times New Roman" w:cs="Times New Roman"/>
                              </w:rPr>
                              <w:t xml:space="preserve">Survey Questionnaire </w:t>
                            </w:r>
                          </w:p>
                          <w:p w14:paraId="633E97F7" w14:textId="77777777" w:rsidR="00DB6836" w:rsidRPr="00742ABB" w:rsidRDefault="00DB6836" w:rsidP="008C4172">
                            <w:pPr>
                              <w:rPr>
                                <w:rFonts w:ascii="Times New Roman" w:hAnsi="Times New Roman" w:cs="Times New Roman"/>
                                <w:b/>
                                <w:lang w:val="en-US"/>
                              </w:rPr>
                            </w:pPr>
                            <w:r w:rsidRPr="00742ABB">
                              <w:rPr>
                                <w:rFonts w:ascii="Times New Roman" w:hAnsi="Times New Roman" w:cs="Times New Roman"/>
                                <w:b/>
                                <w:lang w:val="en-US"/>
                              </w:rPr>
                              <w:t xml:space="preserve">Data Collection </w:t>
                            </w:r>
                          </w:p>
                          <w:p w14:paraId="7358C72D" w14:textId="77777777" w:rsidR="00DB6836" w:rsidRPr="00742ABB" w:rsidRDefault="00DB6836" w:rsidP="008C4172">
                            <w:pPr>
                              <w:rPr>
                                <w:rFonts w:ascii="Times New Roman" w:hAnsi="Times New Roman" w:cs="Times New Roman"/>
                                <w:b/>
                                <w:lang w:val="en-US"/>
                              </w:rPr>
                            </w:pPr>
                            <w:r w:rsidRPr="00742ABB">
                              <w:rPr>
                                <w:rFonts w:ascii="Times New Roman" w:hAnsi="Times New Roman" w:cs="Times New Roman"/>
                                <w:b/>
                                <w:lang w:val="en-US"/>
                              </w:rPr>
                              <w:t xml:space="preserve">Statistical Analysis </w:t>
                            </w:r>
                          </w:p>
                          <w:p w14:paraId="2FDE117E" w14:textId="77777777" w:rsidR="00DB6836" w:rsidRPr="00742ABB" w:rsidRDefault="00DB6836" w:rsidP="00742ABB">
                            <w:pPr>
                              <w:pStyle w:val="NoSpacing"/>
                              <w:spacing w:after="160" w:line="259" w:lineRule="auto"/>
                              <w:rPr>
                                <w:rFonts w:ascii="Times New Roman" w:hAnsi="Times New Roman" w:cs="Times New Roman"/>
                                <w:lang w:val="en-US"/>
                              </w:rPr>
                            </w:pPr>
                            <w:r w:rsidRPr="00742ABB">
                              <w:rPr>
                                <w:rFonts w:ascii="Times New Roman" w:hAnsi="Times New Roman" w:cs="Times New Roman"/>
                                <w:lang w:val="en-US"/>
                              </w:rPr>
                              <w:t xml:space="preserve">- Descriptive Analysis </w:t>
                            </w:r>
                          </w:p>
                          <w:p w14:paraId="7551EA42" w14:textId="77777777" w:rsidR="00DB6836" w:rsidRPr="008C4172" w:rsidRDefault="00DB6836" w:rsidP="008C4172">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1D3A4" id="_x0000_s1028" type="#_x0000_t202" style="position:absolute;left:0;text-align:left;margin-left:171.85pt;margin-top:163pt;width:148.05pt;height:21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" filled="f" strokecolor="black [3213]" strokeweight="1.5pt">
                <v:textbox>
                  <w:txbxContent>
                    <w:p w14:paraId="72C9D985" w14:textId="77777777" w:rsidR="00DB6836" w:rsidRPr="00742ABB" w:rsidRDefault="00DB6836" w:rsidP="00E748E4">
                      <w:pPr>
                        <w:pStyle w:val="Heading1"/>
                        <w:spacing w:line="259" w:lineRule="auto"/>
                        <w:rPr>
                          <w:rFonts w:ascii="Times New Roman" w:eastAsiaTheme="minorHAnsi" w:hAnsi="Times New Roman" w:cs="Times New Roman"/>
                          <w:lang w:val="en-US"/>
                        </w:rPr>
                      </w:pPr>
                      <w:r w:rsidRPr="00742ABB">
                        <w:rPr>
                          <w:rFonts w:ascii="Times New Roman" w:eastAsiaTheme="minorHAnsi" w:hAnsi="Times New Roman" w:cs="Times New Roman"/>
                          <w:lang w:val="en-US"/>
                        </w:rPr>
                        <w:t>PROCESS</w:t>
                      </w:r>
                    </w:p>
                    <w:p w14:paraId="44AAB069" w14:textId="77777777" w:rsidR="00DB6836" w:rsidRPr="00742ABB" w:rsidRDefault="00DB6836" w:rsidP="008C4172">
                      <w:pPr>
                        <w:pStyle w:val="Heading2"/>
                        <w:rPr>
                          <w:rFonts w:ascii="Times New Roman" w:hAnsi="Times New Roman" w:cs="Times New Roman"/>
                        </w:rPr>
                      </w:pPr>
                      <w:r w:rsidRPr="00742ABB">
                        <w:rPr>
                          <w:rFonts w:ascii="Times New Roman" w:hAnsi="Times New Roman" w:cs="Times New Roman"/>
                        </w:rPr>
                        <w:t xml:space="preserve">Survey Questionnaire </w:t>
                      </w:r>
                    </w:p>
                    <w:p w14:paraId="633E97F7" w14:textId="77777777" w:rsidR="00DB6836" w:rsidRPr="00742ABB" w:rsidRDefault="00DB6836" w:rsidP="008C4172">
                      <w:pPr>
                        <w:rPr>
                          <w:rFonts w:ascii="Times New Roman" w:hAnsi="Times New Roman" w:cs="Times New Roman"/>
                          <w:b/>
                          <w:lang w:val="en-US"/>
                        </w:rPr>
                      </w:pPr>
                      <w:r w:rsidRPr="00742ABB">
                        <w:rPr>
                          <w:rFonts w:ascii="Times New Roman" w:hAnsi="Times New Roman" w:cs="Times New Roman"/>
                          <w:b/>
                          <w:lang w:val="en-US"/>
                        </w:rPr>
                        <w:t xml:space="preserve">Data Collection </w:t>
                      </w:r>
                    </w:p>
                    <w:p w14:paraId="7358C72D" w14:textId="77777777" w:rsidR="00DB6836" w:rsidRPr="00742ABB" w:rsidRDefault="00DB6836" w:rsidP="008C4172">
                      <w:pPr>
                        <w:rPr>
                          <w:rFonts w:ascii="Times New Roman" w:hAnsi="Times New Roman" w:cs="Times New Roman"/>
                          <w:b/>
                          <w:lang w:val="en-US"/>
                        </w:rPr>
                      </w:pPr>
                      <w:r w:rsidRPr="00742ABB">
                        <w:rPr>
                          <w:rFonts w:ascii="Times New Roman" w:hAnsi="Times New Roman" w:cs="Times New Roman"/>
                          <w:b/>
                          <w:lang w:val="en-US"/>
                        </w:rPr>
                        <w:t xml:space="preserve">Statistical Analysis </w:t>
                      </w:r>
                    </w:p>
                    <w:p w14:paraId="2FDE117E" w14:textId="77777777" w:rsidR="00DB6836" w:rsidRPr="00742ABB" w:rsidRDefault="00DB6836" w:rsidP="00742ABB">
                      <w:pPr>
                        <w:pStyle w:val="NoSpacing"/>
                        <w:spacing w:after="160" w:line="259" w:lineRule="auto"/>
                        <w:rPr>
                          <w:rFonts w:ascii="Times New Roman" w:hAnsi="Times New Roman" w:cs="Times New Roman"/>
                          <w:lang w:val="en-US"/>
                        </w:rPr>
                      </w:pPr>
                      <w:r w:rsidRPr="00742ABB">
                        <w:rPr>
                          <w:rFonts w:ascii="Times New Roman" w:hAnsi="Times New Roman" w:cs="Times New Roman"/>
                          <w:lang w:val="en-US"/>
                        </w:rPr>
                        <w:t xml:space="preserve">- Descriptive Analysis </w:t>
                      </w:r>
                    </w:p>
                    <w:p w14:paraId="7551EA42" w14:textId="77777777" w:rsidR="00DB6836" w:rsidRPr="008C4172" w:rsidRDefault="00DB6836" w:rsidP="008C4172">
                      <w:pPr>
                        <w:rPr>
                          <w:b/>
                          <w:lang w:val="en-US"/>
                        </w:rPr>
                      </w:pPr>
                    </w:p>
                  </w:txbxContent>
                </v:textbox>
                <w10:wrap type="square" anchory="page"/>
              </v:shape>
            </w:pict>
          </mc:Fallback>
        </mc:AlternateContent>
      </w:r>
      <w:r w:rsidR="00D15C23" w:rsidRPr="00F50AF3">
        <w:rPr>
          <w:rFonts w:ascii="Times New Roman" w:hAnsi="Times New Roman" w:cs="Times New Roman"/>
          <w:bCs/>
          <w:sz w:val="24"/>
          <w:szCs w:val="24"/>
        </w:rPr>
        <w:t>Sangguniang Kabataan.</w:t>
      </w:r>
    </w:p>
    <w:p w14:paraId="35CFD838" w14:textId="77777777" w:rsidR="00F50AF3" w:rsidRDefault="00E748E4" w:rsidP="00F50AF3">
      <w:pPr>
        <w:pStyle w:val="Heading3"/>
        <w:spacing w:after="0" w:line="240" w:lineRule="auto"/>
        <w:jc w:val="both"/>
        <w:rPr>
          <w:rFonts w:ascii="Times New Roman" w:hAnsi="Times New Roman" w:cs="Times New Roman"/>
          <w:i w:val="0"/>
          <w:sz w:val="24"/>
          <w:szCs w:val="24"/>
        </w:rPr>
      </w:pPr>
      <w:r w:rsidRPr="00F50AF3">
        <w:rPr>
          <w:rFonts w:ascii="Times New Roman" w:hAnsi="Times New Roman" w:cs="Times New Roman"/>
          <w:i w:val="0"/>
          <w:noProof/>
          <w:sz w:val="24"/>
          <w:szCs w:val="24"/>
          <w:lang w:eastAsia="en-PH"/>
        </w:rPr>
        <mc:AlternateContent>
          <mc:Choice Requires="wps">
            <w:drawing>
              <wp:anchor distT="0" distB="0" distL="114300" distR="114300" simplePos="0" relativeHeight="251668480" behindDoc="0" locked="0" layoutInCell="1" allowOverlap="1" wp14:anchorId="0AA28803" wp14:editId="184884E7">
                <wp:simplePos x="0" y="0"/>
                <wp:positionH relativeFrom="column">
                  <wp:posOffset>4063042</wp:posOffset>
                </wp:positionH>
                <wp:positionV relativeFrom="page">
                  <wp:posOffset>3243532</wp:posOffset>
                </wp:positionV>
                <wp:extent cx="318770" cy="180975"/>
                <wp:effectExtent l="0" t="19050" r="43180" b="47625"/>
                <wp:wrapNone/>
                <wp:docPr id="6" name="Right Arrow 6"/>
                <wp:cNvGraphicFramePr/>
                <a:graphic xmlns:a="http://schemas.openxmlformats.org/drawingml/2006/main">
                  <a:graphicData uri="http://schemas.microsoft.com/office/word/2010/wordprocessingShape">
                    <wps:wsp>
                      <wps:cNvSpPr/>
                      <wps:spPr>
                        <a:xfrm>
                          <a:off x="0" y="0"/>
                          <a:ext cx="318770" cy="1809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0042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319.9pt;margin-top:255.4pt;width:25.1pt;height:14.25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" adj="15469" fillcolor="black [3213]" strokecolor="black [3213]" strokeweight="1pt">
                <w10:wrap anchory="page"/>
              </v:shape>
            </w:pict>
          </mc:Fallback>
        </mc:AlternateContent>
      </w:r>
      <w:r w:rsidRPr="00F50AF3">
        <w:rPr>
          <w:rFonts w:ascii="Times New Roman" w:hAnsi="Times New Roman" w:cs="Times New Roman"/>
          <w:i w:val="0"/>
          <w:noProof/>
          <w:sz w:val="24"/>
          <w:szCs w:val="24"/>
          <w:lang w:eastAsia="en-PH"/>
        </w:rPr>
        <mc:AlternateContent>
          <mc:Choice Requires="wps">
            <w:drawing>
              <wp:anchor distT="0" distB="0" distL="114300" distR="114300" simplePos="0" relativeHeight="251660288" behindDoc="0" locked="0" layoutInCell="1" allowOverlap="1" wp14:anchorId="311F5308" wp14:editId="19C12DD4">
                <wp:simplePos x="0" y="0"/>
                <wp:positionH relativeFrom="column">
                  <wp:posOffset>1863306</wp:posOffset>
                </wp:positionH>
                <wp:positionV relativeFrom="page">
                  <wp:posOffset>3243532</wp:posOffset>
                </wp:positionV>
                <wp:extent cx="318770" cy="180975"/>
                <wp:effectExtent l="0" t="19050" r="43180" b="47625"/>
                <wp:wrapNone/>
                <wp:docPr id="2" name="Right Arrow 2"/>
                <wp:cNvGraphicFramePr/>
                <a:graphic xmlns:a="http://schemas.openxmlformats.org/drawingml/2006/main">
                  <a:graphicData uri="http://schemas.microsoft.com/office/word/2010/wordprocessingShape">
                    <wps:wsp>
                      <wps:cNvSpPr/>
                      <wps:spPr>
                        <a:xfrm>
                          <a:off x="0" y="0"/>
                          <a:ext cx="318770" cy="1809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FAFBE" id="Right Arrow 2" o:spid="_x0000_s1026" type="#_x0000_t13" style="position:absolute;margin-left:146.7pt;margin-top:255.4pt;width:25.1pt;height:14.2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" adj="15469" fillcolor="black [3213]" strokecolor="black [3213]" strokeweight="1pt">
                <w10:wrap anchory="page"/>
              </v:shape>
            </w:pict>
          </mc:Fallback>
        </mc:AlternateContent>
      </w:r>
      <w:r w:rsidR="00F50AF3">
        <w:rPr>
          <w:rFonts w:ascii="Times New Roman" w:eastAsiaTheme="minorHAnsi" w:hAnsi="Times New Roman" w:cs="Times New Roman"/>
          <w:i w:val="0"/>
          <w:sz w:val="24"/>
          <w:szCs w:val="24"/>
        </w:rPr>
        <w:tab/>
      </w:r>
      <w:r w:rsidR="002D1375" w:rsidRPr="00F50AF3">
        <w:rPr>
          <w:rFonts w:ascii="Times New Roman" w:eastAsiaTheme="minorHAnsi" w:hAnsi="Times New Roman" w:cs="Times New Roman"/>
          <w:i w:val="0"/>
          <w:sz w:val="24"/>
          <w:szCs w:val="24"/>
        </w:rPr>
        <w:t xml:space="preserve">Using a survey questionnaire, the data were collected from the Sangguniang Kabataan (SK) officials from the different cities and municipalities in Davao del Norte. The analyzed data helped identify the most important training and served as the basis for developing a new training plan—a training plan that is composed of mandatory training and is arranged from the most needed training at the top to the least needed training. </w:t>
      </w:r>
      <w:r w:rsidR="002D1375" w:rsidRPr="00F50AF3">
        <w:rPr>
          <w:rFonts w:ascii="Times New Roman" w:hAnsi="Times New Roman" w:cs="Times New Roman"/>
          <w:i w:val="0"/>
          <w:sz w:val="24"/>
          <w:szCs w:val="24"/>
        </w:rPr>
        <w:t>The significance of the study lies in its potential to give the government valuable information that allows them to come up with better ways to make the Sangguniang Kabataan (SK) officials in Davao del Norte province more efficient and effective Additionally, the Department of Interior and Local Government (DILG) can use this survey to find out what problems the Sangguniang Kabataan in the Philippines are experiencing. Pimentel (2007) points out that the DILG is very important for giving power to local communities by helping them grow their capacity, formulate policies, and directly make this study relevant to their strategic objectives.</w:t>
      </w:r>
    </w:p>
    <w:p w14:paraId="6B180084" w14:textId="01A69A50" w:rsidR="00F50AF3" w:rsidRPr="00F50AF3" w:rsidRDefault="002D1375" w:rsidP="00F50AF3">
      <w:pPr>
        <w:pStyle w:val="Heading3"/>
        <w:spacing w:after="0" w:line="240" w:lineRule="auto"/>
        <w:jc w:val="both"/>
        <w:rPr>
          <w:rFonts w:ascii="Times New Roman" w:hAnsi="Times New Roman" w:cs="Times New Roman"/>
          <w:i w:val="0"/>
          <w:sz w:val="24"/>
          <w:szCs w:val="24"/>
        </w:rPr>
      </w:pPr>
      <w:r w:rsidRPr="00F50AF3">
        <w:rPr>
          <w:rFonts w:ascii="Times New Roman" w:hAnsi="Times New Roman" w:cs="Times New Roman"/>
          <w:i w:val="0"/>
          <w:sz w:val="24"/>
          <w:szCs w:val="24"/>
        </w:rPr>
        <w:t xml:space="preserve"> </w:t>
      </w:r>
    </w:p>
    <w:p w14:paraId="5B475B41" w14:textId="77777777" w:rsidR="002D1375" w:rsidRPr="00F50AF3" w:rsidRDefault="002D1375" w:rsidP="00F50AF3">
      <w:pPr>
        <w:spacing w:line="240" w:lineRule="auto"/>
        <w:jc w:val="both"/>
        <w:rPr>
          <w:rFonts w:ascii="Times New Roman" w:hAnsi="Times New Roman" w:cs="Times New Roman"/>
          <w:sz w:val="24"/>
          <w:szCs w:val="24"/>
        </w:rPr>
      </w:pPr>
      <w:r w:rsidRPr="00F50AF3">
        <w:rPr>
          <w:rFonts w:ascii="Times New Roman" w:hAnsi="Times New Roman" w:cs="Times New Roman"/>
          <w:sz w:val="24"/>
          <w:szCs w:val="24"/>
        </w:rPr>
        <w:tab/>
        <w:t xml:space="preserve">It is also important to the Sangguniang Kabataan (SK) officials in particular since it provides them with valuable information which they can use to enhance themselves as leaders in order to achieve a better and more prepared youth government. Besides its short-term practical applications, the study also provides a solid foundation for future scholarly studies of the importance of training needs assessments and effective youth leadership. The study contributed to future research studies since it indicated critical areas to be investigated and areas of gaps in the body of knowledge on this topic. Creswell and Creswell (2018) stress that this iterative research process, in which each study builds upon its predecessors, is crucial for promoting academic understanding and supporting evidence-based policymaking. </w:t>
      </w:r>
    </w:p>
    <w:p w14:paraId="5B84B92F" w14:textId="77777777" w:rsidR="002D1375" w:rsidRPr="00F50AF3" w:rsidRDefault="002D1375" w:rsidP="00F50AF3">
      <w:pPr>
        <w:spacing w:line="240" w:lineRule="auto"/>
        <w:jc w:val="both"/>
        <w:rPr>
          <w:rFonts w:ascii="Times New Roman" w:hAnsi="Times New Roman" w:cs="Times New Roman"/>
          <w:sz w:val="24"/>
          <w:szCs w:val="24"/>
        </w:rPr>
      </w:pPr>
      <w:r w:rsidRPr="00F50AF3">
        <w:rPr>
          <w:rFonts w:ascii="Times New Roman" w:hAnsi="Times New Roman" w:cs="Times New Roman"/>
          <w:sz w:val="24"/>
          <w:szCs w:val="24"/>
        </w:rPr>
        <w:tab/>
        <w:t xml:space="preserve">Despite efforts to address the pressing issues facing the Sangguniang Kabataan, there is a notable gap in the existing literature regarding the continuous training of the Sangguniang Kabataan. At the same time, </w:t>
      </w:r>
      <w:r w:rsidRPr="00F50AF3">
        <w:rPr>
          <w:rFonts w:ascii="Times New Roman" w:hAnsi="Times New Roman" w:cs="Times New Roman"/>
          <w:sz w:val="24"/>
          <w:szCs w:val="24"/>
        </w:rPr>
        <w:lastRenderedPageBreak/>
        <w:t>numerous studies have delved into identifying the effectiveness of mandatory trainings and seminars, like the study of Cal, Abellanosa, Payao and Niere (2023), wherein they concluded that the Sangguniang Kabataan Mandatory Training implemented in the chosen barangays in Cebu is effective and has shown a favorable correlation between knowledge and the conduct of training for SK. Few have examined what training and programs are most needed to address the skills and competency gap that resulted in the issues of the Sangguniang Kabataan. Moreover, a study conducted by Carolino and Rouco (2022) revealed that structured training programs significantly enhance leadership skills in young leaders, highlighting the importance of strategic and continuous development training that best supports their leadership skills. In contrast, the lack of cooperation from Sangguniang Kabataan (SK) officials can hinder development and competence, resulting in unequal distribution of respondents.</w:t>
      </w:r>
    </w:p>
    <w:p w14:paraId="0DC1217C" w14:textId="77777777" w:rsidR="002D1375" w:rsidRPr="00F50AF3" w:rsidRDefault="002D1375" w:rsidP="00F50AF3">
      <w:pPr>
        <w:spacing w:line="240" w:lineRule="auto"/>
        <w:jc w:val="both"/>
        <w:rPr>
          <w:rFonts w:ascii="Times New Roman" w:hAnsi="Times New Roman" w:cs="Times New Roman"/>
          <w:sz w:val="24"/>
          <w:szCs w:val="24"/>
        </w:rPr>
      </w:pPr>
      <w:r w:rsidRPr="00F50AF3">
        <w:rPr>
          <w:rFonts w:ascii="Times New Roman" w:hAnsi="Times New Roman" w:cs="Times New Roman"/>
          <w:sz w:val="24"/>
          <w:szCs w:val="24"/>
        </w:rPr>
        <w:tab/>
        <w:t xml:space="preserve">The scope of the study surrounds all barangays in the Province of Davao del Norte, and the respondents are elected and appointed Sangguniang Kabataan (SK) officials. This comprehensive coverage ensures that the research captures a wide and representative sample of SK officials across the province, allowing for a thorough examination of their competencies, training needs, and developmental requirements. Similarly, a study by Palangdao, Dumpayan, Perez, Aquino, and Ramos, (2023) concluded that Sangguniang Kabataan (SK) officials in Negros Occidental demonstrated a strong combination of core, technical, and leadership competencies, particularly in community engagement, effective communication, and project management. However, there are notable gaps that were observed and remained prevalent, especially in financial management, budgeting, and strategic planning, which are critical for sustaining successful community participation. Especial, Melitante, and Janer, (2022) highlighted persistent communication gaps among the Sangguniang Kabataan (SK) officials, recommending a structured training plan that fosters collaboration and effective communication. </w:t>
      </w:r>
    </w:p>
    <w:p w14:paraId="1BF16E8F" w14:textId="6F7AAADA" w:rsidR="002D1375" w:rsidRPr="00F50AF3" w:rsidRDefault="002D1375" w:rsidP="00F50AF3">
      <w:pPr>
        <w:spacing w:line="240" w:lineRule="auto"/>
        <w:jc w:val="both"/>
        <w:rPr>
          <w:rFonts w:ascii="Times New Roman" w:hAnsi="Times New Roman" w:cs="Times New Roman"/>
          <w:sz w:val="24"/>
          <w:szCs w:val="24"/>
        </w:rPr>
      </w:pPr>
      <w:r w:rsidRPr="00F50AF3">
        <w:rPr>
          <w:rFonts w:ascii="Times New Roman" w:hAnsi="Times New Roman" w:cs="Times New Roman"/>
          <w:sz w:val="24"/>
          <w:szCs w:val="24"/>
        </w:rPr>
        <w:tab/>
        <w:t>Furthermore, Castillo et al. (2024), as cited in the study of Suarez and Tuble (2025), emphasize the need for communication pathways between Sangguniang Kabataan (SK) officials and their constituents to enhance governance outcomes. In addition, it is imperative to proceed with a descriptive survey design to assess the level of competency of the Sangguniang Kabataan (SK) officials and to identify strengths. It's important to note that this study focuses specifically on the elected and appointed SK officials. It explicitly excludes other barangay officials, such as barangay chairpersons and councilors, to keep the focus clear and sharp on youth leadership. In conclusion, the results and recommendations directly spoke to the unique roles and responsibilities of the SK officials, without mixing their skills and challenges with those of other local government leaders. This way, the study stayed true to understanding and supporting the youth sector. Within the framework of quantitative research, the study employed a descriptive research design. As a result, the conclusions were based on the descriptive analysis.</w:t>
      </w:r>
    </w:p>
    <w:p w14:paraId="182B31A7" w14:textId="77777777" w:rsidR="002D1375" w:rsidRPr="00F50AF3" w:rsidRDefault="002D1375" w:rsidP="00F50AF3">
      <w:pPr>
        <w:pStyle w:val="Heading5"/>
        <w:spacing w:before="240" w:after="240"/>
      </w:pPr>
      <w:r w:rsidRPr="00F50AF3">
        <w:t>METHOD</w:t>
      </w:r>
    </w:p>
    <w:p w14:paraId="4C1C9501" w14:textId="77777777" w:rsidR="002D1375" w:rsidRPr="00F50AF3" w:rsidRDefault="002D1375" w:rsidP="00F50AF3">
      <w:pPr>
        <w:pStyle w:val="Heading4"/>
        <w:spacing w:line="240" w:lineRule="auto"/>
        <w:rPr>
          <w:rFonts w:ascii="Times New Roman" w:hAnsi="Times New Roman" w:cs="Times New Roman"/>
          <w:sz w:val="24"/>
          <w:szCs w:val="24"/>
        </w:rPr>
      </w:pPr>
      <w:r w:rsidRPr="00F50AF3">
        <w:rPr>
          <w:rFonts w:ascii="Times New Roman" w:hAnsi="Times New Roman" w:cs="Times New Roman"/>
          <w:sz w:val="24"/>
          <w:szCs w:val="24"/>
        </w:rPr>
        <w:t xml:space="preserve">Study Respondents </w:t>
      </w:r>
    </w:p>
    <w:p w14:paraId="7F8D302F" w14:textId="77777777" w:rsidR="002D1375" w:rsidRPr="00F50AF3" w:rsidRDefault="002D1375" w:rsidP="00F50AF3">
      <w:pPr>
        <w:spacing w:line="240" w:lineRule="auto"/>
        <w:jc w:val="both"/>
        <w:rPr>
          <w:rFonts w:ascii="Times New Roman" w:hAnsi="Times New Roman" w:cs="Times New Roman"/>
          <w:sz w:val="24"/>
          <w:szCs w:val="24"/>
        </w:rPr>
      </w:pPr>
      <w:r w:rsidRPr="00F50AF3">
        <w:rPr>
          <w:rFonts w:ascii="Times New Roman" w:hAnsi="Times New Roman" w:cs="Times New Roman"/>
          <w:sz w:val="24"/>
          <w:szCs w:val="24"/>
        </w:rPr>
        <w:t>The study focused on the elected and appointed Sangguniang Kabataan (SK) officials across the two districts of Davao del Norte. The province of Davao del Norte is composed of eleven (11) Local Government Units (LGUs) with three (3) cities and eight (8) municipalities and a total of 220 barangays. Following this, the respondents were selected using a simple random sampling method. This is based on the concept of Graglia (2025), which suggests that a rule of thumb or ten percent (10%) of the total respondent population is sufficient for survey sample sizes. Since the total number of SK officials is 2230, the examination of this 10 percent rule of thumb provided an adequate sample size of 223 respondents. In addition, this value is also consistent with the statement of Memon, Ting, Cheah, Thurasamy, Chuah, and Cham (2020) that a sample size of 200 is relatively adequate to conduct research. Moreover, 223 respondents participated in this study, 111 respondents (49.8%) identified as female, while 112 respondents (50.2%) identified as male. This strategy and approach ensured that all Sangguniang Kabataan officials from different municipalities in the province were fully represented. All of the chosen participants had already taken an initial survey. Using random sampling and the rule-of-thumb method makes it possible to identify any disparities in experiences between the several groups that took part in the study.</w:t>
      </w:r>
    </w:p>
    <w:p w14:paraId="667E7FB2" w14:textId="77777777" w:rsidR="006E3BBD" w:rsidRPr="00F50AF3" w:rsidRDefault="006E3BBD" w:rsidP="00F50AF3">
      <w:pPr>
        <w:pStyle w:val="Heading4"/>
        <w:spacing w:line="240" w:lineRule="auto"/>
        <w:rPr>
          <w:rFonts w:ascii="Times New Roman" w:hAnsi="Times New Roman" w:cs="Times New Roman"/>
          <w:sz w:val="24"/>
          <w:szCs w:val="24"/>
        </w:rPr>
      </w:pPr>
      <w:r w:rsidRPr="00F50AF3">
        <w:rPr>
          <w:rFonts w:ascii="Times New Roman" w:hAnsi="Times New Roman" w:cs="Times New Roman"/>
          <w:sz w:val="24"/>
          <w:szCs w:val="24"/>
        </w:rPr>
        <w:t xml:space="preserve">Materials and Instruments </w:t>
      </w:r>
    </w:p>
    <w:p w14:paraId="1DF5BCFD" w14:textId="77777777" w:rsidR="005D2629" w:rsidRPr="00F50AF3" w:rsidRDefault="006E3BBD"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 xml:space="preserve">In this study, a survey questionnaire was adapted from the National Youth Commission's (2021) Guidebook on the Competency Framework for SKs and LYDOs and PAGPAKANUG (2024). The purpose of </w:t>
      </w:r>
      <w:r w:rsidRPr="00F50AF3">
        <w:rPr>
          <w:rFonts w:ascii="Times New Roman" w:eastAsiaTheme="minorHAnsi" w:hAnsi="Times New Roman" w:cs="Times New Roman"/>
          <w:sz w:val="24"/>
          <w:szCs w:val="24"/>
        </w:rPr>
        <w:lastRenderedPageBreak/>
        <w:t>the study was to identify the training requirements of the Sangguniang Kabataan through obtaining their demographics, desire for training, the level of skills and competence attributed to the respondents, and educational attainment as a mitigating factor.</w:t>
      </w:r>
    </w:p>
    <w:p w14:paraId="775FE9E8" w14:textId="77777777" w:rsidR="006E3BBD" w:rsidRPr="00F50AF3" w:rsidRDefault="006E3BBD"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The survey questionnaire assessed the training needs by focusing on the variables and their indicators. Primarily, the demographic profile includes the gender and locality of the respondents. It is followed by the skills and competencies with the indicators of core competencies, technical competencies, leadership competencies, and functional competencies. Lastly, the specific training and development were composed of common skills, project development, and volunteer mobilization.</w:t>
      </w:r>
    </w:p>
    <w:p w14:paraId="359D6BBB" w14:textId="77777777" w:rsidR="006E3BBD" w:rsidRPr="00F50AF3" w:rsidRDefault="006E3BBD" w:rsidP="00F50AF3">
      <w:pPr>
        <w:pStyle w:val="BodyText2"/>
        <w:spacing w:line="240" w:lineRule="auto"/>
        <w:rPr>
          <w:rFonts w:ascii="Times New Roman" w:hAnsi="Times New Roman" w:cs="Times New Roman"/>
          <w:color w:val="000000"/>
          <w:sz w:val="24"/>
          <w:szCs w:val="24"/>
        </w:rPr>
      </w:pPr>
      <w:r w:rsidRPr="00F50AF3">
        <w:rPr>
          <w:rFonts w:ascii="Times New Roman" w:hAnsi="Times New Roman" w:cs="Times New Roman"/>
          <w:color w:val="000000"/>
          <w:sz w:val="24"/>
          <w:szCs w:val="24"/>
        </w:rPr>
        <w:tab/>
        <w:t>The researchers evaluated the reliability and validity of the questions by executing a pilot test with 37 respondents. Using Cronbach’s alpha, the reliability test results showed that all scales in the questionnaire demonstrated high to very high consistency, with Cronbach’s alpha values exceeding the acceptable threshold of 0.700. All scales in the questionnaire demonstrated a strong internal consistency. This aligns with Hussey, Alsalti, Bosco, Elson, and Arslan (2025), who note that alpha values above 0.70 reflect acceptable reliability. The questions were validated by the professor and were distributed to the Sangguniang Kabataan (SK) officials in three (3) cities and eight (8) municipalities of Davao del Norte province. After the questionnaire was answered by the respondents, the data were tallied, tabulated, and assessed according to how often the respondents marked an item. In analyzing, the researchers engaged a statistician to help identify adequate statistical methods to be used in analyzing the acquired data from the respondents. Quantitatively, it revealed the training needs of the Sangguniang Kabataan (SK) officials.</w:t>
      </w:r>
    </w:p>
    <w:p w14:paraId="733AC7E9" w14:textId="77777777" w:rsidR="006E3BBD" w:rsidRPr="00F50AF3" w:rsidRDefault="006E3BBD"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Table 1 shows the competency matrix, which outlines four key areas: core competencies, technical competencies, leadership competencies, and functional expertise. Each area details specific competencies, such as adaptability and information management, along with behavioral indicators that describe how these competencies are demonstrated. The matrix also establishes the proficiency levels and identifies a point in the focus of training needs analysis on each area of competencies, whereby it will assess and advance the skills of the Sangguniang Kabataan (SK) officials in such areas as strategic thinking, project monitoring, and financial management.</w:t>
      </w:r>
    </w:p>
    <w:p w14:paraId="311433D3" w14:textId="77777777" w:rsidR="006E3BBD" w:rsidRPr="00F50AF3" w:rsidRDefault="006E3BBD" w:rsidP="00F50AF3">
      <w:pPr>
        <w:pStyle w:val="BodyText2"/>
        <w:spacing w:after="0"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xml:space="preserve">Table 1. Competency matrix </w:t>
      </w:r>
    </w:p>
    <w:tbl>
      <w:tblPr>
        <w:tblStyle w:val="TableGrid"/>
        <w:tblW w:w="10649" w:type="dxa"/>
        <w:tblLook w:val="04A0" w:firstRow="1" w:lastRow="0" w:firstColumn="1" w:lastColumn="0" w:noHBand="0" w:noVBand="1"/>
      </w:tblPr>
      <w:tblGrid>
        <w:gridCol w:w="2065"/>
        <w:gridCol w:w="2610"/>
        <w:gridCol w:w="2070"/>
        <w:gridCol w:w="3904"/>
      </w:tblGrid>
      <w:tr w:rsidR="006E3BBD" w:rsidRPr="00F50AF3" w14:paraId="6D510105" w14:textId="77777777" w:rsidTr="00F50AF3">
        <w:trPr>
          <w:trHeight w:val="617"/>
        </w:trPr>
        <w:tc>
          <w:tcPr>
            <w:tcW w:w="2065" w:type="dxa"/>
          </w:tcPr>
          <w:p w14:paraId="6F14FAFE" w14:textId="77777777" w:rsidR="006E3BBD" w:rsidRPr="00F50AF3" w:rsidRDefault="006E3BBD"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hAnsi="Times New Roman" w:cs="Times New Roman"/>
                <w:b/>
                <w:bCs/>
                <w:color w:val="000000"/>
                <w:sz w:val="24"/>
                <w:szCs w:val="24"/>
              </w:rPr>
              <w:t>Competency area</w:t>
            </w:r>
          </w:p>
        </w:tc>
        <w:tc>
          <w:tcPr>
            <w:tcW w:w="2610" w:type="dxa"/>
          </w:tcPr>
          <w:p w14:paraId="12EDDE35" w14:textId="77777777" w:rsidR="006E3BBD" w:rsidRPr="00F50AF3" w:rsidRDefault="006E3BBD" w:rsidP="00F50AF3">
            <w:pPr>
              <w:pStyle w:val="NormalWeb"/>
              <w:spacing w:before="0" w:beforeAutospacing="0" w:after="0" w:afterAutospacing="0"/>
              <w:jc w:val="center"/>
            </w:pPr>
            <w:r w:rsidRPr="00F50AF3">
              <w:rPr>
                <w:b/>
                <w:bCs/>
                <w:color w:val="000000"/>
              </w:rPr>
              <w:t>Specific</w:t>
            </w:r>
          </w:p>
          <w:p w14:paraId="4A725B83" w14:textId="77777777" w:rsidR="006E3BBD" w:rsidRPr="00F50AF3" w:rsidRDefault="006E3BBD" w:rsidP="00F50AF3">
            <w:pPr>
              <w:pStyle w:val="NormalWeb"/>
              <w:spacing w:before="0" w:beforeAutospacing="0" w:after="0" w:afterAutospacing="0"/>
              <w:jc w:val="center"/>
            </w:pPr>
            <w:r w:rsidRPr="00F50AF3">
              <w:rPr>
                <w:b/>
                <w:bCs/>
                <w:color w:val="000000"/>
              </w:rPr>
              <w:t>Competencies</w:t>
            </w:r>
          </w:p>
          <w:p w14:paraId="202D9CA4" w14:textId="77777777" w:rsidR="006E3BBD" w:rsidRPr="00F50AF3" w:rsidRDefault="006E3BBD" w:rsidP="00F50AF3">
            <w:pPr>
              <w:pStyle w:val="BodyText2"/>
              <w:spacing w:line="240" w:lineRule="auto"/>
              <w:jc w:val="center"/>
              <w:rPr>
                <w:rFonts w:ascii="Times New Roman" w:eastAsiaTheme="minorHAnsi" w:hAnsi="Times New Roman" w:cs="Times New Roman"/>
                <w:sz w:val="24"/>
                <w:szCs w:val="24"/>
              </w:rPr>
            </w:pPr>
          </w:p>
        </w:tc>
        <w:tc>
          <w:tcPr>
            <w:tcW w:w="2070" w:type="dxa"/>
          </w:tcPr>
          <w:p w14:paraId="10DEF036" w14:textId="77777777" w:rsidR="006E3BBD" w:rsidRPr="00F50AF3" w:rsidRDefault="006E3BBD"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hAnsi="Times New Roman" w:cs="Times New Roman"/>
                <w:b/>
                <w:bCs/>
                <w:color w:val="000000"/>
                <w:sz w:val="24"/>
                <w:szCs w:val="24"/>
              </w:rPr>
              <w:t>Proficiency levels</w:t>
            </w:r>
          </w:p>
        </w:tc>
        <w:tc>
          <w:tcPr>
            <w:tcW w:w="3904" w:type="dxa"/>
          </w:tcPr>
          <w:p w14:paraId="53B1F6AC" w14:textId="77777777" w:rsidR="006E3BBD" w:rsidRPr="00F50AF3" w:rsidRDefault="006E3BBD"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hAnsi="Times New Roman" w:cs="Times New Roman"/>
                <w:b/>
                <w:bCs/>
                <w:color w:val="000000"/>
                <w:sz w:val="24"/>
                <w:szCs w:val="24"/>
              </w:rPr>
              <w:t>Training needs analysis focus</w:t>
            </w:r>
          </w:p>
        </w:tc>
      </w:tr>
      <w:tr w:rsidR="0011135C" w:rsidRPr="00F50AF3" w14:paraId="29EB6D6D" w14:textId="77777777" w:rsidTr="00F50AF3">
        <w:trPr>
          <w:trHeight w:val="1935"/>
        </w:trPr>
        <w:tc>
          <w:tcPr>
            <w:tcW w:w="2065" w:type="dxa"/>
          </w:tcPr>
          <w:p w14:paraId="57A1032B" w14:textId="77777777" w:rsidR="0011135C" w:rsidRPr="00F50AF3" w:rsidRDefault="0011135C" w:rsidP="00F50AF3">
            <w:pPr>
              <w:pStyle w:val="NormalWeb"/>
              <w:spacing w:before="0" w:beforeAutospacing="0" w:after="0" w:afterAutospacing="0"/>
              <w:ind w:left="132"/>
              <w:jc w:val="center"/>
            </w:pPr>
            <w:r w:rsidRPr="00F50AF3">
              <w:rPr>
                <w:color w:val="000000"/>
              </w:rPr>
              <w:t>Core</w:t>
            </w:r>
          </w:p>
          <w:p w14:paraId="57036741" w14:textId="77777777" w:rsidR="0011135C" w:rsidRPr="00F50AF3" w:rsidRDefault="0011135C" w:rsidP="00F50AF3">
            <w:pPr>
              <w:pStyle w:val="NormalWeb"/>
              <w:spacing w:before="0" w:beforeAutospacing="0" w:after="0" w:afterAutospacing="0"/>
              <w:jc w:val="center"/>
            </w:pPr>
            <w:r w:rsidRPr="00F50AF3">
              <w:rPr>
                <w:color w:val="000000"/>
              </w:rPr>
              <w:t>Competencies</w:t>
            </w:r>
          </w:p>
          <w:p w14:paraId="389D1243"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tc>
        <w:tc>
          <w:tcPr>
            <w:tcW w:w="2610" w:type="dxa"/>
          </w:tcPr>
          <w:p w14:paraId="7CD27285" w14:textId="77777777" w:rsidR="0011135C" w:rsidRPr="00F50AF3" w:rsidRDefault="0011135C" w:rsidP="00F50AF3">
            <w:pPr>
              <w:pStyle w:val="NormalWeb"/>
              <w:spacing w:before="0" w:beforeAutospacing="0" w:after="0" w:afterAutospacing="0"/>
              <w:ind w:left="117"/>
            </w:pPr>
            <w:r w:rsidRPr="00F50AF3">
              <w:rPr>
                <w:color w:val="000000"/>
              </w:rPr>
              <w:t>Adaptability </w:t>
            </w:r>
          </w:p>
          <w:p w14:paraId="308064E2" w14:textId="77777777" w:rsidR="0011135C" w:rsidRPr="00F50AF3" w:rsidRDefault="0011135C" w:rsidP="00F50AF3">
            <w:pPr>
              <w:pStyle w:val="NormalWeb"/>
              <w:spacing w:before="271" w:beforeAutospacing="0" w:after="0" w:afterAutospacing="0"/>
              <w:ind w:left="127"/>
            </w:pPr>
            <w:r w:rsidRPr="00F50AF3">
              <w:rPr>
                <w:color w:val="000000"/>
              </w:rPr>
              <w:t>Communicating </w:t>
            </w:r>
          </w:p>
          <w:p w14:paraId="48AB02A6" w14:textId="77777777" w:rsidR="0011135C" w:rsidRPr="00F50AF3" w:rsidRDefault="0011135C" w:rsidP="00F50AF3">
            <w:pPr>
              <w:pStyle w:val="NormalWeb"/>
              <w:spacing w:before="31" w:beforeAutospacing="0" w:after="0" w:afterAutospacing="0"/>
              <w:ind w:left="133"/>
            </w:pPr>
            <w:r w:rsidRPr="00F50AF3">
              <w:rPr>
                <w:color w:val="000000"/>
              </w:rPr>
              <w:t>Effectively </w:t>
            </w:r>
          </w:p>
          <w:p w14:paraId="63917E42" w14:textId="77777777" w:rsidR="0011135C" w:rsidRPr="00F50AF3" w:rsidRDefault="0011135C" w:rsidP="00F50AF3">
            <w:pPr>
              <w:pStyle w:val="NormalWeb"/>
              <w:spacing w:before="271" w:beforeAutospacing="0" w:after="0" w:afterAutospacing="0"/>
              <w:ind w:left="127"/>
            </w:pPr>
            <w:r w:rsidRPr="00F50AF3">
              <w:rPr>
                <w:color w:val="000000"/>
              </w:rPr>
              <w:t>Organizational </w:t>
            </w:r>
          </w:p>
          <w:p w14:paraId="5FA58FA7" w14:textId="77777777" w:rsidR="0011135C" w:rsidRPr="00F50AF3" w:rsidRDefault="0011135C" w:rsidP="00F50AF3">
            <w:pPr>
              <w:pStyle w:val="NormalWeb"/>
              <w:spacing w:before="31" w:beforeAutospacing="0" w:after="0" w:afterAutospacing="0"/>
              <w:ind w:left="117"/>
            </w:pPr>
            <w:r w:rsidRPr="00F50AF3">
              <w:rPr>
                <w:color w:val="000000"/>
              </w:rPr>
              <w:t>Awareness</w:t>
            </w:r>
          </w:p>
        </w:tc>
        <w:tc>
          <w:tcPr>
            <w:tcW w:w="2070" w:type="dxa"/>
            <w:vMerge w:val="restart"/>
          </w:tcPr>
          <w:p w14:paraId="6D84E629"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7FCC6000"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5E8BE18D"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3758BA4F"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61F04B9A"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5A914A28"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Very High Proficiency</w:t>
            </w:r>
          </w:p>
          <w:p w14:paraId="12D6BA00"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52AA40D4"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High Proficiency</w:t>
            </w:r>
          </w:p>
          <w:p w14:paraId="6885F302"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75C88670"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Proficient</w:t>
            </w:r>
          </w:p>
          <w:p w14:paraId="28DA7A6A"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6096F492"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Low Proficiency</w:t>
            </w:r>
          </w:p>
          <w:p w14:paraId="1A316A7F"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74CF3B5D"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Very Low Proficiency</w:t>
            </w:r>
          </w:p>
        </w:tc>
        <w:tc>
          <w:tcPr>
            <w:tcW w:w="3904" w:type="dxa"/>
          </w:tcPr>
          <w:p w14:paraId="4D254596"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 xml:space="preserve">Evaluate the competency level of SK officials and their capability to adapt to and strategize situations. </w:t>
            </w:r>
          </w:p>
        </w:tc>
      </w:tr>
      <w:tr w:rsidR="0011135C" w:rsidRPr="00F50AF3" w14:paraId="4C58860E" w14:textId="77777777" w:rsidTr="00F50AF3">
        <w:trPr>
          <w:trHeight w:val="865"/>
        </w:trPr>
        <w:tc>
          <w:tcPr>
            <w:tcW w:w="2065" w:type="dxa"/>
          </w:tcPr>
          <w:p w14:paraId="47D1B195" w14:textId="77777777" w:rsidR="0011135C" w:rsidRPr="00F50AF3" w:rsidRDefault="0011135C" w:rsidP="00F50AF3">
            <w:pPr>
              <w:pStyle w:val="NormalWeb"/>
              <w:spacing w:before="0" w:beforeAutospacing="0" w:after="0" w:afterAutospacing="0"/>
              <w:ind w:left="127"/>
              <w:jc w:val="center"/>
            </w:pPr>
            <w:r w:rsidRPr="00F50AF3">
              <w:rPr>
                <w:color w:val="000000"/>
              </w:rPr>
              <w:t>Technical</w:t>
            </w:r>
          </w:p>
          <w:p w14:paraId="529689CE" w14:textId="77777777" w:rsidR="0011135C" w:rsidRPr="00F50AF3" w:rsidRDefault="0011135C" w:rsidP="00F50AF3">
            <w:pPr>
              <w:pStyle w:val="NormalWeb"/>
              <w:spacing w:before="0" w:beforeAutospacing="0" w:after="0" w:afterAutospacing="0"/>
              <w:jc w:val="center"/>
            </w:pPr>
            <w:r w:rsidRPr="00F50AF3">
              <w:rPr>
                <w:color w:val="000000"/>
              </w:rPr>
              <w:t>competencies</w:t>
            </w:r>
          </w:p>
          <w:p w14:paraId="74317428"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tc>
        <w:tc>
          <w:tcPr>
            <w:tcW w:w="2610" w:type="dxa"/>
          </w:tcPr>
          <w:p w14:paraId="284217F2" w14:textId="77777777" w:rsidR="0011135C" w:rsidRPr="00F50AF3" w:rsidRDefault="0011135C" w:rsidP="00F50AF3">
            <w:pPr>
              <w:pStyle w:val="NormalWeb"/>
              <w:spacing w:before="0" w:beforeAutospacing="0" w:after="0" w:afterAutospacing="0"/>
              <w:ind w:left="132" w:right="187" w:firstLine="4"/>
            </w:pPr>
            <w:r w:rsidRPr="00F50AF3">
              <w:rPr>
                <w:color w:val="000000"/>
              </w:rPr>
              <w:t>Information and Management </w:t>
            </w:r>
          </w:p>
          <w:p w14:paraId="0A9D6AAC" w14:textId="77777777" w:rsidR="0011135C" w:rsidRPr="00F50AF3" w:rsidRDefault="0011135C" w:rsidP="00F50AF3">
            <w:pPr>
              <w:pStyle w:val="NormalWeb"/>
              <w:spacing w:before="251" w:beforeAutospacing="0" w:after="0" w:afterAutospacing="0"/>
              <w:ind w:left="133"/>
            </w:pPr>
            <w:r w:rsidRPr="00F50AF3">
              <w:rPr>
                <w:color w:val="000000"/>
              </w:rPr>
              <w:t>Research Aptitude </w:t>
            </w:r>
          </w:p>
          <w:p w14:paraId="5411EE19" w14:textId="77777777" w:rsidR="0011135C" w:rsidRPr="00F50AF3" w:rsidRDefault="0011135C" w:rsidP="00F50AF3">
            <w:pPr>
              <w:pStyle w:val="NormalWeb"/>
              <w:spacing w:before="271" w:beforeAutospacing="0" w:after="0" w:afterAutospacing="0"/>
              <w:ind w:left="124" w:right="190" w:firstLine="8"/>
            </w:pPr>
            <w:r w:rsidRPr="00F50AF3">
              <w:rPr>
                <w:color w:val="000000"/>
              </w:rPr>
              <w:t>Project Monitoring and Evaluation </w:t>
            </w:r>
          </w:p>
          <w:p w14:paraId="4EE815F7" w14:textId="77777777" w:rsidR="0011135C" w:rsidRPr="00F50AF3" w:rsidRDefault="0011135C" w:rsidP="00F50AF3">
            <w:pPr>
              <w:pStyle w:val="NormalWeb"/>
              <w:spacing w:before="251" w:beforeAutospacing="0" w:after="0" w:afterAutospacing="0"/>
              <w:ind w:left="122"/>
            </w:pPr>
            <w:r w:rsidRPr="00F50AF3">
              <w:rPr>
                <w:color w:val="000000"/>
              </w:rPr>
              <w:t xml:space="preserve">Technical Writing </w:t>
            </w:r>
          </w:p>
        </w:tc>
        <w:tc>
          <w:tcPr>
            <w:tcW w:w="2070" w:type="dxa"/>
            <w:vMerge/>
          </w:tcPr>
          <w:p w14:paraId="389F7940"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tc>
        <w:tc>
          <w:tcPr>
            <w:tcW w:w="3904" w:type="dxa"/>
          </w:tcPr>
          <w:p w14:paraId="58FB61E4"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Provide practical and</w:t>
            </w:r>
          </w:p>
          <w:p w14:paraId="3EE75945"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specialized expertise to perform the core tasks of a specific job or field efficiently, in compliance with the accurate process.</w:t>
            </w:r>
          </w:p>
        </w:tc>
      </w:tr>
      <w:tr w:rsidR="0011135C" w:rsidRPr="00F50AF3" w14:paraId="40F0729B" w14:textId="77777777" w:rsidTr="00F50AF3">
        <w:trPr>
          <w:trHeight w:val="1308"/>
        </w:trPr>
        <w:tc>
          <w:tcPr>
            <w:tcW w:w="2065" w:type="dxa"/>
          </w:tcPr>
          <w:p w14:paraId="7B1BA6B1" w14:textId="77777777" w:rsidR="0011135C" w:rsidRPr="00F50AF3" w:rsidRDefault="0011135C"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Leadership</w:t>
            </w:r>
          </w:p>
          <w:p w14:paraId="6ED6CBCF" w14:textId="77777777" w:rsidR="0011135C" w:rsidRPr="00F50AF3" w:rsidRDefault="0011135C"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competencies</w:t>
            </w:r>
          </w:p>
        </w:tc>
        <w:tc>
          <w:tcPr>
            <w:tcW w:w="2610" w:type="dxa"/>
          </w:tcPr>
          <w:p w14:paraId="4155B99D"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Effective Decision</w:t>
            </w:r>
          </w:p>
          <w:p w14:paraId="10BE87CA"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786C1C5B"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Making</w:t>
            </w:r>
          </w:p>
          <w:p w14:paraId="6688D64D"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Planning for Results</w:t>
            </w:r>
          </w:p>
          <w:p w14:paraId="2A9242EE"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p w14:paraId="481E8112"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Strategic Thinking</w:t>
            </w:r>
          </w:p>
        </w:tc>
        <w:tc>
          <w:tcPr>
            <w:tcW w:w="2070" w:type="dxa"/>
            <w:vMerge/>
          </w:tcPr>
          <w:p w14:paraId="554A7CDC"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tc>
        <w:tc>
          <w:tcPr>
            <w:tcW w:w="3904" w:type="dxa"/>
          </w:tcPr>
          <w:p w14:paraId="25A4DE4A"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To develop a sense of effective leadership in terms of planning and strategic thinking.</w:t>
            </w:r>
          </w:p>
        </w:tc>
      </w:tr>
      <w:tr w:rsidR="0011135C" w:rsidRPr="00F50AF3" w14:paraId="329D43E1" w14:textId="77777777" w:rsidTr="00F50AF3">
        <w:trPr>
          <w:trHeight w:val="865"/>
        </w:trPr>
        <w:tc>
          <w:tcPr>
            <w:tcW w:w="2065" w:type="dxa"/>
          </w:tcPr>
          <w:p w14:paraId="63698736" w14:textId="10E6CF9E" w:rsidR="0011135C" w:rsidRPr="00F50AF3" w:rsidRDefault="0011135C"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lastRenderedPageBreak/>
              <w:t>Functional</w:t>
            </w:r>
          </w:p>
          <w:p w14:paraId="627519D4" w14:textId="6A20AAFF" w:rsidR="0011135C" w:rsidRPr="00F50AF3" w:rsidRDefault="0011135C"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expertise</w:t>
            </w:r>
          </w:p>
        </w:tc>
        <w:tc>
          <w:tcPr>
            <w:tcW w:w="2610" w:type="dxa"/>
          </w:tcPr>
          <w:p w14:paraId="416CB37B" w14:textId="2C21F69B"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Financial Management and Budgeting</w:t>
            </w:r>
          </w:p>
          <w:p w14:paraId="022E4AE2" w14:textId="517B3829" w:rsidR="0011135C" w:rsidRPr="00F50AF3" w:rsidRDefault="0011135C" w:rsidP="00F50AF3">
            <w:pPr>
              <w:pStyle w:val="BodyText2"/>
              <w:spacing w:line="240" w:lineRule="auto"/>
              <w:rPr>
                <w:rFonts w:ascii="Times New Roman" w:eastAsiaTheme="minorHAnsi" w:hAnsi="Times New Roman" w:cs="Times New Roman"/>
                <w:sz w:val="24"/>
                <w:szCs w:val="24"/>
              </w:rPr>
            </w:pPr>
          </w:p>
          <w:p w14:paraId="44FB615F" w14:textId="160835C1"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Training Management</w:t>
            </w:r>
          </w:p>
        </w:tc>
        <w:tc>
          <w:tcPr>
            <w:tcW w:w="2070" w:type="dxa"/>
            <w:vMerge/>
          </w:tcPr>
          <w:p w14:paraId="7AD345DD" w14:textId="77777777" w:rsidR="0011135C" w:rsidRPr="00F50AF3" w:rsidRDefault="0011135C" w:rsidP="00F50AF3">
            <w:pPr>
              <w:pStyle w:val="BodyText2"/>
              <w:spacing w:line="240" w:lineRule="auto"/>
              <w:rPr>
                <w:rFonts w:ascii="Times New Roman" w:eastAsiaTheme="minorHAnsi" w:hAnsi="Times New Roman" w:cs="Times New Roman"/>
                <w:sz w:val="24"/>
                <w:szCs w:val="24"/>
              </w:rPr>
            </w:pPr>
          </w:p>
        </w:tc>
        <w:tc>
          <w:tcPr>
            <w:tcW w:w="3904" w:type="dxa"/>
          </w:tcPr>
          <w:p w14:paraId="162C23A7" w14:textId="6D9D1C26"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The goal is to identify the gaps</w:t>
            </w:r>
          </w:p>
          <w:p w14:paraId="36607497" w14:textId="59364CCD"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in the skills and knowledge that</w:t>
            </w:r>
          </w:p>
          <w:p w14:paraId="2D65A42A" w14:textId="117611FE"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are needed to perform specific</w:t>
            </w:r>
          </w:p>
          <w:p w14:paraId="2F57BAE5" w14:textId="0D986948"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functions and responsibilities</w:t>
            </w:r>
          </w:p>
          <w:p w14:paraId="53A9C2A6" w14:textId="603CF68E" w:rsidR="0011135C" w:rsidRPr="00F50AF3" w:rsidRDefault="0011135C"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efficiently.</w:t>
            </w:r>
          </w:p>
        </w:tc>
      </w:tr>
    </w:tbl>
    <w:p w14:paraId="5641E5F4" w14:textId="185BB7DE" w:rsidR="006E3BBD" w:rsidRPr="00F50AF3" w:rsidRDefault="006E3BBD" w:rsidP="00F50AF3">
      <w:pPr>
        <w:pStyle w:val="BodyText2"/>
        <w:spacing w:line="240" w:lineRule="auto"/>
        <w:rPr>
          <w:rFonts w:ascii="Times New Roman" w:eastAsiaTheme="minorHAnsi" w:hAnsi="Times New Roman" w:cs="Times New Roman"/>
          <w:sz w:val="24"/>
          <w:szCs w:val="24"/>
        </w:rPr>
      </w:pPr>
    </w:p>
    <w:p w14:paraId="391FABF7" w14:textId="6C9B2C76" w:rsidR="00BF2F4B" w:rsidRPr="00F50AF3" w:rsidRDefault="00BF2F4B"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b/>
          <w:sz w:val="24"/>
          <w:szCs w:val="24"/>
        </w:rPr>
        <w:t xml:space="preserve">Design and Procedure </w:t>
      </w:r>
    </w:p>
    <w:p w14:paraId="0923993F" w14:textId="6EF61C8C" w:rsidR="00BD054C" w:rsidRPr="00BD054C" w:rsidRDefault="00BD054C" w:rsidP="00456048">
      <w:pPr>
        <w:pStyle w:val="BodyText2"/>
        <w:spacing w:after="0" w:line="240" w:lineRule="auto"/>
        <w:rPr>
          <w:rFonts w:ascii="Times New Roman" w:hAnsi="Times New Roman" w:cs="Times New Roman"/>
          <w:color w:val="000000"/>
          <w:sz w:val="24"/>
          <w:szCs w:val="24"/>
        </w:rPr>
      </w:pPr>
      <w:r w:rsidRPr="00F50AF3">
        <w:rPr>
          <w:rFonts w:ascii="Times New Roman" w:eastAsiaTheme="minorHAnsi" w:hAnsi="Times New Roman" w:cs="Times New Roman"/>
          <w:noProof/>
          <w:sz w:val="24"/>
          <w:szCs w:val="24"/>
          <w:lang w:eastAsia="en-PH"/>
        </w:rPr>
        <mc:AlternateContent>
          <mc:Choice Requires="wps">
            <w:drawing>
              <wp:anchor distT="45720" distB="45720" distL="114300" distR="114300" simplePos="0" relativeHeight="251687936" behindDoc="0" locked="0" layoutInCell="1" allowOverlap="1" wp14:anchorId="44F70BC0" wp14:editId="6598B9AD">
                <wp:simplePos x="0" y="0"/>
                <wp:positionH relativeFrom="column">
                  <wp:posOffset>5348743</wp:posOffset>
                </wp:positionH>
                <wp:positionV relativeFrom="page">
                  <wp:posOffset>3435874</wp:posOffset>
                </wp:positionV>
                <wp:extent cx="1414780" cy="762000"/>
                <wp:effectExtent l="0" t="0" r="1397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762000"/>
                        </a:xfrm>
                        <a:prstGeom prst="rect">
                          <a:avLst/>
                        </a:prstGeom>
                        <a:solidFill>
                          <a:srgbClr val="FFFFFF"/>
                        </a:solidFill>
                        <a:ln w="19050">
                          <a:solidFill>
                            <a:srgbClr val="000000"/>
                          </a:solidFill>
                          <a:miter lim="800000"/>
                          <a:headEnd/>
                          <a:tailEnd/>
                        </a:ln>
                      </wps:spPr>
                      <wps:txbx>
                        <w:txbxContent>
                          <w:p w14:paraId="041032BE" w14:textId="77777777" w:rsidR="00DB6836" w:rsidRPr="00742ABB" w:rsidRDefault="00DB6836" w:rsidP="00D1168D">
                            <w:pPr>
                              <w:spacing w:after="0" w:line="240" w:lineRule="auto"/>
                              <w:jc w:val="center"/>
                              <w:rPr>
                                <w:rFonts w:ascii="Times New Roman" w:hAnsi="Times New Roman" w:cs="Times New Roman"/>
                                <w:lang w:val="en-US"/>
                              </w:rPr>
                            </w:pPr>
                          </w:p>
                          <w:p w14:paraId="7C775320"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Reporting Findings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70BC0" id="_x0000_s1029" type="#_x0000_t202" style="position:absolute;left:0;text-align:left;margin-left:421.15pt;margin-top:270.55pt;width:111.4pt;height:60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" strokeweight="1.5pt">
                <v:textbox>
                  <w:txbxContent>
                    <w:p w14:paraId="041032BE" w14:textId="77777777" w:rsidR="00DB6836" w:rsidRPr="00742ABB" w:rsidRDefault="00DB6836" w:rsidP="00D1168D">
                      <w:pPr>
                        <w:spacing w:after="0" w:line="240" w:lineRule="auto"/>
                        <w:jc w:val="center"/>
                        <w:rPr>
                          <w:rFonts w:ascii="Times New Roman" w:hAnsi="Times New Roman" w:cs="Times New Roman"/>
                          <w:lang w:val="en-US"/>
                        </w:rPr>
                      </w:pPr>
                    </w:p>
                    <w:p w14:paraId="7C775320"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Reporting Findings  </w:t>
                      </w:r>
                    </w:p>
                  </w:txbxContent>
                </v:textbox>
                <w10:wrap type="square" anchory="page"/>
              </v:shape>
            </w:pict>
          </mc:Fallback>
        </mc:AlternateContent>
      </w:r>
      <w:r w:rsidR="00BF2F4B" w:rsidRPr="00F50AF3">
        <w:rPr>
          <w:rFonts w:ascii="Times New Roman" w:eastAsiaTheme="minorHAnsi" w:hAnsi="Times New Roman" w:cs="Times New Roman"/>
          <w:sz w:val="24"/>
          <w:szCs w:val="24"/>
        </w:rPr>
        <w:tab/>
        <w:t xml:space="preserve">The study used a Quantitative descriptive design. Quantitative approach, by Creswell (2014), is a type of research study that is quantitative descriptive, where structured forms of collecting information, such as survey questionnaires, are used to </w:t>
      </w:r>
      <w:r w:rsidR="00BF2F4B" w:rsidRPr="00F50AF3">
        <w:rPr>
          <w:rFonts w:ascii="Times New Roman" w:hAnsi="Times New Roman" w:cs="Times New Roman"/>
          <w:color w:val="000000"/>
          <w:sz w:val="24"/>
          <w:szCs w:val="24"/>
        </w:rPr>
        <w:t>gather information because the data collected is considered to be reliable and objective. After the data was gathered, the statistical tools were applied. The descriptive statistics played an important role in developing a clear image of their demographics and defining their needs in terms of specific training, which offers a guideline for further research.</w:t>
      </w:r>
      <w:r w:rsidR="00D1168D" w:rsidRPr="00F50AF3">
        <w:rPr>
          <w:rFonts w:ascii="Times New Roman" w:hAnsi="Times New Roman" w:cs="Times New Roman"/>
          <w:color w:val="000000"/>
          <w:sz w:val="24"/>
          <w:szCs w:val="24"/>
        </w:rPr>
        <w:t xml:space="preserve"> </w:t>
      </w:r>
      <w:r w:rsidRPr="00F50AF3">
        <w:rPr>
          <w:rFonts w:ascii="Times New Roman" w:eastAsiaTheme="minorHAnsi" w:hAnsi="Times New Roman" w:cs="Times New Roman"/>
          <w:noProof/>
          <w:sz w:val="24"/>
          <w:szCs w:val="24"/>
          <w:lang w:eastAsia="en-PH"/>
        </w:rPr>
        <mc:AlternateContent>
          <mc:Choice Requires="wps">
            <w:drawing>
              <wp:anchor distT="45720" distB="45720" distL="114300" distR="114300" simplePos="0" relativeHeight="251683840" behindDoc="0" locked="0" layoutInCell="1" allowOverlap="1" wp14:anchorId="64BC3AFC" wp14:editId="6961E793">
                <wp:simplePos x="0" y="0"/>
                <wp:positionH relativeFrom="column">
                  <wp:posOffset>3598048</wp:posOffset>
                </wp:positionH>
                <wp:positionV relativeFrom="page">
                  <wp:posOffset>3434383</wp:posOffset>
                </wp:positionV>
                <wp:extent cx="1414780" cy="762000"/>
                <wp:effectExtent l="0" t="0" r="1397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762000"/>
                        </a:xfrm>
                        <a:prstGeom prst="rect">
                          <a:avLst/>
                        </a:prstGeom>
                        <a:solidFill>
                          <a:srgbClr val="FFFFFF"/>
                        </a:solidFill>
                        <a:ln w="19050">
                          <a:solidFill>
                            <a:srgbClr val="000000"/>
                          </a:solidFill>
                          <a:miter lim="800000"/>
                          <a:headEnd/>
                          <a:tailEnd/>
                        </a:ln>
                      </wps:spPr>
                      <wps:txbx>
                        <w:txbxContent>
                          <w:p w14:paraId="51835A5E" w14:textId="77777777" w:rsidR="00DB6836" w:rsidRPr="00742ABB" w:rsidRDefault="00DB6836" w:rsidP="00D1168D">
                            <w:pPr>
                              <w:spacing w:after="0" w:line="240" w:lineRule="auto"/>
                              <w:jc w:val="center"/>
                              <w:rPr>
                                <w:rFonts w:ascii="Times New Roman" w:hAnsi="Times New Roman" w:cs="Times New Roman"/>
                                <w:lang w:val="en-US"/>
                              </w:rPr>
                            </w:pPr>
                          </w:p>
                          <w:p w14:paraId="372EB2D9"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Interpretation of Reports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C3AFC" id="_x0000_s1030" type="#_x0000_t202" style="position:absolute;left:0;text-align:left;margin-left:283.3pt;margin-top:270.4pt;width:111.4pt;height:6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" strokeweight="1.5pt">
                <v:textbox>
                  <w:txbxContent>
                    <w:p w14:paraId="51835A5E" w14:textId="77777777" w:rsidR="00DB6836" w:rsidRPr="00742ABB" w:rsidRDefault="00DB6836" w:rsidP="00D1168D">
                      <w:pPr>
                        <w:spacing w:after="0" w:line="240" w:lineRule="auto"/>
                        <w:jc w:val="center"/>
                        <w:rPr>
                          <w:rFonts w:ascii="Times New Roman" w:hAnsi="Times New Roman" w:cs="Times New Roman"/>
                          <w:lang w:val="en-US"/>
                        </w:rPr>
                      </w:pPr>
                    </w:p>
                    <w:p w14:paraId="372EB2D9"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Interpretation of Reports  </w:t>
                      </w:r>
                    </w:p>
                  </w:txbxContent>
                </v:textbox>
                <w10:wrap type="square" anchory="page"/>
              </v:shape>
            </w:pict>
          </mc:Fallback>
        </mc:AlternateContent>
      </w:r>
      <w:r w:rsidRPr="00F50AF3">
        <w:rPr>
          <w:rFonts w:ascii="Times New Roman" w:eastAsiaTheme="minorHAnsi" w:hAnsi="Times New Roman" w:cs="Times New Roman"/>
          <w:noProof/>
          <w:sz w:val="24"/>
          <w:szCs w:val="24"/>
          <w:lang w:eastAsia="en-PH"/>
        </w:rPr>
        <mc:AlternateContent>
          <mc:Choice Requires="wps">
            <w:drawing>
              <wp:anchor distT="45720" distB="45720" distL="114300" distR="114300" simplePos="0" relativeHeight="251679744" behindDoc="0" locked="0" layoutInCell="1" allowOverlap="1" wp14:anchorId="3032B394" wp14:editId="34AB93C6">
                <wp:simplePos x="0" y="0"/>
                <wp:positionH relativeFrom="column">
                  <wp:posOffset>1847850</wp:posOffset>
                </wp:positionH>
                <wp:positionV relativeFrom="page">
                  <wp:posOffset>3438525</wp:posOffset>
                </wp:positionV>
                <wp:extent cx="1414780" cy="762000"/>
                <wp:effectExtent l="0" t="0" r="1397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762000"/>
                        </a:xfrm>
                        <a:prstGeom prst="rect">
                          <a:avLst/>
                        </a:prstGeom>
                        <a:solidFill>
                          <a:srgbClr val="FFFFFF"/>
                        </a:solidFill>
                        <a:ln w="19050">
                          <a:solidFill>
                            <a:srgbClr val="000000"/>
                          </a:solidFill>
                          <a:miter lim="800000"/>
                          <a:headEnd/>
                          <a:tailEnd/>
                        </a:ln>
                      </wps:spPr>
                      <wps:txbx>
                        <w:txbxContent>
                          <w:p w14:paraId="64AC4CB4" w14:textId="77777777" w:rsidR="00DB6836" w:rsidRPr="00742ABB" w:rsidRDefault="00DB6836" w:rsidP="00D1168D">
                            <w:pPr>
                              <w:spacing w:after="0" w:line="240" w:lineRule="auto"/>
                              <w:jc w:val="center"/>
                              <w:rPr>
                                <w:rFonts w:ascii="Times New Roman" w:hAnsi="Times New Roman" w:cs="Times New Roman"/>
                                <w:lang w:val="en-US"/>
                              </w:rPr>
                            </w:pPr>
                          </w:p>
                          <w:p w14:paraId="410785DC"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Data Processing/Data 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2B394" id="_x0000_s1031" type="#_x0000_t202" style="position:absolute;left:0;text-align:left;margin-left:145.5pt;margin-top:270.75pt;width:111.4pt;height:6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" strokeweight="1.5pt">
                <v:textbox>
                  <w:txbxContent>
                    <w:p w14:paraId="64AC4CB4" w14:textId="77777777" w:rsidR="00DB6836" w:rsidRPr="00742ABB" w:rsidRDefault="00DB6836" w:rsidP="00D1168D">
                      <w:pPr>
                        <w:spacing w:after="0" w:line="240" w:lineRule="auto"/>
                        <w:jc w:val="center"/>
                        <w:rPr>
                          <w:rFonts w:ascii="Times New Roman" w:hAnsi="Times New Roman" w:cs="Times New Roman"/>
                          <w:lang w:val="en-US"/>
                        </w:rPr>
                      </w:pPr>
                    </w:p>
                    <w:p w14:paraId="410785DC" w14:textId="77777777" w:rsidR="00DB6836" w:rsidRPr="00742ABB" w:rsidRDefault="00DB6836" w:rsidP="00D1168D">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Data Processing/Data Analysis  </w:t>
                      </w:r>
                    </w:p>
                  </w:txbxContent>
                </v:textbox>
                <w10:wrap type="square" anchory="page"/>
              </v:shape>
            </w:pict>
          </mc:Fallback>
        </mc:AlternateContent>
      </w:r>
      <w:r w:rsidRPr="00F50AF3">
        <w:rPr>
          <w:rFonts w:ascii="Times New Roman" w:eastAsiaTheme="minorHAnsi" w:hAnsi="Times New Roman" w:cs="Times New Roman"/>
          <w:noProof/>
          <w:sz w:val="24"/>
          <w:szCs w:val="24"/>
          <w:lang w:eastAsia="en-PH"/>
        </w:rPr>
        <mc:AlternateContent>
          <mc:Choice Requires="wps">
            <w:drawing>
              <wp:anchor distT="45720" distB="45720" distL="114300" distR="114300" simplePos="0" relativeHeight="251670528" behindDoc="0" locked="0" layoutInCell="1" allowOverlap="1" wp14:anchorId="549358B2" wp14:editId="3179C528">
                <wp:simplePos x="0" y="0"/>
                <wp:positionH relativeFrom="column">
                  <wp:posOffset>95250</wp:posOffset>
                </wp:positionH>
                <wp:positionV relativeFrom="page">
                  <wp:posOffset>3438525</wp:posOffset>
                </wp:positionV>
                <wp:extent cx="1414780" cy="762000"/>
                <wp:effectExtent l="0" t="0" r="139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762000"/>
                        </a:xfrm>
                        <a:prstGeom prst="rect">
                          <a:avLst/>
                        </a:prstGeom>
                        <a:solidFill>
                          <a:srgbClr val="FFFFFF"/>
                        </a:solidFill>
                        <a:ln w="19050">
                          <a:solidFill>
                            <a:srgbClr val="000000"/>
                          </a:solidFill>
                          <a:miter lim="800000"/>
                          <a:headEnd/>
                          <a:tailEnd/>
                        </a:ln>
                      </wps:spPr>
                      <wps:txbx>
                        <w:txbxContent>
                          <w:p w14:paraId="4FAF96EB" w14:textId="77777777" w:rsidR="00DB6836" w:rsidRPr="00742ABB" w:rsidRDefault="00DB6836" w:rsidP="00D1168D">
                            <w:pPr>
                              <w:spacing w:after="0"/>
                              <w:jc w:val="center"/>
                              <w:rPr>
                                <w:rFonts w:ascii="Times New Roman" w:hAnsi="Times New Roman" w:cs="Times New Roman"/>
                                <w:lang w:val="en-US"/>
                              </w:rPr>
                            </w:pPr>
                          </w:p>
                          <w:p w14:paraId="1E3D8B2B" w14:textId="77777777" w:rsidR="00DB6836" w:rsidRPr="00742ABB" w:rsidRDefault="00DB6836" w:rsidP="009305AF">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Quantitative Data Collection </w:t>
                            </w:r>
                          </w:p>
                          <w:p w14:paraId="3A10A346" w14:textId="77777777" w:rsidR="00DB6836" w:rsidRPr="00742ABB" w:rsidRDefault="00DB6836" w:rsidP="009305AF">
                            <w:pPr>
                              <w:spacing w:after="0"/>
                              <w:jc w:val="center"/>
                              <w:rPr>
                                <w:rFonts w:ascii="Times New Roman" w:hAnsi="Times New Roman" w:cs="Times New Roman"/>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358B2" id="_x0000_s1032" type="#_x0000_t202" style="position:absolute;left:0;text-align:left;margin-left:7.5pt;margin-top:270.75pt;width:111.4pt;height:6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" strokeweight="1.5pt">
                <v:textbox>
                  <w:txbxContent>
                    <w:p w14:paraId="4FAF96EB" w14:textId="77777777" w:rsidR="00DB6836" w:rsidRPr="00742ABB" w:rsidRDefault="00DB6836" w:rsidP="00D1168D">
                      <w:pPr>
                        <w:spacing w:after="0"/>
                        <w:jc w:val="center"/>
                        <w:rPr>
                          <w:rFonts w:ascii="Times New Roman" w:hAnsi="Times New Roman" w:cs="Times New Roman"/>
                          <w:lang w:val="en-US"/>
                        </w:rPr>
                      </w:pPr>
                    </w:p>
                    <w:p w14:paraId="1E3D8B2B" w14:textId="77777777" w:rsidR="00DB6836" w:rsidRPr="00742ABB" w:rsidRDefault="00DB6836" w:rsidP="009305AF">
                      <w:pPr>
                        <w:spacing w:after="0" w:line="240" w:lineRule="auto"/>
                        <w:jc w:val="center"/>
                        <w:rPr>
                          <w:rFonts w:ascii="Times New Roman" w:hAnsi="Times New Roman" w:cs="Times New Roman"/>
                          <w:lang w:val="en-US"/>
                        </w:rPr>
                      </w:pPr>
                      <w:r w:rsidRPr="00742ABB">
                        <w:rPr>
                          <w:rFonts w:ascii="Times New Roman" w:hAnsi="Times New Roman" w:cs="Times New Roman"/>
                          <w:lang w:val="en-US"/>
                        </w:rPr>
                        <w:t xml:space="preserve">Quantitative Data Collection </w:t>
                      </w:r>
                    </w:p>
                    <w:p w14:paraId="3A10A346" w14:textId="77777777" w:rsidR="00DB6836" w:rsidRPr="00742ABB" w:rsidRDefault="00DB6836" w:rsidP="009305AF">
                      <w:pPr>
                        <w:spacing w:after="0"/>
                        <w:jc w:val="center"/>
                        <w:rPr>
                          <w:rFonts w:ascii="Times New Roman" w:hAnsi="Times New Roman" w:cs="Times New Roman"/>
                          <w:lang w:val="en-US"/>
                        </w:rPr>
                      </w:pPr>
                    </w:p>
                  </w:txbxContent>
                </v:textbox>
                <w10:wrap type="square" anchory="page"/>
              </v:shape>
            </w:pict>
          </mc:Fallback>
        </mc:AlternateContent>
      </w:r>
      <w:r w:rsidRPr="00F50AF3">
        <w:rPr>
          <w:rFonts w:ascii="Times New Roman" w:eastAsiaTheme="minorHAnsi" w:hAnsi="Times New Roman" w:cs="Times New Roman"/>
          <w:noProof/>
          <w:sz w:val="24"/>
          <w:szCs w:val="24"/>
          <w:lang w:eastAsia="en-PH"/>
        </w:rPr>
        <mc:AlternateContent>
          <mc:Choice Requires="wps">
            <w:drawing>
              <wp:anchor distT="0" distB="0" distL="114300" distR="114300" simplePos="0" relativeHeight="251685888" behindDoc="0" locked="0" layoutInCell="1" allowOverlap="1" wp14:anchorId="61EBBB4B" wp14:editId="7C8F017F">
                <wp:simplePos x="0" y="0"/>
                <wp:positionH relativeFrom="column">
                  <wp:posOffset>5016914</wp:posOffset>
                </wp:positionH>
                <wp:positionV relativeFrom="page">
                  <wp:posOffset>3723640</wp:posOffset>
                </wp:positionV>
                <wp:extent cx="333375" cy="16192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333375"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88FF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395.05pt;margin-top:293.2pt;width:26.25pt;height:12.75pt;z-index:2516858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" adj="16354" fillcolor="black [3200]" strokecolor="black [1600]" strokeweight="1pt">
                <w10:wrap anchory="page"/>
              </v:shape>
            </w:pict>
          </mc:Fallback>
        </mc:AlternateContent>
      </w:r>
      <w:r w:rsidRPr="00F50AF3">
        <w:rPr>
          <w:rFonts w:ascii="Times New Roman" w:eastAsiaTheme="minorHAnsi" w:hAnsi="Times New Roman" w:cs="Times New Roman"/>
          <w:noProof/>
          <w:sz w:val="24"/>
          <w:szCs w:val="24"/>
          <w:lang w:eastAsia="en-PH"/>
        </w:rPr>
        <mc:AlternateContent>
          <mc:Choice Requires="wps">
            <w:drawing>
              <wp:anchor distT="0" distB="0" distL="114300" distR="114300" simplePos="0" relativeHeight="251681792" behindDoc="0" locked="0" layoutInCell="1" allowOverlap="1" wp14:anchorId="20725FD0" wp14:editId="0FC76C4B">
                <wp:simplePos x="0" y="0"/>
                <wp:positionH relativeFrom="column">
                  <wp:posOffset>3267379</wp:posOffset>
                </wp:positionH>
                <wp:positionV relativeFrom="page">
                  <wp:posOffset>3727422</wp:posOffset>
                </wp:positionV>
                <wp:extent cx="333375" cy="16192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333375"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AD95C" id="Right Arrow 11" o:spid="_x0000_s1026" type="#_x0000_t13" style="position:absolute;margin-left:257.25pt;margin-top:293.5pt;width:26.25pt;height:12.75pt;z-index:2516817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" adj="16354" fillcolor="black [3200]" strokecolor="black [1600]" strokeweight="1pt">
                <w10:wrap anchory="page"/>
              </v:shape>
            </w:pict>
          </mc:Fallback>
        </mc:AlternateContent>
      </w:r>
      <w:r w:rsidRPr="00F50AF3">
        <w:rPr>
          <w:rFonts w:ascii="Times New Roman" w:eastAsiaTheme="minorHAnsi" w:hAnsi="Times New Roman" w:cs="Times New Roman"/>
          <w:noProof/>
          <w:sz w:val="24"/>
          <w:szCs w:val="24"/>
          <w:lang w:eastAsia="en-PH"/>
        </w:rPr>
        <mc:AlternateContent>
          <mc:Choice Requires="wps">
            <w:drawing>
              <wp:anchor distT="0" distB="0" distL="114300" distR="114300" simplePos="0" relativeHeight="251671552" behindDoc="0" locked="0" layoutInCell="1" allowOverlap="1" wp14:anchorId="4BE79EB0" wp14:editId="02BFA06C">
                <wp:simplePos x="0" y="0"/>
                <wp:positionH relativeFrom="column">
                  <wp:posOffset>1510665</wp:posOffset>
                </wp:positionH>
                <wp:positionV relativeFrom="page">
                  <wp:posOffset>3720465</wp:posOffset>
                </wp:positionV>
                <wp:extent cx="333375" cy="161925"/>
                <wp:effectExtent l="0" t="19050" r="47625" b="47625"/>
                <wp:wrapNone/>
                <wp:docPr id="4" name="Right Arrow 4"/>
                <wp:cNvGraphicFramePr/>
                <a:graphic xmlns:a="http://schemas.openxmlformats.org/drawingml/2006/main">
                  <a:graphicData uri="http://schemas.microsoft.com/office/word/2010/wordprocessingShape">
                    <wps:wsp>
                      <wps:cNvSpPr/>
                      <wps:spPr>
                        <a:xfrm>
                          <a:off x="0" y="0"/>
                          <a:ext cx="333375"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0C537" id="Right Arrow 4" o:spid="_x0000_s1026" type="#_x0000_t13" style="position:absolute;margin-left:118.95pt;margin-top:292.95pt;width:26.25pt;height:12.75pt;z-index:2516715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" adj="16354" fillcolor="black [3200]" strokecolor="black [1600]" strokeweight="1pt">
                <w10:wrap anchory="page"/>
              </v:shape>
            </w:pict>
          </mc:Fallback>
        </mc:AlternateContent>
      </w:r>
    </w:p>
    <w:p w14:paraId="7B4E219A" w14:textId="77777777" w:rsidR="00456048" w:rsidRDefault="00456048" w:rsidP="00456048">
      <w:pPr>
        <w:pStyle w:val="NormalWeb"/>
        <w:spacing w:before="24" w:beforeAutospacing="0" w:after="0" w:afterAutospacing="0"/>
        <w:ind w:left="1174" w:right="266"/>
        <w:jc w:val="center"/>
        <w:rPr>
          <w:i/>
          <w:iCs/>
          <w:color w:val="000000"/>
        </w:rPr>
      </w:pPr>
    </w:p>
    <w:p w14:paraId="7F6C0588" w14:textId="77777777" w:rsidR="00456048" w:rsidRDefault="00456048" w:rsidP="00456048">
      <w:pPr>
        <w:pStyle w:val="NormalWeb"/>
        <w:spacing w:before="24" w:beforeAutospacing="0" w:after="0" w:afterAutospacing="0"/>
        <w:ind w:left="1174" w:right="266"/>
        <w:jc w:val="center"/>
        <w:rPr>
          <w:i/>
          <w:iCs/>
          <w:color w:val="000000"/>
        </w:rPr>
      </w:pPr>
    </w:p>
    <w:p w14:paraId="61C9D04B" w14:textId="7FE31ECB" w:rsidR="009305AF" w:rsidRDefault="009305AF" w:rsidP="00456048">
      <w:pPr>
        <w:pStyle w:val="NormalWeb"/>
        <w:spacing w:before="24" w:beforeAutospacing="0" w:after="0" w:afterAutospacing="0"/>
        <w:ind w:left="1174" w:right="266"/>
        <w:jc w:val="center"/>
        <w:rPr>
          <w:i/>
          <w:iCs/>
          <w:color w:val="000000"/>
        </w:rPr>
      </w:pPr>
      <w:r w:rsidRPr="00F50AF3">
        <w:rPr>
          <w:i/>
          <w:iCs/>
          <w:color w:val="000000"/>
        </w:rPr>
        <w:t>Figure 2. Descriptive Quantitative Method Model Source: Creswell (2014) </w:t>
      </w:r>
    </w:p>
    <w:p w14:paraId="472152C6" w14:textId="77777777" w:rsidR="00BD054C" w:rsidRPr="00BD054C" w:rsidRDefault="00BD054C" w:rsidP="00BD054C">
      <w:pPr>
        <w:pStyle w:val="NormalWeb"/>
        <w:spacing w:before="24" w:beforeAutospacing="0" w:after="0" w:afterAutospacing="0"/>
        <w:ind w:left="1174" w:right="266"/>
        <w:jc w:val="center"/>
      </w:pPr>
    </w:p>
    <w:p w14:paraId="1648B94C"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Figure 2 demonstrates the model used, which was appropriate for the study in which the researchers assessed the respondents' level of skills and competencies and educational background as a moderating variable in order to ascertain the Sanguniang Kabataan's training needs. In order to establish the profile of the respondents and collect the data needed for the study, the researchers employed a survey questionnaire.</w:t>
      </w:r>
    </w:p>
    <w:p w14:paraId="7EF9493C"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The respondents were contacted by sending a letter requesting permission to administer the survey as part of the quantitative phase of the study. The letter was issued in order to inform them about the necessity to participate in the research and to determine the time and day suitable for the respondent. After the respondents gave their permission, the survey questionnaire was sent through Google Forms to the Sangguniang Kabataan officials. The survey questionnaire was based on a Likert scale that was used to evaluate the respondents' agreement or disagreement with each topic.</w:t>
      </w:r>
    </w:p>
    <w:p w14:paraId="3C7B7E94"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In this study, an analysis of quantitative data will be conducted with the aim of involving the data in quantitative methodologies, which means processed data. The means, standard deviations, and the range of scores were used to characterize the results with the help of the descriptive statistics of the variable scores. Analysis and collation of data will be done thoroughly after administering the structured survey questionnaire.</w:t>
      </w:r>
    </w:p>
    <w:p w14:paraId="68B3D04D"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The validation, reliability, and unbiased collection of data are important in quantitative research in order to achieve a desirable and equally credible result. Validity means that the instruments or measures used will reflect what we aim to analyze, as well as provide the actual real situation. It is normally achieved through the application of tested and established tools. Reliability, conversely, means the level of stability and consistency of these measurements over time. The use of reliable data increases the credibility of the outcomes and enables their implementation in every case (Surucu &amp; Maslakci, 2020). The factors listed above affect the reliability and accuracy of quantitative research and assist in gaining confidence in the findings of the research (Abbas, 2023).</w:t>
      </w:r>
    </w:p>
    <w:p w14:paraId="554B0053" w14:textId="77777777" w:rsidR="009305AF" w:rsidRPr="00F50AF3" w:rsidRDefault="009305AF" w:rsidP="00F50AF3">
      <w:pPr>
        <w:pStyle w:val="BodyText2"/>
        <w:spacing w:line="240" w:lineRule="auto"/>
        <w:rPr>
          <w:rFonts w:ascii="Times New Roman" w:hAnsi="Times New Roman" w:cs="Times New Roman"/>
          <w:color w:val="000000"/>
          <w:sz w:val="24"/>
          <w:szCs w:val="24"/>
          <w:shd w:val="clear" w:color="auto" w:fill="FFFFFF"/>
        </w:rPr>
      </w:pPr>
      <w:r w:rsidRPr="00F50AF3">
        <w:rPr>
          <w:rFonts w:ascii="Times New Roman" w:hAnsi="Times New Roman" w:cs="Times New Roman"/>
          <w:color w:val="000000"/>
          <w:sz w:val="24"/>
          <w:szCs w:val="24"/>
          <w:shd w:val="clear" w:color="auto" w:fill="FFFFFF"/>
        </w:rPr>
        <w:tab/>
        <w:t>Ethics is necessary in quantitative research to ensure that the research is</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ethical enough to preserve the integrity of a study and research participant safety.</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Researchers also observe their ethical standings by seeking the informed consent of</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the participants and by ensuring that they are aware of the fact that their answer will</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be recorded to serve as the foundation of the study. There is a focus on voluntary</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participation and the individual decisions made by the respondents to say no are</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respected. Concurrently, the provision of precise and pertinent information pertaining</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to the study questions was required by ethical behavior. Privacy protection is another</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lastRenderedPageBreak/>
        <w:t>important consideration, and confidentiality is strictly upheld after data collection by</w:t>
      </w:r>
      <w:r w:rsidRPr="00F50AF3">
        <w:rPr>
          <w:rFonts w:ascii="Times New Roman" w:hAnsi="Times New Roman" w:cs="Times New Roman"/>
          <w:color w:val="000000"/>
          <w:sz w:val="24"/>
          <w:szCs w:val="24"/>
        </w:rPr>
        <w:t xml:space="preserve"> </w:t>
      </w:r>
      <w:r w:rsidRPr="00F50AF3">
        <w:rPr>
          <w:rFonts w:ascii="Times New Roman" w:hAnsi="Times New Roman" w:cs="Times New Roman"/>
          <w:color w:val="000000"/>
          <w:sz w:val="24"/>
          <w:szCs w:val="24"/>
          <w:shd w:val="clear" w:color="auto" w:fill="FFFFFF"/>
        </w:rPr>
        <w:t>using pseudonyms in accordance with the Data Privacy Act of 2012 (R.A. 10173).</w:t>
      </w:r>
    </w:p>
    <w:p w14:paraId="39584EA3"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As researchers, ethical principles are significant, which deal with informed consent, confidentiality, putting the welfare of the participant first, and adopting ethical principles, which concern informed consent, confidentiality and putting the welfare of the participant first. Such guidelines must be continuously monitored and addressed during the course of the study. In the Republic of the Philippines, Republic Act No. 10173 or the Data Privacy Act of 2012 reinforces these ethical principles and aligns the legal requirements to its ethical research study.</w:t>
      </w:r>
    </w:p>
    <w:p w14:paraId="0BCD9EEE" w14:textId="77777777" w:rsidR="009305AF" w:rsidRPr="00F50AF3" w:rsidRDefault="009305AF" w:rsidP="00F50AF3">
      <w:pPr>
        <w:pStyle w:val="BodyText2"/>
        <w:spacing w:line="240" w:lineRule="auto"/>
        <w:jc w:val="center"/>
        <w:rPr>
          <w:rFonts w:ascii="Times New Roman" w:eastAsiaTheme="minorHAnsi" w:hAnsi="Times New Roman" w:cs="Times New Roman"/>
          <w:b/>
          <w:sz w:val="28"/>
          <w:szCs w:val="28"/>
        </w:rPr>
      </w:pPr>
      <w:r w:rsidRPr="00F50AF3">
        <w:rPr>
          <w:rFonts w:ascii="Times New Roman" w:eastAsiaTheme="minorHAnsi" w:hAnsi="Times New Roman" w:cs="Times New Roman"/>
          <w:b/>
          <w:sz w:val="28"/>
          <w:szCs w:val="28"/>
        </w:rPr>
        <w:t>RESULTS AND DISCUSSION</w:t>
      </w:r>
    </w:p>
    <w:p w14:paraId="6A56D086" w14:textId="77777777" w:rsidR="009305AF" w:rsidRPr="00F50AF3" w:rsidRDefault="009305AF"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b/>
          <w:sz w:val="24"/>
          <w:szCs w:val="24"/>
        </w:rPr>
        <w:t xml:space="preserve">Demographic Profile of Respondents  </w:t>
      </w:r>
    </w:p>
    <w:p w14:paraId="1F8A8A23"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Table 2 shows the demographic profile of the 223 respondents who provided essential context for understanding the study's sample. The sample exhibited a near-even distribution across genders. Specifically, 111 respondents (49.8%) identified as female, while 112 respondents (50.2%) identified as male. This balanced representation is crucial for evaluating the representativeness of the sample in terms of sex, which is vital for assessing the generalizability of the findings.</w:t>
      </w:r>
    </w:p>
    <w:p w14:paraId="20E211F2" w14:textId="77777777" w:rsidR="009305AF" w:rsidRPr="00F50AF3" w:rsidRDefault="009305AF" w:rsidP="00F50AF3">
      <w:pPr>
        <w:pStyle w:val="BodyText2"/>
        <w:spacing w:after="0" w:line="240" w:lineRule="auto"/>
        <w:rPr>
          <w:rFonts w:ascii="Times New Roman" w:eastAsiaTheme="minorHAnsi" w:hAnsi="Times New Roman" w:cs="Times New Roman"/>
          <w:sz w:val="24"/>
          <w:szCs w:val="24"/>
        </w:rPr>
      </w:pPr>
      <w:r w:rsidRPr="00F50AF3">
        <w:rPr>
          <w:rFonts w:ascii="Times New Roman" w:eastAsia="Times New Roman" w:hAnsi="Times New Roman" w:cs="Times New Roman"/>
          <w:i/>
          <w:iCs/>
          <w:color w:val="000000"/>
          <w:sz w:val="24"/>
          <w:szCs w:val="24"/>
          <w:lang w:eastAsia="en-PH"/>
        </w:rPr>
        <w:t>Table 2: Frequency Distribution of Respondents by Sex </w:t>
      </w:r>
    </w:p>
    <w:tbl>
      <w:tblPr>
        <w:tblW w:w="9525" w:type="dxa"/>
        <w:tblCellMar>
          <w:top w:w="15" w:type="dxa"/>
          <w:left w:w="15" w:type="dxa"/>
          <w:bottom w:w="15" w:type="dxa"/>
          <w:right w:w="15" w:type="dxa"/>
        </w:tblCellMar>
        <w:tblLook w:val="04A0" w:firstRow="1" w:lastRow="0" w:firstColumn="1" w:lastColumn="0" w:noHBand="0" w:noVBand="1"/>
      </w:tblPr>
      <w:tblGrid>
        <w:gridCol w:w="1745"/>
        <w:gridCol w:w="2313"/>
        <w:gridCol w:w="1852"/>
        <w:gridCol w:w="3615"/>
      </w:tblGrid>
      <w:tr w:rsidR="009305AF" w:rsidRPr="00F50AF3" w14:paraId="03CECB2E" w14:textId="77777777" w:rsidTr="00217D3F">
        <w:trPr>
          <w:trHeight w:val="1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7315B" w14:textId="77777777" w:rsidR="009305AF" w:rsidRPr="00F50AF3" w:rsidRDefault="009305AF" w:rsidP="00F50AF3">
            <w:pPr>
              <w:spacing w:after="0" w:line="240" w:lineRule="auto"/>
              <w:ind w:left="205"/>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Sex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D2BA1" w14:textId="77777777" w:rsidR="009305AF" w:rsidRPr="00F50AF3" w:rsidRDefault="009305AF" w:rsidP="00F50AF3">
            <w:pPr>
              <w:spacing w:after="0" w:line="240" w:lineRule="auto"/>
              <w:ind w:left="213"/>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827A" w14:textId="77777777" w:rsidR="009305AF" w:rsidRPr="00F50AF3" w:rsidRDefault="009305AF" w:rsidP="00F50AF3">
            <w:pPr>
              <w:spacing w:after="0" w:line="240" w:lineRule="auto"/>
              <w:ind w:left="208"/>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Percent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D44A1" w14:textId="77777777" w:rsidR="009305AF" w:rsidRPr="00F50AF3" w:rsidRDefault="009305AF" w:rsidP="00F50AF3">
            <w:pPr>
              <w:spacing w:after="0" w:line="240" w:lineRule="auto"/>
              <w:ind w:left="202"/>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Cumulative Percent</w:t>
            </w:r>
          </w:p>
        </w:tc>
      </w:tr>
      <w:tr w:rsidR="009305AF" w:rsidRPr="00F50AF3" w14:paraId="5E9E87B2" w14:textId="77777777" w:rsidTr="00217D3F">
        <w:trPr>
          <w:trHeight w:val="1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54C66" w14:textId="77777777" w:rsidR="009305AF" w:rsidRPr="00F50AF3" w:rsidRDefault="009305AF" w:rsidP="00F50AF3">
            <w:pPr>
              <w:spacing w:after="0" w:line="240" w:lineRule="auto"/>
              <w:ind w:left="215"/>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0B0BB" w14:textId="77777777" w:rsidR="009305AF" w:rsidRPr="00F50AF3" w:rsidRDefault="009305AF" w:rsidP="00F50AF3">
            <w:pPr>
              <w:spacing w:after="0" w:line="240" w:lineRule="auto"/>
              <w:ind w:left="221"/>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8E14E" w14:textId="77777777" w:rsidR="009305AF" w:rsidRPr="00F50AF3" w:rsidRDefault="009305AF" w:rsidP="00F50AF3">
            <w:pPr>
              <w:spacing w:after="0" w:line="240" w:lineRule="auto"/>
              <w:ind w:left="195"/>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49.8 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8526A" w14:textId="77777777" w:rsidR="009305AF" w:rsidRPr="00F50AF3" w:rsidRDefault="009305AF" w:rsidP="00F50AF3">
            <w:pPr>
              <w:spacing w:after="0" w:line="240" w:lineRule="auto"/>
              <w:ind w:left="195"/>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49.8</w:t>
            </w:r>
          </w:p>
        </w:tc>
      </w:tr>
      <w:tr w:rsidR="009305AF" w:rsidRPr="00F50AF3" w14:paraId="64E8DE03" w14:textId="77777777" w:rsidTr="00217D3F">
        <w:trPr>
          <w:trHeight w:val="1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893AE" w14:textId="77777777" w:rsidR="009305AF" w:rsidRPr="00F50AF3" w:rsidRDefault="009305AF" w:rsidP="00F50AF3">
            <w:pPr>
              <w:spacing w:after="0" w:line="240" w:lineRule="auto"/>
              <w:ind w:left="213"/>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62FC8" w14:textId="77777777" w:rsidR="009305AF" w:rsidRPr="00F50AF3" w:rsidRDefault="009305AF" w:rsidP="00F50AF3">
            <w:pPr>
              <w:spacing w:after="0" w:line="240" w:lineRule="auto"/>
              <w:ind w:left="221"/>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406FE" w14:textId="77777777" w:rsidR="009305AF" w:rsidRPr="00F50AF3" w:rsidRDefault="009305AF" w:rsidP="00F50AF3">
            <w:pPr>
              <w:spacing w:after="0" w:line="240" w:lineRule="auto"/>
              <w:ind w:left="201"/>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50.2 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D0800" w14:textId="77777777" w:rsidR="009305AF" w:rsidRPr="00F50AF3" w:rsidRDefault="009305AF" w:rsidP="00F50AF3">
            <w:pPr>
              <w:spacing w:after="0" w:line="240" w:lineRule="auto"/>
              <w:ind w:left="216"/>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100.0</w:t>
            </w:r>
          </w:p>
        </w:tc>
      </w:tr>
      <w:tr w:rsidR="009305AF" w:rsidRPr="00F50AF3" w14:paraId="6B26693C" w14:textId="77777777" w:rsidTr="00217D3F">
        <w:trPr>
          <w:trHeight w:val="1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9F63A" w14:textId="77777777" w:rsidR="009305AF" w:rsidRPr="00F50AF3" w:rsidRDefault="009305AF" w:rsidP="00F50AF3">
            <w:pPr>
              <w:spacing w:after="0" w:line="240" w:lineRule="auto"/>
              <w:ind w:left="202"/>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7E072" w14:textId="77777777" w:rsidR="009305AF" w:rsidRPr="00F50AF3" w:rsidRDefault="009305AF" w:rsidP="00F50AF3">
            <w:pPr>
              <w:spacing w:after="0" w:line="240" w:lineRule="auto"/>
              <w:ind w:left="203"/>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A32EE" w14:textId="77777777" w:rsidR="009305AF" w:rsidRPr="00F50AF3" w:rsidRDefault="009305AF" w:rsidP="00F50AF3">
            <w:pPr>
              <w:spacing w:after="0" w:line="240" w:lineRule="auto"/>
              <w:ind w:left="216"/>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0B32C" w14:textId="77777777" w:rsidR="009305AF" w:rsidRPr="00F50AF3" w:rsidRDefault="009305AF" w:rsidP="00F50AF3">
            <w:pPr>
              <w:spacing w:after="0" w:line="240" w:lineRule="auto"/>
              <w:rPr>
                <w:rFonts w:ascii="Times New Roman" w:eastAsia="Times New Roman" w:hAnsi="Times New Roman" w:cs="Times New Roman"/>
                <w:sz w:val="24"/>
                <w:szCs w:val="24"/>
                <w:lang w:eastAsia="en-PH"/>
              </w:rPr>
            </w:pPr>
          </w:p>
        </w:tc>
      </w:tr>
    </w:tbl>
    <w:p w14:paraId="3BA02339" w14:textId="77777777" w:rsidR="009305AF" w:rsidRPr="00F50AF3" w:rsidRDefault="009305AF" w:rsidP="00F50AF3">
      <w:pPr>
        <w:pStyle w:val="BodyText2"/>
        <w:spacing w:line="240" w:lineRule="auto"/>
        <w:rPr>
          <w:rFonts w:ascii="Times New Roman" w:eastAsiaTheme="minorHAnsi" w:hAnsi="Times New Roman" w:cs="Times New Roman"/>
          <w:sz w:val="24"/>
          <w:szCs w:val="24"/>
        </w:rPr>
      </w:pPr>
    </w:p>
    <w:p w14:paraId="09742870" w14:textId="77777777" w:rsidR="003A53B4" w:rsidRPr="00F50AF3" w:rsidRDefault="003A53B4"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b/>
          <w:sz w:val="24"/>
          <w:szCs w:val="24"/>
        </w:rPr>
        <w:t xml:space="preserve">Educational Attainment of Respondents </w:t>
      </w:r>
    </w:p>
    <w:p w14:paraId="48400549" w14:textId="77777777" w:rsidR="003A53B4" w:rsidRPr="00F50AF3" w:rsidRDefault="003A53B4"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Table 3 presents the educational background of the respondents, which indicates a sample largely composed of individuals with higher education. The majority of respondents answered having a "College Level" education, accounting for 158 individuals (70.9%). This was followed by "College Graduate" status, represented by 44 respondents (19.7%). A smaller proportion had a "High School" education (16 respondents, 7.2%), with "Graduate Level" (4 respondents, 1.8%) and "Vocational" (1 respondent, 0.4%) comprising the smallest segments of the sample.</w:t>
      </w:r>
      <w:r w:rsidR="00217D3F" w:rsidRPr="00F50AF3">
        <w:rPr>
          <w:rFonts w:ascii="Times New Roman" w:eastAsiaTheme="minorHAnsi" w:hAnsi="Times New Roman" w:cs="Times New Roman"/>
          <w:sz w:val="24"/>
          <w:szCs w:val="24"/>
        </w:rPr>
        <w:t xml:space="preserve"> </w:t>
      </w:r>
      <w:r w:rsidRPr="00F50AF3">
        <w:rPr>
          <w:rFonts w:ascii="Times New Roman" w:eastAsiaTheme="minorHAnsi" w:hAnsi="Times New Roman" w:cs="Times New Roman"/>
          <w:sz w:val="24"/>
          <w:szCs w:val="24"/>
        </w:rPr>
        <w:t>This demographic characteristic can significantly influence perceptions, knowledge, and engagement with various concepts, providing important context for interpreting the study's findings.</w:t>
      </w:r>
    </w:p>
    <w:p w14:paraId="5B17AEFD" w14:textId="77777777" w:rsidR="003A53B4" w:rsidRPr="00F50AF3" w:rsidRDefault="003A53B4" w:rsidP="00F50AF3">
      <w:pPr>
        <w:pStyle w:val="BodyText2"/>
        <w:spacing w:after="0" w:line="240" w:lineRule="auto"/>
        <w:rPr>
          <w:rFonts w:ascii="Times New Roman" w:eastAsiaTheme="minorHAnsi" w:hAnsi="Times New Roman" w:cs="Times New Roman"/>
          <w:sz w:val="24"/>
          <w:szCs w:val="24"/>
        </w:rPr>
      </w:pPr>
      <w:r w:rsidRPr="00F50AF3">
        <w:rPr>
          <w:rFonts w:ascii="Times New Roman" w:hAnsi="Times New Roman" w:cs="Times New Roman"/>
          <w:i/>
          <w:iCs/>
          <w:color w:val="000000"/>
          <w:sz w:val="24"/>
          <w:szCs w:val="24"/>
        </w:rPr>
        <w:t>Table 3: Frequency Distribution of Respondents by Educational Attainment</w:t>
      </w:r>
    </w:p>
    <w:tbl>
      <w:tblPr>
        <w:tblStyle w:val="TableGrid"/>
        <w:tblW w:w="0" w:type="auto"/>
        <w:tblLook w:val="04A0" w:firstRow="1" w:lastRow="0" w:firstColumn="1" w:lastColumn="0" w:noHBand="0" w:noVBand="1"/>
      </w:tblPr>
      <w:tblGrid>
        <w:gridCol w:w="2337"/>
        <w:gridCol w:w="2337"/>
        <w:gridCol w:w="2338"/>
        <w:gridCol w:w="2338"/>
      </w:tblGrid>
      <w:tr w:rsidR="003A53B4" w:rsidRPr="00F50AF3" w14:paraId="57DC582C" w14:textId="77777777" w:rsidTr="003A53B4">
        <w:tc>
          <w:tcPr>
            <w:tcW w:w="2337" w:type="dxa"/>
          </w:tcPr>
          <w:p w14:paraId="36A10836"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Educational</w:t>
            </w:r>
          </w:p>
          <w:p w14:paraId="5AC4D376"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Attainment</w:t>
            </w:r>
          </w:p>
        </w:tc>
        <w:tc>
          <w:tcPr>
            <w:tcW w:w="2337" w:type="dxa"/>
          </w:tcPr>
          <w:p w14:paraId="4BF13985"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Frequency</w:t>
            </w:r>
          </w:p>
        </w:tc>
        <w:tc>
          <w:tcPr>
            <w:tcW w:w="2338" w:type="dxa"/>
          </w:tcPr>
          <w:p w14:paraId="0038937D"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Percent</w:t>
            </w:r>
          </w:p>
        </w:tc>
        <w:tc>
          <w:tcPr>
            <w:tcW w:w="2338" w:type="dxa"/>
          </w:tcPr>
          <w:p w14:paraId="157ED2AB"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Cumulative</w:t>
            </w:r>
          </w:p>
          <w:p w14:paraId="3D649CB3"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Percent</w:t>
            </w:r>
          </w:p>
        </w:tc>
      </w:tr>
      <w:tr w:rsidR="003A53B4" w:rsidRPr="00F50AF3" w14:paraId="2E778D7D" w14:textId="77777777" w:rsidTr="003A53B4">
        <w:tc>
          <w:tcPr>
            <w:tcW w:w="2337" w:type="dxa"/>
          </w:tcPr>
          <w:p w14:paraId="3B2F7789"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High School</w:t>
            </w:r>
          </w:p>
        </w:tc>
        <w:tc>
          <w:tcPr>
            <w:tcW w:w="2337" w:type="dxa"/>
          </w:tcPr>
          <w:p w14:paraId="27099DA9"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16</w:t>
            </w:r>
          </w:p>
        </w:tc>
        <w:tc>
          <w:tcPr>
            <w:tcW w:w="2338" w:type="dxa"/>
          </w:tcPr>
          <w:p w14:paraId="36F21C89"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7.2</w:t>
            </w:r>
          </w:p>
        </w:tc>
        <w:tc>
          <w:tcPr>
            <w:tcW w:w="2338" w:type="dxa"/>
          </w:tcPr>
          <w:p w14:paraId="013D79D5"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7.2</w:t>
            </w:r>
          </w:p>
        </w:tc>
      </w:tr>
      <w:tr w:rsidR="003A53B4" w:rsidRPr="00F50AF3" w14:paraId="45A955E2" w14:textId="77777777" w:rsidTr="003A53B4">
        <w:tc>
          <w:tcPr>
            <w:tcW w:w="2337" w:type="dxa"/>
          </w:tcPr>
          <w:p w14:paraId="3B7BB53A"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College Level</w:t>
            </w:r>
          </w:p>
        </w:tc>
        <w:tc>
          <w:tcPr>
            <w:tcW w:w="2337" w:type="dxa"/>
          </w:tcPr>
          <w:p w14:paraId="13E4359F"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158</w:t>
            </w:r>
          </w:p>
        </w:tc>
        <w:tc>
          <w:tcPr>
            <w:tcW w:w="2338" w:type="dxa"/>
          </w:tcPr>
          <w:p w14:paraId="34E9D1C1"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70.9</w:t>
            </w:r>
          </w:p>
        </w:tc>
        <w:tc>
          <w:tcPr>
            <w:tcW w:w="2338" w:type="dxa"/>
          </w:tcPr>
          <w:p w14:paraId="0920AD69"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78.0</w:t>
            </w:r>
          </w:p>
        </w:tc>
      </w:tr>
      <w:tr w:rsidR="003A53B4" w:rsidRPr="00F50AF3" w14:paraId="762F36A4" w14:textId="77777777" w:rsidTr="003A53B4">
        <w:tc>
          <w:tcPr>
            <w:tcW w:w="2337" w:type="dxa"/>
          </w:tcPr>
          <w:p w14:paraId="0C50968C"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College Graduate</w:t>
            </w:r>
          </w:p>
        </w:tc>
        <w:tc>
          <w:tcPr>
            <w:tcW w:w="2337" w:type="dxa"/>
          </w:tcPr>
          <w:p w14:paraId="0AAC2B5D"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44</w:t>
            </w:r>
          </w:p>
        </w:tc>
        <w:tc>
          <w:tcPr>
            <w:tcW w:w="2338" w:type="dxa"/>
          </w:tcPr>
          <w:p w14:paraId="0A085299"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19.7</w:t>
            </w:r>
          </w:p>
        </w:tc>
        <w:tc>
          <w:tcPr>
            <w:tcW w:w="2338" w:type="dxa"/>
          </w:tcPr>
          <w:p w14:paraId="7C5579D1"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97.8</w:t>
            </w:r>
          </w:p>
        </w:tc>
      </w:tr>
      <w:tr w:rsidR="003A53B4" w:rsidRPr="00F50AF3" w14:paraId="0ADC7275" w14:textId="77777777" w:rsidTr="003A53B4">
        <w:tc>
          <w:tcPr>
            <w:tcW w:w="2337" w:type="dxa"/>
          </w:tcPr>
          <w:p w14:paraId="0C502B31"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Graduate Level</w:t>
            </w:r>
          </w:p>
        </w:tc>
        <w:tc>
          <w:tcPr>
            <w:tcW w:w="2337" w:type="dxa"/>
          </w:tcPr>
          <w:p w14:paraId="7A95A2C8"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w:t>
            </w:r>
          </w:p>
        </w:tc>
        <w:tc>
          <w:tcPr>
            <w:tcW w:w="2338" w:type="dxa"/>
          </w:tcPr>
          <w:p w14:paraId="5992C465"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1.8</w:t>
            </w:r>
          </w:p>
        </w:tc>
        <w:tc>
          <w:tcPr>
            <w:tcW w:w="2338" w:type="dxa"/>
          </w:tcPr>
          <w:p w14:paraId="6E854CB3"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99.6</w:t>
            </w:r>
          </w:p>
        </w:tc>
      </w:tr>
      <w:tr w:rsidR="003A53B4" w:rsidRPr="00F50AF3" w14:paraId="18A72E58" w14:textId="77777777" w:rsidTr="003A53B4">
        <w:tc>
          <w:tcPr>
            <w:tcW w:w="2337" w:type="dxa"/>
          </w:tcPr>
          <w:p w14:paraId="461F96B2"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Vocational</w:t>
            </w:r>
          </w:p>
        </w:tc>
        <w:tc>
          <w:tcPr>
            <w:tcW w:w="2337" w:type="dxa"/>
          </w:tcPr>
          <w:p w14:paraId="44E4FA3D"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w:t>
            </w:r>
          </w:p>
        </w:tc>
        <w:tc>
          <w:tcPr>
            <w:tcW w:w="2338" w:type="dxa"/>
          </w:tcPr>
          <w:p w14:paraId="1F60CC41"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w:t>
            </w:r>
          </w:p>
        </w:tc>
        <w:tc>
          <w:tcPr>
            <w:tcW w:w="2338" w:type="dxa"/>
          </w:tcPr>
          <w:p w14:paraId="5F88A823"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100.0</w:t>
            </w:r>
          </w:p>
        </w:tc>
      </w:tr>
      <w:tr w:rsidR="003A53B4" w:rsidRPr="00F50AF3" w14:paraId="24017741" w14:textId="77777777" w:rsidTr="003A53B4">
        <w:tc>
          <w:tcPr>
            <w:tcW w:w="2337" w:type="dxa"/>
          </w:tcPr>
          <w:p w14:paraId="60A9A176"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Total</w:t>
            </w:r>
          </w:p>
        </w:tc>
        <w:tc>
          <w:tcPr>
            <w:tcW w:w="2337" w:type="dxa"/>
          </w:tcPr>
          <w:p w14:paraId="66A40E3F"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223</w:t>
            </w:r>
          </w:p>
        </w:tc>
        <w:tc>
          <w:tcPr>
            <w:tcW w:w="2338" w:type="dxa"/>
          </w:tcPr>
          <w:p w14:paraId="3EC373AF"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100.0</w:t>
            </w:r>
          </w:p>
        </w:tc>
        <w:tc>
          <w:tcPr>
            <w:tcW w:w="2338" w:type="dxa"/>
          </w:tcPr>
          <w:p w14:paraId="6B39D085" w14:textId="77777777" w:rsidR="003A53B4" w:rsidRPr="00F50AF3" w:rsidRDefault="003A53B4" w:rsidP="00F50AF3">
            <w:pPr>
              <w:pStyle w:val="BodyText2"/>
              <w:spacing w:line="240" w:lineRule="auto"/>
              <w:jc w:val="center"/>
              <w:rPr>
                <w:rFonts w:ascii="Times New Roman" w:eastAsiaTheme="minorHAnsi" w:hAnsi="Times New Roman" w:cs="Times New Roman"/>
                <w:sz w:val="24"/>
                <w:szCs w:val="24"/>
              </w:rPr>
            </w:pPr>
          </w:p>
        </w:tc>
      </w:tr>
    </w:tbl>
    <w:p w14:paraId="6748B2AE" w14:textId="77777777" w:rsidR="003A53B4" w:rsidRPr="00F50AF3" w:rsidRDefault="003A53B4" w:rsidP="00F50AF3">
      <w:pPr>
        <w:pStyle w:val="BodyText2"/>
        <w:spacing w:line="240" w:lineRule="auto"/>
        <w:rPr>
          <w:rFonts w:ascii="Times New Roman" w:eastAsiaTheme="minorHAnsi" w:hAnsi="Times New Roman" w:cs="Times New Roman"/>
          <w:sz w:val="24"/>
          <w:szCs w:val="24"/>
        </w:rPr>
      </w:pPr>
    </w:p>
    <w:p w14:paraId="6AFBB4A5" w14:textId="77777777" w:rsidR="00127576" w:rsidRPr="00F50AF3" w:rsidRDefault="00127576"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b/>
          <w:sz w:val="24"/>
          <w:szCs w:val="24"/>
        </w:rPr>
        <w:t xml:space="preserve">Distribution of Instrument (City/Municipality) </w:t>
      </w:r>
    </w:p>
    <w:p w14:paraId="554E0C4F" w14:textId="77777777" w:rsidR="00127576" w:rsidRPr="00F50AF3" w:rsidRDefault="00127576"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 xml:space="preserve">Table 4 presents the respondents' range of cities and municipalities that participated in the data collection. Kapalong was the most represented area with 52 respondents (23.3%), followed by Tagum with 41 respondents (18.4%), and New Corella with 34 respondents (15.2%). Carmen (30 respondents, 13.5%) and Panabo (25 respondents, 11.2%) also contributed substantially to the sample, while other areas such as Asuncion, Samal, and Talaingod had minimal representation. </w:t>
      </w:r>
    </w:p>
    <w:p w14:paraId="2E3B21F8" w14:textId="77777777" w:rsidR="00127576" w:rsidRDefault="00127576"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lastRenderedPageBreak/>
        <w:tab/>
        <w:t>Although the Island Garden City of Samal (IGACOS) has one of the biggest populations in the province of Davao del Norte, it has the fewest respondents due to a lack of cooperation from the SK Federation and its officials. Lastimado et al. (2025) stressed that the lack of cooperation from Local Government Units (LGUs) often forces Sangguniang Kabataan (SK) officials to scale down or cancel projects; several factors influence this, such as unclear communication and bureaucratic bottlenecks, reducing the efficiency of Sangguniang Kabataan. Moreover, Maureal, Ayop, Juriana, and Lagura, (2025) stressed that some perceptions and decisions of youth are still influenced by people around them. This makes it a challenge and creates gaps for researchers who are delving into this field of study.</w:t>
      </w:r>
    </w:p>
    <w:p w14:paraId="2A9823B0" w14:textId="36490FC9" w:rsidR="00335F0B" w:rsidRPr="00335F0B" w:rsidRDefault="00335F0B" w:rsidP="00335F0B">
      <w:pPr>
        <w:pStyle w:val="BodyText2"/>
        <w:spacing w:after="0" w:line="240" w:lineRule="auto"/>
        <w:rPr>
          <w:rFonts w:ascii="Times New Roman" w:eastAsiaTheme="minorHAnsi" w:hAnsi="Times New Roman" w:cs="Times New Roman"/>
          <w:i/>
          <w:sz w:val="24"/>
          <w:szCs w:val="24"/>
        </w:rPr>
      </w:pPr>
      <w:r w:rsidRPr="00335F0B">
        <w:rPr>
          <w:rFonts w:ascii="Times New Roman" w:eastAsiaTheme="minorHAnsi" w:hAnsi="Times New Roman" w:cs="Times New Roman"/>
          <w:i/>
          <w:sz w:val="24"/>
          <w:szCs w:val="24"/>
        </w:rPr>
        <w:t>Table 4. Frequency Distribution of Respondents by City/Municipality</w:t>
      </w:r>
    </w:p>
    <w:tbl>
      <w:tblPr>
        <w:tblStyle w:val="TableGrid"/>
        <w:tblW w:w="9887" w:type="dxa"/>
        <w:tblLook w:val="04A0" w:firstRow="1" w:lastRow="0" w:firstColumn="1" w:lastColumn="0" w:noHBand="0" w:noVBand="1"/>
      </w:tblPr>
      <w:tblGrid>
        <w:gridCol w:w="3295"/>
        <w:gridCol w:w="3296"/>
        <w:gridCol w:w="3296"/>
      </w:tblGrid>
      <w:tr w:rsidR="00127576" w:rsidRPr="00F50AF3" w14:paraId="794C67BE" w14:textId="77777777" w:rsidTr="00127576">
        <w:trPr>
          <w:trHeight w:val="568"/>
        </w:trPr>
        <w:tc>
          <w:tcPr>
            <w:tcW w:w="3295" w:type="dxa"/>
          </w:tcPr>
          <w:p w14:paraId="2D92F6D2" w14:textId="77777777" w:rsidR="00127576" w:rsidRPr="00F50AF3" w:rsidRDefault="00127576" w:rsidP="00335F0B">
            <w:pPr>
              <w:pStyle w:val="BodyText2"/>
              <w:spacing w:line="240" w:lineRule="auto"/>
              <w:jc w:val="center"/>
              <w:rPr>
                <w:rFonts w:ascii="Times New Roman" w:eastAsiaTheme="minorHAnsi" w:hAnsi="Times New Roman" w:cs="Times New Roman"/>
                <w:b/>
                <w:bCs/>
                <w:sz w:val="24"/>
                <w:szCs w:val="24"/>
              </w:rPr>
            </w:pPr>
            <w:r w:rsidRPr="00F50AF3">
              <w:rPr>
                <w:rFonts w:ascii="Times New Roman" w:eastAsiaTheme="minorHAnsi" w:hAnsi="Times New Roman" w:cs="Times New Roman"/>
                <w:b/>
                <w:bCs/>
                <w:sz w:val="24"/>
                <w:szCs w:val="24"/>
              </w:rPr>
              <w:t>Local Government</w:t>
            </w:r>
          </w:p>
          <w:p w14:paraId="7A1393F4" w14:textId="77777777" w:rsidR="00127576" w:rsidRPr="00F50AF3" w:rsidRDefault="00127576" w:rsidP="00335F0B">
            <w:pPr>
              <w:pStyle w:val="BodyText2"/>
              <w:spacing w:line="240" w:lineRule="auto"/>
              <w:jc w:val="center"/>
              <w:rPr>
                <w:rFonts w:ascii="Times New Roman" w:eastAsiaTheme="minorHAnsi" w:hAnsi="Times New Roman" w:cs="Times New Roman"/>
                <w:b/>
                <w:bCs/>
                <w:sz w:val="24"/>
                <w:szCs w:val="24"/>
              </w:rPr>
            </w:pPr>
            <w:r w:rsidRPr="00F50AF3">
              <w:rPr>
                <w:rFonts w:ascii="Times New Roman" w:eastAsiaTheme="minorHAnsi" w:hAnsi="Times New Roman" w:cs="Times New Roman"/>
                <w:b/>
                <w:bCs/>
                <w:sz w:val="24"/>
                <w:szCs w:val="24"/>
              </w:rPr>
              <w:t>Unit (LGU)</w:t>
            </w:r>
          </w:p>
        </w:tc>
        <w:tc>
          <w:tcPr>
            <w:tcW w:w="3296" w:type="dxa"/>
          </w:tcPr>
          <w:p w14:paraId="5C1FE449" w14:textId="77777777" w:rsidR="00127576" w:rsidRPr="00F50AF3" w:rsidRDefault="00127576" w:rsidP="00335F0B">
            <w:pPr>
              <w:pStyle w:val="BodyText2"/>
              <w:spacing w:line="240" w:lineRule="auto"/>
              <w:jc w:val="center"/>
              <w:rPr>
                <w:rFonts w:ascii="Times New Roman" w:eastAsiaTheme="minorHAnsi" w:hAnsi="Times New Roman" w:cs="Times New Roman"/>
                <w:b/>
                <w:bCs/>
                <w:sz w:val="24"/>
                <w:szCs w:val="24"/>
              </w:rPr>
            </w:pPr>
            <w:r w:rsidRPr="00F50AF3">
              <w:rPr>
                <w:rFonts w:ascii="Times New Roman" w:eastAsiaTheme="minorHAnsi" w:hAnsi="Times New Roman" w:cs="Times New Roman"/>
                <w:b/>
                <w:bCs/>
                <w:sz w:val="24"/>
                <w:szCs w:val="24"/>
              </w:rPr>
              <w:t>Frequency</w:t>
            </w:r>
          </w:p>
        </w:tc>
        <w:tc>
          <w:tcPr>
            <w:tcW w:w="3296" w:type="dxa"/>
          </w:tcPr>
          <w:p w14:paraId="4E85AD0B" w14:textId="77777777" w:rsidR="00127576" w:rsidRPr="00F50AF3" w:rsidRDefault="00127576" w:rsidP="00335F0B">
            <w:pPr>
              <w:pStyle w:val="BodyText2"/>
              <w:spacing w:line="240" w:lineRule="auto"/>
              <w:jc w:val="center"/>
              <w:rPr>
                <w:rFonts w:ascii="Times New Roman" w:eastAsiaTheme="minorHAnsi" w:hAnsi="Times New Roman" w:cs="Times New Roman"/>
                <w:b/>
                <w:bCs/>
                <w:sz w:val="24"/>
                <w:szCs w:val="24"/>
              </w:rPr>
            </w:pPr>
            <w:r w:rsidRPr="00F50AF3">
              <w:rPr>
                <w:rFonts w:ascii="Times New Roman" w:eastAsiaTheme="minorHAnsi" w:hAnsi="Times New Roman" w:cs="Times New Roman"/>
                <w:b/>
                <w:bCs/>
                <w:sz w:val="24"/>
                <w:szCs w:val="24"/>
              </w:rPr>
              <w:t>Percent</w:t>
            </w:r>
          </w:p>
        </w:tc>
      </w:tr>
      <w:tr w:rsidR="00127576" w:rsidRPr="00F50AF3" w14:paraId="0A74DABC" w14:textId="77777777" w:rsidTr="00127576">
        <w:trPr>
          <w:trHeight w:val="276"/>
        </w:trPr>
        <w:tc>
          <w:tcPr>
            <w:tcW w:w="3295" w:type="dxa"/>
          </w:tcPr>
          <w:p w14:paraId="0334E1AF"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Asuncion</w:t>
            </w:r>
          </w:p>
        </w:tc>
        <w:tc>
          <w:tcPr>
            <w:tcW w:w="3296" w:type="dxa"/>
          </w:tcPr>
          <w:p w14:paraId="1EC29B37"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w:t>
            </w:r>
          </w:p>
        </w:tc>
        <w:tc>
          <w:tcPr>
            <w:tcW w:w="3296" w:type="dxa"/>
          </w:tcPr>
          <w:p w14:paraId="2AC96001"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1.8</w:t>
            </w:r>
          </w:p>
        </w:tc>
      </w:tr>
      <w:tr w:rsidR="00127576" w:rsidRPr="00F50AF3" w14:paraId="4C96DB37" w14:textId="77777777" w:rsidTr="00127576">
        <w:trPr>
          <w:trHeight w:val="276"/>
        </w:trPr>
        <w:tc>
          <w:tcPr>
            <w:tcW w:w="3295" w:type="dxa"/>
          </w:tcPr>
          <w:p w14:paraId="3FF82601"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Carmen</w:t>
            </w:r>
          </w:p>
        </w:tc>
        <w:tc>
          <w:tcPr>
            <w:tcW w:w="3296" w:type="dxa"/>
          </w:tcPr>
          <w:p w14:paraId="2DD6C7AF"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30</w:t>
            </w:r>
          </w:p>
        </w:tc>
        <w:tc>
          <w:tcPr>
            <w:tcW w:w="3296" w:type="dxa"/>
          </w:tcPr>
          <w:p w14:paraId="23B75DD1"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13.5</w:t>
            </w:r>
          </w:p>
        </w:tc>
      </w:tr>
      <w:tr w:rsidR="00127576" w:rsidRPr="00F50AF3" w14:paraId="6A4E1DF5" w14:textId="77777777" w:rsidTr="00127576">
        <w:trPr>
          <w:trHeight w:val="276"/>
        </w:trPr>
        <w:tc>
          <w:tcPr>
            <w:tcW w:w="3295" w:type="dxa"/>
          </w:tcPr>
          <w:p w14:paraId="5264A0F9"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Kapalong</w:t>
            </w:r>
          </w:p>
        </w:tc>
        <w:tc>
          <w:tcPr>
            <w:tcW w:w="3296" w:type="dxa"/>
          </w:tcPr>
          <w:p w14:paraId="7980620C"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52</w:t>
            </w:r>
          </w:p>
        </w:tc>
        <w:tc>
          <w:tcPr>
            <w:tcW w:w="3296" w:type="dxa"/>
          </w:tcPr>
          <w:p w14:paraId="4D3E4E49"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23.3</w:t>
            </w:r>
          </w:p>
        </w:tc>
      </w:tr>
      <w:tr w:rsidR="00127576" w:rsidRPr="00F50AF3" w14:paraId="5E86D1FF" w14:textId="77777777" w:rsidTr="00127576">
        <w:trPr>
          <w:trHeight w:val="276"/>
        </w:trPr>
        <w:tc>
          <w:tcPr>
            <w:tcW w:w="3295" w:type="dxa"/>
          </w:tcPr>
          <w:p w14:paraId="51E03F3B"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NewCorella</w:t>
            </w:r>
          </w:p>
        </w:tc>
        <w:tc>
          <w:tcPr>
            <w:tcW w:w="3296" w:type="dxa"/>
          </w:tcPr>
          <w:p w14:paraId="22E6A49C"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34</w:t>
            </w:r>
          </w:p>
        </w:tc>
        <w:tc>
          <w:tcPr>
            <w:tcW w:w="3296" w:type="dxa"/>
          </w:tcPr>
          <w:p w14:paraId="0545B6EA"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15.2</w:t>
            </w:r>
          </w:p>
        </w:tc>
      </w:tr>
      <w:tr w:rsidR="00127576" w:rsidRPr="00F50AF3" w14:paraId="0CDCE4A1" w14:textId="77777777" w:rsidTr="00127576">
        <w:trPr>
          <w:trHeight w:val="276"/>
        </w:trPr>
        <w:tc>
          <w:tcPr>
            <w:tcW w:w="3295" w:type="dxa"/>
          </w:tcPr>
          <w:p w14:paraId="75331D2B"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Panabo</w:t>
            </w:r>
          </w:p>
        </w:tc>
        <w:tc>
          <w:tcPr>
            <w:tcW w:w="3296" w:type="dxa"/>
          </w:tcPr>
          <w:p w14:paraId="44F2EC4A"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25</w:t>
            </w:r>
          </w:p>
        </w:tc>
        <w:tc>
          <w:tcPr>
            <w:tcW w:w="3296" w:type="dxa"/>
          </w:tcPr>
          <w:p w14:paraId="365F9B7D"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11.2</w:t>
            </w:r>
          </w:p>
        </w:tc>
      </w:tr>
      <w:tr w:rsidR="00127576" w:rsidRPr="00F50AF3" w14:paraId="49A49BCB" w14:textId="77777777" w:rsidTr="00127576">
        <w:trPr>
          <w:trHeight w:val="261"/>
        </w:trPr>
        <w:tc>
          <w:tcPr>
            <w:tcW w:w="3295" w:type="dxa"/>
          </w:tcPr>
          <w:p w14:paraId="113B9C47"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Samal</w:t>
            </w:r>
          </w:p>
        </w:tc>
        <w:tc>
          <w:tcPr>
            <w:tcW w:w="3296" w:type="dxa"/>
          </w:tcPr>
          <w:p w14:paraId="36E71494"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w:t>
            </w:r>
          </w:p>
        </w:tc>
        <w:tc>
          <w:tcPr>
            <w:tcW w:w="3296" w:type="dxa"/>
          </w:tcPr>
          <w:p w14:paraId="5A0D41DD"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w:t>
            </w:r>
          </w:p>
        </w:tc>
      </w:tr>
      <w:tr w:rsidR="00127576" w:rsidRPr="00F50AF3" w14:paraId="799CCDA9" w14:textId="77777777" w:rsidTr="00127576">
        <w:trPr>
          <w:trHeight w:val="276"/>
        </w:trPr>
        <w:tc>
          <w:tcPr>
            <w:tcW w:w="3295" w:type="dxa"/>
          </w:tcPr>
          <w:p w14:paraId="4AF992C9"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SanIsidro</w:t>
            </w:r>
          </w:p>
        </w:tc>
        <w:tc>
          <w:tcPr>
            <w:tcW w:w="3296" w:type="dxa"/>
          </w:tcPr>
          <w:p w14:paraId="63811344"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21</w:t>
            </w:r>
          </w:p>
        </w:tc>
        <w:tc>
          <w:tcPr>
            <w:tcW w:w="3296" w:type="dxa"/>
          </w:tcPr>
          <w:p w14:paraId="69CD0745"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9.4</w:t>
            </w:r>
          </w:p>
        </w:tc>
      </w:tr>
      <w:tr w:rsidR="00127576" w:rsidRPr="00F50AF3" w14:paraId="3B11DB73" w14:textId="77777777" w:rsidTr="00127576">
        <w:trPr>
          <w:trHeight w:val="276"/>
        </w:trPr>
        <w:tc>
          <w:tcPr>
            <w:tcW w:w="3295" w:type="dxa"/>
          </w:tcPr>
          <w:p w14:paraId="0F8AC64E"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StoTomas</w:t>
            </w:r>
          </w:p>
        </w:tc>
        <w:tc>
          <w:tcPr>
            <w:tcW w:w="3296" w:type="dxa"/>
          </w:tcPr>
          <w:p w14:paraId="59E66631"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14</w:t>
            </w:r>
          </w:p>
        </w:tc>
        <w:tc>
          <w:tcPr>
            <w:tcW w:w="3296" w:type="dxa"/>
          </w:tcPr>
          <w:p w14:paraId="76EB470E"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6.3</w:t>
            </w:r>
          </w:p>
        </w:tc>
      </w:tr>
      <w:tr w:rsidR="00127576" w:rsidRPr="00F50AF3" w14:paraId="20327FC7" w14:textId="77777777" w:rsidTr="00127576">
        <w:trPr>
          <w:trHeight w:val="276"/>
        </w:trPr>
        <w:tc>
          <w:tcPr>
            <w:tcW w:w="3295" w:type="dxa"/>
          </w:tcPr>
          <w:p w14:paraId="371C8BE4"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Tagum</w:t>
            </w:r>
          </w:p>
        </w:tc>
        <w:tc>
          <w:tcPr>
            <w:tcW w:w="3296" w:type="dxa"/>
          </w:tcPr>
          <w:p w14:paraId="5D2F7DBF"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41</w:t>
            </w:r>
          </w:p>
        </w:tc>
        <w:tc>
          <w:tcPr>
            <w:tcW w:w="3296" w:type="dxa"/>
          </w:tcPr>
          <w:p w14:paraId="01F7F304"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18.4</w:t>
            </w:r>
          </w:p>
        </w:tc>
      </w:tr>
      <w:tr w:rsidR="00127576" w:rsidRPr="00F50AF3" w14:paraId="4F52842D" w14:textId="77777777" w:rsidTr="00127576">
        <w:trPr>
          <w:trHeight w:val="276"/>
        </w:trPr>
        <w:tc>
          <w:tcPr>
            <w:tcW w:w="3295" w:type="dxa"/>
          </w:tcPr>
          <w:p w14:paraId="4C5CA5EC"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Talaingod</w:t>
            </w:r>
          </w:p>
        </w:tc>
        <w:tc>
          <w:tcPr>
            <w:tcW w:w="3296" w:type="dxa"/>
          </w:tcPr>
          <w:p w14:paraId="19563B29"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w:t>
            </w:r>
          </w:p>
        </w:tc>
        <w:tc>
          <w:tcPr>
            <w:tcW w:w="3296" w:type="dxa"/>
          </w:tcPr>
          <w:p w14:paraId="1C284101"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.4</w:t>
            </w:r>
          </w:p>
        </w:tc>
      </w:tr>
      <w:tr w:rsidR="00127576" w:rsidRPr="00F50AF3" w14:paraId="1AAD94E9" w14:textId="77777777" w:rsidTr="00127576">
        <w:trPr>
          <w:trHeight w:val="261"/>
        </w:trPr>
        <w:tc>
          <w:tcPr>
            <w:tcW w:w="3295" w:type="dxa"/>
          </w:tcPr>
          <w:p w14:paraId="2BA590C2"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Total</w:t>
            </w:r>
          </w:p>
        </w:tc>
        <w:tc>
          <w:tcPr>
            <w:tcW w:w="3296" w:type="dxa"/>
          </w:tcPr>
          <w:p w14:paraId="09AF3739"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223</w:t>
            </w:r>
          </w:p>
        </w:tc>
        <w:tc>
          <w:tcPr>
            <w:tcW w:w="3296" w:type="dxa"/>
          </w:tcPr>
          <w:p w14:paraId="21E649E5" w14:textId="77777777" w:rsidR="00127576" w:rsidRPr="00F50AF3" w:rsidRDefault="00127576" w:rsidP="00F50AF3">
            <w:pPr>
              <w:pStyle w:val="BodyText2"/>
              <w:spacing w:line="240" w:lineRule="auto"/>
              <w:jc w:val="center"/>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100.0</w:t>
            </w:r>
          </w:p>
        </w:tc>
      </w:tr>
    </w:tbl>
    <w:p w14:paraId="10366366" w14:textId="77777777" w:rsidR="00127576" w:rsidRPr="00F50AF3" w:rsidRDefault="00127576" w:rsidP="00F50AF3">
      <w:pPr>
        <w:pStyle w:val="BodyText2"/>
        <w:spacing w:line="240" w:lineRule="auto"/>
        <w:rPr>
          <w:rFonts w:ascii="Times New Roman" w:eastAsiaTheme="minorHAnsi" w:hAnsi="Times New Roman" w:cs="Times New Roman"/>
          <w:sz w:val="24"/>
          <w:szCs w:val="24"/>
        </w:rPr>
      </w:pPr>
    </w:p>
    <w:p w14:paraId="118FEEBD" w14:textId="77777777" w:rsidR="00127576" w:rsidRPr="00F50AF3" w:rsidRDefault="00127576"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b/>
          <w:sz w:val="24"/>
          <w:szCs w:val="24"/>
        </w:rPr>
        <w:t xml:space="preserve">Self-assessed Skills and Competency Assessment Level (SaCSCALE) </w:t>
      </w:r>
    </w:p>
    <w:p w14:paraId="59C6825B" w14:textId="77777777" w:rsidR="00127576" w:rsidRPr="00F50AF3" w:rsidRDefault="005353AB"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sz w:val="24"/>
          <w:szCs w:val="24"/>
        </w:rPr>
        <w:tab/>
      </w:r>
      <w:r w:rsidR="00127576" w:rsidRPr="00F50AF3">
        <w:rPr>
          <w:rFonts w:ascii="Times New Roman" w:eastAsiaTheme="minorHAnsi" w:hAnsi="Times New Roman" w:cs="Times New Roman"/>
          <w:b/>
          <w:sz w:val="24"/>
          <w:szCs w:val="24"/>
        </w:rPr>
        <w:t xml:space="preserve">Core Competency </w:t>
      </w:r>
    </w:p>
    <w:p w14:paraId="2F83B1A7" w14:textId="77777777" w:rsidR="00127576" w:rsidRPr="00F50AF3" w:rsidRDefault="005353AB"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r>
      <w:r w:rsidR="00127576" w:rsidRPr="00F50AF3">
        <w:rPr>
          <w:rFonts w:ascii="Times New Roman" w:eastAsiaTheme="minorHAnsi" w:hAnsi="Times New Roman" w:cs="Times New Roman"/>
          <w:sz w:val="24"/>
          <w:szCs w:val="24"/>
        </w:rPr>
        <w:t>Table 5 shows the individual core competency items under the variable of Self-assessed Skills and Competency Assessment Level (SaCSCALE) of SK officials, which had mean scores ranging from 2.1973 to 2.4664. All individual items, like the total Core Competencies score (M=2.2996), fell under the "low proficiency" category. This precise information enables a more detailed knowledge of which components of core competencies are evaluated negatively. The lowest mean score for core competency, namely "decision making," followed by the "organizational awareness" component, got a score of (M=1.2691). This data highlights a need to address the specific issues hampering the ability of Sangguniang Kabataan (SK) officials to serve their community. Lising and Rivera (2024) support the idea that core competencies, especially organizational awareness, need enhancement because SK officials can benefit from improved organizational awareness to navigate local government structures more effectively.</w:t>
      </w:r>
    </w:p>
    <w:tbl>
      <w:tblPr>
        <w:tblW w:w="9419" w:type="dxa"/>
        <w:tblCellMar>
          <w:top w:w="15" w:type="dxa"/>
          <w:left w:w="15" w:type="dxa"/>
          <w:bottom w:w="15" w:type="dxa"/>
          <w:right w:w="15" w:type="dxa"/>
        </w:tblCellMar>
        <w:tblLook w:val="04A0" w:firstRow="1" w:lastRow="0" w:firstColumn="1" w:lastColumn="0" w:noHBand="0" w:noVBand="1"/>
      </w:tblPr>
      <w:tblGrid>
        <w:gridCol w:w="4627"/>
        <w:gridCol w:w="226"/>
        <w:gridCol w:w="615"/>
        <w:gridCol w:w="226"/>
        <w:gridCol w:w="1076"/>
        <w:gridCol w:w="226"/>
        <w:gridCol w:w="2423"/>
      </w:tblGrid>
      <w:tr w:rsidR="005353AB" w:rsidRPr="00F50AF3" w14:paraId="4B578FE6" w14:textId="77777777" w:rsidTr="00934280">
        <w:trPr>
          <w:trHeight w:val="94"/>
          <w:tblHeader/>
        </w:trPr>
        <w:tc>
          <w:tcPr>
            <w:tcW w:w="0" w:type="auto"/>
            <w:gridSpan w:val="6"/>
            <w:tcBorders>
              <w:bottom w:val="single" w:sz="6" w:space="0" w:color="000000"/>
            </w:tcBorders>
            <w:tcMar>
              <w:top w:w="100" w:type="dxa"/>
              <w:left w:w="100" w:type="dxa"/>
              <w:bottom w:w="100" w:type="dxa"/>
              <w:right w:w="100" w:type="dxa"/>
            </w:tcMar>
            <w:vAlign w:val="center"/>
            <w:hideMark/>
          </w:tcPr>
          <w:p w14:paraId="6A433047" w14:textId="77777777" w:rsidR="005353AB" w:rsidRPr="00F50AF3" w:rsidRDefault="005353AB" w:rsidP="00934280">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5 . Mean Scores of Core Competency</w:t>
            </w:r>
          </w:p>
        </w:tc>
        <w:tc>
          <w:tcPr>
            <w:tcW w:w="0" w:type="auto"/>
            <w:tcBorders>
              <w:bottom w:val="single" w:sz="6" w:space="0" w:color="000000"/>
            </w:tcBorders>
            <w:tcMar>
              <w:top w:w="100" w:type="dxa"/>
              <w:left w:w="100" w:type="dxa"/>
              <w:bottom w:w="100" w:type="dxa"/>
              <w:right w:w="100" w:type="dxa"/>
            </w:tcMar>
            <w:hideMark/>
          </w:tcPr>
          <w:p w14:paraId="2EA0011D" w14:textId="77777777" w:rsidR="005353AB" w:rsidRPr="00F50AF3" w:rsidRDefault="005353AB" w:rsidP="00934280">
            <w:pPr>
              <w:spacing w:after="0" w:line="240" w:lineRule="auto"/>
              <w:jc w:val="center"/>
              <w:rPr>
                <w:rFonts w:ascii="Times New Roman" w:eastAsia="Times New Roman" w:hAnsi="Times New Roman" w:cs="Times New Roman"/>
                <w:b/>
                <w:bCs/>
                <w:sz w:val="24"/>
                <w:szCs w:val="24"/>
                <w:lang w:eastAsia="en-PH"/>
              </w:rPr>
            </w:pPr>
          </w:p>
        </w:tc>
      </w:tr>
      <w:tr w:rsidR="005353AB" w:rsidRPr="00F50AF3" w14:paraId="38C4E52C" w14:textId="77777777" w:rsidTr="00934280">
        <w:trPr>
          <w:trHeight w:val="94"/>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93846A3" w14:textId="77777777" w:rsidR="005353AB" w:rsidRPr="00F50AF3" w:rsidRDefault="005353AB" w:rsidP="00934280">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 </w:t>
            </w:r>
            <w:r w:rsidRPr="00F50AF3">
              <w:rPr>
                <w:rFonts w:ascii="Times New Roman" w:eastAsia="Times New Roman" w:hAnsi="Times New Roman" w:cs="Times New Roman"/>
                <w:b/>
                <w:bCs/>
                <w:color w:val="000000"/>
                <w:sz w:val="24"/>
                <w:szCs w:val="24"/>
                <w:lang w:eastAsia="en-PH"/>
              </w:rPr>
              <w:t>Core Competency</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EFAE47B" w14:textId="77777777" w:rsidR="005353AB" w:rsidRPr="00F50AF3" w:rsidRDefault="005353AB" w:rsidP="00934280">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A1C39E4" w14:textId="77777777" w:rsidR="005353AB" w:rsidRPr="00F50AF3" w:rsidRDefault="005353AB" w:rsidP="00934280">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27E5DFBC" w14:textId="77777777" w:rsidR="005353AB" w:rsidRPr="00F50AF3" w:rsidRDefault="005353AB" w:rsidP="00934280">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5353AB" w:rsidRPr="00F50AF3" w14:paraId="660D6F62" w14:textId="77777777" w:rsidTr="00934280">
        <w:trPr>
          <w:trHeight w:val="272"/>
        </w:trPr>
        <w:tc>
          <w:tcPr>
            <w:tcW w:w="0" w:type="auto"/>
            <w:tcBorders>
              <w:top w:val="single" w:sz="6" w:space="0" w:color="000000"/>
            </w:tcBorders>
            <w:tcMar>
              <w:top w:w="100" w:type="dxa"/>
              <w:left w:w="100" w:type="dxa"/>
              <w:bottom w:w="100" w:type="dxa"/>
              <w:right w:w="100" w:type="dxa"/>
            </w:tcMar>
            <w:vAlign w:val="center"/>
            <w:hideMark/>
          </w:tcPr>
          <w:p w14:paraId="74989376"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Adaptability</w:t>
            </w:r>
          </w:p>
        </w:tc>
        <w:tc>
          <w:tcPr>
            <w:tcW w:w="0" w:type="auto"/>
            <w:tcBorders>
              <w:top w:val="single" w:sz="6" w:space="0" w:color="000000"/>
            </w:tcBorders>
            <w:tcMar>
              <w:top w:w="100" w:type="dxa"/>
              <w:left w:w="100" w:type="dxa"/>
              <w:bottom w:w="100" w:type="dxa"/>
              <w:right w:w="100" w:type="dxa"/>
            </w:tcMar>
            <w:vAlign w:val="center"/>
            <w:hideMark/>
          </w:tcPr>
          <w:p w14:paraId="1C5E04D7"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5DEC6007"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502CE806"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65CE1534"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2.4664</w:t>
            </w:r>
          </w:p>
        </w:tc>
        <w:tc>
          <w:tcPr>
            <w:tcW w:w="0" w:type="auto"/>
            <w:tcBorders>
              <w:top w:val="single" w:sz="6" w:space="0" w:color="000000"/>
            </w:tcBorders>
            <w:tcMar>
              <w:top w:w="100" w:type="dxa"/>
              <w:left w:w="100" w:type="dxa"/>
              <w:bottom w:w="100" w:type="dxa"/>
              <w:right w:w="100" w:type="dxa"/>
            </w:tcMar>
            <w:vAlign w:val="center"/>
            <w:hideMark/>
          </w:tcPr>
          <w:p w14:paraId="2E1062BA"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45A8568E"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5353AB" w:rsidRPr="00934280" w14:paraId="0A2DB2A8" w14:textId="77777777" w:rsidTr="00934280">
        <w:trPr>
          <w:trHeight w:val="94"/>
        </w:trPr>
        <w:tc>
          <w:tcPr>
            <w:tcW w:w="0" w:type="auto"/>
            <w:tcMar>
              <w:top w:w="100" w:type="dxa"/>
              <w:left w:w="100" w:type="dxa"/>
              <w:bottom w:w="100" w:type="dxa"/>
              <w:right w:w="100" w:type="dxa"/>
            </w:tcMar>
            <w:vAlign w:val="center"/>
            <w:hideMark/>
          </w:tcPr>
          <w:p w14:paraId="2C76EEB9"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Communicating Effectively </w:t>
            </w:r>
          </w:p>
        </w:tc>
        <w:tc>
          <w:tcPr>
            <w:tcW w:w="0" w:type="auto"/>
            <w:tcMar>
              <w:top w:w="100" w:type="dxa"/>
              <w:left w:w="100" w:type="dxa"/>
              <w:bottom w:w="100" w:type="dxa"/>
              <w:right w:w="100" w:type="dxa"/>
            </w:tcMar>
            <w:vAlign w:val="center"/>
            <w:hideMark/>
          </w:tcPr>
          <w:p w14:paraId="69B10D2A"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852FBEB"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2974349"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FFD03FC"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2.2960</w:t>
            </w:r>
          </w:p>
        </w:tc>
        <w:tc>
          <w:tcPr>
            <w:tcW w:w="0" w:type="auto"/>
            <w:tcMar>
              <w:top w:w="100" w:type="dxa"/>
              <w:left w:w="100" w:type="dxa"/>
              <w:bottom w:w="100" w:type="dxa"/>
              <w:right w:w="100" w:type="dxa"/>
            </w:tcMar>
            <w:vAlign w:val="center"/>
            <w:hideMark/>
          </w:tcPr>
          <w:p w14:paraId="588ECACA"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906851D"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5353AB" w:rsidRPr="00F50AF3" w14:paraId="2AFD2814" w14:textId="77777777" w:rsidTr="00934280">
        <w:trPr>
          <w:trHeight w:val="94"/>
        </w:trPr>
        <w:tc>
          <w:tcPr>
            <w:tcW w:w="0" w:type="auto"/>
            <w:tcMar>
              <w:top w:w="100" w:type="dxa"/>
              <w:left w:w="100" w:type="dxa"/>
              <w:bottom w:w="100" w:type="dxa"/>
              <w:right w:w="100" w:type="dxa"/>
            </w:tcMar>
            <w:vAlign w:val="center"/>
            <w:hideMark/>
          </w:tcPr>
          <w:p w14:paraId="162B9A18"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Organizational Awareness  </w:t>
            </w:r>
          </w:p>
        </w:tc>
        <w:tc>
          <w:tcPr>
            <w:tcW w:w="0" w:type="auto"/>
            <w:tcMar>
              <w:top w:w="100" w:type="dxa"/>
              <w:left w:w="100" w:type="dxa"/>
              <w:bottom w:w="100" w:type="dxa"/>
              <w:right w:w="100" w:type="dxa"/>
            </w:tcMar>
            <w:vAlign w:val="center"/>
            <w:hideMark/>
          </w:tcPr>
          <w:p w14:paraId="21C35400"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D7A5033"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863AA51"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289AD94"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2.2691</w:t>
            </w:r>
          </w:p>
        </w:tc>
        <w:tc>
          <w:tcPr>
            <w:tcW w:w="0" w:type="auto"/>
            <w:tcMar>
              <w:top w:w="100" w:type="dxa"/>
              <w:left w:w="100" w:type="dxa"/>
              <w:bottom w:w="100" w:type="dxa"/>
              <w:right w:w="100" w:type="dxa"/>
            </w:tcMar>
            <w:vAlign w:val="center"/>
            <w:hideMark/>
          </w:tcPr>
          <w:p w14:paraId="56D503E5"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5034F11"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5353AB" w:rsidRPr="00F50AF3" w14:paraId="53A74D4D" w14:textId="77777777" w:rsidTr="00934280">
        <w:trPr>
          <w:trHeight w:val="94"/>
        </w:trPr>
        <w:tc>
          <w:tcPr>
            <w:tcW w:w="0" w:type="auto"/>
            <w:tcMar>
              <w:top w:w="100" w:type="dxa"/>
              <w:left w:w="100" w:type="dxa"/>
              <w:bottom w:w="100" w:type="dxa"/>
              <w:right w:w="100" w:type="dxa"/>
            </w:tcMar>
            <w:vAlign w:val="center"/>
            <w:hideMark/>
          </w:tcPr>
          <w:p w14:paraId="4CF74621"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Commitment to Serve the Filipino Youth </w:t>
            </w:r>
          </w:p>
        </w:tc>
        <w:tc>
          <w:tcPr>
            <w:tcW w:w="0" w:type="auto"/>
            <w:tcMar>
              <w:top w:w="100" w:type="dxa"/>
              <w:left w:w="100" w:type="dxa"/>
              <w:bottom w:w="100" w:type="dxa"/>
              <w:right w:w="100" w:type="dxa"/>
            </w:tcMar>
            <w:vAlign w:val="center"/>
            <w:hideMark/>
          </w:tcPr>
          <w:p w14:paraId="454A490A"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DE0D16F"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4CF7022"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50D95E7"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2.691</w:t>
            </w:r>
          </w:p>
        </w:tc>
        <w:tc>
          <w:tcPr>
            <w:tcW w:w="0" w:type="auto"/>
            <w:tcMar>
              <w:top w:w="100" w:type="dxa"/>
              <w:left w:w="100" w:type="dxa"/>
              <w:bottom w:w="100" w:type="dxa"/>
              <w:right w:w="100" w:type="dxa"/>
            </w:tcMar>
            <w:vAlign w:val="center"/>
            <w:hideMark/>
          </w:tcPr>
          <w:p w14:paraId="553C98AE"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10BA3C48"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5353AB" w:rsidRPr="00F50AF3" w14:paraId="117ABF67" w14:textId="77777777" w:rsidTr="00934280">
        <w:trPr>
          <w:trHeight w:val="94"/>
        </w:trPr>
        <w:tc>
          <w:tcPr>
            <w:tcW w:w="0" w:type="auto"/>
            <w:tcMar>
              <w:top w:w="100" w:type="dxa"/>
              <w:left w:w="100" w:type="dxa"/>
              <w:bottom w:w="100" w:type="dxa"/>
              <w:right w:w="100" w:type="dxa"/>
            </w:tcMar>
            <w:vAlign w:val="center"/>
            <w:hideMark/>
          </w:tcPr>
          <w:p w14:paraId="544D772F"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Decision Making </w:t>
            </w:r>
          </w:p>
        </w:tc>
        <w:tc>
          <w:tcPr>
            <w:tcW w:w="0" w:type="auto"/>
            <w:tcMar>
              <w:top w:w="100" w:type="dxa"/>
              <w:left w:w="100" w:type="dxa"/>
              <w:bottom w:w="100" w:type="dxa"/>
              <w:right w:w="100" w:type="dxa"/>
            </w:tcMar>
            <w:vAlign w:val="center"/>
            <w:hideMark/>
          </w:tcPr>
          <w:p w14:paraId="3AE23BB6"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41995B4"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490D30A"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2FCE666"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2.1973 </w:t>
            </w:r>
          </w:p>
        </w:tc>
        <w:tc>
          <w:tcPr>
            <w:tcW w:w="0" w:type="auto"/>
            <w:tcMar>
              <w:top w:w="100" w:type="dxa"/>
              <w:left w:w="100" w:type="dxa"/>
              <w:bottom w:w="100" w:type="dxa"/>
              <w:right w:w="100" w:type="dxa"/>
            </w:tcMar>
            <w:vAlign w:val="center"/>
            <w:hideMark/>
          </w:tcPr>
          <w:p w14:paraId="2B1FA0A3"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7624EED"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5353AB" w:rsidRPr="00F50AF3" w14:paraId="289E9CCD" w14:textId="77777777" w:rsidTr="00934280">
        <w:trPr>
          <w:trHeight w:val="94"/>
        </w:trPr>
        <w:tc>
          <w:tcPr>
            <w:tcW w:w="0" w:type="auto"/>
            <w:tcMar>
              <w:top w:w="100" w:type="dxa"/>
              <w:left w:w="100" w:type="dxa"/>
              <w:bottom w:w="100" w:type="dxa"/>
              <w:right w:w="100" w:type="dxa"/>
            </w:tcMar>
            <w:vAlign w:val="center"/>
            <w:hideMark/>
          </w:tcPr>
          <w:p w14:paraId="2D0D9C13"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7E294D94"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1922E50"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0077D2B"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A59A6C0" w14:textId="77777777" w:rsidR="005353AB" w:rsidRPr="00F50AF3" w:rsidRDefault="005353AB" w:rsidP="00934280">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2.2996</w:t>
            </w:r>
          </w:p>
        </w:tc>
        <w:tc>
          <w:tcPr>
            <w:tcW w:w="0" w:type="auto"/>
            <w:tcMar>
              <w:top w:w="100" w:type="dxa"/>
              <w:left w:w="100" w:type="dxa"/>
              <w:bottom w:w="100" w:type="dxa"/>
              <w:right w:w="100" w:type="dxa"/>
            </w:tcMar>
            <w:vAlign w:val="center"/>
            <w:hideMark/>
          </w:tcPr>
          <w:p w14:paraId="4C5EDC35"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E32A987"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67F22895" w14:textId="77777777" w:rsidR="005353AB" w:rsidRPr="00F50AF3" w:rsidRDefault="005353AB" w:rsidP="00934280">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500BBA3D" w14:textId="77777777" w:rsidR="005353AB" w:rsidRPr="00F50AF3" w:rsidRDefault="005353AB"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6CF49564" w14:textId="77777777" w:rsidR="005353AB" w:rsidRPr="00F50AF3" w:rsidRDefault="005353AB"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lastRenderedPageBreak/>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7E14185B" w14:textId="77777777" w:rsidR="005353AB" w:rsidRPr="00F50AF3" w:rsidRDefault="005353AB"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63F76526" w14:textId="77777777" w:rsidR="00A569E8" w:rsidRPr="00F50AF3" w:rsidRDefault="00A569E8" w:rsidP="00F50AF3">
      <w:pPr>
        <w:pStyle w:val="BodyText2"/>
        <w:spacing w:line="240" w:lineRule="auto"/>
        <w:rPr>
          <w:rFonts w:ascii="Times New Roman" w:eastAsiaTheme="minorHAnsi" w:hAnsi="Times New Roman" w:cs="Times New Roman"/>
          <w:sz w:val="24"/>
          <w:szCs w:val="24"/>
        </w:rPr>
      </w:pPr>
    </w:p>
    <w:p w14:paraId="24F05A04" w14:textId="77777777" w:rsidR="00A569E8" w:rsidRPr="00F50AF3" w:rsidRDefault="00A569E8" w:rsidP="00F50AF3">
      <w:pPr>
        <w:pStyle w:val="BodyText2"/>
        <w:spacing w:line="240" w:lineRule="auto"/>
        <w:rPr>
          <w:rFonts w:ascii="Times New Roman" w:eastAsiaTheme="minorHAnsi" w:hAnsi="Times New Roman" w:cs="Times New Roman"/>
          <w:b/>
          <w:sz w:val="24"/>
          <w:szCs w:val="24"/>
        </w:rPr>
      </w:pPr>
      <w:r w:rsidRPr="00F50AF3">
        <w:rPr>
          <w:rFonts w:ascii="Times New Roman" w:eastAsiaTheme="minorHAnsi" w:hAnsi="Times New Roman" w:cs="Times New Roman"/>
          <w:sz w:val="24"/>
          <w:szCs w:val="24"/>
        </w:rPr>
        <w:tab/>
      </w:r>
      <w:r w:rsidRPr="00F50AF3">
        <w:rPr>
          <w:rFonts w:ascii="Times New Roman" w:eastAsiaTheme="minorHAnsi" w:hAnsi="Times New Roman" w:cs="Times New Roman"/>
          <w:b/>
          <w:sz w:val="24"/>
          <w:szCs w:val="24"/>
        </w:rPr>
        <w:t>Technical Competency</w:t>
      </w:r>
    </w:p>
    <w:p w14:paraId="33BA24EB" w14:textId="77777777" w:rsidR="00A569E8" w:rsidRPr="00F50AF3" w:rsidRDefault="00A569E8" w:rsidP="00F50AF3">
      <w:pPr>
        <w:pStyle w:val="BodyText2"/>
        <w:spacing w:line="240" w:lineRule="auto"/>
        <w:rPr>
          <w:rFonts w:ascii="Times New Roman" w:eastAsiaTheme="minorHAnsi" w:hAnsi="Times New Roman" w:cs="Times New Roman"/>
          <w:sz w:val="24"/>
          <w:szCs w:val="24"/>
        </w:rPr>
      </w:pPr>
      <w:r w:rsidRPr="00F50AF3">
        <w:rPr>
          <w:rFonts w:ascii="Times New Roman" w:eastAsiaTheme="minorHAnsi" w:hAnsi="Times New Roman" w:cs="Times New Roman"/>
          <w:sz w:val="24"/>
          <w:szCs w:val="24"/>
        </w:rPr>
        <w:tab/>
        <w:t>Table 6 presents average scores for the components of technical competency, which stay between 2.2691 and 2.3948. Every individual item reached the “Low Proficiency” level</w:t>
      </w:r>
      <w:r w:rsidR="00C5462F" w:rsidRPr="00F50AF3">
        <w:rPr>
          <w:rFonts w:ascii="Times New Roman" w:eastAsiaTheme="minorHAnsi" w:hAnsi="Times New Roman" w:cs="Times New Roman"/>
          <w:sz w:val="24"/>
          <w:szCs w:val="24"/>
        </w:rPr>
        <w:t>, confirming the overall</w:t>
      </w:r>
      <w:r w:rsidRPr="00F50AF3">
        <w:rPr>
          <w:rFonts w:ascii="Times New Roman" w:eastAsiaTheme="minorHAnsi" w:hAnsi="Times New Roman" w:cs="Times New Roman"/>
          <w:sz w:val="24"/>
          <w:szCs w:val="24"/>
        </w:rPr>
        <w:t xml:space="preserve"> technical competency mean of M=2.3058. “Problem Analysis and Resolution” recorded the lowest mean at 2.2691, followed closely by "Technical Writing” at 2.2915. Both scores remain firmly within the range of “Low Proficiency” and this granular data highlights particular technical skills that may be deficient or causing concern within the surveyed group. This finding is in line with the research conducted to investigate SK project implementation in Davao City, it came out that the low technical competency is a major issue that deters the performance of the youth councils. Issues like insufficient support system, absence of systematized training courses, diminished autonomy and ineffective communication were revealed by SK officials to impede successful project implementation (Austria, Bonilla, Cabiles, Rupinta, &amp; Graduate School Students, College of Development Management University of Southeastern Philippines, Mintal Campus, Davao City, 2024). The paper suggests that strategic training should be conducted in planning and project management as well as training SK officials in enhancing their technical expertise and overall contribution.</w:t>
      </w:r>
    </w:p>
    <w:tbl>
      <w:tblPr>
        <w:tblW w:w="9517" w:type="dxa"/>
        <w:tblCellMar>
          <w:top w:w="15" w:type="dxa"/>
          <w:left w:w="15" w:type="dxa"/>
          <w:bottom w:w="15" w:type="dxa"/>
          <w:right w:w="15" w:type="dxa"/>
        </w:tblCellMar>
        <w:tblLook w:val="04A0" w:firstRow="1" w:lastRow="0" w:firstColumn="1" w:lastColumn="0" w:noHBand="0" w:noVBand="1"/>
      </w:tblPr>
      <w:tblGrid>
        <w:gridCol w:w="4589"/>
        <w:gridCol w:w="233"/>
        <w:gridCol w:w="632"/>
        <w:gridCol w:w="233"/>
        <w:gridCol w:w="1106"/>
        <w:gridCol w:w="233"/>
        <w:gridCol w:w="2491"/>
      </w:tblGrid>
      <w:tr w:rsidR="00A569E8" w:rsidRPr="00F50AF3" w14:paraId="03192250" w14:textId="77777777" w:rsidTr="00934280">
        <w:trPr>
          <w:trHeight w:val="388"/>
          <w:tblHeader/>
        </w:trPr>
        <w:tc>
          <w:tcPr>
            <w:tcW w:w="0" w:type="auto"/>
            <w:gridSpan w:val="7"/>
            <w:tcBorders>
              <w:bottom w:val="single" w:sz="6" w:space="0" w:color="000000"/>
            </w:tcBorders>
            <w:tcMar>
              <w:top w:w="100" w:type="dxa"/>
              <w:left w:w="100" w:type="dxa"/>
              <w:bottom w:w="100" w:type="dxa"/>
              <w:right w:w="100" w:type="dxa"/>
            </w:tcMar>
            <w:vAlign w:val="center"/>
            <w:hideMark/>
          </w:tcPr>
          <w:p w14:paraId="07272091" w14:textId="77777777" w:rsidR="00A569E8" w:rsidRPr="00F50AF3" w:rsidRDefault="00A569E8"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6. Mean Scores of Technical Competency</w:t>
            </w:r>
          </w:p>
        </w:tc>
      </w:tr>
      <w:tr w:rsidR="00A569E8" w:rsidRPr="00F50AF3" w14:paraId="67A34736" w14:textId="77777777" w:rsidTr="00934280">
        <w:trPr>
          <w:trHeight w:val="93"/>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645FD0C" w14:textId="77777777" w:rsidR="00A569E8" w:rsidRPr="00F50AF3" w:rsidRDefault="00A569E8"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 Technical Competency</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609B915" w14:textId="77777777" w:rsidR="00A569E8" w:rsidRPr="00F50AF3" w:rsidRDefault="00A569E8"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6E0E57FB" w14:textId="77777777" w:rsidR="00A569E8" w:rsidRPr="00F50AF3" w:rsidRDefault="00A569E8"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3752340A" w14:textId="77777777" w:rsidR="00A569E8" w:rsidRPr="00F50AF3" w:rsidRDefault="00A569E8"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A569E8" w:rsidRPr="00F50AF3" w14:paraId="0BD75185" w14:textId="77777777" w:rsidTr="00934280">
        <w:trPr>
          <w:trHeight w:val="273"/>
        </w:trPr>
        <w:tc>
          <w:tcPr>
            <w:tcW w:w="0" w:type="auto"/>
            <w:tcBorders>
              <w:top w:val="single" w:sz="6" w:space="0" w:color="000000"/>
            </w:tcBorders>
            <w:tcMar>
              <w:top w:w="100" w:type="dxa"/>
              <w:left w:w="100" w:type="dxa"/>
              <w:bottom w:w="100" w:type="dxa"/>
              <w:right w:w="100" w:type="dxa"/>
            </w:tcMar>
            <w:vAlign w:val="center"/>
            <w:hideMark/>
          </w:tcPr>
          <w:p w14:paraId="7DEFCBD0"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Information Management </w:t>
            </w:r>
          </w:p>
        </w:tc>
        <w:tc>
          <w:tcPr>
            <w:tcW w:w="0" w:type="auto"/>
            <w:tcBorders>
              <w:top w:val="single" w:sz="6" w:space="0" w:color="000000"/>
            </w:tcBorders>
            <w:tcMar>
              <w:top w:w="100" w:type="dxa"/>
              <w:left w:w="100" w:type="dxa"/>
              <w:bottom w:w="100" w:type="dxa"/>
              <w:right w:w="100" w:type="dxa"/>
            </w:tcMar>
            <w:vAlign w:val="center"/>
            <w:hideMark/>
          </w:tcPr>
          <w:p w14:paraId="736AEBA9"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67DFB165"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0BA56B67"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6415FD9F"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2.3498</w:t>
            </w:r>
          </w:p>
        </w:tc>
        <w:tc>
          <w:tcPr>
            <w:tcW w:w="0" w:type="auto"/>
            <w:tcBorders>
              <w:top w:val="single" w:sz="6" w:space="0" w:color="000000"/>
            </w:tcBorders>
            <w:tcMar>
              <w:top w:w="100" w:type="dxa"/>
              <w:left w:w="100" w:type="dxa"/>
              <w:bottom w:w="100" w:type="dxa"/>
              <w:right w:w="100" w:type="dxa"/>
            </w:tcMar>
            <w:vAlign w:val="center"/>
            <w:hideMark/>
          </w:tcPr>
          <w:p w14:paraId="3AAFA73C"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7FAF86E7"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A569E8" w:rsidRPr="00F50AF3" w14:paraId="6C46D186" w14:textId="77777777" w:rsidTr="00934280">
        <w:trPr>
          <w:trHeight w:val="93"/>
        </w:trPr>
        <w:tc>
          <w:tcPr>
            <w:tcW w:w="0" w:type="auto"/>
            <w:tcMar>
              <w:top w:w="100" w:type="dxa"/>
              <w:left w:w="100" w:type="dxa"/>
              <w:bottom w:w="100" w:type="dxa"/>
              <w:right w:w="100" w:type="dxa"/>
            </w:tcMar>
            <w:vAlign w:val="center"/>
            <w:hideMark/>
          </w:tcPr>
          <w:p w14:paraId="5E5F09B2"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Problem Analysis and Resolution  </w:t>
            </w:r>
          </w:p>
        </w:tc>
        <w:tc>
          <w:tcPr>
            <w:tcW w:w="0" w:type="auto"/>
            <w:tcMar>
              <w:top w:w="100" w:type="dxa"/>
              <w:left w:w="100" w:type="dxa"/>
              <w:bottom w:w="100" w:type="dxa"/>
              <w:right w:w="100" w:type="dxa"/>
            </w:tcMar>
            <w:vAlign w:val="center"/>
            <w:hideMark/>
          </w:tcPr>
          <w:p w14:paraId="7F03DC35"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223E8B2"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6A2CFDA"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F0CBA34"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2.2691</w:t>
            </w:r>
          </w:p>
        </w:tc>
        <w:tc>
          <w:tcPr>
            <w:tcW w:w="0" w:type="auto"/>
            <w:tcMar>
              <w:top w:w="100" w:type="dxa"/>
              <w:left w:w="100" w:type="dxa"/>
              <w:bottom w:w="100" w:type="dxa"/>
              <w:right w:w="100" w:type="dxa"/>
            </w:tcMar>
            <w:vAlign w:val="center"/>
            <w:hideMark/>
          </w:tcPr>
          <w:p w14:paraId="56505F31"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460AFD8"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A569E8" w:rsidRPr="00F50AF3" w14:paraId="2B2BCD64" w14:textId="77777777" w:rsidTr="00934280">
        <w:trPr>
          <w:trHeight w:val="93"/>
        </w:trPr>
        <w:tc>
          <w:tcPr>
            <w:tcW w:w="0" w:type="auto"/>
            <w:tcMar>
              <w:top w:w="100" w:type="dxa"/>
              <w:left w:w="100" w:type="dxa"/>
              <w:bottom w:w="100" w:type="dxa"/>
              <w:right w:w="100" w:type="dxa"/>
            </w:tcMar>
            <w:vAlign w:val="center"/>
            <w:hideMark/>
          </w:tcPr>
          <w:p w14:paraId="73E0FCA2"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Understanding of Youth Development   </w:t>
            </w:r>
          </w:p>
        </w:tc>
        <w:tc>
          <w:tcPr>
            <w:tcW w:w="0" w:type="auto"/>
            <w:tcMar>
              <w:top w:w="100" w:type="dxa"/>
              <w:left w:w="100" w:type="dxa"/>
              <w:bottom w:w="100" w:type="dxa"/>
              <w:right w:w="100" w:type="dxa"/>
            </w:tcMar>
            <w:vAlign w:val="center"/>
            <w:hideMark/>
          </w:tcPr>
          <w:p w14:paraId="1948D5E7"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A42CCEC"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0FBC3096"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1A09C78"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2.3004</w:t>
            </w:r>
          </w:p>
        </w:tc>
        <w:tc>
          <w:tcPr>
            <w:tcW w:w="0" w:type="auto"/>
            <w:tcMar>
              <w:top w:w="100" w:type="dxa"/>
              <w:left w:w="100" w:type="dxa"/>
              <w:bottom w:w="100" w:type="dxa"/>
              <w:right w:w="100" w:type="dxa"/>
            </w:tcMar>
            <w:vAlign w:val="center"/>
            <w:hideMark/>
          </w:tcPr>
          <w:p w14:paraId="499F875A"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81866C8"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A569E8" w:rsidRPr="00F50AF3" w14:paraId="42AC35D9" w14:textId="77777777" w:rsidTr="00934280">
        <w:trPr>
          <w:trHeight w:val="93"/>
        </w:trPr>
        <w:tc>
          <w:tcPr>
            <w:tcW w:w="0" w:type="auto"/>
            <w:tcMar>
              <w:top w:w="100" w:type="dxa"/>
              <w:left w:w="100" w:type="dxa"/>
              <w:bottom w:w="100" w:type="dxa"/>
              <w:right w:w="100" w:type="dxa"/>
            </w:tcMar>
            <w:vAlign w:val="center"/>
            <w:hideMark/>
          </w:tcPr>
          <w:p w14:paraId="4A733AC9"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Project Execution </w:t>
            </w:r>
          </w:p>
        </w:tc>
        <w:tc>
          <w:tcPr>
            <w:tcW w:w="0" w:type="auto"/>
            <w:tcMar>
              <w:top w:w="100" w:type="dxa"/>
              <w:left w:w="100" w:type="dxa"/>
              <w:bottom w:w="100" w:type="dxa"/>
              <w:right w:w="100" w:type="dxa"/>
            </w:tcMar>
            <w:vAlign w:val="center"/>
            <w:hideMark/>
          </w:tcPr>
          <w:p w14:paraId="41A31978"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914F260"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23A3284A"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54D6970"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2.3184</w:t>
            </w:r>
          </w:p>
        </w:tc>
        <w:tc>
          <w:tcPr>
            <w:tcW w:w="0" w:type="auto"/>
            <w:tcMar>
              <w:top w:w="100" w:type="dxa"/>
              <w:left w:w="100" w:type="dxa"/>
              <w:bottom w:w="100" w:type="dxa"/>
              <w:right w:w="100" w:type="dxa"/>
            </w:tcMar>
            <w:vAlign w:val="center"/>
            <w:hideMark/>
          </w:tcPr>
          <w:p w14:paraId="45D2BD43"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0B3896F"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A569E8" w:rsidRPr="00F50AF3" w14:paraId="1229A45F" w14:textId="77777777" w:rsidTr="00934280">
        <w:trPr>
          <w:trHeight w:val="93"/>
        </w:trPr>
        <w:tc>
          <w:tcPr>
            <w:tcW w:w="0" w:type="auto"/>
            <w:tcMar>
              <w:top w:w="100" w:type="dxa"/>
              <w:left w:w="100" w:type="dxa"/>
              <w:bottom w:w="100" w:type="dxa"/>
              <w:right w:w="100" w:type="dxa"/>
            </w:tcMar>
            <w:vAlign w:val="center"/>
            <w:hideMark/>
          </w:tcPr>
          <w:p w14:paraId="639AAD75"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Technical Writing </w:t>
            </w:r>
          </w:p>
        </w:tc>
        <w:tc>
          <w:tcPr>
            <w:tcW w:w="0" w:type="auto"/>
            <w:tcMar>
              <w:top w:w="100" w:type="dxa"/>
              <w:left w:w="100" w:type="dxa"/>
              <w:bottom w:w="100" w:type="dxa"/>
              <w:right w:w="100" w:type="dxa"/>
            </w:tcMar>
            <w:vAlign w:val="center"/>
            <w:hideMark/>
          </w:tcPr>
          <w:p w14:paraId="3FFD435C"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20E02CD"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E8E5F45"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6E9AA04"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2.2915 </w:t>
            </w:r>
          </w:p>
        </w:tc>
        <w:tc>
          <w:tcPr>
            <w:tcW w:w="0" w:type="auto"/>
            <w:tcMar>
              <w:top w:w="100" w:type="dxa"/>
              <w:left w:w="100" w:type="dxa"/>
              <w:bottom w:w="100" w:type="dxa"/>
              <w:right w:w="100" w:type="dxa"/>
            </w:tcMar>
            <w:vAlign w:val="center"/>
            <w:hideMark/>
          </w:tcPr>
          <w:p w14:paraId="5D2C2E06"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2EE7C77"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A569E8" w:rsidRPr="00F50AF3" w14:paraId="0E9D5DA0" w14:textId="77777777" w:rsidTr="00934280">
        <w:trPr>
          <w:trHeight w:val="93"/>
        </w:trPr>
        <w:tc>
          <w:tcPr>
            <w:tcW w:w="0" w:type="auto"/>
            <w:tcMar>
              <w:top w:w="100" w:type="dxa"/>
              <w:left w:w="100" w:type="dxa"/>
              <w:bottom w:w="100" w:type="dxa"/>
              <w:right w:w="100" w:type="dxa"/>
            </w:tcMar>
            <w:vAlign w:val="center"/>
            <w:hideMark/>
          </w:tcPr>
          <w:p w14:paraId="62937A66"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4ECB7A23"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F197DCF"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FFC5A05"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F165A57" w14:textId="77777777" w:rsidR="00A569E8" w:rsidRPr="00F50AF3" w:rsidRDefault="00A569E8"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2.3058</w:t>
            </w:r>
          </w:p>
        </w:tc>
        <w:tc>
          <w:tcPr>
            <w:tcW w:w="0" w:type="auto"/>
            <w:tcMar>
              <w:top w:w="100" w:type="dxa"/>
              <w:left w:w="100" w:type="dxa"/>
              <w:bottom w:w="100" w:type="dxa"/>
              <w:right w:w="100" w:type="dxa"/>
            </w:tcMar>
            <w:vAlign w:val="center"/>
            <w:hideMark/>
          </w:tcPr>
          <w:p w14:paraId="2794A45B"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C720E5B"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461D8F2D"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770A9932"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6CA409EC" w14:textId="77777777" w:rsidR="00A569E8" w:rsidRPr="00F50AF3" w:rsidRDefault="00A569E8"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6C1D9F30" w14:textId="77777777" w:rsidR="00A569E8" w:rsidRPr="00F50AF3" w:rsidRDefault="00A569E8" w:rsidP="00F50AF3">
      <w:pPr>
        <w:pStyle w:val="BodyText2"/>
        <w:spacing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4770E967" w14:textId="77777777" w:rsidR="0030699A" w:rsidRPr="00F50AF3" w:rsidRDefault="0030699A" w:rsidP="00F50AF3">
      <w:pPr>
        <w:pStyle w:val="NormalWeb"/>
        <w:spacing w:before="212" w:beforeAutospacing="0" w:after="0" w:afterAutospacing="0"/>
      </w:pPr>
      <w:r w:rsidRPr="00F50AF3">
        <w:rPr>
          <w:b/>
          <w:bCs/>
          <w:color w:val="000000"/>
          <w:shd w:val="clear" w:color="auto" w:fill="FFFFFF"/>
        </w:rPr>
        <w:tab/>
        <w:t>Leadership Competency</w:t>
      </w:r>
    </w:p>
    <w:p w14:paraId="51B6DCB9" w14:textId="77777777" w:rsidR="0030699A" w:rsidRPr="00F50AF3" w:rsidRDefault="0030699A" w:rsidP="00F50AF3">
      <w:pPr>
        <w:pStyle w:val="NormalWeb"/>
        <w:spacing w:before="240" w:beforeAutospacing="0" w:after="240" w:afterAutospacing="0"/>
        <w:ind w:firstLine="720"/>
        <w:jc w:val="both"/>
      </w:pPr>
      <w:r w:rsidRPr="00F50AF3">
        <w:rPr>
          <w:color w:val="000000"/>
        </w:rPr>
        <w:t>Table 7 shows the mean scores for the components of leadership competency; items showed scores ranging from 2.2332 to 2.2870. The overall mean of leadership competency is 2.2709, falling under the category of "Low Proficiency" level. Moreover, the lowest item, which is "Building Partnerships and Alliances for Youth Advocacy," scored a mean of 2.2332, indicating a "Low Proficiency" level in this category. </w:t>
      </w:r>
    </w:p>
    <w:p w14:paraId="6F3E89E8" w14:textId="77777777" w:rsidR="0030699A" w:rsidRPr="00F50AF3" w:rsidRDefault="0030699A" w:rsidP="00F50AF3">
      <w:pPr>
        <w:pStyle w:val="NormalWeb"/>
        <w:spacing w:before="240" w:beforeAutospacing="0" w:after="240" w:afterAutospacing="0"/>
        <w:ind w:firstLine="720"/>
        <w:jc w:val="both"/>
        <w:rPr>
          <w:color w:val="000000"/>
        </w:rPr>
      </w:pPr>
      <w:r w:rsidRPr="00F50AF3">
        <w:rPr>
          <w:color w:val="000000"/>
        </w:rPr>
        <w:t xml:space="preserve">This table provides specific insights into perceived weaknesses in leadership attributes or practices among the respondents, hence, it is imperative to address these issues accordingly. A study conducted by Suarez and Tuble (2025) emphasizes that fostering culture and open dialogue can help bridge these perceived gaps, strengthening these competencies is essential for Sangguniang Kabataan (SK) officials to fulfill their  mandate as catalyst of youth development and community transformation. This can ensure that SK governance is aligned with community expectations and grounded in collaborative leadership practices. </w:t>
      </w:r>
    </w:p>
    <w:tbl>
      <w:tblPr>
        <w:tblW w:w="9472" w:type="dxa"/>
        <w:tblCellMar>
          <w:top w:w="15" w:type="dxa"/>
          <w:left w:w="15" w:type="dxa"/>
          <w:bottom w:w="15" w:type="dxa"/>
          <w:right w:w="15" w:type="dxa"/>
        </w:tblCellMar>
        <w:tblLook w:val="04A0" w:firstRow="1" w:lastRow="0" w:firstColumn="1" w:lastColumn="0" w:noHBand="0" w:noVBand="1"/>
      </w:tblPr>
      <w:tblGrid>
        <w:gridCol w:w="5214"/>
        <w:gridCol w:w="206"/>
        <w:gridCol w:w="560"/>
        <w:gridCol w:w="206"/>
        <w:gridCol w:w="980"/>
        <w:gridCol w:w="206"/>
        <w:gridCol w:w="2100"/>
      </w:tblGrid>
      <w:tr w:rsidR="0030699A" w:rsidRPr="00F50AF3" w14:paraId="4D882384" w14:textId="77777777" w:rsidTr="00934280">
        <w:trPr>
          <w:trHeight w:val="450"/>
          <w:tblHeader/>
        </w:trPr>
        <w:tc>
          <w:tcPr>
            <w:tcW w:w="0" w:type="auto"/>
            <w:gridSpan w:val="7"/>
            <w:tcBorders>
              <w:bottom w:val="single" w:sz="6" w:space="0" w:color="000000"/>
            </w:tcBorders>
            <w:tcMar>
              <w:top w:w="100" w:type="dxa"/>
              <w:left w:w="100" w:type="dxa"/>
              <w:bottom w:w="100" w:type="dxa"/>
              <w:right w:w="100" w:type="dxa"/>
            </w:tcMar>
            <w:vAlign w:val="center"/>
            <w:hideMark/>
          </w:tcPr>
          <w:p w14:paraId="4D3D8E47" w14:textId="77777777" w:rsidR="0030699A" w:rsidRPr="00F50AF3" w:rsidRDefault="0030699A"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lastRenderedPageBreak/>
              <w:t>Table 7. Mean Scores of Leadership Competency</w:t>
            </w:r>
          </w:p>
        </w:tc>
      </w:tr>
      <w:tr w:rsidR="0030699A" w:rsidRPr="00F50AF3" w14:paraId="6FD2EC09" w14:textId="77777777" w:rsidTr="00934280">
        <w:trPr>
          <w:trHeight w:val="109"/>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7AC7641A"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 Leadership Competency</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4E5841E4"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2AE498D4"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1EC7BE0E"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30699A" w:rsidRPr="00F50AF3" w14:paraId="1C57DCDB" w14:textId="77777777" w:rsidTr="00934280">
        <w:trPr>
          <w:trHeight w:val="317"/>
        </w:trPr>
        <w:tc>
          <w:tcPr>
            <w:tcW w:w="0" w:type="auto"/>
            <w:tcBorders>
              <w:top w:val="single" w:sz="6" w:space="0" w:color="000000"/>
            </w:tcBorders>
            <w:tcMar>
              <w:top w:w="100" w:type="dxa"/>
              <w:left w:w="100" w:type="dxa"/>
              <w:bottom w:w="100" w:type="dxa"/>
              <w:right w:w="100" w:type="dxa"/>
            </w:tcMar>
            <w:vAlign w:val="center"/>
            <w:hideMark/>
          </w:tcPr>
          <w:p w14:paraId="09B6040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Building Partnerships and Alliances for Youth Advocacy </w:t>
            </w:r>
          </w:p>
        </w:tc>
        <w:tc>
          <w:tcPr>
            <w:tcW w:w="0" w:type="auto"/>
            <w:tcBorders>
              <w:top w:val="single" w:sz="6" w:space="0" w:color="000000"/>
            </w:tcBorders>
            <w:tcMar>
              <w:top w:w="100" w:type="dxa"/>
              <w:left w:w="100" w:type="dxa"/>
              <w:bottom w:w="100" w:type="dxa"/>
              <w:right w:w="100" w:type="dxa"/>
            </w:tcMar>
            <w:vAlign w:val="center"/>
            <w:hideMark/>
          </w:tcPr>
          <w:p w14:paraId="26C4D2E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67DC1D18"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0255038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127420EA"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2.2332</w:t>
            </w:r>
          </w:p>
        </w:tc>
        <w:tc>
          <w:tcPr>
            <w:tcW w:w="0" w:type="auto"/>
            <w:tcBorders>
              <w:top w:val="single" w:sz="6" w:space="0" w:color="000000"/>
            </w:tcBorders>
            <w:tcMar>
              <w:top w:w="100" w:type="dxa"/>
              <w:left w:w="100" w:type="dxa"/>
              <w:bottom w:w="100" w:type="dxa"/>
              <w:right w:w="100" w:type="dxa"/>
            </w:tcMar>
            <w:vAlign w:val="center"/>
            <w:hideMark/>
          </w:tcPr>
          <w:p w14:paraId="0C1F7B9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2ED429E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227F85CE" w14:textId="77777777" w:rsidTr="00934280">
        <w:trPr>
          <w:trHeight w:val="109"/>
        </w:trPr>
        <w:tc>
          <w:tcPr>
            <w:tcW w:w="0" w:type="auto"/>
            <w:tcMar>
              <w:top w:w="100" w:type="dxa"/>
              <w:left w:w="100" w:type="dxa"/>
              <w:bottom w:w="100" w:type="dxa"/>
              <w:right w:w="100" w:type="dxa"/>
            </w:tcMar>
            <w:vAlign w:val="center"/>
            <w:hideMark/>
          </w:tcPr>
          <w:p w14:paraId="71C08CE8"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Effective Decision Making</w:t>
            </w:r>
          </w:p>
        </w:tc>
        <w:tc>
          <w:tcPr>
            <w:tcW w:w="0" w:type="auto"/>
            <w:tcMar>
              <w:top w:w="100" w:type="dxa"/>
              <w:left w:w="100" w:type="dxa"/>
              <w:bottom w:w="100" w:type="dxa"/>
              <w:right w:w="100" w:type="dxa"/>
            </w:tcMar>
            <w:vAlign w:val="center"/>
            <w:hideMark/>
          </w:tcPr>
          <w:p w14:paraId="02EA87D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A69D16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893C3F3"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7D1162B"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2.2780</w:t>
            </w:r>
          </w:p>
        </w:tc>
        <w:tc>
          <w:tcPr>
            <w:tcW w:w="0" w:type="auto"/>
            <w:tcMar>
              <w:top w:w="100" w:type="dxa"/>
              <w:left w:w="100" w:type="dxa"/>
              <w:bottom w:w="100" w:type="dxa"/>
              <w:right w:w="100" w:type="dxa"/>
            </w:tcMar>
            <w:vAlign w:val="center"/>
            <w:hideMark/>
          </w:tcPr>
          <w:p w14:paraId="5B4C681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1D42B0A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5BB4890F" w14:textId="77777777" w:rsidTr="00934280">
        <w:trPr>
          <w:trHeight w:val="109"/>
        </w:trPr>
        <w:tc>
          <w:tcPr>
            <w:tcW w:w="0" w:type="auto"/>
            <w:tcMar>
              <w:top w:w="100" w:type="dxa"/>
              <w:left w:w="100" w:type="dxa"/>
              <w:bottom w:w="100" w:type="dxa"/>
              <w:right w:w="100" w:type="dxa"/>
            </w:tcMar>
            <w:vAlign w:val="center"/>
            <w:hideMark/>
          </w:tcPr>
          <w:p w14:paraId="113CFDD7"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Fostering Collaboration and Consensus for the Youth </w:t>
            </w:r>
          </w:p>
        </w:tc>
        <w:tc>
          <w:tcPr>
            <w:tcW w:w="0" w:type="auto"/>
            <w:tcMar>
              <w:top w:w="100" w:type="dxa"/>
              <w:left w:w="100" w:type="dxa"/>
              <w:bottom w:w="100" w:type="dxa"/>
              <w:right w:w="100" w:type="dxa"/>
            </w:tcMar>
            <w:vAlign w:val="center"/>
            <w:hideMark/>
          </w:tcPr>
          <w:p w14:paraId="6BE2D7F3"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88383F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686B140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EEBC394"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2.2870</w:t>
            </w:r>
          </w:p>
        </w:tc>
        <w:tc>
          <w:tcPr>
            <w:tcW w:w="0" w:type="auto"/>
            <w:tcMar>
              <w:top w:w="100" w:type="dxa"/>
              <w:left w:w="100" w:type="dxa"/>
              <w:bottom w:w="100" w:type="dxa"/>
              <w:right w:w="100" w:type="dxa"/>
            </w:tcMar>
            <w:vAlign w:val="center"/>
            <w:hideMark/>
          </w:tcPr>
          <w:p w14:paraId="65BAF4B5"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04AABF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66A8CA57" w14:textId="77777777" w:rsidTr="00934280">
        <w:trPr>
          <w:trHeight w:val="109"/>
        </w:trPr>
        <w:tc>
          <w:tcPr>
            <w:tcW w:w="0" w:type="auto"/>
            <w:tcMar>
              <w:top w:w="100" w:type="dxa"/>
              <w:left w:w="100" w:type="dxa"/>
              <w:bottom w:w="100" w:type="dxa"/>
              <w:right w:w="100" w:type="dxa"/>
            </w:tcMar>
            <w:vAlign w:val="center"/>
            <w:hideMark/>
          </w:tcPr>
          <w:p w14:paraId="37FAEC3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Strategic Thinking </w:t>
            </w:r>
          </w:p>
        </w:tc>
        <w:tc>
          <w:tcPr>
            <w:tcW w:w="0" w:type="auto"/>
            <w:tcMar>
              <w:top w:w="100" w:type="dxa"/>
              <w:left w:w="100" w:type="dxa"/>
              <w:bottom w:w="100" w:type="dxa"/>
              <w:right w:w="100" w:type="dxa"/>
            </w:tcMar>
            <w:vAlign w:val="center"/>
            <w:hideMark/>
          </w:tcPr>
          <w:p w14:paraId="3045368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A48A6A3"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002DA8C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2B009BE"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2.2780</w:t>
            </w:r>
          </w:p>
        </w:tc>
        <w:tc>
          <w:tcPr>
            <w:tcW w:w="0" w:type="auto"/>
            <w:tcMar>
              <w:top w:w="100" w:type="dxa"/>
              <w:left w:w="100" w:type="dxa"/>
              <w:bottom w:w="100" w:type="dxa"/>
              <w:right w:w="100" w:type="dxa"/>
            </w:tcMar>
            <w:vAlign w:val="center"/>
            <w:hideMark/>
          </w:tcPr>
          <w:p w14:paraId="6672B41C"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974889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6D79CA13" w14:textId="77777777" w:rsidTr="00934280">
        <w:trPr>
          <w:trHeight w:val="109"/>
        </w:trPr>
        <w:tc>
          <w:tcPr>
            <w:tcW w:w="0" w:type="auto"/>
            <w:tcMar>
              <w:top w:w="100" w:type="dxa"/>
              <w:left w:w="100" w:type="dxa"/>
              <w:bottom w:w="100" w:type="dxa"/>
              <w:right w:w="100" w:type="dxa"/>
            </w:tcMar>
            <w:vAlign w:val="center"/>
            <w:hideMark/>
          </w:tcPr>
          <w:p w14:paraId="7467625D"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Embracing Change </w:t>
            </w:r>
          </w:p>
        </w:tc>
        <w:tc>
          <w:tcPr>
            <w:tcW w:w="0" w:type="auto"/>
            <w:tcMar>
              <w:top w:w="100" w:type="dxa"/>
              <w:left w:w="100" w:type="dxa"/>
              <w:bottom w:w="100" w:type="dxa"/>
              <w:right w:w="100" w:type="dxa"/>
            </w:tcMar>
            <w:vAlign w:val="center"/>
            <w:hideMark/>
          </w:tcPr>
          <w:p w14:paraId="3D35862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968E72D"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58799518"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B599B33"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2.2780 </w:t>
            </w:r>
          </w:p>
        </w:tc>
        <w:tc>
          <w:tcPr>
            <w:tcW w:w="0" w:type="auto"/>
            <w:tcMar>
              <w:top w:w="100" w:type="dxa"/>
              <w:left w:w="100" w:type="dxa"/>
              <w:bottom w:w="100" w:type="dxa"/>
              <w:right w:w="100" w:type="dxa"/>
            </w:tcMar>
            <w:vAlign w:val="center"/>
            <w:hideMark/>
          </w:tcPr>
          <w:p w14:paraId="47A3D96E"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3D92BFF"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30699A" w:rsidRPr="00F50AF3" w14:paraId="5D781749" w14:textId="77777777" w:rsidTr="00934280">
        <w:trPr>
          <w:trHeight w:val="109"/>
        </w:trPr>
        <w:tc>
          <w:tcPr>
            <w:tcW w:w="0" w:type="auto"/>
            <w:tcMar>
              <w:top w:w="100" w:type="dxa"/>
              <w:left w:w="100" w:type="dxa"/>
              <w:bottom w:w="100" w:type="dxa"/>
              <w:right w:w="100" w:type="dxa"/>
            </w:tcMar>
            <w:vAlign w:val="center"/>
            <w:hideMark/>
          </w:tcPr>
          <w:p w14:paraId="744A1F3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5A9CFCA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395E4B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873397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7703192"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2.2709</w:t>
            </w:r>
          </w:p>
        </w:tc>
        <w:tc>
          <w:tcPr>
            <w:tcW w:w="0" w:type="auto"/>
            <w:tcMar>
              <w:top w:w="100" w:type="dxa"/>
              <w:left w:w="100" w:type="dxa"/>
              <w:bottom w:w="100" w:type="dxa"/>
              <w:right w:w="100" w:type="dxa"/>
            </w:tcMar>
            <w:vAlign w:val="center"/>
            <w:hideMark/>
          </w:tcPr>
          <w:p w14:paraId="662A6F60" w14:textId="77777777" w:rsidR="0030699A" w:rsidRPr="00F50AF3" w:rsidRDefault="0030699A" w:rsidP="00F50AF3">
            <w:pPr>
              <w:pStyle w:val="NormalWeb"/>
              <w:spacing w:before="0" w:beforeAutospacing="0" w:after="0" w:afterAutospacing="0"/>
            </w:pPr>
          </w:p>
        </w:tc>
        <w:tc>
          <w:tcPr>
            <w:tcW w:w="0" w:type="auto"/>
            <w:tcMar>
              <w:top w:w="100" w:type="dxa"/>
              <w:left w:w="100" w:type="dxa"/>
              <w:bottom w:w="100" w:type="dxa"/>
              <w:right w:w="100" w:type="dxa"/>
            </w:tcMar>
            <w:hideMark/>
          </w:tcPr>
          <w:p w14:paraId="04FF9EB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632238B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32E5AAB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2FD385E7"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4163CF08" w14:textId="77777777" w:rsidR="00DB6836" w:rsidRPr="00F50AF3" w:rsidRDefault="0030699A" w:rsidP="00F50AF3">
      <w:pPr>
        <w:spacing w:after="0"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6A8C848C" w14:textId="77777777" w:rsidR="00BD054C" w:rsidRDefault="00BD054C" w:rsidP="00F50AF3">
      <w:pPr>
        <w:spacing w:line="240" w:lineRule="auto"/>
        <w:rPr>
          <w:rFonts w:ascii="Times New Roman" w:eastAsia="Times New Roman" w:hAnsi="Times New Roman" w:cs="Times New Roman"/>
          <w:color w:val="000000"/>
          <w:sz w:val="24"/>
          <w:szCs w:val="24"/>
          <w:lang w:eastAsia="en-PH"/>
        </w:rPr>
      </w:pPr>
    </w:p>
    <w:p w14:paraId="73D5E001" w14:textId="64715310" w:rsidR="0030699A" w:rsidRPr="00F50AF3" w:rsidRDefault="0030699A" w:rsidP="00F50AF3">
      <w:pPr>
        <w:spacing w:line="240" w:lineRule="auto"/>
        <w:rPr>
          <w:rFonts w:ascii="Times New Roman" w:eastAsia="Times New Roman" w:hAnsi="Times New Roman" w:cs="Times New Roman"/>
          <w:color w:val="000000"/>
          <w:sz w:val="24"/>
          <w:szCs w:val="24"/>
          <w:lang w:eastAsia="en-PH"/>
        </w:rPr>
      </w:pPr>
      <w:r w:rsidRPr="00F50AF3">
        <w:rPr>
          <w:rFonts w:ascii="Times New Roman" w:hAnsi="Times New Roman" w:cs="Times New Roman"/>
          <w:b/>
          <w:bCs/>
          <w:color w:val="000000"/>
          <w:sz w:val="24"/>
          <w:szCs w:val="24"/>
        </w:rPr>
        <w:t>Functional Expertise </w:t>
      </w:r>
    </w:p>
    <w:p w14:paraId="6EFF8909" w14:textId="77777777" w:rsidR="0030699A" w:rsidRPr="00F50AF3" w:rsidRDefault="0030699A" w:rsidP="00F50AF3">
      <w:pPr>
        <w:pStyle w:val="NormalWeb"/>
        <w:spacing w:before="240" w:beforeAutospacing="0" w:after="240" w:afterAutospacing="0"/>
        <w:ind w:firstLine="720"/>
        <w:jc w:val="both"/>
        <w:rPr>
          <w:color w:val="000000"/>
        </w:rPr>
      </w:pPr>
      <w:r w:rsidRPr="00F50AF3">
        <w:rPr>
          <w:color w:val="000000"/>
        </w:rPr>
        <w:t xml:space="preserve">Table 8 shows the mean scores of items under functional expertise, ranging from 2.2691 to the lowest mean score of 2.23901, which is "Policy Development." The overall mean score of functional expertise fell under the "Low Proficiency" level, pinpointing Ineffective performance often stems from a lack of competencies and functional performance that are perceived low by the respondents (Lising, S. D. B., &amp; Rivera, M. A. 2024). Thus, acquiring the necessary functional expertise can help you grasp ideas on how to resolve challenges or help you make reasonable decisions in your workplace (Indeed Career Advice, 2025). </w:t>
      </w:r>
    </w:p>
    <w:tbl>
      <w:tblPr>
        <w:tblW w:w="0" w:type="auto"/>
        <w:tblCellMar>
          <w:top w:w="15" w:type="dxa"/>
          <w:left w:w="15" w:type="dxa"/>
          <w:bottom w:w="15" w:type="dxa"/>
          <w:right w:w="15" w:type="dxa"/>
        </w:tblCellMar>
        <w:tblLook w:val="04A0" w:firstRow="1" w:lastRow="0" w:firstColumn="1" w:lastColumn="0" w:noHBand="0" w:noVBand="1"/>
      </w:tblPr>
      <w:tblGrid>
        <w:gridCol w:w="4932"/>
        <w:gridCol w:w="206"/>
        <w:gridCol w:w="560"/>
        <w:gridCol w:w="206"/>
        <w:gridCol w:w="980"/>
        <w:gridCol w:w="206"/>
        <w:gridCol w:w="2207"/>
      </w:tblGrid>
      <w:tr w:rsidR="0030699A" w:rsidRPr="00F50AF3" w14:paraId="1510E831" w14:textId="77777777" w:rsidTr="0030699A">
        <w:trPr>
          <w:trHeight w:val="440"/>
          <w:tblHeader/>
        </w:trPr>
        <w:tc>
          <w:tcPr>
            <w:tcW w:w="0" w:type="auto"/>
            <w:gridSpan w:val="7"/>
            <w:tcBorders>
              <w:bottom w:val="single" w:sz="6" w:space="0" w:color="000000"/>
            </w:tcBorders>
            <w:tcMar>
              <w:top w:w="100" w:type="dxa"/>
              <w:left w:w="100" w:type="dxa"/>
              <w:bottom w:w="100" w:type="dxa"/>
              <w:right w:w="100" w:type="dxa"/>
            </w:tcMar>
            <w:vAlign w:val="center"/>
            <w:hideMark/>
          </w:tcPr>
          <w:p w14:paraId="5C391614" w14:textId="77777777" w:rsidR="0030699A" w:rsidRPr="00F50AF3" w:rsidRDefault="0030699A"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8 . Mean Scores of Functional Expertise</w:t>
            </w:r>
          </w:p>
        </w:tc>
      </w:tr>
      <w:tr w:rsidR="0030699A" w:rsidRPr="00F50AF3" w14:paraId="465883AB" w14:textId="77777777" w:rsidTr="0030699A">
        <w:trPr>
          <w:trHeight w:val="107"/>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44A85AFF"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 Functional Expertise </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09B7AF26"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66C6F55B"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9BF98DE" w14:textId="77777777" w:rsidR="0030699A" w:rsidRPr="00F50AF3" w:rsidRDefault="0030699A"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30699A" w:rsidRPr="00F50AF3" w14:paraId="6155DA5E" w14:textId="77777777" w:rsidTr="0030699A">
        <w:trPr>
          <w:trHeight w:val="310"/>
        </w:trPr>
        <w:tc>
          <w:tcPr>
            <w:tcW w:w="0" w:type="auto"/>
            <w:tcBorders>
              <w:top w:val="single" w:sz="6" w:space="0" w:color="000000"/>
            </w:tcBorders>
            <w:tcMar>
              <w:top w:w="100" w:type="dxa"/>
              <w:left w:w="100" w:type="dxa"/>
              <w:bottom w:w="100" w:type="dxa"/>
              <w:right w:w="100" w:type="dxa"/>
            </w:tcMar>
            <w:vAlign w:val="center"/>
            <w:hideMark/>
          </w:tcPr>
          <w:p w14:paraId="4CC01D3F"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Financial Management and Budgeting </w:t>
            </w:r>
          </w:p>
        </w:tc>
        <w:tc>
          <w:tcPr>
            <w:tcW w:w="0" w:type="auto"/>
            <w:tcBorders>
              <w:top w:val="single" w:sz="6" w:space="0" w:color="000000"/>
            </w:tcBorders>
            <w:tcMar>
              <w:top w:w="100" w:type="dxa"/>
              <w:left w:w="100" w:type="dxa"/>
              <w:bottom w:w="100" w:type="dxa"/>
              <w:right w:w="100" w:type="dxa"/>
            </w:tcMar>
            <w:vAlign w:val="center"/>
            <w:hideMark/>
          </w:tcPr>
          <w:p w14:paraId="012EE9D5"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7FCD521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02D321A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78BF2596"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2.3543</w:t>
            </w:r>
          </w:p>
        </w:tc>
        <w:tc>
          <w:tcPr>
            <w:tcW w:w="0" w:type="auto"/>
            <w:tcBorders>
              <w:top w:val="single" w:sz="6" w:space="0" w:color="000000"/>
            </w:tcBorders>
            <w:tcMar>
              <w:top w:w="100" w:type="dxa"/>
              <w:left w:w="100" w:type="dxa"/>
              <w:bottom w:w="100" w:type="dxa"/>
              <w:right w:w="100" w:type="dxa"/>
            </w:tcMar>
            <w:vAlign w:val="center"/>
            <w:hideMark/>
          </w:tcPr>
          <w:p w14:paraId="5811D97D"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3FD173D7"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1D1B72C8" w14:textId="77777777" w:rsidTr="0030699A">
        <w:trPr>
          <w:trHeight w:val="107"/>
        </w:trPr>
        <w:tc>
          <w:tcPr>
            <w:tcW w:w="0" w:type="auto"/>
            <w:tcMar>
              <w:top w:w="100" w:type="dxa"/>
              <w:left w:w="100" w:type="dxa"/>
              <w:bottom w:w="100" w:type="dxa"/>
              <w:right w:w="100" w:type="dxa"/>
            </w:tcMar>
            <w:vAlign w:val="center"/>
            <w:hideMark/>
          </w:tcPr>
          <w:p w14:paraId="35A72B2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Training Management </w:t>
            </w:r>
          </w:p>
        </w:tc>
        <w:tc>
          <w:tcPr>
            <w:tcW w:w="0" w:type="auto"/>
            <w:tcMar>
              <w:top w:w="100" w:type="dxa"/>
              <w:left w:w="100" w:type="dxa"/>
              <w:bottom w:w="100" w:type="dxa"/>
              <w:right w:w="100" w:type="dxa"/>
            </w:tcMar>
            <w:vAlign w:val="center"/>
            <w:hideMark/>
          </w:tcPr>
          <w:p w14:paraId="692E68CD"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4777C2E"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66E3C647"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B3A7C44"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2.3094</w:t>
            </w:r>
          </w:p>
        </w:tc>
        <w:tc>
          <w:tcPr>
            <w:tcW w:w="0" w:type="auto"/>
            <w:tcMar>
              <w:top w:w="100" w:type="dxa"/>
              <w:left w:w="100" w:type="dxa"/>
              <w:bottom w:w="100" w:type="dxa"/>
              <w:right w:w="100" w:type="dxa"/>
            </w:tcMar>
            <w:vAlign w:val="center"/>
            <w:hideMark/>
          </w:tcPr>
          <w:p w14:paraId="1DBE1AD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21177CCC"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7F982390" w14:textId="77777777" w:rsidTr="0030699A">
        <w:trPr>
          <w:trHeight w:val="107"/>
        </w:trPr>
        <w:tc>
          <w:tcPr>
            <w:tcW w:w="0" w:type="auto"/>
            <w:tcMar>
              <w:top w:w="100" w:type="dxa"/>
              <w:left w:w="100" w:type="dxa"/>
              <w:bottom w:w="100" w:type="dxa"/>
              <w:right w:w="100" w:type="dxa"/>
            </w:tcMar>
            <w:vAlign w:val="center"/>
            <w:hideMark/>
          </w:tcPr>
          <w:p w14:paraId="410F1FDF"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Policy Development </w:t>
            </w:r>
          </w:p>
        </w:tc>
        <w:tc>
          <w:tcPr>
            <w:tcW w:w="0" w:type="auto"/>
            <w:tcMar>
              <w:top w:w="100" w:type="dxa"/>
              <w:left w:w="100" w:type="dxa"/>
              <w:bottom w:w="100" w:type="dxa"/>
              <w:right w:w="100" w:type="dxa"/>
            </w:tcMar>
            <w:vAlign w:val="center"/>
            <w:hideMark/>
          </w:tcPr>
          <w:p w14:paraId="7C469735"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B23CD5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6789F4B2"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27D4C4C"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2.3901</w:t>
            </w:r>
          </w:p>
        </w:tc>
        <w:tc>
          <w:tcPr>
            <w:tcW w:w="0" w:type="auto"/>
            <w:tcMar>
              <w:top w:w="100" w:type="dxa"/>
              <w:left w:w="100" w:type="dxa"/>
              <w:bottom w:w="100" w:type="dxa"/>
              <w:right w:w="100" w:type="dxa"/>
            </w:tcMar>
            <w:vAlign w:val="center"/>
            <w:hideMark/>
          </w:tcPr>
          <w:p w14:paraId="0BE4CE3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3C7B5D9"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05B4F9D4" w14:textId="77777777" w:rsidTr="0030699A">
        <w:trPr>
          <w:trHeight w:val="107"/>
        </w:trPr>
        <w:tc>
          <w:tcPr>
            <w:tcW w:w="0" w:type="auto"/>
            <w:tcMar>
              <w:top w:w="100" w:type="dxa"/>
              <w:left w:w="100" w:type="dxa"/>
              <w:bottom w:w="100" w:type="dxa"/>
              <w:right w:w="100" w:type="dxa"/>
            </w:tcMar>
            <w:vAlign w:val="center"/>
            <w:hideMark/>
          </w:tcPr>
          <w:p w14:paraId="0A99546F"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Human Resource Management and Development</w:t>
            </w:r>
          </w:p>
        </w:tc>
        <w:tc>
          <w:tcPr>
            <w:tcW w:w="0" w:type="auto"/>
            <w:tcMar>
              <w:top w:w="100" w:type="dxa"/>
              <w:left w:w="100" w:type="dxa"/>
              <w:bottom w:w="100" w:type="dxa"/>
              <w:right w:w="100" w:type="dxa"/>
            </w:tcMar>
            <w:vAlign w:val="center"/>
            <w:hideMark/>
          </w:tcPr>
          <w:p w14:paraId="3748E963"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32E444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20FCF117"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2B9CEC9"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2.3004</w:t>
            </w:r>
          </w:p>
        </w:tc>
        <w:tc>
          <w:tcPr>
            <w:tcW w:w="0" w:type="auto"/>
            <w:tcMar>
              <w:top w:w="100" w:type="dxa"/>
              <w:left w:w="100" w:type="dxa"/>
              <w:bottom w:w="100" w:type="dxa"/>
              <w:right w:w="100" w:type="dxa"/>
            </w:tcMar>
            <w:vAlign w:val="center"/>
            <w:hideMark/>
          </w:tcPr>
          <w:p w14:paraId="4D3EADD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89EF8A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30699A" w:rsidRPr="00F50AF3" w14:paraId="414B06B0" w14:textId="77777777" w:rsidTr="0030699A">
        <w:trPr>
          <w:trHeight w:val="107"/>
        </w:trPr>
        <w:tc>
          <w:tcPr>
            <w:tcW w:w="0" w:type="auto"/>
            <w:tcMar>
              <w:top w:w="100" w:type="dxa"/>
              <w:left w:w="100" w:type="dxa"/>
              <w:bottom w:w="100" w:type="dxa"/>
              <w:right w:w="100" w:type="dxa"/>
            </w:tcMar>
            <w:vAlign w:val="center"/>
            <w:hideMark/>
          </w:tcPr>
          <w:p w14:paraId="0AE0FC7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General Services Management </w:t>
            </w:r>
          </w:p>
        </w:tc>
        <w:tc>
          <w:tcPr>
            <w:tcW w:w="0" w:type="auto"/>
            <w:tcMar>
              <w:top w:w="100" w:type="dxa"/>
              <w:left w:w="100" w:type="dxa"/>
              <w:bottom w:w="100" w:type="dxa"/>
              <w:right w:w="100" w:type="dxa"/>
            </w:tcMar>
            <w:vAlign w:val="center"/>
            <w:hideMark/>
          </w:tcPr>
          <w:p w14:paraId="7442B294"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DC9C4F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0094F7B2"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DEF063B"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2.2691 </w:t>
            </w:r>
          </w:p>
        </w:tc>
        <w:tc>
          <w:tcPr>
            <w:tcW w:w="0" w:type="auto"/>
            <w:tcMar>
              <w:top w:w="100" w:type="dxa"/>
              <w:left w:w="100" w:type="dxa"/>
              <w:bottom w:w="100" w:type="dxa"/>
              <w:right w:w="100" w:type="dxa"/>
            </w:tcMar>
            <w:vAlign w:val="center"/>
            <w:hideMark/>
          </w:tcPr>
          <w:p w14:paraId="05CF09D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2B9144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30699A" w:rsidRPr="00F50AF3" w14:paraId="78CB1F89" w14:textId="77777777" w:rsidTr="0030699A">
        <w:trPr>
          <w:trHeight w:val="107"/>
        </w:trPr>
        <w:tc>
          <w:tcPr>
            <w:tcW w:w="0" w:type="auto"/>
            <w:tcMar>
              <w:top w:w="100" w:type="dxa"/>
              <w:left w:w="100" w:type="dxa"/>
              <w:bottom w:w="100" w:type="dxa"/>
              <w:right w:w="100" w:type="dxa"/>
            </w:tcMar>
            <w:vAlign w:val="center"/>
            <w:hideMark/>
          </w:tcPr>
          <w:p w14:paraId="764C583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69E029DD"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7B2EA03"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05C8500F"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0B3F031" w14:textId="77777777" w:rsidR="0030699A" w:rsidRPr="00F50AF3" w:rsidRDefault="0030699A"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2.3247</w:t>
            </w:r>
          </w:p>
        </w:tc>
        <w:tc>
          <w:tcPr>
            <w:tcW w:w="0" w:type="auto"/>
            <w:tcMar>
              <w:top w:w="100" w:type="dxa"/>
              <w:left w:w="100" w:type="dxa"/>
              <w:bottom w:w="100" w:type="dxa"/>
              <w:right w:w="100" w:type="dxa"/>
            </w:tcMar>
            <w:vAlign w:val="center"/>
            <w:hideMark/>
          </w:tcPr>
          <w:p w14:paraId="4212701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863694A"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2385BAF0"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5C615FE1"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1EA81AA6"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321318F7" w14:textId="77777777" w:rsidR="0030699A" w:rsidRPr="00F50AF3" w:rsidRDefault="0030699A" w:rsidP="00F50AF3">
      <w:pPr>
        <w:spacing w:after="0"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21B17A39" w14:textId="77777777" w:rsidR="00217D3F" w:rsidRPr="00F50AF3" w:rsidRDefault="00217D3F" w:rsidP="00F50AF3">
      <w:pPr>
        <w:spacing w:after="0" w:line="240" w:lineRule="auto"/>
        <w:rPr>
          <w:rFonts w:ascii="Times New Roman" w:eastAsia="Times New Roman" w:hAnsi="Times New Roman" w:cs="Times New Roman"/>
          <w:color w:val="000000"/>
          <w:sz w:val="24"/>
          <w:szCs w:val="24"/>
          <w:lang w:eastAsia="en-PH"/>
        </w:rPr>
      </w:pPr>
    </w:p>
    <w:p w14:paraId="30AAA2EB" w14:textId="77777777" w:rsidR="00217D3F" w:rsidRPr="00F50AF3" w:rsidRDefault="00217D3F" w:rsidP="00F50AF3">
      <w:pPr>
        <w:spacing w:after="0" w:line="240" w:lineRule="auto"/>
        <w:jc w:val="both"/>
        <w:rPr>
          <w:rFonts w:ascii="Times New Roman" w:eastAsia="Times New Roman" w:hAnsi="Times New Roman" w:cs="Times New Roman"/>
          <w:color w:val="000000"/>
          <w:sz w:val="24"/>
          <w:szCs w:val="24"/>
          <w:lang w:eastAsia="en-PH"/>
        </w:rPr>
      </w:pPr>
      <w:r w:rsidRPr="00F50AF3">
        <w:rPr>
          <w:rFonts w:ascii="Times New Roman" w:hAnsi="Times New Roman" w:cs="Times New Roman"/>
          <w:color w:val="000000"/>
          <w:sz w:val="24"/>
          <w:szCs w:val="24"/>
        </w:rPr>
        <w:tab/>
        <w:t xml:space="preserve">This imperical data indicates that the Sangguniang Kabataan (SK) officials in the province of Davao del Norte exhibit low proficiency across all measured competencies with mean scores ranging from 2.2709 to 2.3274 across various indicators. These findings suggest that SK officials currently lack the necessary skills and </w:t>
      </w:r>
      <w:r w:rsidRPr="00F50AF3">
        <w:rPr>
          <w:rFonts w:ascii="Times New Roman" w:hAnsi="Times New Roman" w:cs="Times New Roman"/>
          <w:color w:val="000000"/>
          <w:sz w:val="24"/>
          <w:szCs w:val="24"/>
        </w:rPr>
        <w:lastRenderedPageBreak/>
        <w:t>knowledge to effectively perform their roles. According to Lising and Rivera (2024) core competencies such as adaptability, commitment to serve the youth, and effective communication, along with strong technical competencies in financial management, budgeting, problem analysis, and policy development, project monitoring, and collaboration skills, which are part of their functional expertise are essential to bridge the gap between the SK's mandate and actual performance in youth governance. Additionally, the poor performance in the leadership competency is likely to be alarming, since leadership skills are important in mobilizing participation, conflict management, and development progress within the community. Youth officials trained in leadership gain confidence in their decisions and actions, and this leads directly to the establishment of more efficient governance (Pasicaran-Escleto,Cabatingan, Polinar, &amp; Delantar, 2024).</w:t>
      </w:r>
    </w:p>
    <w:p w14:paraId="1D38CC6B" w14:textId="77777777" w:rsidR="0030699A" w:rsidRPr="00F50AF3" w:rsidRDefault="0030699A" w:rsidP="00F50AF3">
      <w:pPr>
        <w:spacing w:after="0" w:line="240" w:lineRule="auto"/>
        <w:rPr>
          <w:rFonts w:ascii="Times New Roman" w:eastAsia="Times New Roman" w:hAnsi="Times New Roman" w:cs="Times New Roman"/>
          <w:sz w:val="24"/>
          <w:szCs w:val="24"/>
          <w:lang w:eastAsia="en-PH"/>
        </w:rPr>
      </w:pPr>
    </w:p>
    <w:p w14:paraId="2706DD72" w14:textId="77777777" w:rsidR="00217D3F" w:rsidRPr="00F50AF3" w:rsidRDefault="00217D3F" w:rsidP="00F50AF3">
      <w:pPr>
        <w:pStyle w:val="NormalWeb"/>
        <w:spacing w:before="0" w:beforeAutospacing="0" w:after="0" w:afterAutospacing="0"/>
        <w:ind w:firstLine="720"/>
        <w:jc w:val="both"/>
      </w:pPr>
      <w:r w:rsidRPr="00F50AF3">
        <w:rPr>
          <w:color w:val="000000"/>
        </w:rPr>
        <w:t>The above findings are important to enhance the governance skills of SK officials and service delivery to the youth. As Manaban (2024) explains, limited knowledge and skills challenge their professional preparedness and community leadership. The proficiency in the training areas directly assimilates with the proficiency in core, technical, leadership, and functional competencies, whose proficiency is quite low. It follows that a low level of the same competencies among SK officials discourages effective participation of youths in the development of projects and mobilization of volunteers, as hallmark roles in facilitating development of communities, which is fundamentally relevant to good governance. Consequently, this underscores the significance of a more detailed customized training in the ordinary skills, project generation, and volunteer recruitment, guaranteeing better competent and skilled SK officials in the Province of Davao del Norte.</w:t>
      </w:r>
    </w:p>
    <w:p w14:paraId="4D6A1736" w14:textId="77777777" w:rsidR="00217D3F" w:rsidRPr="00F50AF3" w:rsidRDefault="00217D3F" w:rsidP="00F50AF3">
      <w:pPr>
        <w:pStyle w:val="NormalWeb"/>
        <w:spacing w:before="0" w:beforeAutospacing="0" w:after="0" w:afterAutospacing="0"/>
      </w:pPr>
    </w:p>
    <w:p w14:paraId="7A094051" w14:textId="77777777" w:rsidR="00217D3F" w:rsidRPr="00F50AF3" w:rsidRDefault="00217D3F" w:rsidP="00F50AF3">
      <w:pPr>
        <w:spacing w:before="100" w:after="10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Strategic Training and Development Evaluation Variable (STaDEV)</w:t>
      </w:r>
    </w:p>
    <w:p w14:paraId="4FF54B2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ab/>
        <w:t>Common Skills </w:t>
      </w:r>
    </w:p>
    <w:p w14:paraId="104FF374" w14:textId="77777777" w:rsidR="00217D3F" w:rsidRPr="00F50AF3" w:rsidRDefault="00217D3F" w:rsidP="00F50AF3">
      <w:pPr>
        <w:spacing w:before="240" w:after="240" w:line="240" w:lineRule="auto"/>
        <w:ind w:firstLine="720"/>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Table 9 shows the common skills items under the Strategic Training and Development Evaluation Variable (STaDEV) of SK officials, which had mean scores ranging from 2.1883 to 2.4993. In addition, all twelve items and the overall mean of common skills consistently fell under the category of "Low Proficiency." The study of Bawit et al. (2024) emphasizes the importance of enhancing youth participation in environmental programs such as Disaster Risk Reduction Management which can cultivate a culture of ecological responsibility. Ajayi-Majebi (2020) stresses the importance of equipping youth with the knowledge and skills to address environmental challenges and promote sustainability. Furthermore, this table enables a more detailed diagnosis of specific strengths and weaknesses as perceived by the respondents.</w:t>
      </w:r>
    </w:p>
    <w:tbl>
      <w:tblPr>
        <w:tblW w:w="0" w:type="auto"/>
        <w:tblCellMar>
          <w:top w:w="15" w:type="dxa"/>
          <w:left w:w="15" w:type="dxa"/>
          <w:bottom w:w="15" w:type="dxa"/>
          <w:right w:w="15" w:type="dxa"/>
        </w:tblCellMar>
        <w:tblLook w:val="04A0" w:firstRow="1" w:lastRow="0" w:firstColumn="1" w:lastColumn="0" w:noHBand="0" w:noVBand="1"/>
      </w:tblPr>
      <w:tblGrid>
        <w:gridCol w:w="5626"/>
        <w:gridCol w:w="206"/>
        <w:gridCol w:w="560"/>
        <w:gridCol w:w="206"/>
        <w:gridCol w:w="980"/>
        <w:gridCol w:w="206"/>
        <w:gridCol w:w="2207"/>
      </w:tblGrid>
      <w:tr w:rsidR="00217D3F" w:rsidRPr="00F50AF3" w14:paraId="07ED527B" w14:textId="77777777" w:rsidTr="00217D3F">
        <w:trPr>
          <w:trHeight w:val="107"/>
          <w:tblHeader/>
        </w:trPr>
        <w:tc>
          <w:tcPr>
            <w:tcW w:w="0" w:type="auto"/>
            <w:gridSpan w:val="6"/>
            <w:tcBorders>
              <w:bottom w:val="single" w:sz="6" w:space="0" w:color="000000"/>
            </w:tcBorders>
            <w:tcMar>
              <w:top w:w="100" w:type="dxa"/>
              <w:left w:w="100" w:type="dxa"/>
              <w:bottom w:w="100" w:type="dxa"/>
              <w:right w:w="100" w:type="dxa"/>
            </w:tcMar>
            <w:vAlign w:val="center"/>
            <w:hideMark/>
          </w:tcPr>
          <w:p w14:paraId="663B6109" w14:textId="77777777" w:rsidR="00217D3F" w:rsidRPr="00F50AF3" w:rsidRDefault="00217D3F"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9 . Mean Scores of Common Skills</w:t>
            </w:r>
          </w:p>
        </w:tc>
        <w:tc>
          <w:tcPr>
            <w:tcW w:w="0" w:type="auto"/>
            <w:tcBorders>
              <w:bottom w:val="single" w:sz="6" w:space="0" w:color="000000"/>
            </w:tcBorders>
            <w:tcMar>
              <w:top w:w="100" w:type="dxa"/>
              <w:left w:w="100" w:type="dxa"/>
              <w:bottom w:w="100" w:type="dxa"/>
              <w:right w:w="100" w:type="dxa"/>
            </w:tcMar>
            <w:hideMark/>
          </w:tcPr>
          <w:p w14:paraId="0F068372"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p>
        </w:tc>
      </w:tr>
      <w:tr w:rsidR="00217D3F" w:rsidRPr="00F50AF3" w14:paraId="780062D4" w14:textId="77777777" w:rsidTr="00217D3F">
        <w:trPr>
          <w:trHeight w:val="107"/>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3681F6A6"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 Common Skills </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32E02076"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5B4A26C2"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46BDBCCA"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217D3F" w:rsidRPr="00F50AF3" w14:paraId="3C1F2218" w14:textId="77777777" w:rsidTr="00217D3F">
        <w:trPr>
          <w:trHeight w:val="310"/>
        </w:trPr>
        <w:tc>
          <w:tcPr>
            <w:tcW w:w="0" w:type="auto"/>
            <w:tcBorders>
              <w:top w:val="single" w:sz="6" w:space="0" w:color="000000"/>
            </w:tcBorders>
            <w:tcMar>
              <w:top w:w="100" w:type="dxa"/>
              <w:left w:w="100" w:type="dxa"/>
              <w:bottom w:w="100" w:type="dxa"/>
              <w:right w:w="100" w:type="dxa"/>
            </w:tcMar>
            <w:vAlign w:val="center"/>
            <w:hideMark/>
          </w:tcPr>
          <w:p w14:paraId="41DC49DD"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 Project Development and Implementation</w:t>
            </w:r>
          </w:p>
        </w:tc>
        <w:tc>
          <w:tcPr>
            <w:tcW w:w="0" w:type="auto"/>
            <w:tcBorders>
              <w:top w:val="single" w:sz="6" w:space="0" w:color="000000"/>
            </w:tcBorders>
            <w:tcMar>
              <w:top w:w="100" w:type="dxa"/>
              <w:left w:w="100" w:type="dxa"/>
              <w:bottom w:w="100" w:type="dxa"/>
              <w:right w:w="100" w:type="dxa"/>
            </w:tcMar>
            <w:vAlign w:val="center"/>
            <w:hideMark/>
          </w:tcPr>
          <w:p w14:paraId="3B0A7E0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1C9184B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159E61B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78166FA8"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2.3363</w:t>
            </w:r>
          </w:p>
        </w:tc>
        <w:tc>
          <w:tcPr>
            <w:tcW w:w="0" w:type="auto"/>
            <w:tcBorders>
              <w:top w:val="single" w:sz="6" w:space="0" w:color="000000"/>
            </w:tcBorders>
            <w:tcMar>
              <w:top w:w="100" w:type="dxa"/>
              <w:left w:w="100" w:type="dxa"/>
              <w:bottom w:w="100" w:type="dxa"/>
              <w:right w:w="100" w:type="dxa"/>
            </w:tcMar>
            <w:vAlign w:val="center"/>
            <w:hideMark/>
          </w:tcPr>
          <w:p w14:paraId="0FC66E4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4A806E9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32C009D1" w14:textId="77777777" w:rsidTr="00217D3F">
        <w:trPr>
          <w:trHeight w:val="107"/>
        </w:trPr>
        <w:tc>
          <w:tcPr>
            <w:tcW w:w="0" w:type="auto"/>
            <w:tcMar>
              <w:top w:w="100" w:type="dxa"/>
              <w:left w:w="100" w:type="dxa"/>
              <w:bottom w:w="100" w:type="dxa"/>
              <w:right w:w="100" w:type="dxa"/>
            </w:tcMar>
            <w:vAlign w:val="center"/>
            <w:hideMark/>
          </w:tcPr>
          <w:p w14:paraId="116BD600"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2.Disaster-Risk and Reduction Management (</w:t>
            </w:r>
            <w:r w:rsidRPr="00F50AF3">
              <w:rPr>
                <w:rFonts w:ascii="Times New Roman" w:eastAsia="Times New Roman" w:hAnsi="Times New Roman" w:cs="Times New Roman"/>
                <w:i/>
                <w:iCs/>
                <w:color w:val="000000"/>
                <w:sz w:val="24"/>
                <w:szCs w:val="24"/>
                <w:lang w:eastAsia="en-PH"/>
              </w:rPr>
              <w:t>RA 10121)</w:t>
            </w:r>
          </w:p>
        </w:tc>
        <w:tc>
          <w:tcPr>
            <w:tcW w:w="0" w:type="auto"/>
            <w:tcMar>
              <w:top w:w="100" w:type="dxa"/>
              <w:left w:w="100" w:type="dxa"/>
              <w:bottom w:w="100" w:type="dxa"/>
              <w:right w:w="100" w:type="dxa"/>
            </w:tcMar>
            <w:vAlign w:val="center"/>
            <w:hideMark/>
          </w:tcPr>
          <w:p w14:paraId="70FD8B53"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9D6DA6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52846C0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D30B8CF"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2.3543</w:t>
            </w:r>
          </w:p>
        </w:tc>
        <w:tc>
          <w:tcPr>
            <w:tcW w:w="0" w:type="auto"/>
            <w:tcMar>
              <w:top w:w="100" w:type="dxa"/>
              <w:left w:w="100" w:type="dxa"/>
              <w:bottom w:w="100" w:type="dxa"/>
              <w:right w:w="100" w:type="dxa"/>
            </w:tcMar>
            <w:vAlign w:val="center"/>
            <w:hideMark/>
          </w:tcPr>
          <w:p w14:paraId="112EB17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75C15E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3FA3217C" w14:textId="77777777" w:rsidTr="00217D3F">
        <w:trPr>
          <w:trHeight w:val="107"/>
        </w:trPr>
        <w:tc>
          <w:tcPr>
            <w:tcW w:w="0" w:type="auto"/>
            <w:tcMar>
              <w:top w:w="100" w:type="dxa"/>
              <w:left w:w="100" w:type="dxa"/>
              <w:bottom w:w="100" w:type="dxa"/>
              <w:right w:w="100" w:type="dxa"/>
            </w:tcMar>
            <w:vAlign w:val="center"/>
            <w:hideMark/>
          </w:tcPr>
          <w:p w14:paraId="0C456FC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3. Parliamentary Procedure </w:t>
            </w:r>
          </w:p>
        </w:tc>
        <w:tc>
          <w:tcPr>
            <w:tcW w:w="0" w:type="auto"/>
            <w:tcMar>
              <w:top w:w="100" w:type="dxa"/>
              <w:left w:w="100" w:type="dxa"/>
              <w:bottom w:w="100" w:type="dxa"/>
              <w:right w:w="100" w:type="dxa"/>
            </w:tcMar>
            <w:vAlign w:val="center"/>
            <w:hideMark/>
          </w:tcPr>
          <w:p w14:paraId="5EDE828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9436A3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A4D7CC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9B94AEB"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2.3722</w:t>
            </w:r>
          </w:p>
        </w:tc>
        <w:tc>
          <w:tcPr>
            <w:tcW w:w="0" w:type="auto"/>
            <w:tcMar>
              <w:top w:w="100" w:type="dxa"/>
              <w:left w:w="100" w:type="dxa"/>
              <w:bottom w:w="100" w:type="dxa"/>
              <w:right w:w="100" w:type="dxa"/>
            </w:tcMar>
            <w:vAlign w:val="center"/>
            <w:hideMark/>
          </w:tcPr>
          <w:p w14:paraId="747BE4A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000896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60E8DD71" w14:textId="77777777" w:rsidTr="00217D3F">
        <w:trPr>
          <w:trHeight w:val="107"/>
        </w:trPr>
        <w:tc>
          <w:tcPr>
            <w:tcW w:w="0" w:type="auto"/>
            <w:tcMar>
              <w:top w:w="100" w:type="dxa"/>
              <w:left w:w="100" w:type="dxa"/>
              <w:bottom w:w="100" w:type="dxa"/>
              <w:right w:w="100" w:type="dxa"/>
            </w:tcMar>
            <w:vAlign w:val="center"/>
            <w:hideMark/>
          </w:tcPr>
          <w:p w14:paraId="70486451"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4. Policy Analysis</w:t>
            </w:r>
          </w:p>
        </w:tc>
        <w:tc>
          <w:tcPr>
            <w:tcW w:w="0" w:type="auto"/>
            <w:tcMar>
              <w:top w:w="100" w:type="dxa"/>
              <w:left w:w="100" w:type="dxa"/>
              <w:bottom w:w="100" w:type="dxa"/>
              <w:right w:w="100" w:type="dxa"/>
            </w:tcMar>
            <w:vAlign w:val="center"/>
            <w:hideMark/>
          </w:tcPr>
          <w:p w14:paraId="243D6233"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1ED123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5EE0EA6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58E29A4"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2.3004</w:t>
            </w:r>
          </w:p>
        </w:tc>
        <w:tc>
          <w:tcPr>
            <w:tcW w:w="0" w:type="auto"/>
            <w:tcMar>
              <w:top w:w="100" w:type="dxa"/>
              <w:left w:w="100" w:type="dxa"/>
              <w:bottom w:w="100" w:type="dxa"/>
              <w:right w:w="100" w:type="dxa"/>
            </w:tcMar>
            <w:vAlign w:val="center"/>
            <w:hideMark/>
          </w:tcPr>
          <w:p w14:paraId="69E074C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2EE095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3530D87E" w14:textId="77777777" w:rsidTr="00217D3F">
        <w:trPr>
          <w:trHeight w:val="107"/>
        </w:trPr>
        <w:tc>
          <w:tcPr>
            <w:tcW w:w="0" w:type="auto"/>
            <w:tcMar>
              <w:top w:w="100" w:type="dxa"/>
              <w:left w:w="100" w:type="dxa"/>
              <w:bottom w:w="100" w:type="dxa"/>
              <w:right w:w="100" w:type="dxa"/>
            </w:tcMar>
            <w:vAlign w:val="center"/>
            <w:hideMark/>
          </w:tcPr>
          <w:p w14:paraId="6084108A"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5.Social media-based Government</w:t>
            </w:r>
          </w:p>
        </w:tc>
        <w:tc>
          <w:tcPr>
            <w:tcW w:w="0" w:type="auto"/>
            <w:tcMar>
              <w:top w:w="100" w:type="dxa"/>
              <w:left w:w="100" w:type="dxa"/>
              <w:bottom w:w="100" w:type="dxa"/>
              <w:right w:w="100" w:type="dxa"/>
            </w:tcMar>
            <w:vAlign w:val="center"/>
            <w:hideMark/>
          </w:tcPr>
          <w:p w14:paraId="457B6BD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AE47AD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A4A116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68A8133"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2.2870 </w:t>
            </w:r>
          </w:p>
        </w:tc>
        <w:tc>
          <w:tcPr>
            <w:tcW w:w="0" w:type="auto"/>
            <w:tcMar>
              <w:top w:w="100" w:type="dxa"/>
              <w:left w:w="100" w:type="dxa"/>
              <w:bottom w:w="100" w:type="dxa"/>
              <w:right w:w="100" w:type="dxa"/>
            </w:tcMar>
            <w:vAlign w:val="center"/>
            <w:hideMark/>
          </w:tcPr>
          <w:p w14:paraId="2A8B40C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3B4084B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217D3F" w:rsidRPr="00F50AF3" w14:paraId="2D219136" w14:textId="77777777" w:rsidTr="00217D3F">
        <w:trPr>
          <w:trHeight w:val="107"/>
        </w:trPr>
        <w:tc>
          <w:tcPr>
            <w:tcW w:w="0" w:type="auto"/>
            <w:tcMar>
              <w:top w:w="100" w:type="dxa"/>
              <w:left w:w="100" w:type="dxa"/>
              <w:bottom w:w="100" w:type="dxa"/>
              <w:right w:w="100" w:type="dxa"/>
            </w:tcMar>
            <w:vAlign w:val="center"/>
            <w:hideMark/>
          </w:tcPr>
          <w:p w14:paraId="2DEE3C75"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6. Financial Management</w:t>
            </w:r>
          </w:p>
        </w:tc>
        <w:tc>
          <w:tcPr>
            <w:tcW w:w="0" w:type="auto"/>
            <w:tcMar>
              <w:top w:w="100" w:type="dxa"/>
              <w:left w:w="100" w:type="dxa"/>
              <w:bottom w:w="100" w:type="dxa"/>
              <w:right w:w="100" w:type="dxa"/>
            </w:tcMar>
            <w:vAlign w:val="center"/>
            <w:hideMark/>
          </w:tcPr>
          <w:p w14:paraId="27921073"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98DCB3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FBADD9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ED3E269"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2.3498</w:t>
            </w:r>
          </w:p>
        </w:tc>
        <w:tc>
          <w:tcPr>
            <w:tcW w:w="0" w:type="auto"/>
            <w:tcMar>
              <w:top w:w="100" w:type="dxa"/>
              <w:left w:w="100" w:type="dxa"/>
              <w:bottom w:w="100" w:type="dxa"/>
              <w:right w:w="100" w:type="dxa"/>
            </w:tcMar>
            <w:vAlign w:val="center"/>
            <w:hideMark/>
          </w:tcPr>
          <w:p w14:paraId="21A1E05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A2734CD"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370D0535" w14:textId="77777777" w:rsidTr="00217D3F">
        <w:trPr>
          <w:trHeight w:val="107"/>
        </w:trPr>
        <w:tc>
          <w:tcPr>
            <w:tcW w:w="0" w:type="auto"/>
            <w:tcMar>
              <w:top w:w="100" w:type="dxa"/>
              <w:left w:w="100" w:type="dxa"/>
              <w:bottom w:w="100" w:type="dxa"/>
              <w:right w:w="100" w:type="dxa"/>
            </w:tcMar>
            <w:vAlign w:val="center"/>
            <w:hideMark/>
          </w:tcPr>
          <w:p w14:paraId="7BCC9E4E"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8. Research and Extension Training</w:t>
            </w:r>
          </w:p>
        </w:tc>
        <w:tc>
          <w:tcPr>
            <w:tcW w:w="0" w:type="auto"/>
            <w:tcMar>
              <w:top w:w="100" w:type="dxa"/>
              <w:left w:w="100" w:type="dxa"/>
              <w:bottom w:w="100" w:type="dxa"/>
              <w:right w:w="100" w:type="dxa"/>
            </w:tcMar>
            <w:vAlign w:val="center"/>
            <w:hideMark/>
          </w:tcPr>
          <w:p w14:paraId="73E2006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03783F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2CCE1B8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A03F059"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2.1883</w:t>
            </w:r>
          </w:p>
          <w:p w14:paraId="0428776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F7961A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EA3A56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148A8F13" w14:textId="77777777" w:rsidTr="00217D3F">
        <w:trPr>
          <w:trHeight w:val="107"/>
        </w:trPr>
        <w:tc>
          <w:tcPr>
            <w:tcW w:w="0" w:type="auto"/>
            <w:tcMar>
              <w:top w:w="100" w:type="dxa"/>
              <w:left w:w="100" w:type="dxa"/>
              <w:bottom w:w="100" w:type="dxa"/>
              <w:right w:w="100" w:type="dxa"/>
            </w:tcMar>
            <w:vAlign w:val="center"/>
            <w:hideMark/>
          </w:tcPr>
          <w:p w14:paraId="098DA337"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9. Graphic Design</w:t>
            </w:r>
          </w:p>
        </w:tc>
        <w:tc>
          <w:tcPr>
            <w:tcW w:w="0" w:type="auto"/>
            <w:tcMar>
              <w:top w:w="100" w:type="dxa"/>
              <w:left w:w="100" w:type="dxa"/>
              <w:bottom w:w="100" w:type="dxa"/>
              <w:right w:w="100" w:type="dxa"/>
            </w:tcMar>
            <w:vAlign w:val="center"/>
            <w:hideMark/>
          </w:tcPr>
          <w:p w14:paraId="19BB2A1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C4B1F5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28FDCB5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B6E5259"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2.4484</w:t>
            </w:r>
          </w:p>
        </w:tc>
        <w:tc>
          <w:tcPr>
            <w:tcW w:w="0" w:type="auto"/>
            <w:tcMar>
              <w:top w:w="100" w:type="dxa"/>
              <w:left w:w="100" w:type="dxa"/>
              <w:bottom w:w="100" w:type="dxa"/>
              <w:right w:w="100" w:type="dxa"/>
            </w:tcMar>
            <w:vAlign w:val="center"/>
            <w:hideMark/>
          </w:tcPr>
          <w:p w14:paraId="4259EB5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EA6154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286BD3AB" w14:textId="77777777" w:rsidTr="00217D3F">
        <w:trPr>
          <w:trHeight w:val="107"/>
        </w:trPr>
        <w:tc>
          <w:tcPr>
            <w:tcW w:w="0" w:type="auto"/>
            <w:tcMar>
              <w:top w:w="100" w:type="dxa"/>
              <w:left w:w="100" w:type="dxa"/>
              <w:bottom w:w="100" w:type="dxa"/>
              <w:right w:w="100" w:type="dxa"/>
            </w:tcMar>
            <w:vAlign w:val="center"/>
            <w:hideMark/>
          </w:tcPr>
          <w:p w14:paraId="229F7650"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 Procurement Systems</w:t>
            </w:r>
          </w:p>
        </w:tc>
        <w:tc>
          <w:tcPr>
            <w:tcW w:w="0" w:type="auto"/>
            <w:tcMar>
              <w:top w:w="100" w:type="dxa"/>
              <w:left w:w="100" w:type="dxa"/>
              <w:bottom w:w="100" w:type="dxa"/>
              <w:right w:w="100" w:type="dxa"/>
            </w:tcMar>
            <w:vAlign w:val="center"/>
            <w:hideMark/>
          </w:tcPr>
          <w:p w14:paraId="5A8AAD8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531204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8AF97F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365883E"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2.4933</w:t>
            </w:r>
          </w:p>
        </w:tc>
        <w:tc>
          <w:tcPr>
            <w:tcW w:w="0" w:type="auto"/>
            <w:tcMar>
              <w:top w:w="100" w:type="dxa"/>
              <w:left w:w="100" w:type="dxa"/>
              <w:bottom w:w="100" w:type="dxa"/>
              <w:right w:w="100" w:type="dxa"/>
            </w:tcMar>
            <w:vAlign w:val="center"/>
            <w:hideMark/>
          </w:tcPr>
          <w:p w14:paraId="09287E2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17B760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274DB01C" w14:textId="77777777" w:rsidTr="00217D3F">
        <w:trPr>
          <w:trHeight w:val="107"/>
        </w:trPr>
        <w:tc>
          <w:tcPr>
            <w:tcW w:w="0" w:type="auto"/>
            <w:tcMar>
              <w:top w:w="100" w:type="dxa"/>
              <w:left w:w="100" w:type="dxa"/>
              <w:bottom w:w="100" w:type="dxa"/>
              <w:right w:w="100" w:type="dxa"/>
            </w:tcMar>
            <w:vAlign w:val="center"/>
            <w:hideMark/>
          </w:tcPr>
          <w:p w14:paraId="4BA41AF7"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11.Knowledge Management</w:t>
            </w:r>
          </w:p>
        </w:tc>
        <w:tc>
          <w:tcPr>
            <w:tcW w:w="0" w:type="auto"/>
            <w:tcMar>
              <w:top w:w="100" w:type="dxa"/>
              <w:left w:w="100" w:type="dxa"/>
              <w:bottom w:w="100" w:type="dxa"/>
              <w:right w:w="100" w:type="dxa"/>
            </w:tcMar>
            <w:vAlign w:val="center"/>
            <w:hideMark/>
          </w:tcPr>
          <w:p w14:paraId="71AB596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590F4C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50B004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215C3E4"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2.4305</w:t>
            </w:r>
          </w:p>
        </w:tc>
        <w:tc>
          <w:tcPr>
            <w:tcW w:w="0" w:type="auto"/>
            <w:tcMar>
              <w:top w:w="100" w:type="dxa"/>
              <w:left w:w="100" w:type="dxa"/>
              <w:bottom w:w="100" w:type="dxa"/>
              <w:right w:w="100" w:type="dxa"/>
            </w:tcMar>
            <w:vAlign w:val="center"/>
            <w:hideMark/>
          </w:tcPr>
          <w:p w14:paraId="1808A22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1E40641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6F4E1B8E" w14:textId="77777777" w:rsidTr="00217D3F">
        <w:trPr>
          <w:trHeight w:val="107"/>
        </w:trPr>
        <w:tc>
          <w:tcPr>
            <w:tcW w:w="0" w:type="auto"/>
            <w:tcMar>
              <w:top w:w="100" w:type="dxa"/>
              <w:left w:w="100" w:type="dxa"/>
              <w:bottom w:w="100" w:type="dxa"/>
              <w:right w:w="100" w:type="dxa"/>
            </w:tcMar>
            <w:vAlign w:val="center"/>
            <w:hideMark/>
          </w:tcPr>
          <w:p w14:paraId="6A69FA83" w14:textId="77777777" w:rsidR="00217D3F" w:rsidRPr="00F50AF3" w:rsidRDefault="00217D3F" w:rsidP="00F50AF3">
            <w:pPr>
              <w:spacing w:after="0" w:line="240" w:lineRule="auto"/>
              <w:jc w:val="both"/>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lastRenderedPageBreak/>
              <w:t>12. Human Behavior in Organizations</w:t>
            </w:r>
          </w:p>
        </w:tc>
        <w:tc>
          <w:tcPr>
            <w:tcW w:w="0" w:type="auto"/>
            <w:tcMar>
              <w:top w:w="100" w:type="dxa"/>
              <w:left w:w="100" w:type="dxa"/>
              <w:bottom w:w="100" w:type="dxa"/>
              <w:right w:w="100" w:type="dxa"/>
            </w:tcMar>
            <w:vAlign w:val="center"/>
            <w:hideMark/>
          </w:tcPr>
          <w:p w14:paraId="7EBC535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9D65C6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FA43BAD"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A924EA3"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2.2870</w:t>
            </w:r>
          </w:p>
        </w:tc>
        <w:tc>
          <w:tcPr>
            <w:tcW w:w="0" w:type="auto"/>
            <w:tcMar>
              <w:top w:w="100" w:type="dxa"/>
              <w:left w:w="100" w:type="dxa"/>
              <w:bottom w:w="100" w:type="dxa"/>
              <w:right w:w="100" w:type="dxa"/>
            </w:tcMar>
            <w:vAlign w:val="center"/>
            <w:hideMark/>
          </w:tcPr>
          <w:p w14:paraId="09DFA78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42B61A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5DD68C62" w14:textId="77777777" w:rsidTr="00217D3F">
        <w:trPr>
          <w:trHeight w:val="107"/>
        </w:trPr>
        <w:tc>
          <w:tcPr>
            <w:tcW w:w="0" w:type="auto"/>
            <w:tcMar>
              <w:top w:w="100" w:type="dxa"/>
              <w:left w:w="100" w:type="dxa"/>
              <w:bottom w:w="100" w:type="dxa"/>
              <w:right w:w="100" w:type="dxa"/>
            </w:tcMar>
            <w:vAlign w:val="center"/>
            <w:hideMark/>
          </w:tcPr>
          <w:p w14:paraId="22841943"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40C9F0C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E2739D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61E3D43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C51F2C9"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2.3247</w:t>
            </w:r>
          </w:p>
        </w:tc>
        <w:tc>
          <w:tcPr>
            <w:tcW w:w="0" w:type="auto"/>
            <w:tcMar>
              <w:top w:w="100" w:type="dxa"/>
              <w:left w:w="100" w:type="dxa"/>
              <w:bottom w:w="100" w:type="dxa"/>
              <w:right w:w="100" w:type="dxa"/>
            </w:tcMar>
            <w:vAlign w:val="center"/>
            <w:hideMark/>
          </w:tcPr>
          <w:p w14:paraId="6EDC05E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9DC272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0AD4728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133B7B1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6BEE027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24E1524B" w14:textId="77777777" w:rsidR="0030699A" w:rsidRPr="00F50AF3" w:rsidRDefault="00217D3F" w:rsidP="00F50AF3">
      <w:pPr>
        <w:pStyle w:val="BodyText2"/>
        <w:spacing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5F327B5E" w14:textId="77777777" w:rsidR="00BD054C" w:rsidRDefault="00BD054C" w:rsidP="00F50AF3">
      <w:pPr>
        <w:spacing w:line="240" w:lineRule="auto"/>
        <w:rPr>
          <w:rFonts w:ascii="Times New Roman" w:eastAsia="Times New Roman" w:hAnsi="Times New Roman" w:cs="Times New Roman"/>
          <w:color w:val="000000"/>
          <w:sz w:val="24"/>
          <w:szCs w:val="24"/>
          <w:lang w:eastAsia="en-PH"/>
        </w:rPr>
      </w:pPr>
    </w:p>
    <w:p w14:paraId="1E27855B" w14:textId="2EB3B5C4" w:rsidR="00217D3F" w:rsidRPr="00BD054C" w:rsidRDefault="00217D3F" w:rsidP="00BD054C">
      <w:pPr>
        <w:spacing w:line="240" w:lineRule="auto"/>
        <w:rPr>
          <w:rFonts w:ascii="Times New Roman" w:eastAsia="Times New Roman" w:hAnsi="Times New Roman" w:cs="Times New Roman"/>
          <w:b/>
          <w:bCs/>
          <w:color w:val="000000"/>
          <w:sz w:val="24"/>
          <w:szCs w:val="24"/>
          <w:lang w:eastAsia="en-PH"/>
        </w:rPr>
      </w:pPr>
      <w:r w:rsidRPr="00F50AF3">
        <w:rPr>
          <w:rFonts w:ascii="Times New Roman" w:eastAsia="Times New Roman" w:hAnsi="Times New Roman" w:cs="Times New Roman"/>
          <w:b/>
          <w:bCs/>
          <w:color w:val="000000"/>
          <w:sz w:val="24"/>
          <w:szCs w:val="24"/>
          <w:lang w:eastAsia="en-PH"/>
        </w:rPr>
        <w:t>Project Development </w:t>
      </w:r>
    </w:p>
    <w:p w14:paraId="712DB8A5" w14:textId="3F50FA44" w:rsidR="00217D3F" w:rsidRPr="00F50AF3" w:rsidRDefault="00217D3F" w:rsidP="00F50AF3">
      <w:pPr>
        <w:pStyle w:val="BodyTextIndent"/>
        <w:rPr>
          <w:rFonts w:ascii="Times New Roman" w:hAnsi="Times New Roman" w:cs="Times New Roman"/>
          <w:sz w:val="24"/>
          <w:szCs w:val="24"/>
        </w:rPr>
      </w:pPr>
      <w:r w:rsidRPr="00F50AF3">
        <w:rPr>
          <w:rFonts w:ascii="Times New Roman" w:hAnsi="Times New Roman" w:cs="Times New Roman"/>
          <w:sz w:val="24"/>
          <w:szCs w:val="24"/>
        </w:rPr>
        <w:t>The items included in the component of project development are as shown in Table 10, with a mean score of 2.2601 to 2.3498. Everything related to the project development variable constantly belonged to the category of Low Proficiency, similar to the overall mean score (M=2.3056). This table helps specify certain problems that are perceived to be present in the project development field and which could be adopted to realize the preferred training project of the Sangguniang Kabataan (SK) officials.  In relation, this fits with the notion of Training Needs Analysis (TNA), where training is required when a person's competencies and what they must do to perform their job effectively are not linked, which, in this case, the project development of SK officials achieved a low proficiency level.</w:t>
      </w:r>
    </w:p>
    <w:tbl>
      <w:tblPr>
        <w:tblW w:w="0" w:type="auto"/>
        <w:tblCellMar>
          <w:top w:w="15" w:type="dxa"/>
          <w:left w:w="15" w:type="dxa"/>
          <w:bottom w:w="15" w:type="dxa"/>
          <w:right w:w="15" w:type="dxa"/>
        </w:tblCellMar>
        <w:tblLook w:val="04A0" w:firstRow="1" w:lastRow="0" w:firstColumn="1" w:lastColumn="0" w:noHBand="0" w:noVBand="1"/>
      </w:tblPr>
      <w:tblGrid>
        <w:gridCol w:w="5333"/>
        <w:gridCol w:w="206"/>
        <w:gridCol w:w="560"/>
        <w:gridCol w:w="206"/>
        <w:gridCol w:w="980"/>
        <w:gridCol w:w="206"/>
        <w:gridCol w:w="2207"/>
      </w:tblGrid>
      <w:tr w:rsidR="00217D3F" w:rsidRPr="00F50AF3" w14:paraId="7565BB1A" w14:textId="77777777" w:rsidTr="00217D3F">
        <w:trPr>
          <w:trHeight w:val="440"/>
          <w:tblHeader/>
        </w:trPr>
        <w:tc>
          <w:tcPr>
            <w:tcW w:w="0" w:type="auto"/>
            <w:gridSpan w:val="7"/>
            <w:tcBorders>
              <w:bottom w:val="single" w:sz="6" w:space="0" w:color="000000"/>
            </w:tcBorders>
            <w:tcMar>
              <w:top w:w="100" w:type="dxa"/>
              <w:left w:w="100" w:type="dxa"/>
              <w:bottom w:w="100" w:type="dxa"/>
              <w:right w:w="100" w:type="dxa"/>
            </w:tcMar>
            <w:vAlign w:val="center"/>
            <w:hideMark/>
          </w:tcPr>
          <w:p w14:paraId="0211869C" w14:textId="77777777" w:rsidR="00217D3F" w:rsidRPr="00F50AF3" w:rsidRDefault="00217D3F"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10 . Mean Scores of Project Development </w:t>
            </w:r>
          </w:p>
        </w:tc>
      </w:tr>
      <w:tr w:rsidR="00217D3F" w:rsidRPr="00F50AF3" w14:paraId="453C876E" w14:textId="77777777" w:rsidTr="00217D3F">
        <w:trPr>
          <w:trHeight w:val="107"/>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5AC7C9A2"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 Project Development </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3D8F4011"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3B999B73"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0EED6B5D" w14:textId="77777777" w:rsidR="00217D3F" w:rsidRPr="00F50AF3" w:rsidRDefault="00217D3F"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217D3F" w:rsidRPr="00F50AF3" w14:paraId="6C9F725F" w14:textId="77777777" w:rsidTr="00217D3F">
        <w:trPr>
          <w:trHeight w:val="310"/>
        </w:trPr>
        <w:tc>
          <w:tcPr>
            <w:tcW w:w="0" w:type="auto"/>
            <w:tcBorders>
              <w:top w:val="single" w:sz="6" w:space="0" w:color="000000"/>
            </w:tcBorders>
            <w:tcMar>
              <w:top w:w="100" w:type="dxa"/>
              <w:left w:w="100" w:type="dxa"/>
              <w:bottom w:w="100" w:type="dxa"/>
              <w:right w:w="100" w:type="dxa"/>
            </w:tcMar>
            <w:vAlign w:val="center"/>
            <w:hideMark/>
          </w:tcPr>
          <w:p w14:paraId="3E246D1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Aligning Projects in Sustainable Development Goals </w:t>
            </w:r>
          </w:p>
        </w:tc>
        <w:tc>
          <w:tcPr>
            <w:tcW w:w="0" w:type="auto"/>
            <w:tcBorders>
              <w:top w:val="single" w:sz="6" w:space="0" w:color="000000"/>
            </w:tcBorders>
            <w:tcMar>
              <w:top w:w="100" w:type="dxa"/>
              <w:left w:w="100" w:type="dxa"/>
              <w:bottom w:w="100" w:type="dxa"/>
              <w:right w:w="100" w:type="dxa"/>
            </w:tcMar>
            <w:vAlign w:val="center"/>
            <w:hideMark/>
          </w:tcPr>
          <w:p w14:paraId="1679D4F0"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5AEABCE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7A5DA8D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7623C993"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2.3004</w:t>
            </w:r>
          </w:p>
        </w:tc>
        <w:tc>
          <w:tcPr>
            <w:tcW w:w="0" w:type="auto"/>
            <w:tcBorders>
              <w:top w:val="single" w:sz="6" w:space="0" w:color="000000"/>
            </w:tcBorders>
            <w:tcMar>
              <w:top w:w="100" w:type="dxa"/>
              <w:left w:w="100" w:type="dxa"/>
              <w:bottom w:w="100" w:type="dxa"/>
              <w:right w:w="100" w:type="dxa"/>
            </w:tcMar>
            <w:vAlign w:val="center"/>
            <w:hideMark/>
          </w:tcPr>
          <w:p w14:paraId="55F8FB8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4BD6058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04FDDEA5" w14:textId="77777777" w:rsidTr="00217D3F">
        <w:trPr>
          <w:trHeight w:val="107"/>
        </w:trPr>
        <w:tc>
          <w:tcPr>
            <w:tcW w:w="0" w:type="auto"/>
            <w:tcMar>
              <w:top w:w="100" w:type="dxa"/>
              <w:left w:w="100" w:type="dxa"/>
              <w:bottom w:w="100" w:type="dxa"/>
              <w:right w:w="100" w:type="dxa"/>
            </w:tcMar>
            <w:vAlign w:val="center"/>
            <w:hideMark/>
          </w:tcPr>
          <w:p w14:paraId="3BF38E4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Project Planning Tools </w:t>
            </w:r>
          </w:p>
        </w:tc>
        <w:tc>
          <w:tcPr>
            <w:tcW w:w="0" w:type="auto"/>
            <w:tcMar>
              <w:top w:w="100" w:type="dxa"/>
              <w:left w:w="100" w:type="dxa"/>
              <w:bottom w:w="100" w:type="dxa"/>
              <w:right w:w="100" w:type="dxa"/>
            </w:tcMar>
            <w:vAlign w:val="center"/>
            <w:hideMark/>
          </w:tcPr>
          <w:p w14:paraId="09A6766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218951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41BBCF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72D1904"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2.2870</w:t>
            </w:r>
          </w:p>
        </w:tc>
        <w:tc>
          <w:tcPr>
            <w:tcW w:w="0" w:type="auto"/>
            <w:tcMar>
              <w:top w:w="100" w:type="dxa"/>
              <w:left w:w="100" w:type="dxa"/>
              <w:bottom w:w="100" w:type="dxa"/>
              <w:right w:w="100" w:type="dxa"/>
            </w:tcMar>
            <w:vAlign w:val="center"/>
            <w:hideMark/>
          </w:tcPr>
          <w:p w14:paraId="6825544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7B1F90A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4A6C9CA1" w14:textId="77777777" w:rsidTr="00217D3F">
        <w:trPr>
          <w:trHeight w:val="107"/>
        </w:trPr>
        <w:tc>
          <w:tcPr>
            <w:tcW w:w="0" w:type="auto"/>
            <w:tcMar>
              <w:top w:w="100" w:type="dxa"/>
              <w:left w:w="100" w:type="dxa"/>
              <w:bottom w:w="100" w:type="dxa"/>
              <w:right w:w="100" w:type="dxa"/>
            </w:tcMar>
            <w:vAlign w:val="center"/>
            <w:hideMark/>
          </w:tcPr>
          <w:p w14:paraId="1A53106C"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Writing Project Proposals</w:t>
            </w:r>
          </w:p>
        </w:tc>
        <w:tc>
          <w:tcPr>
            <w:tcW w:w="0" w:type="auto"/>
            <w:tcMar>
              <w:top w:w="100" w:type="dxa"/>
              <w:left w:w="100" w:type="dxa"/>
              <w:bottom w:w="100" w:type="dxa"/>
              <w:right w:w="100" w:type="dxa"/>
            </w:tcMar>
            <w:vAlign w:val="center"/>
            <w:hideMark/>
          </w:tcPr>
          <w:p w14:paraId="7FA9C6B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F393F43"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23CACA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CB86F2A"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2.2601</w:t>
            </w:r>
          </w:p>
        </w:tc>
        <w:tc>
          <w:tcPr>
            <w:tcW w:w="0" w:type="auto"/>
            <w:tcMar>
              <w:top w:w="100" w:type="dxa"/>
              <w:left w:w="100" w:type="dxa"/>
              <w:bottom w:w="100" w:type="dxa"/>
              <w:right w:w="100" w:type="dxa"/>
            </w:tcMar>
            <w:vAlign w:val="center"/>
            <w:hideMark/>
          </w:tcPr>
          <w:p w14:paraId="3A8D78B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605C27B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7AEA92A8" w14:textId="77777777" w:rsidTr="00217D3F">
        <w:trPr>
          <w:trHeight w:val="107"/>
        </w:trPr>
        <w:tc>
          <w:tcPr>
            <w:tcW w:w="0" w:type="auto"/>
            <w:tcMar>
              <w:top w:w="100" w:type="dxa"/>
              <w:left w:w="100" w:type="dxa"/>
              <w:bottom w:w="100" w:type="dxa"/>
              <w:right w:w="100" w:type="dxa"/>
            </w:tcMar>
            <w:vAlign w:val="center"/>
            <w:hideMark/>
          </w:tcPr>
          <w:p w14:paraId="43C19DB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Risk and Stakeholders Management </w:t>
            </w:r>
          </w:p>
        </w:tc>
        <w:tc>
          <w:tcPr>
            <w:tcW w:w="0" w:type="auto"/>
            <w:tcMar>
              <w:top w:w="100" w:type="dxa"/>
              <w:left w:w="100" w:type="dxa"/>
              <w:bottom w:w="100" w:type="dxa"/>
              <w:right w:w="100" w:type="dxa"/>
            </w:tcMar>
            <w:vAlign w:val="center"/>
            <w:hideMark/>
          </w:tcPr>
          <w:p w14:paraId="75CC250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3B6976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7EDB141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59DE595"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2.3498</w:t>
            </w:r>
          </w:p>
        </w:tc>
        <w:tc>
          <w:tcPr>
            <w:tcW w:w="0" w:type="auto"/>
            <w:tcMar>
              <w:top w:w="100" w:type="dxa"/>
              <w:left w:w="100" w:type="dxa"/>
              <w:bottom w:w="100" w:type="dxa"/>
              <w:right w:w="100" w:type="dxa"/>
            </w:tcMar>
            <w:vAlign w:val="center"/>
            <w:hideMark/>
          </w:tcPr>
          <w:p w14:paraId="057D6677"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36D094D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217D3F" w:rsidRPr="00F50AF3" w14:paraId="19836B2C" w14:textId="77777777" w:rsidTr="00217D3F">
        <w:trPr>
          <w:trHeight w:val="107"/>
        </w:trPr>
        <w:tc>
          <w:tcPr>
            <w:tcW w:w="0" w:type="auto"/>
            <w:tcMar>
              <w:top w:w="100" w:type="dxa"/>
              <w:left w:w="100" w:type="dxa"/>
              <w:bottom w:w="100" w:type="dxa"/>
              <w:right w:w="100" w:type="dxa"/>
            </w:tcMar>
            <w:vAlign w:val="center"/>
            <w:hideMark/>
          </w:tcPr>
          <w:p w14:paraId="14092AB9"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Cost Planning</w:t>
            </w:r>
          </w:p>
        </w:tc>
        <w:tc>
          <w:tcPr>
            <w:tcW w:w="0" w:type="auto"/>
            <w:tcMar>
              <w:top w:w="100" w:type="dxa"/>
              <w:left w:w="100" w:type="dxa"/>
              <w:bottom w:w="100" w:type="dxa"/>
              <w:right w:w="100" w:type="dxa"/>
            </w:tcMar>
            <w:vAlign w:val="center"/>
            <w:hideMark/>
          </w:tcPr>
          <w:p w14:paraId="3EB8C01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50AD233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D2DDDE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3A70C10"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2.3184 </w:t>
            </w:r>
          </w:p>
        </w:tc>
        <w:tc>
          <w:tcPr>
            <w:tcW w:w="0" w:type="auto"/>
            <w:tcMar>
              <w:top w:w="100" w:type="dxa"/>
              <w:left w:w="100" w:type="dxa"/>
              <w:bottom w:w="100" w:type="dxa"/>
              <w:right w:w="100" w:type="dxa"/>
            </w:tcMar>
            <w:vAlign w:val="center"/>
            <w:hideMark/>
          </w:tcPr>
          <w:p w14:paraId="3A86822D"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553CD34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217D3F" w:rsidRPr="00F50AF3" w14:paraId="62DAC172" w14:textId="77777777" w:rsidTr="00217D3F">
        <w:trPr>
          <w:trHeight w:val="107"/>
        </w:trPr>
        <w:tc>
          <w:tcPr>
            <w:tcW w:w="0" w:type="auto"/>
            <w:tcMar>
              <w:top w:w="100" w:type="dxa"/>
              <w:left w:w="100" w:type="dxa"/>
              <w:bottom w:w="100" w:type="dxa"/>
              <w:right w:w="100" w:type="dxa"/>
            </w:tcMar>
            <w:vAlign w:val="center"/>
            <w:hideMark/>
          </w:tcPr>
          <w:p w14:paraId="61B338E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lastRenderedPageBreak/>
              <w:t>Agile Project Execution</w:t>
            </w:r>
          </w:p>
        </w:tc>
        <w:tc>
          <w:tcPr>
            <w:tcW w:w="0" w:type="auto"/>
            <w:tcMar>
              <w:top w:w="100" w:type="dxa"/>
              <w:left w:w="100" w:type="dxa"/>
              <w:bottom w:w="100" w:type="dxa"/>
              <w:right w:w="100" w:type="dxa"/>
            </w:tcMar>
            <w:vAlign w:val="center"/>
            <w:hideMark/>
          </w:tcPr>
          <w:p w14:paraId="339B899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70F9D66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BA3B70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2B1D154"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2.2915</w:t>
            </w:r>
          </w:p>
        </w:tc>
        <w:tc>
          <w:tcPr>
            <w:tcW w:w="0" w:type="auto"/>
            <w:tcMar>
              <w:top w:w="100" w:type="dxa"/>
              <w:left w:w="100" w:type="dxa"/>
              <w:bottom w:w="100" w:type="dxa"/>
              <w:right w:w="100" w:type="dxa"/>
            </w:tcMar>
            <w:vAlign w:val="center"/>
            <w:hideMark/>
          </w:tcPr>
          <w:p w14:paraId="4AB83D0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190B5579"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w:t>
            </w:r>
          </w:p>
        </w:tc>
      </w:tr>
      <w:tr w:rsidR="00217D3F" w:rsidRPr="00F50AF3" w14:paraId="7E741C96" w14:textId="77777777" w:rsidTr="00217D3F">
        <w:trPr>
          <w:trHeight w:val="107"/>
        </w:trPr>
        <w:tc>
          <w:tcPr>
            <w:tcW w:w="0" w:type="auto"/>
            <w:tcMar>
              <w:top w:w="100" w:type="dxa"/>
              <w:left w:w="100" w:type="dxa"/>
              <w:bottom w:w="100" w:type="dxa"/>
              <w:right w:w="100" w:type="dxa"/>
            </w:tcMar>
            <w:vAlign w:val="center"/>
            <w:hideMark/>
          </w:tcPr>
          <w:p w14:paraId="7D3C1EFB"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Project Reporting and Closure Tools </w:t>
            </w:r>
          </w:p>
        </w:tc>
        <w:tc>
          <w:tcPr>
            <w:tcW w:w="0" w:type="auto"/>
            <w:tcMar>
              <w:top w:w="100" w:type="dxa"/>
              <w:left w:w="100" w:type="dxa"/>
              <w:bottom w:w="100" w:type="dxa"/>
              <w:right w:w="100" w:type="dxa"/>
            </w:tcMar>
            <w:vAlign w:val="center"/>
            <w:hideMark/>
          </w:tcPr>
          <w:p w14:paraId="067D8AF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948919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10059391"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0FAC903"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2.3318</w:t>
            </w:r>
          </w:p>
        </w:tc>
        <w:tc>
          <w:tcPr>
            <w:tcW w:w="0" w:type="auto"/>
            <w:tcMar>
              <w:top w:w="100" w:type="dxa"/>
              <w:left w:w="100" w:type="dxa"/>
              <w:bottom w:w="100" w:type="dxa"/>
              <w:right w:w="100" w:type="dxa"/>
            </w:tcMar>
            <w:vAlign w:val="center"/>
            <w:hideMark/>
          </w:tcPr>
          <w:p w14:paraId="6FFE5FC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CADB13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w:t>
            </w:r>
          </w:p>
        </w:tc>
      </w:tr>
      <w:tr w:rsidR="00217D3F" w:rsidRPr="00F50AF3" w14:paraId="5DA987B2" w14:textId="77777777" w:rsidTr="00217D3F">
        <w:trPr>
          <w:trHeight w:val="107"/>
        </w:trPr>
        <w:tc>
          <w:tcPr>
            <w:tcW w:w="0" w:type="auto"/>
            <w:tcMar>
              <w:top w:w="100" w:type="dxa"/>
              <w:left w:w="100" w:type="dxa"/>
              <w:bottom w:w="100" w:type="dxa"/>
              <w:right w:w="100" w:type="dxa"/>
            </w:tcMar>
            <w:vAlign w:val="center"/>
            <w:hideMark/>
          </w:tcPr>
          <w:p w14:paraId="47799AA2"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1F2E014F"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42F4FFFA"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C0CF036"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27683204" w14:textId="77777777" w:rsidR="00217D3F" w:rsidRPr="00F50AF3" w:rsidRDefault="00217D3F"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2.3056</w:t>
            </w:r>
          </w:p>
        </w:tc>
        <w:tc>
          <w:tcPr>
            <w:tcW w:w="0" w:type="auto"/>
            <w:tcMar>
              <w:top w:w="100" w:type="dxa"/>
              <w:left w:w="100" w:type="dxa"/>
              <w:bottom w:w="100" w:type="dxa"/>
              <w:right w:w="100" w:type="dxa"/>
            </w:tcMar>
            <w:vAlign w:val="center"/>
            <w:hideMark/>
          </w:tcPr>
          <w:p w14:paraId="63539A98"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195E9C9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4BC79EC4"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44229CA5"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7EE03ECE" w14:textId="77777777" w:rsidR="00217D3F" w:rsidRPr="00F50AF3" w:rsidRDefault="00217D3F"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w:t>
      </w:r>
    </w:p>
    <w:p w14:paraId="7BD64F02" w14:textId="77777777" w:rsidR="00217D3F" w:rsidRPr="00F50AF3" w:rsidRDefault="00217D3F" w:rsidP="00F50AF3">
      <w:pPr>
        <w:spacing w:after="0"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1:81 – 2:60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3:41 – 4:20 High proficiency</w:t>
      </w:r>
    </w:p>
    <w:p w14:paraId="67A1E866" w14:textId="77777777" w:rsidR="0086521E" w:rsidRPr="00F50AF3" w:rsidRDefault="0086521E" w:rsidP="00F50AF3">
      <w:pPr>
        <w:spacing w:after="0" w:line="240" w:lineRule="auto"/>
        <w:rPr>
          <w:rFonts w:ascii="Times New Roman" w:eastAsia="Times New Roman" w:hAnsi="Times New Roman" w:cs="Times New Roman"/>
          <w:color w:val="000000"/>
          <w:sz w:val="24"/>
          <w:szCs w:val="24"/>
          <w:lang w:eastAsia="en-PH"/>
        </w:rPr>
      </w:pPr>
    </w:p>
    <w:p w14:paraId="495D87D1" w14:textId="20D00D82" w:rsidR="0086521E" w:rsidRPr="00F50AF3" w:rsidRDefault="00934280" w:rsidP="00F50AF3">
      <w:pPr>
        <w:pStyle w:val="NormalWeb"/>
        <w:spacing w:before="0" w:beforeAutospacing="0" w:after="0" w:afterAutospacing="0"/>
      </w:pPr>
      <w:r>
        <w:rPr>
          <w:b/>
          <w:bCs/>
          <w:color w:val="000000"/>
        </w:rPr>
        <w:br/>
      </w:r>
      <w:r w:rsidR="0086521E" w:rsidRPr="00F50AF3">
        <w:rPr>
          <w:b/>
          <w:bCs/>
          <w:color w:val="000000"/>
        </w:rPr>
        <w:t>Volunteer Mobilization</w:t>
      </w:r>
    </w:p>
    <w:p w14:paraId="650B3C2E" w14:textId="48AC9B56" w:rsidR="00BD054C" w:rsidRPr="00934280" w:rsidRDefault="0086521E" w:rsidP="00934280">
      <w:pPr>
        <w:pStyle w:val="NormalWeb"/>
        <w:spacing w:before="240" w:beforeAutospacing="0" w:after="240" w:afterAutospacing="0"/>
        <w:ind w:firstLine="720"/>
        <w:jc w:val="both"/>
        <w:rPr>
          <w:color w:val="000000"/>
        </w:rPr>
      </w:pPr>
      <w:r w:rsidRPr="00F50AF3">
        <w:rPr>
          <w:color w:val="000000"/>
        </w:rPr>
        <w:t xml:space="preserve">Table 11 shows the volunteer mobilization items, which yielded mean scores ranging from 2.3004 to 2.3901. The overall mean of the volunteer mobilization score (M=2.3426) falls under the "Low Proficiency" level together with the other items. This data offers specific insights into the perceived levels of volunteerism and morale, which are crucial indicators of organizational or community health. This result agrees to the study of Cadano (2024), which states that youth have low community engagement or participation in this type of civic activity due to common reasons such as lack of interest, lack of confidence, poor communication, lack of time because of personal responsibilities like </w:t>
      </w:r>
      <w:r w:rsidR="00D710F9" w:rsidRPr="00F50AF3">
        <w:rPr>
          <w:color w:val="000000"/>
        </w:rPr>
        <w:t>schoolworks</w:t>
      </w:r>
      <w:r w:rsidRPr="00F50AF3">
        <w:rPr>
          <w:color w:val="000000"/>
        </w:rPr>
        <w:t>, and financial constraints or the unavailability of resources.</w:t>
      </w:r>
    </w:p>
    <w:tbl>
      <w:tblPr>
        <w:tblW w:w="0" w:type="auto"/>
        <w:tblCellMar>
          <w:top w:w="15" w:type="dxa"/>
          <w:left w:w="15" w:type="dxa"/>
          <w:bottom w:w="15" w:type="dxa"/>
          <w:right w:w="15" w:type="dxa"/>
        </w:tblCellMar>
        <w:tblLook w:val="04A0" w:firstRow="1" w:lastRow="0" w:firstColumn="1" w:lastColumn="0" w:noHBand="0" w:noVBand="1"/>
      </w:tblPr>
      <w:tblGrid>
        <w:gridCol w:w="5699"/>
        <w:gridCol w:w="206"/>
        <w:gridCol w:w="560"/>
        <w:gridCol w:w="206"/>
        <w:gridCol w:w="980"/>
        <w:gridCol w:w="206"/>
        <w:gridCol w:w="2207"/>
      </w:tblGrid>
      <w:tr w:rsidR="0086521E" w:rsidRPr="00F50AF3" w14:paraId="10532858" w14:textId="77777777" w:rsidTr="0086521E">
        <w:trPr>
          <w:trHeight w:val="440"/>
          <w:tblHeader/>
        </w:trPr>
        <w:tc>
          <w:tcPr>
            <w:tcW w:w="0" w:type="auto"/>
            <w:gridSpan w:val="7"/>
            <w:tcBorders>
              <w:bottom w:val="single" w:sz="6" w:space="0" w:color="000000"/>
            </w:tcBorders>
            <w:tcMar>
              <w:top w:w="100" w:type="dxa"/>
              <w:left w:w="100" w:type="dxa"/>
              <w:bottom w:w="100" w:type="dxa"/>
              <w:right w:w="100" w:type="dxa"/>
            </w:tcMar>
            <w:vAlign w:val="center"/>
            <w:hideMark/>
          </w:tcPr>
          <w:p w14:paraId="681F3578" w14:textId="209DE948" w:rsidR="0086521E" w:rsidRPr="00F50AF3" w:rsidRDefault="0086521E" w:rsidP="00F50AF3">
            <w:pPr>
              <w:spacing w:after="0" w:line="240" w:lineRule="auto"/>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i/>
                <w:iCs/>
                <w:color w:val="000000"/>
                <w:sz w:val="24"/>
                <w:szCs w:val="24"/>
                <w:lang w:eastAsia="en-PH"/>
              </w:rPr>
              <w:t>Table 11 . Mean Scores of Volunteer Mobilization </w:t>
            </w:r>
          </w:p>
        </w:tc>
      </w:tr>
      <w:tr w:rsidR="0086521E" w:rsidRPr="00F50AF3" w14:paraId="04ABB469" w14:textId="77777777" w:rsidTr="0086521E">
        <w:trPr>
          <w:trHeight w:val="107"/>
          <w:tblHeader/>
        </w:trPr>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613F7316" w14:textId="77777777" w:rsidR="0086521E" w:rsidRPr="00F50AF3" w:rsidRDefault="0086521E"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b/>
                <w:bCs/>
                <w:color w:val="000000"/>
                <w:sz w:val="24"/>
                <w:szCs w:val="24"/>
                <w:lang w:eastAsia="en-PH"/>
              </w:rPr>
              <w:t>Volunteer Mobilization  </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5A2EF8E5" w14:textId="77777777" w:rsidR="0086521E" w:rsidRPr="00F50AF3" w:rsidRDefault="0086521E"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N</w:t>
            </w:r>
          </w:p>
        </w:tc>
        <w:tc>
          <w:tcPr>
            <w:tcW w:w="0" w:type="auto"/>
            <w:gridSpan w:val="2"/>
            <w:tcBorders>
              <w:top w:val="single" w:sz="6" w:space="0" w:color="000000"/>
              <w:bottom w:val="single" w:sz="6" w:space="0" w:color="000000"/>
            </w:tcBorders>
            <w:tcMar>
              <w:top w:w="100" w:type="dxa"/>
              <w:left w:w="100" w:type="dxa"/>
              <w:bottom w:w="100" w:type="dxa"/>
              <w:right w:w="100" w:type="dxa"/>
            </w:tcMar>
            <w:vAlign w:val="center"/>
            <w:hideMark/>
          </w:tcPr>
          <w:p w14:paraId="570F443A" w14:textId="77777777" w:rsidR="0086521E" w:rsidRPr="00F50AF3" w:rsidRDefault="0086521E"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Mean</w:t>
            </w:r>
          </w:p>
        </w:tc>
        <w:tc>
          <w:tcPr>
            <w:tcW w:w="0" w:type="auto"/>
            <w:tcBorders>
              <w:top w:val="single" w:sz="6" w:space="0" w:color="000000"/>
              <w:bottom w:val="single" w:sz="6" w:space="0" w:color="000000"/>
            </w:tcBorders>
            <w:tcMar>
              <w:top w:w="100" w:type="dxa"/>
              <w:left w:w="100" w:type="dxa"/>
              <w:bottom w:w="100" w:type="dxa"/>
              <w:right w:w="100" w:type="dxa"/>
            </w:tcMar>
            <w:hideMark/>
          </w:tcPr>
          <w:p w14:paraId="7FB95981" w14:textId="77777777" w:rsidR="0086521E" w:rsidRPr="00F50AF3" w:rsidRDefault="0086521E" w:rsidP="00F50AF3">
            <w:pPr>
              <w:spacing w:after="0" w:line="240" w:lineRule="auto"/>
              <w:jc w:val="center"/>
              <w:rPr>
                <w:rFonts w:ascii="Times New Roman" w:eastAsia="Times New Roman" w:hAnsi="Times New Roman" w:cs="Times New Roman"/>
                <w:b/>
                <w:bCs/>
                <w:sz w:val="24"/>
                <w:szCs w:val="24"/>
                <w:lang w:eastAsia="en-PH"/>
              </w:rPr>
            </w:pPr>
            <w:r w:rsidRPr="00F50AF3">
              <w:rPr>
                <w:rFonts w:ascii="Times New Roman" w:eastAsia="Times New Roman" w:hAnsi="Times New Roman" w:cs="Times New Roman"/>
                <w:color w:val="000000"/>
                <w:sz w:val="24"/>
                <w:szCs w:val="24"/>
                <w:lang w:eastAsia="en-PH"/>
              </w:rPr>
              <w:t>Descriptive Analysis</w:t>
            </w:r>
          </w:p>
        </w:tc>
      </w:tr>
      <w:tr w:rsidR="0086521E" w:rsidRPr="00F50AF3" w14:paraId="3FD20808" w14:textId="77777777" w:rsidTr="0086521E">
        <w:trPr>
          <w:trHeight w:val="310"/>
        </w:trPr>
        <w:tc>
          <w:tcPr>
            <w:tcW w:w="0" w:type="auto"/>
            <w:tcBorders>
              <w:top w:val="single" w:sz="6" w:space="0" w:color="000000"/>
            </w:tcBorders>
            <w:tcMar>
              <w:top w:w="100" w:type="dxa"/>
              <w:left w:w="100" w:type="dxa"/>
              <w:bottom w:w="100" w:type="dxa"/>
              <w:right w:w="100" w:type="dxa"/>
            </w:tcMar>
            <w:vAlign w:val="center"/>
            <w:hideMark/>
          </w:tcPr>
          <w:p w14:paraId="4A34CE13"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Third Sector Partnerships </w:t>
            </w:r>
          </w:p>
        </w:tc>
        <w:tc>
          <w:tcPr>
            <w:tcW w:w="0" w:type="auto"/>
            <w:tcBorders>
              <w:top w:val="single" w:sz="6" w:space="0" w:color="000000"/>
            </w:tcBorders>
            <w:tcMar>
              <w:top w:w="100" w:type="dxa"/>
              <w:left w:w="100" w:type="dxa"/>
              <w:bottom w:w="100" w:type="dxa"/>
              <w:right w:w="100" w:type="dxa"/>
            </w:tcMar>
            <w:vAlign w:val="center"/>
            <w:hideMark/>
          </w:tcPr>
          <w:p w14:paraId="66D29600"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37D17BCE"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Borders>
              <w:top w:val="single" w:sz="6" w:space="0" w:color="000000"/>
            </w:tcBorders>
            <w:tcMar>
              <w:top w:w="100" w:type="dxa"/>
              <w:left w:w="100" w:type="dxa"/>
              <w:bottom w:w="100" w:type="dxa"/>
              <w:right w:w="100" w:type="dxa"/>
            </w:tcMar>
            <w:vAlign w:val="center"/>
            <w:hideMark/>
          </w:tcPr>
          <w:p w14:paraId="7A8766B3"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vAlign w:val="center"/>
            <w:hideMark/>
          </w:tcPr>
          <w:p w14:paraId="377BCB34"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2.3498</w:t>
            </w:r>
          </w:p>
        </w:tc>
        <w:tc>
          <w:tcPr>
            <w:tcW w:w="0" w:type="auto"/>
            <w:tcBorders>
              <w:top w:val="single" w:sz="6" w:space="0" w:color="000000"/>
            </w:tcBorders>
            <w:tcMar>
              <w:top w:w="100" w:type="dxa"/>
              <w:left w:w="100" w:type="dxa"/>
              <w:bottom w:w="100" w:type="dxa"/>
              <w:right w:w="100" w:type="dxa"/>
            </w:tcMar>
            <w:vAlign w:val="center"/>
            <w:hideMark/>
          </w:tcPr>
          <w:p w14:paraId="232F4C34"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000000"/>
            </w:tcBorders>
            <w:tcMar>
              <w:top w:w="100" w:type="dxa"/>
              <w:left w:w="100" w:type="dxa"/>
              <w:bottom w:w="100" w:type="dxa"/>
              <w:right w:w="100" w:type="dxa"/>
            </w:tcMar>
            <w:hideMark/>
          </w:tcPr>
          <w:p w14:paraId="688B3736"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86521E" w:rsidRPr="00F50AF3" w14:paraId="4C77348E" w14:textId="77777777" w:rsidTr="0086521E">
        <w:trPr>
          <w:trHeight w:val="107"/>
        </w:trPr>
        <w:tc>
          <w:tcPr>
            <w:tcW w:w="0" w:type="auto"/>
            <w:tcMar>
              <w:top w:w="100" w:type="dxa"/>
              <w:left w:w="100" w:type="dxa"/>
              <w:bottom w:w="100" w:type="dxa"/>
              <w:right w:w="100" w:type="dxa"/>
            </w:tcMar>
            <w:vAlign w:val="center"/>
            <w:hideMark/>
          </w:tcPr>
          <w:p w14:paraId="778AE695"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Strategic Planning for NGOs</w:t>
            </w:r>
          </w:p>
        </w:tc>
        <w:tc>
          <w:tcPr>
            <w:tcW w:w="0" w:type="auto"/>
            <w:tcMar>
              <w:top w:w="100" w:type="dxa"/>
              <w:left w:w="100" w:type="dxa"/>
              <w:bottom w:w="100" w:type="dxa"/>
              <w:right w:w="100" w:type="dxa"/>
            </w:tcMar>
            <w:vAlign w:val="center"/>
            <w:hideMark/>
          </w:tcPr>
          <w:p w14:paraId="26BCCD81"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4248C94"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7931E4E0"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A2660C9"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2.3901</w:t>
            </w:r>
          </w:p>
        </w:tc>
        <w:tc>
          <w:tcPr>
            <w:tcW w:w="0" w:type="auto"/>
            <w:tcMar>
              <w:top w:w="100" w:type="dxa"/>
              <w:left w:w="100" w:type="dxa"/>
              <w:bottom w:w="100" w:type="dxa"/>
              <w:right w:w="100" w:type="dxa"/>
            </w:tcMar>
            <w:vAlign w:val="center"/>
            <w:hideMark/>
          </w:tcPr>
          <w:p w14:paraId="7D5BB8C9"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2CCF8F2"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86521E" w:rsidRPr="00F50AF3" w14:paraId="23A90E0A" w14:textId="77777777" w:rsidTr="0086521E">
        <w:trPr>
          <w:trHeight w:val="107"/>
        </w:trPr>
        <w:tc>
          <w:tcPr>
            <w:tcW w:w="0" w:type="auto"/>
            <w:tcMar>
              <w:top w:w="100" w:type="dxa"/>
              <w:left w:w="100" w:type="dxa"/>
              <w:bottom w:w="100" w:type="dxa"/>
              <w:right w:w="100" w:type="dxa"/>
            </w:tcMar>
            <w:vAlign w:val="center"/>
            <w:hideMark/>
          </w:tcPr>
          <w:p w14:paraId="142800DB"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Voluntary Sector Management</w:t>
            </w:r>
          </w:p>
        </w:tc>
        <w:tc>
          <w:tcPr>
            <w:tcW w:w="0" w:type="auto"/>
            <w:tcMar>
              <w:top w:w="100" w:type="dxa"/>
              <w:left w:w="100" w:type="dxa"/>
              <w:bottom w:w="100" w:type="dxa"/>
              <w:right w:w="100" w:type="dxa"/>
            </w:tcMar>
            <w:vAlign w:val="center"/>
            <w:hideMark/>
          </w:tcPr>
          <w:p w14:paraId="5DB5A028"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BCE0D21"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4ADA625C"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6FC462E"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2.3363</w:t>
            </w:r>
          </w:p>
        </w:tc>
        <w:tc>
          <w:tcPr>
            <w:tcW w:w="0" w:type="auto"/>
            <w:tcMar>
              <w:top w:w="100" w:type="dxa"/>
              <w:left w:w="100" w:type="dxa"/>
              <w:bottom w:w="100" w:type="dxa"/>
              <w:right w:w="100" w:type="dxa"/>
            </w:tcMar>
            <w:vAlign w:val="center"/>
            <w:hideMark/>
          </w:tcPr>
          <w:p w14:paraId="071D15A0"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1D35679"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86521E" w:rsidRPr="00F50AF3" w14:paraId="7CB7139C" w14:textId="77777777" w:rsidTr="0086521E">
        <w:trPr>
          <w:trHeight w:val="107"/>
        </w:trPr>
        <w:tc>
          <w:tcPr>
            <w:tcW w:w="0" w:type="auto"/>
            <w:tcMar>
              <w:top w:w="100" w:type="dxa"/>
              <w:left w:w="100" w:type="dxa"/>
              <w:bottom w:w="100" w:type="dxa"/>
              <w:right w:w="100" w:type="dxa"/>
            </w:tcMar>
            <w:vAlign w:val="center"/>
            <w:hideMark/>
          </w:tcPr>
          <w:p w14:paraId="278C6450"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Global Standards for Volunteering</w:t>
            </w:r>
          </w:p>
        </w:tc>
        <w:tc>
          <w:tcPr>
            <w:tcW w:w="0" w:type="auto"/>
            <w:tcMar>
              <w:top w:w="100" w:type="dxa"/>
              <w:left w:w="100" w:type="dxa"/>
              <w:bottom w:w="100" w:type="dxa"/>
              <w:right w:w="100" w:type="dxa"/>
            </w:tcMar>
            <w:vAlign w:val="center"/>
            <w:hideMark/>
          </w:tcPr>
          <w:p w14:paraId="4FF110E7"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E223E77"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32C33F30"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075BD3E8"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2.3363</w:t>
            </w:r>
          </w:p>
        </w:tc>
        <w:tc>
          <w:tcPr>
            <w:tcW w:w="0" w:type="auto"/>
            <w:tcMar>
              <w:top w:w="100" w:type="dxa"/>
              <w:left w:w="100" w:type="dxa"/>
              <w:bottom w:w="100" w:type="dxa"/>
              <w:right w:w="100" w:type="dxa"/>
            </w:tcMar>
            <w:vAlign w:val="center"/>
            <w:hideMark/>
          </w:tcPr>
          <w:p w14:paraId="68DD18FC"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0514741C"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r w:rsidR="0086521E" w:rsidRPr="00F50AF3" w14:paraId="655A0916" w14:textId="77777777" w:rsidTr="0086521E">
        <w:trPr>
          <w:trHeight w:val="107"/>
        </w:trPr>
        <w:tc>
          <w:tcPr>
            <w:tcW w:w="0" w:type="auto"/>
            <w:tcMar>
              <w:top w:w="100" w:type="dxa"/>
              <w:left w:w="100" w:type="dxa"/>
              <w:bottom w:w="100" w:type="dxa"/>
              <w:right w:w="100" w:type="dxa"/>
            </w:tcMar>
            <w:vAlign w:val="center"/>
            <w:hideMark/>
          </w:tcPr>
          <w:p w14:paraId="167845C7"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Legal Basis of Voluntary Sector Management (RA 9418)</w:t>
            </w:r>
          </w:p>
        </w:tc>
        <w:tc>
          <w:tcPr>
            <w:tcW w:w="0" w:type="auto"/>
            <w:tcMar>
              <w:top w:w="100" w:type="dxa"/>
              <w:left w:w="100" w:type="dxa"/>
              <w:bottom w:w="100" w:type="dxa"/>
              <w:right w:w="100" w:type="dxa"/>
            </w:tcMar>
            <w:vAlign w:val="center"/>
            <w:hideMark/>
          </w:tcPr>
          <w:p w14:paraId="1F19B1BF"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7C4A6AF"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0E3B4731"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1326DE72"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2.3004 </w:t>
            </w:r>
          </w:p>
        </w:tc>
        <w:tc>
          <w:tcPr>
            <w:tcW w:w="0" w:type="auto"/>
            <w:tcMar>
              <w:top w:w="100" w:type="dxa"/>
              <w:left w:w="100" w:type="dxa"/>
              <w:bottom w:w="100" w:type="dxa"/>
              <w:right w:w="100" w:type="dxa"/>
            </w:tcMar>
            <w:vAlign w:val="center"/>
            <w:hideMark/>
          </w:tcPr>
          <w:p w14:paraId="5530855E"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1794BB4"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Low Proficiency </w:t>
            </w:r>
          </w:p>
        </w:tc>
      </w:tr>
      <w:tr w:rsidR="0086521E" w:rsidRPr="00F50AF3" w14:paraId="0A4F8033" w14:textId="77777777" w:rsidTr="0086521E">
        <w:trPr>
          <w:trHeight w:val="107"/>
        </w:trPr>
        <w:tc>
          <w:tcPr>
            <w:tcW w:w="0" w:type="auto"/>
            <w:tcMar>
              <w:top w:w="100" w:type="dxa"/>
              <w:left w:w="100" w:type="dxa"/>
              <w:bottom w:w="100" w:type="dxa"/>
              <w:right w:w="100" w:type="dxa"/>
            </w:tcMar>
            <w:vAlign w:val="center"/>
            <w:hideMark/>
          </w:tcPr>
          <w:p w14:paraId="4A1B82E2"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b/>
                <w:bCs/>
                <w:color w:val="000000"/>
                <w:sz w:val="24"/>
                <w:szCs w:val="24"/>
                <w:lang w:eastAsia="en-PH"/>
              </w:rPr>
              <w:t>Overall Mean </w:t>
            </w:r>
          </w:p>
        </w:tc>
        <w:tc>
          <w:tcPr>
            <w:tcW w:w="0" w:type="auto"/>
            <w:tcMar>
              <w:top w:w="100" w:type="dxa"/>
              <w:left w:w="100" w:type="dxa"/>
              <w:bottom w:w="100" w:type="dxa"/>
              <w:right w:w="100" w:type="dxa"/>
            </w:tcMar>
            <w:vAlign w:val="center"/>
            <w:hideMark/>
          </w:tcPr>
          <w:p w14:paraId="1C78F58A"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67707603"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223</w:t>
            </w:r>
          </w:p>
        </w:tc>
        <w:tc>
          <w:tcPr>
            <w:tcW w:w="0" w:type="auto"/>
            <w:tcMar>
              <w:top w:w="100" w:type="dxa"/>
              <w:left w:w="100" w:type="dxa"/>
              <w:bottom w:w="100" w:type="dxa"/>
              <w:right w:w="100" w:type="dxa"/>
            </w:tcMar>
            <w:vAlign w:val="center"/>
            <w:hideMark/>
          </w:tcPr>
          <w:p w14:paraId="606C4AD9"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vAlign w:val="center"/>
            <w:hideMark/>
          </w:tcPr>
          <w:p w14:paraId="3580470A" w14:textId="77777777" w:rsidR="0086521E" w:rsidRPr="00F50AF3" w:rsidRDefault="0086521E" w:rsidP="00F50AF3">
            <w:pPr>
              <w:spacing w:after="0" w:line="240" w:lineRule="auto"/>
              <w:ind w:right="60"/>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2.3426</w:t>
            </w:r>
          </w:p>
        </w:tc>
        <w:tc>
          <w:tcPr>
            <w:tcW w:w="0" w:type="auto"/>
            <w:tcMar>
              <w:top w:w="100" w:type="dxa"/>
              <w:left w:w="100" w:type="dxa"/>
              <w:bottom w:w="100" w:type="dxa"/>
              <w:right w:w="100" w:type="dxa"/>
            </w:tcMar>
            <w:vAlign w:val="center"/>
            <w:hideMark/>
          </w:tcPr>
          <w:p w14:paraId="15322D2B"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tc>
        <w:tc>
          <w:tcPr>
            <w:tcW w:w="0" w:type="auto"/>
            <w:tcMar>
              <w:top w:w="100" w:type="dxa"/>
              <w:left w:w="100" w:type="dxa"/>
              <w:bottom w:w="100" w:type="dxa"/>
              <w:right w:w="100" w:type="dxa"/>
            </w:tcMar>
            <w:hideMark/>
          </w:tcPr>
          <w:p w14:paraId="40FB78A1"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 xml:space="preserve"> Low proficiency</w:t>
            </w:r>
          </w:p>
        </w:tc>
      </w:tr>
    </w:tbl>
    <w:p w14:paraId="26F5D17C"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_________________________________________________________________</w:t>
      </w:r>
    </w:p>
    <w:p w14:paraId="3F725B49"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eastAsia="Times New Roman" w:hAnsi="Times New Roman" w:cs="Times New Roman"/>
          <w:color w:val="000000"/>
          <w:sz w:val="24"/>
          <w:szCs w:val="24"/>
          <w:lang w:eastAsia="en-PH"/>
        </w:rPr>
        <w:t>Legend:</w:t>
      </w:r>
    </w:p>
    <w:p w14:paraId="68A2F0D7" w14:textId="77777777" w:rsidR="00934280" w:rsidRDefault="0086521E" w:rsidP="00F50AF3">
      <w:pPr>
        <w:spacing w:after="0" w:line="240" w:lineRule="auto"/>
        <w:rPr>
          <w:rFonts w:ascii="Times New Roman" w:eastAsia="Times New Roman" w:hAnsi="Times New Roman" w:cs="Times New Roman"/>
          <w:color w:val="000000"/>
          <w:sz w:val="24"/>
          <w:szCs w:val="24"/>
          <w:lang w:eastAsia="en-PH"/>
        </w:rPr>
      </w:pPr>
      <w:r w:rsidRPr="00F50AF3">
        <w:rPr>
          <w:rFonts w:ascii="Times New Roman" w:eastAsia="Times New Roman" w:hAnsi="Times New Roman" w:cs="Times New Roman"/>
          <w:color w:val="000000"/>
          <w:sz w:val="24"/>
          <w:szCs w:val="24"/>
          <w:lang w:eastAsia="en-PH"/>
        </w:rPr>
        <w:t>1:00 – 1:80 Very low proficiency</w:t>
      </w:r>
      <w:r w:rsidRPr="00F50AF3">
        <w:rPr>
          <w:rFonts w:ascii="Times New Roman" w:eastAsia="Times New Roman" w:hAnsi="Times New Roman" w:cs="Times New Roman"/>
          <w:color w:val="000000"/>
          <w:sz w:val="24"/>
          <w:szCs w:val="24"/>
          <w:lang w:eastAsia="en-PH"/>
        </w:rPr>
        <w:tab/>
      </w:r>
      <w:r w:rsidRPr="00F50AF3">
        <w:rPr>
          <w:rFonts w:ascii="Times New Roman" w:eastAsia="Times New Roman" w:hAnsi="Times New Roman" w:cs="Times New Roman"/>
          <w:color w:val="000000"/>
          <w:sz w:val="24"/>
          <w:szCs w:val="24"/>
          <w:lang w:eastAsia="en-PH"/>
        </w:rPr>
        <w:tab/>
        <w:t>2:61 – 3:40 Proficient</w:t>
      </w:r>
      <w:r w:rsidRPr="00F50AF3">
        <w:rPr>
          <w:rFonts w:ascii="Times New Roman" w:eastAsia="Times New Roman" w:hAnsi="Times New Roman" w:cs="Times New Roman"/>
          <w:color w:val="000000"/>
          <w:sz w:val="24"/>
          <w:szCs w:val="24"/>
          <w:lang w:eastAsia="en-PH"/>
        </w:rPr>
        <w:tab/>
        <w:t xml:space="preserve">       4:21 – 5:00 Very high proficiency </w:t>
      </w:r>
    </w:p>
    <w:p w14:paraId="2124E62C" w14:textId="33A6D3DD" w:rsidR="0086521E" w:rsidRPr="00F50AF3" w:rsidRDefault="0086521E" w:rsidP="00F50AF3">
      <w:pPr>
        <w:spacing w:after="0" w:line="240" w:lineRule="auto"/>
        <w:rPr>
          <w:rFonts w:ascii="Times New Roman" w:eastAsia="Times New Roman" w:hAnsi="Times New Roman" w:cs="Times New Roman"/>
          <w:sz w:val="24"/>
          <w:szCs w:val="24"/>
          <w:lang w:eastAsia="en-PH"/>
        </w:rPr>
      </w:pPr>
      <w:r w:rsidRPr="00F50AF3">
        <w:rPr>
          <w:rFonts w:ascii="Times New Roman" w:hAnsi="Times New Roman" w:cs="Times New Roman"/>
          <w:color w:val="000000"/>
          <w:sz w:val="24"/>
          <w:szCs w:val="24"/>
        </w:rPr>
        <w:t>1:81 – 2:60 Low proficiency</w:t>
      </w:r>
      <w:r w:rsidRPr="00F50AF3">
        <w:rPr>
          <w:rFonts w:ascii="Times New Roman" w:hAnsi="Times New Roman" w:cs="Times New Roman"/>
          <w:color w:val="000000"/>
          <w:sz w:val="24"/>
          <w:szCs w:val="24"/>
        </w:rPr>
        <w:tab/>
      </w:r>
      <w:r w:rsidRPr="00F50AF3">
        <w:rPr>
          <w:rFonts w:ascii="Times New Roman" w:hAnsi="Times New Roman" w:cs="Times New Roman"/>
          <w:color w:val="000000"/>
          <w:sz w:val="24"/>
          <w:szCs w:val="24"/>
        </w:rPr>
        <w:tab/>
      </w:r>
      <w:r w:rsidR="00934280">
        <w:rPr>
          <w:rFonts w:ascii="Times New Roman" w:hAnsi="Times New Roman" w:cs="Times New Roman"/>
          <w:color w:val="000000"/>
          <w:sz w:val="24"/>
          <w:szCs w:val="24"/>
        </w:rPr>
        <w:tab/>
      </w:r>
      <w:r w:rsidRPr="00F50AF3">
        <w:rPr>
          <w:rFonts w:ascii="Times New Roman" w:hAnsi="Times New Roman" w:cs="Times New Roman"/>
          <w:color w:val="000000"/>
          <w:sz w:val="24"/>
          <w:szCs w:val="24"/>
        </w:rPr>
        <w:t>3:41 – 4:20 High proficiency</w:t>
      </w:r>
    </w:p>
    <w:p w14:paraId="1F9EF9FB" w14:textId="77777777" w:rsidR="0086521E" w:rsidRPr="00F50AF3" w:rsidRDefault="0086521E" w:rsidP="00F50AF3">
      <w:pPr>
        <w:spacing w:after="0" w:line="240" w:lineRule="auto"/>
        <w:rPr>
          <w:rFonts w:ascii="Times New Roman" w:eastAsia="Times New Roman" w:hAnsi="Times New Roman" w:cs="Times New Roman"/>
          <w:sz w:val="24"/>
          <w:szCs w:val="24"/>
          <w:lang w:eastAsia="en-PH"/>
        </w:rPr>
      </w:pPr>
    </w:p>
    <w:p w14:paraId="30E8DD6A" w14:textId="77777777" w:rsidR="0086521E" w:rsidRPr="00F50AF3" w:rsidRDefault="0086521E" w:rsidP="00F50AF3">
      <w:pPr>
        <w:pStyle w:val="NormalWeb"/>
        <w:spacing w:before="0" w:beforeAutospacing="0" w:after="0" w:afterAutospacing="0"/>
        <w:ind w:firstLine="720"/>
        <w:jc w:val="both"/>
        <w:rPr>
          <w:color w:val="000000"/>
        </w:rPr>
      </w:pPr>
      <w:r w:rsidRPr="00F50AF3">
        <w:rPr>
          <w:color w:val="000000"/>
        </w:rPr>
        <w:t>This findings shows that Sangguniang Kabataan (SK) officials in Davao del Norte have low proficiency in all key training areas: common skills (mean = 2.3412), project development (mean = 2.3056), and volunteer mobilization (mean = 2.3426), with an overall mean of 2.3298. These scores, which fall within the "low proficiency" range, mirror the findings for the independent variables—core competency, technical, leadership competency, and functional expertise—which also registered low proficiency. This parallel outcome indicates a direct correlation; the lack of foundational competencies among SK officials is reflected in their limited abilities to perform essential training-related tasks. The deficiencies in core, technical, leadership, and functional skills are contributing to SK officials' struggles in practical areas such as project management and volunteer mobilization (Naval, Donato, Salinas, &amp; Liwan, 2023). </w:t>
      </w:r>
    </w:p>
    <w:p w14:paraId="7082ED11" w14:textId="77777777" w:rsidR="0086521E" w:rsidRPr="00F50AF3" w:rsidRDefault="0086521E" w:rsidP="00F50AF3">
      <w:pPr>
        <w:pStyle w:val="NormalWeb"/>
        <w:spacing w:before="0" w:beforeAutospacing="0" w:after="0" w:afterAutospacing="0"/>
        <w:ind w:firstLine="720"/>
        <w:jc w:val="both"/>
      </w:pPr>
    </w:p>
    <w:p w14:paraId="69CDA2E7" w14:textId="77777777" w:rsidR="0086521E" w:rsidRPr="00F50AF3" w:rsidRDefault="0086521E" w:rsidP="00F50AF3">
      <w:pPr>
        <w:pStyle w:val="NormalWeb"/>
        <w:spacing w:before="0" w:beforeAutospacing="0" w:after="0" w:afterAutospacing="0"/>
        <w:ind w:firstLine="720"/>
        <w:jc w:val="both"/>
        <w:rPr>
          <w:color w:val="000000"/>
        </w:rPr>
      </w:pPr>
      <w:r w:rsidRPr="00F50AF3">
        <w:rPr>
          <w:color w:val="000000"/>
        </w:rPr>
        <w:lastRenderedPageBreak/>
        <w:t>The findings demonstrate that there is an urgent need to engage in full-scale and tailored training for Sangguniang Kabataan (SK) officials. Unless the core areas, including common skills, project development, and volunteer mobilization, are reinforced, SK officials might not be able to fulfill their duties in youth leadership and community development. In a study of Lato and Dela Pea (2019), it was highlighted that low proficiency in technical and functional skills of SK officials in Liloan, Cebu, directly affects their effectiveness in practical governance activities, project development, and the mobilization of volunteers. The researchers pointed out that in order to enhance SK performance and effectiveness, these competency gaps must be addressed. Thus, the integrality of training interventions that address the needs of basic and advanced skills is very important to empower SK officials.</w:t>
      </w:r>
    </w:p>
    <w:p w14:paraId="10EF7055" w14:textId="77777777" w:rsidR="0086521E" w:rsidRPr="00F50AF3" w:rsidRDefault="0086521E" w:rsidP="00F50AF3">
      <w:pPr>
        <w:pStyle w:val="NormalWeb"/>
        <w:spacing w:before="0" w:beforeAutospacing="0" w:after="0" w:afterAutospacing="0"/>
        <w:ind w:firstLine="720"/>
        <w:jc w:val="both"/>
        <w:rPr>
          <w:color w:val="000000"/>
        </w:rPr>
      </w:pPr>
    </w:p>
    <w:p w14:paraId="5B0EBB95" w14:textId="33A169A7" w:rsidR="0086521E" w:rsidRPr="00335F0B" w:rsidRDefault="0086521E" w:rsidP="00335F0B">
      <w:pPr>
        <w:pStyle w:val="Heading6"/>
        <w:rPr>
          <w:rFonts w:eastAsia="Times New Roman"/>
          <w:lang w:eastAsia="en-PH"/>
        </w:rPr>
      </w:pPr>
      <w:r w:rsidRPr="00335F0B">
        <w:t>Proposed Training Plan</w:t>
      </w:r>
    </w:p>
    <w:p w14:paraId="5F3F371E" w14:textId="77777777" w:rsidR="0086521E" w:rsidRPr="00F50AF3" w:rsidRDefault="0086521E" w:rsidP="00F50AF3">
      <w:pPr>
        <w:pStyle w:val="Heading2"/>
        <w:spacing w:after="120" w:line="240" w:lineRule="auto"/>
        <w:jc w:val="both"/>
        <w:rPr>
          <w:rFonts w:ascii="Times New Roman" w:hAnsi="Times New Roman" w:cs="Times New Roman"/>
          <w:sz w:val="24"/>
          <w:szCs w:val="24"/>
        </w:rPr>
      </w:pPr>
      <w:r w:rsidRPr="00F50AF3">
        <w:rPr>
          <w:rFonts w:ascii="Times New Roman" w:hAnsi="Times New Roman" w:cs="Times New Roman"/>
          <w:color w:val="000000"/>
          <w:sz w:val="24"/>
          <w:szCs w:val="24"/>
        </w:rPr>
        <w:t>Executive Summary</w:t>
      </w:r>
    </w:p>
    <w:p w14:paraId="17325AA2" w14:textId="77777777" w:rsidR="0086521E" w:rsidRPr="00F50AF3" w:rsidRDefault="0086521E" w:rsidP="00F50AF3">
      <w:pPr>
        <w:pStyle w:val="NormalWeb"/>
        <w:spacing w:before="240" w:beforeAutospacing="0" w:after="240" w:afterAutospacing="0"/>
        <w:ind w:firstLine="720"/>
        <w:jc w:val="both"/>
        <w:rPr>
          <w:color w:val="000000"/>
        </w:rPr>
      </w:pPr>
      <w:r w:rsidRPr="00F50AF3">
        <w:rPr>
          <w:color w:val="000000"/>
        </w:rPr>
        <w:t>Training is a fundamental instrument in developing a work efficiency culture; hence, an organization must provide development programs and construct training that addresses the efficiency gap of its workers (Ibrahim et al, 2017). According to Flores III, Mendoza, Yap, &amp; Valencia (2021), while training has been undertaken for SK Chairs at various levels and with various modules prior to their assumption, the absence of standard modules and the deployment of the right resource persons led to varying degrees of effectiveness according to several SK informants. This finding calls for a training plan intended to address issues faced by Sangguniang Kabataan (SK) officials in the country. Moreover, the study revealed that several SK officials shared difficulties navigating through administrative and government processes without proper training and manuals.  As a result, an extensive five to ten (5–10) year capacity-building and youth development program intended for Sangguniang Kabataan (SK) officials in the province of Davao del Norte is outlined in this report along with a strategic roadmap. This approach seeks to develop SK officials into exceptionally competent, moral, and flexible youth leaders by building on the fundamental understandings gained from the Training Needs Analysis (TNA).</w:t>
      </w:r>
    </w:p>
    <w:p w14:paraId="01CBBF70" w14:textId="77777777" w:rsidR="0086521E" w:rsidRPr="00F50AF3" w:rsidRDefault="0086521E" w:rsidP="00F50AF3">
      <w:pPr>
        <w:pStyle w:val="NormalWeb"/>
        <w:spacing w:before="240" w:beforeAutospacing="0" w:after="240" w:afterAutospacing="0"/>
        <w:ind w:firstLine="720"/>
        <w:jc w:val="both"/>
        <w:rPr>
          <w:color w:val="000000"/>
        </w:rPr>
      </w:pPr>
      <w:r w:rsidRPr="00F50AF3">
        <w:rPr>
          <w:color w:val="000000"/>
        </w:rPr>
        <w:t xml:space="preserve">The main goal is also to enable these officials to regularly create and implement effective youth development programs, encourage civic engagement, and make a substantial contribution to long-term community advancement that is in line with both provincial and national development objectives. In order to ensure long-term impact and adaptability, the roadmap also highlights a multifaceted approach that includes advanced specialization, policy integration, training institutionalization, and thorough monitoring and evaluation. </w:t>
      </w:r>
    </w:p>
    <w:p w14:paraId="007BE337" w14:textId="77777777" w:rsidR="0086521E" w:rsidRPr="00F50AF3" w:rsidRDefault="0086521E" w:rsidP="00F50AF3">
      <w:pPr>
        <w:pStyle w:val="Heading3"/>
        <w:spacing w:before="280" w:after="80" w:line="240" w:lineRule="auto"/>
        <w:jc w:val="both"/>
        <w:rPr>
          <w:rFonts w:ascii="Times New Roman" w:hAnsi="Times New Roman" w:cs="Times New Roman"/>
          <w:b/>
          <w:i w:val="0"/>
          <w:sz w:val="24"/>
          <w:szCs w:val="24"/>
        </w:rPr>
      </w:pPr>
      <w:r w:rsidRPr="00F50AF3">
        <w:rPr>
          <w:rFonts w:ascii="Times New Roman" w:hAnsi="Times New Roman" w:cs="Times New Roman"/>
          <w:b/>
          <w:i w:val="0"/>
          <w:color w:val="000000"/>
          <w:sz w:val="24"/>
          <w:szCs w:val="24"/>
        </w:rPr>
        <w:t>Alignment with National Youth Development Plan (PYDP) and Regional Development Plans</w:t>
      </w:r>
    </w:p>
    <w:p w14:paraId="2BC858F3" w14:textId="77777777" w:rsidR="0086521E" w:rsidRPr="00F50AF3" w:rsidRDefault="0086521E" w:rsidP="00F50AF3">
      <w:pPr>
        <w:pStyle w:val="NormalWeb"/>
        <w:spacing w:before="240" w:beforeAutospacing="0" w:after="240" w:afterAutospacing="0"/>
        <w:ind w:firstLine="720"/>
        <w:jc w:val="both"/>
        <w:rPr>
          <w:color w:val="000000"/>
        </w:rPr>
      </w:pPr>
      <w:r w:rsidRPr="00F50AF3">
        <w:rPr>
          <w:color w:val="000000"/>
        </w:rPr>
        <w:t xml:space="preserve">The strategic roadmap is firmly anchored in the Philippine Youth Development Plan (PYDP), which serves as the comprehensive national blueprint for youth welfare and empowerment, spearheaded by the National Youth Commission (NYC). Such arrangements ensure national relevance and support. It is explicitly aligned with the Davao Regional Development Plan (DRDP), ensuring that local youth initiatives led by SK contribute directly to broader regional goals of inclusive growth, peace and order, good governance, and sustainable development. Additionally, by aligning the SK capacity-building strategy with established national and regional development plans, the program gains strategic legitimacy, facilitates access to broader resources, and ensures its initiatives are not isolated but integrated into the larger, coordinated development agenda of the Philippines. Moreover, government programs are most effective and sustainable when they are embedded within existing policy and planning frameworks. </w:t>
      </w:r>
    </w:p>
    <w:p w14:paraId="400933F2" w14:textId="77777777" w:rsidR="000B2B0F" w:rsidRPr="00F50AF3" w:rsidRDefault="000B2B0F" w:rsidP="00F50AF3">
      <w:pPr>
        <w:pStyle w:val="NormalWeb"/>
        <w:spacing w:before="240" w:beforeAutospacing="0" w:after="240" w:afterAutospacing="0"/>
        <w:jc w:val="both"/>
      </w:pPr>
      <w:r w:rsidRPr="00F50AF3">
        <w:rPr>
          <w:b/>
          <w:bCs/>
          <w:color w:val="000000"/>
        </w:rPr>
        <w:t>Long-Term Outcomes for Youth Governance and Community Development</w:t>
      </w:r>
    </w:p>
    <w:p w14:paraId="3C1A9129" w14:textId="77777777" w:rsidR="000B2B0F" w:rsidRPr="00F50AF3" w:rsidRDefault="000B2B0F" w:rsidP="00F50AF3">
      <w:pPr>
        <w:pStyle w:val="NormalWeb"/>
        <w:spacing w:before="240" w:beforeAutospacing="0" w:after="240" w:afterAutospacing="0"/>
        <w:jc w:val="both"/>
      </w:pPr>
      <w:r w:rsidRPr="00F50AF3">
        <w:rPr>
          <w:b/>
          <w:bCs/>
          <w:color w:val="000000"/>
        </w:rPr>
        <w:t>Enhanced Strategic Planning and Implementation:</w:t>
      </w:r>
      <w:r w:rsidRPr="00F50AF3">
        <w:rPr>
          <w:color w:val="000000"/>
        </w:rPr>
        <w:t xml:space="preserve"> SK officials will consistently formulate and execute high-quality, evidence-based Comprehensive Barangay Youth Development Plans (CBYDPs) and Annual Barangay Youth Investment Plans (ABYIPs) that effectively address local youth issues, demonstrating a clear understanding of their mandate and planning processes.  </w:t>
      </w:r>
    </w:p>
    <w:p w14:paraId="623FA391" w14:textId="77777777" w:rsidR="000B2B0F" w:rsidRPr="00F50AF3" w:rsidRDefault="000B2B0F" w:rsidP="00F50AF3">
      <w:pPr>
        <w:pStyle w:val="NormalWeb"/>
        <w:spacing w:before="480" w:beforeAutospacing="0" w:after="480" w:afterAutospacing="0"/>
        <w:jc w:val="both"/>
      </w:pPr>
      <w:r w:rsidRPr="00F50AF3">
        <w:rPr>
          <w:b/>
          <w:bCs/>
          <w:color w:val="000000"/>
        </w:rPr>
        <w:lastRenderedPageBreak/>
        <w:t>Fiscal Prudence and Transparency:</w:t>
      </w:r>
      <w:r w:rsidRPr="00F50AF3">
        <w:rPr>
          <w:color w:val="000000"/>
        </w:rPr>
        <w:t xml:space="preserve"> There will be demonstrably improved financial management, adherence to procurement guidelines, and full public disclosure of SK funds, ensuring accountability and maximizing the impact of the 10% barangay budget allocation.  </w:t>
      </w:r>
    </w:p>
    <w:p w14:paraId="3E72CB11" w14:textId="77777777" w:rsidR="000B2B0F" w:rsidRPr="00F50AF3" w:rsidRDefault="000B2B0F" w:rsidP="00F50AF3">
      <w:pPr>
        <w:pStyle w:val="NormalWeb"/>
        <w:spacing w:before="480" w:beforeAutospacing="0" w:after="480" w:afterAutospacing="0"/>
        <w:jc w:val="both"/>
      </w:pPr>
      <w:r w:rsidRPr="00F50AF3">
        <w:rPr>
          <w:b/>
          <w:bCs/>
          <w:color w:val="000000"/>
        </w:rPr>
        <w:t>Stakeholder Engagement and Resource Mobilization:</w:t>
      </w:r>
      <w:r w:rsidRPr="00F50AF3">
        <w:rPr>
          <w:color w:val="000000"/>
        </w:rPr>
        <w:t xml:space="preserve"> SK officials will proactively establish and strengthen collaborative partnerships with diverse stakeholders, including government agencies, non-governmental organizations (NGOs), and the private sector, to leverage resources, expand program reach, and foster collective action for youth initiatives.  </w:t>
      </w:r>
    </w:p>
    <w:p w14:paraId="54E51966" w14:textId="77777777" w:rsidR="000B2B0F" w:rsidRPr="00F50AF3" w:rsidRDefault="000B2B0F" w:rsidP="00F50AF3">
      <w:pPr>
        <w:pStyle w:val="NormalWeb"/>
        <w:spacing w:before="480" w:beforeAutospacing="0" w:after="480" w:afterAutospacing="0"/>
        <w:jc w:val="both"/>
      </w:pPr>
      <w:r w:rsidRPr="00F50AF3">
        <w:rPr>
          <w:b/>
          <w:bCs/>
          <w:color w:val="000000"/>
        </w:rPr>
        <w:t>Cultivation of Ethical and Inclusive Leadership:</w:t>
      </w:r>
      <w:r w:rsidRPr="00F50AF3">
        <w:rPr>
          <w:color w:val="000000"/>
        </w:rPr>
        <w:t xml:space="preserve"> SK officials will consistently demonstrate ethical conduct, uphold accountability, practice gender sensitivity, and foster an inclusive environment in all youth initiatives and community engagements, reflecting a commitment to good governance.</w:t>
      </w:r>
    </w:p>
    <w:p w14:paraId="740C502B" w14:textId="77777777" w:rsidR="000B2B0F" w:rsidRPr="00F50AF3" w:rsidRDefault="000B2B0F" w:rsidP="00F50AF3">
      <w:pPr>
        <w:pStyle w:val="NormalWeb"/>
        <w:spacing w:before="480" w:beforeAutospacing="0" w:after="480" w:afterAutospacing="0"/>
        <w:jc w:val="both"/>
      </w:pPr>
      <w:r w:rsidRPr="00F50AF3">
        <w:rPr>
          <w:b/>
          <w:bCs/>
          <w:color w:val="000000"/>
        </w:rPr>
        <w:t>Data-Driven Decision Making:</w:t>
      </w:r>
      <w:r w:rsidRPr="00F50AF3">
        <w:rPr>
          <w:color w:val="000000"/>
        </w:rPr>
        <w:t xml:space="preserve"> Regular conduct of youth profiling, establishment, and maintenance of updated youth databases will inform evidence-based policy and program design, ensuring interventions are targeted and responsive to actual needs.  </w:t>
      </w:r>
    </w:p>
    <w:p w14:paraId="36A98566" w14:textId="0F6228CD" w:rsidR="009D74D7" w:rsidRDefault="000B2B0F" w:rsidP="00F50AF3">
      <w:pPr>
        <w:pStyle w:val="NormalWeb"/>
        <w:spacing w:before="480" w:beforeAutospacing="0" w:after="480" w:afterAutospacing="0"/>
        <w:jc w:val="both"/>
        <w:rPr>
          <w:color w:val="000000"/>
        </w:rPr>
      </w:pPr>
      <w:r w:rsidRPr="00F50AF3">
        <w:rPr>
          <w:b/>
          <w:bCs/>
          <w:color w:val="000000"/>
        </w:rPr>
        <w:t>SK as a Talent Catalyst:</w:t>
      </w:r>
      <w:r w:rsidRPr="00F50AF3">
        <w:rPr>
          <w:color w:val="000000"/>
        </w:rPr>
        <w:t xml:space="preserve"> SK will serve as a recognized and effective pathway for continuous professional development, attracting and nurturing aspiring youth leaders, and serving as a breeding ground for future leaders in local and national public service.</w:t>
      </w:r>
    </w:p>
    <w:p w14:paraId="3DAD3F28" w14:textId="6A17B56E" w:rsidR="00335F0B" w:rsidRPr="00335F0B" w:rsidRDefault="00335F0B" w:rsidP="00335F0B">
      <w:pPr>
        <w:pStyle w:val="NormalWeb"/>
        <w:spacing w:before="0" w:beforeAutospacing="0" w:after="0" w:afterAutospacing="0"/>
        <w:jc w:val="both"/>
        <w:rPr>
          <w:bCs/>
          <w:i/>
          <w:color w:val="000000"/>
        </w:rPr>
      </w:pPr>
      <w:r w:rsidRPr="00335F0B">
        <w:rPr>
          <w:bCs/>
          <w:i/>
          <w:color w:val="000000"/>
        </w:rPr>
        <w:t xml:space="preserve">Table 12. </w:t>
      </w:r>
      <w:r w:rsidRPr="00335F0B">
        <w:rPr>
          <w:bCs/>
          <w:i/>
          <w:color w:val="000000"/>
        </w:rPr>
        <w:t xml:space="preserve">Pillars of Sustained Youth Leadership Development </w:t>
      </w:r>
    </w:p>
    <w:tbl>
      <w:tblPr>
        <w:tblStyle w:val="TableGrid"/>
        <w:tblW w:w="0" w:type="auto"/>
        <w:tblLook w:val="04A0" w:firstRow="1" w:lastRow="0" w:firstColumn="1" w:lastColumn="0" w:noHBand="0" w:noVBand="1"/>
      </w:tblPr>
      <w:tblGrid>
        <w:gridCol w:w="1638"/>
        <w:gridCol w:w="2979"/>
        <w:gridCol w:w="6021"/>
      </w:tblGrid>
      <w:tr w:rsidR="009D74D7" w:rsidRPr="00F50AF3" w14:paraId="47EC6E64" w14:textId="77777777" w:rsidTr="00BD054C">
        <w:trPr>
          <w:trHeight w:val="428"/>
        </w:trPr>
        <w:tc>
          <w:tcPr>
            <w:tcW w:w="1638" w:type="dxa"/>
          </w:tcPr>
          <w:p w14:paraId="206F7C83" w14:textId="77777777" w:rsidR="009D74D7" w:rsidRPr="00F50AF3" w:rsidRDefault="009D74D7" w:rsidP="00335F0B">
            <w:pPr>
              <w:pStyle w:val="NormalWeb"/>
              <w:spacing w:before="0" w:beforeAutospacing="0" w:after="0" w:afterAutospacing="0"/>
              <w:jc w:val="center"/>
              <w:rPr>
                <w:color w:val="000000"/>
              </w:rPr>
            </w:pPr>
            <w:r w:rsidRPr="00F50AF3">
              <w:rPr>
                <w:b/>
                <w:bCs/>
                <w:color w:val="000000"/>
              </w:rPr>
              <w:t>Pillar</w:t>
            </w:r>
          </w:p>
        </w:tc>
        <w:tc>
          <w:tcPr>
            <w:tcW w:w="2979" w:type="dxa"/>
          </w:tcPr>
          <w:p w14:paraId="70087AFD" w14:textId="77777777" w:rsidR="009D74D7" w:rsidRPr="00F50AF3" w:rsidRDefault="009D74D7" w:rsidP="00335F0B">
            <w:pPr>
              <w:pStyle w:val="NormalWeb"/>
              <w:spacing w:before="0" w:beforeAutospacing="0" w:after="0" w:afterAutospacing="0"/>
              <w:jc w:val="center"/>
              <w:rPr>
                <w:color w:val="000000"/>
              </w:rPr>
            </w:pPr>
            <w:r w:rsidRPr="00F50AF3">
              <w:rPr>
                <w:b/>
                <w:bCs/>
                <w:color w:val="000000"/>
              </w:rPr>
              <w:t>Key Competency Focus</w:t>
            </w:r>
          </w:p>
        </w:tc>
        <w:tc>
          <w:tcPr>
            <w:tcW w:w="6021" w:type="dxa"/>
          </w:tcPr>
          <w:p w14:paraId="10632E1B" w14:textId="77777777" w:rsidR="009D74D7" w:rsidRPr="00F50AF3" w:rsidRDefault="009D74D7" w:rsidP="00335F0B">
            <w:pPr>
              <w:pStyle w:val="NormalWeb"/>
              <w:spacing w:before="0" w:beforeAutospacing="0" w:after="0" w:afterAutospacing="0"/>
              <w:jc w:val="center"/>
              <w:rPr>
                <w:color w:val="000000"/>
              </w:rPr>
            </w:pPr>
            <w:r w:rsidRPr="00F50AF3">
              <w:rPr>
                <w:b/>
                <w:bCs/>
                <w:color w:val="000000"/>
              </w:rPr>
              <w:t>Key Modules/Topics</w:t>
            </w:r>
          </w:p>
        </w:tc>
      </w:tr>
      <w:tr w:rsidR="009D74D7" w:rsidRPr="00F50AF3" w14:paraId="14652E79" w14:textId="77777777" w:rsidTr="00BD054C">
        <w:trPr>
          <w:trHeight w:val="497"/>
        </w:trPr>
        <w:tc>
          <w:tcPr>
            <w:tcW w:w="1638" w:type="dxa"/>
          </w:tcPr>
          <w:p w14:paraId="5453CF17" w14:textId="77777777" w:rsidR="009D74D7" w:rsidRPr="00F50AF3" w:rsidRDefault="009D74D7" w:rsidP="00F50AF3">
            <w:pPr>
              <w:pStyle w:val="NormalWeb"/>
              <w:spacing w:before="0" w:beforeAutospacing="0" w:after="0" w:afterAutospacing="0"/>
              <w:ind w:left="207"/>
            </w:pPr>
            <w:r w:rsidRPr="00F50AF3">
              <w:rPr>
                <w:color w:val="000000"/>
              </w:rPr>
              <w:t>Pillar 1 </w:t>
            </w:r>
          </w:p>
        </w:tc>
        <w:tc>
          <w:tcPr>
            <w:tcW w:w="2979" w:type="dxa"/>
          </w:tcPr>
          <w:p w14:paraId="2E3C7A40" w14:textId="77777777" w:rsidR="009D74D7" w:rsidRPr="00F50AF3" w:rsidRDefault="009D74D7" w:rsidP="00F50AF3">
            <w:pPr>
              <w:pStyle w:val="NormalWeb"/>
              <w:spacing w:before="0" w:beforeAutospacing="0" w:after="0" w:afterAutospacing="0"/>
              <w:ind w:left="296" w:right="203"/>
              <w:jc w:val="center"/>
            </w:pPr>
            <w:r w:rsidRPr="00F50AF3">
              <w:rPr>
                <w:color w:val="000000"/>
              </w:rPr>
              <w:t>Foundational Governance and Critical Thinking</w:t>
            </w:r>
          </w:p>
        </w:tc>
        <w:tc>
          <w:tcPr>
            <w:tcW w:w="6021" w:type="dxa"/>
          </w:tcPr>
          <w:p w14:paraId="612ABB5F" w14:textId="77777777" w:rsidR="009D74D7" w:rsidRPr="00F50AF3" w:rsidRDefault="009D74D7" w:rsidP="00F50AF3">
            <w:pPr>
              <w:pStyle w:val="NormalWeb"/>
              <w:numPr>
                <w:ilvl w:val="0"/>
                <w:numId w:val="6"/>
              </w:numPr>
              <w:spacing w:before="0" w:beforeAutospacing="0" w:after="0" w:afterAutospacing="0"/>
            </w:pPr>
            <w:r w:rsidRPr="00F50AF3">
              <w:rPr>
                <w:color w:val="000000"/>
              </w:rPr>
              <w:t>SK Mandate &amp; Legal Framework </w:t>
            </w:r>
          </w:p>
          <w:p w14:paraId="3F630859" w14:textId="77777777" w:rsidR="009D74D7" w:rsidRPr="00F50AF3" w:rsidRDefault="009D74D7" w:rsidP="00F50AF3">
            <w:pPr>
              <w:pStyle w:val="NormalWeb"/>
              <w:numPr>
                <w:ilvl w:val="0"/>
                <w:numId w:val="6"/>
              </w:numPr>
              <w:spacing w:before="0" w:beforeAutospacing="0" w:after="0" w:afterAutospacing="0"/>
              <w:ind w:right="139"/>
            </w:pPr>
            <w:r w:rsidRPr="00F50AF3">
              <w:rPr>
                <w:color w:val="000000"/>
              </w:rPr>
              <w:t>Advanced Information Analysis &amp; Data Interpretation </w:t>
            </w:r>
          </w:p>
          <w:p w14:paraId="55441A31" w14:textId="77777777" w:rsidR="009D74D7" w:rsidRPr="00F50AF3" w:rsidRDefault="009D74D7" w:rsidP="00F50AF3">
            <w:pPr>
              <w:pStyle w:val="NormalWeb"/>
              <w:numPr>
                <w:ilvl w:val="0"/>
                <w:numId w:val="6"/>
              </w:numPr>
              <w:spacing w:before="5" w:beforeAutospacing="0" w:after="0" w:afterAutospacing="0"/>
            </w:pPr>
            <w:r w:rsidRPr="00F50AF3">
              <w:rPr>
                <w:color w:val="000000"/>
              </w:rPr>
              <w:t>Critical Thinking &amp; Problem-Solving </w:t>
            </w:r>
          </w:p>
          <w:p w14:paraId="30ADBE2A" w14:textId="77777777" w:rsidR="009D74D7" w:rsidRPr="00F50AF3" w:rsidRDefault="009D74D7" w:rsidP="00F50AF3">
            <w:pPr>
              <w:pStyle w:val="NormalWeb"/>
              <w:numPr>
                <w:ilvl w:val="0"/>
                <w:numId w:val="6"/>
              </w:numPr>
              <w:spacing w:before="0" w:beforeAutospacing="0" w:after="0" w:afterAutospacing="0"/>
            </w:pPr>
            <w:r w:rsidRPr="00F50AF3">
              <w:rPr>
                <w:color w:val="000000"/>
              </w:rPr>
              <w:t>Effective Decision-Making</w:t>
            </w:r>
          </w:p>
        </w:tc>
      </w:tr>
      <w:tr w:rsidR="009D74D7" w:rsidRPr="00F50AF3" w14:paraId="5753C5F0" w14:textId="77777777" w:rsidTr="00BD054C">
        <w:trPr>
          <w:trHeight w:val="528"/>
        </w:trPr>
        <w:tc>
          <w:tcPr>
            <w:tcW w:w="1638" w:type="dxa"/>
          </w:tcPr>
          <w:p w14:paraId="08B489F0" w14:textId="77777777" w:rsidR="009D74D7" w:rsidRPr="00F50AF3" w:rsidRDefault="009D74D7" w:rsidP="00F50AF3">
            <w:pPr>
              <w:pStyle w:val="NormalWeb"/>
              <w:spacing w:before="0" w:beforeAutospacing="0" w:after="0" w:afterAutospacing="0"/>
              <w:ind w:left="207"/>
            </w:pPr>
            <w:r w:rsidRPr="00F50AF3">
              <w:rPr>
                <w:color w:val="000000"/>
              </w:rPr>
              <w:t>Pillar 2</w:t>
            </w:r>
          </w:p>
        </w:tc>
        <w:tc>
          <w:tcPr>
            <w:tcW w:w="2979" w:type="dxa"/>
          </w:tcPr>
          <w:p w14:paraId="111C7596" w14:textId="77777777" w:rsidR="009D74D7" w:rsidRPr="00F50AF3" w:rsidRDefault="009D74D7" w:rsidP="00F50AF3">
            <w:pPr>
              <w:pStyle w:val="NormalWeb"/>
              <w:spacing w:before="0" w:beforeAutospacing="0" w:after="0" w:afterAutospacing="0"/>
              <w:jc w:val="center"/>
            </w:pPr>
            <w:r w:rsidRPr="00F50AF3">
              <w:rPr>
                <w:color w:val="000000"/>
              </w:rPr>
              <w:t>Strategic Youth Project </w:t>
            </w:r>
          </w:p>
          <w:p w14:paraId="0BD7B437" w14:textId="77777777" w:rsidR="009D74D7" w:rsidRPr="00F50AF3" w:rsidRDefault="009D74D7" w:rsidP="00F50AF3">
            <w:pPr>
              <w:pStyle w:val="NormalWeb"/>
              <w:spacing w:before="0" w:beforeAutospacing="0" w:after="0" w:afterAutospacing="0"/>
              <w:jc w:val="center"/>
            </w:pPr>
            <w:r w:rsidRPr="00F50AF3">
              <w:rPr>
                <w:color w:val="000000"/>
              </w:rPr>
              <w:t>Design &amp; Implementation</w:t>
            </w:r>
          </w:p>
        </w:tc>
        <w:tc>
          <w:tcPr>
            <w:tcW w:w="6021" w:type="dxa"/>
          </w:tcPr>
          <w:p w14:paraId="6D2968B6" w14:textId="5331CE0E" w:rsidR="009D74D7" w:rsidRPr="00F50AF3" w:rsidRDefault="009D74D7" w:rsidP="00F50AF3">
            <w:pPr>
              <w:pStyle w:val="NormalWeb"/>
              <w:numPr>
                <w:ilvl w:val="0"/>
                <w:numId w:val="7"/>
              </w:numPr>
              <w:spacing w:before="0" w:beforeAutospacing="0" w:after="0" w:afterAutospacing="0"/>
              <w:ind w:right="144"/>
            </w:pPr>
            <w:r w:rsidRPr="00F50AF3">
              <w:rPr>
                <w:color w:val="000000"/>
              </w:rPr>
              <w:t>Comprehensive Youth Issue Analysis &amp; Needs Assessment </w:t>
            </w:r>
          </w:p>
          <w:p w14:paraId="68A2F9F0" w14:textId="704DC2AE" w:rsidR="000D2B29" w:rsidRPr="00F50AF3" w:rsidRDefault="009D74D7" w:rsidP="00F50AF3">
            <w:pPr>
              <w:pStyle w:val="NormalWeb"/>
              <w:numPr>
                <w:ilvl w:val="0"/>
                <w:numId w:val="7"/>
              </w:numPr>
              <w:spacing w:before="5" w:beforeAutospacing="0" w:after="0" w:afterAutospacing="0"/>
              <w:ind w:right="193"/>
              <w:rPr>
                <w:color w:val="000000"/>
              </w:rPr>
            </w:pPr>
            <w:r w:rsidRPr="00F50AF3">
              <w:rPr>
                <w:color w:val="000000"/>
              </w:rPr>
              <w:t xml:space="preserve">Innovative Solution Generation &amp; Program Design </w:t>
            </w:r>
          </w:p>
          <w:p w14:paraId="4F5B54B6" w14:textId="5ACCF0DD" w:rsidR="000D2B29" w:rsidRPr="00F50AF3" w:rsidRDefault="009D74D7" w:rsidP="00F50AF3">
            <w:pPr>
              <w:pStyle w:val="NormalWeb"/>
              <w:numPr>
                <w:ilvl w:val="0"/>
                <w:numId w:val="7"/>
              </w:numPr>
              <w:spacing w:before="5" w:beforeAutospacing="0" w:after="0" w:afterAutospacing="0"/>
              <w:ind w:right="193"/>
              <w:rPr>
                <w:color w:val="000000"/>
              </w:rPr>
            </w:pPr>
            <w:r w:rsidRPr="00F50AF3">
              <w:rPr>
                <w:color w:val="000000"/>
              </w:rPr>
              <w:t xml:space="preserve">Advanced Project Planning &amp; Management Tools </w:t>
            </w:r>
          </w:p>
          <w:p w14:paraId="7DCDB2DD" w14:textId="0341358A" w:rsidR="009D74D7" w:rsidRPr="00F50AF3" w:rsidRDefault="009D74D7" w:rsidP="00F50AF3">
            <w:pPr>
              <w:pStyle w:val="NormalWeb"/>
              <w:numPr>
                <w:ilvl w:val="0"/>
                <w:numId w:val="7"/>
              </w:numPr>
              <w:spacing w:before="5" w:beforeAutospacing="0" w:after="0" w:afterAutospacing="0"/>
              <w:ind w:right="193"/>
              <w:rPr>
                <w:color w:val="000000"/>
              </w:rPr>
            </w:pPr>
            <w:r w:rsidRPr="00F50AF3">
              <w:rPr>
                <w:color w:val="000000"/>
              </w:rPr>
              <w:t>Effective Project Proposal Drafting &amp; Grant Writing</w:t>
            </w:r>
          </w:p>
        </w:tc>
      </w:tr>
      <w:tr w:rsidR="009D74D7" w:rsidRPr="00F50AF3" w14:paraId="282A5147" w14:textId="77777777" w:rsidTr="00BD054C">
        <w:trPr>
          <w:trHeight w:val="497"/>
        </w:trPr>
        <w:tc>
          <w:tcPr>
            <w:tcW w:w="1638" w:type="dxa"/>
          </w:tcPr>
          <w:p w14:paraId="43DD798E" w14:textId="77777777" w:rsidR="009D74D7" w:rsidRPr="00F50AF3" w:rsidRDefault="009D74D7" w:rsidP="00F50AF3">
            <w:pPr>
              <w:pStyle w:val="NormalWeb"/>
              <w:spacing w:before="0" w:beforeAutospacing="0" w:after="0" w:afterAutospacing="0"/>
              <w:ind w:left="207"/>
            </w:pPr>
            <w:r w:rsidRPr="00F50AF3">
              <w:rPr>
                <w:color w:val="000000"/>
              </w:rPr>
              <w:t>Pillar 3</w:t>
            </w:r>
          </w:p>
        </w:tc>
        <w:tc>
          <w:tcPr>
            <w:tcW w:w="2979" w:type="dxa"/>
          </w:tcPr>
          <w:p w14:paraId="228D0F9C" w14:textId="77777777" w:rsidR="009D74D7" w:rsidRPr="00F50AF3" w:rsidRDefault="009D74D7" w:rsidP="00F50AF3">
            <w:pPr>
              <w:pStyle w:val="NormalWeb"/>
              <w:spacing w:before="0" w:beforeAutospacing="0" w:after="0" w:afterAutospacing="0"/>
              <w:ind w:left="239" w:right="146"/>
              <w:jc w:val="center"/>
            </w:pPr>
            <w:r w:rsidRPr="00F50AF3">
              <w:rPr>
                <w:color w:val="000000"/>
              </w:rPr>
              <w:t>Collaborative Leadership &amp; Community Mobilization</w:t>
            </w:r>
          </w:p>
        </w:tc>
        <w:tc>
          <w:tcPr>
            <w:tcW w:w="6021" w:type="dxa"/>
          </w:tcPr>
          <w:p w14:paraId="296EFB5E" w14:textId="321B776A" w:rsidR="00D710F9" w:rsidRPr="00F50AF3" w:rsidRDefault="009D74D7" w:rsidP="00F50AF3">
            <w:pPr>
              <w:pStyle w:val="NormalWeb"/>
              <w:numPr>
                <w:ilvl w:val="0"/>
                <w:numId w:val="8"/>
              </w:numPr>
              <w:spacing w:before="0" w:beforeAutospacing="0" w:after="0" w:afterAutospacing="0"/>
              <w:ind w:right="152"/>
              <w:rPr>
                <w:color w:val="000000"/>
              </w:rPr>
            </w:pPr>
            <w:r w:rsidRPr="00F50AF3">
              <w:rPr>
                <w:color w:val="000000"/>
              </w:rPr>
              <w:t>Advanced Stakeholder Mapping &amp; Engagement Strategies </w:t>
            </w:r>
          </w:p>
          <w:p w14:paraId="33D52C62" w14:textId="51932093" w:rsidR="00D710F9" w:rsidRPr="00F50AF3" w:rsidRDefault="009D74D7" w:rsidP="00F50AF3">
            <w:pPr>
              <w:pStyle w:val="NormalWeb"/>
              <w:numPr>
                <w:ilvl w:val="0"/>
                <w:numId w:val="8"/>
              </w:numPr>
              <w:spacing w:before="5" w:beforeAutospacing="0" w:after="0" w:afterAutospacing="0"/>
              <w:ind w:right="148"/>
              <w:rPr>
                <w:color w:val="000000"/>
              </w:rPr>
            </w:pPr>
            <w:r w:rsidRPr="00F50AF3">
              <w:rPr>
                <w:color w:val="000000"/>
              </w:rPr>
              <w:t xml:space="preserve">Strategic Partnership Building &amp; Management </w:t>
            </w:r>
          </w:p>
          <w:p w14:paraId="726430D1" w14:textId="679B5E21" w:rsidR="00D710F9" w:rsidRPr="00F50AF3" w:rsidRDefault="009D74D7" w:rsidP="00F50AF3">
            <w:pPr>
              <w:pStyle w:val="NormalWeb"/>
              <w:numPr>
                <w:ilvl w:val="0"/>
                <w:numId w:val="8"/>
              </w:numPr>
              <w:spacing w:before="5" w:beforeAutospacing="0" w:after="0" w:afterAutospacing="0"/>
              <w:ind w:right="148"/>
              <w:rPr>
                <w:color w:val="000000"/>
              </w:rPr>
            </w:pPr>
            <w:r w:rsidRPr="00F50AF3">
              <w:rPr>
                <w:color w:val="000000"/>
              </w:rPr>
              <w:t>Effective Volunteer Mobilization &amp; Management</w:t>
            </w:r>
          </w:p>
          <w:p w14:paraId="4974FD68" w14:textId="08016C40" w:rsidR="009D74D7" w:rsidRPr="00F50AF3" w:rsidRDefault="009D74D7" w:rsidP="00F50AF3">
            <w:pPr>
              <w:pStyle w:val="NormalWeb"/>
              <w:numPr>
                <w:ilvl w:val="0"/>
                <w:numId w:val="8"/>
              </w:numPr>
              <w:spacing w:before="5" w:beforeAutospacing="0" w:after="0" w:afterAutospacing="0"/>
              <w:ind w:right="148"/>
            </w:pPr>
            <w:r w:rsidRPr="00F50AF3">
              <w:rPr>
                <w:color w:val="000000"/>
              </w:rPr>
              <w:t>Advanced Conflict Resolution &amp; Consensus Building</w:t>
            </w:r>
          </w:p>
        </w:tc>
      </w:tr>
      <w:tr w:rsidR="009D74D7" w:rsidRPr="00F50AF3" w14:paraId="23F26095" w14:textId="77777777" w:rsidTr="00BD054C">
        <w:trPr>
          <w:trHeight w:val="528"/>
        </w:trPr>
        <w:tc>
          <w:tcPr>
            <w:tcW w:w="1638" w:type="dxa"/>
          </w:tcPr>
          <w:p w14:paraId="7A7CEA1B" w14:textId="77777777" w:rsidR="009D74D7" w:rsidRPr="00F50AF3" w:rsidRDefault="009D74D7" w:rsidP="00F50AF3">
            <w:pPr>
              <w:pStyle w:val="NormalWeb"/>
              <w:spacing w:before="0" w:beforeAutospacing="0" w:after="0" w:afterAutospacing="0"/>
              <w:ind w:left="207"/>
            </w:pPr>
            <w:r w:rsidRPr="00F50AF3">
              <w:rPr>
                <w:color w:val="000000"/>
              </w:rPr>
              <w:t>Pillar 4</w:t>
            </w:r>
          </w:p>
        </w:tc>
        <w:tc>
          <w:tcPr>
            <w:tcW w:w="2979" w:type="dxa"/>
          </w:tcPr>
          <w:p w14:paraId="252DFB6E" w14:textId="77777777" w:rsidR="009D74D7" w:rsidRPr="00F50AF3" w:rsidRDefault="009D74D7" w:rsidP="00F50AF3">
            <w:pPr>
              <w:pStyle w:val="NormalWeb"/>
              <w:spacing w:before="0" w:beforeAutospacing="0" w:after="0" w:afterAutospacing="0"/>
              <w:ind w:left="317" w:right="224"/>
              <w:jc w:val="center"/>
            </w:pPr>
            <w:r w:rsidRPr="00F50AF3">
              <w:rPr>
                <w:color w:val="000000"/>
              </w:rPr>
              <w:t>Operational Excellence &amp; Fiscal Responsibility</w:t>
            </w:r>
          </w:p>
        </w:tc>
        <w:tc>
          <w:tcPr>
            <w:tcW w:w="6021" w:type="dxa"/>
          </w:tcPr>
          <w:p w14:paraId="189AFF17" w14:textId="3EB992D9" w:rsidR="00D710F9" w:rsidRPr="00F50AF3" w:rsidRDefault="009D74D7" w:rsidP="00F50AF3">
            <w:pPr>
              <w:pStyle w:val="NormalWeb"/>
              <w:numPr>
                <w:ilvl w:val="0"/>
                <w:numId w:val="9"/>
              </w:numPr>
              <w:spacing w:before="0" w:beforeAutospacing="0" w:after="0" w:afterAutospacing="0"/>
              <w:ind w:left="360" w:right="130"/>
              <w:rPr>
                <w:color w:val="000000"/>
              </w:rPr>
            </w:pPr>
            <w:r w:rsidRPr="00F50AF3">
              <w:rPr>
                <w:color w:val="000000"/>
              </w:rPr>
              <w:t>Responsible Management of Common Areas &amp; Community Safety </w:t>
            </w:r>
          </w:p>
          <w:p w14:paraId="340F7279" w14:textId="577E6B08" w:rsidR="00D710F9" w:rsidRPr="00F50AF3" w:rsidRDefault="009D74D7" w:rsidP="00F50AF3">
            <w:pPr>
              <w:pStyle w:val="NormalWeb"/>
              <w:numPr>
                <w:ilvl w:val="0"/>
                <w:numId w:val="9"/>
              </w:numPr>
              <w:spacing w:before="5" w:beforeAutospacing="0" w:after="0" w:afterAutospacing="0"/>
              <w:ind w:left="360" w:right="128"/>
              <w:rPr>
                <w:color w:val="000000"/>
              </w:rPr>
            </w:pPr>
            <w:r w:rsidRPr="00F50AF3">
              <w:rPr>
                <w:color w:val="000000"/>
              </w:rPr>
              <w:t xml:space="preserve">Advanced Financial Management for SK Officials </w:t>
            </w:r>
          </w:p>
          <w:p w14:paraId="7F5193BA" w14:textId="0B17B197" w:rsidR="00D710F9" w:rsidRPr="00F50AF3" w:rsidRDefault="009D74D7" w:rsidP="00F50AF3">
            <w:pPr>
              <w:pStyle w:val="NormalWeb"/>
              <w:numPr>
                <w:ilvl w:val="0"/>
                <w:numId w:val="9"/>
              </w:numPr>
              <w:spacing w:before="5" w:beforeAutospacing="0" w:after="0" w:afterAutospacing="0"/>
              <w:ind w:left="360" w:right="128"/>
              <w:rPr>
                <w:color w:val="000000"/>
              </w:rPr>
            </w:pPr>
            <w:r w:rsidRPr="00F50AF3">
              <w:rPr>
                <w:color w:val="000000"/>
              </w:rPr>
              <w:t>Comprehensive Procurement Systems &amp; Compliance </w:t>
            </w:r>
          </w:p>
          <w:p w14:paraId="77D79169" w14:textId="68C7BF0E" w:rsidR="009D74D7" w:rsidRPr="00F50AF3" w:rsidRDefault="009D74D7" w:rsidP="00F50AF3">
            <w:pPr>
              <w:pStyle w:val="NormalWeb"/>
              <w:numPr>
                <w:ilvl w:val="0"/>
                <w:numId w:val="9"/>
              </w:numPr>
              <w:spacing w:before="5" w:beforeAutospacing="0" w:after="0" w:afterAutospacing="0"/>
              <w:ind w:left="360" w:right="140"/>
            </w:pPr>
            <w:r w:rsidRPr="00F50AF3">
              <w:rPr>
                <w:color w:val="000000"/>
              </w:rPr>
              <w:t>Strategic Resource Allocation &amp; Sustainability Planning</w:t>
            </w:r>
          </w:p>
        </w:tc>
      </w:tr>
      <w:tr w:rsidR="009D74D7" w:rsidRPr="00F50AF3" w14:paraId="34211137" w14:textId="77777777" w:rsidTr="00BD054C">
        <w:trPr>
          <w:trHeight w:val="497"/>
        </w:trPr>
        <w:tc>
          <w:tcPr>
            <w:tcW w:w="1638" w:type="dxa"/>
          </w:tcPr>
          <w:p w14:paraId="246FFC49" w14:textId="77777777" w:rsidR="009D74D7" w:rsidRPr="00F50AF3" w:rsidRDefault="009D74D7" w:rsidP="00F50AF3">
            <w:pPr>
              <w:pStyle w:val="NormalWeb"/>
              <w:spacing w:before="0" w:beforeAutospacing="0" w:after="0" w:afterAutospacing="0"/>
              <w:ind w:left="207"/>
            </w:pPr>
            <w:r w:rsidRPr="00F50AF3">
              <w:rPr>
                <w:color w:val="000000"/>
              </w:rPr>
              <w:t>Pillar 5</w:t>
            </w:r>
          </w:p>
        </w:tc>
        <w:tc>
          <w:tcPr>
            <w:tcW w:w="2979" w:type="dxa"/>
          </w:tcPr>
          <w:p w14:paraId="772E5349" w14:textId="77777777" w:rsidR="009D74D7" w:rsidRPr="00F50AF3" w:rsidRDefault="009D74D7" w:rsidP="00F50AF3">
            <w:pPr>
              <w:pStyle w:val="NormalWeb"/>
              <w:spacing w:before="0" w:beforeAutospacing="0" w:after="0" w:afterAutospacing="0"/>
              <w:ind w:right="387"/>
              <w:jc w:val="right"/>
            </w:pPr>
            <w:r w:rsidRPr="00F50AF3">
              <w:rPr>
                <w:color w:val="000000"/>
              </w:rPr>
              <w:t>Ethical, Inclusive, and </w:t>
            </w:r>
          </w:p>
          <w:p w14:paraId="473DFE65" w14:textId="77777777" w:rsidR="009D74D7" w:rsidRPr="00F50AF3" w:rsidRDefault="009D74D7" w:rsidP="00F50AF3">
            <w:pPr>
              <w:pStyle w:val="NormalWeb"/>
              <w:spacing w:before="0" w:beforeAutospacing="0" w:after="0" w:afterAutospacing="0"/>
              <w:jc w:val="center"/>
            </w:pPr>
            <w:r w:rsidRPr="00F50AF3">
              <w:rPr>
                <w:color w:val="000000"/>
              </w:rPr>
              <w:t>Adaptive Governance</w:t>
            </w:r>
          </w:p>
        </w:tc>
        <w:tc>
          <w:tcPr>
            <w:tcW w:w="6021" w:type="dxa"/>
          </w:tcPr>
          <w:p w14:paraId="0FFAB294" w14:textId="2CEEEC0D" w:rsidR="00D710F9" w:rsidRPr="00F50AF3" w:rsidRDefault="009D74D7" w:rsidP="00F50AF3">
            <w:pPr>
              <w:pStyle w:val="NormalWeb"/>
              <w:numPr>
                <w:ilvl w:val="0"/>
                <w:numId w:val="10"/>
              </w:numPr>
              <w:spacing w:before="0" w:beforeAutospacing="0" w:after="0" w:afterAutospacing="0"/>
              <w:ind w:left="360" w:right="142"/>
              <w:rPr>
                <w:color w:val="000000"/>
              </w:rPr>
            </w:pPr>
            <w:r w:rsidRPr="00F50AF3">
              <w:rPr>
                <w:color w:val="000000"/>
              </w:rPr>
              <w:t>Advanced Gender Sensitivity &amp; Inclusive Governance</w:t>
            </w:r>
          </w:p>
          <w:p w14:paraId="6BAD5D52" w14:textId="4C0C0BFE" w:rsidR="00D710F9" w:rsidRPr="00F50AF3" w:rsidRDefault="009D74D7" w:rsidP="00F50AF3">
            <w:pPr>
              <w:pStyle w:val="NormalWeb"/>
              <w:numPr>
                <w:ilvl w:val="0"/>
                <w:numId w:val="10"/>
              </w:numPr>
              <w:spacing w:before="5" w:beforeAutospacing="0" w:after="0" w:afterAutospacing="0"/>
              <w:ind w:left="360" w:right="163"/>
              <w:rPr>
                <w:color w:val="000000"/>
              </w:rPr>
            </w:pPr>
            <w:r w:rsidRPr="00F50AF3">
              <w:rPr>
                <w:color w:val="000000"/>
              </w:rPr>
              <w:t xml:space="preserve">Ethical Conduct &amp; Accountability in Public Service  </w:t>
            </w:r>
          </w:p>
          <w:p w14:paraId="1D870879" w14:textId="7C766F3E" w:rsidR="00D710F9" w:rsidRPr="00F50AF3" w:rsidRDefault="009D74D7" w:rsidP="00F50AF3">
            <w:pPr>
              <w:pStyle w:val="NormalWeb"/>
              <w:numPr>
                <w:ilvl w:val="0"/>
                <w:numId w:val="10"/>
              </w:numPr>
              <w:spacing w:before="5" w:beforeAutospacing="0" w:after="0" w:afterAutospacing="0"/>
              <w:ind w:left="360" w:right="163"/>
              <w:rPr>
                <w:color w:val="000000"/>
              </w:rPr>
            </w:pPr>
            <w:r w:rsidRPr="00F50AF3">
              <w:rPr>
                <w:color w:val="000000"/>
              </w:rPr>
              <w:t>Fostering a Culture of Continuous Professional Development </w:t>
            </w:r>
          </w:p>
          <w:p w14:paraId="09EBBF93" w14:textId="657C67B6" w:rsidR="009D74D7" w:rsidRPr="00F50AF3" w:rsidRDefault="009D74D7" w:rsidP="00F50AF3">
            <w:pPr>
              <w:pStyle w:val="NormalWeb"/>
              <w:numPr>
                <w:ilvl w:val="0"/>
                <w:numId w:val="10"/>
              </w:numPr>
              <w:spacing w:before="5" w:beforeAutospacing="0" w:after="0" w:afterAutospacing="0"/>
              <w:ind w:left="360"/>
            </w:pPr>
            <w:r w:rsidRPr="00F50AF3">
              <w:rPr>
                <w:color w:val="000000"/>
              </w:rPr>
              <w:t>Strategic Foresight &amp; Adaptive Leadership</w:t>
            </w:r>
          </w:p>
        </w:tc>
      </w:tr>
    </w:tbl>
    <w:p w14:paraId="1661AF1F" w14:textId="77777777" w:rsidR="009D74D7" w:rsidRPr="00F50AF3" w:rsidRDefault="009D74D7" w:rsidP="00F50AF3">
      <w:pPr>
        <w:pStyle w:val="NormalWeb"/>
        <w:spacing w:before="480" w:after="480"/>
        <w:ind w:firstLine="720"/>
        <w:jc w:val="both"/>
        <w:rPr>
          <w:b/>
          <w:bCs/>
          <w:color w:val="000000"/>
        </w:rPr>
      </w:pPr>
      <w:r w:rsidRPr="00F50AF3">
        <w:rPr>
          <w:b/>
          <w:bCs/>
          <w:color w:val="000000"/>
        </w:rPr>
        <w:lastRenderedPageBreak/>
        <w:t xml:space="preserve">Pillar 1: Foundational Governance &amp; Critical Thinking </w:t>
      </w:r>
    </w:p>
    <w:p w14:paraId="17515C71" w14:textId="77777777" w:rsidR="00D710F9" w:rsidRPr="00F50AF3" w:rsidRDefault="009D74D7" w:rsidP="00F50AF3">
      <w:pPr>
        <w:pStyle w:val="NormalWeb"/>
        <w:spacing w:before="480" w:after="480"/>
        <w:ind w:firstLine="720"/>
        <w:jc w:val="both"/>
        <w:rPr>
          <w:color w:val="000000"/>
        </w:rPr>
      </w:pPr>
      <w:r w:rsidRPr="00F50AF3">
        <w:rPr>
          <w:color w:val="000000"/>
        </w:rPr>
        <w:t>This pillar is designed to help Sangguniang Kabataan (SK) officials develop strong analytical and decision-making skills, so they can go from just knowing the basics to using their knowledge effectively in complicated governance situations. It directly addresses core competency, which received the lowest mean rating in the TNA. As cited in the revised Implementing Rules and Regulations (IRR) of Republic</w:t>
      </w:r>
      <w:r w:rsidR="00D710F9" w:rsidRPr="00F50AF3">
        <w:rPr>
          <w:color w:val="000000"/>
        </w:rPr>
        <w:t xml:space="preserve"> </w:t>
      </w:r>
      <w:r w:rsidRPr="00F50AF3">
        <w:rPr>
          <w:color w:val="000000"/>
        </w:rPr>
        <w:t xml:space="preserve">Act 10742 (2023), the state shall establish adequate, effective, responsive, and enabling mechanisms and support systems that empower the youth and ensure their meaningful participation in local governance and nation-building. </w:t>
      </w:r>
    </w:p>
    <w:p w14:paraId="6A588731" w14:textId="7CBDC592" w:rsidR="009D74D7" w:rsidRPr="00F50AF3" w:rsidRDefault="009D74D7" w:rsidP="00F50AF3">
      <w:pPr>
        <w:pStyle w:val="NormalWeb"/>
        <w:spacing w:before="480" w:after="480"/>
        <w:ind w:firstLine="720"/>
        <w:jc w:val="both"/>
        <w:rPr>
          <w:color w:val="000000"/>
        </w:rPr>
      </w:pPr>
      <w:r w:rsidRPr="00F50AF3">
        <w:rPr>
          <w:color w:val="000000"/>
        </w:rPr>
        <w:t xml:space="preserve">Moreover, a study conducted by Madrid et al. (2020) revealed that SK officials in Pangasinan City are knowledgeable in some core areas; however, there were fewer topics and training covered. Hence, a need for continuous reinforcement and advanced application of these foundational skills is crucial because the SK environment is dynamic, with evolving challenges, new policies, and a constant influx of new officials due to electoral cycles and age limits. Given the regular turnover of SK officials, there is a need for fundamental governance skills to be consistently taught to new batches, necessitating a "continuous development" approach within the long-term strategy. This ensures that the core competencies are maintained and deepened across successive SK administrations. </w:t>
      </w:r>
    </w:p>
    <w:p w14:paraId="61475D15" w14:textId="77777777" w:rsidR="009D74D7" w:rsidRPr="00F50AF3" w:rsidRDefault="009D74D7" w:rsidP="00F50AF3">
      <w:pPr>
        <w:pStyle w:val="NormalWeb"/>
        <w:spacing w:before="480" w:after="480"/>
        <w:jc w:val="both"/>
        <w:rPr>
          <w:b/>
          <w:bCs/>
          <w:color w:val="000000"/>
        </w:rPr>
      </w:pPr>
      <w:r w:rsidRPr="00F50AF3">
        <w:rPr>
          <w:b/>
          <w:bCs/>
          <w:color w:val="000000"/>
        </w:rPr>
        <w:t xml:space="preserve">Key Modules/Topics Evolution: </w:t>
      </w:r>
    </w:p>
    <w:p w14:paraId="09CAD941"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SK Mandate &amp; Legal Framework: </w:t>
      </w:r>
    </w:p>
    <w:p w14:paraId="45FD584C" w14:textId="77777777" w:rsidR="009D74D7" w:rsidRPr="00F50AF3" w:rsidRDefault="009D74D7" w:rsidP="00F50AF3">
      <w:pPr>
        <w:pStyle w:val="NormalWeb"/>
        <w:spacing w:before="480" w:after="480"/>
        <w:ind w:firstLine="720"/>
        <w:jc w:val="both"/>
        <w:rPr>
          <w:color w:val="000000"/>
        </w:rPr>
      </w:pPr>
      <w:r w:rsidRPr="00F50AF3">
        <w:rPr>
          <w:color w:val="000000"/>
        </w:rPr>
        <w:t xml:space="preserve">Advanced understanding of Republic Act No. 10742 (SK Reform Law) and its Implementing Rules and Regulations (IRR), including recent amendments, legal accountability, and the implications of SK actions. This ensures officials operate within their legal bounds and leverage their authority effectively. It would also be beneficial to understand the historical background of youth local governance development in the Philippines to render the rationale of SK reforms, and focus on training on administrative processes, budget, and transparency practices required by the law to provide SK officials with techniques to use in governance (Kelsey &amp; Fuhrman, 2020). </w:t>
      </w:r>
    </w:p>
    <w:p w14:paraId="2331329A"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Advanced Information Analysis &amp; Data Interpretation: </w:t>
      </w:r>
    </w:p>
    <w:p w14:paraId="6C5A3724" w14:textId="7939235A" w:rsidR="009D74D7" w:rsidRPr="00F50AF3" w:rsidRDefault="009D74D7" w:rsidP="00F50AF3">
      <w:pPr>
        <w:pStyle w:val="NormalWeb"/>
        <w:spacing w:before="480" w:after="480"/>
        <w:jc w:val="both"/>
        <w:rPr>
          <w:color w:val="000000"/>
        </w:rPr>
      </w:pPr>
      <w:r w:rsidRPr="00F50AF3">
        <w:rPr>
          <w:color w:val="000000"/>
        </w:rPr>
        <w:t>Training on utilizing diverse data sources, including the mandated youth profiling database, statistical literacy, and identifying underlying trends to inform evidence-based policy and program design and training on the ethical use of data and privacy principles to develop responsible information handling among young</w:t>
      </w:r>
      <w:r w:rsidR="00D710F9" w:rsidRPr="00F50AF3">
        <w:rPr>
          <w:color w:val="000000"/>
        </w:rPr>
        <w:t xml:space="preserve"> </w:t>
      </w:r>
      <w:r w:rsidRPr="00F50AF3">
        <w:rPr>
          <w:color w:val="000000"/>
        </w:rPr>
        <w:t xml:space="preserve">leaders so that they adhere to data protection regulations and enhance confidence in the community (Setiadi, Nurhayati, Ansori, A., Zubaidi, &amp; Amir,2022)). Additionally, it can be in the form of practical tasks related to data visualization tools in order to achieve data clarity and the ability to communicate intricate findings of data to the stakeholders. This takes the understanding of data to the next level, strategic use of data. </w:t>
      </w:r>
    </w:p>
    <w:p w14:paraId="5C023E90"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Critical Thinking &amp; Problem-Solving: </w:t>
      </w:r>
    </w:p>
    <w:p w14:paraId="5D26F619" w14:textId="77777777" w:rsidR="009D74D7" w:rsidRPr="00F50AF3" w:rsidRDefault="009D74D7" w:rsidP="00F50AF3">
      <w:pPr>
        <w:pStyle w:val="NormalWeb"/>
        <w:spacing w:before="480" w:after="480"/>
        <w:ind w:firstLine="720"/>
        <w:jc w:val="both"/>
        <w:rPr>
          <w:color w:val="000000"/>
        </w:rPr>
      </w:pPr>
      <w:r w:rsidRPr="00F50AF3">
        <w:rPr>
          <w:color w:val="000000"/>
        </w:rPr>
        <w:t xml:space="preserve">Application of advanced frameworks such as root cause analysis, systems thinking, and scenario planning to complex, multi-faceted youth issues, moving beyond immediate solutions to sustainable, systemic interventions through integrated collaborative problem-solving workshops to build consensus and harness diverse perspectives within youth councils and community partners </w:t>
      </w:r>
    </w:p>
    <w:p w14:paraId="3ABC0A7A"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Effective Decision-Making: </w:t>
      </w:r>
    </w:p>
    <w:p w14:paraId="5AEACBA7" w14:textId="77777777" w:rsidR="009D74D7" w:rsidRPr="00F50AF3" w:rsidRDefault="009D74D7" w:rsidP="00F50AF3">
      <w:pPr>
        <w:pStyle w:val="NormalWeb"/>
        <w:spacing w:before="480" w:after="480"/>
        <w:ind w:firstLine="720"/>
        <w:jc w:val="both"/>
        <w:rPr>
          <w:color w:val="000000"/>
        </w:rPr>
      </w:pPr>
      <w:r w:rsidRPr="00F50AF3">
        <w:rPr>
          <w:color w:val="000000"/>
        </w:rPr>
        <w:t xml:space="preserve">Simulation-based training for high-pressure decision-making, ethical dilemmas, and advanced consensus-building techniques within the SK council and with the Katipunan ng Kabataan (KK), fostering collaborative and accountable governance and making frameworks that incorporate emotional intelligence and stakeholder empathy to improve inclusivity, ethical reasoning, and long-term community buy-in (Kelsey &amp; Fuhrman, 2020). </w:t>
      </w:r>
    </w:p>
    <w:p w14:paraId="7C939DA1" w14:textId="77777777" w:rsidR="009D74D7" w:rsidRPr="00F50AF3" w:rsidRDefault="009D74D7" w:rsidP="00F50AF3">
      <w:pPr>
        <w:pStyle w:val="NormalWeb"/>
        <w:spacing w:before="480" w:after="480"/>
        <w:jc w:val="both"/>
        <w:rPr>
          <w:b/>
          <w:bCs/>
          <w:color w:val="000000"/>
        </w:rPr>
      </w:pPr>
      <w:r w:rsidRPr="00F50AF3">
        <w:rPr>
          <w:b/>
          <w:bCs/>
          <w:color w:val="000000"/>
        </w:rPr>
        <w:lastRenderedPageBreak/>
        <w:t xml:space="preserve">Pillar 2: Strategic Youth Project Design &amp; Implementation </w:t>
      </w:r>
    </w:p>
    <w:p w14:paraId="5761F3F1" w14:textId="589CB652" w:rsidR="009D74D7" w:rsidRPr="00F50AF3" w:rsidRDefault="009D74D7" w:rsidP="00F50AF3">
      <w:pPr>
        <w:pStyle w:val="NormalWeb"/>
        <w:spacing w:before="480" w:after="480"/>
        <w:ind w:firstLine="720"/>
        <w:jc w:val="both"/>
        <w:rPr>
          <w:color w:val="000000"/>
        </w:rPr>
      </w:pPr>
      <w:r w:rsidRPr="00F50AF3">
        <w:rPr>
          <w:color w:val="000000"/>
        </w:rPr>
        <w:t>The targeted areas for this pillar will positively transform the thinking of Sangguniang Kabataan (SK) officials, ensuring that they become effective project developers and innovators. The primary goal is to empower them to successfully transform developing youth problems into long-term, practical, and quantitative projects that meet community expectations. In relation, this goal aligns with the study conducted by Bawit et al. (2024), highlighting social inclusion and equity, active citizenship, and economic empowerment as the top priorities for Sangguniang Kabataan programs, which are critical for ensuring that youth are provided with equal opportunities, civic education, and resources to navigate economic challenges.</w:t>
      </w:r>
      <w:r w:rsidR="00D710F9" w:rsidRPr="00F50AF3">
        <w:rPr>
          <w:color w:val="000000"/>
        </w:rPr>
        <w:t xml:space="preserve"> </w:t>
      </w:r>
      <w:r w:rsidRPr="00F50AF3">
        <w:rPr>
          <w:color w:val="000000"/>
        </w:rPr>
        <w:t xml:space="preserve">Moreover, such capabilities would comprise the previously mentioned crucial features of technical competence and project development, which are the primary objectives of the SK's mandate in launching and developing successful projects. The SK's primary job in accordance with its mandate is to create, plan, and implement projects. </w:t>
      </w:r>
    </w:p>
    <w:p w14:paraId="63D8377F" w14:textId="77777777" w:rsidR="009D74D7" w:rsidRPr="00F50AF3" w:rsidRDefault="009D74D7" w:rsidP="00F50AF3">
      <w:pPr>
        <w:pStyle w:val="NormalWeb"/>
        <w:spacing w:before="480" w:after="480"/>
        <w:jc w:val="both"/>
        <w:rPr>
          <w:b/>
          <w:bCs/>
          <w:color w:val="000000"/>
        </w:rPr>
      </w:pPr>
      <w:r w:rsidRPr="00F50AF3">
        <w:rPr>
          <w:b/>
          <w:bCs/>
          <w:color w:val="000000"/>
        </w:rPr>
        <w:t xml:space="preserve">Key Modules/Topics Evolution: </w:t>
      </w:r>
    </w:p>
    <w:p w14:paraId="78D5DFE5"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Innovative Solution Generation &amp; Program Design: </w:t>
      </w:r>
    </w:p>
    <w:p w14:paraId="3FFB4F73" w14:textId="77777777" w:rsidR="009D74D7" w:rsidRPr="00F50AF3" w:rsidRDefault="009D74D7" w:rsidP="00F50AF3">
      <w:pPr>
        <w:pStyle w:val="NormalWeb"/>
        <w:spacing w:before="480" w:after="480"/>
        <w:ind w:firstLine="720"/>
        <w:jc w:val="both"/>
        <w:rPr>
          <w:color w:val="000000"/>
        </w:rPr>
      </w:pPr>
      <w:r w:rsidRPr="00F50AF3">
        <w:rPr>
          <w:color w:val="000000"/>
        </w:rPr>
        <w:t xml:space="preserve">Workshops on design thinking, co-creation with youth (Katipunan ng Kabataan – KK), and developing multi-sectoral programs that align with the Comprehensive Barangay Youth Development Plan (CBYDP) and the Philippine Youth Development Plan (PYDP). Augment with methodologies for iterative prototyping and piloting of interventions, emphasizing feedback loops from diverse youth groups to heighten responsiveness and impact (UNOSSC Y4S Program, 2017). Incorporate training on the use of technology and digital tools for program development and virtual collaboration, enabling innovation even in resource-constrained settings. </w:t>
      </w:r>
    </w:p>
    <w:p w14:paraId="2723C0FA"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Adaptive Leadership and Change Management: </w:t>
      </w:r>
    </w:p>
    <w:p w14:paraId="21AEF444" w14:textId="77777777" w:rsidR="009D74D7" w:rsidRPr="00F50AF3" w:rsidRDefault="009D74D7" w:rsidP="00F50AF3">
      <w:pPr>
        <w:pStyle w:val="NormalWeb"/>
        <w:spacing w:before="480" w:after="480"/>
        <w:ind w:firstLine="720"/>
        <w:jc w:val="both"/>
        <w:rPr>
          <w:color w:val="000000"/>
        </w:rPr>
      </w:pPr>
      <w:r w:rsidRPr="00F50AF3">
        <w:rPr>
          <w:color w:val="000000"/>
        </w:rPr>
        <w:t xml:space="preserve">Equip youth leaders with skills to navigate complexity, foster resilience, and lead community change initiatives. This involves understanding change dynamics, building stakeholder coalitions, and responding flexibly to emerging challenges. This includes frameworks for assessing organizational and community readiness for change and managing resistance. Add real-world case studies on successful youth-led change projects to inspire practical application (UNOSSC Y4S Program, 2017). Emphasize the role of continuous learning and reflective practice to improve leadership agility and program outcomes </w:t>
      </w:r>
    </w:p>
    <w:p w14:paraId="4FDD8615"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Civic Engagement and Community Mobilization Strategies: </w:t>
      </w:r>
    </w:p>
    <w:p w14:paraId="08ECDA0E" w14:textId="0622E9D0" w:rsidR="009D74D7" w:rsidRPr="00F50AF3" w:rsidRDefault="009D74D7" w:rsidP="00F50AF3">
      <w:pPr>
        <w:pStyle w:val="NormalWeb"/>
        <w:spacing w:before="480" w:after="480"/>
        <w:ind w:firstLine="720"/>
        <w:jc w:val="both"/>
        <w:rPr>
          <w:color w:val="000000"/>
        </w:rPr>
      </w:pPr>
      <w:r w:rsidRPr="00F50AF3">
        <w:rPr>
          <w:color w:val="000000"/>
        </w:rPr>
        <w:t>Training youth in grassroots organizing, stakeholder engagement, and participatory decision-making processes. Focus on skills to mobilize local assets, foster inclusive dialogues, digital civic engagement tools, social media advocacy, and leverage networks for broader impact. And sustain community support for youth initiatives.</w:t>
      </w:r>
    </w:p>
    <w:p w14:paraId="01760ED4"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Sustainable Development Goals (SDGs) Integration: </w:t>
      </w:r>
    </w:p>
    <w:p w14:paraId="29237B6D" w14:textId="77777777" w:rsidR="009D74D7" w:rsidRPr="00F50AF3" w:rsidRDefault="009D74D7" w:rsidP="00F50AF3">
      <w:pPr>
        <w:pStyle w:val="NormalWeb"/>
        <w:spacing w:before="480" w:after="480"/>
        <w:ind w:firstLine="720"/>
        <w:jc w:val="both"/>
        <w:rPr>
          <w:color w:val="000000"/>
        </w:rPr>
      </w:pPr>
      <w:r w:rsidRPr="00F50AF3">
        <w:rPr>
          <w:color w:val="000000"/>
        </w:rPr>
        <w:t xml:space="preserve">Training on aligning youth programs with the global sustainability agenda to promote multidimensional impact. This includes understanding relevant SDGs, setting measurable goals, tracking progress, and mapping local youth issues to specific SDGs to foster relevance. Also, encourage partnerships with NGOs, government agencies, and the private sector to amplify resources and expertise for SDG achievement. </w:t>
      </w:r>
    </w:p>
    <w:p w14:paraId="5142BA5C"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Evaluation and Reflective Practice in Program Design: </w:t>
      </w:r>
    </w:p>
    <w:p w14:paraId="07F43A23" w14:textId="77777777" w:rsidR="009D74D7" w:rsidRPr="00F50AF3" w:rsidRDefault="009D74D7" w:rsidP="00F50AF3">
      <w:pPr>
        <w:pStyle w:val="NormalWeb"/>
        <w:spacing w:before="480" w:after="480"/>
        <w:ind w:firstLine="720"/>
        <w:jc w:val="both"/>
        <w:rPr>
          <w:color w:val="000000"/>
        </w:rPr>
      </w:pPr>
      <w:r w:rsidRPr="00F50AF3">
        <w:rPr>
          <w:color w:val="000000"/>
        </w:rPr>
        <w:t xml:space="preserve">Build capacity for systematic monitoring and evaluation (M&amp;E), including setting indicators, collecting and analyzing data, and using findings for iterative program improvement. </w:t>
      </w:r>
    </w:p>
    <w:p w14:paraId="6D329208" w14:textId="77777777" w:rsidR="00D710F9" w:rsidRPr="00F50AF3" w:rsidRDefault="009D74D7" w:rsidP="00F50AF3">
      <w:pPr>
        <w:pStyle w:val="NormalWeb"/>
        <w:spacing w:before="480" w:after="480"/>
        <w:jc w:val="both"/>
        <w:rPr>
          <w:b/>
          <w:bCs/>
          <w:color w:val="000000"/>
        </w:rPr>
      </w:pPr>
      <w:r w:rsidRPr="00F50AF3">
        <w:rPr>
          <w:b/>
          <w:bCs/>
          <w:color w:val="000000"/>
        </w:rPr>
        <w:t xml:space="preserve">Pillar 3: Collaborative Leadership &amp; Community Mobilization </w:t>
      </w:r>
    </w:p>
    <w:p w14:paraId="3F66F49B" w14:textId="04708F35" w:rsidR="009D74D7" w:rsidRPr="00F50AF3" w:rsidRDefault="009D74D7" w:rsidP="00F50AF3">
      <w:pPr>
        <w:pStyle w:val="NormalWeb"/>
        <w:spacing w:before="480" w:after="480"/>
        <w:ind w:firstLine="720"/>
        <w:jc w:val="both"/>
        <w:rPr>
          <w:color w:val="000000"/>
        </w:rPr>
      </w:pPr>
      <w:r w:rsidRPr="00F50AF3">
        <w:rPr>
          <w:color w:val="000000"/>
        </w:rPr>
        <w:lastRenderedPageBreak/>
        <w:t xml:space="preserve">The aim of this pillar is to create SK officials as capable collaborators and community organizers who could build large-scale partnerships and organize volunteers to participate in youth projects, with the emphasis on the competency of leadership and volunteer mobilization. The external collaboration and the community involvement are the primary determinants of what the Sangguniang Kabataan can accomplish in terms of conducting a wide range of youth development activities. Additionally, Joubert (2024) emphasizes that collaborative leadership provides numerous advantages for organizations. At the executive tier, it promotes unity among leaders, enabling swift and effective business decision-making, establishing and upholding the organization's core values, and strategically tackling challenges as an integrated, cohesive team. </w:t>
      </w:r>
    </w:p>
    <w:p w14:paraId="20D86E75" w14:textId="0B304E29" w:rsidR="009D74D7" w:rsidRPr="00F50AF3" w:rsidRDefault="009D74D7" w:rsidP="00F50AF3">
      <w:pPr>
        <w:pStyle w:val="NormalWeb"/>
        <w:spacing w:before="480" w:after="480"/>
        <w:ind w:firstLine="720"/>
        <w:jc w:val="both"/>
        <w:rPr>
          <w:color w:val="000000"/>
        </w:rPr>
      </w:pPr>
      <w:r w:rsidRPr="00F50AF3">
        <w:rPr>
          <w:color w:val="000000"/>
        </w:rPr>
        <w:t>Enhancing these capabilities enables SK to avail of the wider resources and support of the community and make efficient use of the same to transcend the limitations of resources of their own competence and budget, because a single government institution, especially those at the barangay level, where resources are lacking, cannot perform its mandate in isolation. SK has to interact and work with outsiders effectively. Lastly, collaborative leadership and community mobilization fit</w:t>
      </w:r>
      <w:r w:rsidR="00D710F9" w:rsidRPr="00F50AF3">
        <w:rPr>
          <w:color w:val="000000"/>
        </w:rPr>
        <w:t xml:space="preserve"> </w:t>
      </w:r>
      <w:r w:rsidRPr="00F50AF3">
        <w:rPr>
          <w:color w:val="000000"/>
        </w:rPr>
        <w:t xml:space="preserve">under SDG 17, which aims to “Strengthen the means of implementation and revitalize the Global Partnership for Sustainable Development” (United Nations, 2023). </w:t>
      </w:r>
    </w:p>
    <w:p w14:paraId="2A1254D3" w14:textId="77777777" w:rsidR="009D74D7" w:rsidRPr="00F50AF3" w:rsidRDefault="009D74D7" w:rsidP="00F50AF3">
      <w:pPr>
        <w:pStyle w:val="NormalWeb"/>
        <w:spacing w:before="480" w:after="480"/>
        <w:jc w:val="both"/>
        <w:rPr>
          <w:b/>
          <w:bCs/>
          <w:color w:val="000000"/>
        </w:rPr>
      </w:pPr>
      <w:r w:rsidRPr="00F50AF3">
        <w:rPr>
          <w:b/>
          <w:bCs/>
          <w:color w:val="000000"/>
        </w:rPr>
        <w:t xml:space="preserve">Key Modules/Topics Evolution: </w:t>
      </w:r>
    </w:p>
    <w:p w14:paraId="1C4CDFB9"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Advanced Stakeholder Mapping &amp; Engagement Strategies: </w:t>
      </w:r>
    </w:p>
    <w:p w14:paraId="4C2F711B" w14:textId="77777777" w:rsidR="009D74D7" w:rsidRPr="00F50AF3" w:rsidRDefault="009D74D7" w:rsidP="00F50AF3">
      <w:pPr>
        <w:pStyle w:val="NormalWeb"/>
        <w:spacing w:before="480" w:after="480"/>
        <w:ind w:firstLine="720"/>
        <w:jc w:val="both"/>
        <w:rPr>
          <w:color w:val="000000"/>
        </w:rPr>
      </w:pPr>
      <w:r w:rsidRPr="00F50AF3">
        <w:rPr>
          <w:color w:val="000000"/>
        </w:rPr>
        <w:t xml:space="preserve">Techniques for identifying, analyzing, and engaging diverse stakeholders, including local government units (LGUs), civil society organizations (CSOs), the private sector, and international development partners. Stakeholder mapping provides insights for developing successful stakeholder engagement strategies and also highlights a better understanding of the dynamics and interactions of many stakeholders by highlighting their ties, impact, and interests. </w:t>
      </w:r>
    </w:p>
    <w:p w14:paraId="5312FBCA"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Strategic Partnership Building &amp; Management: </w:t>
      </w:r>
    </w:p>
    <w:p w14:paraId="1A524C34" w14:textId="77777777" w:rsidR="009D74D7" w:rsidRPr="00F50AF3" w:rsidRDefault="009D74D7" w:rsidP="00F50AF3">
      <w:pPr>
        <w:pStyle w:val="NormalWeb"/>
        <w:spacing w:before="480" w:after="480"/>
        <w:ind w:firstLine="720"/>
        <w:jc w:val="both"/>
        <w:rPr>
          <w:color w:val="000000"/>
        </w:rPr>
      </w:pPr>
      <w:r w:rsidRPr="00F50AF3">
        <w:rPr>
          <w:color w:val="000000"/>
        </w:rPr>
        <w:t xml:space="preserve">Workshops on formalizing inter-agency and cross-sectoral partnerships, developing Memoranda of Understanding (MOUs), establishing joint ventures, and sustaining long-term collaborations, drawing lessons from LGA's comprehensive partnership framework. Also, contained in it is the process of successful partnership building and the key components of an effective strategic partnership that ensure growth and mutual success for all collaborating agencies or organizations. </w:t>
      </w:r>
    </w:p>
    <w:p w14:paraId="624215DE"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Effective Volunteer Mobilization &amp; Management: </w:t>
      </w:r>
    </w:p>
    <w:p w14:paraId="1C4DE195" w14:textId="77777777" w:rsidR="009D74D7" w:rsidRPr="00F50AF3" w:rsidRDefault="009D74D7" w:rsidP="00F50AF3">
      <w:pPr>
        <w:pStyle w:val="NormalWeb"/>
        <w:spacing w:before="480" w:after="480"/>
        <w:ind w:firstLine="720"/>
        <w:jc w:val="both"/>
        <w:rPr>
          <w:color w:val="000000"/>
        </w:rPr>
      </w:pPr>
      <w:r w:rsidRPr="00F50AF3">
        <w:rPr>
          <w:color w:val="000000"/>
        </w:rPr>
        <w:t xml:space="preserve">Best practices in recruiting, training, motivating, and retaining volunteers, recognizing their crucial role in extending SK's reach and amplifying program impact. This includes understanding volunteer motivations, legal frameworks, the establishment of a strategic volunteer management plan, and crafting a narrative that is convincing and clarifies the goals and purpose of a volunteer program. </w:t>
      </w:r>
    </w:p>
    <w:p w14:paraId="72D3D53C"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Advanced Conflict Resolution &amp; Consensus Building: </w:t>
      </w:r>
    </w:p>
    <w:p w14:paraId="31D7B7A5" w14:textId="635B4F1A" w:rsidR="009D74D7" w:rsidRPr="00F50AF3" w:rsidRDefault="009D74D7" w:rsidP="00F50AF3">
      <w:pPr>
        <w:pStyle w:val="NormalWeb"/>
        <w:spacing w:before="480" w:after="480"/>
        <w:ind w:firstLine="720"/>
        <w:jc w:val="both"/>
        <w:rPr>
          <w:color w:val="000000"/>
        </w:rPr>
      </w:pPr>
      <w:r w:rsidRPr="00F50AF3">
        <w:rPr>
          <w:color w:val="000000"/>
        </w:rPr>
        <w:t>Training in mediation, negotiation, and fostering consensus within the SK council, with the Katipunan ng Kabataan (KK), and among diverse community groups to ensure smooth project implementation and harmonious community relations. This also includes the discussion on conflict resolution strategies, creating ways that</w:t>
      </w:r>
      <w:r w:rsidR="00D710F9" w:rsidRPr="00F50AF3">
        <w:rPr>
          <w:color w:val="000000"/>
        </w:rPr>
        <w:t xml:space="preserve"> </w:t>
      </w:r>
      <w:r w:rsidRPr="00F50AF3">
        <w:rPr>
          <w:color w:val="000000"/>
        </w:rPr>
        <w:t xml:space="preserve">support peacebuilding, and a discussion about the vital role of youth in peacebuilding. </w:t>
      </w:r>
    </w:p>
    <w:p w14:paraId="3BACF229" w14:textId="77777777" w:rsidR="009D74D7" w:rsidRPr="00F50AF3" w:rsidRDefault="009D74D7" w:rsidP="00F50AF3">
      <w:pPr>
        <w:pStyle w:val="NormalWeb"/>
        <w:spacing w:before="480" w:after="480"/>
        <w:jc w:val="both"/>
        <w:rPr>
          <w:b/>
          <w:bCs/>
          <w:color w:val="000000"/>
        </w:rPr>
      </w:pPr>
      <w:r w:rsidRPr="00F50AF3">
        <w:rPr>
          <w:b/>
          <w:bCs/>
          <w:color w:val="000000"/>
        </w:rPr>
        <w:t xml:space="preserve">Pillar 4: Operational Excellence &amp; Fiscal Responsibility </w:t>
      </w:r>
    </w:p>
    <w:p w14:paraId="74D2D1BA" w14:textId="77777777" w:rsidR="009D74D7" w:rsidRPr="00F50AF3" w:rsidRDefault="009D74D7" w:rsidP="00F50AF3">
      <w:pPr>
        <w:pStyle w:val="NormalWeb"/>
        <w:spacing w:before="480" w:after="480"/>
        <w:ind w:firstLine="720"/>
        <w:jc w:val="both"/>
        <w:rPr>
          <w:color w:val="000000"/>
        </w:rPr>
      </w:pPr>
      <w:r w:rsidRPr="00F50AF3">
        <w:rPr>
          <w:color w:val="000000"/>
        </w:rPr>
        <w:t xml:space="preserve">The pillar is centered on equipping SK officials with practical knowledge in the administration and finances of an efficient, responsible, and transparent government, including functional and ordinary skills such as financial management. Responsive governance including putting up a trust in the minds of the population and in giving effective provision of service are fiscal accountability and operational capability is key to the </w:t>
      </w:r>
      <w:r w:rsidRPr="00F50AF3">
        <w:rPr>
          <w:color w:val="000000"/>
        </w:rPr>
        <w:lastRenderedPageBreak/>
        <w:t xml:space="preserve">restoration of trust in government (Brillantes &amp; Fernandez, 2021). The training in these matters should be sustained and more frequently done to guide the youth on governing accounting policies and procedures relative to the proper recording and reporting of the funds entrusted to them, since the funds invested in SK need to have a full disclosure of transactions to the population (Commission on Audit, 2021). The popularity of confidence and financial responsibility in terms of funding at the barangay level can be seen in the 10 percent barangay budget that was awarded to SK. A lack of transparency or poor management can significantly undermine trust. </w:t>
      </w:r>
    </w:p>
    <w:p w14:paraId="56C4CDAC" w14:textId="77777777" w:rsidR="009D74D7" w:rsidRPr="00F50AF3" w:rsidRDefault="009D74D7" w:rsidP="00F50AF3">
      <w:pPr>
        <w:pStyle w:val="NormalWeb"/>
        <w:spacing w:before="480" w:after="480"/>
        <w:jc w:val="both"/>
        <w:rPr>
          <w:b/>
          <w:bCs/>
          <w:color w:val="000000"/>
        </w:rPr>
      </w:pPr>
      <w:r w:rsidRPr="00F50AF3">
        <w:rPr>
          <w:b/>
          <w:bCs/>
          <w:color w:val="000000"/>
        </w:rPr>
        <w:t xml:space="preserve">Key Modules/Topics Evolution: </w:t>
      </w:r>
    </w:p>
    <w:p w14:paraId="01C5B58D" w14:textId="77777777" w:rsidR="00D961FF" w:rsidRPr="00F50AF3" w:rsidRDefault="009D74D7" w:rsidP="00F50AF3">
      <w:pPr>
        <w:pStyle w:val="NormalWeb"/>
        <w:spacing w:before="480" w:after="480"/>
        <w:ind w:firstLine="720"/>
        <w:jc w:val="both"/>
        <w:rPr>
          <w:b/>
          <w:bCs/>
          <w:color w:val="000000"/>
        </w:rPr>
      </w:pPr>
      <w:r w:rsidRPr="00F50AF3">
        <w:rPr>
          <w:b/>
          <w:bCs/>
          <w:color w:val="000000"/>
        </w:rPr>
        <w:t xml:space="preserve">Responsible Management of Common Areas &amp; Community Safety: </w:t>
      </w:r>
    </w:p>
    <w:p w14:paraId="57131820" w14:textId="3B7E9277" w:rsidR="009D74D7" w:rsidRPr="00F50AF3" w:rsidRDefault="009D74D7" w:rsidP="00F50AF3">
      <w:pPr>
        <w:pStyle w:val="NormalWeb"/>
        <w:spacing w:before="480" w:after="480"/>
        <w:ind w:firstLine="720"/>
        <w:jc w:val="both"/>
        <w:rPr>
          <w:color w:val="000000"/>
        </w:rPr>
      </w:pPr>
      <w:r w:rsidRPr="00F50AF3">
        <w:rPr>
          <w:color w:val="000000"/>
        </w:rPr>
        <w:t xml:space="preserve">Advanced training on disaster risk reduction and management (DRRM) tailored for youth, climate change adaptation strategies, and ensuring overall community well-being, integrating gender-responsive approaches as highlighted by funding mechanisms like AGCF. </w:t>
      </w:r>
    </w:p>
    <w:p w14:paraId="6335B525" w14:textId="77777777" w:rsidR="00D961FF" w:rsidRPr="00F50AF3" w:rsidRDefault="009D74D7" w:rsidP="00F50AF3">
      <w:pPr>
        <w:pStyle w:val="NormalWeb"/>
        <w:spacing w:before="480" w:after="480"/>
        <w:ind w:firstLine="720"/>
        <w:jc w:val="both"/>
        <w:rPr>
          <w:b/>
          <w:bCs/>
          <w:color w:val="000000"/>
        </w:rPr>
      </w:pPr>
      <w:r w:rsidRPr="00F50AF3">
        <w:rPr>
          <w:b/>
          <w:bCs/>
          <w:color w:val="000000"/>
        </w:rPr>
        <w:t xml:space="preserve">Advanced Financial Management for SK Officials: </w:t>
      </w:r>
    </w:p>
    <w:p w14:paraId="05383681" w14:textId="77777777" w:rsidR="00D961FF" w:rsidRPr="00F50AF3" w:rsidRDefault="009D74D7" w:rsidP="00F50AF3">
      <w:pPr>
        <w:pStyle w:val="NormalWeb"/>
        <w:spacing w:before="480" w:after="480"/>
        <w:ind w:firstLine="720"/>
        <w:jc w:val="both"/>
        <w:rPr>
          <w:color w:val="000000"/>
        </w:rPr>
      </w:pPr>
      <w:r w:rsidRPr="00F50AF3">
        <w:rPr>
          <w:color w:val="000000"/>
        </w:rPr>
        <w:t>In-depth training on budgeting processes, financial reporting, internal controls, and auditing principles specifically for the 10% barangay budget, ensuring strict adherence to regulations, transparency, and accountability. This builds on the BLGF's Training of Trainers on LGU financial tools.</w:t>
      </w:r>
    </w:p>
    <w:p w14:paraId="03F98EFB" w14:textId="47619259" w:rsidR="009D74D7" w:rsidRPr="00F50AF3" w:rsidRDefault="009D74D7" w:rsidP="00F50AF3">
      <w:pPr>
        <w:pStyle w:val="NormalWeb"/>
        <w:spacing w:before="480" w:after="480"/>
        <w:ind w:firstLine="720"/>
        <w:jc w:val="both"/>
        <w:rPr>
          <w:b/>
          <w:bCs/>
          <w:color w:val="000000"/>
        </w:rPr>
      </w:pPr>
      <w:r w:rsidRPr="00F50AF3">
        <w:rPr>
          <w:b/>
          <w:bCs/>
          <w:color w:val="000000"/>
        </w:rPr>
        <w:t xml:space="preserve">Comprehensive Procurement Systems &amp; Compliance: </w:t>
      </w:r>
    </w:p>
    <w:p w14:paraId="17EEEA8F" w14:textId="77777777" w:rsidR="009D74D7" w:rsidRPr="00F50AF3" w:rsidRDefault="009D74D7" w:rsidP="00F50AF3">
      <w:pPr>
        <w:pStyle w:val="NormalWeb"/>
        <w:spacing w:before="480" w:after="480"/>
        <w:ind w:firstLine="720"/>
        <w:jc w:val="both"/>
        <w:rPr>
          <w:color w:val="000000"/>
        </w:rPr>
      </w:pPr>
      <w:r w:rsidRPr="00F50AF3">
        <w:rPr>
          <w:color w:val="000000"/>
        </w:rPr>
        <w:t xml:space="preserve">Detailed understanding of government procurement laws and regulations (e.g., those from GPPB), ensuring ethical, efficient, and compliant acquisition of goods and services for SK projects. This also gives emphasis to the transparent and accountable procurement processes and the discussion about the standards in terms of quality. </w:t>
      </w:r>
    </w:p>
    <w:p w14:paraId="43A92C57"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Strategic Resource Allocation &amp; Sustainability Planning: </w:t>
      </w:r>
    </w:p>
    <w:p w14:paraId="4C16EEE1" w14:textId="77777777" w:rsidR="009D74D7" w:rsidRPr="00F50AF3" w:rsidRDefault="009D74D7" w:rsidP="00F50AF3">
      <w:pPr>
        <w:pStyle w:val="NormalWeb"/>
        <w:spacing w:before="480" w:after="480"/>
        <w:ind w:firstLine="720"/>
        <w:jc w:val="both"/>
        <w:rPr>
          <w:color w:val="000000"/>
        </w:rPr>
      </w:pPr>
      <w:r w:rsidRPr="00F50AF3">
        <w:rPr>
          <w:color w:val="000000"/>
        </w:rPr>
        <w:t xml:space="preserve">Training on optimizing resource utilization, exploring alternative revenue streams beyond the annual budget, and developing robust financial sustainability plans for long-term youth programs and initiatives. </w:t>
      </w:r>
    </w:p>
    <w:p w14:paraId="26D70F72" w14:textId="77777777" w:rsidR="009D74D7" w:rsidRPr="00F50AF3" w:rsidRDefault="009D74D7" w:rsidP="00F50AF3">
      <w:pPr>
        <w:pStyle w:val="NormalWeb"/>
        <w:spacing w:before="480" w:after="480"/>
        <w:jc w:val="both"/>
        <w:rPr>
          <w:b/>
          <w:bCs/>
          <w:color w:val="000000"/>
        </w:rPr>
      </w:pPr>
      <w:r w:rsidRPr="00F50AF3">
        <w:rPr>
          <w:b/>
          <w:bCs/>
          <w:color w:val="000000"/>
        </w:rPr>
        <w:t xml:space="preserve">Pillar 5: Ethical, Inclusive, and Adaptive Governance </w:t>
      </w:r>
    </w:p>
    <w:p w14:paraId="23785CDC" w14:textId="77777777" w:rsidR="009D74D7" w:rsidRPr="00F50AF3" w:rsidRDefault="009D74D7" w:rsidP="00F50AF3">
      <w:pPr>
        <w:pStyle w:val="NormalWeb"/>
        <w:spacing w:before="480" w:after="480"/>
        <w:ind w:firstLine="720"/>
        <w:jc w:val="both"/>
        <w:rPr>
          <w:color w:val="000000"/>
        </w:rPr>
      </w:pPr>
      <w:r w:rsidRPr="00F50AF3">
        <w:rPr>
          <w:color w:val="000000"/>
        </w:rPr>
        <w:t xml:space="preserve">The pillar aims at preparing Sangguniang Kabataan (SK) officials with much-needed skills; encouraging volunteer participation, and spurring project creation. It also equips them with readiness to face the hustle and bustle of government through its development of a good moral compass, a strong sense of inclusivity, and a variable nature. Technical competencies are not the only things needed for effective, sustainable, and trustworthy governance; it has to be based on a strong ethical base, commitment to diversity, and the ability to change and adapt. Those important soft skills, which are often neglected, are essential to promote innovation, build trust in SK activities among the population, and guarantee its sustainability and beneficial contribution in the long run. </w:t>
      </w:r>
    </w:p>
    <w:p w14:paraId="2E666046" w14:textId="194670C8" w:rsidR="009D74D7" w:rsidRPr="00F50AF3" w:rsidRDefault="009D74D7" w:rsidP="00F50AF3">
      <w:pPr>
        <w:pStyle w:val="NormalWeb"/>
        <w:spacing w:before="480" w:after="480"/>
        <w:ind w:firstLine="720"/>
        <w:jc w:val="both"/>
        <w:rPr>
          <w:color w:val="000000"/>
        </w:rPr>
      </w:pPr>
      <w:r w:rsidRPr="00F50AF3">
        <w:rPr>
          <w:color w:val="000000"/>
        </w:rPr>
        <w:t>The approach of this pillar is also supported by other evidence in the current literature. Research has cited the vital role of gender sensitivity training and inclusive governance in enabling the Sangguniang Kabataan officials to represent and serve different youth groups. As an example, a detailed Gender Sensitivity Training program (2025) explains how gender sensitivity training enhances gender dynamics perception and facilitates equal participation in youth programs and budget-making undertakings. In addition, studies conducted on Sangguniang Kabataan Mandatory Training highlight the importance of incorporating aspects of ethical behavior,</w:t>
      </w:r>
      <w:r w:rsidR="00D961FF" w:rsidRPr="00F50AF3">
        <w:rPr>
          <w:color w:val="000000"/>
        </w:rPr>
        <w:t xml:space="preserve"> </w:t>
      </w:r>
      <w:r w:rsidRPr="00F50AF3">
        <w:rPr>
          <w:color w:val="000000"/>
        </w:rPr>
        <w:t xml:space="preserve">accountability, and adaptive leadership to create a trustworthy governance that is not rigid to emerging issues (Alcantara &amp; Segundo, 2025). </w:t>
      </w:r>
    </w:p>
    <w:p w14:paraId="28881A33" w14:textId="77777777" w:rsidR="009D74D7" w:rsidRPr="00F50AF3" w:rsidRDefault="009D74D7" w:rsidP="00F50AF3">
      <w:pPr>
        <w:pStyle w:val="NormalWeb"/>
        <w:spacing w:before="480" w:after="480"/>
        <w:ind w:firstLine="720"/>
        <w:jc w:val="both"/>
        <w:rPr>
          <w:color w:val="000000"/>
        </w:rPr>
      </w:pPr>
      <w:r w:rsidRPr="00F50AF3">
        <w:rPr>
          <w:color w:val="000000"/>
        </w:rPr>
        <w:t xml:space="preserve">These collectively confirm the Pillar 5 emphasis on building technical competencies with robust ethical backgrounds, inclusiveness, and adaptive competencies to maintain youth-leadership influence. It is remarkable </w:t>
      </w:r>
      <w:r w:rsidRPr="00F50AF3">
        <w:rPr>
          <w:color w:val="000000"/>
        </w:rPr>
        <w:lastRenderedPageBreak/>
        <w:t xml:space="preserve">to say that the Training Needs Analysis (TNA) originally revealed that Gender Sensitivity Training was the least rated (in terms of mean values). This brings to the limelight a gap so critical that it goes beyond simple technical knowledge down to the levels of personal beliefs and behaviors necessary to enable inclusive governance. </w:t>
      </w:r>
    </w:p>
    <w:p w14:paraId="0861D5EC"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Key Modules/Topics Evolution: </w:t>
      </w:r>
    </w:p>
    <w:p w14:paraId="2C586579"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Advanced Gender Sensitivity &amp; Inclusive Governance: </w:t>
      </w:r>
    </w:p>
    <w:p w14:paraId="5639A946" w14:textId="77777777" w:rsidR="009D74D7" w:rsidRPr="00F50AF3" w:rsidRDefault="009D74D7" w:rsidP="00F50AF3">
      <w:pPr>
        <w:pStyle w:val="NormalWeb"/>
        <w:spacing w:before="480" w:after="480"/>
        <w:ind w:firstLine="720"/>
        <w:jc w:val="both"/>
        <w:rPr>
          <w:color w:val="000000"/>
        </w:rPr>
      </w:pPr>
      <w:r w:rsidRPr="00F50AF3">
        <w:rPr>
          <w:color w:val="000000"/>
        </w:rPr>
        <w:t xml:space="preserve">Deepening understanding of gender dynamics, LGBTQIA+ inclusion, and ensuring all youth programs, policies, and communication are inherently gender-sensitive, free from bias, and promote equitable participation, leveraging insights from gender-responsive funding initiatives. Thus, a Gender-Responsive Budgeting Workshop for SK officials can become a sample activity, in which they learn how to analyze their Annual Barangay Youth Investment Program (ABYIP) to ensure that funds are allocated in a way that benefits all youth, regardless of gender or sexual orientation. </w:t>
      </w:r>
    </w:p>
    <w:p w14:paraId="7D1FC5DB" w14:textId="77777777" w:rsidR="009D74D7" w:rsidRPr="00F50AF3" w:rsidRDefault="009D74D7" w:rsidP="00F50AF3">
      <w:pPr>
        <w:pStyle w:val="NormalWeb"/>
        <w:spacing w:before="480" w:after="480"/>
        <w:ind w:firstLine="720"/>
        <w:jc w:val="both"/>
        <w:rPr>
          <w:b/>
          <w:bCs/>
          <w:color w:val="000000"/>
        </w:rPr>
      </w:pPr>
      <w:r w:rsidRPr="00F50AF3">
        <w:rPr>
          <w:b/>
          <w:bCs/>
          <w:color w:val="000000"/>
        </w:rPr>
        <w:t xml:space="preserve">Ethical Conduct &amp; Accountability in Public Service: </w:t>
      </w:r>
    </w:p>
    <w:p w14:paraId="46F6642F" w14:textId="77777777" w:rsidR="009D74D7" w:rsidRPr="00F50AF3" w:rsidRDefault="009D74D7" w:rsidP="00F50AF3">
      <w:pPr>
        <w:pStyle w:val="NormalWeb"/>
        <w:spacing w:before="480" w:after="480"/>
        <w:ind w:firstLine="720"/>
        <w:jc w:val="both"/>
        <w:rPr>
          <w:color w:val="000000"/>
        </w:rPr>
      </w:pPr>
      <w:r w:rsidRPr="00F50AF3">
        <w:rPr>
          <w:color w:val="000000"/>
        </w:rPr>
        <w:t xml:space="preserve">Comprehensive training on anti-corruption measures, conflict of interest, the importance of full public disclosure requirements, and upholding the highest standards of integrity and public trust. This includes case studies and ethical dilemma simulations. A scenario-based workshop would fit in this, since SK officials need to have the ability to balance their decision where they know how to resolve conflicts of interest, potential consequences, and come up with an ethical action plan based on existing SK policies and the principles of public trust. </w:t>
      </w:r>
    </w:p>
    <w:p w14:paraId="1D78EF2B" w14:textId="77777777" w:rsidR="00D961FF" w:rsidRPr="00F50AF3" w:rsidRDefault="009D74D7" w:rsidP="00F50AF3">
      <w:pPr>
        <w:pStyle w:val="NormalWeb"/>
        <w:spacing w:before="480" w:after="480"/>
        <w:ind w:firstLine="720"/>
        <w:jc w:val="both"/>
        <w:rPr>
          <w:b/>
          <w:bCs/>
          <w:color w:val="000000"/>
        </w:rPr>
      </w:pPr>
      <w:r w:rsidRPr="00F50AF3">
        <w:rPr>
          <w:b/>
          <w:bCs/>
          <w:color w:val="000000"/>
        </w:rPr>
        <w:t xml:space="preserve">Fostering a Culture of Continuous Professional Development: </w:t>
      </w:r>
    </w:p>
    <w:p w14:paraId="5C154931" w14:textId="05AD4B79" w:rsidR="009D74D7" w:rsidRPr="00F50AF3" w:rsidRDefault="009D74D7" w:rsidP="00F50AF3">
      <w:pPr>
        <w:pStyle w:val="NormalWeb"/>
        <w:spacing w:before="480" w:after="480"/>
        <w:ind w:firstLine="720"/>
        <w:jc w:val="both"/>
        <w:rPr>
          <w:color w:val="000000"/>
        </w:rPr>
      </w:pPr>
      <w:r w:rsidRPr="00F50AF3">
        <w:rPr>
          <w:color w:val="000000"/>
        </w:rPr>
        <w:t>Encouraging lifelong learning, self-assessment, mentorship, and peer-to-peer</w:t>
      </w:r>
      <w:r w:rsidR="00D961FF" w:rsidRPr="00F50AF3">
        <w:rPr>
          <w:color w:val="000000"/>
        </w:rPr>
        <w:t xml:space="preserve"> </w:t>
      </w:r>
      <w:r w:rsidRPr="00F50AF3">
        <w:rPr>
          <w:color w:val="000000"/>
        </w:rPr>
        <w:t xml:space="preserve">knowledge sharing among SK officials, recognizing SK service not just as a civic duty but as a legitimate and valuable career pathway within public service. Strategic Foresight &amp; Adaptive Leadership: </w:t>
      </w:r>
    </w:p>
    <w:p w14:paraId="37A5C10E" w14:textId="77777777" w:rsidR="009D74D7" w:rsidRPr="00F50AF3" w:rsidRDefault="009D74D7" w:rsidP="00F50AF3">
      <w:pPr>
        <w:pStyle w:val="NormalWeb"/>
        <w:spacing w:before="480" w:after="480"/>
        <w:ind w:firstLine="720"/>
        <w:jc w:val="both"/>
        <w:rPr>
          <w:color w:val="000000"/>
        </w:rPr>
      </w:pPr>
      <w:r w:rsidRPr="00F50AF3">
        <w:rPr>
          <w:color w:val="000000"/>
        </w:rPr>
        <w:t xml:space="preserve">Training on anticipating future challenges (e.g., impacts of climate change, rapid digital transformation, emerging youth issues), developing resilience, and leading adaptively in complex and uncertain environments to ensure the SK remains relevant and effective. A Barangay Resilience Action Planning workshop can be used as a simulation activity. SK officials can conduct a simple "risk assessment" of their barangay and identify which youth groups or communities are most vulnerable to specific climate impacts .With this, they did not only get knowledge, they also got some grasp on what and where they can assess in times of calamity </w:t>
      </w:r>
    </w:p>
    <w:p w14:paraId="6CEC1145" w14:textId="2F36F340" w:rsidR="009D74D7" w:rsidRPr="00F50AF3" w:rsidRDefault="009D74D7" w:rsidP="00F50AF3">
      <w:pPr>
        <w:pStyle w:val="NormalWeb"/>
        <w:spacing w:before="480" w:after="480"/>
        <w:ind w:firstLine="720"/>
        <w:jc w:val="center"/>
        <w:rPr>
          <w:b/>
          <w:bCs/>
          <w:color w:val="000000"/>
          <w:sz w:val="28"/>
          <w:szCs w:val="28"/>
        </w:rPr>
      </w:pPr>
      <w:r w:rsidRPr="00F50AF3">
        <w:rPr>
          <w:b/>
          <w:bCs/>
          <w:color w:val="000000"/>
          <w:sz w:val="28"/>
          <w:szCs w:val="28"/>
        </w:rPr>
        <w:t>CONCLUSION</w:t>
      </w:r>
    </w:p>
    <w:p w14:paraId="66B578FC" w14:textId="77777777" w:rsidR="009D74D7" w:rsidRPr="00F50AF3" w:rsidRDefault="009D74D7" w:rsidP="00F50AF3">
      <w:pPr>
        <w:pStyle w:val="NormalWeb"/>
        <w:spacing w:before="480" w:after="480"/>
        <w:ind w:firstLine="720"/>
        <w:jc w:val="both"/>
        <w:rPr>
          <w:color w:val="000000"/>
        </w:rPr>
      </w:pPr>
      <w:r w:rsidRPr="00F50AF3">
        <w:rPr>
          <w:color w:val="000000"/>
        </w:rPr>
        <w:t xml:space="preserve">The overall examination of the data acquired gives a clear vision of the demographic profile of the respondents and their self-assessment of the level of competency across various fields. This study was conducted on 223 participants and the distribution in terms of gender was quite even, with 49.8 percent of the sample being female and 50.2 percent male participants, making it a fully balanced sample of the evaluation. The college level of educational law attainment was predominant among the participants, with 70. 9 at college level being attended, with an additional 19. 7 at college graduate level, which implies a highly intelligent group of the population received the survey. The respondents were also mixed, residing in different cities and municipalities, among which Kapalong, New Corella, Tagum, and Carmen were represented the most, which implies a wide regional reach of the research results. </w:t>
      </w:r>
    </w:p>
    <w:p w14:paraId="26DF73BC" w14:textId="64C507D4" w:rsidR="009D74D7" w:rsidRPr="00F50AF3" w:rsidRDefault="009D74D7" w:rsidP="00F50AF3">
      <w:pPr>
        <w:pStyle w:val="NormalWeb"/>
        <w:spacing w:before="480" w:after="480"/>
        <w:ind w:firstLine="720"/>
        <w:jc w:val="both"/>
        <w:rPr>
          <w:color w:val="000000"/>
        </w:rPr>
      </w:pPr>
      <w:r w:rsidRPr="00F50AF3">
        <w:rPr>
          <w:color w:val="000000"/>
        </w:rPr>
        <w:t>Findings showed high competency gaps among Davao del Norte SK officials in all areas of core, technical, leadership and functional expertise as well as in the areas of common skills, project development and volunteer mobilisation. The evaluation revealed that SK officials have low proficiency levels, on the average, on</w:t>
      </w:r>
      <w:r w:rsidR="00D961FF" w:rsidRPr="00F50AF3">
        <w:rPr>
          <w:color w:val="000000"/>
        </w:rPr>
        <w:t xml:space="preserve"> </w:t>
      </w:r>
      <w:r w:rsidRPr="00F50AF3">
        <w:rPr>
          <w:color w:val="000000"/>
        </w:rPr>
        <w:t xml:space="preserve">these domains thus signifying the necessity to build capacity in the majority of the respondents. Moreover, these findings firmly support the need for Training Needs Analysis, Sundari and Aksara (2022), emphasizing </w:t>
      </w:r>
      <w:r w:rsidRPr="00F50AF3">
        <w:rPr>
          <w:color w:val="000000"/>
        </w:rPr>
        <w:lastRenderedPageBreak/>
        <w:t xml:space="preserve">training needs analysis as a data collection technique used to compare and identify the organization's actual performance level with the expected or planned performance level. Hence, applying this theory can help address the competency gaps faced by the Sangguniang Kabataan (SK) officials. </w:t>
      </w:r>
    </w:p>
    <w:p w14:paraId="6567A92B" w14:textId="77777777" w:rsidR="009D74D7" w:rsidRPr="00F50AF3" w:rsidRDefault="009D74D7" w:rsidP="00F50AF3">
      <w:pPr>
        <w:pStyle w:val="NormalWeb"/>
        <w:spacing w:before="480" w:after="480"/>
        <w:ind w:firstLine="720"/>
        <w:jc w:val="both"/>
        <w:rPr>
          <w:color w:val="000000"/>
        </w:rPr>
      </w:pPr>
      <w:r w:rsidRPr="00F50AF3">
        <w:rPr>
          <w:color w:val="000000"/>
        </w:rPr>
        <w:t xml:space="preserve">The fact that these are very low levels of proficiency in essential skills impedes the effectiveness and efficiency of SK officials in the discharge of their duties and scope in youth governance and community developments. The results of the research highlight the necessity of an intensive, specific, and competency-based training that should be used to eliminate these gaps. In addition, the theory of Competency-Based Training (CBT) is parallel to the findings of this study which highlights the importance of aligning the desired training plan with those specific skills that gathered the lowest proficiency levels. This way officials at SK will be better positioned to carry out their functions as well as to foster inclusive and ethical governance and lead the youth in initiatives that will make a significant impact on both the local and national development. </w:t>
      </w:r>
    </w:p>
    <w:p w14:paraId="54D1C776" w14:textId="77777777" w:rsidR="009D74D7" w:rsidRPr="00F50AF3" w:rsidRDefault="009D74D7" w:rsidP="00F50AF3">
      <w:pPr>
        <w:pStyle w:val="NormalWeb"/>
        <w:spacing w:before="480" w:after="480"/>
        <w:ind w:firstLine="720"/>
        <w:jc w:val="both"/>
        <w:rPr>
          <w:color w:val="000000"/>
        </w:rPr>
      </w:pPr>
      <w:r w:rsidRPr="00F50AF3">
        <w:rPr>
          <w:color w:val="000000"/>
        </w:rPr>
        <w:t xml:space="preserve">In conclusion, the research was able to determine the key skill barriers and learning requirements of SK officials in Davao del Norte and this formed a substantial empirical basis of developing targeted training and development programs to improve effectiveness of the youth leaders and to empower youth governance in the province. </w:t>
      </w:r>
    </w:p>
    <w:p w14:paraId="0EDDE8D7" w14:textId="34CBCF85" w:rsidR="009D74D7" w:rsidRPr="00F50AF3" w:rsidRDefault="00D961FF" w:rsidP="00F50AF3">
      <w:pPr>
        <w:pStyle w:val="NormalWeb"/>
        <w:spacing w:before="480" w:after="480"/>
        <w:jc w:val="center"/>
        <w:rPr>
          <w:b/>
          <w:bCs/>
          <w:color w:val="000000"/>
        </w:rPr>
      </w:pPr>
      <w:r w:rsidRPr="00F50AF3">
        <w:rPr>
          <w:b/>
          <w:bCs/>
          <w:color w:val="000000"/>
        </w:rPr>
        <w:t>RECOMMENDATION</w:t>
      </w:r>
    </w:p>
    <w:p w14:paraId="3DE80C28" w14:textId="0B988244" w:rsidR="009D74D7" w:rsidRPr="00F50AF3" w:rsidRDefault="009D74D7" w:rsidP="00F50AF3">
      <w:pPr>
        <w:pStyle w:val="NormalWeb"/>
        <w:spacing w:before="480" w:after="480"/>
        <w:ind w:firstLine="720"/>
        <w:jc w:val="both"/>
        <w:rPr>
          <w:color w:val="000000"/>
        </w:rPr>
      </w:pPr>
      <w:r w:rsidRPr="00F50AF3">
        <w:rPr>
          <w:color w:val="000000"/>
        </w:rPr>
        <w:t>The current study’s results have shown significant gaps in the core, technical, functional, and leadership competencies of Sangguniang Kabataan (SK) officials in Davao del Norte. While quantitative data has successfully highlighted these skill gaps, obtaining deeper contextual insights that contribute to these findings is necessary for the development of meaningful programs. In this regard, the study presents the following recommendations for future research and development.</w:t>
      </w:r>
    </w:p>
    <w:p w14:paraId="0A271F65" w14:textId="77777777" w:rsidR="009D74D7" w:rsidRPr="00F50AF3" w:rsidRDefault="009D74D7" w:rsidP="00F50AF3">
      <w:pPr>
        <w:pStyle w:val="NormalWeb"/>
        <w:spacing w:before="480" w:after="480"/>
        <w:ind w:firstLine="720"/>
        <w:jc w:val="both"/>
        <w:rPr>
          <w:color w:val="000000"/>
        </w:rPr>
      </w:pPr>
      <w:r w:rsidRPr="00F50AF3">
        <w:rPr>
          <w:color w:val="000000"/>
        </w:rPr>
        <w:t xml:space="preserve">Future research should consider qualitative methodologies such as in-depth interviews, focus group discussions, and case studies involving SK officials, the local community, and local government partners. Compared to quantitative surveys, qualitative methods allow researchers to explore the realities behind the statistics more profoundly by capturing the lived experiences, problems, and perspectives of SK officials. This type of information provides a powerful background narrative that explains why certain skill deficiencies exist and how officials navigate their mandates within their socio-political contexts. Such understanding is vital for developing training programs that are participatory and responsive to the real needs of youth leaders, so incorporating qualitative research approaches is essential. </w:t>
      </w:r>
    </w:p>
    <w:p w14:paraId="19EC1666" w14:textId="77777777" w:rsidR="009D74D7" w:rsidRPr="00F50AF3" w:rsidRDefault="009D74D7" w:rsidP="00F50AF3">
      <w:pPr>
        <w:pStyle w:val="NormalWeb"/>
        <w:spacing w:before="480" w:after="480"/>
        <w:ind w:firstLine="720"/>
        <w:jc w:val="both"/>
        <w:rPr>
          <w:color w:val="000000"/>
        </w:rPr>
      </w:pPr>
      <w:r w:rsidRPr="00F50AF3">
        <w:rPr>
          <w:color w:val="000000"/>
        </w:rPr>
        <w:t xml:space="preserve">Additionally, conducting longitudinal studies to assess the impact of training is vital. Longitudinal research following SK officials before and after training programs should be undertaken to measure competency development, governance processes, and community outcomes over time. Such studies provide evidence of the effectiveness and sustainability of capacity-building activities, thereby facilitating ongoing improvement and accountability in youth leadership development. </w:t>
      </w:r>
    </w:p>
    <w:p w14:paraId="1123FD15" w14:textId="77777777" w:rsidR="009D74D7" w:rsidRPr="00F50AF3" w:rsidRDefault="009D74D7" w:rsidP="00F50AF3">
      <w:pPr>
        <w:pStyle w:val="NormalWeb"/>
        <w:spacing w:before="480" w:after="480"/>
        <w:ind w:firstLine="720"/>
        <w:jc w:val="both"/>
        <w:rPr>
          <w:color w:val="000000"/>
        </w:rPr>
      </w:pPr>
      <w:r w:rsidRPr="00F50AF3">
        <w:rPr>
          <w:color w:val="000000"/>
        </w:rPr>
        <w:t xml:space="preserve">Moreover, investigating behavioral, cultural, and attitudinal dimensions is crucial. The study identified low performance in sensitive areas such as gender sensitivity and governance ethics, which often stem from underlying values and beliefs. Future research should explore these behavioral and cultural dimensions by examining personal attitudes, social norms, and organizational cultures influencing SK officials’ behaviors concerning emerging inclusive and adaptive leadership. Gaining insight into these intangible but significant aspects will empower policymakers and trainers to design interventions that promote not only knowledge acquisition but also substantial changes in attitudes and behaviors, thus fostering more progressive and less biased youth governance. </w:t>
      </w:r>
    </w:p>
    <w:p w14:paraId="2E898866" w14:textId="77777777" w:rsidR="00D961FF" w:rsidRPr="00F50AF3" w:rsidRDefault="009D74D7" w:rsidP="00F50AF3">
      <w:pPr>
        <w:pStyle w:val="NormalWeb"/>
        <w:spacing w:before="480" w:after="0" w:afterAutospacing="0"/>
        <w:ind w:firstLine="720"/>
        <w:jc w:val="both"/>
        <w:rPr>
          <w:color w:val="000000"/>
        </w:rPr>
      </w:pPr>
      <w:r w:rsidRPr="00F50AF3">
        <w:rPr>
          <w:color w:val="000000"/>
        </w:rPr>
        <w:t>Finally, strengthening policy frameworks to support SK development is imperative. The study emphasizes the urgent need to improve policies that not only mandate training but also institutionalize it as part of continuous professional development expected in SK governance. Policy reforms should include consistent</w:t>
      </w:r>
      <w:r w:rsidR="00D961FF" w:rsidRPr="00F50AF3">
        <w:rPr>
          <w:color w:val="000000"/>
        </w:rPr>
        <w:t xml:space="preserve"> </w:t>
      </w:r>
      <w:r w:rsidRPr="00F50AF3">
        <w:rPr>
          <w:color w:val="000000"/>
        </w:rPr>
        <w:t xml:space="preserve">competency assessments, accountability systems, and dedicated funding for SK capacity-building programs. </w:t>
      </w:r>
      <w:r w:rsidRPr="00F50AF3">
        <w:rPr>
          <w:color w:val="000000"/>
        </w:rPr>
        <w:lastRenderedPageBreak/>
        <w:t xml:space="preserve">Furthermore, policies must address inclusiveness and gender sensitivity to close existing gaps in these critical areas. Strengthening the policy environment ensures that training interventions become sustainable, coordinated, and adequately resourced, fostering a commitment to systemic improvements rather than temporary fixes. </w:t>
      </w:r>
    </w:p>
    <w:p w14:paraId="4EDD2A46" w14:textId="3353BD14" w:rsidR="009D74D7" w:rsidRPr="00F50AF3" w:rsidRDefault="009D74D7" w:rsidP="00F50AF3">
      <w:pPr>
        <w:pStyle w:val="NormalWeb"/>
        <w:spacing w:before="480" w:after="0" w:afterAutospacing="0"/>
        <w:ind w:firstLine="720"/>
        <w:jc w:val="both"/>
        <w:rPr>
          <w:color w:val="000000"/>
        </w:rPr>
      </w:pPr>
      <w:r w:rsidRPr="00F50AF3">
        <w:rPr>
          <w:color w:val="000000"/>
        </w:rPr>
        <w:t>In conclusion, by implementing these recommendations, future research will deepen the understanding of the challenges faced by SK officials and create practical knowledge to strengthen youth governance. This multi-faceted and context-sensitive research agenda will guide the creation of practical and sustainable training programs and policies that empower SK officials to fulfill their concrete role in nation and community building.</w:t>
      </w:r>
    </w:p>
    <w:p w14:paraId="709E5D45" w14:textId="0EE7848E" w:rsidR="0096212B" w:rsidRPr="00223297" w:rsidRDefault="0096212B" w:rsidP="00223297">
      <w:pPr>
        <w:pStyle w:val="NormalWeb"/>
        <w:spacing w:before="480" w:after="0"/>
        <w:jc w:val="center"/>
        <w:rPr>
          <w:b/>
          <w:bCs/>
          <w:color w:val="000000"/>
          <w:sz w:val="28"/>
          <w:szCs w:val="28"/>
        </w:rPr>
      </w:pPr>
      <w:r w:rsidRPr="00223297">
        <w:rPr>
          <w:b/>
          <w:bCs/>
          <w:color w:val="000000"/>
          <w:sz w:val="28"/>
          <w:szCs w:val="28"/>
        </w:rPr>
        <w:t>REFERENCES</w:t>
      </w:r>
    </w:p>
    <w:p w14:paraId="066D0E24" w14:textId="221C946B" w:rsidR="0096212B" w:rsidRPr="00F50AF3" w:rsidRDefault="0096212B" w:rsidP="00223297">
      <w:pPr>
        <w:pStyle w:val="NormalWeb"/>
        <w:numPr>
          <w:ilvl w:val="1"/>
          <w:numId w:val="12"/>
        </w:numPr>
        <w:spacing w:before="480" w:after="0"/>
        <w:ind w:left="360"/>
        <w:jc w:val="both"/>
        <w:rPr>
          <w:color w:val="000000"/>
        </w:rPr>
      </w:pPr>
      <w:r w:rsidRPr="00F50AF3">
        <w:rPr>
          <w:color w:val="000000"/>
        </w:rPr>
        <w:t>Abbas, S. (2023). The significance of validity and reliability in quantitative research.  Sago.https://sago.com/en/resources/blog/the-significance-of-validity-and-reliability-in</w:t>
      </w:r>
      <w:r w:rsidR="000A3434" w:rsidRPr="00F50AF3">
        <w:rPr>
          <w:color w:val="000000"/>
        </w:rPr>
        <w:t xml:space="preserve"> </w:t>
      </w:r>
      <w:r w:rsidRPr="00F50AF3">
        <w:rPr>
          <w:color w:val="000000"/>
        </w:rPr>
        <w:t xml:space="preserve">quantitative-research </w:t>
      </w:r>
    </w:p>
    <w:p w14:paraId="20C4281D"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Ajayi-Majebi, E. (2020). Youth participation in environmental programs: Equipping young people for sustainability. Journal of Environmental Education, 51(3), 201-215 </w:t>
      </w:r>
    </w:p>
    <w:p w14:paraId="20439A62"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Austria, C., Bonilla, J. A. A., Cabiles, D. J., Rupinta, B., &amp; Graduate School Students, College of Development Management, University of Southeastern Philippines, Mintal Campus, Davao City. (2024). PROJECT IMPLEMENTATION OF SANGGUNIANG KABATAAN. In the International Journal of Engineering Technology Research &amp; Management: Vol. Vol-08 Issue 05. https://ijetrm.com/issues/files/May-2024-30-1717061950-M102.pdf </w:t>
      </w:r>
    </w:p>
    <w:p w14:paraId="5C865DC4"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Alcantara, L. E., Jr., Segundo, T. P., II, &amp; Holy Trinity University. (2025). The Sangguniang Kabataan Mandatory Training (SKMT): an assessment [Module Assessment]. INTERNATIONAL JOURNAL OF RESEARCH AND INNOVATION IN SOCIAL SCIENCE (IJRISS), 2761. https://rsisinternational.org/journals/ijriss/Digital-Library/volume-9-issue-2/2761 -2777.pdf </w:t>
      </w:r>
    </w:p>
    <w:p w14:paraId="29C822F0"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Balanon, Faye &amp; Ong, Michelle &amp; Torre, Beatriz &amp; Puzon, Marco &amp; Granada, Juan &amp; Trinidad, Arnie. (2007). The Impact of Youth Participation in the Local Government Process. </w:t>
      </w:r>
    </w:p>
    <w:p w14:paraId="2554DC83" w14:textId="4CA3119B"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Bawit, G., Plangca, D.A., Vitasa, D.M., Alvero, J.C. (2024). Needs Analysis of the Youth for Sangguniang Kabataan Programs in a Barangay in Laguna, Philippines: Basis for Comprehensive Barangay Youth Development Plan. https://ejournals.ph/function/reader1/read2/web/reader.php?id=uploads%2Farchive%2FSPCL%2FVol.+1+No.+1+%282025%29%2FRJ%2FRJ+7.pdf&amp;di=25 482 </w:t>
      </w:r>
    </w:p>
    <w:p w14:paraId="439C66D4"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Brillantes, A. B., Jr., &amp; Fernandez, M. T. (2021). Restoring trust and building integrity in government: Issues and concerns in the Philippines and areas for reform. International Public Management Review, 12(2), 55-74.  https://ncpag.upd.edu.ph/wp-content/uploads/2014/03/Brillantes-Fernandes_I PMR_Volume-12_Issue-2.pdf </w:t>
      </w:r>
    </w:p>
    <w:p w14:paraId="42DCA91E" w14:textId="067815CF" w:rsidR="0096212B" w:rsidRPr="00F50AF3" w:rsidRDefault="0096212B" w:rsidP="00223297">
      <w:pPr>
        <w:pStyle w:val="NormalWeb"/>
        <w:numPr>
          <w:ilvl w:val="1"/>
          <w:numId w:val="12"/>
        </w:numPr>
        <w:spacing w:before="480" w:after="0"/>
        <w:ind w:left="360"/>
        <w:jc w:val="both"/>
        <w:rPr>
          <w:color w:val="000000"/>
        </w:rPr>
      </w:pPr>
      <w:r w:rsidRPr="00F50AF3">
        <w:rPr>
          <w:color w:val="000000"/>
        </w:rPr>
        <w:t>Cadano, M. J. (2023). The Reasons of Inactive Youth Engagement in the Community: A Case Study in Barangay District III, Babatngon, Leyte. International Journal of Research Publications, 123(1). https://doi.org/10.47119/ijrp1001231420234683</w:t>
      </w:r>
    </w:p>
    <w:p w14:paraId="2650AF21"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Cal, M. S. F. C., Abellanosa, M. C., Payao, R. B., &amp; Niere, M. I. E. (2023). Effectiveness of SK mandatory training conducted in selected barangays of Cebu City. International Journal of Multidisciplinary Applied Business and Education Research, 4(2), 577–581. https://doi.org/10.11594/ijmaber.04.02.23 </w:t>
      </w:r>
    </w:p>
    <w:p w14:paraId="005B468E"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Carolino, J., &amp; Rouco, C. (2022). Proficiency Level of Leadership Competences on the Initial Training Course for Firefighters—A Case Study of Lisbon Fire Service. Fire, 5(1), 22. https://doi.org/10.3390/fire5010022 </w:t>
      </w:r>
    </w:p>
    <w:p w14:paraId="48AE6697"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Castillo, M. A. I., Cruz, D. C., Lapaz, J. L., Marcha K. G., Padillo, J. V. P., Vegiga F. J., Vallespin, M. R. (2024). Assessing Demographics, Perceptions, and Participation: A Study on Sangguniang Kabataan (SK) Effectiveness and Suggestions for Improvement. International Journal of Current Science Research and Review 7(5):2618-2625 </w:t>
      </w:r>
    </w:p>
    <w:p w14:paraId="65A280C0"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Commission on Audit. (2021, April 12). COA conducts online training on the Handbook on SK Financial Transactions. Commission on Audit. https://www.coa.gov.ph/coa-conducts-online-training-on-the-handbook-on-sk-fi nancial-transactions/ </w:t>
      </w:r>
    </w:p>
    <w:p w14:paraId="2632426F"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Erlina, M.R., Boncalo, A, Gortifacion, A.D., Sumampong, A., Montalba, H., Ganto, N.J., Chua, L. (2023). "Performance of Sangguniang Kabataan Officials in Barangay Adlay as Mandated by Republic Act No. 10742". International Journal of Research (IJR). 10(07), 84-85 </w:t>
      </w:r>
    </w:p>
    <w:p w14:paraId="712B5963"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lastRenderedPageBreak/>
        <w:t xml:space="preserve">Especial, M. A., Melitante, M. A., &amp; Janer, S. (2022). Pagdalumat sa kasanayang komunikatibo sa panahon ng bagong kadawyan. International Journal of Research Studies in Education, 11(5). https://doi.org/10.5861/ijrse.2022.110 </w:t>
      </w:r>
    </w:p>
    <w:p w14:paraId="27112C98"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Fatima, B. (2024, July 15). 3 Levels of Training Needs Analysis in Corporate Learning (Part 3). Commlab India. Retrieved March 19, 2025, from https://blog.commlabindia.com/elearning-design/training-need-analysis-at-3-le vels </w:t>
      </w:r>
    </w:p>
    <w:p w14:paraId="58E87FFC"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Fleischhauer, K. (2007). A Review of Human Capital Theory: Microeconomics. SSRN Electronic Journal. https://doi.org/10.2139/ssrn.957993 </w:t>
      </w:r>
    </w:p>
    <w:p w14:paraId="6A82CC4C"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Flores III, L. G., Mendoza, R. U., Yap, J. K., &amp; Valencia, J. S. O. N. (2021). Advancing Youth Governance in the Philippines: A Narrative of the Sangguniang Kabataan and its Road to Reform. SSRN Electronic Journal. https://doi.org/10.2139/ssrn, 2021 </w:t>
      </w:r>
    </w:p>
    <w:p w14:paraId="36E47313"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Getha-Taylor, H. (2008). Identifying collaborative competencies. Review of Public Personnel Administration, 28(2), 103-119. </w:t>
      </w:r>
    </w:p>
    <w:p w14:paraId="530725C6" w14:textId="42EAC049" w:rsidR="0096212B" w:rsidRPr="00F50AF3" w:rsidRDefault="0096212B" w:rsidP="00223297">
      <w:pPr>
        <w:pStyle w:val="NormalWeb"/>
        <w:numPr>
          <w:ilvl w:val="1"/>
          <w:numId w:val="12"/>
        </w:numPr>
        <w:spacing w:before="480" w:after="0"/>
        <w:ind w:left="360"/>
        <w:jc w:val="both"/>
        <w:rPr>
          <w:color w:val="000000"/>
        </w:rPr>
      </w:pPr>
      <w:r w:rsidRPr="00F50AF3">
        <w:rPr>
          <w:color w:val="000000"/>
        </w:rPr>
        <w:t>Guelos, Jr. F. S., Duncara J. B., Herbolario, K. R., Villarosa, M. K. P. (2024). EXPLORING POLITICAL PRACTICES AMONG SANGGUNIANG KABATAAN</w:t>
      </w:r>
    </w:p>
    <w:p w14:paraId="5440F844"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OFFICIAL IN SELECTED BARANGAYS. https://www.academia.edu/119752118/EXPLORING_POLITICAL_PRACTICE S_AMONG_SANGGUNIANG_KABATAAN_OFFICIAL_IN_SELECTED_BARA NGAYS </w:t>
      </w:r>
    </w:p>
    <w:p w14:paraId="5B8132A6"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Graglia, D. (2019). How Many Survey Responses Do I Need To Be Statistically Valid? Find Your Sample Size. SurveyMonkey. Retrieved June 10, 2025, from https://www.surveymonkey.com/curiosity/how-many-people-do-i-need-to-take my-survey/ </w:t>
      </w:r>
    </w:p>
    <w:p w14:paraId="0681045E"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Hayes, A. (2024). How stratified random sampling works, with examples. Investopedia.https://www.investopedia.com/terms/stratified_random_sampling. asp </w:t>
      </w:r>
    </w:p>
    <w:p w14:paraId="1E913981"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Hussey, I., Alsalti, T., Bosco, F., Elson, M., &amp; Arslan, R. (2025, January 17). An aberrant abundance of Cronbach’s alpha values at .70. Collabra: Psychology. Advance online publication. https://doi.org/10.1177/25152459241287123 </w:t>
      </w:r>
    </w:p>
    <w:p w14:paraId="4457DBE9"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Ibrahim, R., Boerhannoeddin, A., &amp; Bakare, K. K. (2017). The effect of soft skills and training methodology on employee performance. European Journal of Training and Development, 41(4), 388–406. https://doi.org/10.1108/ejtd-08-2016-0066 </w:t>
      </w:r>
    </w:p>
    <w:p w14:paraId="7CA33492" w14:textId="129B3651"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Indeed Career Advice. (2025, July 27). What Is a Functional Expert? (With Definition and Qualities). Indeed.https://www.indeed.com/career-advice/finding-a-job/what-is-functional-expert </w:t>
      </w:r>
    </w:p>
    <w:p w14:paraId="47DE0239" w14:textId="1F55B7DC"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Ishtiaq, M. (2019, April). Book Review: Creswell, J. W. (2014). Research Design: Qualitative, Quantitative and Mixed Methods Approaches (4th ed.). Thousand Oaks, CA: Sage. English Language Teaching, 12(5), 40–40.https://doi.org/10.5539/elt.v12n5 p40 </w:t>
      </w:r>
    </w:p>
    <w:p w14:paraId="2B080E23"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Ivanyna, M., &amp; Salerno, T. (2021). Inadequate governance and its impact on equitable growth. https://www.elibrary.imf.org/view/journals/001/2021/098/article-A001-en.xml </w:t>
      </w:r>
    </w:p>
    <w:p w14:paraId="6F132EDA"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Joubert, S. (2024). What is Collaborative Leadership? Northeastern University Graduate Programs. https://graduate.northeastern.edu/knowledge-hub/collaborative-leader ship </w:t>
      </w:r>
    </w:p>
    <w:p w14:paraId="4DF94EBD"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Lato, M. A., &amp; Dela Peña, J. L. (2019). Training needs assessment of Sangguniang Kabataan officials in the Municipality of Liloan, Cebu. Philippine Social Science Journal, 2(3), 1-13. https://ejournals.ph/article.php?id=14431 </w:t>
      </w:r>
    </w:p>
    <w:p w14:paraId="6688A408" w14:textId="71F2C2E4" w:rsidR="0096212B" w:rsidRPr="00F50AF3" w:rsidRDefault="0096212B" w:rsidP="00223297">
      <w:pPr>
        <w:pStyle w:val="NormalWeb"/>
        <w:numPr>
          <w:ilvl w:val="1"/>
          <w:numId w:val="12"/>
        </w:numPr>
        <w:spacing w:before="480" w:after="0"/>
        <w:ind w:left="360"/>
        <w:jc w:val="both"/>
        <w:rPr>
          <w:color w:val="000000"/>
        </w:rPr>
      </w:pPr>
      <w:r w:rsidRPr="00F50AF3">
        <w:rPr>
          <w:color w:val="000000"/>
        </w:rPr>
        <w:t>Lastimado, Noelie &amp; Mabini, Rhea &amp; Lim, Alvin &amp; Callo, Justin &amp; Lomocso, Rosebelt &amp; Naparan, Genesis. (2025). Exploring the Challenges and Coping Strategies</w:t>
      </w:r>
      <w:r w:rsidR="00A96678" w:rsidRPr="00F50AF3">
        <w:rPr>
          <w:color w:val="000000"/>
        </w:rPr>
        <w:t xml:space="preserve"> </w:t>
      </w:r>
      <w:r w:rsidRPr="00F50AF3">
        <w:rPr>
          <w:color w:val="000000"/>
        </w:rPr>
        <w:t xml:space="preserve">of the Sangguniang Kabataan in Organizing Youth Advocacies in Local Governance. Journal of Governance and Administrative Reform. 6. 65-80. 10.20473/jgar.v6i1.71818. </w:t>
      </w:r>
    </w:p>
    <w:p w14:paraId="2309C23E"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Laude-Conception, G. M., &amp; Tacinco N. P. (2016).The Youth Leaders and Their Contributions To The Selected Barangays In The Municipality of Naval, Biliran, Philippines. IOSR Journal of Humanities and Social Science, 21(07):103-111 e-ISSN: 2279-0837, p-ISSN: 2279-0845. www.iosrjournals.org </w:t>
      </w:r>
    </w:p>
    <w:p w14:paraId="486D7740"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Leoni, S. (2025). A historical review of the role of education: From human capital to human capabilities. Review of Political Economy, 37(1). https://doi.org/10.1080/09538259.2023.2245233 </w:t>
      </w:r>
    </w:p>
    <w:p w14:paraId="2A84AAF7"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Lising, S. D. B., &amp; Rivera, M. A. (2024). Sangguniang Kabataan competencies in Quezon Province: A basis for capacity development program. International Journal of Research Studies in Education, 13(13), 125-135. https://doi.org/10.5861/ijrse.2024.24105 </w:t>
      </w:r>
    </w:p>
    <w:p w14:paraId="3E9FA1F8"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lastRenderedPageBreak/>
        <w:t xml:space="preserve">Mabanan, R. J. (2024) Sangguniang Kabataan Officials and Members in Strengthening the Mandated Republic Act 10742 and Republic Act 11768 Towards Implementation Enhancement. </w:t>
      </w:r>
    </w:p>
    <w:p w14:paraId="0D157193"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Madrid B.L. S., M. D. Manlincon, M. K. P. Zaratan, G. D. B. Andaya, and M. P. Nava, “Acquisition of Knowledge and Practice of Sangguniang Kabataan Officials on Department of Interior and Local Government Mandatory Training”, AJMS, vol. 3, no. 1, pp. 127–132, Jul. 2020. </w:t>
      </w:r>
    </w:p>
    <w:p w14:paraId="0AB2DD03"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Markaki, A., Malhotra, S., Billings, R., &amp; Theus, L. (2021, May 31). Training needs assessment: tool utilization and global impact. BMC Medical Education, 21(1), 310. https://doi.org/10.1186/s12909-021-02748-y </w:t>
      </w:r>
    </w:p>
    <w:p w14:paraId="0AD56FF2"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McKenna, B. (1982). Competency-based teacher education. In H. E. Mitzel (Ed.). Encyclopedia of Educational Research (5th ed.) (pp. 329-332), New York: Free Press. </w:t>
      </w:r>
    </w:p>
    <w:p w14:paraId="39343EB4"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Maureal, M. P. Ayop, C. M., Juriana, L., Lagura, G. (2025). Political Awareness of Youth in Panabo City, Philippines: An Explanatory Sequential Analysis. 32. 87-111. </w:t>
      </w:r>
    </w:p>
    <w:p w14:paraId="2456442D"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Memon, Mumtaz &amp; Ting, Hiram &amp; Cheah, Jun-Hwa &amp; Ramayah, T. &amp; Chuah, Francis &amp; Cham, Tat-Huei. (2020). Sample Size for Survey Research: Review and Recommendations. Journal of Applied Structural Equation Modeling. 4. i-xx. 10.47263/JASEM.4(2)01. </w:t>
      </w:r>
    </w:p>
    <w:p w14:paraId="327008C7" w14:textId="7DF24560"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Mustafa, B., &amp; Lleshi, S. (2024, May). The impact of lifelong learning and investments in employee development on employee productivity and performance.Multidisciplinary Reviews, 7(8), Article 2024175. https://doi.org/10.31893/multirev.2024175 </w:t>
      </w:r>
    </w:p>
    <w:p w14:paraId="0F0D7E2E"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Palangdao, C. D. S., Dumpayan, H. M. C., Perez, G. K., Aquino, A. S. L., &amp; Ramos, C. A. (2023). Youth Governance in the Selected Barangays of Baguio City. Diversitas Journal, 8(4). https://doi.org/10.48017/dj.v8i4.2674 </w:t>
      </w:r>
    </w:p>
    <w:p w14:paraId="13AE73EB"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Pasicaran-Escleto, G., Cabatingan, A. Y., Polinar, M. a. N., &amp; Delantar, A. F. A. (2024). Beyond the title: An In-Depth Exploration of the leadership experiences and Styles of Sangguniang Kabataan Presidents. JOURNAL OF HUMANITIES SOCIAL SCIENCES AND BUSINESS (JHSSB), 4(1), 153–166. https://doi.org/10.55047/jhssb.v4i1.1509 </w:t>
      </w:r>
    </w:p>
    <w:p w14:paraId="26A1C39B"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Pimentel, A. N. (2007). The Local Government Code of 1991: The law on local governments in the Philippines. Rex Bookstore, Inc. </w:t>
      </w:r>
    </w:p>
    <w:p w14:paraId="26D9E4DB"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Rafsanjani, M. A. (2022). Teachers’ Competence: Are Educational Background and Training Had Significant Effect?. AL-ISHLAH: Jurnal Pendidikan, 14(3), 4239-4246. </w:t>
      </w:r>
    </w:p>
    <w:p w14:paraId="102D6D58"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Revised Implementing Rules and Regulations of Republic Act No. 10742, Sangguniang Kabataan Reform Act of 2015, as amended by RA No. 11768. (2023, September 4). Official Gazette of the Republic of the Philippines. https://elibrary.judiciary.gov.ph/thebookshelf/showdocs/2/97375 </w:t>
      </w:r>
    </w:p>
    <w:p w14:paraId="5B6C324F" w14:textId="414824B8"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Sandhu, S. (2023, July 10). Expert review of the competency-based training system. CAQA.https://caqa.com.au/blogs/news/expert-review-of-the-competency-based-traini ng-system </w:t>
      </w:r>
    </w:p>
    <w:p w14:paraId="60D2E7B9"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Setiadi, D., Nurhayati, S., Ansori, A., Zubaidi, M., &amp; Amir, R. (2022). Youth’s Digital Literacy in the Context of Community Empowerment in an Emerging Society 5.0. Society, 11(1), 1-12.https://doi.org/10.61650/alj.v2i2.231 </w:t>
      </w:r>
    </w:p>
    <w:p w14:paraId="16109B0C"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Suarez, Shiela &amp; Tuble, Ruvy. (2025). Assessing Core, Technical, and Leadership Competencies of Sangguniang Kabataan Officials in Negros Occidental: Key Determinants and Implications for Youth Governance. Journal of Interdisciplinary Perspectives. 3. 10.69569/jip.2024.543. </w:t>
      </w:r>
    </w:p>
    <w:p w14:paraId="1618D1FC"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Surucu, L., &amp; Maslakci, A. (2020). Validity and Reliability In Quantitative Research. Business &amp; Management Studies: An International Journal, 8(3): 2694-2726, doi: http://dx.doi.org/10.15295/bmij.v8i3.1540 </w:t>
      </w:r>
    </w:p>
    <w:p w14:paraId="173A504F" w14:textId="24BFE11A" w:rsidR="0096212B" w:rsidRPr="00F50AF3" w:rsidRDefault="0096212B" w:rsidP="00223297">
      <w:pPr>
        <w:pStyle w:val="NormalWeb"/>
        <w:numPr>
          <w:ilvl w:val="1"/>
          <w:numId w:val="12"/>
        </w:numPr>
        <w:spacing w:before="480" w:after="0"/>
        <w:ind w:left="360"/>
        <w:jc w:val="both"/>
        <w:rPr>
          <w:color w:val="000000"/>
        </w:rPr>
      </w:pPr>
      <w:r w:rsidRPr="00F50AF3">
        <w:rPr>
          <w:color w:val="000000"/>
        </w:rPr>
        <w:t>Tavakol, M., &amp; Dennick, R. (2011). Making sense of Cronbach’s alpha. International Journal of Medical Education, 2, 53–55. https://doi.org/10.5116/ijme.4dfb.8dfd</w:t>
      </w:r>
    </w:p>
    <w:p w14:paraId="33279E4C"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 xml:space="preserve">Trochim, W.M.K. (2006). The Research Methods Knowledge Base. Conjointly.com; Conjoint.ly. https://conjointly.com/kb/ </w:t>
      </w:r>
    </w:p>
    <w:p w14:paraId="11F09AE9" w14:textId="77777777" w:rsidR="0096212B" w:rsidRPr="00F50AF3" w:rsidRDefault="0096212B" w:rsidP="00223297">
      <w:pPr>
        <w:pStyle w:val="NormalWeb"/>
        <w:numPr>
          <w:ilvl w:val="1"/>
          <w:numId w:val="12"/>
        </w:numPr>
        <w:spacing w:before="480" w:after="0"/>
        <w:ind w:left="360"/>
        <w:jc w:val="both"/>
        <w:rPr>
          <w:color w:val="000000"/>
        </w:rPr>
      </w:pPr>
      <w:r w:rsidRPr="00F50AF3">
        <w:rPr>
          <w:color w:val="000000"/>
        </w:rPr>
        <w:t>United Nations. (2023). Goal 17: Revitalize the global partnership for sustainable development. United Nations Sustainable Development. https://www.un.org/sustainabledevelopment/globalpartnerships</w:t>
      </w:r>
    </w:p>
    <w:p w14:paraId="56739331" w14:textId="4BDD6C87" w:rsidR="0096212B" w:rsidRPr="00F50AF3" w:rsidRDefault="0096212B" w:rsidP="00F50AF3">
      <w:pPr>
        <w:pStyle w:val="NormalWeb"/>
        <w:spacing w:before="480" w:after="0"/>
        <w:ind w:firstLine="720"/>
        <w:jc w:val="both"/>
        <w:rPr>
          <w:color w:val="000000"/>
        </w:rPr>
      </w:pPr>
    </w:p>
    <w:p w14:paraId="4E257ACA" w14:textId="08994C04" w:rsidR="00D961FF" w:rsidRPr="00F50AF3" w:rsidRDefault="00D961FF" w:rsidP="00F50AF3">
      <w:pPr>
        <w:pStyle w:val="NormalWeb"/>
        <w:spacing w:before="480" w:after="0" w:afterAutospacing="0"/>
        <w:ind w:firstLine="720"/>
        <w:jc w:val="both"/>
        <w:rPr>
          <w:color w:val="000000"/>
        </w:rPr>
      </w:pPr>
    </w:p>
    <w:sectPr w:rsidR="00D961FF" w:rsidRPr="00F50AF3" w:rsidSect="00F50AF3">
      <w:pgSz w:w="11907" w:h="16839" w:code="9"/>
      <w:pgMar w:top="1094" w:right="605" w:bottom="605" w:left="605" w:header="346"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88024B" w16cex:dateUtc="2026-05-21T03:49:00Z"/>
  <w16cex:commentExtensible w16cex:durableId="7D718C5A" w16cex:dateUtc="2026-05-21T03:43:00Z"/>
  <w16cex:commentExtensible w16cex:durableId="6CEE6384" w16cex:dateUtc="2026-05-21T03:42:00Z"/>
  <w16cex:commentExtensible w16cex:durableId="7C157791" w16cex:dateUtc="2026-05-21T03:40:00Z"/>
  <w16cex:commentExtensible w16cex:durableId="4954B5DC" w16cex:dateUtc="2026-05-21T03:43:00Z"/>
  <w16cex:commentExtensible w16cex:durableId="6D48A6EE" w16cex:dateUtc="2026-05-21T03:44:00Z"/>
  <w16cex:commentExtensible w16cex:durableId="2E308448" w16cex:dateUtc="2026-05-21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C3EE0" w16cid:durableId="3788024B"/>
  <w16cid:commentId w16cid:paraId="1ABA350A" w16cid:durableId="7D718C5A"/>
  <w16cid:commentId w16cid:paraId="44A110AB" w16cid:durableId="6CEE6384"/>
  <w16cid:commentId w16cid:paraId="3658A6FA" w16cid:durableId="7C157791"/>
  <w16cid:commentId w16cid:paraId="61F5331B" w16cid:durableId="4954B5DC"/>
  <w16cid:commentId w16cid:paraId="57E6355F" w16cid:durableId="6D48A6EE"/>
  <w16cid:commentId w16cid:paraId="39D0CB6D" w16cid:durableId="2E308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AA874" w14:textId="77777777" w:rsidR="00A60842" w:rsidRDefault="00A60842" w:rsidP="00DB6836">
      <w:pPr>
        <w:spacing w:after="0" w:line="240" w:lineRule="auto"/>
      </w:pPr>
      <w:r>
        <w:separator/>
      </w:r>
    </w:p>
  </w:endnote>
  <w:endnote w:type="continuationSeparator" w:id="0">
    <w:p w14:paraId="70B46585" w14:textId="77777777" w:rsidR="00A60842" w:rsidRDefault="00A60842" w:rsidP="00DB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52117" w14:textId="77777777" w:rsidR="00A60842" w:rsidRDefault="00A60842" w:rsidP="00DB6836">
      <w:pPr>
        <w:spacing w:after="0" w:line="240" w:lineRule="auto"/>
      </w:pPr>
      <w:r>
        <w:separator/>
      </w:r>
    </w:p>
  </w:footnote>
  <w:footnote w:type="continuationSeparator" w:id="0">
    <w:p w14:paraId="1C164502" w14:textId="77777777" w:rsidR="00A60842" w:rsidRDefault="00A60842" w:rsidP="00DB6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794"/>
    <w:multiLevelType w:val="hybridMultilevel"/>
    <w:tmpl w:val="DD8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A431F"/>
    <w:multiLevelType w:val="hybridMultilevel"/>
    <w:tmpl w:val="65B6891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B01350B"/>
    <w:multiLevelType w:val="multilevel"/>
    <w:tmpl w:val="47A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01F2D"/>
    <w:multiLevelType w:val="multilevel"/>
    <w:tmpl w:val="953C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14A93"/>
    <w:multiLevelType w:val="hybridMultilevel"/>
    <w:tmpl w:val="3700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3B3F94"/>
    <w:multiLevelType w:val="multilevel"/>
    <w:tmpl w:val="A2D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42C81"/>
    <w:multiLevelType w:val="hybridMultilevel"/>
    <w:tmpl w:val="FE2C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987782"/>
    <w:multiLevelType w:val="multilevel"/>
    <w:tmpl w:val="1C9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C07A02"/>
    <w:multiLevelType w:val="multilevel"/>
    <w:tmpl w:val="DC3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42BFD"/>
    <w:multiLevelType w:val="hybridMultilevel"/>
    <w:tmpl w:val="67383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BF65AE"/>
    <w:multiLevelType w:val="hybridMultilevel"/>
    <w:tmpl w:val="36B044D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nsid w:val="74A40D05"/>
    <w:multiLevelType w:val="hybridMultilevel"/>
    <w:tmpl w:val="5D867B60"/>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7"/>
  </w:num>
  <w:num w:numId="6">
    <w:abstractNumId w:val="10"/>
  </w:num>
  <w:num w:numId="7">
    <w:abstractNumId w:val="9"/>
  </w:num>
  <w:num w:numId="8">
    <w:abstractNumId w:val="4"/>
  </w:num>
  <w:num w:numId="9">
    <w:abstractNumId w:val="6"/>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23"/>
    <w:rsid w:val="000A3434"/>
    <w:rsid w:val="000B2B0F"/>
    <w:rsid w:val="000D2B29"/>
    <w:rsid w:val="000F2A9F"/>
    <w:rsid w:val="000F4C2D"/>
    <w:rsid w:val="0011135C"/>
    <w:rsid w:val="00127576"/>
    <w:rsid w:val="00165170"/>
    <w:rsid w:val="00217D3F"/>
    <w:rsid w:val="00223297"/>
    <w:rsid w:val="0029559A"/>
    <w:rsid w:val="002D1375"/>
    <w:rsid w:val="0030699A"/>
    <w:rsid w:val="00335F0B"/>
    <w:rsid w:val="003A53B4"/>
    <w:rsid w:val="004353F7"/>
    <w:rsid w:val="00456048"/>
    <w:rsid w:val="0050096D"/>
    <w:rsid w:val="005353AB"/>
    <w:rsid w:val="005A5BDE"/>
    <w:rsid w:val="005D2629"/>
    <w:rsid w:val="00623BDE"/>
    <w:rsid w:val="0062485C"/>
    <w:rsid w:val="00681E52"/>
    <w:rsid w:val="006E3BBD"/>
    <w:rsid w:val="006F3FD5"/>
    <w:rsid w:val="00742ABB"/>
    <w:rsid w:val="00786980"/>
    <w:rsid w:val="0086521E"/>
    <w:rsid w:val="008C4172"/>
    <w:rsid w:val="009305AF"/>
    <w:rsid w:val="00934280"/>
    <w:rsid w:val="0096212B"/>
    <w:rsid w:val="009D74D7"/>
    <w:rsid w:val="00A569E8"/>
    <w:rsid w:val="00A60842"/>
    <w:rsid w:val="00A96678"/>
    <w:rsid w:val="00BD054C"/>
    <w:rsid w:val="00BF072B"/>
    <w:rsid w:val="00BF2F4B"/>
    <w:rsid w:val="00C5462F"/>
    <w:rsid w:val="00CB2F08"/>
    <w:rsid w:val="00D1168D"/>
    <w:rsid w:val="00D15C23"/>
    <w:rsid w:val="00D710F9"/>
    <w:rsid w:val="00D961FF"/>
    <w:rsid w:val="00DB6836"/>
    <w:rsid w:val="00E748E4"/>
    <w:rsid w:val="00EF2ACD"/>
    <w:rsid w:val="00F50A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EC4E"/>
  <w15:chartTrackingRefBased/>
  <w15:docId w15:val="{50F625D9-7AD3-4A63-8AF8-31B7E0AC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5AF"/>
  </w:style>
  <w:style w:type="paragraph" w:styleId="Heading1">
    <w:name w:val="heading 1"/>
    <w:basedOn w:val="Normal"/>
    <w:next w:val="Normal"/>
    <w:link w:val="Heading1Char"/>
    <w:uiPriority w:val="9"/>
    <w:qFormat/>
    <w:rsid w:val="00D15C23"/>
    <w:pPr>
      <w:keepNext/>
      <w:spacing w:line="276" w:lineRule="auto"/>
      <w:jc w:val="center"/>
      <w:outlineLvl w:val="0"/>
    </w:pPr>
    <w:rPr>
      <w:rFonts w:ascii="Arial" w:eastAsia="Arial Narrow" w:hAnsi="Arial" w:cs="Arial"/>
      <w:b/>
    </w:rPr>
  </w:style>
  <w:style w:type="paragraph" w:styleId="Heading2">
    <w:name w:val="heading 2"/>
    <w:basedOn w:val="Normal"/>
    <w:next w:val="Normal"/>
    <w:link w:val="Heading2Char"/>
    <w:uiPriority w:val="9"/>
    <w:unhideWhenUsed/>
    <w:qFormat/>
    <w:rsid w:val="00E748E4"/>
    <w:pPr>
      <w:keepNext/>
      <w:outlineLvl w:val="1"/>
    </w:pPr>
    <w:rPr>
      <w:b/>
      <w:lang w:val="en-US"/>
    </w:rPr>
  </w:style>
  <w:style w:type="paragraph" w:styleId="Heading3">
    <w:name w:val="heading 3"/>
    <w:basedOn w:val="Normal"/>
    <w:next w:val="Normal"/>
    <w:link w:val="Heading3Char"/>
    <w:uiPriority w:val="9"/>
    <w:unhideWhenUsed/>
    <w:qFormat/>
    <w:rsid w:val="002D1375"/>
    <w:pPr>
      <w:keepNext/>
      <w:spacing w:line="276" w:lineRule="auto"/>
      <w:jc w:val="center"/>
      <w:outlineLvl w:val="2"/>
    </w:pPr>
    <w:rPr>
      <w:rFonts w:ascii="Arial" w:eastAsia="Arial Narrow" w:hAnsi="Arial" w:cs="Arial"/>
      <w:bCs/>
      <w:i/>
    </w:rPr>
  </w:style>
  <w:style w:type="paragraph" w:styleId="Heading4">
    <w:name w:val="heading 4"/>
    <w:basedOn w:val="Normal"/>
    <w:next w:val="Normal"/>
    <w:link w:val="Heading4Char"/>
    <w:uiPriority w:val="9"/>
    <w:unhideWhenUsed/>
    <w:qFormat/>
    <w:rsid w:val="006E3BBD"/>
    <w:pPr>
      <w:keepNext/>
      <w:jc w:val="both"/>
      <w:outlineLvl w:val="3"/>
    </w:pPr>
    <w:rPr>
      <w:rFonts w:ascii="Arial" w:hAnsi="Arial" w:cs="Arial"/>
      <w:b/>
    </w:rPr>
  </w:style>
  <w:style w:type="paragraph" w:styleId="Heading5">
    <w:name w:val="heading 5"/>
    <w:basedOn w:val="Normal"/>
    <w:next w:val="Normal"/>
    <w:link w:val="Heading5Char"/>
    <w:uiPriority w:val="9"/>
    <w:unhideWhenUsed/>
    <w:qFormat/>
    <w:rsid w:val="00F50AF3"/>
    <w:pPr>
      <w:keepNext/>
      <w:spacing w:line="240" w:lineRule="auto"/>
      <w:jc w:val="center"/>
      <w:outlineLvl w:val="4"/>
    </w:pPr>
    <w:rPr>
      <w:rFonts w:ascii="Times New Roman" w:eastAsia="Arial Narrow" w:hAnsi="Times New Roman" w:cs="Times New Roman"/>
      <w:b/>
      <w:bCs/>
      <w:sz w:val="28"/>
      <w:szCs w:val="28"/>
    </w:rPr>
  </w:style>
  <w:style w:type="paragraph" w:styleId="Heading6">
    <w:name w:val="heading 6"/>
    <w:basedOn w:val="Normal"/>
    <w:next w:val="Normal"/>
    <w:link w:val="Heading6Char"/>
    <w:uiPriority w:val="9"/>
    <w:unhideWhenUsed/>
    <w:qFormat/>
    <w:rsid w:val="00335F0B"/>
    <w:pPr>
      <w:keepNext/>
      <w:jc w:val="center"/>
      <w:outlineLvl w:val="5"/>
    </w:pPr>
    <w:rPr>
      <w:rFonts w:ascii="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15C23"/>
    <w:pPr>
      <w:spacing w:line="276" w:lineRule="auto"/>
      <w:jc w:val="center"/>
    </w:pPr>
    <w:rPr>
      <w:rFonts w:ascii="Arial" w:hAnsi="Arial" w:cs="Arial"/>
      <w:b/>
    </w:rPr>
  </w:style>
  <w:style w:type="character" w:customStyle="1" w:styleId="BodyTextChar">
    <w:name w:val="Body Text Char"/>
    <w:basedOn w:val="DefaultParagraphFont"/>
    <w:link w:val="BodyText"/>
    <w:uiPriority w:val="99"/>
    <w:rsid w:val="00D15C23"/>
    <w:rPr>
      <w:rFonts w:ascii="Arial" w:hAnsi="Arial" w:cs="Arial"/>
      <w:b/>
    </w:rPr>
  </w:style>
  <w:style w:type="character" w:styleId="Hyperlink">
    <w:name w:val="Hyperlink"/>
    <w:basedOn w:val="DefaultParagraphFont"/>
    <w:uiPriority w:val="99"/>
    <w:unhideWhenUsed/>
    <w:rsid w:val="00D15C23"/>
    <w:rPr>
      <w:color w:val="0563C1" w:themeColor="hyperlink"/>
      <w:u w:val="single"/>
    </w:rPr>
  </w:style>
  <w:style w:type="paragraph" w:styleId="BodyText2">
    <w:name w:val="Body Text 2"/>
    <w:basedOn w:val="Normal"/>
    <w:link w:val="BodyText2Char"/>
    <w:uiPriority w:val="99"/>
    <w:unhideWhenUsed/>
    <w:rsid w:val="00D15C23"/>
    <w:pPr>
      <w:spacing w:line="276" w:lineRule="auto"/>
      <w:jc w:val="both"/>
    </w:pPr>
    <w:rPr>
      <w:rFonts w:ascii="Arial" w:eastAsia="Arial Narrow" w:hAnsi="Arial" w:cs="Arial"/>
    </w:rPr>
  </w:style>
  <w:style w:type="character" w:customStyle="1" w:styleId="BodyText2Char">
    <w:name w:val="Body Text 2 Char"/>
    <w:basedOn w:val="DefaultParagraphFont"/>
    <w:link w:val="BodyText2"/>
    <w:uiPriority w:val="99"/>
    <w:rsid w:val="00D15C23"/>
    <w:rPr>
      <w:rFonts w:ascii="Arial" w:eastAsia="Arial Narrow" w:hAnsi="Arial" w:cs="Arial"/>
    </w:rPr>
  </w:style>
  <w:style w:type="paragraph" w:styleId="BodyText3">
    <w:name w:val="Body Text 3"/>
    <w:basedOn w:val="Normal"/>
    <w:link w:val="BodyText3Char"/>
    <w:uiPriority w:val="99"/>
    <w:unhideWhenUsed/>
    <w:rsid w:val="00D15C23"/>
    <w:pPr>
      <w:spacing w:line="276" w:lineRule="auto"/>
      <w:jc w:val="center"/>
    </w:pPr>
    <w:rPr>
      <w:rFonts w:ascii="Arial" w:eastAsia="Arial Narrow" w:hAnsi="Arial" w:cs="Arial"/>
      <w:bCs/>
    </w:rPr>
  </w:style>
  <w:style w:type="character" w:customStyle="1" w:styleId="BodyText3Char">
    <w:name w:val="Body Text 3 Char"/>
    <w:basedOn w:val="DefaultParagraphFont"/>
    <w:link w:val="BodyText3"/>
    <w:uiPriority w:val="99"/>
    <w:rsid w:val="00D15C23"/>
    <w:rPr>
      <w:rFonts w:ascii="Arial" w:eastAsia="Arial Narrow" w:hAnsi="Arial" w:cs="Arial"/>
      <w:bCs/>
    </w:rPr>
  </w:style>
  <w:style w:type="character" w:customStyle="1" w:styleId="Heading1Char">
    <w:name w:val="Heading 1 Char"/>
    <w:basedOn w:val="DefaultParagraphFont"/>
    <w:link w:val="Heading1"/>
    <w:uiPriority w:val="9"/>
    <w:rsid w:val="00D15C23"/>
    <w:rPr>
      <w:rFonts w:ascii="Arial" w:eastAsia="Arial Narrow" w:hAnsi="Arial" w:cs="Arial"/>
      <w:b/>
    </w:rPr>
  </w:style>
  <w:style w:type="character" w:customStyle="1" w:styleId="Heading2Char">
    <w:name w:val="Heading 2 Char"/>
    <w:basedOn w:val="DefaultParagraphFont"/>
    <w:link w:val="Heading2"/>
    <w:uiPriority w:val="9"/>
    <w:rsid w:val="00E748E4"/>
    <w:rPr>
      <w:b/>
      <w:lang w:val="en-US"/>
    </w:rPr>
  </w:style>
  <w:style w:type="character" w:customStyle="1" w:styleId="Heading3Char">
    <w:name w:val="Heading 3 Char"/>
    <w:basedOn w:val="DefaultParagraphFont"/>
    <w:link w:val="Heading3"/>
    <w:uiPriority w:val="9"/>
    <w:rsid w:val="002D1375"/>
    <w:rPr>
      <w:rFonts w:ascii="Arial" w:eastAsia="Arial Narrow" w:hAnsi="Arial" w:cs="Arial"/>
      <w:bCs/>
      <w:i/>
    </w:rPr>
  </w:style>
  <w:style w:type="character" w:customStyle="1" w:styleId="Heading4Char">
    <w:name w:val="Heading 4 Char"/>
    <w:basedOn w:val="DefaultParagraphFont"/>
    <w:link w:val="Heading4"/>
    <w:uiPriority w:val="9"/>
    <w:rsid w:val="006E3BBD"/>
    <w:rPr>
      <w:rFonts w:ascii="Arial" w:hAnsi="Arial" w:cs="Arial"/>
      <w:b/>
    </w:rPr>
  </w:style>
  <w:style w:type="table" w:styleId="TableGrid">
    <w:name w:val="Table Grid"/>
    <w:basedOn w:val="TableNormal"/>
    <w:uiPriority w:val="39"/>
    <w:rsid w:val="006E3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3BB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tab-span">
    <w:name w:val="apple-tab-span"/>
    <w:basedOn w:val="DefaultParagraphFont"/>
    <w:rsid w:val="005353AB"/>
  </w:style>
  <w:style w:type="paragraph" w:styleId="BodyTextIndent">
    <w:name w:val="Body Text Indent"/>
    <w:basedOn w:val="Normal"/>
    <w:link w:val="BodyTextIndentChar"/>
    <w:uiPriority w:val="99"/>
    <w:unhideWhenUsed/>
    <w:rsid w:val="00217D3F"/>
    <w:pPr>
      <w:spacing w:after="0" w:line="240" w:lineRule="auto"/>
      <w:ind w:firstLine="720"/>
      <w:jc w:val="both"/>
    </w:pPr>
    <w:rPr>
      <w:rFonts w:ascii="Arial" w:eastAsia="Times New Roman" w:hAnsi="Arial" w:cs="Arial"/>
      <w:color w:val="000000"/>
      <w:lang w:eastAsia="en-PH"/>
    </w:rPr>
  </w:style>
  <w:style w:type="character" w:customStyle="1" w:styleId="BodyTextIndentChar">
    <w:name w:val="Body Text Indent Char"/>
    <w:basedOn w:val="DefaultParagraphFont"/>
    <w:link w:val="BodyTextIndent"/>
    <w:uiPriority w:val="99"/>
    <w:rsid w:val="00217D3F"/>
    <w:rPr>
      <w:rFonts w:ascii="Arial" w:eastAsia="Times New Roman" w:hAnsi="Arial" w:cs="Arial"/>
      <w:color w:val="000000"/>
      <w:lang w:eastAsia="en-PH"/>
    </w:rPr>
  </w:style>
  <w:style w:type="paragraph" w:styleId="NoSpacing">
    <w:name w:val="No Spacing"/>
    <w:uiPriority w:val="1"/>
    <w:qFormat/>
    <w:rsid w:val="00623BDE"/>
    <w:pPr>
      <w:spacing w:after="0" w:line="240" w:lineRule="auto"/>
    </w:pPr>
  </w:style>
  <w:style w:type="character" w:styleId="CommentReference">
    <w:name w:val="annotation reference"/>
    <w:basedOn w:val="DefaultParagraphFont"/>
    <w:uiPriority w:val="99"/>
    <w:semiHidden/>
    <w:unhideWhenUsed/>
    <w:rsid w:val="00623BDE"/>
    <w:rPr>
      <w:sz w:val="16"/>
      <w:szCs w:val="16"/>
    </w:rPr>
  </w:style>
  <w:style w:type="paragraph" w:styleId="CommentText">
    <w:name w:val="annotation text"/>
    <w:basedOn w:val="Normal"/>
    <w:link w:val="CommentTextChar"/>
    <w:uiPriority w:val="99"/>
    <w:semiHidden/>
    <w:unhideWhenUsed/>
    <w:rsid w:val="00623BDE"/>
    <w:pPr>
      <w:spacing w:line="240" w:lineRule="auto"/>
    </w:pPr>
    <w:rPr>
      <w:sz w:val="20"/>
      <w:szCs w:val="20"/>
    </w:rPr>
  </w:style>
  <w:style w:type="character" w:customStyle="1" w:styleId="CommentTextChar">
    <w:name w:val="Comment Text Char"/>
    <w:basedOn w:val="DefaultParagraphFont"/>
    <w:link w:val="CommentText"/>
    <w:uiPriority w:val="99"/>
    <w:semiHidden/>
    <w:rsid w:val="00623BDE"/>
    <w:rPr>
      <w:sz w:val="20"/>
      <w:szCs w:val="20"/>
    </w:rPr>
  </w:style>
  <w:style w:type="paragraph" w:styleId="CommentSubject">
    <w:name w:val="annotation subject"/>
    <w:basedOn w:val="CommentText"/>
    <w:next w:val="CommentText"/>
    <w:link w:val="CommentSubjectChar"/>
    <w:uiPriority w:val="99"/>
    <w:semiHidden/>
    <w:unhideWhenUsed/>
    <w:rsid w:val="00623BDE"/>
    <w:rPr>
      <w:b/>
      <w:bCs/>
    </w:rPr>
  </w:style>
  <w:style w:type="character" w:customStyle="1" w:styleId="CommentSubjectChar">
    <w:name w:val="Comment Subject Char"/>
    <w:basedOn w:val="CommentTextChar"/>
    <w:link w:val="CommentSubject"/>
    <w:uiPriority w:val="99"/>
    <w:semiHidden/>
    <w:rsid w:val="00623BDE"/>
    <w:rPr>
      <w:b/>
      <w:bCs/>
      <w:sz w:val="20"/>
      <w:szCs w:val="20"/>
    </w:rPr>
  </w:style>
  <w:style w:type="paragraph" w:styleId="BalloonText">
    <w:name w:val="Balloon Text"/>
    <w:basedOn w:val="Normal"/>
    <w:link w:val="BalloonTextChar"/>
    <w:uiPriority w:val="99"/>
    <w:semiHidden/>
    <w:unhideWhenUsed/>
    <w:rsid w:val="00DB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36"/>
    <w:rPr>
      <w:rFonts w:ascii="Segoe UI" w:hAnsi="Segoe UI" w:cs="Segoe UI"/>
      <w:sz w:val="18"/>
      <w:szCs w:val="18"/>
    </w:rPr>
  </w:style>
  <w:style w:type="paragraph" w:styleId="Header">
    <w:name w:val="header"/>
    <w:basedOn w:val="Normal"/>
    <w:link w:val="HeaderChar"/>
    <w:uiPriority w:val="99"/>
    <w:unhideWhenUsed/>
    <w:rsid w:val="00DB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36"/>
  </w:style>
  <w:style w:type="paragraph" w:styleId="Footer">
    <w:name w:val="footer"/>
    <w:basedOn w:val="Normal"/>
    <w:link w:val="FooterChar"/>
    <w:uiPriority w:val="99"/>
    <w:unhideWhenUsed/>
    <w:rsid w:val="00DB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36"/>
  </w:style>
  <w:style w:type="character" w:customStyle="1" w:styleId="Heading5Char">
    <w:name w:val="Heading 5 Char"/>
    <w:basedOn w:val="DefaultParagraphFont"/>
    <w:link w:val="Heading5"/>
    <w:uiPriority w:val="9"/>
    <w:rsid w:val="00F50AF3"/>
    <w:rPr>
      <w:rFonts w:ascii="Times New Roman" w:eastAsia="Arial Narrow" w:hAnsi="Times New Roman" w:cs="Times New Roman"/>
      <w:b/>
      <w:bCs/>
      <w:sz w:val="28"/>
      <w:szCs w:val="28"/>
    </w:rPr>
  </w:style>
  <w:style w:type="character" w:customStyle="1" w:styleId="Heading6Char">
    <w:name w:val="Heading 6 Char"/>
    <w:basedOn w:val="DefaultParagraphFont"/>
    <w:link w:val="Heading6"/>
    <w:uiPriority w:val="9"/>
    <w:rsid w:val="00335F0B"/>
    <w:rPr>
      <w:rFonts w:ascii="Times New Roman" w:hAnsi="Times New Roman" w:cs="Times New Roman"/>
      <w:b/>
      <w:bCs/>
      <w:color w:val="000000"/>
      <w:sz w:val="28"/>
      <w:szCs w:val="28"/>
    </w:rPr>
  </w:style>
  <w:style w:type="paragraph" w:styleId="FootnoteText">
    <w:name w:val="footnote text"/>
    <w:basedOn w:val="Normal"/>
    <w:link w:val="FootnoteTextChar"/>
    <w:uiPriority w:val="99"/>
    <w:semiHidden/>
    <w:unhideWhenUsed/>
    <w:rsid w:val="00223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297"/>
    <w:rPr>
      <w:sz w:val="20"/>
      <w:szCs w:val="20"/>
    </w:rPr>
  </w:style>
  <w:style w:type="character" w:styleId="FootnoteReference">
    <w:name w:val="footnote reference"/>
    <w:basedOn w:val="DefaultParagraphFont"/>
    <w:uiPriority w:val="99"/>
    <w:semiHidden/>
    <w:unhideWhenUsed/>
    <w:rsid w:val="00223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072">
      <w:bodyDiv w:val="1"/>
      <w:marLeft w:val="0"/>
      <w:marRight w:val="0"/>
      <w:marTop w:val="0"/>
      <w:marBottom w:val="0"/>
      <w:divBdr>
        <w:top w:val="none" w:sz="0" w:space="0" w:color="auto"/>
        <w:left w:val="none" w:sz="0" w:space="0" w:color="auto"/>
        <w:bottom w:val="none" w:sz="0" w:space="0" w:color="auto"/>
        <w:right w:val="none" w:sz="0" w:space="0" w:color="auto"/>
      </w:divBdr>
    </w:div>
    <w:div w:id="158349352">
      <w:bodyDiv w:val="1"/>
      <w:marLeft w:val="0"/>
      <w:marRight w:val="0"/>
      <w:marTop w:val="0"/>
      <w:marBottom w:val="0"/>
      <w:divBdr>
        <w:top w:val="none" w:sz="0" w:space="0" w:color="auto"/>
        <w:left w:val="none" w:sz="0" w:space="0" w:color="auto"/>
        <w:bottom w:val="none" w:sz="0" w:space="0" w:color="auto"/>
        <w:right w:val="none" w:sz="0" w:space="0" w:color="auto"/>
      </w:divBdr>
    </w:div>
    <w:div w:id="233204315">
      <w:bodyDiv w:val="1"/>
      <w:marLeft w:val="0"/>
      <w:marRight w:val="0"/>
      <w:marTop w:val="0"/>
      <w:marBottom w:val="0"/>
      <w:divBdr>
        <w:top w:val="none" w:sz="0" w:space="0" w:color="auto"/>
        <w:left w:val="none" w:sz="0" w:space="0" w:color="auto"/>
        <w:bottom w:val="none" w:sz="0" w:space="0" w:color="auto"/>
        <w:right w:val="none" w:sz="0" w:space="0" w:color="auto"/>
      </w:divBdr>
    </w:div>
    <w:div w:id="244656740">
      <w:bodyDiv w:val="1"/>
      <w:marLeft w:val="0"/>
      <w:marRight w:val="0"/>
      <w:marTop w:val="0"/>
      <w:marBottom w:val="0"/>
      <w:divBdr>
        <w:top w:val="none" w:sz="0" w:space="0" w:color="auto"/>
        <w:left w:val="none" w:sz="0" w:space="0" w:color="auto"/>
        <w:bottom w:val="none" w:sz="0" w:space="0" w:color="auto"/>
        <w:right w:val="none" w:sz="0" w:space="0" w:color="auto"/>
      </w:divBdr>
    </w:div>
    <w:div w:id="271204723">
      <w:bodyDiv w:val="1"/>
      <w:marLeft w:val="0"/>
      <w:marRight w:val="0"/>
      <w:marTop w:val="0"/>
      <w:marBottom w:val="0"/>
      <w:divBdr>
        <w:top w:val="none" w:sz="0" w:space="0" w:color="auto"/>
        <w:left w:val="none" w:sz="0" w:space="0" w:color="auto"/>
        <w:bottom w:val="none" w:sz="0" w:space="0" w:color="auto"/>
        <w:right w:val="none" w:sz="0" w:space="0" w:color="auto"/>
      </w:divBdr>
    </w:div>
    <w:div w:id="308025223">
      <w:bodyDiv w:val="1"/>
      <w:marLeft w:val="0"/>
      <w:marRight w:val="0"/>
      <w:marTop w:val="0"/>
      <w:marBottom w:val="0"/>
      <w:divBdr>
        <w:top w:val="none" w:sz="0" w:space="0" w:color="auto"/>
        <w:left w:val="none" w:sz="0" w:space="0" w:color="auto"/>
        <w:bottom w:val="none" w:sz="0" w:space="0" w:color="auto"/>
        <w:right w:val="none" w:sz="0" w:space="0" w:color="auto"/>
      </w:divBdr>
      <w:divsChild>
        <w:div w:id="546263206">
          <w:marLeft w:val="1063"/>
          <w:marRight w:val="0"/>
          <w:marTop w:val="0"/>
          <w:marBottom w:val="0"/>
          <w:divBdr>
            <w:top w:val="none" w:sz="0" w:space="0" w:color="auto"/>
            <w:left w:val="none" w:sz="0" w:space="0" w:color="auto"/>
            <w:bottom w:val="none" w:sz="0" w:space="0" w:color="auto"/>
            <w:right w:val="none" w:sz="0" w:space="0" w:color="auto"/>
          </w:divBdr>
        </w:div>
      </w:divsChild>
    </w:div>
    <w:div w:id="312682164">
      <w:bodyDiv w:val="1"/>
      <w:marLeft w:val="0"/>
      <w:marRight w:val="0"/>
      <w:marTop w:val="0"/>
      <w:marBottom w:val="0"/>
      <w:divBdr>
        <w:top w:val="none" w:sz="0" w:space="0" w:color="auto"/>
        <w:left w:val="none" w:sz="0" w:space="0" w:color="auto"/>
        <w:bottom w:val="none" w:sz="0" w:space="0" w:color="auto"/>
        <w:right w:val="none" w:sz="0" w:space="0" w:color="auto"/>
      </w:divBdr>
    </w:div>
    <w:div w:id="333385086">
      <w:bodyDiv w:val="1"/>
      <w:marLeft w:val="0"/>
      <w:marRight w:val="0"/>
      <w:marTop w:val="0"/>
      <w:marBottom w:val="0"/>
      <w:divBdr>
        <w:top w:val="none" w:sz="0" w:space="0" w:color="auto"/>
        <w:left w:val="none" w:sz="0" w:space="0" w:color="auto"/>
        <w:bottom w:val="none" w:sz="0" w:space="0" w:color="auto"/>
        <w:right w:val="none" w:sz="0" w:space="0" w:color="auto"/>
      </w:divBdr>
    </w:div>
    <w:div w:id="453788492">
      <w:bodyDiv w:val="1"/>
      <w:marLeft w:val="0"/>
      <w:marRight w:val="0"/>
      <w:marTop w:val="0"/>
      <w:marBottom w:val="0"/>
      <w:divBdr>
        <w:top w:val="none" w:sz="0" w:space="0" w:color="auto"/>
        <w:left w:val="none" w:sz="0" w:space="0" w:color="auto"/>
        <w:bottom w:val="none" w:sz="0" w:space="0" w:color="auto"/>
        <w:right w:val="none" w:sz="0" w:space="0" w:color="auto"/>
      </w:divBdr>
    </w:div>
    <w:div w:id="504397144">
      <w:bodyDiv w:val="1"/>
      <w:marLeft w:val="0"/>
      <w:marRight w:val="0"/>
      <w:marTop w:val="0"/>
      <w:marBottom w:val="0"/>
      <w:divBdr>
        <w:top w:val="none" w:sz="0" w:space="0" w:color="auto"/>
        <w:left w:val="none" w:sz="0" w:space="0" w:color="auto"/>
        <w:bottom w:val="none" w:sz="0" w:space="0" w:color="auto"/>
        <w:right w:val="none" w:sz="0" w:space="0" w:color="auto"/>
      </w:divBdr>
    </w:div>
    <w:div w:id="540017297">
      <w:bodyDiv w:val="1"/>
      <w:marLeft w:val="0"/>
      <w:marRight w:val="0"/>
      <w:marTop w:val="0"/>
      <w:marBottom w:val="0"/>
      <w:divBdr>
        <w:top w:val="none" w:sz="0" w:space="0" w:color="auto"/>
        <w:left w:val="none" w:sz="0" w:space="0" w:color="auto"/>
        <w:bottom w:val="none" w:sz="0" w:space="0" w:color="auto"/>
        <w:right w:val="none" w:sz="0" w:space="0" w:color="auto"/>
      </w:divBdr>
    </w:div>
    <w:div w:id="576524513">
      <w:bodyDiv w:val="1"/>
      <w:marLeft w:val="0"/>
      <w:marRight w:val="0"/>
      <w:marTop w:val="0"/>
      <w:marBottom w:val="0"/>
      <w:divBdr>
        <w:top w:val="none" w:sz="0" w:space="0" w:color="auto"/>
        <w:left w:val="none" w:sz="0" w:space="0" w:color="auto"/>
        <w:bottom w:val="none" w:sz="0" w:space="0" w:color="auto"/>
        <w:right w:val="none" w:sz="0" w:space="0" w:color="auto"/>
      </w:divBdr>
    </w:div>
    <w:div w:id="590940666">
      <w:bodyDiv w:val="1"/>
      <w:marLeft w:val="0"/>
      <w:marRight w:val="0"/>
      <w:marTop w:val="0"/>
      <w:marBottom w:val="0"/>
      <w:divBdr>
        <w:top w:val="none" w:sz="0" w:space="0" w:color="auto"/>
        <w:left w:val="none" w:sz="0" w:space="0" w:color="auto"/>
        <w:bottom w:val="none" w:sz="0" w:space="0" w:color="auto"/>
        <w:right w:val="none" w:sz="0" w:space="0" w:color="auto"/>
      </w:divBdr>
    </w:div>
    <w:div w:id="653989476">
      <w:bodyDiv w:val="1"/>
      <w:marLeft w:val="0"/>
      <w:marRight w:val="0"/>
      <w:marTop w:val="0"/>
      <w:marBottom w:val="0"/>
      <w:divBdr>
        <w:top w:val="none" w:sz="0" w:space="0" w:color="auto"/>
        <w:left w:val="none" w:sz="0" w:space="0" w:color="auto"/>
        <w:bottom w:val="none" w:sz="0" w:space="0" w:color="auto"/>
        <w:right w:val="none" w:sz="0" w:space="0" w:color="auto"/>
      </w:divBdr>
    </w:div>
    <w:div w:id="748844276">
      <w:bodyDiv w:val="1"/>
      <w:marLeft w:val="0"/>
      <w:marRight w:val="0"/>
      <w:marTop w:val="0"/>
      <w:marBottom w:val="0"/>
      <w:divBdr>
        <w:top w:val="none" w:sz="0" w:space="0" w:color="auto"/>
        <w:left w:val="none" w:sz="0" w:space="0" w:color="auto"/>
        <w:bottom w:val="none" w:sz="0" w:space="0" w:color="auto"/>
        <w:right w:val="none" w:sz="0" w:space="0" w:color="auto"/>
      </w:divBdr>
    </w:div>
    <w:div w:id="867178145">
      <w:bodyDiv w:val="1"/>
      <w:marLeft w:val="0"/>
      <w:marRight w:val="0"/>
      <w:marTop w:val="0"/>
      <w:marBottom w:val="0"/>
      <w:divBdr>
        <w:top w:val="none" w:sz="0" w:space="0" w:color="auto"/>
        <w:left w:val="none" w:sz="0" w:space="0" w:color="auto"/>
        <w:bottom w:val="none" w:sz="0" w:space="0" w:color="auto"/>
        <w:right w:val="none" w:sz="0" w:space="0" w:color="auto"/>
      </w:divBdr>
    </w:div>
    <w:div w:id="916864991">
      <w:bodyDiv w:val="1"/>
      <w:marLeft w:val="0"/>
      <w:marRight w:val="0"/>
      <w:marTop w:val="0"/>
      <w:marBottom w:val="0"/>
      <w:divBdr>
        <w:top w:val="none" w:sz="0" w:space="0" w:color="auto"/>
        <w:left w:val="none" w:sz="0" w:space="0" w:color="auto"/>
        <w:bottom w:val="none" w:sz="0" w:space="0" w:color="auto"/>
        <w:right w:val="none" w:sz="0" w:space="0" w:color="auto"/>
      </w:divBdr>
    </w:div>
    <w:div w:id="1118839615">
      <w:bodyDiv w:val="1"/>
      <w:marLeft w:val="0"/>
      <w:marRight w:val="0"/>
      <w:marTop w:val="0"/>
      <w:marBottom w:val="0"/>
      <w:divBdr>
        <w:top w:val="none" w:sz="0" w:space="0" w:color="auto"/>
        <w:left w:val="none" w:sz="0" w:space="0" w:color="auto"/>
        <w:bottom w:val="none" w:sz="0" w:space="0" w:color="auto"/>
        <w:right w:val="none" w:sz="0" w:space="0" w:color="auto"/>
      </w:divBdr>
    </w:div>
    <w:div w:id="1136027410">
      <w:bodyDiv w:val="1"/>
      <w:marLeft w:val="0"/>
      <w:marRight w:val="0"/>
      <w:marTop w:val="0"/>
      <w:marBottom w:val="0"/>
      <w:divBdr>
        <w:top w:val="none" w:sz="0" w:space="0" w:color="auto"/>
        <w:left w:val="none" w:sz="0" w:space="0" w:color="auto"/>
        <w:bottom w:val="none" w:sz="0" w:space="0" w:color="auto"/>
        <w:right w:val="none" w:sz="0" w:space="0" w:color="auto"/>
      </w:divBdr>
      <w:divsChild>
        <w:div w:id="719790578">
          <w:marLeft w:val="1063"/>
          <w:marRight w:val="0"/>
          <w:marTop w:val="0"/>
          <w:marBottom w:val="0"/>
          <w:divBdr>
            <w:top w:val="none" w:sz="0" w:space="0" w:color="auto"/>
            <w:left w:val="none" w:sz="0" w:space="0" w:color="auto"/>
            <w:bottom w:val="none" w:sz="0" w:space="0" w:color="auto"/>
            <w:right w:val="none" w:sz="0" w:space="0" w:color="auto"/>
          </w:divBdr>
        </w:div>
      </w:divsChild>
    </w:div>
    <w:div w:id="1157039027">
      <w:bodyDiv w:val="1"/>
      <w:marLeft w:val="0"/>
      <w:marRight w:val="0"/>
      <w:marTop w:val="0"/>
      <w:marBottom w:val="0"/>
      <w:divBdr>
        <w:top w:val="none" w:sz="0" w:space="0" w:color="auto"/>
        <w:left w:val="none" w:sz="0" w:space="0" w:color="auto"/>
        <w:bottom w:val="none" w:sz="0" w:space="0" w:color="auto"/>
        <w:right w:val="none" w:sz="0" w:space="0" w:color="auto"/>
      </w:divBdr>
    </w:div>
    <w:div w:id="1168599565">
      <w:bodyDiv w:val="1"/>
      <w:marLeft w:val="0"/>
      <w:marRight w:val="0"/>
      <w:marTop w:val="0"/>
      <w:marBottom w:val="0"/>
      <w:divBdr>
        <w:top w:val="none" w:sz="0" w:space="0" w:color="auto"/>
        <w:left w:val="none" w:sz="0" w:space="0" w:color="auto"/>
        <w:bottom w:val="none" w:sz="0" w:space="0" w:color="auto"/>
        <w:right w:val="none" w:sz="0" w:space="0" w:color="auto"/>
      </w:divBdr>
    </w:div>
    <w:div w:id="1202204043">
      <w:bodyDiv w:val="1"/>
      <w:marLeft w:val="0"/>
      <w:marRight w:val="0"/>
      <w:marTop w:val="0"/>
      <w:marBottom w:val="0"/>
      <w:divBdr>
        <w:top w:val="none" w:sz="0" w:space="0" w:color="auto"/>
        <w:left w:val="none" w:sz="0" w:space="0" w:color="auto"/>
        <w:bottom w:val="none" w:sz="0" w:space="0" w:color="auto"/>
        <w:right w:val="none" w:sz="0" w:space="0" w:color="auto"/>
      </w:divBdr>
    </w:div>
    <w:div w:id="1209873121">
      <w:bodyDiv w:val="1"/>
      <w:marLeft w:val="0"/>
      <w:marRight w:val="0"/>
      <w:marTop w:val="0"/>
      <w:marBottom w:val="0"/>
      <w:divBdr>
        <w:top w:val="none" w:sz="0" w:space="0" w:color="auto"/>
        <w:left w:val="none" w:sz="0" w:space="0" w:color="auto"/>
        <w:bottom w:val="none" w:sz="0" w:space="0" w:color="auto"/>
        <w:right w:val="none" w:sz="0" w:space="0" w:color="auto"/>
      </w:divBdr>
    </w:div>
    <w:div w:id="1238251208">
      <w:bodyDiv w:val="1"/>
      <w:marLeft w:val="0"/>
      <w:marRight w:val="0"/>
      <w:marTop w:val="0"/>
      <w:marBottom w:val="0"/>
      <w:divBdr>
        <w:top w:val="none" w:sz="0" w:space="0" w:color="auto"/>
        <w:left w:val="none" w:sz="0" w:space="0" w:color="auto"/>
        <w:bottom w:val="none" w:sz="0" w:space="0" w:color="auto"/>
        <w:right w:val="none" w:sz="0" w:space="0" w:color="auto"/>
      </w:divBdr>
    </w:div>
    <w:div w:id="1239828540">
      <w:bodyDiv w:val="1"/>
      <w:marLeft w:val="0"/>
      <w:marRight w:val="0"/>
      <w:marTop w:val="0"/>
      <w:marBottom w:val="0"/>
      <w:divBdr>
        <w:top w:val="none" w:sz="0" w:space="0" w:color="auto"/>
        <w:left w:val="none" w:sz="0" w:space="0" w:color="auto"/>
        <w:bottom w:val="none" w:sz="0" w:space="0" w:color="auto"/>
        <w:right w:val="none" w:sz="0" w:space="0" w:color="auto"/>
      </w:divBdr>
    </w:div>
    <w:div w:id="1333332247">
      <w:bodyDiv w:val="1"/>
      <w:marLeft w:val="0"/>
      <w:marRight w:val="0"/>
      <w:marTop w:val="0"/>
      <w:marBottom w:val="0"/>
      <w:divBdr>
        <w:top w:val="none" w:sz="0" w:space="0" w:color="auto"/>
        <w:left w:val="none" w:sz="0" w:space="0" w:color="auto"/>
        <w:bottom w:val="none" w:sz="0" w:space="0" w:color="auto"/>
        <w:right w:val="none" w:sz="0" w:space="0" w:color="auto"/>
      </w:divBdr>
    </w:div>
    <w:div w:id="1412116309">
      <w:bodyDiv w:val="1"/>
      <w:marLeft w:val="0"/>
      <w:marRight w:val="0"/>
      <w:marTop w:val="0"/>
      <w:marBottom w:val="0"/>
      <w:divBdr>
        <w:top w:val="none" w:sz="0" w:space="0" w:color="auto"/>
        <w:left w:val="none" w:sz="0" w:space="0" w:color="auto"/>
        <w:bottom w:val="none" w:sz="0" w:space="0" w:color="auto"/>
        <w:right w:val="none" w:sz="0" w:space="0" w:color="auto"/>
      </w:divBdr>
    </w:div>
    <w:div w:id="1435322282">
      <w:bodyDiv w:val="1"/>
      <w:marLeft w:val="0"/>
      <w:marRight w:val="0"/>
      <w:marTop w:val="0"/>
      <w:marBottom w:val="0"/>
      <w:divBdr>
        <w:top w:val="none" w:sz="0" w:space="0" w:color="auto"/>
        <w:left w:val="none" w:sz="0" w:space="0" w:color="auto"/>
        <w:bottom w:val="none" w:sz="0" w:space="0" w:color="auto"/>
        <w:right w:val="none" w:sz="0" w:space="0" w:color="auto"/>
      </w:divBdr>
      <w:divsChild>
        <w:div w:id="629821408">
          <w:marLeft w:val="963"/>
          <w:marRight w:val="0"/>
          <w:marTop w:val="0"/>
          <w:marBottom w:val="0"/>
          <w:divBdr>
            <w:top w:val="none" w:sz="0" w:space="0" w:color="auto"/>
            <w:left w:val="none" w:sz="0" w:space="0" w:color="auto"/>
            <w:bottom w:val="none" w:sz="0" w:space="0" w:color="auto"/>
            <w:right w:val="none" w:sz="0" w:space="0" w:color="auto"/>
          </w:divBdr>
        </w:div>
      </w:divsChild>
    </w:div>
    <w:div w:id="1435713625">
      <w:bodyDiv w:val="1"/>
      <w:marLeft w:val="0"/>
      <w:marRight w:val="0"/>
      <w:marTop w:val="0"/>
      <w:marBottom w:val="0"/>
      <w:divBdr>
        <w:top w:val="none" w:sz="0" w:space="0" w:color="auto"/>
        <w:left w:val="none" w:sz="0" w:space="0" w:color="auto"/>
        <w:bottom w:val="none" w:sz="0" w:space="0" w:color="auto"/>
        <w:right w:val="none" w:sz="0" w:space="0" w:color="auto"/>
      </w:divBdr>
    </w:div>
    <w:div w:id="1498106069">
      <w:bodyDiv w:val="1"/>
      <w:marLeft w:val="0"/>
      <w:marRight w:val="0"/>
      <w:marTop w:val="0"/>
      <w:marBottom w:val="0"/>
      <w:divBdr>
        <w:top w:val="none" w:sz="0" w:space="0" w:color="auto"/>
        <w:left w:val="none" w:sz="0" w:space="0" w:color="auto"/>
        <w:bottom w:val="none" w:sz="0" w:space="0" w:color="auto"/>
        <w:right w:val="none" w:sz="0" w:space="0" w:color="auto"/>
      </w:divBdr>
    </w:div>
    <w:div w:id="1548446042">
      <w:bodyDiv w:val="1"/>
      <w:marLeft w:val="0"/>
      <w:marRight w:val="0"/>
      <w:marTop w:val="0"/>
      <w:marBottom w:val="0"/>
      <w:divBdr>
        <w:top w:val="none" w:sz="0" w:space="0" w:color="auto"/>
        <w:left w:val="none" w:sz="0" w:space="0" w:color="auto"/>
        <w:bottom w:val="none" w:sz="0" w:space="0" w:color="auto"/>
        <w:right w:val="none" w:sz="0" w:space="0" w:color="auto"/>
      </w:divBdr>
    </w:div>
    <w:div w:id="1549952891">
      <w:bodyDiv w:val="1"/>
      <w:marLeft w:val="0"/>
      <w:marRight w:val="0"/>
      <w:marTop w:val="0"/>
      <w:marBottom w:val="0"/>
      <w:divBdr>
        <w:top w:val="none" w:sz="0" w:space="0" w:color="auto"/>
        <w:left w:val="none" w:sz="0" w:space="0" w:color="auto"/>
        <w:bottom w:val="none" w:sz="0" w:space="0" w:color="auto"/>
        <w:right w:val="none" w:sz="0" w:space="0" w:color="auto"/>
      </w:divBdr>
    </w:div>
    <w:div w:id="1563446247">
      <w:bodyDiv w:val="1"/>
      <w:marLeft w:val="0"/>
      <w:marRight w:val="0"/>
      <w:marTop w:val="0"/>
      <w:marBottom w:val="0"/>
      <w:divBdr>
        <w:top w:val="none" w:sz="0" w:space="0" w:color="auto"/>
        <w:left w:val="none" w:sz="0" w:space="0" w:color="auto"/>
        <w:bottom w:val="none" w:sz="0" w:space="0" w:color="auto"/>
        <w:right w:val="none" w:sz="0" w:space="0" w:color="auto"/>
      </w:divBdr>
    </w:div>
    <w:div w:id="1590502887">
      <w:bodyDiv w:val="1"/>
      <w:marLeft w:val="0"/>
      <w:marRight w:val="0"/>
      <w:marTop w:val="0"/>
      <w:marBottom w:val="0"/>
      <w:divBdr>
        <w:top w:val="none" w:sz="0" w:space="0" w:color="auto"/>
        <w:left w:val="none" w:sz="0" w:space="0" w:color="auto"/>
        <w:bottom w:val="none" w:sz="0" w:space="0" w:color="auto"/>
        <w:right w:val="none" w:sz="0" w:space="0" w:color="auto"/>
      </w:divBdr>
    </w:div>
    <w:div w:id="1618291777">
      <w:bodyDiv w:val="1"/>
      <w:marLeft w:val="0"/>
      <w:marRight w:val="0"/>
      <w:marTop w:val="0"/>
      <w:marBottom w:val="0"/>
      <w:divBdr>
        <w:top w:val="none" w:sz="0" w:space="0" w:color="auto"/>
        <w:left w:val="none" w:sz="0" w:space="0" w:color="auto"/>
        <w:bottom w:val="none" w:sz="0" w:space="0" w:color="auto"/>
        <w:right w:val="none" w:sz="0" w:space="0" w:color="auto"/>
      </w:divBdr>
    </w:div>
    <w:div w:id="1625043109">
      <w:bodyDiv w:val="1"/>
      <w:marLeft w:val="0"/>
      <w:marRight w:val="0"/>
      <w:marTop w:val="0"/>
      <w:marBottom w:val="0"/>
      <w:divBdr>
        <w:top w:val="none" w:sz="0" w:space="0" w:color="auto"/>
        <w:left w:val="none" w:sz="0" w:space="0" w:color="auto"/>
        <w:bottom w:val="none" w:sz="0" w:space="0" w:color="auto"/>
        <w:right w:val="none" w:sz="0" w:space="0" w:color="auto"/>
      </w:divBdr>
    </w:div>
    <w:div w:id="1663267826">
      <w:bodyDiv w:val="1"/>
      <w:marLeft w:val="0"/>
      <w:marRight w:val="0"/>
      <w:marTop w:val="0"/>
      <w:marBottom w:val="0"/>
      <w:divBdr>
        <w:top w:val="none" w:sz="0" w:space="0" w:color="auto"/>
        <w:left w:val="none" w:sz="0" w:space="0" w:color="auto"/>
        <w:bottom w:val="none" w:sz="0" w:space="0" w:color="auto"/>
        <w:right w:val="none" w:sz="0" w:space="0" w:color="auto"/>
      </w:divBdr>
    </w:div>
    <w:div w:id="1700623254">
      <w:bodyDiv w:val="1"/>
      <w:marLeft w:val="0"/>
      <w:marRight w:val="0"/>
      <w:marTop w:val="0"/>
      <w:marBottom w:val="0"/>
      <w:divBdr>
        <w:top w:val="none" w:sz="0" w:space="0" w:color="auto"/>
        <w:left w:val="none" w:sz="0" w:space="0" w:color="auto"/>
        <w:bottom w:val="none" w:sz="0" w:space="0" w:color="auto"/>
        <w:right w:val="none" w:sz="0" w:space="0" w:color="auto"/>
      </w:divBdr>
    </w:div>
    <w:div w:id="1747334301">
      <w:bodyDiv w:val="1"/>
      <w:marLeft w:val="0"/>
      <w:marRight w:val="0"/>
      <w:marTop w:val="0"/>
      <w:marBottom w:val="0"/>
      <w:divBdr>
        <w:top w:val="none" w:sz="0" w:space="0" w:color="auto"/>
        <w:left w:val="none" w:sz="0" w:space="0" w:color="auto"/>
        <w:bottom w:val="none" w:sz="0" w:space="0" w:color="auto"/>
        <w:right w:val="none" w:sz="0" w:space="0" w:color="auto"/>
      </w:divBdr>
    </w:div>
    <w:div w:id="1781410343">
      <w:bodyDiv w:val="1"/>
      <w:marLeft w:val="0"/>
      <w:marRight w:val="0"/>
      <w:marTop w:val="0"/>
      <w:marBottom w:val="0"/>
      <w:divBdr>
        <w:top w:val="none" w:sz="0" w:space="0" w:color="auto"/>
        <w:left w:val="none" w:sz="0" w:space="0" w:color="auto"/>
        <w:bottom w:val="none" w:sz="0" w:space="0" w:color="auto"/>
        <w:right w:val="none" w:sz="0" w:space="0" w:color="auto"/>
      </w:divBdr>
    </w:div>
    <w:div w:id="1785422672">
      <w:bodyDiv w:val="1"/>
      <w:marLeft w:val="0"/>
      <w:marRight w:val="0"/>
      <w:marTop w:val="0"/>
      <w:marBottom w:val="0"/>
      <w:divBdr>
        <w:top w:val="none" w:sz="0" w:space="0" w:color="auto"/>
        <w:left w:val="none" w:sz="0" w:space="0" w:color="auto"/>
        <w:bottom w:val="none" w:sz="0" w:space="0" w:color="auto"/>
        <w:right w:val="none" w:sz="0" w:space="0" w:color="auto"/>
      </w:divBdr>
    </w:div>
    <w:div w:id="1814516492">
      <w:bodyDiv w:val="1"/>
      <w:marLeft w:val="0"/>
      <w:marRight w:val="0"/>
      <w:marTop w:val="0"/>
      <w:marBottom w:val="0"/>
      <w:divBdr>
        <w:top w:val="none" w:sz="0" w:space="0" w:color="auto"/>
        <w:left w:val="none" w:sz="0" w:space="0" w:color="auto"/>
        <w:bottom w:val="none" w:sz="0" w:space="0" w:color="auto"/>
        <w:right w:val="none" w:sz="0" w:space="0" w:color="auto"/>
      </w:divBdr>
    </w:div>
    <w:div w:id="1845703258">
      <w:bodyDiv w:val="1"/>
      <w:marLeft w:val="0"/>
      <w:marRight w:val="0"/>
      <w:marTop w:val="0"/>
      <w:marBottom w:val="0"/>
      <w:divBdr>
        <w:top w:val="none" w:sz="0" w:space="0" w:color="auto"/>
        <w:left w:val="none" w:sz="0" w:space="0" w:color="auto"/>
        <w:bottom w:val="none" w:sz="0" w:space="0" w:color="auto"/>
        <w:right w:val="none" w:sz="0" w:space="0" w:color="auto"/>
      </w:divBdr>
    </w:div>
    <w:div w:id="1863544835">
      <w:bodyDiv w:val="1"/>
      <w:marLeft w:val="0"/>
      <w:marRight w:val="0"/>
      <w:marTop w:val="0"/>
      <w:marBottom w:val="0"/>
      <w:divBdr>
        <w:top w:val="none" w:sz="0" w:space="0" w:color="auto"/>
        <w:left w:val="none" w:sz="0" w:space="0" w:color="auto"/>
        <w:bottom w:val="none" w:sz="0" w:space="0" w:color="auto"/>
        <w:right w:val="none" w:sz="0" w:space="0" w:color="auto"/>
      </w:divBdr>
    </w:div>
    <w:div w:id="1865705016">
      <w:bodyDiv w:val="1"/>
      <w:marLeft w:val="0"/>
      <w:marRight w:val="0"/>
      <w:marTop w:val="0"/>
      <w:marBottom w:val="0"/>
      <w:divBdr>
        <w:top w:val="none" w:sz="0" w:space="0" w:color="auto"/>
        <w:left w:val="none" w:sz="0" w:space="0" w:color="auto"/>
        <w:bottom w:val="none" w:sz="0" w:space="0" w:color="auto"/>
        <w:right w:val="none" w:sz="0" w:space="0" w:color="auto"/>
      </w:divBdr>
    </w:div>
    <w:div w:id="1883469589">
      <w:bodyDiv w:val="1"/>
      <w:marLeft w:val="0"/>
      <w:marRight w:val="0"/>
      <w:marTop w:val="0"/>
      <w:marBottom w:val="0"/>
      <w:divBdr>
        <w:top w:val="none" w:sz="0" w:space="0" w:color="auto"/>
        <w:left w:val="none" w:sz="0" w:space="0" w:color="auto"/>
        <w:bottom w:val="none" w:sz="0" w:space="0" w:color="auto"/>
        <w:right w:val="none" w:sz="0" w:space="0" w:color="auto"/>
      </w:divBdr>
    </w:div>
    <w:div w:id="1894854604">
      <w:bodyDiv w:val="1"/>
      <w:marLeft w:val="0"/>
      <w:marRight w:val="0"/>
      <w:marTop w:val="0"/>
      <w:marBottom w:val="0"/>
      <w:divBdr>
        <w:top w:val="none" w:sz="0" w:space="0" w:color="auto"/>
        <w:left w:val="none" w:sz="0" w:space="0" w:color="auto"/>
        <w:bottom w:val="none" w:sz="0" w:space="0" w:color="auto"/>
        <w:right w:val="none" w:sz="0" w:space="0" w:color="auto"/>
      </w:divBdr>
    </w:div>
    <w:div w:id="1916162261">
      <w:bodyDiv w:val="1"/>
      <w:marLeft w:val="0"/>
      <w:marRight w:val="0"/>
      <w:marTop w:val="0"/>
      <w:marBottom w:val="0"/>
      <w:divBdr>
        <w:top w:val="none" w:sz="0" w:space="0" w:color="auto"/>
        <w:left w:val="none" w:sz="0" w:space="0" w:color="auto"/>
        <w:bottom w:val="none" w:sz="0" w:space="0" w:color="auto"/>
        <w:right w:val="none" w:sz="0" w:space="0" w:color="auto"/>
      </w:divBdr>
    </w:div>
    <w:div w:id="2048479697">
      <w:bodyDiv w:val="1"/>
      <w:marLeft w:val="0"/>
      <w:marRight w:val="0"/>
      <w:marTop w:val="0"/>
      <w:marBottom w:val="0"/>
      <w:divBdr>
        <w:top w:val="none" w:sz="0" w:space="0" w:color="auto"/>
        <w:left w:val="none" w:sz="0" w:space="0" w:color="auto"/>
        <w:bottom w:val="none" w:sz="0" w:space="0" w:color="auto"/>
        <w:right w:val="none" w:sz="0" w:space="0" w:color="auto"/>
      </w:divBdr>
    </w:div>
    <w:div w:id="2080592665">
      <w:bodyDiv w:val="1"/>
      <w:marLeft w:val="0"/>
      <w:marRight w:val="0"/>
      <w:marTop w:val="0"/>
      <w:marBottom w:val="0"/>
      <w:divBdr>
        <w:top w:val="none" w:sz="0" w:space="0" w:color="auto"/>
        <w:left w:val="none" w:sz="0" w:space="0" w:color="auto"/>
        <w:bottom w:val="none" w:sz="0" w:space="0" w:color="auto"/>
        <w:right w:val="none" w:sz="0" w:space="0" w:color="auto"/>
      </w:divBdr>
      <w:divsChild>
        <w:div w:id="1385594398">
          <w:marLeft w:val="-1029"/>
          <w:marRight w:val="0"/>
          <w:marTop w:val="0"/>
          <w:marBottom w:val="0"/>
          <w:divBdr>
            <w:top w:val="none" w:sz="0" w:space="0" w:color="auto"/>
            <w:left w:val="none" w:sz="0" w:space="0" w:color="auto"/>
            <w:bottom w:val="none" w:sz="0" w:space="0" w:color="auto"/>
            <w:right w:val="none" w:sz="0" w:space="0" w:color="auto"/>
          </w:divBdr>
        </w:div>
      </w:divsChild>
    </w:div>
    <w:div w:id="21154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tista.halil@dnsc.edu.ph"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6080-07EC-4699-8068-D076D5CE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24</Pages>
  <Words>13110</Words>
  <Characters>74732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sofea</dc:creator>
  <cp:keywords/>
  <dc:description/>
  <cp:lastModifiedBy>sofea</cp:lastModifiedBy>
  <cp:revision>23</cp:revision>
  <dcterms:created xsi:type="dcterms:W3CDTF">2026-05-09T07:10:00Z</dcterms:created>
  <dcterms:modified xsi:type="dcterms:W3CDTF">2026-06-09T13:14:00Z</dcterms:modified>
</cp:coreProperties>
</file>