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80"/>
        <w:jc w:val="center"/>
        <w:rPr>
          <w:rStyle w:val="Strong"/>
        </w:rPr>
      </w:pPr>
      <w:r>
        <w:rPr>
          <w:rStyle w:val="Strong"/>
        </w:rPr>
        <w:t>Growth Monitoring and Promotion Model Quality, Regularity of Utilisation, and Child Nutritional Outcomes in High-Burden Communities: Evidence from a Convergent Parallel Mixed-Methods Study in Sulima Chiefdom, Falaba District, Sierra Leone</w:t>
      </w:r>
    </w:p>
    <w:p>
      <w:pPr>
        <w:pStyle w:val="Normal"/>
        <w:spacing w:before="0" w:after="200"/>
        <w:jc w:val="center"/>
        <w:rPr>
          <w:b/>
          <w:bCs/>
          <w:color w:val="1F3864"/>
          <w:sz w:val="30"/>
          <w:szCs w:val="30"/>
        </w:rPr>
      </w:pPr>
      <w:r>
        <w:rPr>
          <w:b/>
          <w:bCs/>
          <w:color w:val="1F3864"/>
          <w:sz w:val="30"/>
          <w:szCs w:val="30"/>
        </w:rPr>
        <w:t xml:space="preserve"> </w:t>
      </w:r>
    </w:p>
    <w:p>
      <w:pPr>
        <w:pStyle w:val="Normal"/>
        <w:spacing w:before="0" w:after="80"/>
        <w:jc w:val="center"/>
        <w:rPr/>
      </w:pPr>
      <w:r>
        <w:rPr/>
        <w:t/>
      </w:r>
    </w:p>
    <w:p>
      <w:pPr>
        <w:pStyle w:val="Normal"/>
        <w:spacing w:before="0" w:after="80"/>
        <w:jc w:val="center"/>
        <w:rPr/>
      </w:pPr>
      <w:r>
        <w:rPr>
          <w:i/>
          <w:iCs/>
          <w:sz w:val="20"/>
          <w:szCs w:val="20"/>
        </w:rPr>
        <w:t/>
      </w:r>
    </w:p>
    <w:p>
      <w:pPr>
        <w:pStyle w:val="Normal"/>
        <w:spacing w:before="0" w:after="240"/>
        <w:jc w:val="center"/>
        <w:rPr/>
      </w:pPr>
      <w:r>
        <w:rPr>
          <w:i/>
          <w:iCs/>
          <w:sz w:val="20"/>
          <w:szCs w:val="20"/>
        </w:rPr>
        <w:t/>
      </w:r>
    </w:p>
    <w:p>
      <w:pPr>
        <w:pStyle w:val="Heading1"/>
        <w:spacing w:before="200" w:after="100"/>
        <w:rPr/>
      </w:pPr>
      <w:r>
        <w:rPr>
          <w:sz w:val="26"/>
          <w:szCs w:val="26"/>
        </w:rPr>
        <w:t>ABSTRACT</w:t>
      </w:r>
    </w:p>
    <w:p>
      <w:pPr>
        <w:pStyle w:val="Normal"/>
        <w:spacing w:before="60" w:after="80"/>
        <w:jc w:val="both"/>
        <w:rPr/>
      </w:pPr>
      <w:r>
        <w:rPr>
          <w:b/>
          <w:bCs/>
        </w:rPr>
        <w:t xml:space="preserve">Background: </w:t>
      </w:r>
      <w:r>
        <w:rPr/>
        <w:t>Globally, 149 million children under five years remain stunted and 45 million wasted, with Sub-Saharan Africa bearing a disproportionate burden. Sierra Leone, with a national stunting prevalence of 29% and substantially higher rates in remote northern districts, presents a critical evidence gap that existing cross-sectional literature has not addressed through rigorous multivariable inference.</w:t>
      </w:r>
    </w:p>
    <w:p>
      <w:pPr>
        <w:pStyle w:val="Normal"/>
        <w:spacing w:before="60" w:after="80"/>
        <w:jc w:val="both"/>
        <w:rPr/>
      </w:pPr>
      <w:r>
        <w:rPr>
          <w:b/>
          <w:bCs/>
        </w:rPr>
        <w:t xml:space="preserve">Methods: </w:t>
      </w:r>
      <w:r>
        <w:rPr/>
        <w:t>A convergent parallel mixed-methods study comprising (1) a community-based cross-sectional survey of 617 mother-child dyads and (2) Twelve (12) key informant interviews (KIIs) analysed using Framework Analysis in NVivo 14 (kappa=0.82) was conducted in Sulima Chiefdom, Falaba District, between January and March 2026. Anthropometric assessment used WHO 2006 Child Growth Standards and the WHO Anthro (igrowup) macro; the resulting z-scores were then exported to SPSS for statistical analysis. Bivariable and multivariable logistic regression identified independent predictors of regular GMP attendance (&gt;=4 sessions/6 months); multiple linear regression quantified the independent effect of GMP attendance on height-for-age z-score (HAZ) and weight-for-age z-score (WAZ). Formal mediation analysis with bootstrapped inference (5,000 resamples) tested the pathway Knowledge-Attitude-GMP Attendance. Spearman's correlation examined dose-response relationships.</w:t>
      </w:r>
    </w:p>
    <w:p>
      <w:pPr>
        <w:pStyle w:val="Normal"/>
        <w:spacing w:before="60" w:after="80"/>
        <w:jc w:val="both"/>
        <w:rPr/>
      </w:pPr>
      <w:r>
        <w:rPr>
          <w:b/>
          <w:bCs/>
        </w:rPr>
        <w:t xml:space="preserve">Results: </w:t>
      </w:r>
      <w:r>
        <w:rPr/>
        <w:t>Regular GMP attendance was 41.8% (n=258/617), with a 36 percentage-point gap versus ever-attendance (77.8%). Stunting prevalence was 28.7% (95% CI: 25.1-32.3%) and global acute malnutrition (GAM) 18.3% (95% CI: 15.3-21.4%), exceeding the WHO emergency threshold. Regular GMP attendees exhibited significantly lower stunting (19.0% vs 35.7%; OR=0.42, 95% CI: 0.29-0.62) and a 0.49 SD higher mean HAZ (Cohen's d=0.41, p&lt;0.001). In multivariable linear regression, regular GMP attendance remained an independent predictor of HAZ (B=0.365, SE=0.102, p&lt;0.001) and WAZ (B=0.343, SE=0.095, p&lt;0.001) after controlling for 11 covariates. IYCF counselling (aOR=4.20), positive attitude (aOR=3.72), mother support group membership (aOR=1.87), and perceived benefit (aOR=1.79) were independent predictors of regular attendance, while maternal knowledge was fully attenuated (aOR=1.23, p=0.807). Exploratory mediation analysis indicated that attitude accounted for an estimated 25.3% of the knowledge–attendance association (indirect effect a×b=0.048; bootstrap 95% CI: 0.023–0.079). Dose-response analysis showed progressively lower stunting from 32.5% at zero GMP sessions to 13.3% at six sessions (ρ=0.170, p&lt;0.001). Qualitative data provided convergent mechanistic evidence for all quantitative findings.</w:t>
      </w:r>
    </w:p>
    <w:p>
      <w:pPr>
        <w:pStyle w:val="Normal"/>
        <w:spacing w:before="60" w:after="80"/>
        <w:jc w:val="both"/>
        <w:rPr/>
      </w:pPr>
      <w:r>
        <w:rPr>
          <w:b/>
          <w:bCs/>
        </w:rPr>
        <w:t xml:space="preserve">Conclusions: </w:t>
      </w:r>
      <w:r>
        <w:rPr/>
        <w:t>GMP participation is independently and significantly associated with improved child linear growth and ponderal status in one of Sierra Leone's most underserved communities. The key modifiable drivers are not individual-level knowledge but attitudinal, relational, and structural factors: service quality encounters that build positive attitude, IYCF counselling that creates purposive engagement, social capital through mother support groups, and geographic accessibility. These findings suggest that programmes should consider pivoting from attendance registration to quality-centred integrated service delivery, supported by community mobilisation and satellite GMP infrastructure for distant populations.</w:t>
      </w:r>
    </w:p>
    <w:p>
      <w:pPr>
        <w:pStyle w:val="Normal"/>
        <w:spacing w:before="60" w:after="80"/>
        <w:rPr/>
      </w:pPr>
      <w:r>
        <w:rPr>
          <w:b/>
          <w:bCs/>
        </w:rPr>
        <w:t xml:space="preserve">Keywords: </w:t>
      </w:r>
      <w:r>
        <w:rPr/>
        <w:t>Growth monitoring and promotion; child undernutrition; stunting; Sierra Leone; mixed methods; health belief model; IYCF counselling; mother support groups; rural health</w:t>
      </w:r>
    </w:p>
    <w:p>
      <w:pPr>
        <w:pStyle w:val="Normal"/>
        <w:spacing w:before="0" w:after="200"/>
        <w:rPr/>
      </w:pPr>
      <w:r>
        <w:rPr/>
      </w:r>
    </w:p>
    <w:p>
      <w:pPr>
        <w:pStyle w:val="Heading1"/>
        <w:spacing w:before="360" w:after="120"/>
        <w:rPr/>
      </w:pPr>
      <w:r>
        <w:rPr>
          <w:sz w:val="26"/>
          <w:szCs w:val="26"/>
        </w:rPr>
        <w:t>1. BACKGROUND</w:t>
      </w:r>
    </w:p>
    <w:p>
      <w:pPr>
        <w:pStyle w:val="Normal"/>
        <w:spacing w:lineRule="auto" w:line="319" w:before="60" w:after="100"/>
        <w:ind w:firstLine="720"/>
        <w:jc w:val="both"/>
        <w:rPr/>
      </w:pPr>
      <w:r>
        <w:rPr/>
        <w:t>Child undernutrition constitutes one of the most persistent public health crises of the twenty-first century. The World Health Organization estimates that approximately 149 million children under five years of age are stunted, 45 million are wasted, and over 39 million are overweight — burdens concentrated overwhelmingly in low- and middle-income countries (LMICs) (WHO, 2023). These figures remain far from the World Health Assembly's Global Nutrition Target of a 40% reduction in the number of stunted children by 2025 (WHO, 2014). UNICEF estimates that undernutrition in its various forms contributes to more than 45% of all under-five mortality globally, with survivors bearing lifelong consequences including impaired neurocognitive development, diminished educational attainment, and reduced adult economic productivity (UNICEF, 2023). Sub-Saharan Africa shoulders a disproportionate fraction of this burden, accounting for approximately 40% of the world's stunted children, and the region is home to some of the highest rates of acute malnutrition globally (Black et al., 2013; Bhutta et al., 2013).</w:t>
      </w:r>
    </w:p>
    <w:p>
      <w:pPr>
        <w:pStyle w:val="Normal"/>
        <w:spacing w:lineRule="auto" w:line="319" w:before="60" w:after="100"/>
        <w:ind w:firstLine="720"/>
        <w:jc w:val="both"/>
        <w:rPr/>
      </w:pPr>
      <w:r>
        <w:rPr/>
        <w:t>Growth Monitoring and Promotion (GMP) — the regular measurement of a child's anthropometric indices at defined intervals, followed by caregiver counselling and referral — is recognised globally as a high-priority preventive intervention within the Essential Nutrition Actions framework (WHO/UNICEF, 2012). Its theoretical premise rests on early detection of growth faltering before irreversible damage occurs, triggering timely corrective action (WHO, 2008). When implemented with quality and consistency, GMP functions simultaneously as a surveillance system, a platform for vitamin A supplementation and immunisation delivery, and a behaviour-change contact point. Evidence from South Asia and sub-Saharan Africa has demonstrated that children attending GMP regularly exhibit lower odds of severe undernutrition, higher dietary diversity scores, and improved maternal health literacy (Victora et al., 2010; Roberfroid et al., 2007).</w:t>
      </w:r>
    </w:p>
    <w:p>
      <w:pPr>
        <w:pStyle w:val="Normal"/>
        <w:spacing w:lineRule="auto" w:line="319" w:before="60" w:after="100"/>
        <w:ind w:firstLine="720"/>
        <w:jc w:val="both"/>
        <w:rPr/>
      </w:pPr>
      <w:r>
        <w:rPr/>
        <w:t>The theoretical framework underpinning this study is the Health Belief Model (HBM; Rosenstock, 1974), which posits that health-seeking behaviour is driven not by information, but by perceived susceptibility to illness, perceived severity, perceived benefits of action, perceived barriers, and cues to action. This framework guided the variable selection for the attitudinal, perceived-benefit, and barrier constructs measured in the quantitative strand, and provides the conceptual architecture for interpreting the mechanism by which attitude rather than knowledge emerged as the dominant proximal determinant of GMP attendance. The HBM has been applied productively in GMP and child nutrition research across sub-Saharan Africa (Becker et al., 2018; Girma et al., 2019), and the present study adds to this body of evidence with formal mediation analysis and qualitative mechanistic investigation.</w:t>
      </w:r>
    </w:p>
    <w:p>
      <w:pPr>
        <w:pStyle w:val="Normal"/>
        <w:spacing w:lineRule="auto" w:line="319" w:before="60" w:after="100"/>
        <w:ind w:firstLine="720"/>
        <w:jc w:val="both"/>
        <w:rPr/>
      </w:pPr>
      <w:r>
        <w:rPr/>
        <w:t>Sierra Leone presents one of the most challenging nutritional environments in West Africa. The country's protracted civil conflict (1991–2002) and the 2014–2016 Ebola crisis and the COVID-19 pandemic have cumulatively eroded the health infrastructure, community trust in health services, and health workforce capacity (World Bank, 2023). The Sierra Leone Demographic and Health Survey 2019 (SLDHS 2019) reported a national stunting prevalence of 29%, a wasting rate of 8%, and an underweight rate of 12%, all above WHO high-concern thresholds with marked north–south and rural–urban disparities (Statistics Sierra Leone &amp; ICF, 2020). Falaba District, in the remote Northern Province, exhibits substantially higher rates; GMP is formally integrated into the national Basic Package of Essential Health Services (BPEHS) and mandated through peripheral health units, yet utilisation remains well below programme targets (MoHS, 2021).</w:t>
      </w:r>
    </w:p>
    <w:p>
      <w:pPr>
        <w:pStyle w:val="Heading2"/>
        <w:spacing w:before="240" w:after="80"/>
        <w:rPr/>
      </w:pPr>
      <w:r>
        <w:rPr/>
        <w:t>1.1 The Research Gap and Justification</w:t>
      </w:r>
    </w:p>
    <w:p>
      <w:pPr>
        <w:pStyle w:val="Normal"/>
        <w:spacing w:lineRule="auto" w:line="319" w:before="60" w:after="100"/>
        <w:ind w:firstLine="720"/>
        <w:jc w:val="both"/>
        <w:rPr/>
      </w:pPr>
      <w:r>
        <w:rPr/>
        <w:t>Despite the policy landscape, a critical evidence gap persists. Existing literature from Sierra Leone and comparable contexts documents either GMP coverage rates or nutritional outcomes in isolation; almost none quantifies the dose-response relationship between GMP attendance quality and anthropometric outcomes while simultaneously identifying independent determinants through multivariable inference. This conflation of 'ever attended' with 'regularly attended' has obscured the programme-level signal: it is not mere contact but quality, regularity, and integrated service delivery that drive measurable nutritional benefit. Furthermore, studies routinely test knowledge as the primary modifiable lever without adequately adjusting for attitudinal, social network, and health system structural factors producing recommendations centred on health education that fail to shift population-level utilisation (Becker et al., 2018).</w:t>
      </w:r>
    </w:p>
    <w:p>
      <w:pPr>
        <w:pStyle w:val="Normal"/>
        <w:spacing w:lineRule="auto" w:line="319" w:before="60" w:after="100"/>
        <w:ind w:firstLine="720"/>
        <w:jc w:val="both"/>
        <w:rPr/>
      </w:pPr>
      <w:r>
        <w:rPr/>
        <w:t>Sulima Chiefdom is located within Falaba District, in Sierra Leone’s remote Northern Province, and was purposively selected for its long-standing but under-evaluated GMP programme, its documented high burden of child malnutrition, and the complete absence of prior community-level GMP evidence from the setting. The present study addresses three specific gaps: (1) the absence of community-level evidence on GMP utilisation patterns and nutritional outcomes in Sulima Chiefdom, one of Sierra Leone's most geographically isolated and nutritionally vulnerable communities; (2) the lack of multivariable inference on determinants of regular — not merely ever — GMP attendance, controlling for the full socio-ecological determinant space including health system and social network factors; and (3) the need to quantify the independent effect of GMP attendance on anthropometric z-scores through linear regression, establishing effect sizes necessary for health economic analysis and programme investment decisions. To the authors' knowledge, this is the first community-level, mixed-methods study from Sulima Chiefdom to address all three gaps simultaneously.</w:t>
      </w:r>
    </w:p>
    <w:p>
      <w:pPr>
        <w:pStyle w:val="Heading1"/>
        <w:spacing w:before="360" w:after="120"/>
        <w:rPr/>
      </w:pPr>
      <w:r>
        <w:rPr>
          <w:sz w:val="26"/>
          <w:szCs w:val="26"/>
        </w:rPr>
        <w:t>2. MATERIALS AND METHODS</w:t>
      </w:r>
    </w:p>
    <w:p>
      <w:pPr>
        <w:pStyle w:val="Heading2"/>
        <w:spacing w:before="240" w:after="80"/>
        <w:rPr/>
      </w:pPr>
      <w:r>
        <w:rPr/>
        <w:t>2.1 Study Design and Setting</w:t>
      </w:r>
    </w:p>
    <w:p>
      <w:pPr>
        <w:pStyle w:val="Normal"/>
        <w:spacing w:lineRule="auto" w:line="319" w:before="60" w:after="100"/>
        <w:ind w:firstLine="720"/>
        <w:jc w:val="both"/>
        <w:rPr/>
      </w:pPr>
      <w:r>
        <w:rPr/>
        <w:t>A convergent parallel mixed-methods design (Creswell &amp; Plano Clark, 2018) was employed, integrating a community-based cross-sectional survey (quantitative strand) with key informant interviews analysed using Framework Analysis (qualitative strand). Both strands addressed the same research phenomenon GMP utilisation and child nutritional outcomes from complementary epistemological positions: the quantitative strand establishes what is happening (prevalence, effect sizes, odds ratios), while the qualitative strand explains why and how it is happening. The two strands were collected concurrently (January–March 2026) in Sulima Chiefdom, Falaba District, Northern Province, Sierra Leone, analysed independently, and integrated at the interpretation phase through a joint display matrix.</w:t>
      </w:r>
    </w:p>
    <w:p>
      <w:pPr>
        <w:pStyle w:val="Normal"/>
        <w:spacing w:lineRule="auto" w:line="319" w:before="60" w:after="100"/>
        <w:ind w:firstLine="720"/>
        <w:jc w:val="both"/>
        <w:rPr/>
      </w:pPr>
      <w:r>
        <w:rPr/>
        <w:t>Sulima Chiefdom is geographically remote, characterised by poor road connectivity, seasonal flooding (rendering communities inaccessible for up to 3-4 months annually), low adult literacy (particularly among women), and limited functional health facilities relative to its population size. This socioeconomic and epidemiological profile is broadly representative of rural Falaba District and analogous communities across Sierra Leone's Northern Province, supporting the transferability of findings.</w:t>
      </w:r>
    </w:p>
    <w:p>
      <w:pPr>
        <w:pStyle w:val="Heading2"/>
        <w:spacing w:before="240" w:after="80"/>
        <w:rPr/>
      </w:pPr>
      <w:r>
        <w:rPr/>
        <w:t>2.2 Quantitative Strand: Sample Size and Sampling</w:t>
      </w:r>
    </w:p>
    <w:p>
      <w:pPr>
        <w:pStyle w:val="Normal"/>
        <w:spacing w:lineRule="auto" w:line="319" w:before="60" w:after="100"/>
        <w:ind w:firstLine="720"/>
        <w:jc w:val="both"/>
        <w:rPr/>
      </w:pPr>
      <w:r>
        <w:rPr/>
        <w:t>A sample size of 617 was determined using the Cochran formula for cross-sectional surveys. As no reliable prior estimate of regular GMP attendance was available for Sulima Chiefdom, a prevalence of 50% was used to maximise the sample size, with a 5% margin of error, 95% confidence level, and a 10% non-response adjustment. A two-stage cluster sampling approach was employed: in Stage 1, villages and communities were selected by probability proportional to size (PPS); in Stage 2, households with at least one child aged 0–59 months were selected by systematic random sampling. Where a household contained more than one eligible child, a single index child was selected at random using the Kish grid to avoid selection bias.</w:t>
      </w:r>
    </w:p>
    <w:p>
      <w:pPr>
        <w:pStyle w:val="Heading2"/>
        <w:spacing w:before="240" w:after="80"/>
        <w:rPr/>
      </w:pPr>
      <w:r>
        <w:rPr/>
        <w:t>2.3 Data Collection</w:t>
      </w:r>
    </w:p>
    <w:p>
      <w:pPr>
        <w:pStyle w:val="Normal"/>
        <w:spacing w:lineRule="auto" w:line="319" w:before="60" w:after="100"/>
        <w:ind w:firstLine="720"/>
        <w:jc w:val="both"/>
        <w:rPr/>
      </w:pPr>
      <w:r>
        <w:rPr/>
        <w:t>Trained data collectors administered a structured questionnaire across five domains: (A) maternal socio-demographic characteristics; (B) child characteristics and health history; (C) GMP utilisation history and programme quality indicators; (D) maternal knowledge, attitude, and perception regarding GMP and child nutrition; and (E) household and health system factors, including barriers to service access and community health worker contacts. Anthropometric measurements weight (kg), recumbent length or standing height (cm), and MUAC (mm) were taken in triplicate following WHO standard operating procedures, with the median recorded. Weight was measured to the nearest 0.1 kg using a calibrated electronic/Salter scale, length or height to the nearest 0.1 cm using a standard WHO-recommended (UNICEF-type) wooden length/height board, and MUAC to the nearest 1 mm; all instruments were calibrated daily. Household food insecurity was assessed using the Household Food Insecurity Access Scale (HFIAS). Z-scores were computed using the WHO 2006 Child Growth Standards and the WHO Anthro (igrowup) macro and are reported to two decimal places.</w:t>
      </w:r>
    </w:p>
    <w:p>
      <w:pPr>
        <w:pStyle w:val="Heading2"/>
        <w:spacing w:before="240" w:after="80"/>
        <w:rPr/>
      </w:pPr>
      <w:r>
        <w:rPr/>
        <w:t>2.4 Outcome Variables and Definitions</w:t>
      </w:r>
    </w:p>
    <w:p>
      <w:pPr>
        <w:pStyle w:val="Normal"/>
        <w:spacing w:lineRule="auto" w:line="319" w:before="60" w:after="100"/>
        <w:ind w:firstLine="720"/>
        <w:jc w:val="both"/>
        <w:rPr/>
      </w:pPr>
      <w:r>
        <w:rPr/>
        <w:t>The primary outcome was regular GMP attendance, defined as attending ≥4 GMP sessions in the six months preceding the survey, consistent with WHO monthly session protocols, coded as binary (Yes/No). Secondary outcomes were: Height-for-Age Z-score (HAZ), Weight-for-Age Z-score (WAZ), and Weight-for-Height Z-score (WHZ). Clinical thresholds followed WHO standards: stunting (HAZ &lt;−2 SD), wasting (WHZ &lt;−2 SD), underweight (WAZ &lt;−2 SD), moderate acute malnutrition (MAM: MUAC 115–124 mm), and severe acute malnutrition (SAM: MUAC &lt;115 mm). Global Acute Malnutrition (GAM) was defined as SAM plus MAM.</w:t>
      </w:r>
    </w:p>
    <w:p>
      <w:pPr>
        <w:pStyle w:val="Heading2"/>
        <w:spacing w:before="240" w:after="80"/>
        <w:rPr/>
      </w:pPr>
      <w:r>
        <w:rPr/>
        <w:t>2.5 Quantitative Statistical Analysis</w:t>
      </w:r>
    </w:p>
    <w:p>
      <w:pPr>
        <w:pStyle w:val="Normal"/>
        <w:spacing w:lineRule="auto" w:line="319" w:before="60" w:after="100"/>
        <w:ind w:firstLine="720"/>
        <w:jc w:val="both"/>
        <w:rPr/>
      </w:pPr>
      <w:r>
        <w:rPr/>
        <w:t>All analyses were conducted using IBM SPSS Statistics (Version 26.0; IBM Corp., Armonk, NY, USA). Continuous variables were described using mean ± standard deviation (SD) for normally distributed data (assessed by Shapiro-Wilk test) or median (interquartile range) for non-normal distributions. Categorical variables were presented as frequencies and percentages with 95% Wilson confidence intervals.</w:t>
      </w:r>
    </w:p>
    <w:p>
      <w:pPr>
        <w:pStyle w:val="Normal"/>
        <w:spacing w:lineRule="auto" w:line="319" w:before="60" w:after="100"/>
        <w:ind w:firstLine="720"/>
        <w:jc w:val="both"/>
        <w:rPr/>
      </w:pPr>
      <w:r>
        <w:rPr/>
        <w:t>Bivariable logistic regression estimated crude odds ratios (cOR) with 95% CIs for each candidate predictor of regular GMP attendance. Variables with p&lt;0.25 in bivariable analysis and those with established programmatic relevance were entered into the multivariable model using forced entry (Enter method), which is preferred over stepwise selection for confirmatory inference. Model fit was assessed with the Hosmer–Lemeshow goodness-of-fit test (adequate fit: p&gt;0.05) and Nagelkerke R². Multicollinearity was evaluated using the variance inflation factor (VIF; all VIFs &lt;5.0). Because the survey used two-stage cluster sampling, the potential for intracluster correlation was considered in the analysis; to guard against underestimated standard errors, robust (cluster-aware) variance estimation was applied to the regression models, with the village/community as the clustering unit. Results were materially unchanged relative to models assuming independent observations, although residual design effects cannot be fully excluded and are addressed further in the Limitations.</w:t>
      </w:r>
    </w:p>
    <w:p>
      <w:pPr>
        <w:pStyle w:val="Normal"/>
        <w:spacing w:lineRule="auto" w:line="319" w:before="60" w:after="100"/>
        <w:ind w:firstLine="720"/>
        <w:jc w:val="both"/>
        <w:rPr/>
      </w:pPr>
      <w:r>
        <w:rPr/>
        <w:t>Multiple linear regression was performed with HAZ and WAZ as dependent variables, adjusting simultaneously for 11 covariates selected a priori based on the conceptual framework and established determinants of child growth from the literature: child age, sex, birth weight, exclusive breastfeeding, diarrhoea in the past two weeks, ARI in the past two weeks, vitamin A supplementation, maternal knowledge category, household food security, IYCF counselling exposure, and distance to the primary health centre. Regression coefficients (B) are unstandardised and represent the change in z-score (in SD units) per unit change in the predictor.</w:t>
      </w:r>
    </w:p>
    <w:p>
      <w:pPr>
        <w:pStyle w:val="Normal"/>
        <w:spacing w:lineRule="auto" w:line="319" w:before="60" w:after="100"/>
        <w:ind w:firstLine="720"/>
        <w:jc w:val="both"/>
        <w:rPr/>
      </w:pPr>
      <w:r>
        <w:rPr/>
        <w:t>Mediation analysis tested the hypothesised pathway Knowledge→Attitude→GMP Attendance using a bootstrapping approach to the indirect effect (5,000 resamples; percentile method), with the Baron and Kenny (1986) causal-steps logic reported descriptively for transparency. Because the data are cross-sectional and the temporal ordering of knowledge, attitude, and attendance cannot be established by design, all mediation findings are interpreted as exploratory and hypothesis-generating rather than confirmatory of a causal sequence. This analysis was supplemented with a moderation (interaction) analysis testing whether the association between knowledge and GMP attendance varies by attitude. Spearman's rank correlation (ρ) assessed associations between non-normal continuous variables and dose-response relationships. Statistical significance was defined at p&lt;0.05 (two-tailed); borderline trends at p&lt;0.10 are noted where relevant.</w:t>
      </w:r>
    </w:p>
    <w:p>
      <w:pPr>
        <w:pStyle w:val="Heading2"/>
        <w:spacing w:before="240" w:after="80"/>
        <w:rPr/>
      </w:pPr>
      <w:r>
        <w:rPr/>
        <w:t>2.6 Qualitative Strand</w:t>
      </w:r>
    </w:p>
    <w:p>
      <w:pPr>
        <w:pStyle w:val="Normal"/>
        <w:spacing w:lineRule="auto" w:line="319" w:before="60" w:after="100"/>
        <w:ind w:firstLine="720"/>
        <w:jc w:val="both"/>
        <w:rPr/>
      </w:pPr>
      <w:r>
        <w:rPr/>
        <w:t>Twelve KIIs were conducted purposively across eight informant categories: Peripheral Health Unit (PHU) In-Charge (n=1), Community Health Workers or CHWs (n=2), CHW Peer Supervisor (n=1), Mother Support Group Leader (n=1), Community Leader (n=1), Mothers spanning the attendance spectrum regular, irregular, non-attendee (n=4), Chiefdom Nutrition Officer (n=1), and Grand Mother Leader (n=1). This sample achieved thematic saturation: the final two interviews (KII-11, KII-12) introduced no new themes or sub-codes, confirming saturation consistent with published guidance for KII-based research in low-resource health systems settings (Guest et al., 2006; Hennink &amp; Kaiser, 2022). Interviews were audio-recorded, transcribed verbatim, back-translated for accuracy, and analysed using Framework Analysis (Ritchie &amp; Spencer, 1994) in NVivo 14. Inter-coder reliability was κ=0.82 (mean across 30% subsample), indicating strong agreement. This qualitative strand was reported in accordance with the Consolidated Criteria for Reporting Qualitative Research (COREQ; Tong et al., 2007).</w:t>
      </w:r>
    </w:p>
    <w:p>
      <w:pPr>
        <w:pStyle w:val="Heading2"/>
        <w:spacing w:before="240" w:after="80"/>
        <w:rPr/>
      </w:pPr>
      <w:r>
        <w:rPr/>
        <w:t>2.7 Mixed-Methods Integration</w:t>
      </w:r>
    </w:p>
    <w:p>
      <w:pPr>
        <w:pStyle w:val="Normal"/>
        <w:spacing w:lineRule="auto" w:line="319" w:before="60" w:after="100"/>
        <w:ind w:firstLine="720"/>
        <w:jc w:val="both"/>
        <w:rPr/>
      </w:pPr>
      <w:r>
        <w:rPr/>
        <w:t>Quantitative and qualitative findings were integrated at the interpretation phase using a joint display matrix (Table 6), in which each quantitative finding is placed in dialogue with the corresponding qualitative theme, mechanism explanation, and direction of convergence. This integration approach is consistent with best practice for convergent parallel mixed-methods designs (Creswell &amp; Plano Clark, 2018).</w:t>
      </w:r>
    </w:p>
    <w:p>
      <w:pPr>
        <w:pStyle w:val="Heading2"/>
        <w:spacing w:before="240" w:after="80"/>
        <w:rPr/>
      </w:pPr>
      <w:r>
        <w:rPr/>
      </w:r>
    </w:p>
    <w:p>
      <w:pPr>
        <w:pStyle w:val="Heading2"/>
        <w:spacing w:before="240" w:after="80"/>
        <w:rPr/>
      </w:pPr>
      <w:r>
        <w:rPr/>
        <w:t>2.8 Ethical Considerations</w:t>
      </w:r>
    </w:p>
    <w:p>
      <w:pPr>
        <w:pStyle w:val="Normal"/>
        <w:spacing w:lineRule="auto" w:line="319" w:before="60" w:after="100"/>
        <w:ind w:firstLine="720"/>
        <w:jc w:val="both"/>
        <w:rPr/>
      </w:pPr>
      <w:r>
        <w:rPr/>
        <w:t>Ethical approval was obtained from the Institutional Review Board of Njala University and the Sierra Leone Ethics and Scientific Review Committee. Written informed consent was obtained from all participants prior to data collection. Participation was voluntary and confidentiality was assured through data anonymisation. Children identified with SAM during anthropometric screening were immediately referred to the nearest Community-based Management of Acute Malnutrition (CMAM)-capable facility.</w:t>
      </w:r>
    </w:p>
    <w:p>
      <w:pPr>
        <w:pStyle w:val="Heading1"/>
        <w:spacing w:before="360" w:after="120"/>
        <w:rPr/>
      </w:pPr>
      <w:r>
        <w:rPr>
          <w:sz w:val="26"/>
          <w:szCs w:val="26"/>
        </w:rPr>
        <w:t>3. RESULTS</w:t>
      </w:r>
    </w:p>
    <w:p>
      <w:pPr>
        <w:pStyle w:val="Heading2"/>
        <w:spacing w:before="240" w:after="80"/>
        <w:rPr/>
      </w:pPr>
      <w:r>
        <w:rPr/>
        <w:t>3.1 Sample Characteristics</w:t>
      </w:r>
    </w:p>
    <w:p>
      <w:pPr>
        <w:pStyle w:val="Normal"/>
        <w:spacing w:lineRule="auto" w:line="319" w:before="60" w:after="100"/>
        <w:ind w:firstLine="720"/>
        <w:jc w:val="both"/>
        <w:rPr/>
      </w:pPr>
      <w:r>
        <w:rPr/>
        <w:t>A total of 617 mother–child dyads were enrolled, achieving the target sample with a response rate of 97.3% (Table 1). The majority of mothers were married or cohabiting (69.4%), aged 20–24 years (38.1%), and residing in villages (72.6%). Over 76% of households had a monthly income below 1,000 SLL (&lt;US$50), and 44.2% fell below 500 SLL, indicating profound economic vulnerability. Formal education was absent among 45.2% of mothers, with only 4.9% completing tertiary education. Household food insecurity was near-universal: only 18.0% of households were food secure, while 15.9% were severely food insecure. Children were approximately equally distributed by sex (54.5% male), with low birth weight reported in 14.1% (n=87). Exclusive breastfeeding for the recommended six months was reported by only 25.6% of mothers, below both national and WHO targets. Full vaccination coverage was achieved in 51.9% (n=320), assessed among children aged ≥12 months who were old enough to have completed the national immunisation schedule.</w:t>
      </w:r>
    </w:p>
    <w:p>
      <w:pPr>
        <w:pStyle w:val="Normal"/>
        <w:spacing w:before="0" w:after="80"/>
        <w:rPr/>
      </w:pPr>
      <w:r>
        <w:rPr/>
      </w:r>
    </w:p>
    <w:p>
      <w:pPr>
        <w:pStyle w:val="Normal"/>
        <w:spacing w:before="160" w:after="60"/>
        <w:rPr/>
      </w:pPr>
      <w:r>
        <w:rPr>
          <w:b/>
          <w:bCs/>
          <w:sz w:val="20"/>
          <w:szCs w:val="20"/>
        </w:rPr>
        <w:t>Table 1. Sociodemographic and Clinical Characteristics of Study Participants by GMP Attendance Status, Sulima Chiefdom, Sierra Leone (N=617)</w:t>
      </w:r>
    </w:p>
    <w:tbl>
      <w:tblPr>
        <w:tblStyle w:val="GridTable4"/>
        <w:tblW w:w="1045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302"/>
        <w:gridCol w:w="1167"/>
        <w:gridCol w:w="2098"/>
        <w:gridCol w:w="1945"/>
        <w:gridCol w:w="1943"/>
      </w:tblGrid>
      <w:tr>
        <w:trPr>
          <w:trHeight w:val="415" w:hRule="atLeast"/>
          <w:cnfStyle w:val="100000000000" w:firstRow="1" w:lastRow="0" w:firstColumn="0" w:lastColumn="0" w:oddVBand="0" w:evenVBand="0" w:oddHBand="0" w:evenHBand="0" w:firstRowFirstColumn="0" w:firstRowLastColumn="0" w:lastRowFirstColumn="0" w:lastRowLastColumn="0"/>
        </w:trPr>
        <w:tc>
          <w:tcPr>
            <w:tcW w:w="3302"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single" w:sz="4" w:space="0" w:color="000000"/>
            </w:tcBorders>
            <w:shd w:color="auto" w:fill="000000" w:themeFill="text1" w:val="clear"/>
          </w:tcPr>
          <w:p>
            <w:pPr>
              <w:pStyle w:val="Normal"/>
              <w:widowControl/>
              <w:suppressAutoHyphens w:val="true"/>
              <w:spacing w:lineRule="auto" w:line="360" w:before="0" w:after="0"/>
              <w:jc w:val="center"/>
              <w:rPr>
                <w:rFonts w:ascii="Times New Roman" w:hAnsi="Times New Roman" w:eastAsia="Times New Roman" w:cs="Times New Roman"/>
                <w:b/>
                <w:bCs/>
                <w:color w:themeColor="background1" w:val="FFFFFF"/>
                <w:kern w:val="0"/>
                <w:sz w:val="22"/>
                <w:szCs w:val="22"/>
                <w:lang w:val="en-US" w:eastAsia="en-US" w:bidi="ar-SA"/>
              </w:rPr>
            </w:pPr>
            <w:r>
              <w:rPr>
                <w:rFonts w:eastAsia="Times New Roman" w:cs="Times New Roman"/>
                <w:b w:val="false"/>
                <w:bCs w:val="false"/>
                <w:color w:val="FFFFFF"/>
                <w:kern w:val="0"/>
                <w:sz w:val="18"/>
                <w:szCs w:val="18"/>
                <w:lang w:val="en-US" w:eastAsia="en-US" w:bidi="ar-SA"/>
              </w:rPr>
              <w:t>Characteristic</w:t>
            </w:r>
          </w:p>
        </w:tc>
        <w:tc>
          <w:tcPr>
            <w:tcW w:w="1167" w:type="dxa"/>
            <w:tcBorders>
              <w:top w:val="single" w:sz="4" w:space="0" w:color="000000"/>
              <w:left w:val="single" w:sz="4" w:space="0" w:color="000000"/>
              <w:bottom w:val="single" w:sz="4" w:space="0" w:color="000000"/>
              <w:right w:val="single" w:sz="4" w:space="0" w:color="000000"/>
            </w:tcBorders>
            <w:shd w:color="auto" w:fill="000000" w:themeFill="text1" w:val="clear"/>
          </w:tcPr>
          <w:p>
            <w:pPr>
              <w:pStyle w:val="Normal"/>
              <w:widowControl/>
              <w:suppressAutoHyphens w:val="true"/>
              <w:spacing w:lineRule="auto" w:line="360"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themeColor="background1" w:val="FFFFFF"/>
                <w:kern w:val="0"/>
                <w:sz w:val="22"/>
                <w:szCs w:val="22"/>
                <w:lang w:val="en-US" w:eastAsia="en-US" w:bidi="ar-SA"/>
              </w:rPr>
            </w:pPr>
            <w:r>
              <w:rPr>
                <w:rFonts w:eastAsia="Times New Roman" w:cs="Times New Roman"/>
                <w:b w:val="false"/>
                <w:bCs w:val="false"/>
                <w:color w:val="FFFFFF"/>
                <w:kern w:val="0"/>
                <w:sz w:val="18"/>
                <w:szCs w:val="18"/>
                <w:lang w:val="en-US" w:eastAsia="en-US" w:bidi="ar-SA"/>
              </w:rPr>
              <w:t>n</w:t>
            </w:r>
          </w:p>
        </w:tc>
        <w:tc>
          <w:tcPr>
            <w:tcW w:w="2098" w:type="dxa"/>
            <w:tcBorders>
              <w:top w:val="single" w:sz="4" w:space="0" w:color="000000"/>
              <w:left w:val="single" w:sz="4" w:space="0" w:color="000000"/>
              <w:bottom w:val="single" w:sz="4" w:space="0" w:color="000000"/>
              <w:right w:val="single" w:sz="4" w:space="0" w:color="000000"/>
            </w:tcBorders>
            <w:shd w:color="auto" w:fill="000000" w:themeFill="text1" w:val="clear"/>
          </w:tcPr>
          <w:p>
            <w:pPr>
              <w:pStyle w:val="Normal"/>
              <w:widowControl/>
              <w:suppressAutoHyphens w:val="true"/>
              <w:spacing w:lineRule="auto" w:line="360"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themeColor="background1" w:val="FFFFFF"/>
                <w:kern w:val="0"/>
                <w:sz w:val="22"/>
                <w:szCs w:val="22"/>
                <w:lang w:val="en-US" w:eastAsia="en-US" w:bidi="ar-SA"/>
              </w:rPr>
            </w:pPr>
            <w:r>
              <w:rPr>
                <w:rFonts w:eastAsia="Times New Roman" w:cs="Times New Roman"/>
                <w:b w:val="false"/>
                <w:bCs w:val="false"/>
                <w:color w:val="FFFFFF"/>
                <w:kern w:val="0"/>
                <w:sz w:val="18"/>
                <w:szCs w:val="18"/>
                <w:lang w:val="en-US" w:eastAsia="en-US" w:bidi="ar-SA"/>
              </w:rPr>
              <w:t>% (95% CI)</w:t>
            </w:r>
          </w:p>
        </w:tc>
        <w:tc>
          <w:tcPr>
            <w:tcW w:w="1945" w:type="dxa"/>
            <w:tcBorders>
              <w:top w:val="single" w:sz="4" w:space="0" w:color="000000"/>
              <w:left w:val="single" w:sz="4" w:space="0" w:color="000000"/>
              <w:bottom w:val="single" w:sz="4" w:space="0" w:color="000000"/>
              <w:right w:val="single" w:sz="4" w:space="0" w:color="000000"/>
            </w:tcBorders>
            <w:shd w:color="auto" w:fill="000000" w:themeFill="text1" w:val="clear"/>
          </w:tcPr>
          <w:p>
            <w:pPr>
              <w:pStyle w:val="Normal"/>
              <w:widowControl/>
              <w:suppressAutoHyphens w:val="true"/>
              <w:spacing w:lineRule="auto" w:line="360"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themeColor="background1" w:val="FFFFFF"/>
                <w:kern w:val="0"/>
                <w:sz w:val="22"/>
                <w:szCs w:val="22"/>
                <w:lang w:val="en-US" w:eastAsia="en-US" w:bidi="ar-SA"/>
              </w:rPr>
            </w:pPr>
            <w:r>
              <w:rPr>
                <w:rFonts w:eastAsia="Times New Roman" w:cs="Times New Roman"/>
                <w:b w:val="false"/>
                <w:bCs w:val="false"/>
                <w:color w:val="FFFFFF"/>
                <w:kern w:val="0"/>
                <w:sz w:val="18"/>
                <w:szCs w:val="18"/>
                <w:lang w:val="en-US" w:eastAsia="en-US" w:bidi="ar-SA"/>
              </w:rPr>
              <w:t>Regular GMP Attendees %</w:t>
            </w:r>
          </w:p>
        </w:tc>
        <w:tc>
          <w:tcPr>
            <w:tcW w:w="1943" w:type="dxa"/>
            <w:tcBorders>
              <w:top w:val="single" w:sz="4" w:space="0" w:color="000000"/>
              <w:left w:val="single" w:sz="4" w:space="0" w:color="000000"/>
              <w:bottom w:val="single" w:sz="4" w:space="0" w:color="000000"/>
              <w:right w:val="single" w:sz="4" w:space="0" w:color="000000"/>
            </w:tcBorders>
            <w:shd w:color="auto" w:fill="000000" w:themeFill="text1" w:val="clear"/>
          </w:tcPr>
          <w:p>
            <w:pPr>
              <w:pStyle w:val="Normal"/>
              <w:widowControl/>
              <w:suppressAutoHyphens w:val="true"/>
              <w:spacing w:lineRule="auto" w:line="360"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themeColor="background1" w:val="FFFFFF"/>
                <w:kern w:val="0"/>
                <w:sz w:val="22"/>
                <w:szCs w:val="22"/>
                <w:lang w:val="en-US" w:eastAsia="en-US" w:bidi="ar-SA"/>
              </w:rPr>
            </w:pPr>
            <w:r>
              <w:rPr>
                <w:rFonts w:eastAsia="Times New Roman" w:cs="Times New Roman"/>
                <w:b w:val="false"/>
                <w:bCs w:val="false"/>
                <w:color w:val="FFFFFF"/>
                <w:kern w:val="0"/>
                <w:sz w:val="18"/>
                <w:szCs w:val="18"/>
                <w:lang w:val="en-US" w:eastAsia="en-US" w:bidi="ar-SA"/>
              </w:rPr>
              <w:t>Irregular GMP Attendees %</w:t>
            </w:r>
          </w:p>
        </w:tc>
      </w:tr>
      <w:tr>
        <w:trPr>
          <w:trHeight w:val="415" w:hRule="atLeast"/>
          <w:cnfStyle w:val="000000100000" w:firstRow="0" w:lastRow="0" w:firstColumn="0" w:lastColumn="0" w:oddVBand="0" w:evenVBand="0" w:oddHBand="1" w:evenHBand="0" w:firstRowFirstColumn="0" w:firstRowLastColumn="0" w:lastRowFirstColumn="0" w:lastRowLastColumn="0"/>
        </w:trPr>
        <w:tc>
          <w:tcPr>
            <w:tcW w:w="3302"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val="false"/>
                <w:bCs w:val="false"/>
                <w:kern w:val="0"/>
                <w:sz w:val="18"/>
                <w:szCs w:val="18"/>
                <w:lang w:val="en-US" w:eastAsia="en-US" w:bidi="ar-SA"/>
              </w:rPr>
              <w:t>MATERNAL SOCIO-DEMOGRAPHICS</w:t>
            </w:r>
          </w:p>
        </w:tc>
        <w:tc>
          <w:tcPr>
            <w:tcW w:w="1167"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2098"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1945"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1943"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r>
      <w:tr>
        <w:trPr>
          <w:trHeight w:val="258" w:hRule="atLeast"/>
        </w:trPr>
        <w:tc>
          <w:tcPr>
            <w:tcW w:w="3302" w:type="dxa"/>
            <w:cnfStyle w:val="001000000000" w:firstRow="0" w:lastRow="0" w:firstColumn="1" w:lastColumn="0" w:oddVBand="0" w:evenVBand="0" w:oddHBand="0" w:evenHBand="0" w:firstRowFirstColumn="0" w:firstRowLastColumn="0" w:lastRowFirstColumn="0" w:lastRowLastColumn="0"/>
            <w:tcBorders/>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val="false"/>
                <w:bCs w:val="false"/>
                <w:kern w:val="0"/>
                <w:sz w:val="18"/>
                <w:szCs w:val="18"/>
                <w:lang w:val="en-US" w:eastAsia="en-US" w:bidi="ar-SA"/>
              </w:rPr>
              <w:t>Maternal age group</w:t>
            </w:r>
          </w:p>
        </w:tc>
        <w:tc>
          <w:tcPr>
            <w:tcW w:w="1167"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2098"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1945"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1943"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r>
      <w:tr>
        <w:trPr>
          <w:trHeight w:val="208" w:hRule="atLeast"/>
          <w:cnfStyle w:val="000000100000" w:firstRow="0" w:lastRow="0" w:firstColumn="0" w:lastColumn="0" w:oddVBand="0" w:evenVBand="0" w:oddHBand="1" w:evenHBand="0" w:firstRowFirstColumn="0" w:firstRowLastColumn="0" w:lastRowFirstColumn="0" w:lastRowLastColumn="0"/>
        </w:trPr>
        <w:tc>
          <w:tcPr>
            <w:tcW w:w="3302"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 xml:space="preserve">  15–19 years</w:t>
            </w:r>
          </w:p>
        </w:tc>
        <w:tc>
          <w:tcPr>
            <w:tcW w:w="1167"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87</w:t>
            </w:r>
          </w:p>
        </w:tc>
        <w:tc>
          <w:tcPr>
            <w:tcW w:w="2098"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14.1 (11.5–17.1)</w:t>
            </w:r>
          </w:p>
        </w:tc>
        <w:tc>
          <w:tcPr>
            <w:tcW w:w="1945"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38.0</w:t>
            </w:r>
          </w:p>
        </w:tc>
        <w:tc>
          <w:tcPr>
            <w:tcW w:w="1943"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62.0</w:t>
            </w:r>
          </w:p>
        </w:tc>
      </w:tr>
      <w:tr>
        <w:trPr>
          <w:trHeight w:val="208" w:hRule="atLeast"/>
        </w:trPr>
        <w:tc>
          <w:tcPr>
            <w:tcW w:w="3302" w:type="dxa"/>
            <w:cnfStyle w:val="001000000000" w:firstRow="0" w:lastRow="0" w:firstColumn="1" w:lastColumn="0" w:oddVBand="0" w:evenVBand="0" w:oddHBand="0" w:evenHBand="0" w:firstRowFirstColumn="0" w:firstRowLastColumn="0" w:lastRowFirstColumn="0" w:lastRowLastColumn="0"/>
            <w:tcBorders/>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 xml:space="preserve">  20–24 years</w:t>
            </w:r>
          </w:p>
        </w:tc>
        <w:tc>
          <w:tcPr>
            <w:tcW w:w="1167"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235</w:t>
            </w:r>
          </w:p>
        </w:tc>
        <w:tc>
          <w:tcPr>
            <w:tcW w:w="2098"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38.1 (34.3–42.0)</w:t>
            </w:r>
          </w:p>
        </w:tc>
        <w:tc>
          <w:tcPr>
            <w:tcW w:w="1945"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44.3</w:t>
            </w:r>
          </w:p>
        </w:tc>
        <w:tc>
          <w:tcPr>
            <w:tcW w:w="1943"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55.7</w:t>
            </w:r>
          </w:p>
        </w:tc>
      </w:tr>
      <w:tr>
        <w:trPr>
          <w:trHeight w:val="215" w:hRule="atLeast"/>
          <w:cnfStyle w:val="000000100000" w:firstRow="0" w:lastRow="0" w:firstColumn="0" w:lastColumn="0" w:oddVBand="0" w:evenVBand="0" w:oddHBand="1" w:evenHBand="0" w:firstRowFirstColumn="0" w:firstRowLastColumn="0" w:lastRowFirstColumn="0" w:lastRowLastColumn="0"/>
        </w:trPr>
        <w:tc>
          <w:tcPr>
            <w:tcW w:w="3302"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 xml:space="preserve">  25–29 years</w:t>
            </w:r>
          </w:p>
        </w:tc>
        <w:tc>
          <w:tcPr>
            <w:tcW w:w="1167"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158</w:t>
            </w:r>
          </w:p>
        </w:tc>
        <w:tc>
          <w:tcPr>
            <w:tcW w:w="2098"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25.6 (22.2–29.3)</w:t>
            </w:r>
          </w:p>
        </w:tc>
        <w:tc>
          <w:tcPr>
            <w:tcW w:w="1945"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42.4</w:t>
            </w:r>
          </w:p>
        </w:tc>
        <w:tc>
          <w:tcPr>
            <w:tcW w:w="1943"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57.6</w:t>
            </w:r>
          </w:p>
        </w:tc>
      </w:tr>
      <w:tr>
        <w:trPr>
          <w:trHeight w:val="208" w:hRule="atLeast"/>
        </w:trPr>
        <w:tc>
          <w:tcPr>
            <w:tcW w:w="3302" w:type="dxa"/>
            <w:cnfStyle w:val="001000000000" w:firstRow="0" w:lastRow="0" w:firstColumn="1" w:lastColumn="0" w:oddVBand="0" w:evenVBand="0" w:oddHBand="0" w:evenHBand="0" w:firstRowFirstColumn="0" w:firstRowLastColumn="0" w:lastRowFirstColumn="0" w:lastRowLastColumn="0"/>
            <w:tcBorders/>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 xml:space="preserve">  ≥30 years</w:t>
            </w:r>
          </w:p>
        </w:tc>
        <w:tc>
          <w:tcPr>
            <w:tcW w:w="1167"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137</w:t>
            </w:r>
          </w:p>
        </w:tc>
        <w:tc>
          <w:tcPr>
            <w:tcW w:w="2098"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22.2 (19.0–25.8)</w:t>
            </w:r>
          </w:p>
        </w:tc>
        <w:tc>
          <w:tcPr>
            <w:tcW w:w="1945"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37.2</w:t>
            </w:r>
          </w:p>
        </w:tc>
        <w:tc>
          <w:tcPr>
            <w:tcW w:w="1943"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62.8</w:t>
            </w:r>
          </w:p>
        </w:tc>
      </w:tr>
      <w:tr>
        <w:trPr>
          <w:trHeight w:val="251" w:hRule="atLeast"/>
          <w:cnfStyle w:val="000000100000" w:firstRow="0" w:lastRow="0" w:firstColumn="0" w:lastColumn="0" w:oddVBand="0" w:evenVBand="0" w:oddHBand="1" w:evenHBand="0" w:firstRowFirstColumn="0" w:firstRowLastColumn="0" w:lastRowFirstColumn="0" w:lastRowLastColumn="0"/>
        </w:trPr>
        <w:tc>
          <w:tcPr>
            <w:tcW w:w="3302"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val="false"/>
                <w:bCs w:val="false"/>
                <w:kern w:val="0"/>
                <w:sz w:val="18"/>
                <w:szCs w:val="18"/>
                <w:lang w:val="en-US" w:eastAsia="en-US" w:bidi="ar-SA"/>
              </w:rPr>
              <w:t>Marital status</w:t>
            </w:r>
          </w:p>
        </w:tc>
        <w:tc>
          <w:tcPr>
            <w:tcW w:w="1167"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2098"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1945"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1943"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r>
      <w:tr>
        <w:trPr>
          <w:trHeight w:val="208" w:hRule="atLeast"/>
        </w:trPr>
        <w:tc>
          <w:tcPr>
            <w:tcW w:w="3302" w:type="dxa"/>
            <w:cnfStyle w:val="001000000000" w:firstRow="0" w:lastRow="0" w:firstColumn="1" w:lastColumn="0" w:oddVBand="0" w:evenVBand="0" w:oddHBand="0" w:evenHBand="0" w:firstRowFirstColumn="0" w:firstRowLastColumn="0" w:lastRowFirstColumn="0" w:lastRowLastColumn="0"/>
            <w:tcBorders/>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 xml:space="preserve">  Married / cohabiting</w:t>
            </w:r>
          </w:p>
        </w:tc>
        <w:tc>
          <w:tcPr>
            <w:tcW w:w="1167"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428</w:t>
            </w:r>
          </w:p>
        </w:tc>
        <w:tc>
          <w:tcPr>
            <w:tcW w:w="2098"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69.4 (65.6–73.0)</w:t>
            </w:r>
          </w:p>
        </w:tc>
        <w:tc>
          <w:tcPr>
            <w:tcW w:w="1945"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43.9</w:t>
            </w:r>
          </w:p>
        </w:tc>
        <w:tc>
          <w:tcPr>
            <w:tcW w:w="1943"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56.1</w:t>
            </w:r>
          </w:p>
        </w:tc>
      </w:tr>
      <w:tr>
        <w:trPr>
          <w:trHeight w:val="215" w:hRule="atLeast"/>
          <w:cnfStyle w:val="000000100000" w:firstRow="0" w:lastRow="0" w:firstColumn="0" w:lastColumn="0" w:oddVBand="0" w:evenVBand="0" w:oddHBand="1" w:evenHBand="0" w:firstRowFirstColumn="0" w:firstRowLastColumn="0" w:lastRowFirstColumn="0" w:lastRowLastColumn="0"/>
        </w:trPr>
        <w:tc>
          <w:tcPr>
            <w:tcW w:w="3302"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 xml:space="preserve">  Single / separated / widowed</w:t>
            </w:r>
          </w:p>
        </w:tc>
        <w:tc>
          <w:tcPr>
            <w:tcW w:w="1167"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189</w:t>
            </w:r>
          </w:p>
        </w:tc>
        <w:tc>
          <w:tcPr>
            <w:tcW w:w="2098"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30.6 (27.0–34.4)</w:t>
            </w:r>
          </w:p>
        </w:tc>
        <w:tc>
          <w:tcPr>
            <w:tcW w:w="1945"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36.5</w:t>
            </w:r>
          </w:p>
        </w:tc>
        <w:tc>
          <w:tcPr>
            <w:tcW w:w="1943"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63.5</w:t>
            </w:r>
          </w:p>
        </w:tc>
      </w:tr>
      <w:tr>
        <w:trPr>
          <w:trHeight w:val="251" w:hRule="atLeast"/>
        </w:trPr>
        <w:tc>
          <w:tcPr>
            <w:tcW w:w="3302" w:type="dxa"/>
            <w:cnfStyle w:val="001000000000" w:firstRow="0" w:lastRow="0" w:firstColumn="1" w:lastColumn="0" w:oddVBand="0" w:evenVBand="0" w:oddHBand="0" w:evenHBand="0" w:firstRowFirstColumn="0" w:firstRowLastColumn="0" w:lastRowFirstColumn="0" w:lastRowLastColumn="0"/>
            <w:tcBorders/>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val="false"/>
                <w:bCs w:val="false"/>
                <w:kern w:val="0"/>
                <w:sz w:val="18"/>
                <w:szCs w:val="18"/>
                <w:lang w:val="en-US" w:eastAsia="en-US" w:bidi="ar-SA"/>
              </w:rPr>
              <w:t>Maternal education level</w:t>
            </w:r>
          </w:p>
        </w:tc>
        <w:tc>
          <w:tcPr>
            <w:tcW w:w="1167"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2098"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1945"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1943"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r>
      <w:tr>
        <w:trPr>
          <w:trHeight w:val="208" w:hRule="atLeast"/>
          <w:cnfStyle w:val="000000100000" w:firstRow="0" w:lastRow="0" w:firstColumn="0" w:lastColumn="0" w:oddVBand="0" w:evenVBand="0" w:oddHBand="1" w:evenHBand="0" w:firstRowFirstColumn="0" w:firstRowLastColumn="0" w:lastRowFirstColumn="0" w:lastRowLastColumn="0"/>
        </w:trPr>
        <w:tc>
          <w:tcPr>
            <w:tcW w:w="3302"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 xml:space="preserve">  No formal education</w:t>
            </w:r>
          </w:p>
        </w:tc>
        <w:tc>
          <w:tcPr>
            <w:tcW w:w="1167"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279</w:t>
            </w:r>
          </w:p>
        </w:tc>
        <w:tc>
          <w:tcPr>
            <w:tcW w:w="2098"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45.2 (41.3–49.2)</w:t>
            </w:r>
          </w:p>
        </w:tc>
        <w:tc>
          <w:tcPr>
            <w:tcW w:w="1945"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35.1</w:t>
            </w:r>
          </w:p>
        </w:tc>
        <w:tc>
          <w:tcPr>
            <w:tcW w:w="1943"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64.9</w:t>
            </w:r>
          </w:p>
        </w:tc>
      </w:tr>
      <w:tr>
        <w:trPr>
          <w:trHeight w:val="208" w:hRule="atLeast"/>
        </w:trPr>
        <w:tc>
          <w:tcPr>
            <w:tcW w:w="3302" w:type="dxa"/>
            <w:cnfStyle w:val="001000000000" w:firstRow="0" w:lastRow="0" w:firstColumn="1" w:lastColumn="0" w:oddVBand="0" w:evenVBand="0" w:oddHBand="0" w:evenHBand="0" w:firstRowFirstColumn="0" w:firstRowLastColumn="0" w:lastRowFirstColumn="0" w:lastRowLastColumn="0"/>
            <w:tcBorders/>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 xml:space="preserve">  Primary education</w:t>
            </w:r>
          </w:p>
        </w:tc>
        <w:tc>
          <w:tcPr>
            <w:tcW w:w="1167"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181</w:t>
            </w:r>
          </w:p>
        </w:tc>
        <w:tc>
          <w:tcPr>
            <w:tcW w:w="2098"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29.3 (25.8–33.2)</w:t>
            </w:r>
          </w:p>
        </w:tc>
        <w:tc>
          <w:tcPr>
            <w:tcW w:w="1945"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44.2</w:t>
            </w:r>
          </w:p>
        </w:tc>
        <w:tc>
          <w:tcPr>
            <w:tcW w:w="1943"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55.8</w:t>
            </w:r>
          </w:p>
        </w:tc>
      </w:tr>
      <w:tr>
        <w:trPr>
          <w:trHeight w:val="208" w:hRule="atLeast"/>
          <w:cnfStyle w:val="000000100000" w:firstRow="0" w:lastRow="0" w:firstColumn="0" w:lastColumn="0" w:oddVBand="0" w:evenVBand="0" w:oddHBand="1" w:evenHBand="0" w:firstRowFirstColumn="0" w:firstRowLastColumn="0" w:lastRowFirstColumn="0" w:lastRowLastColumn="0"/>
        </w:trPr>
        <w:tc>
          <w:tcPr>
            <w:tcW w:w="3302"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 xml:space="preserve">  Secondary education</w:t>
            </w:r>
          </w:p>
        </w:tc>
        <w:tc>
          <w:tcPr>
            <w:tcW w:w="1167"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127</w:t>
            </w:r>
          </w:p>
        </w:tc>
        <w:tc>
          <w:tcPr>
            <w:tcW w:w="2098"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20.6 (17.5–24.1)</w:t>
            </w:r>
          </w:p>
        </w:tc>
        <w:tc>
          <w:tcPr>
            <w:tcW w:w="1945"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50.4</w:t>
            </w:r>
          </w:p>
        </w:tc>
        <w:tc>
          <w:tcPr>
            <w:tcW w:w="1943"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49.6</w:t>
            </w:r>
          </w:p>
        </w:tc>
      </w:tr>
      <w:tr>
        <w:trPr>
          <w:trHeight w:val="208" w:hRule="atLeast"/>
        </w:trPr>
        <w:tc>
          <w:tcPr>
            <w:tcW w:w="3302" w:type="dxa"/>
            <w:cnfStyle w:val="001000000000" w:firstRow="0" w:lastRow="0" w:firstColumn="1" w:lastColumn="0" w:oddVBand="0" w:evenVBand="0" w:oddHBand="0" w:evenHBand="0" w:firstRowFirstColumn="0" w:firstRowLastColumn="0" w:lastRowFirstColumn="0" w:lastRowLastColumn="0"/>
            <w:tcBorders/>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 xml:space="preserve">  Tertiary education</w:t>
            </w:r>
          </w:p>
        </w:tc>
        <w:tc>
          <w:tcPr>
            <w:tcW w:w="1167"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30</w:t>
            </w:r>
          </w:p>
        </w:tc>
        <w:tc>
          <w:tcPr>
            <w:tcW w:w="2098"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4.9 (3.4–7.0)</w:t>
            </w:r>
          </w:p>
        </w:tc>
        <w:tc>
          <w:tcPr>
            <w:tcW w:w="1945"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56.7</w:t>
            </w:r>
          </w:p>
        </w:tc>
        <w:tc>
          <w:tcPr>
            <w:tcW w:w="1943"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43.3</w:t>
            </w:r>
          </w:p>
        </w:tc>
      </w:tr>
      <w:tr>
        <w:trPr>
          <w:trHeight w:val="258" w:hRule="atLeast"/>
          <w:cnfStyle w:val="000000100000" w:firstRow="0" w:lastRow="0" w:firstColumn="0" w:lastColumn="0" w:oddVBand="0" w:evenVBand="0" w:oddHBand="1" w:evenHBand="0" w:firstRowFirstColumn="0" w:firstRowLastColumn="0" w:lastRowFirstColumn="0" w:lastRowLastColumn="0"/>
        </w:trPr>
        <w:tc>
          <w:tcPr>
            <w:tcW w:w="3302"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val="false"/>
                <w:bCs w:val="false"/>
                <w:kern w:val="0"/>
                <w:sz w:val="18"/>
                <w:szCs w:val="18"/>
                <w:lang w:val="en-US" w:eastAsia="en-US" w:bidi="ar-SA"/>
              </w:rPr>
              <w:t>Monthly household income</w:t>
            </w:r>
          </w:p>
        </w:tc>
        <w:tc>
          <w:tcPr>
            <w:tcW w:w="1167"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2098"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1945"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1943"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r>
      <w:tr>
        <w:trPr>
          <w:trHeight w:val="208" w:hRule="atLeast"/>
        </w:trPr>
        <w:tc>
          <w:tcPr>
            <w:tcW w:w="3302" w:type="dxa"/>
            <w:cnfStyle w:val="001000000000" w:firstRow="0" w:lastRow="0" w:firstColumn="1" w:lastColumn="0" w:oddVBand="0" w:evenVBand="0" w:oddHBand="0" w:evenHBand="0" w:firstRowFirstColumn="0" w:firstRowLastColumn="0" w:lastRowFirstColumn="0" w:lastRowLastColumn="0"/>
            <w:tcBorders/>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 xml:space="preserve">  &lt;500 SLL (&lt;US$25)</w:t>
            </w:r>
          </w:p>
        </w:tc>
        <w:tc>
          <w:tcPr>
            <w:tcW w:w="1167"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273</w:t>
            </w:r>
          </w:p>
        </w:tc>
        <w:tc>
          <w:tcPr>
            <w:tcW w:w="2098"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44.2 (40.3–48.2)</w:t>
            </w:r>
          </w:p>
        </w:tc>
        <w:tc>
          <w:tcPr>
            <w:tcW w:w="1945"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35.2</w:t>
            </w:r>
          </w:p>
        </w:tc>
        <w:tc>
          <w:tcPr>
            <w:tcW w:w="1943"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64.8</w:t>
            </w:r>
          </w:p>
        </w:tc>
      </w:tr>
      <w:tr>
        <w:trPr>
          <w:trHeight w:val="208" w:hRule="atLeast"/>
          <w:cnfStyle w:val="000000100000" w:firstRow="0" w:lastRow="0" w:firstColumn="0" w:lastColumn="0" w:oddVBand="0" w:evenVBand="0" w:oddHBand="1" w:evenHBand="0" w:firstRowFirstColumn="0" w:firstRowLastColumn="0" w:lastRowFirstColumn="0" w:lastRowLastColumn="0"/>
        </w:trPr>
        <w:tc>
          <w:tcPr>
            <w:tcW w:w="3302"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 xml:space="preserve">  500–999 SLL</w:t>
            </w:r>
          </w:p>
        </w:tc>
        <w:tc>
          <w:tcPr>
            <w:tcW w:w="1167"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198</w:t>
            </w:r>
          </w:p>
        </w:tc>
        <w:tc>
          <w:tcPr>
            <w:tcW w:w="2098"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32.1 (28.4–36.0)</w:t>
            </w:r>
          </w:p>
        </w:tc>
        <w:tc>
          <w:tcPr>
            <w:tcW w:w="1945"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44.4</w:t>
            </w:r>
          </w:p>
        </w:tc>
        <w:tc>
          <w:tcPr>
            <w:tcW w:w="1943"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55.6</w:t>
            </w:r>
          </w:p>
        </w:tc>
      </w:tr>
      <w:tr>
        <w:trPr>
          <w:trHeight w:val="208" w:hRule="atLeast"/>
        </w:trPr>
        <w:tc>
          <w:tcPr>
            <w:tcW w:w="3302" w:type="dxa"/>
            <w:cnfStyle w:val="001000000000" w:firstRow="0" w:lastRow="0" w:firstColumn="1" w:lastColumn="0" w:oddVBand="0" w:evenVBand="0" w:oddHBand="0" w:evenHBand="0" w:firstRowFirstColumn="0" w:firstRowLastColumn="0" w:lastRowFirstColumn="0" w:lastRowLastColumn="0"/>
            <w:tcBorders/>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 xml:space="preserve">  ≥1,000 SLL (≥US$50)</w:t>
            </w:r>
          </w:p>
        </w:tc>
        <w:tc>
          <w:tcPr>
            <w:tcW w:w="1167"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146</w:t>
            </w:r>
          </w:p>
        </w:tc>
        <w:tc>
          <w:tcPr>
            <w:tcW w:w="2098"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23.7 (20.4–27.3)</w:t>
            </w:r>
          </w:p>
        </w:tc>
        <w:tc>
          <w:tcPr>
            <w:tcW w:w="1945"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51.4</w:t>
            </w:r>
          </w:p>
        </w:tc>
        <w:tc>
          <w:tcPr>
            <w:tcW w:w="1943"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48.6</w:t>
            </w:r>
          </w:p>
        </w:tc>
      </w:tr>
      <w:tr>
        <w:trPr>
          <w:trHeight w:val="258" w:hRule="atLeast"/>
          <w:cnfStyle w:val="000000100000" w:firstRow="0" w:lastRow="0" w:firstColumn="0" w:lastColumn="0" w:oddVBand="0" w:evenVBand="0" w:oddHBand="1" w:evenHBand="0" w:firstRowFirstColumn="0" w:firstRowLastColumn="0" w:lastRowFirstColumn="0" w:lastRowLastColumn="0"/>
        </w:trPr>
        <w:tc>
          <w:tcPr>
            <w:tcW w:w="3302"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val="false"/>
                <w:bCs w:val="false"/>
                <w:kern w:val="0"/>
                <w:sz w:val="18"/>
                <w:szCs w:val="18"/>
                <w:lang w:val="en-US" w:eastAsia="en-US" w:bidi="ar-SA"/>
              </w:rPr>
              <w:t>Residence type</w:t>
            </w:r>
          </w:p>
        </w:tc>
        <w:tc>
          <w:tcPr>
            <w:tcW w:w="1167"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2098"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1945"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1943"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r>
      <w:tr>
        <w:trPr>
          <w:trHeight w:val="208" w:hRule="atLeast"/>
        </w:trPr>
        <w:tc>
          <w:tcPr>
            <w:tcW w:w="3302" w:type="dxa"/>
            <w:cnfStyle w:val="001000000000" w:firstRow="0" w:lastRow="0" w:firstColumn="1" w:lastColumn="0" w:oddVBand="0" w:evenVBand="0" w:oddHBand="0" w:evenHBand="0" w:firstRowFirstColumn="0" w:firstRowLastColumn="0" w:lastRowFirstColumn="0" w:lastRowLastColumn="0"/>
            <w:tcBorders/>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 xml:space="preserve">  Village (rural)</w:t>
            </w:r>
          </w:p>
        </w:tc>
        <w:tc>
          <w:tcPr>
            <w:tcW w:w="1167"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448</w:t>
            </w:r>
          </w:p>
        </w:tc>
        <w:tc>
          <w:tcPr>
            <w:tcW w:w="2098"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72.6 (69.0–76.0)</w:t>
            </w:r>
          </w:p>
        </w:tc>
        <w:tc>
          <w:tcPr>
            <w:tcW w:w="1945"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38.6</w:t>
            </w:r>
          </w:p>
        </w:tc>
        <w:tc>
          <w:tcPr>
            <w:tcW w:w="1943"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61.4</w:t>
            </w:r>
          </w:p>
        </w:tc>
      </w:tr>
      <w:tr>
        <w:trPr>
          <w:trHeight w:val="208" w:hRule="atLeast"/>
          <w:cnfStyle w:val="000000100000" w:firstRow="0" w:lastRow="0" w:firstColumn="0" w:lastColumn="0" w:oddVBand="0" w:evenVBand="0" w:oddHBand="1" w:evenHBand="0" w:firstRowFirstColumn="0" w:firstRowLastColumn="0" w:lastRowFirstColumn="0" w:lastRowLastColumn="0"/>
        </w:trPr>
        <w:tc>
          <w:tcPr>
            <w:tcW w:w="3302"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 xml:space="preserve">  Township / peri-urban</w:t>
            </w:r>
          </w:p>
        </w:tc>
        <w:tc>
          <w:tcPr>
            <w:tcW w:w="1167"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169</w:t>
            </w:r>
          </w:p>
        </w:tc>
        <w:tc>
          <w:tcPr>
            <w:tcW w:w="2098"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27.4 (24.0–31.0)</w:t>
            </w:r>
          </w:p>
        </w:tc>
        <w:tc>
          <w:tcPr>
            <w:tcW w:w="1945"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49.7</w:t>
            </w:r>
          </w:p>
        </w:tc>
        <w:tc>
          <w:tcPr>
            <w:tcW w:w="1943"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50.3</w:t>
            </w:r>
          </w:p>
        </w:tc>
      </w:tr>
      <w:tr>
        <w:trPr>
          <w:trHeight w:val="258" w:hRule="atLeast"/>
        </w:trPr>
        <w:tc>
          <w:tcPr>
            <w:tcW w:w="3302" w:type="dxa"/>
            <w:cnfStyle w:val="001000000000" w:firstRow="0" w:lastRow="0" w:firstColumn="1" w:lastColumn="0" w:oddVBand="0" w:evenVBand="0" w:oddHBand="0" w:evenHBand="0" w:firstRowFirstColumn="0" w:firstRowLastColumn="0" w:lastRowFirstColumn="0" w:lastRowLastColumn="0"/>
            <w:tcBorders/>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val="false"/>
                <w:bCs w:val="false"/>
                <w:kern w:val="0"/>
                <w:sz w:val="18"/>
                <w:szCs w:val="18"/>
                <w:lang w:val="en-US" w:eastAsia="en-US" w:bidi="ar-SA"/>
              </w:rPr>
              <w:t>HOUSEHOLD FOOD SECURITY</w:t>
            </w:r>
          </w:p>
        </w:tc>
        <w:tc>
          <w:tcPr>
            <w:tcW w:w="1167"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2098"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1945"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1943"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r>
      <w:tr>
        <w:trPr>
          <w:trHeight w:val="208" w:hRule="atLeast"/>
          <w:cnfStyle w:val="000000100000" w:firstRow="0" w:lastRow="0" w:firstColumn="0" w:lastColumn="0" w:oddVBand="0" w:evenVBand="0" w:oddHBand="1" w:evenHBand="0" w:firstRowFirstColumn="0" w:firstRowLastColumn="0" w:lastRowFirstColumn="0" w:lastRowLastColumn="0"/>
        </w:trPr>
        <w:tc>
          <w:tcPr>
            <w:tcW w:w="3302"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 xml:space="preserve">  Food secure</w:t>
            </w:r>
          </w:p>
        </w:tc>
        <w:tc>
          <w:tcPr>
            <w:tcW w:w="1167"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111</w:t>
            </w:r>
          </w:p>
        </w:tc>
        <w:tc>
          <w:tcPr>
            <w:tcW w:w="2098"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18.0 (15.1–21.3)</w:t>
            </w:r>
          </w:p>
        </w:tc>
        <w:tc>
          <w:tcPr>
            <w:tcW w:w="1945"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55.0</w:t>
            </w:r>
          </w:p>
        </w:tc>
        <w:tc>
          <w:tcPr>
            <w:tcW w:w="1943"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45.0</w:t>
            </w:r>
          </w:p>
        </w:tc>
      </w:tr>
      <w:tr>
        <w:trPr>
          <w:trHeight w:val="208" w:hRule="atLeast"/>
        </w:trPr>
        <w:tc>
          <w:tcPr>
            <w:tcW w:w="3302" w:type="dxa"/>
            <w:cnfStyle w:val="001000000000" w:firstRow="0" w:lastRow="0" w:firstColumn="1" w:lastColumn="0" w:oddVBand="0" w:evenVBand="0" w:oddHBand="0" w:evenHBand="0" w:firstRowFirstColumn="0" w:firstRowLastColumn="0" w:lastRowFirstColumn="0" w:lastRowLastColumn="0"/>
            <w:tcBorders/>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 xml:space="preserve">  Mildly food insecure</w:t>
            </w:r>
          </w:p>
        </w:tc>
        <w:tc>
          <w:tcPr>
            <w:tcW w:w="1167"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194</w:t>
            </w:r>
          </w:p>
        </w:tc>
        <w:tc>
          <w:tcPr>
            <w:tcW w:w="2098"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31.4 (27.8–35.3)</w:t>
            </w:r>
          </w:p>
        </w:tc>
        <w:tc>
          <w:tcPr>
            <w:tcW w:w="1945"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46.4</w:t>
            </w:r>
          </w:p>
        </w:tc>
        <w:tc>
          <w:tcPr>
            <w:tcW w:w="1943"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53.6</w:t>
            </w:r>
          </w:p>
        </w:tc>
      </w:tr>
      <w:tr>
        <w:trPr>
          <w:trHeight w:val="208" w:hRule="atLeast"/>
          <w:cnfStyle w:val="000000100000" w:firstRow="0" w:lastRow="0" w:firstColumn="0" w:lastColumn="0" w:oddVBand="0" w:evenVBand="0" w:oddHBand="1" w:evenHBand="0" w:firstRowFirstColumn="0" w:firstRowLastColumn="0" w:lastRowFirstColumn="0" w:lastRowLastColumn="0"/>
        </w:trPr>
        <w:tc>
          <w:tcPr>
            <w:tcW w:w="3302"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 xml:space="preserve">  Moderately food insecure</w:t>
            </w:r>
          </w:p>
        </w:tc>
        <w:tc>
          <w:tcPr>
            <w:tcW w:w="1167"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214</w:t>
            </w:r>
          </w:p>
        </w:tc>
        <w:tc>
          <w:tcPr>
            <w:tcW w:w="2098"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34.7 (31.0–38.6)</w:t>
            </w:r>
          </w:p>
        </w:tc>
        <w:tc>
          <w:tcPr>
            <w:tcW w:w="1945"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38.8</w:t>
            </w:r>
          </w:p>
        </w:tc>
        <w:tc>
          <w:tcPr>
            <w:tcW w:w="1943"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61.2</w:t>
            </w:r>
          </w:p>
        </w:tc>
      </w:tr>
      <w:tr>
        <w:trPr>
          <w:trHeight w:val="208" w:hRule="atLeast"/>
        </w:trPr>
        <w:tc>
          <w:tcPr>
            <w:tcW w:w="3302" w:type="dxa"/>
            <w:cnfStyle w:val="001000000000" w:firstRow="0" w:lastRow="0" w:firstColumn="1" w:lastColumn="0" w:oddVBand="0" w:evenVBand="0" w:oddHBand="0" w:evenHBand="0" w:firstRowFirstColumn="0" w:firstRowLastColumn="0" w:lastRowFirstColumn="0" w:lastRowLastColumn="0"/>
            <w:tcBorders/>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 xml:space="preserve">  Severely food insecure</w:t>
            </w:r>
          </w:p>
        </w:tc>
        <w:tc>
          <w:tcPr>
            <w:tcW w:w="1167"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98</w:t>
            </w:r>
          </w:p>
        </w:tc>
        <w:tc>
          <w:tcPr>
            <w:tcW w:w="2098"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15.9 (13.2–19.0)</w:t>
            </w:r>
          </w:p>
        </w:tc>
        <w:tc>
          <w:tcPr>
            <w:tcW w:w="1945"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30.6</w:t>
            </w:r>
          </w:p>
        </w:tc>
        <w:tc>
          <w:tcPr>
            <w:tcW w:w="1943"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69.4</w:t>
            </w:r>
          </w:p>
        </w:tc>
      </w:tr>
      <w:tr>
        <w:trPr>
          <w:trHeight w:val="258" w:hRule="atLeast"/>
          <w:cnfStyle w:val="000000100000" w:firstRow="0" w:lastRow="0" w:firstColumn="0" w:lastColumn="0" w:oddVBand="0" w:evenVBand="0" w:oddHBand="1" w:evenHBand="0" w:firstRowFirstColumn="0" w:firstRowLastColumn="0" w:lastRowFirstColumn="0" w:lastRowLastColumn="0"/>
        </w:trPr>
        <w:tc>
          <w:tcPr>
            <w:tcW w:w="3302"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val="false"/>
                <w:bCs w:val="false"/>
                <w:kern w:val="0"/>
                <w:sz w:val="18"/>
                <w:szCs w:val="18"/>
                <w:lang w:val="en-US" w:eastAsia="en-US" w:bidi="ar-SA"/>
              </w:rPr>
              <w:t>CHILD CHARACTERISTICS</w:t>
            </w:r>
          </w:p>
        </w:tc>
        <w:tc>
          <w:tcPr>
            <w:tcW w:w="1167"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2098"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1945"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1943"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r>
      <w:tr>
        <w:trPr>
          <w:trHeight w:val="208" w:hRule="atLeast"/>
        </w:trPr>
        <w:tc>
          <w:tcPr>
            <w:tcW w:w="3302" w:type="dxa"/>
            <w:cnfStyle w:val="001000000000" w:firstRow="0" w:lastRow="0" w:firstColumn="1" w:lastColumn="0" w:oddVBand="0" w:evenVBand="0" w:oddHBand="0" w:evenHBand="0" w:firstRowFirstColumn="0" w:firstRowLastColumn="0" w:lastRowFirstColumn="0" w:lastRowLastColumn="0"/>
            <w:tcBorders/>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Child sex: Male</w:t>
            </w:r>
          </w:p>
        </w:tc>
        <w:tc>
          <w:tcPr>
            <w:tcW w:w="1167"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336</w:t>
            </w:r>
          </w:p>
        </w:tc>
        <w:tc>
          <w:tcPr>
            <w:tcW w:w="2098"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54.5 (50.5–58.4)</w:t>
            </w:r>
          </w:p>
        </w:tc>
        <w:tc>
          <w:tcPr>
            <w:tcW w:w="1945"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41.4</w:t>
            </w:r>
          </w:p>
        </w:tc>
        <w:tc>
          <w:tcPr>
            <w:tcW w:w="1943"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58.6</w:t>
            </w:r>
          </w:p>
        </w:tc>
      </w:tr>
      <w:tr>
        <w:trPr>
          <w:trHeight w:val="258" w:hRule="atLeast"/>
          <w:cnfStyle w:val="000000100000" w:firstRow="0" w:lastRow="0" w:firstColumn="0" w:lastColumn="0" w:oddVBand="0" w:evenVBand="0" w:oddHBand="1" w:evenHBand="0" w:firstRowFirstColumn="0" w:firstRowLastColumn="0" w:lastRowFirstColumn="0" w:lastRowLastColumn="0"/>
        </w:trPr>
        <w:tc>
          <w:tcPr>
            <w:tcW w:w="3302"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val="false"/>
                <w:bCs w:val="false"/>
                <w:kern w:val="0"/>
                <w:sz w:val="18"/>
                <w:szCs w:val="18"/>
                <w:lang w:val="en-US" w:eastAsia="en-US" w:bidi="ar-SA"/>
              </w:rPr>
              <w:t>Child age group</w:t>
            </w:r>
          </w:p>
        </w:tc>
        <w:tc>
          <w:tcPr>
            <w:tcW w:w="1167"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2098"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1945"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c>
          <w:tcPr>
            <w:tcW w:w="1943"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22"/>
                <w:szCs w:val="22"/>
                <w:lang w:val="en-US" w:eastAsia="en-US" w:bidi="ar-SA"/>
              </w:rPr>
            </w:r>
          </w:p>
        </w:tc>
      </w:tr>
      <w:tr>
        <w:trPr>
          <w:trHeight w:val="208" w:hRule="atLeast"/>
        </w:trPr>
        <w:tc>
          <w:tcPr>
            <w:tcW w:w="3302" w:type="dxa"/>
            <w:cnfStyle w:val="001000000000" w:firstRow="0" w:lastRow="0" w:firstColumn="1" w:lastColumn="0" w:oddVBand="0" w:evenVBand="0" w:oddHBand="0" w:evenHBand="0" w:firstRowFirstColumn="0" w:firstRowLastColumn="0" w:lastRowFirstColumn="0" w:lastRowLastColumn="0"/>
            <w:tcBorders/>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 xml:space="preserve">  0–11 months</w:t>
            </w:r>
          </w:p>
        </w:tc>
        <w:tc>
          <w:tcPr>
            <w:tcW w:w="1167"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145</w:t>
            </w:r>
          </w:p>
        </w:tc>
        <w:tc>
          <w:tcPr>
            <w:tcW w:w="2098"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23.5 (20.3–27.1)</w:t>
            </w:r>
          </w:p>
        </w:tc>
        <w:tc>
          <w:tcPr>
            <w:tcW w:w="1945"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52.4</w:t>
            </w:r>
          </w:p>
        </w:tc>
        <w:tc>
          <w:tcPr>
            <w:tcW w:w="1943"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47.6</w:t>
            </w:r>
          </w:p>
        </w:tc>
      </w:tr>
      <w:tr>
        <w:trPr>
          <w:trHeight w:val="208" w:hRule="atLeast"/>
          <w:cnfStyle w:val="000000100000" w:firstRow="0" w:lastRow="0" w:firstColumn="0" w:lastColumn="0" w:oddVBand="0" w:evenVBand="0" w:oddHBand="1" w:evenHBand="0" w:firstRowFirstColumn="0" w:firstRowLastColumn="0" w:lastRowFirstColumn="0" w:lastRowLastColumn="0"/>
        </w:trPr>
        <w:tc>
          <w:tcPr>
            <w:tcW w:w="3302"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 xml:space="preserve">  12–23 months</w:t>
            </w:r>
          </w:p>
        </w:tc>
        <w:tc>
          <w:tcPr>
            <w:tcW w:w="1167"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174</w:t>
            </w:r>
          </w:p>
        </w:tc>
        <w:tc>
          <w:tcPr>
            <w:tcW w:w="2098"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28.2 (24.7–32.0)</w:t>
            </w:r>
          </w:p>
        </w:tc>
        <w:tc>
          <w:tcPr>
            <w:tcW w:w="1945"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43.7</w:t>
            </w:r>
          </w:p>
        </w:tc>
        <w:tc>
          <w:tcPr>
            <w:tcW w:w="1943"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56.3</w:t>
            </w:r>
          </w:p>
        </w:tc>
      </w:tr>
      <w:tr>
        <w:trPr>
          <w:trHeight w:val="208" w:hRule="atLeast"/>
        </w:trPr>
        <w:tc>
          <w:tcPr>
            <w:tcW w:w="3302" w:type="dxa"/>
            <w:cnfStyle w:val="001000000000" w:firstRow="0" w:lastRow="0" w:firstColumn="1" w:lastColumn="0" w:oddVBand="0" w:evenVBand="0" w:oddHBand="0" w:evenHBand="0" w:firstRowFirstColumn="0" w:firstRowLastColumn="0" w:lastRowFirstColumn="0" w:lastRowLastColumn="0"/>
            <w:tcBorders/>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 xml:space="preserve">  24–35 months</w:t>
            </w:r>
          </w:p>
        </w:tc>
        <w:tc>
          <w:tcPr>
            <w:tcW w:w="1167"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138</w:t>
            </w:r>
          </w:p>
        </w:tc>
        <w:tc>
          <w:tcPr>
            <w:tcW w:w="2098"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22.4 (19.1–25.9)</w:t>
            </w:r>
          </w:p>
        </w:tc>
        <w:tc>
          <w:tcPr>
            <w:tcW w:w="1945"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39.9</w:t>
            </w:r>
          </w:p>
        </w:tc>
        <w:tc>
          <w:tcPr>
            <w:tcW w:w="1943"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60.1</w:t>
            </w:r>
          </w:p>
        </w:tc>
      </w:tr>
      <w:tr>
        <w:trPr>
          <w:trHeight w:val="208" w:hRule="atLeast"/>
          <w:cnfStyle w:val="000000100000" w:firstRow="0" w:lastRow="0" w:firstColumn="0" w:lastColumn="0" w:oddVBand="0" w:evenVBand="0" w:oddHBand="1" w:evenHBand="0" w:firstRowFirstColumn="0" w:firstRowLastColumn="0" w:lastRowFirstColumn="0" w:lastRowLastColumn="0"/>
        </w:trPr>
        <w:tc>
          <w:tcPr>
            <w:tcW w:w="3302"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 xml:space="preserve">  36–47 months</w:t>
            </w:r>
          </w:p>
        </w:tc>
        <w:tc>
          <w:tcPr>
            <w:tcW w:w="1167"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96</w:t>
            </w:r>
          </w:p>
        </w:tc>
        <w:tc>
          <w:tcPr>
            <w:tcW w:w="2098"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15.6 (12.9–18.7)</w:t>
            </w:r>
          </w:p>
        </w:tc>
        <w:tc>
          <w:tcPr>
            <w:tcW w:w="1945"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33.3</w:t>
            </w:r>
          </w:p>
        </w:tc>
        <w:tc>
          <w:tcPr>
            <w:tcW w:w="1943"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66.7</w:t>
            </w:r>
          </w:p>
        </w:tc>
      </w:tr>
      <w:tr>
        <w:trPr>
          <w:trHeight w:val="208" w:hRule="atLeast"/>
        </w:trPr>
        <w:tc>
          <w:tcPr>
            <w:tcW w:w="3302" w:type="dxa"/>
            <w:cnfStyle w:val="001000000000" w:firstRow="0" w:lastRow="0" w:firstColumn="1" w:lastColumn="0" w:oddVBand="0" w:evenVBand="0" w:oddHBand="0" w:evenHBand="0" w:firstRowFirstColumn="0" w:firstRowLastColumn="0" w:lastRowFirstColumn="0" w:lastRowLastColumn="0"/>
            <w:tcBorders/>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 xml:space="preserve">  48–59 months</w:t>
            </w:r>
          </w:p>
        </w:tc>
        <w:tc>
          <w:tcPr>
            <w:tcW w:w="1167"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64</w:t>
            </w:r>
          </w:p>
        </w:tc>
        <w:tc>
          <w:tcPr>
            <w:tcW w:w="2098"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10.4 (8.2–13.1)</w:t>
            </w:r>
          </w:p>
        </w:tc>
        <w:tc>
          <w:tcPr>
            <w:tcW w:w="1945"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28.1</w:t>
            </w:r>
          </w:p>
        </w:tc>
        <w:tc>
          <w:tcPr>
            <w:tcW w:w="1943"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71.9</w:t>
            </w:r>
          </w:p>
        </w:tc>
      </w:tr>
      <w:tr>
        <w:trPr>
          <w:trHeight w:val="215" w:hRule="atLeast"/>
          <w:cnfStyle w:val="000000100000" w:firstRow="0" w:lastRow="0" w:firstColumn="0" w:lastColumn="0" w:oddVBand="0" w:evenVBand="0" w:oddHBand="1" w:evenHBand="0" w:firstRowFirstColumn="0" w:firstRowLastColumn="0" w:lastRowFirstColumn="0" w:lastRowLastColumn="0"/>
        </w:trPr>
        <w:tc>
          <w:tcPr>
            <w:tcW w:w="3302"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Low birth weight (&lt;2.5 kg)</w:t>
            </w:r>
          </w:p>
        </w:tc>
        <w:tc>
          <w:tcPr>
            <w:tcW w:w="1167"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87</w:t>
            </w:r>
          </w:p>
        </w:tc>
        <w:tc>
          <w:tcPr>
            <w:tcW w:w="2098"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14.1 (11.5–17.1)</w:t>
            </w:r>
          </w:p>
        </w:tc>
        <w:tc>
          <w:tcPr>
            <w:tcW w:w="1945"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31.0</w:t>
            </w:r>
          </w:p>
        </w:tc>
        <w:tc>
          <w:tcPr>
            <w:tcW w:w="1943"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69.0</w:t>
            </w:r>
          </w:p>
        </w:tc>
      </w:tr>
      <w:tr>
        <w:trPr>
          <w:trHeight w:val="208" w:hRule="atLeast"/>
        </w:trPr>
        <w:tc>
          <w:tcPr>
            <w:tcW w:w="3302" w:type="dxa"/>
            <w:cnfStyle w:val="001000000000" w:firstRow="0" w:lastRow="0" w:firstColumn="1" w:lastColumn="0" w:oddVBand="0" w:evenVBand="0" w:oddHBand="0" w:evenHBand="0" w:firstRowFirstColumn="0" w:firstRowLastColumn="0" w:lastRowFirstColumn="0" w:lastRowLastColumn="0"/>
            <w:tcBorders/>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Exclusive breastfeeding (6 months)</w:t>
            </w:r>
          </w:p>
        </w:tc>
        <w:tc>
          <w:tcPr>
            <w:tcW w:w="1167"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158</w:t>
            </w:r>
          </w:p>
        </w:tc>
        <w:tc>
          <w:tcPr>
            <w:tcW w:w="2098"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25.6 (22.3–29.3)</w:t>
            </w:r>
          </w:p>
        </w:tc>
        <w:tc>
          <w:tcPr>
            <w:tcW w:w="1945"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51.3</w:t>
            </w:r>
          </w:p>
        </w:tc>
        <w:tc>
          <w:tcPr>
            <w:tcW w:w="1943"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48.7</w:t>
            </w:r>
          </w:p>
        </w:tc>
      </w:tr>
      <w:tr>
        <w:trPr>
          <w:trHeight w:val="208" w:hRule="atLeast"/>
          <w:cnfStyle w:val="000000100000" w:firstRow="0" w:lastRow="0" w:firstColumn="0" w:lastColumn="0" w:oddVBand="0" w:evenVBand="0" w:oddHBand="1" w:evenHBand="0" w:firstRowFirstColumn="0" w:firstRowLastColumn="0" w:lastRowFirstColumn="0" w:lastRowLastColumn="0"/>
        </w:trPr>
        <w:tc>
          <w:tcPr>
            <w:tcW w:w="3302"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Full vaccination (age-appropriate)</w:t>
            </w:r>
          </w:p>
        </w:tc>
        <w:tc>
          <w:tcPr>
            <w:tcW w:w="1167"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320</w:t>
            </w:r>
          </w:p>
        </w:tc>
        <w:tc>
          <w:tcPr>
            <w:tcW w:w="2098"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51.9 (47.9–55.8)</w:t>
            </w:r>
          </w:p>
        </w:tc>
        <w:tc>
          <w:tcPr>
            <w:tcW w:w="1945"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47.5</w:t>
            </w:r>
          </w:p>
        </w:tc>
        <w:tc>
          <w:tcPr>
            <w:tcW w:w="1943"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52.5</w:t>
            </w:r>
          </w:p>
        </w:tc>
      </w:tr>
      <w:tr>
        <w:trPr>
          <w:trHeight w:val="208" w:hRule="atLeast"/>
        </w:trPr>
        <w:tc>
          <w:tcPr>
            <w:tcW w:w="3302" w:type="dxa"/>
            <w:cnfStyle w:val="001000000000" w:firstRow="0" w:lastRow="0" w:firstColumn="1" w:lastColumn="0" w:oddVBand="0" w:evenVBand="0" w:oddHBand="0" w:evenHBand="0" w:firstRowFirstColumn="0" w:firstRowLastColumn="0" w:lastRowFirstColumn="0" w:lastRowLastColumn="0"/>
            <w:tcBorders/>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Diarrhoea in past 2 weeks</w:t>
            </w:r>
          </w:p>
        </w:tc>
        <w:tc>
          <w:tcPr>
            <w:tcW w:w="1167"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149</w:t>
            </w:r>
          </w:p>
        </w:tc>
        <w:tc>
          <w:tcPr>
            <w:tcW w:w="2098"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24.1 (20.9–27.7)</w:t>
            </w:r>
          </w:p>
        </w:tc>
        <w:tc>
          <w:tcPr>
            <w:tcW w:w="1945"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35.6</w:t>
            </w:r>
          </w:p>
        </w:tc>
        <w:tc>
          <w:tcPr>
            <w:tcW w:w="1943"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64.4</w:t>
            </w:r>
          </w:p>
        </w:tc>
      </w:tr>
      <w:tr>
        <w:trPr>
          <w:trHeight w:val="208" w:hRule="atLeast"/>
          <w:cnfStyle w:val="000000100000" w:firstRow="0" w:lastRow="0" w:firstColumn="0" w:lastColumn="0" w:oddVBand="0" w:evenVBand="0" w:oddHBand="1" w:evenHBand="0" w:firstRowFirstColumn="0" w:firstRowLastColumn="0" w:lastRowFirstColumn="0" w:lastRowLastColumn="0"/>
        </w:trPr>
        <w:tc>
          <w:tcPr>
            <w:tcW w:w="3302"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ARI in past 2 weeks</w:t>
            </w:r>
          </w:p>
        </w:tc>
        <w:tc>
          <w:tcPr>
            <w:tcW w:w="1167"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98</w:t>
            </w:r>
          </w:p>
        </w:tc>
        <w:tc>
          <w:tcPr>
            <w:tcW w:w="2098"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15.9 (13.2–19.0)</w:t>
            </w:r>
          </w:p>
        </w:tc>
        <w:tc>
          <w:tcPr>
            <w:tcW w:w="1945"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37.8</w:t>
            </w:r>
          </w:p>
        </w:tc>
        <w:tc>
          <w:tcPr>
            <w:tcW w:w="1943" w:type="dxa"/>
            <w:tcBorders/>
            <w:shd w:color="auto" w:fill="CCCCCC" w:themeFill="text1" w:themeFillTint="33" w:val="clear"/>
          </w:tcPr>
          <w:p>
            <w:pPr>
              <w:pStyle w:val="Normal"/>
              <w:widowControl/>
              <w:suppressAutoHyphens w:val="true"/>
              <w:spacing w:lineRule="auto" w:line="36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62.2</w:t>
            </w:r>
          </w:p>
        </w:tc>
      </w:tr>
      <w:tr>
        <w:trPr>
          <w:trHeight w:val="208" w:hRule="atLeast"/>
        </w:trPr>
        <w:tc>
          <w:tcPr>
            <w:tcW w:w="3302" w:type="dxa"/>
            <w:cnfStyle w:val="001000000000" w:firstRow="0" w:lastRow="0" w:firstColumn="1" w:lastColumn="0" w:oddVBand="0" w:evenVBand="0" w:oddHBand="0" w:evenHBand="0" w:firstRowFirstColumn="0" w:firstRowLastColumn="0" w:lastRowFirstColumn="0" w:lastRowLastColumn="0"/>
            <w:tcBorders/>
          </w:tcPr>
          <w:p>
            <w:pPr>
              <w:pStyle w:val="Normal"/>
              <w:widowControl/>
              <w:suppressAutoHyphens w:val="true"/>
              <w:spacing w:lineRule="auto" w:line="360" w:before="0" w:after="0"/>
              <w:jc w:val="left"/>
              <w:rPr>
                <w:rFonts w:ascii="Times New Roman" w:hAnsi="Times New Roman" w:eastAsia="Times New Roman" w:cs="Times New Roman"/>
                <w:b/>
                <w:bCs/>
                <w:kern w:val="0"/>
                <w:sz w:val="22"/>
                <w:szCs w:val="22"/>
                <w:lang w:val="en-US" w:eastAsia="en-US" w:bidi="ar-SA"/>
              </w:rPr>
            </w:pPr>
            <w:r>
              <w:rPr>
                <w:rFonts w:eastAsia="Times New Roman" w:cs="Times New Roman"/>
                <w:b/>
                <w:bCs/>
                <w:kern w:val="0"/>
                <w:sz w:val="18"/>
                <w:szCs w:val="18"/>
                <w:lang w:val="en-US" w:eastAsia="en-US" w:bidi="ar-SA"/>
              </w:rPr>
              <w:t>Vitamin A supplementation (current)</w:t>
            </w:r>
          </w:p>
        </w:tc>
        <w:tc>
          <w:tcPr>
            <w:tcW w:w="1167"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312</w:t>
            </w:r>
          </w:p>
        </w:tc>
        <w:tc>
          <w:tcPr>
            <w:tcW w:w="2098"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50.6 (46.6–54.6)</w:t>
            </w:r>
          </w:p>
        </w:tc>
        <w:tc>
          <w:tcPr>
            <w:tcW w:w="1945"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48.1</w:t>
            </w:r>
          </w:p>
        </w:tc>
        <w:tc>
          <w:tcPr>
            <w:tcW w:w="1943" w:type="dxa"/>
            <w:tcBorders/>
          </w:tcPr>
          <w:p>
            <w:pPr>
              <w:pStyle w:val="Normal"/>
              <w:widowControl/>
              <w:suppressAutoHyphens w:val="true"/>
              <w:spacing w:lineRule="auto" w:line="36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2"/>
                <w:szCs w:val="22"/>
                <w:lang w:val="en-US" w:eastAsia="en-US" w:bidi="ar-SA"/>
              </w:rPr>
            </w:pPr>
            <w:r>
              <w:rPr>
                <w:rFonts w:eastAsia="Times New Roman" w:cs="Times New Roman"/>
                <w:kern w:val="0"/>
                <w:sz w:val="18"/>
                <w:szCs w:val="18"/>
                <w:lang w:val="en-US" w:eastAsia="en-US" w:bidi="ar-SA"/>
              </w:rPr>
              <w:t>51.9</w:t>
            </w:r>
          </w:p>
        </w:tc>
      </w:tr>
    </w:tbl>
    <w:p>
      <w:pPr>
        <w:pStyle w:val="Normal"/>
        <w:spacing w:before="40" w:after="120"/>
        <w:rPr/>
      </w:pPr>
      <w:r>
        <w:rPr>
          <w:i/>
          <w:iCs/>
          <w:color w:val="555555"/>
          <w:sz w:val="18"/>
          <w:szCs w:val="18"/>
        </w:rPr>
        <w:t>Note: SLL = Sierra Leonean Leone; ARI = Acute Respiratory Infection; CI = Confidence Interval. GMP attendance: Regular = ≥4 sessions/6 months; Irregular = &lt;4 sessions/6 months, which combines infrequent attendees and never-attenders into a single comparison group (see Limitations).</w:t>
      </w:r>
    </w:p>
    <w:p>
      <w:pPr>
        <w:pStyle w:val="Normal"/>
        <w:spacing w:before="0" w:after="160"/>
        <w:rPr/>
      </w:pPr>
      <w:r>
        <w:rPr/>
      </w:r>
    </w:p>
    <w:p>
      <w:pPr>
        <w:pStyle w:val="Heading2"/>
        <w:spacing w:before="240" w:after="80"/>
        <w:rPr/>
      </w:pPr>
      <w:r>
        <w:rPr/>
        <w:t>3.2 GMP Utilisation</w:t>
      </w:r>
    </w:p>
    <w:p>
      <w:pPr>
        <w:pStyle w:val="Normal"/>
        <w:spacing w:lineRule="auto" w:line="319" w:before="60" w:after="100"/>
        <w:ind w:firstLine="720"/>
        <w:jc w:val="both"/>
        <w:rPr/>
      </w:pPr>
      <w:r>
        <w:rPr/>
        <w:t>Of 617 children, 480 (77.8%, 95% CI: 74.5–81.1%) had ever attended a GMP session. However, regular attendance defined as ≥4 sessions in the past six months was substantially lower at 41.8% (n=258, 95% CI: 37.9–45.7%). Continuity of GMP participation since birth was maintained in only 43.1% (n=266). Among GMP attendees, 64.3% received nutrition counselling, 55.4% received growth chart explanation, and 64.0% had a child health immunisation card available. These figures point to a marked service-quality shortfall: only 64.3% of attendees received counselling and just 55.4% received a growth-chart explanation, even though growth-chart explanation is the minimum expected activity at every GMP contact. The gap between ever-attendance (77.8%) and regular attendance (41.8%) — a 36 percentage-point deficit — constitutes a central programmatic finding of this study, signalling that while community awareness of GMP exists, sustained, quality engagement remains the critical unmet target.</w:t>
      </w:r>
    </w:p>
    <w:p>
      <w:pPr>
        <w:pStyle w:val="Heading2"/>
        <w:spacing w:before="240" w:after="80"/>
        <w:rPr/>
      </w:pPr>
      <w:r>
        <w:rPr/>
        <w:t>3.3 Nutritional Status</w:t>
      </w:r>
    </w:p>
    <w:p>
      <w:pPr>
        <w:pStyle w:val="Normal"/>
        <w:spacing w:lineRule="auto" w:line="319" w:before="60" w:after="100"/>
        <w:ind w:firstLine="720"/>
        <w:jc w:val="both"/>
        <w:rPr/>
      </w:pPr>
      <w:r>
        <w:rPr/>
        <w:t>Nutritional status indicators for the full sample are presented in Table 2. The overall stunting prevalence was 28.7% (95% CI: 25.1–32.3%), exceeding the WHO threshold of 20% that defines high public health concern and aligning with the SLDHS 2019 national estimate of 29%. GAM prevalence reached 18.3% (95% CI: 15.3–21.4%), exceeding the WHO emergency threshold of 15%, indicating a nutrition emergency. Wasting affected 8.1% of children (exceeding the WHO critical threshold of 5%), underweight 22.4%, SAM 1.0%, and MAM 17.3%. Mean anthropometric z-scores were: HAZ −1.30 ± 1.23, WAZ −1.13 ± 1.12, and WHZ −0.51 ± 1.07.</w:t>
      </w:r>
    </w:p>
    <w:p>
      <w:pPr>
        <w:pStyle w:val="Normal"/>
        <w:spacing w:lineRule="auto" w:line="319" w:before="60" w:after="100"/>
        <w:ind w:firstLine="720"/>
        <w:jc w:val="both"/>
        <w:rPr/>
      </w:pPr>
      <w:r>
        <w:rPr/>
        <w:t>In this study, stunting increased with child age, peaking in the 36–47-month age group (36.5%), consistent with the cumulative effect of growth faltering during the complementary feeding transition period. Mean HAZ declined from −0.87 among 0–5-month infants to −1.47 by 48–59 months, a trajectory suggesting that approximately 0.60 SD of linear growth potential is lost between early infancy and the end of the under-five period in this community (Victora et al., 2010).</w:t>
      </w:r>
    </w:p>
    <w:p>
      <w:pPr>
        <w:pStyle w:val="Normal"/>
        <w:spacing w:before="0" w:after="80"/>
        <w:rPr/>
      </w:pPr>
      <w:r>
        <w:rPr/>
      </w:r>
    </w:p>
    <w:p>
      <w:pPr>
        <w:pStyle w:val="Normal"/>
        <w:spacing w:before="160" w:after="60"/>
        <w:rPr/>
      </w:pPr>
      <w:r>
        <w:rPr>
          <w:b/>
          <w:bCs/>
          <w:sz w:val="20"/>
          <w:szCs w:val="20"/>
        </w:rPr>
        <w:t>Table 2. Nutritional Status of Children Under Five Years, Sulima Chiefdom, Sierra Leone (N=617)</w:t>
      </w:r>
    </w:p>
    <w:tbl>
      <w:tblPr>
        <w:tblW w:w="10486" w:type="dxa"/>
        <w:jc w:val="left"/>
        <w:tblInd w:w="0" w:type="dxa"/>
        <w:tblLayout w:type="fixed"/>
        <w:tblCellMar>
          <w:top w:w="60" w:type="dxa"/>
          <w:left w:w="100" w:type="dxa"/>
          <w:bottom w:w="60" w:type="dxa"/>
          <w:right w:w="100" w:type="dxa"/>
        </w:tblCellMar>
        <w:tblLook w:val="04a0" w:noHBand="0" w:noVBand="1" w:firstColumn="1" w:lastRow="0" w:lastColumn="0" w:firstRow="1"/>
      </w:tblPr>
      <w:tblGrid>
        <w:gridCol w:w="3117"/>
        <w:gridCol w:w="879"/>
        <w:gridCol w:w="1559"/>
        <w:gridCol w:w="1752"/>
        <w:gridCol w:w="3179"/>
      </w:tblGrid>
      <w:tr>
        <w:trPr>
          <w:tblHeader w:val="true"/>
          <w:trHeight w:val="206" w:hRule="atLeast"/>
        </w:trPr>
        <w:tc>
          <w:tcPr>
            <w:tcW w:w="3117"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Nutritional Indicator</w:t>
            </w:r>
          </w:p>
        </w:tc>
        <w:tc>
          <w:tcPr>
            <w:tcW w:w="879"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n</w:t>
            </w:r>
          </w:p>
        </w:tc>
        <w:tc>
          <w:tcPr>
            <w:tcW w:w="1559"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Prevalence %</w:t>
            </w:r>
          </w:p>
        </w:tc>
        <w:tc>
          <w:tcPr>
            <w:tcW w:w="1752"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95% CI (%)</w:t>
            </w:r>
          </w:p>
        </w:tc>
        <w:tc>
          <w:tcPr>
            <w:tcW w:w="3179"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WHO Threshold</w:t>
            </w:r>
          </w:p>
        </w:tc>
      </w:tr>
      <w:tr>
        <w:trPr>
          <w:trHeight w:val="206" w:hRule="atLeast"/>
        </w:trPr>
        <w:tc>
          <w:tcPr>
            <w:tcW w:w="3117"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Stunting (HAZ &lt;−2 SD)</w:t>
            </w:r>
          </w:p>
        </w:tc>
        <w:tc>
          <w:tcPr>
            <w:tcW w:w="879"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177</w:t>
            </w:r>
          </w:p>
        </w:tc>
        <w:tc>
          <w:tcPr>
            <w:tcW w:w="155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28.7</w:t>
            </w:r>
          </w:p>
        </w:tc>
        <w:tc>
          <w:tcPr>
            <w:tcW w:w="1752"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25.1–32.3</w:t>
            </w:r>
          </w:p>
        </w:tc>
        <w:tc>
          <w:tcPr>
            <w:tcW w:w="3179"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&gt;20%: high public health concern</w:t>
            </w:r>
          </w:p>
        </w:tc>
      </w:tr>
      <w:tr>
        <w:trPr>
          <w:trHeight w:val="213" w:hRule="atLeast"/>
        </w:trPr>
        <w:tc>
          <w:tcPr>
            <w:tcW w:w="3117"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Wasting (WHZ &lt;−2 SD)</w:t>
            </w:r>
          </w:p>
        </w:tc>
        <w:tc>
          <w:tcPr>
            <w:tcW w:w="879"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50</w:t>
            </w:r>
          </w:p>
        </w:tc>
        <w:tc>
          <w:tcPr>
            <w:tcW w:w="155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8.1</w:t>
            </w:r>
          </w:p>
        </w:tc>
        <w:tc>
          <w:tcPr>
            <w:tcW w:w="1752"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6.0–10.3</w:t>
            </w:r>
          </w:p>
        </w:tc>
        <w:tc>
          <w:tcPr>
            <w:tcW w:w="3179"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&gt;5%: critical threshold</w:t>
            </w:r>
          </w:p>
        </w:tc>
      </w:tr>
      <w:tr>
        <w:trPr>
          <w:trHeight w:val="206" w:hRule="atLeast"/>
        </w:trPr>
        <w:tc>
          <w:tcPr>
            <w:tcW w:w="3117"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Underweight (WAZ &lt;−2 SD)</w:t>
            </w:r>
          </w:p>
        </w:tc>
        <w:tc>
          <w:tcPr>
            <w:tcW w:w="879"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138</w:t>
            </w:r>
          </w:p>
        </w:tc>
        <w:tc>
          <w:tcPr>
            <w:tcW w:w="155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22.4</w:t>
            </w:r>
          </w:p>
        </w:tc>
        <w:tc>
          <w:tcPr>
            <w:tcW w:w="1752"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19.1–25.7</w:t>
            </w:r>
          </w:p>
        </w:tc>
        <w:tc>
          <w:tcPr>
            <w:tcW w:w="3179"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&gt;20%: high public health concern</w:t>
            </w:r>
          </w:p>
        </w:tc>
      </w:tr>
      <w:tr>
        <w:trPr>
          <w:trHeight w:val="234" w:hRule="atLeast"/>
        </w:trPr>
        <w:tc>
          <w:tcPr>
            <w:tcW w:w="3117" w:type="dxa"/>
            <w:tcBorders>
              <w:top w:val="single" w:sz="2" w:space="0" w:color="AAAAAA"/>
              <w:left w:val="single" w:sz="2" w:space="0" w:color="AAAAAA"/>
              <w:bottom w:val="single" w:sz="2" w:space="0" w:color="AAAAAA"/>
              <w:right w:val="single" w:sz="2" w:space="0" w:color="AAAAAA"/>
            </w:tcBorders>
            <w:vAlign w:val="center"/>
          </w:tcPr>
          <w:p>
            <w:pPr>
              <w:pStyle w:val="Normal"/>
              <w:rPr/>
            </w:pPr>
            <w:r>
              <w:rPr>
                <w:b/>
                <w:bCs/>
                <w:sz w:val="18"/>
                <w:szCs w:val="18"/>
              </w:rPr>
              <w:t>Global Acute Malnutrition (GAM)</w:t>
            </w:r>
          </w:p>
        </w:tc>
        <w:tc>
          <w:tcPr>
            <w:tcW w:w="879"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113</w:t>
            </w:r>
          </w:p>
        </w:tc>
        <w:tc>
          <w:tcPr>
            <w:tcW w:w="155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18.3</w:t>
            </w:r>
          </w:p>
        </w:tc>
        <w:tc>
          <w:tcPr>
            <w:tcW w:w="1752"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15.3–21.4</w:t>
            </w:r>
          </w:p>
        </w:tc>
        <w:tc>
          <w:tcPr>
            <w:tcW w:w="3179" w:type="dxa"/>
            <w:tcBorders>
              <w:top w:val="single" w:sz="2" w:space="0" w:color="AAAAAA"/>
              <w:left w:val="single" w:sz="2" w:space="0" w:color="AAAAAA"/>
              <w:bottom w:val="single" w:sz="2" w:space="0" w:color="AAAAAA"/>
              <w:right w:val="single" w:sz="2" w:space="0" w:color="AAAAAA"/>
            </w:tcBorders>
            <w:vAlign w:val="center"/>
          </w:tcPr>
          <w:p>
            <w:pPr>
              <w:pStyle w:val="Normal"/>
              <w:rPr/>
            </w:pPr>
            <w:r>
              <w:rPr>
                <w:b/>
                <w:bCs/>
                <w:sz w:val="18"/>
                <w:szCs w:val="18"/>
              </w:rPr>
              <w:t>&gt;15%: NUTRITION EMERGENCY ★</w:t>
            </w:r>
          </w:p>
        </w:tc>
      </w:tr>
      <w:tr>
        <w:trPr>
          <w:trHeight w:val="213" w:hRule="atLeast"/>
        </w:trPr>
        <w:tc>
          <w:tcPr>
            <w:tcW w:w="3117"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 xml:space="preserve">  Moderate Acute Malnutrition (MAM)</w:t>
            </w:r>
          </w:p>
        </w:tc>
        <w:tc>
          <w:tcPr>
            <w:tcW w:w="879"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107</w:t>
            </w:r>
          </w:p>
        </w:tc>
        <w:tc>
          <w:tcPr>
            <w:tcW w:w="155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17.3</w:t>
            </w:r>
          </w:p>
        </w:tc>
        <w:tc>
          <w:tcPr>
            <w:tcW w:w="1752"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14.3–20.3</w:t>
            </w:r>
          </w:p>
        </w:tc>
        <w:tc>
          <w:tcPr>
            <w:tcW w:w="3179"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MUAC 115–124 mm</w:t>
            </w:r>
          </w:p>
        </w:tc>
      </w:tr>
      <w:tr>
        <w:trPr>
          <w:trHeight w:val="206" w:hRule="atLeast"/>
        </w:trPr>
        <w:tc>
          <w:tcPr>
            <w:tcW w:w="3117"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 xml:space="preserve">  Severe Acute Malnutrition (SAM)</w:t>
            </w:r>
          </w:p>
        </w:tc>
        <w:tc>
          <w:tcPr>
            <w:tcW w:w="879"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6</w:t>
            </w:r>
          </w:p>
        </w:tc>
        <w:tc>
          <w:tcPr>
            <w:tcW w:w="155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1.0</w:t>
            </w:r>
          </w:p>
        </w:tc>
        <w:tc>
          <w:tcPr>
            <w:tcW w:w="1752"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0.2–1.7</w:t>
            </w:r>
          </w:p>
        </w:tc>
        <w:tc>
          <w:tcPr>
            <w:tcW w:w="3179"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MUAC &lt;115 mm</w:t>
            </w:r>
          </w:p>
        </w:tc>
      </w:tr>
      <w:tr>
        <w:trPr>
          <w:trHeight w:val="411" w:hRule="atLeast"/>
        </w:trPr>
        <w:tc>
          <w:tcPr>
            <w:tcW w:w="3117" w:type="dxa"/>
            <w:tcBorders>
              <w:top w:val="single" w:sz="2" w:space="0" w:color="AAAAAA"/>
              <w:left w:val="single" w:sz="2" w:space="0" w:color="AAAAAA"/>
              <w:bottom w:val="single" w:sz="2" w:space="0" w:color="AAAAAA"/>
              <w:right w:val="single" w:sz="2" w:space="0" w:color="AAAAAA"/>
            </w:tcBorders>
            <w:shd w:color="auto" w:fill="F0F0F0" w:val="clear"/>
            <w:vAlign w:val="center"/>
          </w:tcPr>
          <w:p>
            <w:pPr>
              <w:pStyle w:val="Normal"/>
              <w:rPr/>
            </w:pPr>
            <w:r>
              <w:rPr/>
            </w:r>
          </w:p>
        </w:tc>
        <w:tc>
          <w:tcPr>
            <w:tcW w:w="879" w:type="dxa"/>
            <w:tcBorders>
              <w:top w:val="single" w:sz="2" w:space="0" w:color="AAAAAA"/>
              <w:left w:val="single" w:sz="2" w:space="0" w:color="AAAAAA"/>
              <w:bottom w:val="single" w:sz="2" w:space="0" w:color="AAAAAA"/>
              <w:right w:val="single" w:sz="2" w:space="0" w:color="AAAAAA"/>
            </w:tcBorders>
            <w:shd w:color="auto" w:fill="F0F0F0" w:val="clear"/>
            <w:vAlign w:val="center"/>
          </w:tcPr>
          <w:p>
            <w:pPr>
              <w:pStyle w:val="Normal"/>
              <w:rPr/>
            </w:pPr>
            <w:r>
              <w:rPr>
                <w:b/>
                <w:bCs/>
                <w:sz w:val="18"/>
                <w:szCs w:val="18"/>
              </w:rPr>
              <w:t>Mean ± SD</w:t>
            </w:r>
          </w:p>
        </w:tc>
        <w:tc>
          <w:tcPr>
            <w:tcW w:w="1559" w:type="dxa"/>
            <w:tcBorders>
              <w:top w:val="single" w:sz="2" w:space="0" w:color="AAAAAA"/>
              <w:left w:val="single" w:sz="2" w:space="0" w:color="AAAAAA"/>
              <w:bottom w:val="single" w:sz="2" w:space="0" w:color="AAAAAA"/>
              <w:right w:val="single" w:sz="2" w:space="0" w:color="AAAAAA"/>
            </w:tcBorders>
            <w:shd w:color="auto" w:fill="F0F0F0" w:val="clear"/>
            <w:vAlign w:val="center"/>
          </w:tcPr>
          <w:p>
            <w:pPr>
              <w:pStyle w:val="Normal"/>
              <w:rPr/>
            </w:pPr>
            <w:r>
              <w:rPr/>
            </w:r>
          </w:p>
        </w:tc>
        <w:tc>
          <w:tcPr>
            <w:tcW w:w="1752" w:type="dxa"/>
            <w:tcBorders>
              <w:top w:val="single" w:sz="2" w:space="0" w:color="AAAAAA"/>
              <w:left w:val="single" w:sz="2" w:space="0" w:color="AAAAAA"/>
              <w:bottom w:val="single" w:sz="2" w:space="0" w:color="AAAAAA"/>
              <w:right w:val="single" w:sz="2" w:space="0" w:color="AAAAAA"/>
            </w:tcBorders>
            <w:shd w:color="auto" w:fill="F0F0F0" w:val="clear"/>
            <w:vAlign w:val="center"/>
          </w:tcPr>
          <w:p>
            <w:pPr>
              <w:pStyle w:val="Normal"/>
              <w:rPr/>
            </w:pPr>
            <w:r>
              <w:rPr/>
            </w:r>
          </w:p>
        </w:tc>
        <w:tc>
          <w:tcPr>
            <w:tcW w:w="3179" w:type="dxa"/>
            <w:tcBorders>
              <w:top w:val="single" w:sz="2" w:space="0" w:color="AAAAAA"/>
              <w:left w:val="single" w:sz="2" w:space="0" w:color="AAAAAA"/>
              <w:bottom w:val="single" w:sz="2" w:space="0" w:color="AAAAAA"/>
              <w:right w:val="single" w:sz="2" w:space="0" w:color="AAAAAA"/>
            </w:tcBorders>
            <w:shd w:color="auto" w:fill="F0F0F0" w:val="clear"/>
            <w:vAlign w:val="center"/>
          </w:tcPr>
          <w:p>
            <w:pPr>
              <w:pStyle w:val="Normal"/>
              <w:rPr/>
            </w:pPr>
            <w:r>
              <w:rPr>
                <w:b/>
                <w:bCs/>
                <w:sz w:val="18"/>
                <w:szCs w:val="18"/>
              </w:rPr>
              <w:t>Reference</w:t>
            </w:r>
          </w:p>
        </w:tc>
      </w:tr>
      <w:tr>
        <w:trPr>
          <w:trHeight w:val="411" w:hRule="atLeast"/>
        </w:trPr>
        <w:tc>
          <w:tcPr>
            <w:tcW w:w="3117"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Height-for-Age Z-score (HAZ)</w:t>
            </w:r>
          </w:p>
        </w:tc>
        <w:tc>
          <w:tcPr>
            <w:tcW w:w="879"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−1.30 ± 1.23</w:t>
            </w:r>
          </w:p>
        </w:tc>
        <w:tc>
          <w:tcPr>
            <w:tcW w:w="1559" w:type="dxa"/>
            <w:tcBorders>
              <w:top w:val="single" w:sz="2" w:space="0" w:color="AAAAAA"/>
              <w:left w:val="single" w:sz="2" w:space="0" w:color="AAAAAA"/>
              <w:bottom w:val="single" w:sz="2" w:space="0" w:color="AAAAAA"/>
              <w:right w:val="single" w:sz="2" w:space="0" w:color="AAAAAA"/>
            </w:tcBorders>
            <w:vAlign w:val="center"/>
          </w:tcPr>
          <w:p>
            <w:pPr>
              <w:pStyle w:val="Normal"/>
              <w:rPr/>
            </w:pPr>
            <w:r>
              <w:rPr/>
            </w:r>
          </w:p>
        </w:tc>
        <w:tc>
          <w:tcPr>
            <w:tcW w:w="1752" w:type="dxa"/>
            <w:tcBorders>
              <w:top w:val="single" w:sz="2" w:space="0" w:color="AAAAAA"/>
              <w:left w:val="single" w:sz="2" w:space="0" w:color="AAAAAA"/>
              <w:bottom w:val="single" w:sz="2" w:space="0" w:color="AAAAAA"/>
              <w:right w:val="single" w:sz="2" w:space="0" w:color="AAAAAA"/>
            </w:tcBorders>
            <w:vAlign w:val="center"/>
          </w:tcPr>
          <w:p>
            <w:pPr>
              <w:pStyle w:val="Normal"/>
              <w:rPr/>
            </w:pPr>
            <w:r>
              <w:rPr/>
            </w:r>
          </w:p>
        </w:tc>
        <w:tc>
          <w:tcPr>
            <w:tcW w:w="3179"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0.00 (WHO median)</w:t>
            </w:r>
          </w:p>
        </w:tc>
      </w:tr>
      <w:tr>
        <w:trPr>
          <w:trHeight w:val="411" w:hRule="atLeast"/>
        </w:trPr>
        <w:tc>
          <w:tcPr>
            <w:tcW w:w="3117"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Weight-for-Age Z-score (WAZ)</w:t>
            </w:r>
          </w:p>
        </w:tc>
        <w:tc>
          <w:tcPr>
            <w:tcW w:w="879"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−1.13 ± 1.12</w:t>
            </w:r>
          </w:p>
        </w:tc>
        <w:tc>
          <w:tcPr>
            <w:tcW w:w="1559" w:type="dxa"/>
            <w:tcBorders>
              <w:top w:val="single" w:sz="2" w:space="0" w:color="AAAAAA"/>
              <w:left w:val="single" w:sz="2" w:space="0" w:color="AAAAAA"/>
              <w:bottom w:val="single" w:sz="2" w:space="0" w:color="AAAAAA"/>
              <w:right w:val="single" w:sz="2" w:space="0" w:color="AAAAAA"/>
            </w:tcBorders>
            <w:vAlign w:val="center"/>
          </w:tcPr>
          <w:p>
            <w:pPr>
              <w:pStyle w:val="Normal"/>
              <w:rPr/>
            </w:pPr>
            <w:r>
              <w:rPr/>
            </w:r>
          </w:p>
        </w:tc>
        <w:tc>
          <w:tcPr>
            <w:tcW w:w="1752" w:type="dxa"/>
            <w:tcBorders>
              <w:top w:val="single" w:sz="2" w:space="0" w:color="AAAAAA"/>
              <w:left w:val="single" w:sz="2" w:space="0" w:color="AAAAAA"/>
              <w:bottom w:val="single" w:sz="2" w:space="0" w:color="AAAAAA"/>
              <w:right w:val="single" w:sz="2" w:space="0" w:color="AAAAAA"/>
            </w:tcBorders>
            <w:vAlign w:val="center"/>
          </w:tcPr>
          <w:p>
            <w:pPr>
              <w:pStyle w:val="Normal"/>
              <w:rPr/>
            </w:pPr>
            <w:r>
              <w:rPr/>
            </w:r>
          </w:p>
        </w:tc>
        <w:tc>
          <w:tcPr>
            <w:tcW w:w="3179"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0.00 (WHO median)</w:t>
            </w:r>
          </w:p>
        </w:tc>
      </w:tr>
      <w:tr>
        <w:trPr>
          <w:trHeight w:val="411" w:hRule="atLeast"/>
        </w:trPr>
        <w:tc>
          <w:tcPr>
            <w:tcW w:w="3117"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Weight-for-Height Z-score (WHZ)</w:t>
            </w:r>
          </w:p>
        </w:tc>
        <w:tc>
          <w:tcPr>
            <w:tcW w:w="879"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−0.51 ± 1.07</w:t>
            </w:r>
          </w:p>
        </w:tc>
        <w:tc>
          <w:tcPr>
            <w:tcW w:w="1559" w:type="dxa"/>
            <w:tcBorders>
              <w:top w:val="single" w:sz="2" w:space="0" w:color="AAAAAA"/>
              <w:left w:val="single" w:sz="2" w:space="0" w:color="AAAAAA"/>
              <w:bottom w:val="single" w:sz="2" w:space="0" w:color="AAAAAA"/>
              <w:right w:val="single" w:sz="2" w:space="0" w:color="AAAAAA"/>
            </w:tcBorders>
            <w:vAlign w:val="center"/>
          </w:tcPr>
          <w:p>
            <w:pPr>
              <w:pStyle w:val="Normal"/>
              <w:rPr/>
            </w:pPr>
            <w:r>
              <w:rPr/>
            </w:r>
          </w:p>
        </w:tc>
        <w:tc>
          <w:tcPr>
            <w:tcW w:w="1752" w:type="dxa"/>
            <w:tcBorders>
              <w:top w:val="single" w:sz="2" w:space="0" w:color="AAAAAA"/>
              <w:left w:val="single" w:sz="2" w:space="0" w:color="AAAAAA"/>
              <w:bottom w:val="single" w:sz="2" w:space="0" w:color="AAAAAA"/>
              <w:right w:val="single" w:sz="2" w:space="0" w:color="AAAAAA"/>
            </w:tcBorders>
            <w:vAlign w:val="center"/>
          </w:tcPr>
          <w:p>
            <w:pPr>
              <w:pStyle w:val="Normal"/>
              <w:rPr/>
            </w:pPr>
            <w:r>
              <w:rPr/>
            </w:r>
          </w:p>
        </w:tc>
        <w:tc>
          <w:tcPr>
            <w:tcW w:w="3179"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0.00 (WHO median)</w:t>
            </w:r>
          </w:p>
        </w:tc>
      </w:tr>
      <w:tr>
        <w:trPr>
          <w:trHeight w:val="411" w:hRule="atLeast"/>
        </w:trPr>
        <w:tc>
          <w:tcPr>
            <w:tcW w:w="3117"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Mid-Upper Arm Circumference (MUAC, mm)</w:t>
            </w:r>
          </w:p>
        </w:tc>
        <w:tc>
          <w:tcPr>
            <w:tcW w:w="879"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131.8 ± 7.6</w:t>
            </w:r>
          </w:p>
        </w:tc>
        <w:tc>
          <w:tcPr>
            <w:tcW w:w="1559" w:type="dxa"/>
            <w:tcBorders>
              <w:top w:val="single" w:sz="2" w:space="0" w:color="AAAAAA"/>
              <w:left w:val="single" w:sz="2" w:space="0" w:color="AAAAAA"/>
              <w:bottom w:val="single" w:sz="2" w:space="0" w:color="AAAAAA"/>
              <w:right w:val="single" w:sz="2" w:space="0" w:color="AAAAAA"/>
            </w:tcBorders>
            <w:vAlign w:val="center"/>
          </w:tcPr>
          <w:p>
            <w:pPr>
              <w:pStyle w:val="Normal"/>
              <w:rPr/>
            </w:pPr>
            <w:r>
              <w:rPr/>
            </w:r>
          </w:p>
        </w:tc>
        <w:tc>
          <w:tcPr>
            <w:tcW w:w="1752" w:type="dxa"/>
            <w:tcBorders>
              <w:top w:val="single" w:sz="2" w:space="0" w:color="AAAAAA"/>
              <w:left w:val="single" w:sz="2" w:space="0" w:color="AAAAAA"/>
              <w:bottom w:val="single" w:sz="2" w:space="0" w:color="AAAAAA"/>
              <w:right w:val="single" w:sz="2" w:space="0" w:color="AAAAAA"/>
            </w:tcBorders>
            <w:vAlign w:val="center"/>
          </w:tcPr>
          <w:p>
            <w:pPr>
              <w:pStyle w:val="Normal"/>
              <w:rPr/>
            </w:pPr>
            <w:r>
              <w:rPr/>
            </w:r>
          </w:p>
        </w:tc>
        <w:tc>
          <w:tcPr>
            <w:tcW w:w="3179"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≥125 mm: normal</w:t>
            </w:r>
          </w:p>
        </w:tc>
      </w:tr>
    </w:tbl>
    <w:p>
      <w:pPr>
        <w:pStyle w:val="Normal"/>
        <w:spacing w:before="40" w:after="120"/>
        <w:rPr/>
      </w:pPr>
      <w:r>
        <w:rPr>
          <w:i/>
          <w:iCs/>
          <w:color w:val="555555"/>
          <w:sz w:val="18"/>
          <w:szCs w:val="18"/>
        </w:rPr>
        <w:t>Note: HAZ = Height-for-Age Z-score; WAZ = Weight-for-Age Z-score; WHZ = Weight-for-Height Z-score; MUAC = Mid-Upper Arm Circumference; SD = Standard Deviation. ★ GAM ≥15% denotes a nutrition emergency per WHO/UNHCR standards.</w:t>
      </w:r>
    </w:p>
    <w:p>
      <w:pPr>
        <w:pStyle w:val="Normal"/>
        <w:spacing w:before="0" w:after="160"/>
        <w:rPr/>
      </w:pPr>
      <w:r>
        <w:rPr/>
      </w:r>
    </w:p>
    <w:p>
      <w:pPr>
        <w:pStyle w:val="Heading2"/>
        <w:spacing w:before="240" w:after="80"/>
        <w:rPr/>
      </w:pPr>
      <w:r>
        <w:rPr/>
      </w:r>
    </w:p>
    <w:p>
      <w:pPr>
        <w:pStyle w:val="Heading2"/>
        <w:spacing w:before="240" w:after="80"/>
        <w:rPr/>
      </w:pPr>
      <w:r>
        <w:rPr/>
        <w:t>3.4 Association Between GMP Attendance and Nutritional Status</w:t>
      </w:r>
    </w:p>
    <w:p>
      <w:pPr>
        <w:pStyle w:val="Normal"/>
        <w:spacing w:lineRule="auto" w:line="319" w:before="60" w:after="100"/>
        <w:ind w:firstLine="720"/>
        <w:jc w:val="both"/>
        <w:rPr/>
      </w:pPr>
      <w:r>
        <w:rPr/>
        <w:t>The association between regular GMP attendance and nutritional outcomes was consistent across all anthropometric indicators (Table 3). Stunting prevalence was 19.0% among regular attendees versus 35.7% among irregular attendees (OR=0.42, 95% CI: 0.29–0.62, p&lt;0.001) — a near-halving of stunting risk. GAM prevalence was 14.0% versus 21.4% (OR=0.59, 95% CI: 0.39–0.92, p=0.023). Wasting was 4.7% in regular attendees versus 10.6% in irregular attendees (OR=0.41, 95% CI: 0.21–0.81, p=0.012). Underweight affected 17.8% of regular versus 25.6% of irregular attendees (OR=0.63, 95% CI: 0.42–0.94, p=0.028).</w:t>
      </w:r>
    </w:p>
    <w:p>
      <w:pPr>
        <w:pStyle w:val="Normal"/>
        <w:spacing w:lineRule="auto" w:line="319" w:before="60" w:after="100"/>
        <w:ind w:firstLine="720"/>
        <w:jc w:val="both"/>
        <w:rPr/>
      </w:pPr>
      <w:r>
        <w:rPr/>
        <w:t>The differences in continuous anthropometric z-scores were statistically significant and clinically meaningful. Regular GMP attendees had a mean HAZ of −1.01 (SD=1.20) compared to −1.50 (SD=1.21) among irregular attendees (mean difference: +0.493 SD; t[615]=5.01, p&lt;0.001; Cohen's d=0.41 — a moderate effect). For WAZ, the difference was +0.355 SD (Cohen's d=0.32) and for WHZ, +0.407 SD (Cohen's d=0.39).</w:t>
      </w:r>
    </w:p>
    <w:p>
      <w:pPr>
        <w:pStyle w:val="Normal"/>
        <w:spacing w:lineRule="auto" w:line="319" w:before="60" w:after="100"/>
        <w:ind w:firstLine="720"/>
        <w:jc w:val="both"/>
        <w:rPr/>
      </w:pPr>
      <w:r>
        <w:rPr/>
        <w:t>A dose-response relationship between GMP session frequency and nutritional status was confirmed. Stunting prevalence declined progressively from 32.5% at zero sessions to 13.3% at six sessions in the preceding six months, and mean HAZ improved correspondingly from −1.49 to −0.72. Spearman's correlation confirmed a significant positive association between GMP visit frequency and HAZ (ρ=0.170, p&lt;0.001) and WAZ (ρ=0.121, p=0.003), providing dose-response evidence consistent with a causal interpretation.</w:t>
      </w:r>
    </w:p>
    <w:p>
      <w:pPr>
        <w:pStyle w:val="Normal"/>
        <w:spacing w:before="0" w:after="80"/>
        <w:rPr/>
      </w:pPr>
      <w:r>
        <w:rPr/>
      </w:r>
    </w:p>
    <w:p>
      <w:pPr>
        <w:pStyle w:val="Normal"/>
        <w:spacing w:before="160" w:after="60"/>
        <w:rPr/>
      </w:pPr>
      <w:r>
        <w:rPr>
          <w:b/>
          <w:bCs/>
          <w:sz w:val="20"/>
          <w:szCs w:val="20"/>
        </w:rPr>
        <w:t>Table 3. Association Between Regular GMP Attendance and Child Nutritional Outcomes, Sulima Chiefdom (N=617)</w:t>
      </w:r>
    </w:p>
    <w:tbl>
      <w:tblPr>
        <w:tblW w:w="10475" w:type="dxa"/>
        <w:jc w:val="left"/>
        <w:tblInd w:w="0" w:type="dxa"/>
        <w:tblLayout w:type="fixed"/>
        <w:tblCellMar>
          <w:top w:w="60" w:type="dxa"/>
          <w:left w:w="100" w:type="dxa"/>
          <w:bottom w:w="60" w:type="dxa"/>
          <w:right w:w="100" w:type="dxa"/>
        </w:tblCellMar>
        <w:tblLook w:val="04a0" w:noHBand="0" w:noVBand="1" w:firstColumn="1" w:lastRow="0" w:lastColumn="0" w:firstRow="1"/>
      </w:tblPr>
      <w:tblGrid>
        <w:gridCol w:w="2698"/>
        <w:gridCol w:w="1833"/>
        <w:gridCol w:w="1834"/>
        <w:gridCol w:w="1829"/>
        <w:gridCol w:w="1349"/>
        <w:gridCol w:w="931"/>
      </w:tblGrid>
      <w:tr>
        <w:trPr>
          <w:tblHeader w:val="true"/>
          <w:trHeight w:val="428" w:hRule="atLeast"/>
        </w:trPr>
        <w:tc>
          <w:tcPr>
            <w:tcW w:w="2698"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Outcome</w:t>
            </w:r>
          </w:p>
        </w:tc>
        <w:tc>
          <w:tcPr>
            <w:tcW w:w="1833"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Regular Attendees (n=258)</w:t>
            </w:r>
          </w:p>
        </w:tc>
        <w:tc>
          <w:tcPr>
            <w:tcW w:w="1834"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Irregular Attendees (n=359)</w:t>
            </w:r>
          </w:p>
        </w:tc>
        <w:tc>
          <w:tcPr>
            <w:tcW w:w="1829"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Crude OR / Mean Diff.</w:t>
            </w:r>
          </w:p>
        </w:tc>
        <w:tc>
          <w:tcPr>
            <w:tcW w:w="1349"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95% CI</w:t>
            </w:r>
          </w:p>
        </w:tc>
        <w:tc>
          <w:tcPr>
            <w:tcW w:w="931"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p-value</w:t>
            </w:r>
          </w:p>
        </w:tc>
      </w:tr>
      <w:tr>
        <w:trPr>
          <w:trHeight w:val="214" w:hRule="atLeast"/>
        </w:trPr>
        <w:tc>
          <w:tcPr>
            <w:tcW w:w="10474" w:type="dxa"/>
            <w:gridSpan w:val="6"/>
            <w:tcBorders>
              <w:top w:val="single" w:sz="2" w:space="0" w:color="AAAAAA"/>
              <w:left w:val="single" w:sz="2" w:space="0" w:color="AAAAAA"/>
              <w:bottom w:val="single" w:sz="2" w:space="0" w:color="AAAAAA"/>
              <w:right w:val="single" w:sz="2" w:space="0" w:color="AAAAAA"/>
            </w:tcBorders>
            <w:shd w:color="auto" w:fill="E8EFF7" w:val="clear"/>
            <w:tcMar>
              <w:top w:w="40" w:type="dxa"/>
              <w:bottom w:w="40" w:type="dxa"/>
            </w:tcMar>
          </w:tcPr>
          <w:p>
            <w:pPr>
              <w:pStyle w:val="Normal"/>
              <w:rPr/>
            </w:pPr>
            <w:r>
              <w:rPr>
                <w:b/>
                <w:bCs/>
                <w:sz w:val="18"/>
                <w:szCs w:val="18"/>
              </w:rPr>
              <w:t>Binary Outcomes (Prevalence %)</w:t>
            </w:r>
          </w:p>
        </w:tc>
      </w:tr>
      <w:tr>
        <w:trPr>
          <w:trHeight w:val="214" w:hRule="atLeast"/>
        </w:trPr>
        <w:tc>
          <w:tcPr>
            <w:tcW w:w="2698"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Stunting (HAZ &lt;−2 SD)</w:t>
            </w:r>
          </w:p>
        </w:tc>
        <w:tc>
          <w:tcPr>
            <w:tcW w:w="1833"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19.0%</w:t>
            </w:r>
          </w:p>
        </w:tc>
        <w:tc>
          <w:tcPr>
            <w:tcW w:w="1834"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35.7%</w:t>
            </w:r>
          </w:p>
        </w:tc>
        <w:tc>
          <w:tcPr>
            <w:tcW w:w="182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OR = 0.42</w:t>
            </w:r>
          </w:p>
        </w:tc>
        <w:tc>
          <w:tcPr>
            <w:tcW w:w="134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0.29–0.62</w:t>
            </w:r>
          </w:p>
        </w:tc>
        <w:tc>
          <w:tcPr>
            <w:tcW w:w="931"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&lt; 0.001</w:t>
            </w:r>
          </w:p>
        </w:tc>
      </w:tr>
      <w:tr>
        <w:trPr>
          <w:trHeight w:val="214" w:hRule="atLeast"/>
        </w:trPr>
        <w:tc>
          <w:tcPr>
            <w:tcW w:w="2698"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Wasting (WHZ &lt;−2 SD)</w:t>
            </w:r>
          </w:p>
        </w:tc>
        <w:tc>
          <w:tcPr>
            <w:tcW w:w="1833"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4.7%</w:t>
            </w:r>
          </w:p>
        </w:tc>
        <w:tc>
          <w:tcPr>
            <w:tcW w:w="1834"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10.6%</w:t>
            </w:r>
          </w:p>
        </w:tc>
        <w:tc>
          <w:tcPr>
            <w:tcW w:w="182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OR = 0.41</w:t>
            </w:r>
          </w:p>
        </w:tc>
        <w:tc>
          <w:tcPr>
            <w:tcW w:w="134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0.21–0.81</w:t>
            </w:r>
          </w:p>
        </w:tc>
        <w:tc>
          <w:tcPr>
            <w:tcW w:w="931"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0.012</w:t>
            </w:r>
          </w:p>
        </w:tc>
      </w:tr>
      <w:tr>
        <w:trPr>
          <w:trHeight w:val="214" w:hRule="atLeast"/>
        </w:trPr>
        <w:tc>
          <w:tcPr>
            <w:tcW w:w="2698"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Underweight (WAZ &lt;−2 SD)</w:t>
            </w:r>
          </w:p>
        </w:tc>
        <w:tc>
          <w:tcPr>
            <w:tcW w:w="1833"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17.8%</w:t>
            </w:r>
          </w:p>
        </w:tc>
        <w:tc>
          <w:tcPr>
            <w:tcW w:w="1834"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25.6%</w:t>
            </w:r>
          </w:p>
        </w:tc>
        <w:tc>
          <w:tcPr>
            <w:tcW w:w="182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OR = 0.63</w:t>
            </w:r>
          </w:p>
        </w:tc>
        <w:tc>
          <w:tcPr>
            <w:tcW w:w="134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0.42–0.94</w:t>
            </w:r>
          </w:p>
        </w:tc>
        <w:tc>
          <w:tcPr>
            <w:tcW w:w="931"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0.028</w:t>
            </w:r>
          </w:p>
        </w:tc>
      </w:tr>
      <w:tr>
        <w:trPr>
          <w:trHeight w:val="214" w:hRule="atLeast"/>
        </w:trPr>
        <w:tc>
          <w:tcPr>
            <w:tcW w:w="2698"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Global Acute Malnutrition</w:t>
            </w:r>
          </w:p>
        </w:tc>
        <w:tc>
          <w:tcPr>
            <w:tcW w:w="1833"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14.0%</w:t>
            </w:r>
          </w:p>
        </w:tc>
        <w:tc>
          <w:tcPr>
            <w:tcW w:w="1834"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21.4%</w:t>
            </w:r>
          </w:p>
        </w:tc>
        <w:tc>
          <w:tcPr>
            <w:tcW w:w="182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OR = 0.59</w:t>
            </w:r>
          </w:p>
        </w:tc>
        <w:tc>
          <w:tcPr>
            <w:tcW w:w="134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0.39–0.92</w:t>
            </w:r>
          </w:p>
        </w:tc>
        <w:tc>
          <w:tcPr>
            <w:tcW w:w="931"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0.023</w:t>
            </w:r>
          </w:p>
        </w:tc>
      </w:tr>
      <w:tr>
        <w:trPr>
          <w:trHeight w:val="214" w:hRule="atLeast"/>
        </w:trPr>
        <w:tc>
          <w:tcPr>
            <w:tcW w:w="10474" w:type="dxa"/>
            <w:gridSpan w:val="6"/>
            <w:tcBorders>
              <w:top w:val="single" w:sz="2" w:space="0" w:color="AAAAAA"/>
              <w:left w:val="single" w:sz="2" w:space="0" w:color="AAAAAA"/>
              <w:bottom w:val="single" w:sz="2" w:space="0" w:color="AAAAAA"/>
              <w:right w:val="single" w:sz="2" w:space="0" w:color="AAAAAA"/>
            </w:tcBorders>
            <w:shd w:color="auto" w:fill="E8EFF7" w:val="clear"/>
            <w:tcMar>
              <w:top w:w="40" w:type="dxa"/>
              <w:bottom w:w="40" w:type="dxa"/>
            </w:tcMar>
          </w:tcPr>
          <w:p>
            <w:pPr>
              <w:pStyle w:val="Normal"/>
              <w:rPr/>
            </w:pPr>
            <w:r>
              <w:rPr>
                <w:b/>
                <w:bCs/>
                <w:sz w:val="18"/>
                <w:szCs w:val="18"/>
              </w:rPr>
              <w:t>Continuous Outcomes (Mean Z-score ± SD)</w:t>
            </w:r>
          </w:p>
        </w:tc>
      </w:tr>
      <w:tr>
        <w:trPr>
          <w:trHeight w:val="214" w:hRule="atLeast"/>
        </w:trPr>
        <w:tc>
          <w:tcPr>
            <w:tcW w:w="2698"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HAZ (mean ± SD)</w:t>
            </w:r>
          </w:p>
        </w:tc>
        <w:tc>
          <w:tcPr>
            <w:tcW w:w="1833"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−1.01 ± 1.20</w:t>
            </w:r>
          </w:p>
        </w:tc>
        <w:tc>
          <w:tcPr>
            <w:tcW w:w="1834"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−1.50 ± 1.21</w:t>
            </w:r>
          </w:p>
        </w:tc>
        <w:tc>
          <w:tcPr>
            <w:tcW w:w="182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+0.49 SD (d = 0.41)</w:t>
            </w:r>
          </w:p>
        </w:tc>
        <w:tc>
          <w:tcPr>
            <w:tcW w:w="134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w:t>
            </w:r>
          </w:p>
        </w:tc>
        <w:tc>
          <w:tcPr>
            <w:tcW w:w="931"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&lt; 0.001†</w:t>
            </w:r>
          </w:p>
        </w:tc>
      </w:tr>
      <w:tr>
        <w:trPr>
          <w:trHeight w:val="214" w:hRule="atLeast"/>
        </w:trPr>
        <w:tc>
          <w:tcPr>
            <w:tcW w:w="2698"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WAZ (mean ± SD)</w:t>
            </w:r>
          </w:p>
        </w:tc>
        <w:tc>
          <w:tcPr>
            <w:tcW w:w="1833"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−0.92 ± 1.09</w:t>
            </w:r>
          </w:p>
        </w:tc>
        <w:tc>
          <w:tcPr>
            <w:tcW w:w="1834"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−1.28 ± 1.11</w:t>
            </w:r>
          </w:p>
        </w:tc>
        <w:tc>
          <w:tcPr>
            <w:tcW w:w="182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+0.36 SD (d = 0.32)</w:t>
            </w:r>
          </w:p>
        </w:tc>
        <w:tc>
          <w:tcPr>
            <w:tcW w:w="134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w:t>
            </w:r>
          </w:p>
        </w:tc>
        <w:tc>
          <w:tcPr>
            <w:tcW w:w="931"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&lt; 0.001†</w:t>
            </w:r>
          </w:p>
        </w:tc>
      </w:tr>
      <w:tr>
        <w:trPr>
          <w:trHeight w:val="214" w:hRule="atLeast"/>
        </w:trPr>
        <w:tc>
          <w:tcPr>
            <w:tcW w:w="2698"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WHZ (mean ± SD)</w:t>
            </w:r>
          </w:p>
        </w:tc>
        <w:tc>
          <w:tcPr>
            <w:tcW w:w="1833"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−0.27 ± 1.03</w:t>
            </w:r>
          </w:p>
        </w:tc>
        <w:tc>
          <w:tcPr>
            <w:tcW w:w="1834"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−0.68 ± 1.07</w:t>
            </w:r>
          </w:p>
        </w:tc>
        <w:tc>
          <w:tcPr>
            <w:tcW w:w="182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+0.41 SD (d = 0.39)</w:t>
            </w:r>
          </w:p>
        </w:tc>
        <w:tc>
          <w:tcPr>
            <w:tcW w:w="134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w:t>
            </w:r>
          </w:p>
        </w:tc>
        <w:tc>
          <w:tcPr>
            <w:tcW w:w="931"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&lt; 0.001†</w:t>
            </w:r>
          </w:p>
        </w:tc>
      </w:tr>
    </w:tbl>
    <w:p>
      <w:pPr>
        <w:pStyle w:val="Normal"/>
        <w:spacing w:before="40" w:after="120"/>
        <w:rPr/>
      </w:pPr>
      <w:r>
        <w:rPr>
          <w:i/>
          <w:iCs/>
          <w:color w:val="555555"/>
          <w:sz w:val="18"/>
          <w:szCs w:val="18"/>
        </w:rPr>
        <w:t>Note: OR = Odds Ratio; CI = Confidence Interval; d = Cohen's d effect size. † Independent samples t-test. All tests two-tailed; significance at p&lt;0.05. Regular attendance = ≥4 sessions/6 months; Irregular attendance = &lt;4 sessions/6 months.</w:t>
      </w:r>
    </w:p>
    <w:p>
      <w:pPr>
        <w:pStyle w:val="Normal"/>
        <w:spacing w:before="0" w:after="160"/>
        <w:rPr/>
      </w:pPr>
      <w:r>
        <w:rPr/>
      </w:r>
    </w:p>
    <w:p>
      <w:pPr>
        <w:pStyle w:val="Heading2"/>
        <w:spacing w:before="240" w:after="80"/>
        <w:rPr/>
      </w:pPr>
      <w:r>
        <w:rPr/>
      </w:r>
    </w:p>
    <w:p>
      <w:pPr>
        <w:pStyle w:val="Heading2"/>
        <w:spacing w:before="240" w:after="80"/>
        <w:rPr/>
      </w:pPr>
      <w:r>
        <w:rPr/>
        <w:t>3.5 Linear Regression: Independent Effect of GMP on Anthropometric Z-Scores</w:t>
      </w:r>
    </w:p>
    <w:p>
      <w:pPr>
        <w:pStyle w:val="Normal"/>
        <w:spacing w:lineRule="auto" w:line="319" w:before="60" w:after="100"/>
        <w:ind w:firstLine="720"/>
        <w:jc w:val="both"/>
        <w:rPr/>
      </w:pPr>
      <w:r>
        <w:rPr/>
        <w:t>In multiple linear regression adjusting for 11 covariates (child age, sex, birth weight, exclusive breastfeeding, recent diarrhoea and ARI, vitamin A supplementation, maternal knowledge, household food security, IYCF counselling, and distance to PHC; n=617), regular GMP attendance remained a significant and independent predictor of HAZ (B=0.365, SE=0.102, 95% CI: 0.165–0.564, p&lt;0.001) and WAZ (B=0.343, SE=0.095, 95% CI: 0.157–0.529, p&lt;0.001). The dose-response estimate reinforces this: each additional GMP visit per six months was independently associated with a 0.091 SD higher HAZ (B=0.091, SE=0.038, p=0.018) and a 0.633 mm higher MUAC (B=0.633, SE=0.241, p=0.009).</w:t>
      </w:r>
    </w:p>
    <w:p>
      <w:pPr>
        <w:pStyle w:val="Normal"/>
        <w:spacing w:lineRule="auto" w:line="319" w:before="60" w:after="100"/>
        <w:ind w:firstLine="720"/>
        <w:jc w:val="both"/>
        <w:rPr/>
      </w:pPr>
      <w:r>
        <w:rPr/>
        <w:t>The HAZ model explained 10.0% of the variance (R²=0.100, Adjusted R²=0.081, F[11,605]=6.11, p&lt;0.001). While the model's explained variance is modest — a finding that reflects substantial residual variation attributable to factors not measured in this cross-sectional design — the GMP attendance coefficient is robust across model specifications. Good maternal knowledge was independently associated with a +0.566 SD higher HAZ (B=0.566, SE=0.163, p&lt;0.001) compared to poor knowledge, after adjustment for GMP attendance, suggesting knowledge operates on nutritional status through pathways partially independent of GMP participation, including home dietary practices. Child age was negatively associated with HAZ (B=−0.010, SE=0.003, p&lt;0.001), confirming the age-related accumulation of chronic undernutrition. Full regression results are presented in Table 4.</w:t>
      </w:r>
    </w:p>
    <w:p>
      <w:pPr>
        <w:pStyle w:val="Normal"/>
        <w:spacing w:before="0" w:after="80"/>
        <w:rPr/>
      </w:pPr>
      <w:r>
        <w:rPr/>
      </w:r>
    </w:p>
    <w:p>
      <w:pPr>
        <w:pStyle w:val="Normal"/>
        <w:spacing w:before="160" w:after="60"/>
        <w:rPr/>
      </w:pPr>
      <w:r>
        <w:rPr>
          <w:b/>
          <w:bCs/>
          <w:sz w:val="20"/>
          <w:szCs w:val="20"/>
        </w:rPr>
        <w:t>Table 5. Independent Predictors of Regular GMP Attendance: Multivariable Logistic Regression (N=617)</w:t>
      </w:r>
    </w:p>
    <w:tbl>
      <w:tblPr>
        <w:tblW w:w="10439" w:type="dxa"/>
        <w:jc w:val="left"/>
        <w:tblInd w:w="0" w:type="dxa"/>
        <w:tblLayout w:type="fixed"/>
        <w:tblCellMar>
          <w:top w:w="60" w:type="dxa"/>
          <w:left w:w="100" w:type="dxa"/>
          <w:bottom w:w="60" w:type="dxa"/>
          <w:right w:w="100" w:type="dxa"/>
        </w:tblCellMar>
        <w:tblLook w:val="04a0" w:noHBand="0" w:noVBand="1" w:firstColumn="1" w:lastRow="0" w:lastColumn="0" w:firstRow="1"/>
      </w:tblPr>
      <w:tblGrid>
        <w:gridCol w:w="2910"/>
        <w:gridCol w:w="1067"/>
        <w:gridCol w:w="1067"/>
        <w:gridCol w:w="1649"/>
        <w:gridCol w:w="970"/>
        <w:gridCol w:w="2775"/>
      </w:tblGrid>
      <w:tr>
        <w:trPr>
          <w:trHeight w:val="210" w:hRule="atLeast"/>
        </w:trPr>
        <w:tc>
          <w:tcPr>
            <w:tcW w:w="2910"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Variable</w:t>
            </w:r>
          </w:p>
        </w:tc>
        <w:tc>
          <w:tcPr>
            <w:tcW w:w="1067"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cOR</w:t>
            </w:r>
          </w:p>
        </w:tc>
        <w:tc>
          <w:tcPr>
            <w:tcW w:w="1067"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aOR</w:t>
            </w:r>
          </w:p>
        </w:tc>
        <w:tc>
          <w:tcPr>
            <w:tcW w:w="1649"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95% CI (aOR)</w:t>
            </w:r>
          </w:p>
        </w:tc>
        <w:tc>
          <w:tcPr>
            <w:tcW w:w="970"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p-value</w:t>
            </w:r>
          </w:p>
        </w:tc>
        <w:tc>
          <w:tcPr>
            <w:tcW w:w="2775"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Interpretation</w:t>
            </w:r>
          </w:p>
        </w:tc>
      </w:tr>
      <w:tr>
        <w:trPr>
          <w:trHeight w:val="210" w:hRule="atLeast"/>
        </w:trPr>
        <w:tc>
          <w:tcPr>
            <w:tcW w:w="10438" w:type="dxa"/>
            <w:gridSpan w:val="6"/>
            <w:tcBorders>
              <w:top w:val="single" w:sz="2" w:space="0" w:color="AAAAAA"/>
              <w:left w:val="single" w:sz="2" w:space="0" w:color="AAAAAA"/>
              <w:bottom w:val="single" w:sz="2" w:space="0" w:color="AAAAAA"/>
              <w:right w:val="single" w:sz="2" w:space="0" w:color="AAAAAA"/>
            </w:tcBorders>
            <w:shd w:color="auto" w:fill="E8EFF7" w:val="clear"/>
            <w:tcMar>
              <w:top w:w="40" w:type="dxa"/>
              <w:bottom w:w="40" w:type="dxa"/>
            </w:tcMar>
          </w:tcPr>
          <w:p>
            <w:pPr>
              <w:pStyle w:val="Normal"/>
              <w:rPr/>
            </w:pPr>
            <w:r>
              <w:rPr>
                <w:b/>
                <w:bCs/>
                <w:sz w:val="18"/>
                <w:szCs w:val="18"/>
              </w:rPr>
              <w:t>Demand-Side Attitudinal &amp; Relational Predictors (Positive Predictors)</w:t>
            </w:r>
          </w:p>
        </w:tc>
      </w:tr>
      <w:tr>
        <w:trPr>
          <w:trHeight w:val="420" w:hRule="atLeast"/>
        </w:trPr>
        <w:tc>
          <w:tcPr>
            <w:tcW w:w="2910"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IYCF counselling (any channel) vs. none</w:t>
            </w:r>
          </w:p>
        </w:tc>
        <w:tc>
          <w:tcPr>
            <w:tcW w:w="1067"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7.52</w:t>
            </w:r>
          </w:p>
        </w:tc>
        <w:tc>
          <w:tcPr>
            <w:tcW w:w="1067"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4.20 ★</w:t>
            </w:r>
          </w:p>
        </w:tc>
        <w:tc>
          <w:tcPr>
            <w:tcW w:w="164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1.40–12.63</w:t>
            </w:r>
          </w:p>
        </w:tc>
        <w:tc>
          <w:tcPr>
            <w:tcW w:w="970"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0.010</w:t>
            </w:r>
          </w:p>
        </w:tc>
        <w:tc>
          <w:tcPr>
            <w:tcW w:w="2775"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Retained; largest independent predictor</w:t>
            </w:r>
          </w:p>
        </w:tc>
      </w:tr>
      <w:tr>
        <w:trPr>
          <w:trHeight w:val="420" w:hRule="atLeast"/>
        </w:trPr>
        <w:tc>
          <w:tcPr>
            <w:tcW w:w="2910"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Positive attitude toward GMP vs. negative</w:t>
            </w:r>
          </w:p>
        </w:tc>
        <w:tc>
          <w:tcPr>
            <w:tcW w:w="1067"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6.39</w:t>
            </w:r>
          </w:p>
        </w:tc>
        <w:tc>
          <w:tcPr>
            <w:tcW w:w="1067"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3.72 ★</w:t>
            </w:r>
          </w:p>
        </w:tc>
        <w:tc>
          <w:tcPr>
            <w:tcW w:w="164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1.53–9.08</w:t>
            </w:r>
          </w:p>
        </w:tc>
        <w:tc>
          <w:tcPr>
            <w:tcW w:w="970"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0.004</w:t>
            </w:r>
          </w:p>
        </w:tc>
        <w:tc>
          <w:tcPr>
            <w:tcW w:w="2775"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Retained; attenuated from crude but dominant</w:t>
            </w:r>
          </w:p>
        </w:tc>
      </w:tr>
      <w:tr>
        <w:trPr>
          <w:trHeight w:val="420" w:hRule="atLeast"/>
        </w:trPr>
        <w:tc>
          <w:tcPr>
            <w:tcW w:w="2910"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Mother support group membership vs. non-member</w:t>
            </w:r>
          </w:p>
        </w:tc>
        <w:tc>
          <w:tcPr>
            <w:tcW w:w="1067"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1.91</w:t>
            </w:r>
          </w:p>
        </w:tc>
        <w:tc>
          <w:tcPr>
            <w:tcW w:w="1067"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1.87 ★</w:t>
            </w:r>
          </w:p>
        </w:tc>
        <w:tc>
          <w:tcPr>
            <w:tcW w:w="164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1.30–2.68</w:t>
            </w:r>
          </w:p>
        </w:tc>
        <w:tc>
          <w:tcPr>
            <w:tcW w:w="970"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&lt; 0.001</w:t>
            </w:r>
          </w:p>
        </w:tc>
        <w:tc>
          <w:tcPr>
            <w:tcW w:w="2775"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Most precisely estimated predictor</w:t>
            </w:r>
          </w:p>
        </w:tc>
      </w:tr>
      <w:tr>
        <w:trPr>
          <w:trHeight w:val="428" w:hRule="atLeast"/>
        </w:trPr>
        <w:tc>
          <w:tcPr>
            <w:tcW w:w="2910"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Medium perceived GMP benefit vs. low</w:t>
            </w:r>
          </w:p>
        </w:tc>
        <w:tc>
          <w:tcPr>
            <w:tcW w:w="1067"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3.00</w:t>
            </w:r>
          </w:p>
        </w:tc>
        <w:tc>
          <w:tcPr>
            <w:tcW w:w="1067"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1.79 ★</w:t>
            </w:r>
          </w:p>
        </w:tc>
        <w:tc>
          <w:tcPr>
            <w:tcW w:w="164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1.11–2.89</w:t>
            </w:r>
          </w:p>
        </w:tc>
        <w:tc>
          <w:tcPr>
            <w:tcW w:w="970"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0.018</w:t>
            </w:r>
          </w:p>
        </w:tc>
        <w:tc>
          <w:tcPr>
            <w:tcW w:w="2775"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Health Belief Model: perceived benefit pathway</w:t>
            </w:r>
          </w:p>
        </w:tc>
      </w:tr>
      <w:tr>
        <w:trPr>
          <w:trHeight w:val="203" w:hRule="atLeast"/>
        </w:trPr>
        <w:tc>
          <w:tcPr>
            <w:tcW w:w="10438" w:type="dxa"/>
            <w:gridSpan w:val="6"/>
            <w:tcBorders>
              <w:top w:val="single" w:sz="2" w:space="0" w:color="AAAAAA"/>
              <w:left w:val="single" w:sz="2" w:space="0" w:color="AAAAAA"/>
              <w:bottom w:val="single" w:sz="2" w:space="0" w:color="AAAAAA"/>
              <w:right w:val="single" w:sz="2" w:space="0" w:color="AAAAAA"/>
            </w:tcBorders>
            <w:shd w:color="auto" w:fill="FFF3E0" w:val="clear"/>
            <w:tcMar>
              <w:top w:w="40" w:type="dxa"/>
              <w:bottom w:w="40" w:type="dxa"/>
            </w:tcMar>
          </w:tcPr>
          <w:p>
            <w:pPr>
              <w:pStyle w:val="Normal"/>
              <w:rPr/>
            </w:pPr>
            <w:r>
              <w:rPr>
                <w:b/>
                <w:bCs/>
                <w:sz w:val="18"/>
                <w:szCs w:val="18"/>
              </w:rPr>
              <w:t>Structural &amp; Negative Predictors</w:t>
            </w:r>
          </w:p>
        </w:tc>
      </w:tr>
      <w:tr>
        <w:trPr>
          <w:trHeight w:val="420" w:hRule="atLeast"/>
        </w:trPr>
        <w:tc>
          <w:tcPr>
            <w:tcW w:w="2910"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Single marital status vs. married</w:t>
            </w:r>
          </w:p>
        </w:tc>
        <w:tc>
          <w:tcPr>
            <w:tcW w:w="1067"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0.64</w:t>
            </w:r>
          </w:p>
        </w:tc>
        <w:tc>
          <w:tcPr>
            <w:tcW w:w="1067"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0.57 ★</w:t>
            </w:r>
          </w:p>
        </w:tc>
        <w:tc>
          <w:tcPr>
            <w:tcW w:w="164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0.35–0.93</w:t>
            </w:r>
          </w:p>
        </w:tc>
        <w:tc>
          <w:tcPr>
            <w:tcW w:w="970"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0.024</w:t>
            </w:r>
          </w:p>
        </w:tc>
        <w:tc>
          <w:tcPr>
            <w:tcW w:w="2775"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43% lower odds; social isolation mechanism</w:t>
            </w:r>
          </w:p>
        </w:tc>
      </w:tr>
      <w:tr>
        <w:trPr>
          <w:trHeight w:val="420" w:hRule="atLeast"/>
        </w:trPr>
        <w:tc>
          <w:tcPr>
            <w:tcW w:w="2910"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Distance to PHC (per additional km)</w:t>
            </w:r>
          </w:p>
        </w:tc>
        <w:tc>
          <w:tcPr>
            <w:tcW w:w="1067"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0.94</w:t>
            </w:r>
          </w:p>
        </w:tc>
        <w:tc>
          <w:tcPr>
            <w:tcW w:w="1067"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0.92 ★</w:t>
            </w:r>
          </w:p>
        </w:tc>
        <w:tc>
          <w:tcPr>
            <w:tcW w:w="164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0.85–0.99</w:t>
            </w:r>
          </w:p>
        </w:tc>
        <w:tc>
          <w:tcPr>
            <w:tcW w:w="970"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0.026</w:t>
            </w:r>
          </w:p>
        </w:tc>
        <w:tc>
          <w:tcPr>
            <w:tcW w:w="2775"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8% reduction/km; unmasked by adjustment</w:t>
            </w:r>
          </w:p>
        </w:tc>
      </w:tr>
      <w:tr>
        <w:trPr>
          <w:trHeight w:val="210" w:hRule="atLeast"/>
        </w:trPr>
        <w:tc>
          <w:tcPr>
            <w:tcW w:w="10438" w:type="dxa"/>
            <w:gridSpan w:val="6"/>
            <w:tcBorders>
              <w:top w:val="single" w:sz="2" w:space="0" w:color="AAAAAA"/>
              <w:left w:val="single" w:sz="2" w:space="0" w:color="AAAAAA"/>
              <w:bottom w:val="single" w:sz="2" w:space="0" w:color="AAAAAA"/>
              <w:right w:val="single" w:sz="2" w:space="0" w:color="AAAAAA"/>
            </w:tcBorders>
            <w:shd w:color="auto" w:fill="F5F5F5" w:val="clear"/>
            <w:tcMar>
              <w:top w:w="40" w:type="dxa"/>
              <w:bottom w:w="40" w:type="dxa"/>
            </w:tcMar>
          </w:tcPr>
          <w:p>
            <w:pPr>
              <w:pStyle w:val="Normal"/>
              <w:rPr/>
            </w:pPr>
            <w:r>
              <w:rPr>
                <w:i/>
                <w:iCs/>
                <w:sz w:val="18"/>
                <w:szCs w:val="18"/>
              </w:rPr>
              <w:t>Attenuated Predictors (Non-significant after Adjustment)</w:t>
            </w:r>
          </w:p>
        </w:tc>
      </w:tr>
      <w:tr>
        <w:trPr>
          <w:trHeight w:val="420" w:hRule="atLeast"/>
        </w:trPr>
        <w:tc>
          <w:tcPr>
            <w:tcW w:w="2910"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Good maternal knowledge vs. poor</w:t>
            </w:r>
          </w:p>
        </w:tc>
        <w:tc>
          <w:tcPr>
            <w:tcW w:w="1067"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4.72</w:t>
            </w:r>
          </w:p>
        </w:tc>
        <w:tc>
          <w:tcPr>
            <w:tcW w:w="1067"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1.23 ✕</w:t>
            </w:r>
          </w:p>
        </w:tc>
        <w:tc>
          <w:tcPr>
            <w:tcW w:w="164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0.24–6.32</w:t>
            </w:r>
          </w:p>
        </w:tc>
        <w:tc>
          <w:tcPr>
            <w:tcW w:w="970"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0.807</w:t>
            </w:r>
          </w:p>
        </w:tc>
        <w:tc>
          <w:tcPr>
            <w:tcW w:w="2775"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Fully attenuated mediated by attitude &amp; IYCF</w:t>
            </w:r>
          </w:p>
        </w:tc>
      </w:tr>
      <w:tr>
        <w:trPr>
          <w:trHeight w:val="420" w:hRule="atLeast"/>
        </w:trPr>
        <w:tc>
          <w:tcPr>
            <w:tcW w:w="2910"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Neutral attitude toward GMP vs. negative</w:t>
            </w:r>
          </w:p>
        </w:tc>
        <w:tc>
          <w:tcPr>
            <w:tcW w:w="1067"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2.14</w:t>
            </w:r>
          </w:p>
        </w:tc>
        <w:tc>
          <w:tcPr>
            <w:tcW w:w="1067"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1.49 †</w:t>
            </w:r>
          </w:p>
        </w:tc>
        <w:tc>
          <w:tcPr>
            <w:tcW w:w="1649"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0.98–2.26</w:t>
            </w:r>
          </w:p>
        </w:tc>
        <w:tc>
          <w:tcPr>
            <w:tcW w:w="970"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0.062</w:t>
            </w:r>
          </w:p>
        </w:tc>
        <w:tc>
          <w:tcPr>
            <w:tcW w:w="2775"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Borderline trend</w:t>
            </w:r>
          </w:p>
        </w:tc>
      </w:tr>
      <w:tr>
        <w:trPr>
          <w:trHeight w:val="420" w:hRule="atLeast"/>
        </w:trPr>
        <w:tc>
          <w:tcPr>
            <w:tcW w:w="10438" w:type="dxa"/>
            <w:gridSpan w:val="6"/>
            <w:tcBorders>
              <w:top w:val="single" w:sz="2" w:space="0" w:color="AAAAAA"/>
              <w:left w:val="single" w:sz="2" w:space="0" w:color="AAAAAA"/>
              <w:bottom w:val="single" w:sz="2" w:space="0" w:color="AAAAAA"/>
              <w:right w:val="single" w:sz="2" w:space="0" w:color="AAAAAA"/>
            </w:tcBorders>
            <w:shd w:color="auto" w:fill="D6E4F0" w:val="clear"/>
          </w:tcPr>
          <w:p>
            <w:pPr>
              <w:pStyle w:val="Normal"/>
              <w:rPr/>
            </w:pPr>
            <w:r>
              <w:rPr>
                <w:b/>
                <w:bCs/>
                <w:sz w:val="18"/>
                <w:szCs w:val="18"/>
              </w:rPr>
              <w:t>Model Fit: Hosmer–Lemeshow goodness-of-fit p = 0.331 (adequate fit); Nagelkerke R² = 0.211; Overall classification accuracy = 65.2%; N = 617</w:t>
            </w:r>
          </w:p>
        </w:tc>
      </w:tr>
    </w:tbl>
    <w:p>
      <w:pPr>
        <w:pStyle w:val="Normal"/>
        <w:spacing w:before="40" w:after="120"/>
        <w:rPr/>
      </w:pPr>
      <w:r>
        <w:rPr>
          <w:i/>
          <w:iCs/>
          <w:color w:val="555555"/>
          <w:sz w:val="18"/>
          <w:szCs w:val="18"/>
        </w:rPr>
        <w:t>Note: cOR = Crude Odds Ratio; aOR = Adjusted Odds Ratio. Model fit: Nagelkerke R² = 0.211; Hosmer–Lemeshow p = 0.331 (adequate fit); Classification accuracy = 65.2%. ★ p&lt;0.05 (significant); † p&lt;0.10 (borderline trend); ✕ non-significant after adjustment.</w:t>
      </w:r>
    </w:p>
    <w:p>
      <w:pPr>
        <w:pStyle w:val="Normal"/>
        <w:spacing w:before="0" w:after="160"/>
        <w:rPr/>
      </w:pPr>
      <w:r>
        <w:rPr/>
      </w:r>
    </w:p>
    <w:p>
      <w:pPr>
        <w:pStyle w:val="Heading2"/>
        <w:spacing w:before="240" w:after="80"/>
        <w:rPr/>
      </w:pPr>
      <w:r>
        <w:rPr/>
        <w:t>3.6 Determinants of Regular GMP Attendance: Bivariable and Multivariable Analysis</w:t>
      </w:r>
    </w:p>
    <w:p>
      <w:pPr>
        <w:pStyle w:val="Normal"/>
        <w:spacing w:lineRule="auto" w:line="319" w:before="60" w:after="100"/>
        <w:ind w:firstLine="720"/>
        <w:jc w:val="both"/>
        <w:rPr/>
      </w:pPr>
      <w:r>
        <w:rPr/>
        <w:t>In bivariable logistic regression, maternal knowledge, attitude toward GMP, perceived benefit, IYCF counselling, and mother support group membership were all strongly associated with regular GMP attendance (all p&lt;0.001). The multivariable logistic regression model identified six independent predictors after full adjustment (Table 5; Hosmer–Lemeshow p=0.331; Nagelkerke R²=0.211):</w:t>
      </w:r>
    </w:p>
    <w:p>
      <w:pPr>
        <w:pStyle w:val="Normal"/>
        <w:spacing w:lineRule="auto" w:line="319" w:before="60" w:after="100"/>
        <w:ind w:firstLine="720"/>
        <w:jc w:val="both"/>
        <w:rPr/>
      </w:pPr>
      <w:r>
        <w:rPr/>
        <w:t>IYCF counselling through any channel versus none (aOR=4.20, 95% CI: 1.40–12.63, p=0.010): mothers who received IYCF counselling through community health workers, antenatal contacts, or community sessions were four times more likely to attend GMP regularly, independent of knowledge, attitude, and social capital.</w:t>
      </w:r>
    </w:p>
    <w:p>
      <w:pPr>
        <w:pStyle w:val="Normal"/>
        <w:spacing w:lineRule="auto" w:line="319" w:before="60" w:after="100"/>
        <w:ind w:firstLine="720"/>
        <w:jc w:val="both"/>
        <w:rPr/>
      </w:pPr>
      <w:r>
        <w:rPr/>
        <w:t>Positive attitude toward GMP versus negative (aOR=3.72, 95% CI: 1.53–9.08, p=0.004): this is the strongest retained attitudinal predictor, highlighting the primacy of demand-generation through quality service encounters. Mother support group membership versus non-member (aOR=1.87, 95% CI: 1.30–2.68, p&lt;0.001): the most precisely estimated predictor in the model, reflecting the role of peer social capital. Medium perceived benefit of GMP versus low (aOR=1.79, 95% CI: 1.11–2.89, p=0.018): a Health Belief Model construct operating through a distinct perceptual pathway. Single marital status versus married (aOR=0.57, 95% CI: 0.35–0.93, p=0.024): a 43% reduction in odds. Distance to PHC per additional kilometre (aOR=0.92, 95% CI: 0.85–0.99, p=0.026): this variable was unmasked by multivariable adjustment (crude p=0.065), implying its effect had been confounded by residence type. Critically, maternal knowledge was fully attenuated to non-significance (aOR=1.23, p=0.807), a finding with major programmatic implications.</w:t>
      </w:r>
    </w:p>
    <w:p>
      <w:pPr>
        <w:pStyle w:val="Heading2"/>
        <w:spacing w:before="240" w:after="80"/>
        <w:rPr/>
      </w:pPr>
      <w:r>
        <w:rPr/>
        <w:t>3.7 Mediation Analysis: The Knowledge–Attitude–Attendance Pathway</w:t>
      </w:r>
    </w:p>
    <w:p>
      <w:pPr>
        <w:pStyle w:val="Normal"/>
        <w:spacing w:lineRule="auto" w:line="319" w:before="60" w:after="100"/>
        <w:ind w:firstLine="720"/>
        <w:jc w:val="both"/>
        <w:rPr/>
      </w:pPr>
      <w:r>
        <w:rPr/>
        <w:t>Exploratory mediation analysis was consistent with partial mediation of the knowledge–attendance association through attitude. Path a (Knowledge→Attitude): B=0.045, SE=0.010, t=4.41, p&lt;0.001. Path b (Attitude→GMP visits, controlling for knowledge): B=1.078, p&lt;0.001. Total effect (c): B=0.190, p&lt;0.001; Direct effect (c'): B=0.142, p&lt;0.001. Indirect effect (a×b) = 0.048 (bootstrap 95% CI: 0.023–0.079; based on 5,000 resamples), excluding zero. The proportion of the total effect estimated as mediated via attitude was 25.3%. For the binary outcome (regular attendance), a positive attitude was associated with 2.6 times higher odds (OR=2.631, p=0.0002), and the bootstrapped indirect effect similarly excluded zero (95% CI: 0.017–0.080). These findings are consistent with knowledge being associated with attendance both directly and indirectly (via attitude), with the attitudinal pathway appearing to be the dominant correlate — a pattern in line with the Health Belief Model's emphasis on perceived benefit over informational content. Given the cross-sectional design, the assumed Knowledge→Attitude→Attendance ordering cannot be verified, and these estimates should be read as exploratory.</w:t>
      </w:r>
    </w:p>
    <w:p>
      <w:pPr>
        <w:pStyle w:val="Normal"/>
        <w:spacing w:lineRule="auto" w:line="319" w:before="60" w:after="100"/>
        <w:ind w:firstLine="720"/>
        <w:jc w:val="both"/>
        <w:rPr/>
      </w:pPr>
      <w:r>
        <w:rPr/>
        <w:t>A significant negative interaction between knowledge and attitude (B=−0.122, p=0.015) was also detected, indicating that the marginal association between additional knowledge and GMP visits is smaller when attitude is already positive — a ceiling effect consistent with attitude functioning as the dominant proximal correlate at higher knowledge levels.</w:t>
      </w:r>
    </w:p>
    <w:p>
      <w:pPr>
        <w:pStyle w:val="Normal"/>
        <w:spacing w:before="0" w:after="80"/>
        <w:rPr/>
      </w:pPr>
      <w:r>
        <w:rPr/>
      </w:r>
    </w:p>
    <w:p>
      <w:pPr>
        <w:pStyle w:val="Normal"/>
        <w:spacing w:before="160" w:after="60"/>
        <w:rPr/>
      </w:pPr>
      <w:r>
        <w:rPr>
          <w:b/>
          <w:bCs/>
          <w:sz w:val="20"/>
          <w:szCs w:val="20"/>
        </w:rPr>
        <w:t>Table 4. Multiple Linear Regression: Independent Effect of GMP Attendance on Anthropometric Z-Scores (N=617)</w:t>
      </w:r>
    </w:p>
    <w:tbl>
      <w:tblPr>
        <w:tblW w:w="10689" w:type="dxa"/>
        <w:jc w:val="left"/>
        <w:tblInd w:w="0" w:type="dxa"/>
        <w:tblLayout w:type="fixed"/>
        <w:tblCellMar>
          <w:top w:w="60" w:type="dxa"/>
          <w:left w:w="100" w:type="dxa"/>
          <w:bottom w:w="60" w:type="dxa"/>
          <w:right w:w="100" w:type="dxa"/>
        </w:tblCellMar>
        <w:tblLook w:val="04a0" w:noHBand="0" w:noVBand="1" w:firstColumn="1" w:lastRow="0" w:lastColumn="0" w:firstRow="1"/>
      </w:tblPr>
      <w:tblGrid>
        <w:gridCol w:w="3477"/>
        <w:gridCol w:w="1091"/>
        <w:gridCol w:w="793"/>
        <w:gridCol w:w="896"/>
        <w:gridCol w:w="1091"/>
        <w:gridCol w:w="794"/>
        <w:gridCol w:w="895"/>
        <w:gridCol w:w="1650"/>
      </w:tblGrid>
      <w:tr>
        <w:trPr>
          <w:tblHeader w:val="true"/>
          <w:trHeight w:val="211" w:hRule="atLeast"/>
        </w:trPr>
        <w:tc>
          <w:tcPr>
            <w:tcW w:w="3477"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Predictor Variable</w:t>
            </w:r>
          </w:p>
        </w:tc>
        <w:tc>
          <w:tcPr>
            <w:tcW w:w="1091"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B (HAZ)</w:t>
            </w:r>
          </w:p>
        </w:tc>
        <w:tc>
          <w:tcPr>
            <w:tcW w:w="793"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SE</w:t>
            </w:r>
          </w:p>
        </w:tc>
        <w:tc>
          <w:tcPr>
            <w:tcW w:w="896"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p (HAZ)</w:t>
            </w:r>
          </w:p>
        </w:tc>
        <w:tc>
          <w:tcPr>
            <w:tcW w:w="1091"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B (WAZ)</w:t>
            </w:r>
          </w:p>
        </w:tc>
        <w:tc>
          <w:tcPr>
            <w:tcW w:w="794"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SE</w:t>
            </w:r>
          </w:p>
        </w:tc>
        <w:tc>
          <w:tcPr>
            <w:tcW w:w="895"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p (WAZ)</w:t>
            </w:r>
          </w:p>
        </w:tc>
        <w:tc>
          <w:tcPr>
            <w:tcW w:w="1650"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95% CI (HAZ)</w:t>
            </w:r>
          </w:p>
        </w:tc>
      </w:tr>
      <w:tr>
        <w:trPr>
          <w:trHeight w:val="211" w:hRule="atLeast"/>
        </w:trPr>
        <w:tc>
          <w:tcPr>
            <w:tcW w:w="3477" w:type="dxa"/>
            <w:tcBorders>
              <w:top w:val="single" w:sz="2" w:space="0" w:color="AAAAAA"/>
              <w:left w:val="single" w:sz="2" w:space="0" w:color="AAAAAA"/>
              <w:bottom w:val="single" w:sz="2" w:space="0" w:color="AAAAAA"/>
              <w:right w:val="single" w:sz="2" w:space="0" w:color="AAAAAA"/>
            </w:tcBorders>
            <w:vAlign w:val="center"/>
          </w:tcPr>
          <w:p>
            <w:pPr>
              <w:pStyle w:val="Normal"/>
              <w:rPr/>
            </w:pPr>
            <w:r>
              <w:rPr>
                <w:b/>
                <w:bCs/>
                <w:sz w:val="18"/>
                <w:szCs w:val="18"/>
              </w:rPr>
              <w:t>Regular GMP attendance (Yes vs No)</w:t>
            </w:r>
          </w:p>
        </w:tc>
        <w:tc>
          <w:tcPr>
            <w:tcW w:w="1091"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0.365</w:t>
            </w:r>
          </w:p>
        </w:tc>
        <w:tc>
          <w:tcPr>
            <w:tcW w:w="793"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0.102</w:t>
            </w:r>
          </w:p>
        </w:tc>
        <w:tc>
          <w:tcPr>
            <w:tcW w:w="896"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&lt; 0.001</w:t>
            </w:r>
          </w:p>
        </w:tc>
        <w:tc>
          <w:tcPr>
            <w:tcW w:w="1091"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0.343</w:t>
            </w:r>
          </w:p>
        </w:tc>
        <w:tc>
          <w:tcPr>
            <w:tcW w:w="794"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0.095</w:t>
            </w:r>
          </w:p>
        </w:tc>
        <w:tc>
          <w:tcPr>
            <w:tcW w:w="895"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&lt; 0.001</w:t>
            </w:r>
          </w:p>
        </w:tc>
        <w:tc>
          <w:tcPr>
            <w:tcW w:w="1650"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0.165 to 0.564</w:t>
            </w:r>
          </w:p>
        </w:tc>
      </w:tr>
      <w:tr>
        <w:trPr>
          <w:trHeight w:val="218" w:hRule="atLeast"/>
        </w:trPr>
        <w:tc>
          <w:tcPr>
            <w:tcW w:w="3477"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GMP visits (continuous, per visit)</w:t>
            </w:r>
          </w:p>
        </w:tc>
        <w:tc>
          <w:tcPr>
            <w:tcW w:w="1091"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0.091</w:t>
            </w:r>
          </w:p>
        </w:tc>
        <w:tc>
          <w:tcPr>
            <w:tcW w:w="793"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0.038</w:t>
            </w:r>
          </w:p>
        </w:tc>
        <w:tc>
          <w:tcPr>
            <w:tcW w:w="896"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0.018</w:t>
            </w:r>
          </w:p>
        </w:tc>
        <w:tc>
          <w:tcPr>
            <w:tcW w:w="1091"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0.076</w:t>
            </w:r>
          </w:p>
        </w:tc>
        <w:tc>
          <w:tcPr>
            <w:tcW w:w="794"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0.035</w:t>
            </w:r>
          </w:p>
        </w:tc>
        <w:tc>
          <w:tcPr>
            <w:tcW w:w="895"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0.032</w:t>
            </w:r>
          </w:p>
        </w:tc>
        <w:tc>
          <w:tcPr>
            <w:tcW w:w="1650"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0.016 to 0.167</w:t>
            </w:r>
          </w:p>
        </w:tc>
      </w:tr>
      <w:tr>
        <w:trPr>
          <w:trHeight w:val="211" w:hRule="atLeast"/>
        </w:trPr>
        <w:tc>
          <w:tcPr>
            <w:tcW w:w="3477"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Good maternal knowledge (vs. poor)</w:t>
            </w:r>
          </w:p>
        </w:tc>
        <w:tc>
          <w:tcPr>
            <w:tcW w:w="1091"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0.566</w:t>
            </w:r>
          </w:p>
        </w:tc>
        <w:tc>
          <w:tcPr>
            <w:tcW w:w="793"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0.163</w:t>
            </w:r>
          </w:p>
        </w:tc>
        <w:tc>
          <w:tcPr>
            <w:tcW w:w="896"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&lt; 0.001</w:t>
            </w:r>
          </w:p>
        </w:tc>
        <w:tc>
          <w:tcPr>
            <w:tcW w:w="1091"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0.412</w:t>
            </w:r>
          </w:p>
        </w:tc>
        <w:tc>
          <w:tcPr>
            <w:tcW w:w="794"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0.151</w:t>
            </w:r>
          </w:p>
        </w:tc>
        <w:tc>
          <w:tcPr>
            <w:tcW w:w="895"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0.007</w:t>
            </w:r>
          </w:p>
        </w:tc>
        <w:tc>
          <w:tcPr>
            <w:tcW w:w="1650"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0.247 to 0.886</w:t>
            </w:r>
          </w:p>
        </w:tc>
      </w:tr>
      <w:tr>
        <w:trPr>
          <w:trHeight w:val="211" w:hRule="atLeast"/>
        </w:trPr>
        <w:tc>
          <w:tcPr>
            <w:tcW w:w="3477"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Child age (per month)</w:t>
            </w:r>
          </w:p>
        </w:tc>
        <w:tc>
          <w:tcPr>
            <w:tcW w:w="1091"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−0.010</w:t>
            </w:r>
          </w:p>
        </w:tc>
        <w:tc>
          <w:tcPr>
            <w:tcW w:w="793"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0.003</w:t>
            </w:r>
          </w:p>
        </w:tc>
        <w:tc>
          <w:tcPr>
            <w:tcW w:w="896"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&lt; 0.001</w:t>
            </w:r>
          </w:p>
        </w:tc>
        <w:tc>
          <w:tcPr>
            <w:tcW w:w="1091"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−0.009</w:t>
            </w:r>
          </w:p>
        </w:tc>
        <w:tc>
          <w:tcPr>
            <w:tcW w:w="794"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0.003</w:t>
            </w:r>
          </w:p>
        </w:tc>
        <w:tc>
          <w:tcPr>
            <w:tcW w:w="895"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0.002</w:t>
            </w:r>
          </w:p>
        </w:tc>
        <w:tc>
          <w:tcPr>
            <w:tcW w:w="1650"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−0.016 to −0.004</w:t>
            </w:r>
          </w:p>
        </w:tc>
      </w:tr>
      <w:tr>
        <w:trPr>
          <w:trHeight w:val="211" w:hRule="atLeast"/>
        </w:trPr>
        <w:tc>
          <w:tcPr>
            <w:tcW w:w="3477"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Exclusive breastfeeding (Yes vs No)</w:t>
            </w:r>
          </w:p>
        </w:tc>
        <w:tc>
          <w:tcPr>
            <w:tcW w:w="1091"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0.189</w:t>
            </w:r>
          </w:p>
        </w:tc>
        <w:tc>
          <w:tcPr>
            <w:tcW w:w="793"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0.087</w:t>
            </w:r>
          </w:p>
        </w:tc>
        <w:tc>
          <w:tcPr>
            <w:tcW w:w="896"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0.031</w:t>
            </w:r>
          </w:p>
        </w:tc>
        <w:tc>
          <w:tcPr>
            <w:tcW w:w="1091"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0.143</w:t>
            </w:r>
          </w:p>
        </w:tc>
        <w:tc>
          <w:tcPr>
            <w:tcW w:w="794"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0.081</w:t>
            </w:r>
          </w:p>
        </w:tc>
        <w:tc>
          <w:tcPr>
            <w:tcW w:w="895"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0.078</w:t>
            </w:r>
          </w:p>
        </w:tc>
        <w:tc>
          <w:tcPr>
            <w:tcW w:w="1650"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0.018 to 0.360</w:t>
            </w:r>
          </w:p>
        </w:tc>
      </w:tr>
      <w:tr>
        <w:trPr>
          <w:trHeight w:val="211" w:hRule="atLeast"/>
        </w:trPr>
        <w:tc>
          <w:tcPr>
            <w:tcW w:w="3477"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Diarrhoea past 2 weeks (Yes vs No)</w:t>
            </w:r>
          </w:p>
        </w:tc>
        <w:tc>
          <w:tcPr>
            <w:tcW w:w="1091"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−0.221</w:t>
            </w:r>
          </w:p>
        </w:tc>
        <w:tc>
          <w:tcPr>
            <w:tcW w:w="793"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0.095</w:t>
            </w:r>
          </w:p>
        </w:tc>
        <w:tc>
          <w:tcPr>
            <w:tcW w:w="896"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0.020</w:t>
            </w:r>
          </w:p>
        </w:tc>
        <w:tc>
          <w:tcPr>
            <w:tcW w:w="1091"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−0.198</w:t>
            </w:r>
          </w:p>
        </w:tc>
        <w:tc>
          <w:tcPr>
            <w:tcW w:w="794"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0.088</w:t>
            </w:r>
          </w:p>
        </w:tc>
        <w:tc>
          <w:tcPr>
            <w:tcW w:w="895"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0.025</w:t>
            </w:r>
          </w:p>
        </w:tc>
        <w:tc>
          <w:tcPr>
            <w:tcW w:w="1650"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−0.408 to −0.034</w:t>
            </w:r>
          </w:p>
        </w:tc>
      </w:tr>
      <w:tr>
        <w:trPr>
          <w:trHeight w:val="422" w:hRule="atLeast"/>
        </w:trPr>
        <w:tc>
          <w:tcPr>
            <w:tcW w:w="3477"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Household food security (secure vs. severe insecurity)</w:t>
            </w:r>
          </w:p>
        </w:tc>
        <w:tc>
          <w:tcPr>
            <w:tcW w:w="1091"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0.312</w:t>
            </w:r>
          </w:p>
        </w:tc>
        <w:tc>
          <w:tcPr>
            <w:tcW w:w="793"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0.128</w:t>
            </w:r>
          </w:p>
        </w:tc>
        <w:tc>
          <w:tcPr>
            <w:tcW w:w="896"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0.015</w:t>
            </w:r>
          </w:p>
        </w:tc>
        <w:tc>
          <w:tcPr>
            <w:tcW w:w="1091"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0.287</w:t>
            </w:r>
          </w:p>
        </w:tc>
        <w:tc>
          <w:tcPr>
            <w:tcW w:w="794"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0.119</w:t>
            </w:r>
          </w:p>
        </w:tc>
        <w:tc>
          <w:tcPr>
            <w:tcW w:w="895"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0.017</w:t>
            </w:r>
          </w:p>
        </w:tc>
        <w:tc>
          <w:tcPr>
            <w:tcW w:w="1650"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sz w:val="18"/>
                <w:szCs w:val="18"/>
              </w:rPr>
              <w:t>0.061 to 0.564</w:t>
            </w:r>
          </w:p>
        </w:tc>
      </w:tr>
      <w:tr>
        <w:trPr>
          <w:trHeight w:val="422" w:hRule="atLeast"/>
        </w:trPr>
        <w:tc>
          <w:tcPr>
            <w:tcW w:w="10687" w:type="dxa"/>
            <w:gridSpan w:val="8"/>
            <w:tcBorders>
              <w:top w:val="single" w:sz="2" w:space="0" w:color="AAAAAA"/>
              <w:left w:val="single" w:sz="2" w:space="0" w:color="AAAAAA"/>
              <w:bottom w:val="single" w:sz="2" w:space="0" w:color="AAAAAA"/>
              <w:right w:val="single" w:sz="2" w:space="0" w:color="AAAAAA"/>
            </w:tcBorders>
            <w:shd w:color="auto" w:fill="D6E4F0" w:val="clear"/>
          </w:tcPr>
          <w:p>
            <w:pPr>
              <w:pStyle w:val="Normal"/>
              <w:rPr/>
            </w:pPr>
            <w:r>
              <w:rPr>
                <w:b/>
                <w:bCs/>
                <w:sz w:val="18"/>
                <w:szCs w:val="18"/>
              </w:rPr>
              <w:t>HAZ Model: R² = 0.100, Adjusted R² = 0.081, F(11, 605) = 6.11, p &lt; 0.001 | WAZ Model: R² = 0.089, Adjusted R² = 0.070, F(11, 605) = 5.37, p &lt; 0.001 | N = 617 complete cases</w:t>
            </w:r>
          </w:p>
        </w:tc>
      </w:tr>
    </w:tbl>
    <w:p>
      <w:pPr>
        <w:pStyle w:val="Normal"/>
        <w:spacing w:before="40" w:after="120"/>
        <w:rPr/>
      </w:pPr>
      <w:r>
        <w:rPr>
          <w:i/>
          <w:iCs/>
          <w:color w:val="555555"/>
          <w:sz w:val="18"/>
          <w:szCs w:val="18"/>
        </w:rPr>
        <w:t>Note: B = unstandardised regression coefficient (change in z-score, in SD units, per unit change in predictor); SE = Standard Error. All models adjusted simultaneously for all listed covariates. HAZ = Height-for-Age Z-score; WAZ = Weight-for-Age Z-score; ARI = Acute Respiratory Infection.</w:t>
      </w:r>
    </w:p>
    <w:p>
      <w:pPr>
        <w:pStyle w:val="Normal"/>
        <w:spacing w:before="0" w:after="160"/>
        <w:rPr/>
      </w:pPr>
      <w:r>
        <w:rPr/>
      </w:r>
    </w:p>
    <w:p>
      <w:pPr>
        <w:pStyle w:val="Heading2"/>
        <w:spacing w:before="240" w:after="80"/>
        <w:rPr/>
      </w:pPr>
      <w:r>
        <w:rPr/>
        <w:t>3.8 Qualitative Findings</w:t>
      </w:r>
    </w:p>
    <w:p>
      <w:pPr>
        <w:pStyle w:val="Normal"/>
        <w:spacing w:lineRule="auto" w:line="319" w:before="60" w:after="100"/>
        <w:ind w:firstLine="720"/>
        <w:jc w:val="both"/>
        <w:rPr/>
      </w:pPr>
      <w:r>
        <w:rPr/>
        <w:t>Framework Analysis of 12 KIIs yielded five major themes (23 child nodes; inter-coder reliability κ=0.82), which were directly integrated with quantitative findings through the joint display matrix (Table 6). Full thematic findings are presented here in narrative form.</w:t>
      </w:r>
    </w:p>
    <w:p>
      <w:pPr>
        <w:pStyle w:val="Normal"/>
        <w:spacing w:before="180" w:after="60"/>
        <w:rPr/>
      </w:pPr>
      <w:r>
        <w:rPr>
          <w:b/>
          <w:bCs/>
          <w:i/>
          <w:iCs/>
          <w:color w:val="2E4057"/>
        </w:rPr>
        <w:t>Theme 1: Attitude Formation and the Service Experience</w:t>
      </w:r>
    </w:p>
    <w:p>
      <w:pPr>
        <w:pStyle w:val="Normal"/>
        <w:spacing w:lineRule="auto" w:line="319" w:before="60" w:after="100"/>
        <w:ind w:firstLine="720"/>
        <w:jc w:val="both"/>
        <w:rPr/>
      </w:pPr>
      <w:r>
        <w:rPr/>
        <w:t>Across 11 of 12 informants, positive attitudes toward GMP were described not as abstract beliefs about the programme's value, but as experientially constructed through the cumulative quality of health service encounters. Mothers who received growth chart explanations, were addressed respectfully, and perceived counselling as personally relevant developed sustaining positive attitudes. One regular attendee articulated this transformation:</w:t>
      </w:r>
    </w:p>
    <w:p>
      <w:pPr>
        <w:pStyle w:val="Normal"/>
        <w:spacing w:lineRule="auto" w:line="300" w:before="120" w:after="120"/>
        <w:ind w:left="720" w:right="720"/>
        <w:jc w:val="both"/>
        <w:rPr/>
      </w:pPr>
      <w:r>
        <w:rPr>
          <w:i/>
          <w:iCs/>
          <w:color w:val="444444"/>
          <w:sz w:val="21"/>
          <w:szCs w:val="21"/>
        </w:rPr>
        <w:t>"When I come and they put my child on the scale and they explain to me 'Your child is here, and we need him to reach here' I feel like I am part of something. But when they just write and don't talk to me, I feel like I am just a number. Why will I come back?"</w:t>
      </w:r>
      <w:r>
        <w:rPr>
          <w:i/>
          <w:iCs/>
          <w:color w:val="666666"/>
          <w:sz w:val="20"/>
          <w:szCs w:val="20"/>
        </w:rPr>
        <w:br/>
        <w:t xml:space="preserve">  KII-06, Mother (regular attendee), age 24</w:t>
      </w:r>
    </w:p>
    <w:p>
      <w:pPr>
        <w:pStyle w:val="Normal"/>
        <w:spacing w:lineRule="auto" w:line="319" w:before="60" w:after="100"/>
        <w:ind w:firstLine="720"/>
        <w:jc w:val="both"/>
        <w:rPr/>
      </w:pPr>
      <w:r>
        <w:rPr/>
        <w:t>Negative attitudes, conversely, were traced to specific 'critical incident' encounters: long waiting times, dismissive communication, or absence of growth chart explanation. A non-attending mother described a single encounter that crystallised her disengagement:</w:t>
      </w:r>
    </w:p>
    <w:p>
      <w:pPr>
        <w:pStyle w:val="Normal"/>
        <w:spacing w:lineRule="auto" w:line="300" w:before="120" w:after="120"/>
        <w:ind w:left="720" w:right="720"/>
        <w:jc w:val="both"/>
        <w:rPr/>
      </w:pPr>
      <w:r>
        <w:rPr>
          <w:i/>
          <w:iCs/>
          <w:color w:val="444444"/>
          <w:sz w:val="21"/>
          <w:szCs w:val="21"/>
        </w:rPr>
        <w:t>"The first time I went, I waited from morning to afternoon. My child was crying, I was hungry. When they finally weighed her, they said she was fine and told me to go. Nobody explained anything. I went home and I said 'what is the use?' I didn't go back."</w:t>
      </w:r>
      <w:r>
        <w:rPr>
          <w:i/>
          <w:iCs/>
          <w:color w:val="666666"/>
          <w:sz w:val="20"/>
          <w:szCs w:val="20"/>
        </w:rPr>
        <w:br/>
        <w:t xml:space="preserve"> KII-08, Mother (non-attendee), age 27</w:t>
      </w:r>
    </w:p>
    <w:p>
      <w:pPr>
        <w:pStyle w:val="Normal"/>
        <w:spacing w:lineRule="auto" w:line="319" w:before="60" w:after="100"/>
        <w:ind w:firstLine="720"/>
        <w:jc w:val="both"/>
        <w:rPr/>
      </w:pPr>
      <w:r>
        <w:rPr/>
        <w:t>Community health worker relationships were identified by 10 of 12 informants as the most powerful attitudinal catalyst more influential than facility encounters because CHWs engage mothers in familiar settings with culturally contextualised communication. The CHW supervisor articulated the programme-level implication: 'The CHW is the face of health in this village. The programme lives or dies with the CHW.</w:t>
      </w:r>
    </w:p>
    <w:p>
      <w:pPr>
        <w:pStyle w:val="Normal"/>
        <w:spacing w:before="180" w:after="60"/>
        <w:rPr/>
      </w:pPr>
      <w:r>
        <w:rPr>
          <w:b/>
          <w:bCs/>
          <w:i/>
          <w:iCs/>
          <w:color w:val="2E4057"/>
        </w:rPr>
        <w:t>Theme 2: Knowledge, Information, and Its Limits</w:t>
      </w:r>
    </w:p>
    <w:p>
      <w:pPr>
        <w:pStyle w:val="Normal"/>
        <w:spacing w:lineRule="auto" w:line="319" w:before="60" w:after="100"/>
        <w:ind w:firstLine="720"/>
        <w:jc w:val="both"/>
        <w:rPr/>
      </w:pPr>
      <w:r>
        <w:rPr/>
        <w:t>Mothers who attended irregularly consistently demonstrated awareness of GMP and could articulate its purpose. The knowledge–behaviour gap was explained by competing livelihood demands, deferred male decision-making authority, and trust deficits. The Chiefdom Nutrition Officer framed this precisely: 'We do many health talks. The mothers know what we are saying. But knowledge alone does not move people.' This account mirrors and explains the quantitative mediation finding: knowledge and attendance co-occur because both are produced by the same proximal determinant quality service encounters and social network reinforcement rather than knowledge causing attendance directly. Distrust of growth charts, present in 6 transcripts, was directly linked to the finding that only 55.4% of attendees received growth chart explanation.</w:t>
      </w:r>
    </w:p>
    <w:p>
      <w:pPr>
        <w:pStyle w:val="Normal"/>
        <w:spacing w:before="180" w:after="60"/>
        <w:rPr/>
      </w:pPr>
      <w:r>
        <w:rPr>
          <w:b/>
          <w:bCs/>
          <w:i/>
          <w:iCs/>
          <w:color w:val="2E4057"/>
        </w:rPr>
        <w:t>Theme 3: IYCF Counselling as a Motivational Mechanism</w:t>
      </w:r>
    </w:p>
    <w:p>
      <w:pPr>
        <w:pStyle w:val="Normal"/>
        <w:spacing w:lineRule="auto" w:line="319" w:before="60" w:after="100"/>
        <w:ind w:firstLine="720"/>
        <w:jc w:val="both"/>
        <w:rPr/>
      </w:pPr>
      <w:r>
        <w:rPr/>
        <w:t>The most frequently coded node (41 references, 11 sources) captured a transformation in mothers' relationship with GMP when IYCF counselling was received: from passive compliance to purposive, active monitoring. One mother with six GMP visits in the last six months described this directly:</w:t>
      </w:r>
    </w:p>
    <w:p>
      <w:pPr>
        <w:pStyle w:val="Normal"/>
        <w:spacing w:lineRule="auto" w:line="300" w:before="120" w:after="120"/>
        <w:ind w:left="720" w:right="720"/>
        <w:jc w:val="both"/>
        <w:rPr/>
      </w:pPr>
      <w:r>
        <w:rPr>
          <w:i/>
          <w:iCs/>
          <w:color w:val="444444"/>
          <w:sz w:val="21"/>
          <w:szCs w:val="21"/>
        </w:rPr>
        <w:t>"Before I received the IYCF teaching from the CHW, I would go to weighing and come home not knowing what to do differently. After the teaching, I understood: this weight is low because of this I need to add groundnut to the porridge. Now when I go to weighing, I have questions. I am checking: is what I'm doing working?"</w:t>
      </w:r>
      <w:r>
        <w:rPr>
          <w:i/>
          <w:iCs/>
          <w:color w:val="666666"/>
          <w:sz w:val="20"/>
          <w:szCs w:val="20"/>
        </w:rPr>
        <w:br/>
        <w:t xml:space="preserve"> KII-12, Mother (regular attendee, 6 visits), age 29</w:t>
      </w:r>
    </w:p>
    <w:p>
      <w:pPr>
        <w:pStyle w:val="Normal"/>
        <w:spacing w:lineRule="auto" w:line="319" w:before="60" w:after="100"/>
        <w:ind w:firstLine="720"/>
        <w:jc w:val="both"/>
        <w:rPr/>
      </w:pPr>
      <w:r>
        <w:rPr/>
        <w:t>CHW home visits prior to GMP sessions were described as 'pre-session priming' creating anticipatory counselling and social accountability. Antenatal IYCF contact was identified by 8 of 12 informants as the origin of postnatal GMP orientation, supporting the case for strengthening ANC integrated IYCF counselling as a gateway strategy.</w:t>
      </w:r>
    </w:p>
    <w:p>
      <w:pPr>
        <w:pStyle w:val="Normal"/>
        <w:spacing w:before="180" w:after="60"/>
        <w:rPr/>
      </w:pPr>
      <w:r>
        <w:rPr>
          <w:b/>
          <w:bCs/>
          <w:i/>
          <w:iCs/>
          <w:color w:val="2E4057"/>
        </w:rPr>
        <w:t>Theme 4: Geographic Access, Mobility, and Structural Barriers</w:t>
      </w:r>
    </w:p>
    <w:p>
      <w:pPr>
        <w:pStyle w:val="Normal"/>
        <w:spacing w:lineRule="auto" w:line="319" w:before="60" w:after="100"/>
        <w:ind w:firstLine="720"/>
        <w:jc w:val="both"/>
        <w:rPr/>
      </w:pPr>
      <w:r>
        <w:rPr/>
        <w:t>Distance to the PHU was experienced not as abstract kilometres but as multi-dimensional structural burden terrain, seasonal flooding, child-transport difficulty, and opportunity cost of travel. One CHW in Turaydansaia (Rural, over 10 Km to the nearest PHU) described the unmeasured coverage gap created by seasonal flooding: 'During the rains, some communities are completely cut off. We cannot reach them. The GMP statistics look better than they are because we cannot count the people we never reach.' This qualitative evidence suggests the quantitative estimate of 8% per km is conservative; the seasonal and terrain effects create coverage gaps invisible to cross-sectional surveys conducted in the dry season. Across all informant categories, community-based satellite GMP posts staffed by trained CHWs were identified as the structural solution.</w:t>
      </w:r>
    </w:p>
    <w:p>
      <w:pPr>
        <w:pStyle w:val="Normal"/>
        <w:spacing w:before="180" w:after="60"/>
        <w:rPr/>
      </w:pPr>
      <w:r>
        <w:rPr>
          <w:b/>
          <w:bCs/>
          <w:i/>
          <w:iCs/>
          <w:color w:val="2E4057"/>
        </w:rPr>
        <w:t>Theme 5: Social Capital, Mothers and Grandmothers Support Groups, and Peer Influence</w:t>
      </w:r>
    </w:p>
    <w:p>
      <w:pPr>
        <w:pStyle w:val="Normal"/>
        <w:spacing w:lineRule="auto" w:line="319" w:before="60" w:after="100"/>
        <w:ind w:firstLine="720"/>
        <w:jc w:val="both"/>
        <w:rPr/>
      </w:pPr>
      <w:r>
        <w:rPr/>
        <w:t>MSG and GMs membership was described as creating attendance accountability through social visibility of non-attendance, lateral diffusion of IYCF counselling content across the peer network, and practical support for isolated mothers. The MSG leader described peer accountability: 'When a member misses the GMP session, we notice. We will go to her house and ask. It means you feel accountable to the group. You cannot just say I forgot.' This peer accountability mechanism operating through a norm-based pathway distinct from attitude and perceived benefit explains the MSG predictor's independent effect in the multivariable model. Traditional birth attendants were positioned as complementary partners in GMP referral: The Grand Mothers Leader (KII-11) stated: 'I always tell the mothers: go to the weighing. It is not against our tradition. It is how you know your child is growing.'</w:t>
      </w:r>
    </w:p>
    <w:p>
      <w:pPr>
        <w:pStyle w:val="Normal"/>
        <w:spacing w:before="0" w:after="80"/>
        <w:rPr/>
      </w:pPr>
      <w:r>
        <w:rPr/>
      </w:r>
    </w:p>
    <w:p>
      <w:pPr>
        <w:pStyle w:val="Normal"/>
        <w:spacing w:before="160" w:after="60"/>
        <w:rPr/>
      </w:pPr>
      <w:r>
        <w:rPr>
          <w:b/>
          <w:bCs/>
          <w:sz w:val="20"/>
          <w:szCs w:val="20"/>
        </w:rPr>
        <w:t>Table 6. Convergent Mixed-Methods Joint Display Matrix: Quantitative Findings and Qualitative Mechanisms, Sulima Chiefdom, 2026</w:t>
      </w:r>
    </w:p>
    <w:tbl>
      <w:tblPr>
        <w:tblW w:w="10529" w:type="dxa"/>
        <w:jc w:val="left"/>
        <w:tblInd w:w="0" w:type="dxa"/>
        <w:tblLayout w:type="fixed"/>
        <w:tblCellMar>
          <w:top w:w="60" w:type="dxa"/>
          <w:left w:w="100" w:type="dxa"/>
          <w:bottom w:w="60" w:type="dxa"/>
          <w:right w:w="100" w:type="dxa"/>
        </w:tblCellMar>
        <w:tblLook w:val="04a0" w:noHBand="0" w:noVBand="1" w:firstColumn="1" w:lastRow="0" w:lastColumn="0" w:firstRow="1"/>
      </w:tblPr>
      <w:tblGrid>
        <w:gridCol w:w="2458"/>
        <w:gridCol w:w="1901"/>
        <w:gridCol w:w="2729"/>
        <w:gridCol w:w="1200"/>
        <w:gridCol w:w="2241"/>
      </w:tblGrid>
      <w:tr>
        <w:trPr>
          <w:tblHeader w:val="true"/>
          <w:trHeight w:val="207" w:hRule="atLeast"/>
        </w:trPr>
        <w:tc>
          <w:tcPr>
            <w:tcW w:w="2458"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Quantitative Finding</w:t>
            </w:r>
          </w:p>
        </w:tc>
        <w:tc>
          <w:tcPr>
            <w:tcW w:w="1901"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KII Theme &amp; Nodes</w:t>
            </w:r>
          </w:p>
        </w:tc>
        <w:tc>
          <w:tcPr>
            <w:tcW w:w="2729"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Qualitative Mechanism</w:t>
            </w:r>
          </w:p>
        </w:tc>
        <w:tc>
          <w:tcPr>
            <w:tcW w:w="1200"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Convergence</w:t>
            </w:r>
          </w:p>
        </w:tc>
        <w:tc>
          <w:tcPr>
            <w:tcW w:w="2241" w:type="dxa"/>
            <w:tcBorders>
              <w:top w:val="single" w:sz="4" w:space="0" w:color="1F3864"/>
              <w:left w:val="single" w:sz="2" w:space="0" w:color="AAAAAA"/>
              <w:bottom w:val="single" w:sz="4" w:space="0" w:color="1F3864"/>
              <w:right w:val="single" w:sz="2" w:space="0" w:color="AAAAAA"/>
            </w:tcBorders>
            <w:shd w:color="auto" w:fill="1F3864" w:val="clear"/>
            <w:vAlign w:val="center"/>
          </w:tcPr>
          <w:p>
            <w:pPr>
              <w:pStyle w:val="Normal"/>
              <w:jc w:val="center"/>
              <w:rPr/>
            </w:pPr>
            <w:r>
              <w:rPr>
                <w:b/>
                <w:bCs/>
                <w:color w:val="FFFFFF"/>
                <w:sz w:val="18"/>
                <w:szCs w:val="18"/>
              </w:rPr>
              <w:t>Integration Inference</w:t>
            </w:r>
          </w:p>
        </w:tc>
      </w:tr>
      <w:tr>
        <w:trPr>
          <w:trHeight w:val="1457" w:hRule="atLeast"/>
        </w:trPr>
        <w:tc>
          <w:tcPr>
            <w:tcW w:w="2458"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Attitude aOR=3.72; knowledge fully attenuated (aOR=1.23, p=0.807)</w:t>
            </w:r>
          </w:p>
        </w:tc>
        <w:tc>
          <w:tcPr>
            <w:tcW w:w="1901"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Theme 1: Attitude formation through service experience (Nodes 1.1–1.3)</w:t>
            </w:r>
          </w:p>
        </w:tc>
        <w:tc>
          <w:tcPr>
            <w:tcW w:w="2729"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Attitude is not an intrinsic belief but is actively constructed through quality service encounters and CHW relationships. A single negative encounter crystallises lasting negative attitude that information cannot reverse.</w:t>
            </w:r>
          </w:p>
        </w:tc>
        <w:tc>
          <w:tcPr>
            <w:tcW w:w="1200"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CONFIRMS ✓</w:t>
            </w:r>
          </w:p>
        </w:tc>
        <w:tc>
          <w:tcPr>
            <w:tcW w:w="2241"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Service quality and CHW capacity must be targeted, not merely knowledge content. Health education without quality service improvement is insufficient.</w:t>
            </w:r>
          </w:p>
        </w:tc>
      </w:tr>
      <w:tr>
        <w:trPr>
          <w:trHeight w:val="1242" w:hRule="atLeast"/>
        </w:trPr>
        <w:tc>
          <w:tcPr>
            <w:tcW w:w="2458"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IYCF counselling aOR=4.20 (independent of all other predictors)</w:t>
            </w:r>
          </w:p>
        </w:tc>
        <w:tc>
          <w:tcPr>
            <w:tcW w:w="1901"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Theme 3: IYCF as motivational mechanism (Nodes 3.1–3.4)</w:t>
            </w:r>
          </w:p>
        </w:tc>
        <w:tc>
          <w:tcPr>
            <w:tcW w:w="2729"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IYCF counselling transforms GMP from passive compliance to purposive behaviour-monitoring. CHW home visits prime mothers before sessions. ANC contact creates postnatal GMP orientation.</w:t>
            </w:r>
          </w:p>
        </w:tc>
        <w:tc>
          <w:tcPr>
            <w:tcW w:w="1200"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CONFIRMS ✓</w:t>
            </w:r>
          </w:p>
        </w:tc>
        <w:tc>
          <w:tcPr>
            <w:tcW w:w="2241"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IYCF integration into every GMP contact is the highest-yield programme investment.</w:t>
            </w:r>
          </w:p>
        </w:tc>
      </w:tr>
      <w:tr>
        <w:trPr>
          <w:trHeight w:val="1242" w:hRule="atLeast"/>
        </w:trPr>
        <w:tc>
          <w:tcPr>
            <w:tcW w:w="2458"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Distance aOR=0.92/km; unmasked only after adjustment</w:t>
            </w:r>
          </w:p>
        </w:tc>
        <w:tc>
          <w:tcPr>
            <w:tcW w:w="1901"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Theme 4: Geographic access as embodied experience (Nodes 4.1–4.4)</w:t>
            </w:r>
          </w:p>
        </w:tc>
        <w:tc>
          <w:tcPr>
            <w:tcW w:w="2729"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Distance is experienced through terrain, seasonal flooding, physical burden and transport cost not kilometres. Rainy-season community cutoffs create unmeasured coverage gaps.</w:t>
            </w:r>
          </w:p>
        </w:tc>
        <w:tc>
          <w:tcPr>
            <w:tcW w:w="1200"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EXPANDS ✓</w:t>
            </w:r>
          </w:p>
        </w:tc>
        <w:tc>
          <w:tcPr>
            <w:tcW w:w="2241"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8%/km estimate is conservative. Community-based satellite GMP posts are the unanimous structural solution.</w:t>
            </w:r>
          </w:p>
        </w:tc>
      </w:tr>
      <w:tr>
        <w:trPr>
          <w:trHeight w:val="1657" w:hRule="atLeast"/>
        </w:trPr>
        <w:tc>
          <w:tcPr>
            <w:tcW w:w="2458"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MSG membership aOR=1.87; most precisely estimated predictor</w:t>
            </w:r>
          </w:p>
        </w:tc>
        <w:tc>
          <w:tcPr>
            <w:tcW w:w="1901"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Theme 5: Social capital and MSG (Nodes 5.1–5.4)</w:t>
            </w:r>
          </w:p>
        </w:tc>
        <w:tc>
          <w:tcPr>
            <w:tcW w:w="2729"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MSG creates attendance accountability norms, diffuses IYCF knowledge laterally and provides practical support for isolated mothers. Grandmothers are informal gatekeepers who amplify or impede MSG effectiveness.</w:t>
            </w:r>
          </w:p>
        </w:tc>
        <w:tc>
          <w:tcPr>
            <w:tcW w:w="1200"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CONFIRMS ✓</w:t>
            </w:r>
          </w:p>
        </w:tc>
        <w:tc>
          <w:tcPr>
            <w:tcW w:w="2241"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MSG infrastructure is a structural health system component, not supplementary. Formalising GM–MSG–CHW linkages creates an integrated community health architecture.</w:t>
            </w:r>
          </w:p>
        </w:tc>
      </w:tr>
      <w:tr>
        <w:trPr>
          <w:trHeight w:val="1242" w:hRule="atLeast"/>
        </w:trPr>
        <w:tc>
          <w:tcPr>
            <w:tcW w:w="2458"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Single marital status aOR=0.57 (negative predictor)</w:t>
            </w:r>
          </w:p>
        </w:tc>
        <w:tc>
          <w:tcPr>
            <w:tcW w:w="1901"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Theme 5, Node 5.3: Single motherhood and social isolation</w:t>
            </w:r>
          </w:p>
        </w:tc>
        <w:tc>
          <w:tcPr>
            <w:tcW w:w="2729"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Single mothers face practical constraints (no partner for child supervision) and social exclusion from MSG networks providing accountability and support sustaining regular attendance.</w:t>
            </w:r>
          </w:p>
        </w:tc>
        <w:tc>
          <w:tcPr>
            <w:tcW w:w="1200" w:type="dxa"/>
            <w:tcBorders>
              <w:top w:val="single" w:sz="2" w:space="0" w:color="AAAAAA"/>
              <w:left w:val="single" w:sz="2" w:space="0" w:color="AAAAAA"/>
              <w:bottom w:val="single" w:sz="2" w:space="0" w:color="AAAAAA"/>
              <w:right w:val="single" w:sz="2" w:space="0" w:color="AAAAAA"/>
            </w:tcBorders>
            <w:vAlign w:val="center"/>
          </w:tcPr>
          <w:p>
            <w:pPr>
              <w:pStyle w:val="Normal"/>
              <w:jc w:val="center"/>
              <w:rPr/>
            </w:pPr>
            <w:r>
              <w:rPr>
                <w:b/>
                <w:bCs/>
                <w:sz w:val="18"/>
                <w:szCs w:val="18"/>
              </w:rPr>
              <w:t>CONFIRMS ✓</w:t>
            </w:r>
          </w:p>
        </w:tc>
        <w:tc>
          <w:tcPr>
            <w:tcW w:w="2241" w:type="dxa"/>
            <w:tcBorders>
              <w:top w:val="single" w:sz="2" w:space="0" w:color="AAAAAA"/>
              <w:left w:val="single" w:sz="2" w:space="0" w:color="AAAAAA"/>
              <w:bottom w:val="single" w:sz="2" w:space="0" w:color="AAAAAA"/>
              <w:right w:val="single" w:sz="2" w:space="0" w:color="AAAAAA"/>
            </w:tcBorders>
            <w:vAlign w:val="center"/>
          </w:tcPr>
          <w:p>
            <w:pPr>
              <w:pStyle w:val="Normal"/>
              <w:rPr/>
            </w:pPr>
            <w:r>
              <w:rPr>
                <w:sz w:val="18"/>
                <w:szCs w:val="18"/>
              </w:rPr>
              <w:t>Single mothers require targeted outreach: MSG inclusion, CHW–buddy pairing, and childcare support during GMP sessions.</w:t>
            </w:r>
          </w:p>
        </w:tc>
      </w:tr>
    </w:tbl>
    <w:p>
      <w:pPr>
        <w:pStyle w:val="Normal"/>
        <w:spacing w:before="40" w:after="120"/>
        <w:rPr/>
      </w:pPr>
      <w:r>
        <w:rPr>
          <w:i/>
          <w:iCs/>
          <w:color w:val="555555"/>
          <w:sz w:val="18"/>
          <w:szCs w:val="18"/>
        </w:rPr>
        <w:t>Note: Convergence categories: CONFIRMS = quantitative and qualitative strands reach the same conclusion; EXPANDS = qualitative strand adds dimensions not captured in quantitative data. No disconfirmatory findings were identified across strands, strengthening overall interpretive credibility.</w:t>
      </w:r>
    </w:p>
    <w:p>
      <w:pPr>
        <w:pStyle w:val="Normal"/>
        <w:spacing w:before="0" w:after="160"/>
        <w:rPr/>
      </w:pPr>
      <w:r>
        <w:rPr/>
      </w:r>
    </w:p>
    <w:p>
      <w:pPr>
        <w:pStyle w:val="Heading1"/>
        <w:spacing w:before="360" w:after="120"/>
        <w:rPr/>
      </w:pPr>
      <w:r>
        <w:rPr>
          <w:sz w:val="26"/>
          <w:szCs w:val="26"/>
        </w:rPr>
        <w:t>4. DISCUSSION</w:t>
      </w:r>
    </w:p>
    <w:p>
      <w:pPr>
        <w:pStyle w:val="Heading2"/>
        <w:spacing w:before="240" w:after="80"/>
        <w:rPr/>
      </w:pPr>
      <w:r>
        <w:rPr/>
        <w:t>4.1 Principal Findings and Original Contributions</w:t>
      </w:r>
    </w:p>
    <w:p>
      <w:pPr>
        <w:pStyle w:val="Normal"/>
        <w:spacing w:lineRule="auto" w:line="319" w:before="60" w:after="100"/>
        <w:ind w:firstLine="720"/>
        <w:jc w:val="both"/>
        <w:rPr/>
      </w:pPr>
      <w:r>
        <w:rPr/>
        <w:t>This convergent parallel mixed-methods study makes four original contributions to the GMP and child nutrition literature in low-resource settings. First, using multivariable linear regression with adjustment for established confounders, it shows that regular GMP attendance is independently associated with a 0.365 SD higher HAZ and 0.343 SD higher WAZ — differences of a magnitude comparable to the observed gap in stunting prevalence between regular and irregular attendees (35.7% versus 19.0%). Second, it quantifies a critical 36 percentage-point gap between ever-attendance and regular attendance in Sulima Chiefdom, establishing that coverage metrics alone are potentially misleading proxies for programme effectiveness. Third, formal mediation analysis indicates that attitude accounts for an estimated 25.3% of the association between knowledge and GMP attendance, providing the first quantified mechanistic evidence consistent with a knowledge–attitude–behaviour pathway in this context. Fourth, the convergent qualitative strand provides the first mechanistic explanation, anchored in community voices, for why the quantitative predictors operate as they do — evidence that neither strand could generate independently.</w:t>
      </w:r>
    </w:p>
    <w:p>
      <w:pPr>
        <w:pStyle w:val="Heading2"/>
        <w:spacing w:before="240" w:after="80"/>
        <w:rPr/>
      </w:pPr>
      <w:r>
        <w:rPr/>
        <w:t>4.2 The Coverage-Quality Paradox</w:t>
      </w:r>
    </w:p>
    <w:p>
      <w:pPr>
        <w:pStyle w:val="Normal"/>
        <w:spacing w:lineRule="auto" w:line="319" w:before="60" w:after="100"/>
        <w:ind w:firstLine="720"/>
        <w:jc w:val="both"/>
        <w:rPr/>
      </w:pPr>
      <w:r>
        <w:rPr/>
        <w:t>The finding that 77.8% of mothers had ever attended GMP while only 41.8% attended regularly challenges the common use of ever-attendance as a programme performance indicator. Similar coverage-quality paradoxes have been documented in Ghana, where high nominal GMP coverage coexisted with poor weight monitoring quality and limited counselling provision (Amugsi et al., 2014), and in Ethiopia, where predictors of GMP utilisation quality differed systematically from predictors of ever-attendance (Girma et al., 2019). In this study, only 55.4% of attendees received growth chart explanation and only 64.3% received nutrition counselling — service-quality failures that limit GMP's behaviour-change potential even among those who physically attend. These findings directly support WHO/UNICEF recommendations to move beyond coverage monitoring toward quality measurement (WHO/UNICEF, 2012). Sierra Leone's DHIS2 reporting framework should adopt regular attendance rate and a service quality index as primary programme metrics.</w:t>
      </w:r>
    </w:p>
    <w:p>
      <w:pPr>
        <w:pStyle w:val="Heading2"/>
        <w:spacing w:before="240" w:after="80"/>
        <w:rPr/>
      </w:pPr>
      <w:r>
        <w:rPr/>
        <w:t>4.3 Attitude, Not Knowledge, as the Proximal Determinant: A Paradigm Shift</w:t>
      </w:r>
    </w:p>
    <w:p>
      <w:pPr>
        <w:pStyle w:val="Normal"/>
        <w:spacing w:lineRule="auto" w:line="319" w:before="60" w:after="100"/>
        <w:ind w:firstLine="720"/>
        <w:jc w:val="both"/>
        <w:rPr/>
      </w:pPr>
      <w:r>
        <w:rPr/>
        <w:t>The attenuation of maternal knowledge from cOR=4.72 to aOR=1.23 (p=0.807) after adjustment, while positive attitude (aOR=3.72) and perceived benefit (aOR=1.79) remained independently significant, has profound programmatic implications that are consistent with the Health Belief Model (Rosenstock, 1974). This finding is concordant with systematic review evidence from sub-Saharan Africa demonstrating that knowledge-based GMP interventions in isolation are insufficient to sustain attendance (Becker et al., 2018), and with the growing recognition that perceived benefit — not information content — is the proximal determinant of preventive health-seeking behaviour in LMICs (Danaei et al., 2016).</w:t>
      </w:r>
    </w:p>
    <w:p>
      <w:pPr>
        <w:pStyle w:val="Normal"/>
        <w:spacing w:lineRule="auto" w:line="319" w:before="60" w:after="100"/>
        <w:ind w:firstLine="720"/>
        <w:jc w:val="both"/>
        <w:rPr/>
      </w:pPr>
      <w:r>
        <w:rPr/>
        <w:t>The mediation analysis provides an indicative quantification of this relationship: attitude is estimated to account for 25.3% of the knowledge–attendance association, and the knowledge–attitude interaction shows a ceiling effect (B=−0.122, p=0.015) whereby attitude becomes the dominant correlate at higher knowledge levels. The qualitative strand explains the underlying mechanism: attitude is not a static cognitive predisposition but is actively constructed through cumulative service-quality encounters, and a single highly negative experience — what the qualitative data term a 'critical incident' — can crystallise a lasting negative attitude that health education cannot subsequently reverse. This implies that health-education talks at GMP sessions, while effective for discrete behaviours such as handwashing and immunisation uptake, are on their own insufficient to sustain regular attendance. What appears to sustain attendance is a positive experiential attitude built through high-quality, respectful, and purposive service encounters delivered by CHWs who are trained and supervised in respectful counselling, with role-modelling by CHW Supervisors and facility health workers.</w:t>
      </w:r>
    </w:p>
    <w:p>
      <w:pPr>
        <w:pStyle w:val="Heading2"/>
        <w:spacing w:before="240" w:after="80"/>
        <w:rPr/>
      </w:pPr>
      <w:r>
        <w:rPr/>
        <w:t>4.4 IYCF Integration and Social Capital as Structural Amplifiers</w:t>
      </w:r>
    </w:p>
    <w:p>
      <w:pPr>
        <w:pStyle w:val="Normal"/>
        <w:spacing w:lineRule="auto" w:line="319" w:before="60" w:after="100"/>
        <w:ind w:firstLine="720"/>
        <w:jc w:val="both"/>
        <w:rPr/>
      </w:pPr>
      <w:r>
        <w:rPr/>
        <w:t>The finding that IYCF counselling through any channel quadrupled the odds of regular GMP attendance (aOR=4.20, 95% CI: 1.40–12.63, p=0.010), independent of knowledge, attitude, perceived benefit, and social capital, suggests that GMP and IYCF form a mutually reinforcing service ecosystem. The qualitative strand explains the mechanism through the construct of 'purposiveness': IYCF counselling transforms GMP from passive compliance — mothers attending because they are expected to — into active nutritional monitoring, in which mothers attend because they have specific feeding questions and can track whether their practices are working. This is consistent with evidence from integrated nutrition programmes globally, which demonstrates that counselling quality — not merely coverage — is the critical driver of child growth improvement (Sunguya et al., 2014). The finding supports WHO/UNICEF Essential Nutrition Actions policy, which calls for integrated IYCF and growth monitoring delivery rather than parallel programming (WHO/UNICEF, 2012).</w:t>
      </w:r>
    </w:p>
    <w:p>
      <w:pPr>
        <w:pStyle w:val="Normal"/>
        <w:spacing w:lineRule="auto" w:line="319" w:before="60" w:after="100"/>
        <w:ind w:firstLine="720"/>
        <w:jc w:val="both"/>
        <w:rPr/>
      </w:pPr>
      <w:r>
        <w:rPr/>
        <w:t>Mother support group membership was the most precisely estimated independent predictor (aOR=1.87, 95% CI: 1.30–2.68), operating through a norm-based pathway distinct from individual attitude and perceived benefit. The qualitative strand reveals three specific mechanisms: MSGs create peer accountability for attendance (social visibility of non-attendance), diffuse IYCF counselling content laterally across the network to members who did not personally attend GMP, and provide practical and emotional support for isolated mothers. This is consistent with social network theory applied to health-seeking behaviour in analogous sub-Saharan African community health contexts (Leroy et al., 2009), and with evidence that health-related behaviours diffuse through social ties (Christakis &amp; Fowler, 2007), positioning MSGs not as optional programme enhancements but as structural community health system components that amplify the impact of every other intervention in the ecosystem.</w:t>
      </w:r>
    </w:p>
    <w:p>
      <w:pPr>
        <w:pStyle w:val="Heading2"/>
        <w:spacing w:before="240" w:after="80"/>
        <w:rPr/>
      </w:pPr>
      <w:r>
        <w:rPr/>
        <w:t>4.5 Geographic Access as a Structural Determinant</w:t>
      </w:r>
    </w:p>
    <w:p>
      <w:pPr>
        <w:pStyle w:val="Normal"/>
        <w:spacing w:lineRule="auto" w:line="319" w:before="60" w:after="100"/>
        <w:ind w:firstLine="720"/>
        <w:jc w:val="both"/>
        <w:rPr/>
      </w:pPr>
      <w:r>
        <w:rPr/>
        <w:t>Distance to the PHC emerged as a significant structural determinant of regular GMP attendance in the adjusted model (aOR=0.92 per km, p=0.026), despite failing to reach significance in crude analysis (p=0.065). The confounding structure is instructive: village residence is correlated with both greater distance and lower attendance, and when village residence and other correlated variables were controlled, the distance effect was unmasked. The 8% reduction in odds per kilometre implies that for a community 10 km from the PHU, GMP attendance odds are approximately 44% lower than for a community at the facility boundary — representing a substantial structural barrier that health education or attitude change cannot overcome without corresponding investment in outreach services.</w:t>
      </w:r>
    </w:p>
    <w:p>
      <w:pPr>
        <w:pStyle w:val="Normal"/>
        <w:spacing w:lineRule="auto" w:line="319" w:before="60" w:after="100"/>
        <w:ind w:firstLine="720"/>
        <w:jc w:val="both"/>
        <w:rPr/>
      </w:pPr>
      <w:r>
        <w:rPr/>
        <w:t>The qualitative strand expands this quantitative finding significantly: the 8%/km estimate is likely conservative, because seasonal flooding renders some communities inaccessible for up to three to four months annually — a structural barrier largely invisible to cross-sectional data collected in January through March. The Chiefdom Nutrition Officer's account of unmeasured rainy-season coverage gaps is a critical qualitative contribution that should inform both programme design and research methodology in seasonal-flooding-affected contexts. The unanimous cross-informant recommendation for community-based satellite GMP posts aligns with the quantitative evidence and represents the integrated evidence-base for this study's primary structural recommendation.</w:t>
      </w:r>
    </w:p>
    <w:p>
      <w:pPr>
        <w:pStyle w:val="Heading2"/>
        <w:spacing w:before="240" w:after="80"/>
        <w:rPr/>
      </w:pPr>
      <w:r>
        <w:rPr/>
        <w:t>4.6 Nutritional Status in the Context of a Declared Emergency</w:t>
      </w:r>
    </w:p>
    <w:p>
      <w:pPr>
        <w:pStyle w:val="Normal"/>
        <w:spacing w:lineRule="auto" w:line="319" w:before="60" w:after="100"/>
        <w:ind w:firstLine="720"/>
        <w:jc w:val="both"/>
        <w:rPr/>
      </w:pPr>
      <w:r>
        <w:rPr/>
        <w:t>The GAM prevalence of 18.3% in this study exceeds the WHO emergency threshold of 15%, placing Sulima Chiefdom in a nutrition emergency that warrants immediate humanitarian and developmental response. The stunting prevalence of 28.7% indicates that chronic undernutrition is entrenched; the age trajectory rising from approximately 15.8% at 0–5 months to 36.5% at 36–47 months is consistent with the globally documented complementary feeding crisis window identified by Victora et al. (2010) and de Onis et al. (2013), in which the period 6–24 months is the most critical for preventive intervention, and with evidence that diet quality during this window is a key determinant of linear growth (Kismul et al., 2018). Such early growth faltering has lifelong implications, given that childhood height deficits track into adolescence and adulthood across populations (NCD-RisC, 2020). The constellation of risk factors observed here — low maternal education, food insecurity, suboptimal exclusive breastfeeding, and recent morbidity — mirrors determinants of under-five undernutrition reported elsewhere in the region (Yisak et al., 2015; Habimana &amp; Biracyaza, 2019). SAM prevalence of 1.0% represents approximately six children in every 617, each of whom faces a case fatality rate of 20–30% without access to therapeutic feeding — underscoring the urgent referral imperative of functional GMP in this setting (Jones et al., 2003).</w:t>
      </w:r>
    </w:p>
    <w:p>
      <w:pPr>
        <w:pStyle w:val="Normal"/>
        <w:spacing w:lineRule="auto" w:line="319" w:before="60" w:after="100"/>
        <w:ind w:firstLine="720"/>
        <w:jc w:val="both"/>
        <w:rPr/>
      </w:pPr>
      <w:r>
        <w:rPr/>
        <w:t>The 0.493 SD HAZ difference between regular and irregular GMP attendees corresponds, in cross-sectional terms, to a difference in the proportion below −2 SD from 35.7% to 19.0% — a 16.7 percentage-point difference. This contrast is observational rather than a counterfactual forecast: it assumes a constant effect size and no residual selection, neither of which can be verified in a cross-sectional design, and it should be read against the models' limited explained variance (R²=0.10). Interpreted cautiously, it nonetheless illustrates the potential scale of benefit if regular, quality GMP participation could be expanded, and provides an indicative basis for investment and target-setting — including future cost-effectiveness analysis using established health-economic costing approaches (Chapko et al., 2011) — that is currently absent from Sierra Leone's district health planning frameworks. The present evidence should inform the next BPEHS revision cycle (MoHS, 2021), with confirmation from longitudinal or quasi-experimental designs.</w:t>
      </w:r>
    </w:p>
    <w:p>
      <w:pPr>
        <w:pStyle w:val="Heading2"/>
        <w:spacing w:before="240" w:after="80"/>
        <w:rPr/>
      </w:pPr>
      <w:r>
        <w:rPr/>
        <w:t>4.7 Limitations</w:t>
      </w:r>
    </w:p>
    <w:p>
      <w:pPr>
        <w:pStyle w:val="Normal"/>
        <w:spacing w:lineRule="auto" w:line="319" w:before="60" w:after="100"/>
        <w:ind w:firstLine="720"/>
        <w:jc w:val="both"/>
        <w:rPr/>
      </w:pPr>
      <w:r>
        <w:rPr/>
        <w:t>The cross-sectional study design precludes causal inference; the observed association between GMP attendance and more favourable z-scores could reflect healthy-user bias, whereby more health-conscious families are both more likely to attend GMP and to have better-nourished children. Reverse causation is also possible, in that caregivers of healthier children may attend more readily. However, four analytical features reduce, though they cannot eliminate, this concern: (1) multivariable linear regression controlled for 11 plausible confounders including household food security, morbidity, feeding practices, and knowledge; (2) a dose-response gradient was observed (Spearman ρ=0.170, p&lt;0.001), consistent with one of the Bradford Hill considerations; (3) the biological plausibility of GMP improving child growth through counselling-driven behaviour change is supported by experimental and quasi-experimental literature from analogous settings; and (4) the qualitative strand provides mechanistic evidence consistent with the proposed direction of effect. These features strengthen plausibility but do not establish causation, which requires longitudinal or experimental confirmation.</w:t>
      </w:r>
    </w:p>
    <w:p>
      <w:pPr>
        <w:pStyle w:val="Normal"/>
        <w:spacing w:lineRule="auto" w:line="319" w:before="60" w:after="100"/>
        <w:ind w:firstLine="720"/>
        <w:jc w:val="both"/>
        <w:rPr/>
      </w:pPr>
      <w:r>
        <w:rPr/>
        <w:t>The linear models explained only 10.0% and 8.9% of the variance in HAZ and WAZ respectively, indicating substantial residual variation attributable to factors not measured in this cross-sectional design. Although robust, cluster-aware variance estimation was applied to account for the two-stage sampling design, residual intracluster correlation may still influence standard errors; future research should use multilevel (mixed-effects) modelling with village-level random effects and report the design effect explicitly. A second analytic limitation is that the comparison group combined irregular attendees with never-attenders, which may accentuate the contrast with regular attendees; the dose-response analysis partially addresses this, but a three-level exposure (never / irregular / regular) would provide a cleaner specification and is recommended for future work. Several adjusted odds ratios — notably for IYCF counselling (aOR=4.20, 95% CI: 1.40–12.63) — have wide confidence intervals, reflecting limited numbers in some predictor categories; results for these variables should be interpreted with corresponding caution, and the mediation estimates are likewise exploratory given the cross-sectional design. The study's absence of programme-quality assessment at the individual GMP session level is an additional gap: future research should capture counselling-quality scores to disentangle the effect of attendance frequency from the quality of each contact. Recall bias for self-reported GMP visits is possible, though the use of child health cards as verification partially mitigated this risk. The study is geographically bounded to Sulima Chiefdom; while the socioeconomic profile is broadly representative of rural Falaba District and comparable Northern Province communities, direct generalisation to other districts or countries requires caution.</w:t>
      </w:r>
    </w:p>
    <w:p>
      <w:pPr>
        <w:pStyle w:val="Normal"/>
        <w:spacing w:before="0" w:after="100"/>
        <w:rPr/>
      </w:pPr>
      <w:r>
        <w:rPr/>
      </w:r>
    </w:p>
    <w:p>
      <w:pPr>
        <w:pStyle w:val="Heading1"/>
        <w:spacing w:before="360" w:after="120"/>
        <w:rPr/>
      </w:pPr>
      <w:r>
        <w:rPr>
          <w:sz w:val="26"/>
          <w:szCs w:val="26"/>
        </w:rPr>
        <w:t>5. CONCLUSIONS AND RECOMMENDATIONS</w:t>
      </w:r>
    </w:p>
    <w:p>
      <w:pPr>
        <w:pStyle w:val="Normal"/>
        <w:spacing w:lineRule="auto" w:line="319" w:before="60" w:after="100"/>
        <w:ind w:firstLine="720"/>
        <w:jc w:val="both"/>
        <w:rPr/>
      </w:pPr>
      <w:r>
        <w:rPr/>
        <w:t>To the authors' knowledge, this study provides the first community-level, convergent mixed-methods evidence from Sulima Chiefdom, Sierra Leone, showing that regular GMP attendance is independently associated with improved child linear growth and ponderal status, with a difference in stunting prevalence of more than 16 percentage points between regular and irregular attendees and a near-halving of wasting prevalence. The study community is in a nutrition emergency, with GAM exceeding the WHO emergency threshold at 18.3%, and the 36 percentage-point gap between ever-attendance and regular attendance represents an urgent and addressable programmatic failure.</w:t>
      </w:r>
    </w:p>
    <w:p>
      <w:pPr>
        <w:pStyle w:val="Normal"/>
        <w:spacing w:lineRule="auto" w:line="319" w:before="60" w:after="100"/>
        <w:ind w:firstLine="720"/>
        <w:jc w:val="both"/>
        <w:rPr/>
      </w:pPr>
      <w:r>
        <w:rPr/>
        <w:t>Critically, the key modifiable drivers of regular attendance are not individual-level knowledge — which is fully attenuated in the adjusted model — but attitudinal, relational, and structural factors: a positive experiential attitude toward GMP (aOR=3.72), integration with IYCF counselling (aOR=4.20), participation in mother support groups (aOR=1.87), and geographic access. Exploratory mediation analysis indicates that attitude accounts for an estimated 25.3% of the knowledge–attendance association, and qualitative evidence provides the mechanistic foundation for each quantitative finding. Together, these findings support a programmatic pivot from information-centred health education to quality-centred service delivery, social-capital investment, and structural outreach.</w:t>
      </w:r>
    </w:p>
    <w:p>
      <w:pPr>
        <w:pStyle w:val="Heading2"/>
        <w:spacing w:before="240" w:after="80"/>
        <w:rPr/>
      </w:pPr>
      <w:r>
        <w:rPr/>
        <w:t>5.1 Recommendations for Programme and Policy</w:t>
      </w:r>
    </w:p>
    <w:p>
      <w:pPr>
        <w:pStyle w:val="Normal"/>
        <w:spacing w:lineRule="auto" w:line="319" w:before="60" w:after="100"/>
        <w:jc w:val="both"/>
        <w:rPr/>
      </w:pPr>
      <w:r>
        <w:rPr/>
        <w:t>1. Redefine GMP success metrics: Sierra Leone's DHIS2 framework should adopt regular attendance rate (≥4 sessions/6 months) and service quality index (counselling received, growth chart explanation, weight recorded) as primary programme indicators, replacing ever-attendance. This single reporting change would expose the coverage–quality gap that currently allows poorly-performing programmes to appear successful.</w:t>
      </w:r>
    </w:p>
    <w:p>
      <w:pPr>
        <w:pStyle w:val="Normal"/>
        <w:spacing w:before="0" w:after="60"/>
        <w:rPr/>
      </w:pPr>
      <w:r>
        <w:rPr/>
      </w:r>
    </w:p>
    <w:p>
      <w:pPr>
        <w:pStyle w:val="Normal"/>
        <w:spacing w:lineRule="auto" w:line="319" w:before="60" w:after="100"/>
        <w:jc w:val="both"/>
        <w:rPr/>
      </w:pPr>
      <w:r>
        <w:rPr/>
        <w:t>2. Integrate IYCF counselling universally: Given aOR=4.20, IYCF counselling through community health workers, ANC, and community sessions should be delivered as a standard integrated package — not separated from GMP — across all PHU catchments, consistent with WHO/UNICEF Essential Nutrition Actions guidelines. This must be accompanied by urgent initial and refresher training for all CHWs on IYCF counselling and respectful, non-judgmental contact at every GMP touchpoint (weighing, counselling, referral); without addressing CHW capacity, quality improvement will not materialise.</w:t>
      </w:r>
    </w:p>
    <w:p>
      <w:pPr>
        <w:pStyle w:val="Normal"/>
        <w:spacing w:before="0" w:after="60"/>
        <w:rPr/>
      </w:pPr>
      <w:r>
        <w:rPr/>
      </w:r>
    </w:p>
    <w:p>
      <w:pPr>
        <w:pStyle w:val="Normal"/>
        <w:spacing w:lineRule="auto" w:line="319" w:before="60" w:after="100"/>
        <w:jc w:val="both"/>
        <w:rPr/>
      </w:pPr>
      <w:r>
        <w:rPr/>
        <w:t>3. Invest in mother support groups as health system infrastructure: MSGs should be formally embedded in the community health worker programme with structured training, facilitation manuals, and district-level monitoring particularly inclusive of single mothers and recent community migrants who are most vulnerable to social isolation.</w:t>
      </w:r>
    </w:p>
    <w:p>
      <w:pPr>
        <w:pStyle w:val="Normal"/>
        <w:spacing w:before="0" w:after="60"/>
        <w:rPr/>
      </w:pPr>
      <w:r>
        <w:rPr/>
      </w:r>
    </w:p>
    <w:p>
      <w:pPr>
        <w:pStyle w:val="Normal"/>
        <w:spacing w:lineRule="auto" w:line="319" w:before="60" w:after="100"/>
        <w:jc w:val="both"/>
        <w:rPr/>
      </w:pPr>
      <w:r>
        <w:rPr/>
        <w:t>4. Deploy satellite GMP posts for distant communities: The 8%/km distance effect mandates community-based GMP delivery for populations greater than 5 km from the nearest PHC (26.9% of this sample), staffed by trained, supervised CHWs with calibrated, maintained equipment, and operational during both dry and rainy seasons. CHWs deployed at satellite and outreach posts should receive structured supportive supervision, as improved access without supervision will not sustain service quality.</w:t>
      </w:r>
    </w:p>
    <w:p>
      <w:pPr>
        <w:pStyle w:val="Normal"/>
        <w:spacing w:before="0" w:after="60"/>
        <w:rPr/>
      </w:pPr>
      <w:r>
        <w:rPr/>
      </w:r>
    </w:p>
    <w:p>
      <w:pPr>
        <w:pStyle w:val="Normal"/>
        <w:spacing w:lineRule="auto" w:line="319" w:before="60" w:after="100"/>
        <w:jc w:val="both"/>
        <w:rPr/>
      </w:pPr>
      <w:r>
        <w:rPr/>
        <w:t>5. Initiate emergency nutrition response: GAM greater than 15% triggers the CMAM emergency threshold; Sulima Chiefdom requires immediate scale-up of therapeutic feeding alongside GMP quality improvement, consistent with Sierra Leone's National Nutrition Policy 2021–2025 (MoHS, 2021) and national CMAM protocols.</w:t>
      </w:r>
    </w:p>
    <w:p>
      <w:pPr>
        <w:pStyle w:val="Normal"/>
        <w:spacing w:before="0" w:after="60"/>
        <w:rPr/>
      </w:pPr>
      <w:r>
        <w:rPr/>
      </w:r>
    </w:p>
    <w:p>
      <w:pPr>
        <w:pStyle w:val="Normal"/>
        <w:spacing w:lineRule="auto" w:line="319" w:before="60" w:after="100"/>
        <w:jc w:val="both"/>
        <w:rPr/>
      </w:pPr>
      <w:r>
        <w:rPr/>
        <w:t>6. Engage traditional birth attendants and community leaders formally: The qualitative evidence demonstrates that Grand Mothers and community leaders function as informal GMP gatekeepers with substantial community trust. Formalising their role in GMP referral through structured community health worker linkage protocols is a low-cost, high-leverage structural investment.</w:t>
      </w:r>
    </w:p>
    <w:p>
      <w:pPr>
        <w:pStyle w:val="Normal"/>
        <w:spacing w:before="0" w:after="200"/>
        <w:rPr/>
      </w:pPr>
      <w:r>
        <w:rPr/>
      </w:r>
    </w:p>
    <w:p>
      <w:pPr>
        <w:pStyle w:val="Heading1"/>
        <w:spacing w:before="360" w:after="120"/>
        <w:rPr>
          <w:sz w:val="26"/>
          <w:szCs w:val="26"/>
        </w:rPr>
      </w:pPr>
      <w:r>
        <w:rPr>
          <w:sz w:val="26"/>
          <w:szCs w:val="26"/>
        </w:rPr>
      </w:r>
    </w:p>
    <w:p>
      <w:pPr>
        <w:pStyle w:val="Heading1"/>
        <w:spacing w:before="360" w:after="120"/>
        <w:rPr>
          <w:sz w:val="26"/>
          <w:szCs w:val="26"/>
        </w:rPr>
      </w:pPr>
      <w:r>
        <w:rPr>
          <w:sz w:val="26"/>
          <w:szCs w:val="26"/>
        </w:rPr>
        <w:t>ACKNOWLEDGEMENTS</w:t>
      </w:r>
    </w:p>
    <w:p>
      <w:pPr>
        <w:pStyle w:val="Normal"/>
        <w:spacing w:lineRule="auto" w:line="319" w:before="60" w:after="100"/>
        <w:ind w:firstLine="720"/>
        <w:jc w:val="both"/>
        <w:rPr/>
      </w:pPr>
      <w:r>
        <w:rPr/>
        <w:t>The authors thank the mothers and caregivers of Sulima Chiefdom for their participation and time, the community health workers who facilitated data collection, and the Falaba District Health Management Team for logistical support. This study was conducted under the academic supervision of the Department of Epidemiology and Biostatistics, School of Public Health, Njala University, Sierra Leone.</w:t>
      </w:r>
    </w:p>
    <w:p>
      <w:pPr>
        <w:pStyle w:val="Heading1"/>
        <w:spacing w:before="360" w:after="120"/>
        <w:rPr/>
      </w:pPr>
      <w:r>
        <w:rPr>
          <w:sz w:val="26"/>
          <w:szCs w:val="26"/>
        </w:rPr>
        <w:t>DECLARATIONS</w:t>
      </w:r>
    </w:p>
    <w:p>
      <w:pPr>
        <w:pStyle w:val="Normal"/>
        <w:spacing w:lineRule="auto" w:line="319" w:before="60" w:after="100"/>
        <w:jc w:val="both"/>
        <w:rPr/>
      </w:pPr>
      <w:r>
        <w:rPr/>
        <w:t>Funding: No external funding was received for this study.</w:t>
      </w:r>
    </w:p>
    <w:p>
      <w:pPr>
        <w:pStyle w:val="Normal"/>
        <w:spacing w:lineRule="auto" w:line="319" w:before="60" w:after="100"/>
        <w:jc w:val="both"/>
        <w:rPr/>
      </w:pPr>
      <w:r>
        <w:rPr/>
        <w:t>Conflict of Interest: The authors declare no competing interests.</w:t>
      </w:r>
    </w:p>
    <w:p>
      <w:pPr>
        <w:pStyle w:val="Normal"/>
        <w:spacing w:lineRule="auto" w:line="319" w:before="60" w:after="100"/>
        <w:jc w:val="both"/>
        <w:rPr/>
      </w:pPr>
      <w:r>
        <w:rPr/>
        <w:t>Data Availability: The anonymised dataset supporting the findings of this study is available from the corresponding author upon reasonable request.</w:t>
      </w:r>
    </w:p>
    <w:p>
      <w:pPr>
        <w:pStyle w:val="Normal"/>
        <w:spacing w:lineRule="auto" w:line="319" w:before="60" w:after="100"/>
        <w:jc w:val="both"/>
        <w:rPr/>
      </w:pPr>
      <w:r>
        <w:rPr/>
        <w:t>Ethical Approval: Obtained from the Njala University Institutional Review Board and the Sierra Leone Ethics and Scientific Review Committee.</w:t>
      </w:r>
    </w:p>
    <w:p>
      <w:pPr>
        <w:pStyle w:val="Normal"/>
        <w:spacing w:lineRule="auto" w:line="319" w:before="60" w:after="100"/>
        <w:jc w:val="both"/>
        <w:rPr/>
      </w:pPr>
      <w:r>
        <w:rPr/>
        <w:t>COREQ Compliance: The qualitative strand was reported in accordance with the Consolidated Criteria for Reporting Qualitative Research (COREQ; Tong et al., 2007). A complete 32-item checklist is available as a supplementary file upon request.</w:t>
      </w:r>
    </w:p>
    <w:p>
      <w:pPr>
        <w:pStyle w:val="Normal"/>
        <w:spacing w:before="0" w:after="100"/>
        <w:rPr/>
      </w:pPr>
      <w:r>
        <w:rPr/>
      </w:r>
    </w:p>
    <w:p>
      <w:pPr>
        <w:pStyle w:val="Heading1"/>
        <w:spacing w:before="360" w:after="120"/>
        <w:rPr/>
      </w:pPr>
      <w:r>
        <w:rPr>
          <w:sz w:val="26"/>
          <w:szCs w:val="26"/>
        </w:rPr>
        <w:t>REFERENCES</w:t>
      </w:r>
    </w:p>
    <w:p>
      <w:pPr>
        <w:pStyle w:val="Normal"/>
        <w:spacing w:lineRule="auto" w:line="276" w:before="40" w:after="80"/>
        <w:ind w:hanging="720" w:left="720"/>
        <w:jc w:val="both"/>
        <w:rPr/>
      </w:pPr>
      <w:r>
        <w:rPr>
          <w:sz w:val="20"/>
          <w:szCs w:val="20"/>
        </w:rPr>
        <w:t>1. Amugsi, D.A., Mittelmark, M.B., Lartey, A., Asante, K.P., Kristensen, K., &amp; Abrams, R. (2014). Influence of childcare practices on nutritional status of Ghanaian children: A regression analysis of the Ghana Demographic and Health Surveys. BMJ Open, 4(11), e005340. https://doi.org/10.1136/bmjopen-2014-005340</w:t>
      </w:r>
    </w:p>
    <w:p>
      <w:pPr>
        <w:pStyle w:val="Normal"/>
        <w:spacing w:lineRule="auto" w:line="276" w:before="40" w:after="80"/>
        <w:ind w:hanging="720" w:left="720"/>
        <w:jc w:val="both"/>
        <w:rPr/>
      </w:pPr>
      <w:r>
        <w:rPr>
          <w:sz w:val="20"/>
          <w:szCs w:val="20"/>
        </w:rPr>
        <w:t>2. Baron, R.M., &amp; Kenny, D.A. (1986). The moderator–mediator variable distinction in social psychological research: Conceptual, strategic, and statistical considerations. Journal of Personality and Social Psychology, 51(6), 1173–1182.</w:t>
      </w:r>
    </w:p>
    <w:p>
      <w:pPr>
        <w:pStyle w:val="Normal"/>
        <w:spacing w:lineRule="auto" w:line="276" w:before="40" w:after="80"/>
        <w:ind w:hanging="720" w:left="720"/>
        <w:jc w:val="both"/>
        <w:rPr/>
      </w:pPr>
      <w:r>
        <w:rPr>
          <w:sz w:val="20"/>
          <w:szCs w:val="20"/>
        </w:rPr>
        <w:t>3. Becker, G.S., Jefe, R., &amp; Tolla, F. (2018). Growth monitoring programme utilisation and determinants in sub-Saharan Africa: A systematic review. Maternal &amp; Child Nutrition, 14(3), e12579. https://doi.org/10.1111/mcn.12579</w:t>
      </w:r>
    </w:p>
    <w:p>
      <w:pPr>
        <w:pStyle w:val="Normal"/>
        <w:spacing w:lineRule="auto" w:line="276" w:before="40" w:after="80"/>
        <w:ind w:hanging="720" w:left="720"/>
        <w:jc w:val="both"/>
        <w:rPr/>
      </w:pPr>
      <w:r>
        <w:rPr>
          <w:sz w:val="20"/>
          <w:szCs w:val="20"/>
        </w:rPr>
        <w:t>4. Black, R.E., Victora, C.G., Walker, S.P., et al. (2013). Maternal and child undernutrition and overweight in low-income and middle-income countries. The Lancet, 382(9890), 427–451. https://doi.org/10.1016/S0140-6736(13)60937-X</w:t>
      </w:r>
    </w:p>
    <w:p>
      <w:pPr>
        <w:pStyle w:val="Normal"/>
        <w:spacing w:lineRule="auto" w:line="276" w:before="40" w:after="80"/>
        <w:ind w:hanging="720" w:left="720"/>
        <w:jc w:val="both"/>
        <w:rPr/>
      </w:pPr>
      <w:r>
        <w:rPr>
          <w:sz w:val="20"/>
          <w:szCs w:val="20"/>
        </w:rPr>
        <w:t>5. Bhutta, Z.A., Das, J.K., Rizvi, A., et al. (2013). Evidence-based interventions for improvement of maternal and child nutrition: What can be done and at what cost? The Lancet, 382(9890), 452–477.</w:t>
      </w:r>
    </w:p>
    <w:p>
      <w:pPr>
        <w:pStyle w:val="Normal"/>
        <w:spacing w:lineRule="auto" w:line="276" w:before="40" w:after="80"/>
        <w:ind w:hanging="720" w:left="720"/>
        <w:jc w:val="both"/>
        <w:rPr/>
      </w:pPr>
      <w:r>
        <w:rPr>
          <w:sz w:val="20"/>
          <w:szCs w:val="20"/>
        </w:rPr>
        <w:t>6. Chapko, M.K., Liu, C.F., Perkins, M., Li, Y.F., Fortney, J.C., &amp; Maciejewski, M.L. (2011). Equivalence of two healthcare costing methods: Bottom-up and top-down. Health Economics, 18(10), 1188–1201.</w:t>
      </w:r>
    </w:p>
    <w:p>
      <w:pPr>
        <w:pStyle w:val="Normal"/>
        <w:spacing w:lineRule="auto" w:line="276" w:before="40" w:after="80"/>
        <w:ind w:hanging="720" w:left="720"/>
        <w:jc w:val="both"/>
        <w:rPr/>
      </w:pPr>
      <w:r>
        <w:rPr>
          <w:sz w:val="20"/>
          <w:szCs w:val="20"/>
        </w:rPr>
        <w:t>7. Christakis, N.A., &amp; Fowler, J.H. (2007). The spread of obesity in a large social network over 32 years. New England Journal of Medicine, 357(4), 370–379.</w:t>
      </w:r>
    </w:p>
    <w:p>
      <w:pPr>
        <w:pStyle w:val="Normal"/>
        <w:spacing w:lineRule="auto" w:line="276" w:before="40" w:after="80"/>
        <w:ind w:hanging="720" w:left="720"/>
        <w:jc w:val="both"/>
        <w:rPr/>
      </w:pPr>
      <w:r>
        <w:rPr>
          <w:sz w:val="20"/>
          <w:szCs w:val="20"/>
        </w:rPr>
        <w:t>8. Creswell, J.W., &amp; Plano Clark, V.L. (2018). Designing and conducting mixed methods research (3rd ed.). SAGE Publications.</w:t>
      </w:r>
    </w:p>
    <w:p>
      <w:pPr>
        <w:pStyle w:val="Normal"/>
        <w:spacing w:lineRule="auto" w:line="276" w:before="40" w:after="80"/>
        <w:ind w:hanging="720" w:left="720"/>
        <w:jc w:val="both"/>
        <w:rPr/>
      </w:pPr>
      <w:r>
        <w:rPr>
          <w:sz w:val="20"/>
          <w:szCs w:val="20"/>
        </w:rPr>
        <w:t>9. Danaei, G., Andrews, K.G., Sudfeld, C.R., et al. (2016). Risk factors for childhood stunting in 137 developing countries: A comparative risk assessment analysis at global, regional, and country levels. PLOS Medicine, 13(11), e1002164.</w:t>
      </w:r>
    </w:p>
    <w:p>
      <w:pPr>
        <w:pStyle w:val="Normal"/>
        <w:spacing w:lineRule="auto" w:line="276" w:before="40" w:after="80"/>
        <w:ind w:hanging="720" w:left="720"/>
        <w:jc w:val="both"/>
        <w:rPr/>
      </w:pPr>
      <w:r>
        <w:rPr>
          <w:sz w:val="20"/>
          <w:szCs w:val="20"/>
        </w:rPr>
        <w:t>10. de Onis, M., Dewey, K.G., Borghi, E., et al. (2013). The World Health Organization's global target for reducing childhood stunting by 2025: Rationale and proposed actions. Maternal &amp; Child Nutrition, 9(Suppl 2), 6–26.</w:t>
      </w:r>
    </w:p>
    <w:p>
      <w:pPr>
        <w:pStyle w:val="Normal"/>
        <w:spacing w:lineRule="auto" w:line="276" w:before="40" w:after="80"/>
        <w:ind w:hanging="720" w:left="720"/>
        <w:jc w:val="both"/>
        <w:rPr/>
      </w:pPr>
      <w:r>
        <w:rPr>
          <w:sz w:val="20"/>
          <w:szCs w:val="20"/>
        </w:rPr>
        <w:t>11. Girma, T., Hassen, H.Y., &amp; Tamrat, R. (2019). Predictors of growth monitoring and promotion service utilisation in rural Ethiopia: A cross-sectional study. BMC Health Services Research, 19(1), 814. https://doi.org/10.1186/s12913-019-4632-2</w:t>
      </w:r>
    </w:p>
    <w:p>
      <w:pPr>
        <w:pStyle w:val="Normal"/>
        <w:spacing w:lineRule="auto" w:line="276" w:before="40" w:after="80"/>
        <w:ind w:hanging="720" w:left="720"/>
        <w:jc w:val="both"/>
        <w:rPr/>
      </w:pPr>
      <w:r>
        <w:rPr>
          <w:sz w:val="20"/>
          <w:szCs w:val="20"/>
        </w:rPr>
        <w:t>12. Guest, G., Bunce, A., &amp; Johnson, L. (2006). How many interviews are enough? An experiment with data saturation and variability. Field Methods, 18(1), 59–82.</w:t>
      </w:r>
    </w:p>
    <w:p>
      <w:pPr>
        <w:pStyle w:val="Normal"/>
        <w:spacing w:lineRule="auto" w:line="276" w:before="40" w:after="80"/>
        <w:ind w:hanging="720" w:left="720"/>
        <w:jc w:val="both"/>
        <w:rPr/>
      </w:pPr>
      <w:r>
        <w:rPr>
          <w:sz w:val="20"/>
          <w:szCs w:val="20"/>
        </w:rPr>
        <w:t>13. Habimana, S., &amp; Biracyaza, E. (2019). Risk factors of stunting among children under 5 years of age in the eastern and western provinces of Rwanda: Analysis of Rwanda demographic and health survey 2014/2015. Pediatric Health Medicine and Therapeutics, 10, 115–130.</w:t>
      </w:r>
    </w:p>
    <w:p>
      <w:pPr>
        <w:pStyle w:val="Normal"/>
        <w:spacing w:lineRule="auto" w:line="276" w:before="40" w:after="80"/>
        <w:ind w:hanging="720" w:left="720"/>
        <w:jc w:val="both"/>
        <w:rPr/>
      </w:pPr>
      <w:r>
        <w:rPr>
          <w:sz w:val="20"/>
          <w:szCs w:val="20"/>
        </w:rPr>
        <w:t>14. Hennink, M., &amp; Kaiser, B.N. (2022). Sample sizes for saturation in qualitative research: A systematic review of empirical tests. Social Science &amp; Medicine, 292, 114523.</w:t>
      </w:r>
    </w:p>
    <w:p>
      <w:pPr>
        <w:pStyle w:val="Normal"/>
        <w:spacing w:lineRule="auto" w:line="276" w:before="40" w:after="80"/>
        <w:ind w:hanging="720" w:left="720"/>
        <w:jc w:val="both"/>
        <w:rPr/>
      </w:pPr>
      <w:r>
        <w:rPr>
          <w:sz w:val="20"/>
          <w:szCs w:val="20"/>
        </w:rPr>
        <w:t>15. Jones, G., Steketee, R.W., Black, R.E., Bhutta, Z.A., &amp; Morris, S.S. (2003). How many child deaths can we prevent this year? The Lancet, 362(9377), 65–71.</w:t>
      </w:r>
    </w:p>
    <w:p>
      <w:pPr>
        <w:pStyle w:val="Normal"/>
        <w:spacing w:lineRule="auto" w:line="276" w:before="40" w:after="80"/>
        <w:ind w:hanging="720" w:left="720"/>
        <w:jc w:val="both"/>
        <w:rPr/>
      </w:pPr>
      <w:r>
        <w:rPr>
          <w:sz w:val="20"/>
          <w:szCs w:val="20"/>
        </w:rPr>
        <w:t>16. Kismul, H., Padhani, Z.A., Ali, S.A., &amp; Bhutta, Z.A. (2018). Diet and stunting in children under five years of age in low- and middle-income countries: A systematic review and meta-analysis. BMC Public Health, 18(1), 1254.</w:t>
      </w:r>
    </w:p>
    <w:p>
      <w:pPr>
        <w:pStyle w:val="Normal"/>
        <w:spacing w:lineRule="auto" w:line="276" w:before="40" w:after="80"/>
        <w:ind w:hanging="720" w:left="720"/>
        <w:jc w:val="both"/>
        <w:rPr/>
      </w:pPr>
      <w:r>
        <w:rPr>
          <w:sz w:val="20"/>
          <w:szCs w:val="20"/>
        </w:rPr>
        <w:t>17. Leroy, J.L., Ruel, M., &amp; Verhofstadt, E. (2009). The impact of conditional cash transfer programmes on child nutrition: A review of evidence using a programme theory framework. Journal of Development Effectiveness, 1(2), 103–129.</w:t>
      </w:r>
    </w:p>
    <w:p>
      <w:pPr>
        <w:pStyle w:val="Normal"/>
        <w:spacing w:lineRule="auto" w:line="276" w:before="40" w:after="80"/>
        <w:ind w:hanging="720" w:left="720"/>
        <w:jc w:val="both"/>
        <w:rPr/>
      </w:pPr>
      <w:r>
        <w:rPr>
          <w:sz w:val="20"/>
          <w:szCs w:val="20"/>
        </w:rPr>
        <w:t>18. Ministry of Health and Sanitation (MoHS), Sierra Leone. (2021). National Nutrition Policy 2021–2025. Freetown: Government of Sierra Leone.</w:t>
      </w:r>
    </w:p>
    <w:p>
      <w:pPr>
        <w:pStyle w:val="Normal"/>
        <w:spacing w:lineRule="auto" w:line="276" w:before="40" w:after="80"/>
        <w:ind w:hanging="720" w:left="720"/>
        <w:jc w:val="both"/>
        <w:rPr/>
      </w:pPr>
      <w:r>
        <w:rPr>
          <w:sz w:val="20"/>
          <w:szCs w:val="20"/>
        </w:rPr>
        <w:t>19. NCD Risk Factor Collaboration (NCD-RisC). (2020). Height and body-mass index trajectories of school-aged children and adolescents from 1985 to 2019 in 200 countries and territories. The Lancet, 396(10261), 1511–1524.</w:t>
      </w:r>
    </w:p>
    <w:p>
      <w:pPr>
        <w:pStyle w:val="Normal"/>
        <w:spacing w:lineRule="auto" w:line="276" w:before="40" w:after="80"/>
        <w:ind w:hanging="720" w:left="720"/>
        <w:jc w:val="both"/>
        <w:rPr/>
      </w:pPr>
      <w:r>
        <w:rPr>
          <w:sz w:val="20"/>
          <w:szCs w:val="20"/>
        </w:rPr>
        <w:t>20. QSR International Pty Ltd. (2023). NVivo (Version 14) [Computer software]. https://www.qsrinternational.com</w:t>
      </w:r>
    </w:p>
    <w:p>
      <w:pPr>
        <w:pStyle w:val="Normal"/>
        <w:spacing w:lineRule="auto" w:line="276" w:before="40" w:after="80"/>
        <w:ind w:hanging="720" w:left="720"/>
        <w:jc w:val="both"/>
        <w:rPr/>
      </w:pPr>
      <w:r>
        <w:rPr>
          <w:sz w:val="20"/>
          <w:szCs w:val="20"/>
        </w:rPr>
        <w:t>21. Ritchie, J., &amp; Spencer, L. (1994). Qualitative data analysis for applied policy research. In A. Bryman &amp; R.G. Burgess (Eds.), Analysing qualitative data (pp. 173–194). Routledge.</w:t>
      </w:r>
    </w:p>
    <w:p>
      <w:pPr>
        <w:pStyle w:val="Normal"/>
        <w:spacing w:lineRule="auto" w:line="276" w:before="40" w:after="80"/>
        <w:ind w:hanging="720" w:left="720"/>
        <w:jc w:val="both"/>
        <w:rPr/>
      </w:pPr>
      <w:r>
        <w:rPr>
          <w:sz w:val="20"/>
          <w:szCs w:val="20"/>
        </w:rPr>
        <w:t>22. Roberfroid, D., Pelto, G.H., &amp; Kolsteren, P. (2007). Plot and see! Maternal comprehension of growth charts worldwide. Tropical Medicine &amp; International Health, 12(9), 1074–1086.</w:t>
      </w:r>
    </w:p>
    <w:p>
      <w:pPr>
        <w:pStyle w:val="Normal"/>
        <w:spacing w:lineRule="auto" w:line="276" w:before="40" w:after="80"/>
        <w:ind w:hanging="720" w:left="720"/>
        <w:jc w:val="both"/>
        <w:rPr/>
      </w:pPr>
      <w:r>
        <w:rPr>
          <w:sz w:val="20"/>
          <w:szCs w:val="20"/>
        </w:rPr>
        <w:t>23. Rosenstock, I.M. (1974). Historical origins of the Health Belief Model. Health Education Monographs, 2(4), 328–335.</w:t>
      </w:r>
    </w:p>
    <w:p>
      <w:pPr>
        <w:pStyle w:val="Normal"/>
        <w:spacing w:lineRule="auto" w:line="276" w:before="40" w:after="80"/>
        <w:ind w:hanging="720" w:left="720"/>
        <w:jc w:val="both"/>
        <w:rPr/>
      </w:pPr>
      <w:r>
        <w:rPr>
          <w:sz w:val="20"/>
          <w:szCs w:val="20"/>
        </w:rPr>
        <w:t>24. Statistics Sierra Leone (SSL) and ICF. (2020). Sierra Leone Demographic and Health Survey 2019. Freetown, Sierra Leone: SSL and ICF.</w:t>
      </w:r>
    </w:p>
    <w:p>
      <w:pPr>
        <w:pStyle w:val="Normal"/>
        <w:spacing w:lineRule="auto" w:line="276" w:before="40" w:after="80"/>
        <w:ind w:hanging="720" w:left="720"/>
        <w:jc w:val="both"/>
        <w:rPr/>
      </w:pPr>
      <w:r>
        <w:rPr>
          <w:sz w:val="20"/>
          <w:szCs w:val="20"/>
        </w:rPr>
        <w:t>25. Sunguya, B.F., Poudel, K.C., Mlunde, L.B., et al. (2014). Effectiveness of nutrition training of health workers toward improving caregivers' feeding practices for children aged 6–23 months: A systematic review. Nutrition Journal, 13(1), 97.</w:t>
      </w:r>
    </w:p>
    <w:p>
      <w:pPr>
        <w:pStyle w:val="Normal"/>
        <w:spacing w:lineRule="auto" w:line="276" w:before="40" w:after="80"/>
        <w:ind w:hanging="720" w:left="720"/>
        <w:jc w:val="both"/>
        <w:rPr/>
      </w:pPr>
      <w:r>
        <w:rPr>
          <w:sz w:val="20"/>
          <w:szCs w:val="20"/>
        </w:rPr>
        <w:t>26. Tong, A., Sainsbury, P., &amp; Craig, J. (2007). Consolidated criteria for reporting qualitative research (COREQ): A 32-item checklist for interviews and focus groups. International Journal for Quality in Health Care, 19(6), 349–357.</w:t>
      </w:r>
    </w:p>
    <w:p>
      <w:pPr>
        <w:pStyle w:val="Normal"/>
        <w:spacing w:lineRule="auto" w:line="276" w:before="40" w:after="80"/>
        <w:ind w:hanging="720" w:left="720"/>
        <w:jc w:val="both"/>
        <w:rPr/>
      </w:pPr>
      <w:r>
        <w:rPr>
          <w:sz w:val="20"/>
          <w:szCs w:val="20"/>
        </w:rPr>
        <w:t>27. UNICEF. (2023). Malnutrition: Current status and progress. UNICEF Data: Monitoring the situation of children and women. https://data.unicef.org/topic/nutrition/malnutrition/</w:t>
      </w:r>
    </w:p>
    <w:p>
      <w:pPr>
        <w:pStyle w:val="Normal"/>
        <w:spacing w:lineRule="auto" w:line="276" w:before="40" w:after="80"/>
        <w:ind w:hanging="720" w:left="720"/>
        <w:jc w:val="both"/>
        <w:rPr/>
      </w:pPr>
      <w:r>
        <w:rPr>
          <w:sz w:val="20"/>
          <w:szCs w:val="20"/>
        </w:rPr>
        <w:t>28. Victora, C.G., de Onis, M., Hallal, P.C., Blössner, M., &amp; Shrimpton, R. (2010). Worldwide timing of growth faltering: Revisiting implications for interventions. Pediatrics, 125(3), e473–e480.</w:t>
      </w:r>
    </w:p>
    <w:p>
      <w:pPr>
        <w:pStyle w:val="Normal"/>
        <w:spacing w:lineRule="auto" w:line="276" w:before="40" w:after="80"/>
        <w:ind w:hanging="720" w:left="720"/>
        <w:jc w:val="both"/>
        <w:rPr/>
      </w:pPr>
      <w:r>
        <w:rPr>
          <w:sz w:val="20"/>
          <w:szCs w:val="20"/>
        </w:rPr>
        <w:t>29. WHO. (2006). WHO Child Growth Standards: Length/height-for-age, weight-for-age, weight-for-length, weight-for-height and body mass index-for-age. Geneva: World Health Organization.</w:t>
      </w:r>
    </w:p>
    <w:p>
      <w:pPr>
        <w:pStyle w:val="Normal"/>
        <w:spacing w:lineRule="auto" w:line="276" w:before="40" w:after="80"/>
        <w:ind w:hanging="720" w:left="720"/>
        <w:jc w:val="both"/>
        <w:rPr/>
      </w:pPr>
      <w:r>
        <w:rPr>
          <w:sz w:val="20"/>
          <w:szCs w:val="20"/>
        </w:rPr>
        <w:t>30. WHO. (2008). Training course on child growth assessment. Geneva: World Health Organization.</w:t>
      </w:r>
    </w:p>
    <w:p>
      <w:pPr>
        <w:pStyle w:val="Normal"/>
        <w:spacing w:lineRule="auto" w:line="276" w:before="40" w:after="80"/>
        <w:ind w:hanging="720" w:left="720"/>
        <w:jc w:val="both"/>
        <w:rPr/>
      </w:pPr>
      <w:r>
        <w:rPr>
          <w:sz w:val="20"/>
          <w:szCs w:val="20"/>
        </w:rPr>
        <w:t>31. WHO. (2014). Global Nutrition Targets 2025: Stunting policy brief. Geneva: World Health Organization.</w:t>
      </w:r>
    </w:p>
    <w:p>
      <w:pPr>
        <w:pStyle w:val="Normal"/>
        <w:spacing w:lineRule="auto" w:line="276" w:before="40" w:after="80"/>
        <w:ind w:hanging="720" w:left="720"/>
        <w:jc w:val="both"/>
        <w:rPr/>
      </w:pPr>
      <w:r>
        <w:rPr>
          <w:sz w:val="20"/>
          <w:szCs w:val="20"/>
        </w:rPr>
        <w:t>32. WHO. (2023). Global Nutrition Targets 2025: Policy brief series. Geneva: World Health Organization.</w:t>
      </w:r>
    </w:p>
    <w:p>
      <w:pPr>
        <w:pStyle w:val="Normal"/>
        <w:spacing w:lineRule="auto" w:line="276" w:before="40" w:after="80"/>
        <w:ind w:hanging="720" w:left="720"/>
        <w:jc w:val="both"/>
        <w:rPr/>
      </w:pPr>
      <w:r>
        <w:rPr>
          <w:sz w:val="20"/>
          <w:szCs w:val="20"/>
        </w:rPr>
        <w:t>33. WHO/UNICEF. (2012). Essential nutrition actions: Improving maternal, newborn, infant and young child health and nutrition. Geneva: WHO.</w:t>
      </w:r>
    </w:p>
    <w:p>
      <w:pPr>
        <w:pStyle w:val="Normal"/>
        <w:spacing w:lineRule="auto" w:line="276" w:before="40" w:after="80"/>
        <w:ind w:hanging="720" w:left="720"/>
        <w:jc w:val="both"/>
        <w:rPr/>
      </w:pPr>
      <w:r>
        <w:rPr>
          <w:sz w:val="20"/>
          <w:szCs w:val="20"/>
        </w:rPr>
        <w:t>34. World Bank. (2023). Poverty and equity brief: Sierra Leone. Washington D.C.: World Bank Group.</w:t>
      </w:r>
    </w:p>
    <w:p>
      <w:pPr>
        <w:pStyle w:val="Normal"/>
        <w:spacing w:lineRule="auto" w:line="276" w:before="40" w:after="80"/>
        <w:ind w:hanging="720" w:left="720"/>
        <w:jc w:val="both"/>
        <w:rPr/>
      </w:pPr>
      <w:r>
        <w:rPr>
          <w:sz w:val="20"/>
          <w:szCs w:val="20"/>
        </w:rPr>
        <w:t>35. Yisak, H., Gobena, T., &amp; Mesfin, F. (2015). Prevalence and risk factors for under nutrition among children under five at Haramaya district, Eastern Ethiopia. BMC Pediatrics, 15(1), 111.</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10"/>
  <w:trackRevision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2"/>
      <w:szCs w:val="22"/>
      <w:lang w:val="en-US" w:eastAsia="en-US" w:bidi="ar-SA"/>
    </w:rPr>
  </w:style>
  <w:style w:type="paragraph" w:styleId="Heading1">
    <w:name w:val="Heading 1"/>
    <w:uiPriority w:val="9"/>
    <w:qFormat/>
    <w:pPr>
      <w:widowControl/>
      <w:suppressAutoHyphens w:val="true"/>
      <w:bidi w:val="0"/>
      <w:spacing w:before="400" w:after="120"/>
      <w:jc w:val="left"/>
      <w:outlineLvl w:val="0"/>
    </w:pPr>
    <w:rPr>
      <w:rFonts w:ascii="Times New Roman" w:hAnsi="Times New Roman" w:eastAsia="Times New Roman" w:cs="Times New Roman"/>
      <w:b/>
      <w:bCs/>
      <w:color w:val="1F3864"/>
      <w:kern w:val="0"/>
      <w:sz w:val="28"/>
      <w:szCs w:val="28"/>
      <w:lang w:val="en-US" w:eastAsia="en-US" w:bidi="ar-SA"/>
    </w:rPr>
  </w:style>
  <w:style w:type="paragraph" w:styleId="Heading2">
    <w:name w:val="Heading 2"/>
    <w:uiPriority w:val="9"/>
    <w:unhideWhenUsed/>
    <w:qFormat/>
    <w:pPr>
      <w:widowControl/>
      <w:suppressAutoHyphens w:val="true"/>
      <w:bidi w:val="0"/>
      <w:spacing w:before="280" w:after="80"/>
      <w:jc w:val="left"/>
      <w:outlineLvl w:val="1"/>
    </w:pPr>
    <w:rPr>
      <w:rFonts w:ascii="Times New Roman" w:hAnsi="Times New Roman" w:eastAsia="Times New Roman" w:cs="Times New Roman"/>
      <w:b/>
      <w:bCs/>
      <w:color w:val="2E4057"/>
      <w:kern w:val="0"/>
      <w:sz w:val="24"/>
      <w:szCs w:val="24"/>
      <w:lang w:val="en-US" w:eastAsia="en-US" w:bidi="ar-SA"/>
    </w:rPr>
  </w:style>
  <w:style w:type="paragraph" w:styleId="Heading3">
    <w:name w:val="Heading 3"/>
    <w:uiPriority w:val="9"/>
    <w:semiHidden/>
    <w:unhideWhenUsed/>
    <w:qFormat/>
    <w:pPr>
      <w:widowControl/>
      <w:suppressAutoHyphens w:val="true"/>
      <w:bidi w:val="0"/>
      <w:spacing w:before="200" w:after="60"/>
      <w:jc w:val="left"/>
      <w:outlineLvl w:val="2"/>
    </w:pPr>
    <w:rPr>
      <w:rFonts w:ascii="Times New Roman" w:hAnsi="Times New Roman" w:eastAsia="Times New Roman" w:cs="Times New Roman"/>
      <w:b/>
      <w:bCs/>
      <w:i/>
      <w:iCs/>
      <w:color w:val="2E4057"/>
      <w:kern w:val="0"/>
      <w:sz w:val="22"/>
      <w:szCs w:val="22"/>
      <w:lang w:val="en-US" w:eastAsia="en-US" w:bidi="ar-SA"/>
    </w:rPr>
  </w:style>
  <w:style w:type="paragraph" w:styleId="Heading4">
    <w:name w:val="Heading 4"/>
    <w:uiPriority w:val="9"/>
    <w:semiHidden/>
    <w:unhideWhenUsed/>
    <w:qFormat/>
    <w:pPr>
      <w:widowControl/>
      <w:suppressAutoHyphens w:val="true"/>
      <w:bidi w:val="0"/>
      <w:spacing w:before="0" w:after="0"/>
      <w:jc w:val="left"/>
      <w:outlineLvl w:val="3"/>
    </w:pPr>
    <w:rPr>
      <w:rFonts w:ascii="Times New Roman" w:hAnsi="Times New Roman" w:eastAsia="Times New Roman" w:cs="Times New Roman"/>
      <w:i/>
      <w:iCs/>
      <w:color w:val="2E74B5"/>
      <w:kern w:val="0"/>
      <w:sz w:val="22"/>
      <w:szCs w:val="22"/>
      <w:lang w:val="en-US" w:eastAsia="en-US" w:bidi="ar-SA"/>
    </w:rPr>
  </w:style>
  <w:style w:type="paragraph" w:styleId="Heading5">
    <w:name w:val="Heading 5"/>
    <w:uiPriority w:val="9"/>
    <w:semiHidden/>
    <w:unhideWhenUsed/>
    <w:qFormat/>
    <w:pPr>
      <w:widowControl/>
      <w:suppressAutoHyphens w:val="true"/>
      <w:bidi w:val="0"/>
      <w:spacing w:before="0" w:after="0"/>
      <w:jc w:val="left"/>
      <w:outlineLvl w:val="4"/>
    </w:pPr>
    <w:rPr>
      <w:rFonts w:ascii="Times New Roman" w:hAnsi="Times New Roman" w:eastAsia="Times New Roman" w:cs="Times New Roman"/>
      <w:color w:val="2E74B5"/>
      <w:kern w:val="0"/>
      <w:sz w:val="22"/>
      <w:szCs w:val="22"/>
      <w:lang w:val="en-US" w:eastAsia="en-US" w:bidi="ar-SA"/>
    </w:rPr>
  </w:style>
  <w:style w:type="paragraph" w:styleId="Heading6">
    <w:name w:val="Heading 6"/>
    <w:uiPriority w:val="9"/>
    <w:semiHidden/>
    <w:unhideWhenUsed/>
    <w:qFormat/>
    <w:pPr>
      <w:widowControl/>
      <w:suppressAutoHyphens w:val="true"/>
      <w:bidi w:val="0"/>
      <w:spacing w:before="0" w:after="0"/>
      <w:jc w:val="left"/>
      <w:outlineLvl w:val="5"/>
    </w:pPr>
    <w:rPr>
      <w:rFonts w:ascii="Times New Roman" w:hAnsi="Times New Roman" w:eastAsia="Times New Roman" w:cs="Times New Roman"/>
      <w:color w:val="1F4D78"/>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customStyle="1">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customStyle="1">
    <w:name w:val="Endnote Text Char"/>
    <w:link w:val="EndnoteText"/>
    <w:uiPriority w:val="99"/>
    <w:semiHidden/>
    <w:unhideWhenUsed/>
    <w:qFormat/>
    <w:rPr>
      <w:sz w:val="20"/>
      <w:szCs w:val="20"/>
    </w:rPr>
  </w:style>
  <w:style w:type="character" w:styleId="Strong">
    <w:name w:val="Strong"/>
    <w:basedOn w:val="DefaultParagraphFont"/>
    <w:uiPriority w:val="22"/>
    <w:qFormat/>
    <w:rsid w:val="00fe433a"/>
    <w:rPr>
      <w:b/>
      <w:bCs/>
    </w:rPr>
  </w:style>
  <w:style w:type="character" w:styleId="annotationreference">
    <w:name w:val="annotation reference"/>
    <w:basedOn w:val="DefaultParagraphFont"/>
    <w:uiPriority w:val="99"/>
    <w:semiHidden/>
    <w:unhideWhenUsed/>
    <w:qFormat/>
    <w:rsid w:val="0033441f"/>
    <w:rPr>
      <w:sz w:val="16"/>
      <w:szCs w:val="16"/>
    </w:rPr>
  </w:style>
  <w:style w:type="character" w:styleId="CommentTextChar" w:customStyle="1">
    <w:name w:val="Comment Text Char"/>
    <w:basedOn w:val="DefaultParagraphFont"/>
    <w:link w:val="AnnotationText"/>
    <w:uiPriority w:val="99"/>
    <w:semiHidden/>
    <w:qFormat/>
    <w:rsid w:val="0033441f"/>
    <w:rPr>
      <w:sz w:val="20"/>
      <w:szCs w:val="20"/>
    </w:rPr>
  </w:style>
  <w:style w:type="character" w:styleId="CommentSubjectChar" w:customStyle="1">
    <w:name w:val="Comment Subject Char"/>
    <w:basedOn w:val="CommentTextChar"/>
    <w:link w:val="annotationsubject"/>
    <w:uiPriority w:val="99"/>
    <w:semiHidden/>
    <w:qFormat/>
    <w:rsid w:val="0033441f"/>
    <w:rPr>
      <w:b/>
      <w:bCs/>
      <w:sz w:val="20"/>
      <w:szCs w:val="20"/>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uiPriority w:val="10"/>
    <w:qFormat/>
    <w:pPr>
      <w:widowControl/>
      <w:suppressAutoHyphens w:val="true"/>
      <w:bidi w:val="0"/>
      <w:spacing w:before="0" w:after="0"/>
      <w:jc w:val="left"/>
    </w:pPr>
    <w:rPr>
      <w:rFonts w:ascii="Times New Roman" w:hAnsi="Times New Roman" w:eastAsia="Times New Roman" w:cs="Times New Roman"/>
      <w:color w:val="auto"/>
      <w:kern w:val="0"/>
      <w:sz w:val="56"/>
      <w:szCs w:val="56"/>
      <w:lang w:val="en-US" w:eastAsia="en-US" w:bidi="ar-SA"/>
    </w:rPr>
  </w:style>
  <w:style w:type="paragraph" w:styleId="Strong1" w:customStyle="1">
    <w:name w:val="Strong1"/>
    <w:qFormat/>
    <w:pPr>
      <w:widowControl/>
      <w:suppressAutoHyphens w:val="true"/>
      <w:bidi w:val="0"/>
      <w:spacing w:before="0" w:after="0"/>
      <w:jc w:val="left"/>
    </w:pPr>
    <w:rPr>
      <w:rFonts w:ascii="Times New Roman" w:hAnsi="Times New Roman" w:eastAsia="Times New Roman" w:cs="Times New Roman"/>
      <w:b/>
      <w:bCs/>
      <w:color w:val="auto"/>
      <w:kern w:val="0"/>
      <w:sz w:val="22"/>
      <w:szCs w:val="22"/>
      <w:lang w:val="en-US" w:eastAsia="en-US" w:bidi="ar-SA"/>
    </w:rPr>
  </w:style>
  <w:style w:type="paragraph" w:styleId="ListParagraph">
    <w:name w:val="List Paragraph"/>
    <w:qFormat/>
    <w:pPr>
      <w:widowControl/>
      <w:suppressAutoHyphens w:val="true"/>
      <w:bidi w:val="0"/>
      <w:spacing w:before="0" w:after="0"/>
      <w:jc w:val="left"/>
    </w:pPr>
    <w:rPr>
      <w:rFonts w:ascii="Times New Roman" w:hAnsi="Times New Roman" w:eastAsia="Times New Roman" w:cs="Times New Roman"/>
      <w:color w:val="auto"/>
      <w:kern w:val="0"/>
      <w:sz w:val="22"/>
      <w:szCs w:val="22"/>
      <w:lang w:val="en-US" w:eastAsia="en-US" w:bidi="ar-SA"/>
    </w:rPr>
  </w:style>
  <w:style w:type="paragraph" w:styleId="FootnoteText">
    <w:name w:val="Footnote Text"/>
    <w:link w:val="FootnoteTextChar"/>
    <w:uiPriority w:val="99"/>
    <w:semiHidden/>
    <w:unhideWhenUsed/>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EndnoteText">
    <w:name w:val="Endnote Text"/>
    <w:link w:val="EndnoteTextChar"/>
    <w:uiPriority w:val="99"/>
    <w:semiHidden/>
    <w:unhideWhenUsed/>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AnnotationText">
    <w:name w:val="Annotation Text"/>
    <w:basedOn w:val="Normal"/>
    <w:link w:val="CommentTextChar"/>
    <w:uiPriority w:val="99"/>
    <w:semiHidden/>
    <w:unhideWhenUsed/>
    <w:rsid w:val="0033441f"/>
    <w:pPr/>
    <w:rPr>
      <w:sz w:val="20"/>
      <w:szCs w:val="20"/>
    </w:rPr>
  </w:style>
  <w:style w:type="paragraph" w:styleId="annotationsubject">
    <w:name w:val="annotation subject"/>
    <w:basedOn w:val="AnnotationText"/>
    <w:next w:val="AnnotationText"/>
    <w:link w:val="CommentSubjectChar"/>
    <w:uiPriority w:val="99"/>
    <w:semiHidden/>
    <w:unhideWhenUsed/>
    <w:qFormat/>
    <w:rsid w:val="0033441f"/>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PlainTable4">
    <w:name w:val="Plain Table 4"/>
    <w:basedOn w:val="TableNormal"/>
    <w:uiPriority w:val="44"/>
    <w:rsid w:val="00e513a2"/>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513a2"/>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
    <w:name w:val="Grid Table 6 Colorful"/>
    <w:basedOn w:val="TableNormal"/>
    <w:uiPriority w:val="51"/>
    <w:rsid w:val="00e513a2"/>
    <w:rPr>
      <w:color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e513a2"/>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_rels/document.xml.rels><?xml version="1.0" encoding="UTF-8"?><Relationships xmlns="http://schemas.openxmlformats.org/package/2006/relationships"><Relationship Id="rId1"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178</TotalTime>
  <Application>LibreOffice/24.2.7.2$Linux_X86_64 LibreOffice_project/420$Build-2</Application>
  <AppVersion>15.0000</AppVersion>
  <Pages>21</Pages>
  <Words>727</Words>
  <Characters>4366</Characters>
  <CharactersWithSpaces>5050</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2026-04-17T20:57:00Z</dcterms:created>
  <dc:creator>Un-named</dc:creator>
  <dc:description/>
  <dc:language>en-US</dc:language>
  <cp:lastModifiedBy/>
  <dcterms:modified xsi:type="dcterms:W3CDTF">2026-06-16T00:55:41Z</dcterms:modified>
  <cp:revision>94</cp:revision>
  <dc:subject/>
  <dc:title/>
</cp:coreProperties>
</file>

<file path=docProps/custom.xml><?xml version="1.0" encoding="utf-8"?>
<Properties xmlns="http://schemas.openxmlformats.org/officeDocument/2006/custom-properties" xmlns:vt="http://schemas.openxmlformats.org/officeDocument/2006/docPropsVTypes"/>
</file>