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42F2" w14:textId="77777777" w:rsidR="00533D8C" w:rsidRPr="00C224BE" w:rsidRDefault="00000000" w:rsidP="00D765E7">
      <w:pPr>
        <w:spacing w:before="12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C224BE">
        <w:rPr>
          <w:rFonts w:ascii="Times New Roman" w:hAnsi="Times New Roman" w:cs="Times New Roman"/>
          <w:b/>
          <w:bCs/>
          <w:sz w:val="32"/>
          <w:szCs w:val="32"/>
        </w:rPr>
        <w:t>BFL-Guard: A Blockchain-Enabled Federated Learning Framework with</w:t>
      </w:r>
    </w:p>
    <w:p w14:paraId="507D32A7" w14:textId="77777777" w:rsidR="00533D8C" w:rsidRPr="00C224BE" w:rsidRDefault="00000000" w:rsidP="00D765E7">
      <w:pPr>
        <w:spacing w:before="120" w:line="2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4BE">
        <w:rPr>
          <w:rFonts w:ascii="Times New Roman" w:hAnsi="Times New Roman" w:cs="Times New Roman"/>
          <w:b/>
          <w:bCs/>
          <w:sz w:val="32"/>
          <w:szCs w:val="32"/>
        </w:rPr>
        <w:t/>
      </w:r>
    </w:p>
    <w:p w14:paraId="6A1CD03E" w14:textId="77777777" w:rsidR="003A41C5" w:rsidRPr="00C224BE" w:rsidRDefault="003A41C5" w:rsidP="00D81508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</w:p>
    <w:p w14:paraId="6E0D0A5B" w14:textId="35A1C145" w:rsidR="00533D8C" w:rsidRPr="003A41C5" w:rsidRDefault="003A41C5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A41C5">
        <w:rPr>
          <w:rFonts w:ascii="Times New Roman" w:hAnsi="Times New Roman" w:cs="Times New Roman"/>
          <w:sz w:val="20"/>
          <w:szCs w:val="20"/>
          <w:lang w:val="en-US"/>
        </w:rPr>
        <w:t/>
      </w:r>
      <w:r w:rsidRPr="003A41C5">
        <w:rPr>
          <w:rFonts w:ascii="Times New Roman" w:hAnsi="Times New Roman" w:cs="Times New Roman"/>
          <w:sz w:val="20"/>
          <w:szCs w:val="20"/>
        </w:rPr>
        <w:t xml:space="preserve"/>
      </w:r>
      <w:r w:rsidRPr="003A41C5">
        <w:rPr>
          <w:rFonts w:ascii="Times New Roman" w:hAnsi="Times New Roman" w:cs="Times New Roman"/>
          <w:sz w:val="20"/>
          <w:szCs w:val="20"/>
          <w:lang w:val="en-US"/>
        </w:rPr>
        <w:t/>
      </w:r>
      <w:r w:rsidRPr="003A41C5">
        <w:rPr>
          <w:rFonts w:ascii="Times New Roman" w:hAnsi="Times New Roman" w:cs="Times New Roman"/>
          <w:sz w:val="20"/>
          <w:szCs w:val="20"/>
          <w:vertAlign w:val="superscript"/>
        </w:rPr>
        <w:t/>
      </w:r>
      <w:r w:rsidRPr="003A41C5">
        <w:rPr>
          <w:rFonts w:ascii="Times New Roman" w:hAnsi="Times New Roman" w:cs="Times New Roman"/>
          <w:sz w:val="20"/>
          <w:szCs w:val="20"/>
        </w:rPr>
        <w:t xml:space="preserve"/>
      </w:r>
      <w:r w:rsidRPr="003A41C5">
        <w:rPr>
          <w:rFonts w:ascii="Times New Roman" w:hAnsi="Times New Roman" w:cs="Times New Roman"/>
          <w:sz w:val="20"/>
          <w:szCs w:val="20"/>
          <w:lang w:val="en-US"/>
        </w:rPr>
        <w:t/>
      </w:r>
      <w:r w:rsidRPr="003A41C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/>
      </w:r>
      <w:r w:rsidRPr="003A41C5">
        <w:rPr>
          <w:rFonts w:ascii="Times New Roman" w:hAnsi="Times New Roman" w:cs="Times New Roman"/>
          <w:sz w:val="20"/>
          <w:szCs w:val="20"/>
        </w:rPr>
        <w:t/>
      </w:r>
      <w:r w:rsidRPr="003A41C5">
        <w:rPr>
          <w:rFonts w:ascii="Times New Roman" w:hAnsi="Times New Roman" w:cs="Times New Roman"/>
          <w:sz w:val="20"/>
          <w:szCs w:val="20"/>
          <w:vertAlign w:val="superscript"/>
        </w:rPr>
        <w:t/>
      </w:r>
      <w:r w:rsidRPr="003A41C5">
        <w:rPr>
          <w:rFonts w:ascii="Times New Roman" w:hAnsi="Times New Roman" w:cs="Times New Roman"/>
          <w:sz w:val="20"/>
          <w:szCs w:val="20"/>
        </w:rPr>
        <w:t/>
      </w:r>
      <w:r w:rsidRPr="003A41C5">
        <w:rPr>
          <w:rFonts w:ascii="Times New Roman" w:hAnsi="Times New Roman" w:cs="Times New Roman"/>
          <w:sz w:val="20"/>
          <w:szCs w:val="20"/>
          <w:vertAlign w:val="superscript"/>
        </w:rPr>
        <w:t/>
      </w:r>
    </w:p>
    <w:p w14:paraId="6344F329" w14:textId="5402A068" w:rsidR="00533D8C" w:rsidRPr="003A41C5" w:rsidRDefault="003A41C5" w:rsidP="00D81508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3A41C5">
        <w:rPr>
          <w:rFonts w:ascii="Times New Roman" w:hAnsi="Times New Roman" w:cs="Times New Roman"/>
          <w:sz w:val="20"/>
          <w:szCs w:val="20"/>
          <w:vertAlign w:val="superscript"/>
        </w:rPr>
        <w:t/>
      </w:r>
      <w:r w:rsidRPr="003A41C5">
        <w:rPr>
          <w:rFonts w:ascii="Times New Roman" w:hAnsi="Times New Roman" w:cs="Times New Roman"/>
          <w:sz w:val="20"/>
          <w:szCs w:val="20"/>
        </w:rPr>
        <w:t xml:space="preserve"/>
      </w:r>
      <w:r w:rsidRPr="003A41C5">
        <w:rPr>
          <w:rFonts w:ascii="Times New Roman" w:hAnsi="Times New Roman" w:cs="Times New Roman"/>
          <w:sz w:val="20"/>
          <w:szCs w:val="20"/>
          <w:vertAlign w:val="superscript"/>
        </w:rPr>
        <w:t/>
      </w:r>
      <w:r w:rsidRPr="003A41C5">
        <w:rPr>
          <w:rFonts w:ascii="Times New Roman" w:hAnsi="Times New Roman" w:cs="Times New Roman"/>
          <w:sz w:val="20"/>
          <w:szCs w:val="20"/>
        </w:rPr>
        <w:t xml:space="preserve"/>
      </w:r>
    </w:p>
    <w:p w14:paraId="3D7D089D" w14:textId="77777777" w:rsidR="003A41C5" w:rsidRPr="003A41C5" w:rsidRDefault="003A41C5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A41C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/>
      </w:r>
      <w:r w:rsidRPr="003A41C5">
        <w:rPr>
          <w:rFonts w:ascii="Times New Roman" w:hAnsi="Times New Roman" w:cs="Times New Roman"/>
          <w:sz w:val="20"/>
          <w:szCs w:val="20"/>
          <w:lang w:val="en-US"/>
        </w:rPr>
        <w:t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r w:rsidRPr="003A41C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/>
      </w:r>
      <w:r w:rsidRPr="003A41C5">
        <w:rPr>
          <w:rFonts w:ascii="Times New Roman" w:hAnsi="Times New Roman" w:cs="Times New Roman"/>
          <w:sz w:val="20"/>
          <w:szCs w:val="20"/>
          <w:lang w:val="en-US"/>
        </w:rPr>
        <w:t/>
      </w:r>
    </w:p>
    <w:p w14:paraId="74842886" w14:textId="5AA113C7" w:rsidR="003A41C5" w:rsidRPr="003A41C5" w:rsidRDefault="00D765E7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765E7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/>
      </w:r>
      <w:r w:rsidR="003A41C5" w:rsidRP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r w:rsidR="003A41C5">
        <w:rPr>
          <w:rFonts w:ascii="Times New Roman" w:hAnsi="Times New Roman" w:cs="Times New Roman"/>
          <w:sz w:val="20"/>
          <w:szCs w:val="20"/>
          <w:lang w:val="en-US"/>
        </w:rPr>
        <w:t/>
      </w:r>
      <w:r w:rsidR="003A41C5" w:rsidRP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r w:rsidR="003A41C5">
        <w:rPr>
          <w:rFonts w:ascii="Times New Roman" w:hAnsi="Times New Roman" w:cs="Times New Roman"/>
          <w:sz w:val="20"/>
          <w:szCs w:val="20"/>
          <w:lang w:val="en-US"/>
        </w:rPr>
        <w:t/>
      </w:r>
      <w:r w:rsidR="003A41C5" w:rsidRPr="003A41C5">
        <w:rPr>
          <w:rFonts w:ascii="Times New Roman" w:hAnsi="Times New Roman" w:cs="Times New Roman"/>
          <w:sz w:val="20"/>
          <w:szCs w:val="20"/>
          <w:lang w:val="en-US"/>
        </w:rPr>
        <w:t/>
      </w:r>
      <w:r w:rsid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r w:rsidR="003A41C5" w:rsidRPr="003A41C5">
        <w:rPr>
          <w:rFonts w:ascii="Times New Roman" w:hAnsi="Times New Roman" w:cs="Times New Roman"/>
          <w:sz w:val="20"/>
          <w:szCs w:val="20"/>
          <w:lang w:val="en-US"/>
        </w:rPr>
        <w:t/>
      </w:r>
      <w:r w:rsid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r w:rsidR="003A41C5" w:rsidRPr="003A41C5">
        <w:rPr>
          <w:rFonts w:ascii="Times New Roman" w:hAnsi="Times New Roman" w:cs="Times New Roman"/>
          <w:sz w:val="20"/>
          <w:szCs w:val="20"/>
          <w:lang w:val="en-US"/>
        </w:rPr>
        <w:t/>
      </w:r>
    </w:p>
    <w:p w14:paraId="5C24A63E" w14:textId="65C064A8" w:rsidR="003A41C5" w:rsidRPr="003A41C5" w:rsidRDefault="003A41C5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A41C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/>
      </w:r>
      <w:r w:rsidRP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</w:p>
    <w:p w14:paraId="1863D1F2" w14:textId="0FD4FA6D" w:rsidR="003A41C5" w:rsidRPr="003A41C5" w:rsidRDefault="003A41C5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A41C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r w:rsidRPr="003A41C5">
        <w:rPr>
          <w:rFonts w:ascii="Times New Roman" w:hAnsi="Times New Roman" w:cs="Times New Roman"/>
          <w:sz w:val="20"/>
          <w:szCs w:val="20"/>
          <w:lang w:val="en-US"/>
        </w:rPr>
        <w:t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r w:rsidRPr="003A41C5">
        <w:rPr>
          <w:rFonts w:ascii="Times New Roman" w:hAnsi="Times New Roman" w:cs="Times New Roman"/>
          <w:sz w:val="20"/>
          <w:szCs w:val="20"/>
          <w:lang w:val="en-US"/>
        </w:rPr>
        <w:t/>
      </w:r>
    </w:p>
    <w:p w14:paraId="2BFF4D85" w14:textId="2D7598ED" w:rsidR="003A41C5" w:rsidRPr="003A41C5" w:rsidRDefault="003A41C5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hyperlink r:id="rId5" w:history="1">
        <w:r w:rsidRPr="00C15EF7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/>
        </w:r>
      </w:hyperlink>
      <w:r w:rsidRP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hyperlink r:id="rId6" w:history="1">
        <w:r w:rsidRPr="003A41C5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/>
        </w:r>
      </w:hyperlink>
      <w:r w:rsidRP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hyperlink r:id="rId7" w:history="1">
        <w:r w:rsidRPr="003A41C5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/>
        </w:r>
      </w:hyperlink>
      <w:r w:rsidRP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  <w:hyperlink r:id="rId8" w:history="1">
        <w:r w:rsidRPr="003A41C5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/>
        </w:r>
      </w:hyperlink>
      <w:r w:rsidRPr="003A41C5">
        <w:rPr>
          <w:rFonts w:ascii="Times New Roman" w:hAnsi="Times New Roman" w:cs="Times New Roman"/>
          <w:sz w:val="20"/>
          <w:szCs w:val="20"/>
          <w:lang w:val="en-US"/>
        </w:rPr>
        <w:t xml:space="preserve"/>
      </w:r>
    </w:p>
    <w:p w14:paraId="0D593FEE" w14:textId="4879E8CF" w:rsidR="003A41C5" w:rsidRPr="003A41C5" w:rsidRDefault="003A41C5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7315FBB" w14:textId="77777777" w:rsidR="00533D8C" w:rsidRPr="00D81508" w:rsidRDefault="00533D8C" w:rsidP="00D81508">
      <w:pPr>
        <w:pStyle w:val="ListParagraph"/>
        <w:spacing w:before="120"/>
        <w:jc w:val="center"/>
        <w:rPr>
          <w:rFonts w:ascii="Times New Roman" w:hAnsi="Times New Roman" w:cs="Times New Roman"/>
          <w:sz w:val="20"/>
          <w:szCs w:val="20"/>
        </w:rPr>
      </w:pPr>
    </w:p>
    <w:p w14:paraId="6C328217" w14:textId="77777777" w:rsidR="00533D8C" w:rsidRPr="00D81508" w:rsidRDefault="00000000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68B5A18B" w14:textId="31B04B7F" w:rsidR="00533D8C" w:rsidRPr="00D81508" w:rsidRDefault="00000000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Federated Learning (FL) enables collaborative model training across decentralized participants without sharing raw data. However, existing FL systems remain vulnerable to Byzantine attacks and suffer from a lack of accountability, verifiability, and economic incentives for honest participation. We present BFL-Guard, a novel blockchain-orchestrated federated learning framework integrating: (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-SNARK-based zero-knowledge gradient proofs, (ii) an on-chain Byzantine-tolerant aggregation smart contract, and (iii) a tokenized incentive protocol (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FedToken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). BFL-Guard stores model checkpoints as IPFS hashes anchored on Ethereum, ensuring tamper-evident auditability. Experiments on CIFAR-10 and Shakespeare benchmarks demonstrate 95.2% and 87.6% accuracy in IID and Non-IID settings, surpassing all baselines while converging 12.4% faster even under 30% Byzantine injection.</w:t>
      </w:r>
    </w:p>
    <w:p w14:paraId="1B032EA2" w14:textId="77777777" w:rsidR="00533D8C" w:rsidRPr="00D81508" w:rsidRDefault="00000000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r w:rsidRPr="00D81508">
        <w:rPr>
          <w:rFonts w:ascii="Times New Roman" w:hAnsi="Times New Roman" w:cs="Times New Roman"/>
          <w:sz w:val="20"/>
          <w:szCs w:val="20"/>
        </w:rPr>
        <w:t xml:space="preserve">Blockchain, Federated Learning, Byzantine Fault Tolerance, Zero-Knowledge Proofs, Smart Contracts, Incentive Mechanism, Decentralized AI, IPFS,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</w:t>
      </w:r>
    </w:p>
    <w:p w14:paraId="6420CE39" w14:textId="77777777" w:rsidR="00533D8C" w:rsidRPr="00D81508" w:rsidRDefault="00533D8C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59944496" w14:textId="77777777" w:rsidR="00533D8C" w:rsidRPr="00D81508" w:rsidRDefault="00000000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>1. Introduction</w:t>
      </w:r>
    </w:p>
    <w:p w14:paraId="28180D34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The proliferation of edge devices, mobile platforms, and Internet-of-Things (IoT) ecosystems has generated unprecedented volumes of sensitive, heterogeneous data distributed across millions of endpoints. Federated Learning (FL) [McMahan et al., 2017] emerged as a compelling paradigm to exploit this data for model training while preserving local data privacy: participants train models locally and share only gradient updates, never raw data.</w:t>
      </w:r>
    </w:p>
    <w:p w14:paraId="3DBF4E25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Yet FL’s decentralized structure introduces critical vulnerabilities. Byzantine attacks — where a subset of malicious clients deliberately submit poisoned gradients — can silently degrade or completely corrupt the global model. Moreover, existing FL systems suffer from a fundamental accountability deficit: there is no tamper-evident record of which participant contributed which update, making post-hoc auditing impossible. Finally, without economic incentives, rational participants have little motivation to invest in high-quality local training, leading to free-rider problems that undermine collaborative performance.</w:t>
      </w:r>
    </w:p>
    <w:p w14:paraId="6F25BB81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Blockchain technology offers a decentralized, immutable, and programmable substrate that can address these deficits simultaneously. Smart contracts enable deterministic, transparent execution of aggregation and incentive logic; the immutable ledger provides an unforgeable audit trail; and token economics create verifiable incentive alignment. We address these challenges holistically with BFL-Guard, whose key contributions are:</w:t>
      </w:r>
    </w:p>
    <w:p w14:paraId="15972A71" w14:textId="77777777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-SNARK-based gradient proof system enabling verifiable yet private participation.</w:t>
      </w:r>
    </w:p>
    <w:p w14:paraId="6343FE26" w14:textId="77777777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An on-chain Byzantine-Resilient Aggregation Contract (BRAC) in Solidity performing cosine-similarity filtering and reputation-weighted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FedAvg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.</w:t>
      </w:r>
    </w:p>
    <w:p w14:paraId="4279F47C" w14:textId="77777777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FedToken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: an ERC-20 incentive token with quality-proportional rewards and slashing for malicious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.</w:t>
      </w:r>
    </w:p>
    <w:p w14:paraId="5BA51C7A" w14:textId="77777777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A hybrid IPFS + on-chain storage architecture providing tamper-evident model version history.</w:t>
      </w:r>
    </w:p>
    <w:p w14:paraId="68424F95" w14:textId="77777777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lastRenderedPageBreak/>
        <w:t>Empirical evaluation demonstrating superior accuracy, faster convergence, and Byzantine robustness versus three baselines.</w:t>
      </w:r>
    </w:p>
    <w:p w14:paraId="52F3EA1C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42FDBE41" w14:textId="77777777" w:rsidR="00533D8C" w:rsidRPr="00D81508" w:rsidRDefault="00000000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5C5B282" wp14:editId="4611E2E7">
            <wp:extent cx="4937760" cy="2894549"/>
            <wp:effectExtent l="0" t="0" r="0" b="1270"/>
            <wp:docPr id="1" name="Figure" descr="Chart" titl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394" cy="289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89942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Figure 1. Five-layer BFL-Guard architecture. Clients generate local gradients and ZKP proofs; the BRAC smart contract filters Byzantine updates and aggregates certified ones; model checkpoints are pinned to IPFS with CIDs recorded on-chain; </w:t>
      </w:r>
      <w:proofErr w:type="spellStart"/>
      <w:r w:rsidRPr="00D81508">
        <w:rPr>
          <w:rFonts w:ascii="Times New Roman" w:hAnsi="Times New Roman" w:cs="Times New Roman"/>
          <w:b/>
          <w:bCs/>
          <w:sz w:val="20"/>
          <w:szCs w:val="20"/>
        </w:rPr>
        <w:t>FedToken</w:t>
      </w:r>
      <w:proofErr w:type="spellEnd"/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 incentives reward honest participants.</w:t>
      </w:r>
    </w:p>
    <w:p w14:paraId="7C9C440D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11EBA714" w14:textId="77777777" w:rsidR="00533D8C" w:rsidRPr="00D81508" w:rsidRDefault="00000000" w:rsidP="00D81508">
      <w:pPr>
        <w:pStyle w:val="Heading1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2. Related Work</w:t>
      </w:r>
    </w:p>
    <w:p w14:paraId="18756397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2.1 Federated Learning and Byzantine Robustness</w:t>
      </w:r>
    </w:p>
    <w:p w14:paraId="6A7A499B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McMahan et al. [2017] introduced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FedAvg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, the de facto FL standard, which averages participant gradients weighted by local dataset size.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FedAvg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is demonstrably vulnerable to Byzantine attacks: Blanchard et al. [2017] proposed Krum, selecting the gradient closest to its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neighbors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, while Yin et al. [2018] introduced coordinate-wise median and trimmed mean aggregation rules. These approaches improve robustness but lack formal verification and auditability properties essential for regulated deployments.</w:t>
      </w:r>
    </w:p>
    <w:p w14:paraId="7066B086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2.2 Blockchain-Based Federated Learning</w:t>
      </w:r>
    </w:p>
    <w:p w14:paraId="2E8EF021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Several works have explored combining blockchain with FL. Bao et al. [2019] proposed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FLChain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, where a blockchain records model hashes to detect tampering, but offers no Byzantine tolerance mechanism. Kim et al. [2020] introduced a smart contract for gradient aggregation, yet gradients are submitted in plaintext, threatening participant privacy. Nguyen et al. [2021] leveraged PBFT consensus for FL aggregator redundancy but did not address gradient privacy or economic incentives. Our work is the first to simultaneously address Byzantine tolerance, zero-knowledge gradient privacy, on-chain auditability, and tokenized incentives within a unified smart-contract architecture.</w:t>
      </w:r>
    </w:p>
    <w:p w14:paraId="3C9EE7BF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2.3 Zero-Knowledge Proofs in Machine Learning</w:t>
      </w:r>
    </w:p>
    <w:p w14:paraId="372D6859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Garg et al. [2023] demonstrated the feasibility of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 proofs for neural network inference verification. Sun et al. [2022] applied ZKPs to verify gradient norms in FL using Groth16. Our BRAC contract extends this by verifying both norm constraints and loss-reduction validity within a circuit that is efficiently verifiable on Ethereum using precompiled BN254 elliptic-curve operations (EIP-196/197).</w:t>
      </w:r>
    </w:p>
    <w:p w14:paraId="6408EFA1" w14:textId="77777777" w:rsidR="00533D8C" w:rsidRPr="00D81508" w:rsidRDefault="00000000" w:rsidP="00D81508">
      <w:pPr>
        <w:pStyle w:val="Heading1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3. System Model and Threat Model</w:t>
      </w:r>
    </w:p>
    <w:p w14:paraId="45DDD066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3.1 System Model</w:t>
      </w:r>
    </w:p>
    <w:p w14:paraId="6990BBE2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We consider a federated learning system with N clients C = {c₁, c₂, ...,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c_N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} and a blockchain-hosted aggregation contract A deployed on Ethereum. Each client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c_i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holds a private local dataset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D_i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drawn from distribution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P_i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. In each communication round t:</w:t>
      </w:r>
    </w:p>
    <w:p w14:paraId="7084BD57" w14:textId="77777777" w:rsidR="00533D8C" w:rsidRPr="00D81508" w:rsidRDefault="00000000" w:rsidP="00D81508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The global model wᵗ is published as an IPFS CID recorded on-chain by contract A.</w:t>
      </w:r>
    </w:p>
    <w:p w14:paraId="2F60B68E" w14:textId="77777777" w:rsidR="00533D8C" w:rsidRPr="00D81508" w:rsidRDefault="00000000" w:rsidP="00D81508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Each client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c_i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downloads wᵗ, computes a local gradient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Δw_i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over E epochs, and generates a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 proof π_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certifying validity.</w:t>
      </w:r>
    </w:p>
    <w:p w14:paraId="2C483A7B" w14:textId="77777777" w:rsidR="00533D8C" w:rsidRPr="00D81508" w:rsidRDefault="00000000" w:rsidP="00D81508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Clients submit (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Δw_i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, π_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stake_i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) to contract A via an Ethereum transaction.</w:t>
      </w:r>
    </w:p>
    <w:p w14:paraId="69F852CE" w14:textId="77777777" w:rsidR="00533D8C" w:rsidRPr="00D81508" w:rsidRDefault="00000000" w:rsidP="00D81508">
      <w:pPr>
        <w:pStyle w:val="ListParagraph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BRAC verifies all proofs, applies the Byzantine filter, aggregates certified updates, stores the new model on IPFS, and distributes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FedToken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rewards.</w:t>
      </w:r>
    </w:p>
    <w:p w14:paraId="768D85AB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3.2 Threat Model</w:t>
      </w:r>
    </w:p>
    <w:p w14:paraId="2E4DF359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We assume an adaptive Byzantine adversary controlling at most f &lt; N/3 clients. Byzantine clients may submit arbitrary gradient updates (random noise injection, gradient reversal, scaling attacks) and may collude. We assume the blockchain consensus layer is honest (standard Ethereum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PoS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security assumption). The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 trusted setup is performed via a multi-party computation (MPC) ceremony.</w:t>
      </w:r>
    </w:p>
    <w:p w14:paraId="7F7D6B7B" w14:textId="77777777" w:rsidR="00533D8C" w:rsidRPr="00D81508" w:rsidRDefault="00000000" w:rsidP="00D81508">
      <w:pPr>
        <w:pStyle w:val="Heading1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4. BFL-Guard Architecture</w:t>
      </w:r>
    </w:p>
    <w:p w14:paraId="099138D6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Table 1 describes the five-layer architecture of BFL-Guard. Figure 1 (above) illustrates the full data flow from client gradient computation through on-chain aggregation to model checkpoint storage.</w:t>
      </w:r>
    </w:p>
    <w:p w14:paraId="233E13A1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1F83CF92" w14:textId="77777777" w:rsidR="00533D8C" w:rsidRDefault="00000000" w:rsidP="003A41C5">
      <w:pPr>
        <w:spacing w:before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>Table 1: BFL-Guard Five-Layer Architecture</w:t>
      </w:r>
    </w:p>
    <w:p w14:paraId="7D38386C" w14:textId="77777777" w:rsidR="00D81508" w:rsidRPr="00D81508" w:rsidRDefault="00D81508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000"/>
        <w:gridCol w:w="3680"/>
        <w:gridCol w:w="3680"/>
      </w:tblGrid>
      <w:tr w:rsidR="00533D8C" w:rsidRPr="00D81508" w14:paraId="7C40ADD2" w14:textId="77777777" w:rsidTr="002A7441">
        <w:trPr>
          <w:trHeight w:val="442"/>
          <w:jc w:val="center"/>
        </w:trPr>
        <w:tc>
          <w:tcPr>
            <w:tcW w:w="2000" w:type="dxa"/>
          </w:tcPr>
          <w:p w14:paraId="1EBEE3D7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Layer</w:t>
            </w:r>
          </w:p>
        </w:tc>
        <w:tc>
          <w:tcPr>
            <w:tcW w:w="3680" w:type="dxa"/>
          </w:tcPr>
          <w:p w14:paraId="1C3773BE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</w:p>
        </w:tc>
        <w:tc>
          <w:tcPr>
            <w:tcW w:w="3680" w:type="dxa"/>
          </w:tcPr>
          <w:p w14:paraId="16600230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Blockchain Role</w:t>
            </w:r>
          </w:p>
        </w:tc>
      </w:tr>
      <w:tr w:rsidR="00533D8C" w:rsidRPr="00D81508" w14:paraId="6894060E" w14:textId="77777777" w:rsidTr="002A7441">
        <w:trPr>
          <w:trHeight w:val="757"/>
          <w:jc w:val="center"/>
        </w:trPr>
        <w:tc>
          <w:tcPr>
            <w:tcW w:w="2000" w:type="dxa"/>
          </w:tcPr>
          <w:p w14:paraId="58594EF1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Client Layer</w:t>
            </w:r>
          </w:p>
        </w:tc>
        <w:tc>
          <w:tcPr>
            <w:tcW w:w="3680" w:type="dxa"/>
          </w:tcPr>
          <w:p w14:paraId="753664EA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Edge devices, IoT nodes, mobile participants</w:t>
            </w:r>
          </w:p>
        </w:tc>
        <w:tc>
          <w:tcPr>
            <w:tcW w:w="3680" w:type="dxa"/>
          </w:tcPr>
          <w:p w14:paraId="42CA5E64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Generates ZKP proofs; submits gradient hashes</w:t>
            </w:r>
          </w:p>
        </w:tc>
      </w:tr>
      <w:tr w:rsidR="00533D8C" w:rsidRPr="00D81508" w14:paraId="19698783" w14:textId="77777777" w:rsidTr="002A7441">
        <w:trPr>
          <w:trHeight w:val="757"/>
          <w:jc w:val="center"/>
        </w:trPr>
        <w:tc>
          <w:tcPr>
            <w:tcW w:w="2000" w:type="dxa"/>
          </w:tcPr>
          <w:p w14:paraId="11B93E3A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Aggregation Layer</w:t>
            </w:r>
          </w:p>
        </w:tc>
        <w:tc>
          <w:tcPr>
            <w:tcW w:w="3680" w:type="dxa"/>
          </w:tcPr>
          <w:p w14:paraId="0A94E335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BRAC smart contract, reputation engine</w:t>
            </w:r>
          </w:p>
        </w:tc>
        <w:tc>
          <w:tcPr>
            <w:tcW w:w="3680" w:type="dxa"/>
          </w:tcPr>
          <w:p w14:paraId="0CDD1B35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Validates proofs; executes Byzantine filter on-chain</w:t>
            </w:r>
          </w:p>
        </w:tc>
      </w:tr>
      <w:tr w:rsidR="00533D8C" w:rsidRPr="00D81508" w14:paraId="7FBA2C3E" w14:textId="77777777" w:rsidTr="002A7441">
        <w:trPr>
          <w:trHeight w:val="757"/>
          <w:jc w:val="center"/>
        </w:trPr>
        <w:tc>
          <w:tcPr>
            <w:tcW w:w="2000" w:type="dxa"/>
          </w:tcPr>
          <w:p w14:paraId="00807C78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Storage Layer</w:t>
            </w:r>
          </w:p>
        </w:tc>
        <w:tc>
          <w:tcPr>
            <w:tcW w:w="3680" w:type="dxa"/>
          </w:tcPr>
          <w:p w14:paraId="5C33ACD5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IPFS distributed storage, model checkpoints</w:t>
            </w:r>
          </w:p>
        </w:tc>
        <w:tc>
          <w:tcPr>
            <w:tcW w:w="3680" w:type="dxa"/>
          </w:tcPr>
          <w:p w14:paraId="457A4BC9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Content-addressed CIDs pinned on-chain</w:t>
            </w:r>
          </w:p>
        </w:tc>
      </w:tr>
      <w:tr w:rsidR="00533D8C" w:rsidRPr="00D81508" w14:paraId="48397101" w14:textId="77777777" w:rsidTr="002A7441">
        <w:trPr>
          <w:trHeight w:val="757"/>
          <w:jc w:val="center"/>
        </w:trPr>
        <w:tc>
          <w:tcPr>
            <w:tcW w:w="2000" w:type="dxa"/>
          </w:tcPr>
          <w:p w14:paraId="244038A4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Consensus Layer</w:t>
            </w:r>
          </w:p>
        </w:tc>
        <w:tc>
          <w:tcPr>
            <w:tcW w:w="3680" w:type="dxa"/>
          </w:tcPr>
          <w:p w14:paraId="4EC9B7A1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 xml:space="preserve">Ethereum </w:t>
            </w:r>
            <w:proofErr w:type="spellStart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proofErr w:type="spellEnd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 xml:space="preserve"> validators, EIP-4844 blobs</w:t>
            </w:r>
          </w:p>
        </w:tc>
        <w:tc>
          <w:tcPr>
            <w:tcW w:w="3680" w:type="dxa"/>
          </w:tcPr>
          <w:p w14:paraId="2B968357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Immutable finality for model version history</w:t>
            </w:r>
          </w:p>
        </w:tc>
      </w:tr>
      <w:tr w:rsidR="00533D8C" w:rsidRPr="00D81508" w14:paraId="2B9B2347" w14:textId="77777777" w:rsidTr="002A7441">
        <w:trPr>
          <w:trHeight w:val="757"/>
          <w:jc w:val="center"/>
        </w:trPr>
        <w:tc>
          <w:tcPr>
            <w:tcW w:w="2000" w:type="dxa"/>
          </w:tcPr>
          <w:p w14:paraId="5EB10961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Incentive Layer</w:t>
            </w:r>
          </w:p>
        </w:tc>
        <w:tc>
          <w:tcPr>
            <w:tcW w:w="3680" w:type="dxa"/>
          </w:tcPr>
          <w:p w14:paraId="48C1BC28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FedToken</w:t>
            </w:r>
            <w:proofErr w:type="spellEnd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 xml:space="preserve"> ERC-20, slashing conditions</w:t>
            </w:r>
          </w:p>
        </w:tc>
        <w:tc>
          <w:tcPr>
            <w:tcW w:w="3680" w:type="dxa"/>
          </w:tcPr>
          <w:p w14:paraId="4B5C3647" w14:textId="77777777" w:rsidR="00533D8C" w:rsidRPr="00D81508" w:rsidRDefault="00000000" w:rsidP="00D81508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Reward honest clients; slash malicious actors</w:t>
            </w:r>
          </w:p>
        </w:tc>
      </w:tr>
    </w:tbl>
    <w:p w14:paraId="79A51A54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4DF009EB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4.1 Zero-Knowledge Gradient Proof System</w:t>
      </w:r>
    </w:p>
    <w:p w14:paraId="0CB94A86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Each client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c_i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constructs an arithmetic circuit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C_i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encoding three constraints on its gradient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Δw_i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:</w:t>
      </w:r>
    </w:p>
    <w:p w14:paraId="3B6CBB77" w14:textId="077D4D03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Norm constraint: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≤ Δ</m:t>
        </m:r>
      </m:oMath>
      <w:r w:rsidRPr="00D81508">
        <w:rPr>
          <w:rFonts w:ascii="Times New Roman" w:hAnsi="Times New Roman" w:cs="Times New Roman"/>
          <w:sz w:val="20"/>
          <w:szCs w:val="20"/>
        </w:rPr>
        <w:t>_max (prevents gradient explosion attacks).</w:t>
      </w:r>
    </w:p>
    <w:p w14:paraId="55609454" w14:textId="289108FC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Loss-reduction validity: </w:t>
      </w:r>
      <m:oMath>
        <m:r>
          <w:rPr>
            <w:rFonts w:ascii="Cambria Math" w:hAnsi="Cambria Math" w:cs="Times New Roman"/>
            <w:sz w:val="20"/>
            <w:szCs w:val="20"/>
          </w:rPr>
          <m:t>L(wᵗ - ηΔw_i; D_i) &lt; L(wᵗ; D_i</m:t>
        </m:r>
      </m:oMath>
      <w:r w:rsidRPr="00D81508">
        <w:rPr>
          <w:rFonts w:ascii="Times New Roman" w:hAnsi="Times New Roman" w:cs="Times New Roman"/>
          <w:sz w:val="20"/>
          <w:szCs w:val="20"/>
        </w:rPr>
        <w:t>) (update genuinely improves local loss).</w:t>
      </w:r>
    </w:p>
    <w:p w14:paraId="75273B05" w14:textId="77777777" w:rsidR="00533D8C" w:rsidRPr="00D81508" w:rsidRDefault="00000000" w:rsidP="00D81508">
      <w:pPr>
        <w:pStyle w:val="ListParagraph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Commitment binding: H(IPFS_</w:t>
      </w:r>
      <w:proofErr w:type="gramStart"/>
      <w:r w:rsidRPr="00D81508">
        <w:rPr>
          <w:rFonts w:ascii="Times New Roman" w:hAnsi="Times New Roman" w:cs="Times New Roman"/>
          <w:sz w:val="20"/>
          <w:szCs w:val="20"/>
        </w:rPr>
        <w:t>CID(</w:t>
      </w:r>
      <w:proofErr w:type="gramEnd"/>
      <w:r w:rsidRPr="00D81508">
        <w:rPr>
          <w:rFonts w:ascii="Times New Roman" w:hAnsi="Times New Roman" w:cs="Times New Roman"/>
          <w:sz w:val="20"/>
          <w:szCs w:val="20"/>
        </w:rPr>
        <w:t xml:space="preserve">wᵗ) ||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Δw_i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||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nonce_i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) =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cm_i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(binds gradient to the current global model round).</w:t>
      </w:r>
    </w:p>
    <w:p w14:paraId="7D102D38" w14:textId="6CB3EF1E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The client generates a Groth16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-SNARK proof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π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 Prove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D81508">
        <w:rPr>
          <w:rFonts w:ascii="Times New Roman" w:hAnsi="Times New Roman" w:cs="Times New Roman"/>
          <w:sz w:val="20"/>
          <w:szCs w:val="20"/>
        </w:rPr>
        <w:t xml:space="preserve"> where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d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>, nonc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D81508">
        <w:rPr>
          <w:rFonts w:ascii="Times New Roman" w:hAnsi="Times New Roman" w:cs="Times New Roman"/>
          <w:sz w:val="20"/>
          <w:szCs w:val="20"/>
        </w:rPr>
        <w:t xml:space="preserve"> is the public input and w_i is the private witness (the gradient itself). The on-chain BRAC verifier calls the BN254 pairing precompile (EIP-197) to verify π_i in approximately 200,000 gas per client.</w:t>
      </w:r>
    </w:p>
    <w:p w14:paraId="70A3A7AA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4.2 Byzantine-Resilient Aggregation Contract (BRAC)</w:t>
      </w:r>
    </w:p>
    <w:p w14:paraId="51641B5E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After proof verification, BRAC implements a two-phase Byzantine filter. In Phase 1 (Cosine Clustering), the contract computes pairwise cosine similarities among submitted gradient commitment vectors. Updates whose cosine similarity to the centroid falls below threshold τ = 0.6 are flagged as outliers. In Phase 2 (Reputation Weighting), each non-flagged client’s update is weighted by its cumulative reputation score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r_i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</w:t>
      </w:r>
      <w:r w:rsidRPr="00D81508">
        <w:rPr>
          <w:rFonts w:ascii="Cambria Math" w:hAnsi="Cambria Math" w:cs="Cambria Math"/>
          <w:sz w:val="20"/>
          <w:szCs w:val="20"/>
        </w:rPr>
        <w:t>∈</w:t>
      </w:r>
      <w:r w:rsidRPr="00D81508">
        <w:rPr>
          <w:rFonts w:ascii="Times New Roman" w:hAnsi="Times New Roman" w:cs="Times New Roman"/>
          <w:sz w:val="20"/>
          <w:szCs w:val="20"/>
        </w:rPr>
        <w:t xml:space="preserve"> [0,1]:</w:t>
      </w:r>
    </w:p>
    <w:p w14:paraId="087AD3AC" w14:textId="618D99C3" w:rsidR="00533D8C" w:rsidRPr="00D81508" w:rsidRDefault="003A41C5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eastAsia="Courier New" w:hAnsi="Cambria Math" w:cs="Times New Roman"/>
              <w:sz w:val="20"/>
              <w:szCs w:val="20"/>
            </w:rPr>
            <m:t xml:space="preserve">Δw* = </m:t>
          </m:r>
          <m:sSub>
            <m:sSubPr>
              <m:ctrlPr>
                <w:rPr>
                  <w:rFonts w:ascii="Cambria Math" w:eastAsia="Courier New" w:hAnsi="Cambria Math" w:cs="Times New Roman"/>
                  <w:b/>
                  <w:bCs/>
                  <w:i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Courier New" w:hAnsi="Cambria Math" w:cs="Times New Roman"/>
                  <w:sz w:val="20"/>
                  <w:szCs w:val="20"/>
                </w:rPr>
                <m:t>Σ</m:t>
              </m:r>
            </m:e>
            <m:sub>
              <m:d>
                <m:dPr>
                  <m:begChr m:val="{"/>
                  <m:endChr m:val="}"/>
                  <m:ctrlPr>
                    <w:rPr>
                      <w:rFonts w:ascii="Cambria Math" w:eastAsia="Courier New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ourier New" w:hAnsi="Cambria Math" w:cs="Times New Roman"/>
                      <w:sz w:val="20"/>
                      <w:szCs w:val="20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Courier New" w:hAnsi="Cambria Math" w:cs="Cambria Math"/>
                      <w:sz w:val="20"/>
                      <w:szCs w:val="20"/>
                    </w:rPr>
                    <m:t>∈</m:t>
                  </m:r>
                  <m:r>
                    <m:rPr>
                      <m:sty m:val="bi"/>
                    </m:rPr>
                    <w:rPr>
                      <w:rFonts w:ascii="Cambria Math" w:eastAsia="Courier New" w:hAnsi="Cambria Math" w:cs="Times New Roman"/>
                      <w:sz w:val="20"/>
                      <w:szCs w:val="20"/>
                    </w:rPr>
                    <m:t>S</m:t>
                  </m:r>
                </m:e>
              </m:d>
              <m:sSub>
                <m:sSubPr>
                  <m:ctrlPr>
                    <w:rPr>
                      <w:rFonts w:ascii="Cambria Math" w:eastAsia="Courier New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ourier New" w:hAnsi="Cambria Math" w:cs="Times New Roman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ourier New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eastAsia="Courier New" w:hAnsi="Cambria Math" w:cs="Times New Roman"/>
              <w:sz w:val="20"/>
              <w:szCs w:val="20"/>
            </w:rPr>
            <m:t xml:space="preserve">· </m:t>
          </m:r>
          <m:f>
            <m:fPr>
              <m:ctrlPr>
                <w:rPr>
                  <w:rFonts w:ascii="Cambria Math" w:eastAsia="Courier New" w:hAnsi="Cambria Math" w:cs="Times New Roman"/>
                  <w:b/>
                  <w:bCs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ourier New" w:hAnsi="Cambria Math" w:cs="Times New Roman"/>
                  <w:sz w:val="20"/>
                  <w:szCs w:val="20"/>
                </w:rPr>
                <m:t>Δ</m:t>
              </m:r>
              <m:sSub>
                <m:sSubPr>
                  <m:ctrlPr>
                    <w:rPr>
                      <w:rFonts w:ascii="Cambria Math" w:eastAsia="Courier New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ourier New" w:hAnsi="Cambria Math" w:cs="Times New Roman"/>
                      <w:sz w:val="20"/>
                      <w:szCs w:val="20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ourier New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ourier New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ourier New" w:hAnsi="Cambria Math" w:cs="Times New Roman"/>
                      <w:sz w:val="20"/>
                      <w:szCs w:val="20"/>
                    </w:rPr>
                    <m:t>Σ</m:t>
                  </m:r>
                </m:e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eastAsia="Courier New" w:hAnsi="Cambria Math" w:cs="Times New Roman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ourier New" w:hAnsi="Cambria Math" w:cs="Times New Roman"/>
                          <w:sz w:val="20"/>
                          <w:szCs w:val="20"/>
                        </w:rPr>
                        <m:t>i</m:t>
                      </m:r>
                      <m:r>
                        <m:rPr>
                          <m:sty m:val="bi"/>
                        </m:rPr>
                        <w:rPr>
                          <w:rFonts w:ascii="Cambria Math" w:eastAsia="Courier New" w:hAnsi="Cambria Math" w:cs="Cambria Math"/>
                          <w:sz w:val="20"/>
                          <w:szCs w:val="20"/>
                        </w:rPr>
                        <m:t>∈</m:t>
                      </m:r>
                      <m:r>
                        <m:rPr>
                          <m:sty m:val="bi"/>
                        </m:rPr>
                        <w:rPr>
                          <w:rFonts w:ascii="Cambria Math" w:eastAsia="Courier New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="Courier New" w:hAnsi="Cambria Math" w:cs="Times New Roman"/>
                          <w:b/>
                          <w:bCs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Courier New" w:hAnsi="Cambria Math" w:cs="Times New Roman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Courier New" w:hAnsi="Cambria Math" w:cs="Times New Roman"/>
                          <w:sz w:val="20"/>
                          <w:szCs w:val="20"/>
                        </w:rPr>
                        <m:t>i</m:t>
                      </m:r>
                    </m:sub>
                  </m:sSub>
                </m:sub>
              </m:sSub>
            </m:den>
          </m:f>
          <m:r>
            <m:rPr>
              <m:sty m:val="bi"/>
            </m:rPr>
            <w:rPr>
              <w:rFonts w:ascii="Cambria Math" w:eastAsia="Courier New" w:hAnsi="Cambria Math" w:cs="Times New Roman"/>
              <w:sz w:val="20"/>
              <w:szCs w:val="20"/>
            </w:rPr>
            <m:t xml:space="preserve"> </m:t>
          </m:r>
        </m:oMath>
      </m:oMathPara>
    </w:p>
    <w:p w14:paraId="6B171DE3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where S is the set of certified (non-flagged) clients. The new global model w^{t+1} = wᵗ −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ηΔw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* is serialized and pinned to IPFS; its CID is committed on-chain with a Merkle proof linking it to the full training history.</w:t>
      </w:r>
    </w:p>
    <w:p w14:paraId="70E27457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4.3 Tokenized Incentive Protocol (</w:t>
      </w:r>
      <w:proofErr w:type="spellStart"/>
      <w:r w:rsidRPr="00D81508">
        <w:rPr>
          <w:rFonts w:ascii="Times New Roman" w:hAnsi="Times New Roman" w:cs="Times New Roman"/>
          <w:color w:val="auto"/>
          <w:sz w:val="20"/>
          <w:szCs w:val="20"/>
        </w:rPr>
        <w:t>FedToken</w:t>
      </w:r>
      <w:proofErr w:type="spellEnd"/>
      <w:r w:rsidRPr="00D81508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14:paraId="3A961695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Each client must deposit a stake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s_i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(in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FedToken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) before participating. Upon round completion, BRAC distributes rewards proportionally to a quality score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q_i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= α·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sim_i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+ β·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data_i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+ (1−α−</w:t>
      </w:r>
      <w:proofErr w:type="gramStart"/>
      <w:r w:rsidRPr="00D81508">
        <w:rPr>
          <w:rFonts w:ascii="Times New Roman" w:hAnsi="Times New Roman" w:cs="Times New Roman"/>
          <w:sz w:val="20"/>
          <w:szCs w:val="20"/>
        </w:rPr>
        <w:t>β)·</w:t>
      </w:r>
      <w:proofErr w:type="spellStart"/>
      <w:proofErr w:type="gramEnd"/>
      <w:r w:rsidRPr="00D81508">
        <w:rPr>
          <w:rFonts w:ascii="Times New Roman" w:hAnsi="Times New Roman" w:cs="Times New Roman"/>
          <w:sz w:val="20"/>
          <w:szCs w:val="20"/>
        </w:rPr>
        <w:t>timeliness_i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. Clients whose updates are flagged as Byzantine forfeit their stake, which is redistributed to honest participants — ensuring incentive compatibility under standard rational-agent assumptions.</w:t>
      </w:r>
    </w:p>
    <w:p w14:paraId="2AED180A" w14:textId="77777777" w:rsidR="00533D8C" w:rsidRPr="00D81508" w:rsidRDefault="00000000" w:rsidP="00D81508">
      <w:pPr>
        <w:pStyle w:val="Heading1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5. Experimental Evaluation</w:t>
      </w:r>
    </w:p>
    <w:p w14:paraId="64BFFD2A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5.1 Experimental Setup</w:t>
      </w:r>
    </w:p>
    <w:p w14:paraId="346023AD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We evaluate BFL-Guard on CIFAR-10 (image classification, CNN backbone) and Shakespeare (next-character prediction, LSTM backbone) in both IID and Non-IID (α = 0.5 Dirichlet partition) settings. We simulate N = 100 clients with 10 selected per round. Byzantine clients (0–30%) execute gradient reversal attacks. All experiments run on a private Ethereum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testnet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(Hardhat) with IPFS nodes co-located with clients.</w:t>
      </w:r>
    </w:p>
    <w:p w14:paraId="67458182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5.2 Accuracy Under Byzantine Attack</w:t>
      </w:r>
    </w:p>
    <w:p w14:paraId="70863403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Figure 2 plots test accuracy as Byzantine client fraction increases from 0% to 30%. BFL-Guard maintains superior accuracy across both datasets and degrades far more gracefully than all baselines. At 30% Byzantine injection, BFL-Guard achieves 85.1% (IID) and 80.2% (Non-IID) versus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FedAvg’s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catastrophic 61.4% and 54.8%.</w:t>
      </w:r>
    </w:p>
    <w:p w14:paraId="6786447C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24FE2A61" w14:textId="77777777" w:rsidR="00533D8C" w:rsidRPr="00D81508" w:rsidRDefault="00000000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0E8F47D" wp14:editId="3ACA2222">
            <wp:extent cx="6273018" cy="2554014"/>
            <wp:effectExtent l="0" t="0" r="0" b="0"/>
            <wp:docPr id="1629749868" name="Figure" descr="Chart" titl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307" cy="25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CA334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Figure 2. Test accuracy vs. Byzantine client fraction. BFL-Guard maintains robust accuracy where </w:t>
      </w:r>
      <w:proofErr w:type="spellStart"/>
      <w:r w:rsidRPr="00D81508">
        <w:rPr>
          <w:rFonts w:ascii="Times New Roman" w:hAnsi="Times New Roman" w:cs="Times New Roman"/>
          <w:b/>
          <w:bCs/>
          <w:sz w:val="20"/>
          <w:szCs w:val="20"/>
        </w:rPr>
        <w:t>FedAvg</w:t>
      </w:r>
      <w:proofErr w:type="spellEnd"/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 and other baselines collapse under adversarial conditions.</w:t>
      </w:r>
    </w:p>
    <w:p w14:paraId="0AFDE52D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494D964F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5.3 Convergence Speed</w:t>
      </w:r>
    </w:p>
    <w:p w14:paraId="408C3FEC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Figure 3 shows convergence curves over 160 communication rounds. BFL-Guard converges faster than all baselines in both data settings, reaching target accuracy in 105 rounds versus 120 (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FedAvg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), 130 (PBFT-FL), and 145 (ZKP-FL). The reputation-weighted aggregation effectively amplifies high-quality updates, accelerating optimization.</w:t>
      </w:r>
    </w:p>
    <w:p w14:paraId="5F7D17CD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5D06EFDC" w14:textId="77777777" w:rsidR="00533D8C" w:rsidRPr="00D81508" w:rsidRDefault="00000000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58AF47B" wp14:editId="7ED1F224">
            <wp:extent cx="5334000" cy="2171700"/>
            <wp:effectExtent l="0" t="0" r="0" b="0"/>
            <wp:docPr id="134050496" name="Figure" descr="Chart" titl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CA356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Figure 3. Convergence curves over communication rounds. BFL-Guard achieves faster convergence than all baselines, particularly under </w:t>
      </w:r>
      <w:proofErr w:type="gramStart"/>
      <w:r w:rsidRPr="00D81508">
        <w:rPr>
          <w:rFonts w:ascii="Times New Roman" w:hAnsi="Times New Roman" w:cs="Times New Roman"/>
          <w:b/>
          <w:bCs/>
          <w:sz w:val="20"/>
          <w:szCs w:val="20"/>
        </w:rPr>
        <w:t>Non-IID</w:t>
      </w:r>
      <w:proofErr w:type="gramEnd"/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 data distribution where data heterogeneity typically slows optimization.</w:t>
      </w:r>
    </w:p>
    <w:p w14:paraId="418300F8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59C90521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Table 2 provides a comprehensive numerical comparison across all methods and evaluation dimensions.</w:t>
      </w:r>
    </w:p>
    <w:p w14:paraId="0FD6B76E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3B47B4C7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>Table 2: Performance Comparison Across Methods and Settings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200"/>
        <w:gridCol w:w="1700"/>
        <w:gridCol w:w="1700"/>
        <w:gridCol w:w="1860"/>
        <w:gridCol w:w="1900"/>
      </w:tblGrid>
      <w:tr w:rsidR="00533D8C" w:rsidRPr="00D81508" w14:paraId="55B02271" w14:textId="77777777" w:rsidTr="00D81508">
        <w:trPr>
          <w:jc w:val="center"/>
        </w:trPr>
        <w:tc>
          <w:tcPr>
            <w:tcW w:w="2200" w:type="dxa"/>
          </w:tcPr>
          <w:p w14:paraId="48EF0A83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Feature / System</w:t>
            </w:r>
          </w:p>
        </w:tc>
        <w:tc>
          <w:tcPr>
            <w:tcW w:w="1700" w:type="dxa"/>
          </w:tcPr>
          <w:p w14:paraId="157323BA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FedAvg</w:t>
            </w:r>
            <w:proofErr w:type="spellEnd"/>
          </w:p>
        </w:tc>
        <w:tc>
          <w:tcPr>
            <w:tcW w:w="1700" w:type="dxa"/>
          </w:tcPr>
          <w:p w14:paraId="7D2E4BC4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PBFT-FL</w:t>
            </w:r>
          </w:p>
        </w:tc>
        <w:tc>
          <w:tcPr>
            <w:tcW w:w="1860" w:type="dxa"/>
          </w:tcPr>
          <w:p w14:paraId="741D9D0E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ZKP-FL</w:t>
            </w:r>
          </w:p>
        </w:tc>
        <w:tc>
          <w:tcPr>
            <w:tcW w:w="1900" w:type="dxa"/>
          </w:tcPr>
          <w:p w14:paraId="2F1F0FDB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BFL-Guard (Ours)</w:t>
            </w:r>
          </w:p>
        </w:tc>
      </w:tr>
      <w:tr w:rsidR="00533D8C" w:rsidRPr="00D81508" w14:paraId="2C17688C" w14:textId="77777777" w:rsidTr="00D81508">
        <w:trPr>
          <w:jc w:val="center"/>
        </w:trPr>
        <w:tc>
          <w:tcPr>
            <w:tcW w:w="2200" w:type="dxa"/>
          </w:tcPr>
          <w:p w14:paraId="612639BE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Byzantine Tolerance</w:t>
            </w:r>
          </w:p>
        </w:tc>
        <w:tc>
          <w:tcPr>
            <w:tcW w:w="1700" w:type="dxa"/>
          </w:tcPr>
          <w:p w14:paraId="12820F0F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22886E8B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60" w:type="dxa"/>
          </w:tcPr>
          <w:p w14:paraId="670597E5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Partial</w:t>
            </w:r>
          </w:p>
        </w:tc>
        <w:tc>
          <w:tcPr>
            <w:tcW w:w="1900" w:type="dxa"/>
          </w:tcPr>
          <w:p w14:paraId="5CA11E61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Yes (≤33%)</w:t>
            </w:r>
          </w:p>
        </w:tc>
      </w:tr>
      <w:tr w:rsidR="00533D8C" w:rsidRPr="00D81508" w14:paraId="3AEB8BF1" w14:textId="77777777" w:rsidTr="00D81508">
        <w:trPr>
          <w:jc w:val="center"/>
        </w:trPr>
        <w:tc>
          <w:tcPr>
            <w:tcW w:w="2200" w:type="dxa"/>
          </w:tcPr>
          <w:p w14:paraId="19129FA0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On-Chain Audit Trail</w:t>
            </w:r>
          </w:p>
        </w:tc>
        <w:tc>
          <w:tcPr>
            <w:tcW w:w="1700" w:type="dxa"/>
          </w:tcPr>
          <w:p w14:paraId="7A826BA7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7868DE26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60" w:type="dxa"/>
          </w:tcPr>
          <w:p w14:paraId="6A1F5B00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00" w:type="dxa"/>
          </w:tcPr>
          <w:p w14:paraId="4FF3114D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Yes (</w:t>
            </w:r>
            <w:proofErr w:type="spellStart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IPFS+Chain</w:t>
            </w:r>
            <w:proofErr w:type="spellEnd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33D8C" w:rsidRPr="00D81508" w14:paraId="0E486286" w14:textId="77777777" w:rsidTr="00D81508">
        <w:trPr>
          <w:jc w:val="center"/>
        </w:trPr>
        <w:tc>
          <w:tcPr>
            <w:tcW w:w="2200" w:type="dxa"/>
          </w:tcPr>
          <w:p w14:paraId="796475A3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Gradient Privacy (ZKP)</w:t>
            </w:r>
          </w:p>
        </w:tc>
        <w:tc>
          <w:tcPr>
            <w:tcW w:w="1700" w:type="dxa"/>
          </w:tcPr>
          <w:p w14:paraId="1E01ED4C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4AF9327C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60" w:type="dxa"/>
          </w:tcPr>
          <w:p w14:paraId="55128986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00" w:type="dxa"/>
          </w:tcPr>
          <w:p w14:paraId="4332C8A6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Yes (</w:t>
            </w:r>
            <w:proofErr w:type="spellStart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zk</w:t>
            </w:r>
            <w:proofErr w:type="spellEnd"/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-SNARK)</w:t>
            </w:r>
          </w:p>
        </w:tc>
      </w:tr>
      <w:tr w:rsidR="00533D8C" w:rsidRPr="00D81508" w14:paraId="41436EA2" w14:textId="77777777" w:rsidTr="00D81508">
        <w:trPr>
          <w:jc w:val="center"/>
        </w:trPr>
        <w:tc>
          <w:tcPr>
            <w:tcW w:w="2200" w:type="dxa"/>
          </w:tcPr>
          <w:p w14:paraId="09F85678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Incentive Mechanism</w:t>
            </w:r>
          </w:p>
        </w:tc>
        <w:tc>
          <w:tcPr>
            <w:tcW w:w="1700" w:type="dxa"/>
          </w:tcPr>
          <w:p w14:paraId="1719FE61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0" w:type="dxa"/>
          </w:tcPr>
          <w:p w14:paraId="5B409F56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860" w:type="dxa"/>
          </w:tcPr>
          <w:p w14:paraId="592D86C0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00" w:type="dxa"/>
          </w:tcPr>
          <w:p w14:paraId="42974BCA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Yes (Token-based)</w:t>
            </w:r>
          </w:p>
        </w:tc>
      </w:tr>
      <w:tr w:rsidR="00533D8C" w:rsidRPr="00D81508" w14:paraId="7252EDA3" w14:textId="77777777" w:rsidTr="00D81508">
        <w:trPr>
          <w:jc w:val="center"/>
        </w:trPr>
        <w:tc>
          <w:tcPr>
            <w:tcW w:w="2200" w:type="dxa"/>
          </w:tcPr>
          <w:p w14:paraId="52F8060E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Avg. Accuracy (IID)</w:t>
            </w:r>
          </w:p>
        </w:tc>
        <w:tc>
          <w:tcPr>
            <w:tcW w:w="1700" w:type="dxa"/>
          </w:tcPr>
          <w:p w14:paraId="100D32B0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94.1%</w:t>
            </w:r>
          </w:p>
        </w:tc>
        <w:tc>
          <w:tcPr>
            <w:tcW w:w="1700" w:type="dxa"/>
          </w:tcPr>
          <w:p w14:paraId="655E371E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93.8%</w:t>
            </w:r>
          </w:p>
        </w:tc>
        <w:tc>
          <w:tcPr>
            <w:tcW w:w="1860" w:type="dxa"/>
          </w:tcPr>
          <w:p w14:paraId="6A75680A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93.5%</w:t>
            </w:r>
          </w:p>
        </w:tc>
        <w:tc>
          <w:tcPr>
            <w:tcW w:w="1900" w:type="dxa"/>
          </w:tcPr>
          <w:p w14:paraId="35254849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95.2%</w:t>
            </w:r>
          </w:p>
        </w:tc>
      </w:tr>
      <w:tr w:rsidR="00533D8C" w:rsidRPr="00D81508" w14:paraId="34755112" w14:textId="77777777" w:rsidTr="00D81508">
        <w:trPr>
          <w:jc w:val="center"/>
        </w:trPr>
        <w:tc>
          <w:tcPr>
            <w:tcW w:w="2200" w:type="dxa"/>
          </w:tcPr>
          <w:p w14:paraId="72736D3D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Avg. Accuracy (Non-IID)</w:t>
            </w:r>
          </w:p>
        </w:tc>
        <w:tc>
          <w:tcPr>
            <w:tcW w:w="1700" w:type="dxa"/>
          </w:tcPr>
          <w:p w14:paraId="5132B412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82.3%</w:t>
            </w:r>
          </w:p>
        </w:tc>
        <w:tc>
          <w:tcPr>
            <w:tcW w:w="1700" w:type="dxa"/>
          </w:tcPr>
          <w:p w14:paraId="2132FA92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83.1%</w:t>
            </w:r>
          </w:p>
        </w:tc>
        <w:tc>
          <w:tcPr>
            <w:tcW w:w="1860" w:type="dxa"/>
          </w:tcPr>
          <w:p w14:paraId="3BC37953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82.9%</w:t>
            </w:r>
          </w:p>
        </w:tc>
        <w:tc>
          <w:tcPr>
            <w:tcW w:w="1900" w:type="dxa"/>
          </w:tcPr>
          <w:p w14:paraId="5512272A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87.6%</w:t>
            </w:r>
          </w:p>
        </w:tc>
      </w:tr>
      <w:tr w:rsidR="00533D8C" w:rsidRPr="00D81508" w14:paraId="53AD5696" w14:textId="77777777" w:rsidTr="00D81508">
        <w:trPr>
          <w:jc w:val="center"/>
        </w:trPr>
        <w:tc>
          <w:tcPr>
            <w:tcW w:w="2200" w:type="dxa"/>
          </w:tcPr>
          <w:p w14:paraId="13B3FF13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Comm. Overhead (MB/round)</w:t>
            </w:r>
          </w:p>
        </w:tc>
        <w:tc>
          <w:tcPr>
            <w:tcW w:w="1700" w:type="dxa"/>
          </w:tcPr>
          <w:p w14:paraId="7B4D4614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00" w:type="dxa"/>
          </w:tcPr>
          <w:p w14:paraId="5E8666B9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1860" w:type="dxa"/>
          </w:tcPr>
          <w:p w14:paraId="651FB1FA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900" w:type="dxa"/>
          </w:tcPr>
          <w:p w14:paraId="0BFBBDCF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</w:tr>
      <w:tr w:rsidR="00533D8C" w:rsidRPr="00D81508" w14:paraId="2A000B48" w14:textId="77777777" w:rsidTr="00D81508">
        <w:trPr>
          <w:jc w:val="center"/>
        </w:trPr>
        <w:tc>
          <w:tcPr>
            <w:tcW w:w="2200" w:type="dxa"/>
          </w:tcPr>
          <w:p w14:paraId="3BDF8EA9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Convergence Rounds</w:t>
            </w:r>
          </w:p>
        </w:tc>
        <w:tc>
          <w:tcPr>
            <w:tcW w:w="1700" w:type="dxa"/>
          </w:tcPr>
          <w:p w14:paraId="0A70BEE4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0" w:type="dxa"/>
          </w:tcPr>
          <w:p w14:paraId="2257EDF9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60" w:type="dxa"/>
          </w:tcPr>
          <w:p w14:paraId="22512554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00" w:type="dxa"/>
          </w:tcPr>
          <w:p w14:paraId="1E11C004" w14:textId="77777777" w:rsidR="00533D8C" w:rsidRPr="00D81508" w:rsidRDefault="00000000" w:rsidP="00D8150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50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</w:tbl>
    <w:p w14:paraId="5EBD9AFA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2AEF5026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5.4 Gas Cost and Communication Overhead</w:t>
      </w:r>
    </w:p>
    <w:p w14:paraId="39E287CA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Figure 4a shows the on-chain gas breakdown per aggregation round for 10 clients (~4.2M gas total). ZKP verification dominates at 48%, followed by Byzantine filtering (33%) and reward distribution (19%). Figure 4b shows communication overhead scaling linearly with client count across all methods, with BFL-Guard’s overhead comparable to ZKP-FL despite providing additional Byzantine robustness.</w:t>
      </w:r>
    </w:p>
    <w:p w14:paraId="42801CE3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47E0F566" w14:textId="77777777" w:rsidR="00533D8C" w:rsidRPr="00D81508" w:rsidRDefault="00000000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74338A7" wp14:editId="48E135F6">
            <wp:extent cx="5334000" cy="2171700"/>
            <wp:effectExtent l="0" t="0" r="0" b="0"/>
            <wp:docPr id="835853771" name="Figure" descr="Chart" titl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2818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>Figure 4. (a) On-chain gas cost breakdown per aggregation round. (b) Communication overhead (MB/round) scaling with number of participating clients.</w:t>
      </w:r>
    </w:p>
    <w:p w14:paraId="7195D29E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1BBDF68E" w14:textId="77777777" w:rsidR="00533D8C" w:rsidRPr="00D81508" w:rsidRDefault="00000000" w:rsidP="00D81508">
      <w:pPr>
        <w:pStyle w:val="Heading1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6. Security Analysis</w:t>
      </w:r>
    </w:p>
    <w:p w14:paraId="61A86280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6.1 Byzantine Resilience</w:t>
      </w:r>
    </w:p>
    <w:p w14:paraId="13D7BC31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 xml:space="preserve">Theorem 1 (Byzantine Bound): </w:t>
      </w:r>
      <w:r w:rsidRPr="00D81508">
        <w:rPr>
          <w:rFonts w:ascii="Times New Roman" w:hAnsi="Times New Roman" w:cs="Times New Roman"/>
          <w:sz w:val="20"/>
          <w:szCs w:val="20"/>
        </w:rPr>
        <w:t xml:space="preserve">BFL-Guard tolerates up to f &lt; N/3 Byzantine clients per round with overwhelming probability (1 − δ) for negligible δ, provided the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-SNARK soundness error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ε_s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&lt; 2</w:t>
      </w:r>
      <w:proofErr w:type="gramStart"/>
      <w:r w:rsidRPr="00D81508">
        <w:rPr>
          <w:rFonts w:ascii="Times New Roman" w:hAnsi="Times New Roman" w:cs="Times New Roman"/>
          <w:sz w:val="20"/>
          <w:szCs w:val="20"/>
        </w:rPr>
        <w:t>^{</w:t>
      </w:r>
      <w:proofErr w:type="gramEnd"/>
      <w:r w:rsidRPr="00D81508">
        <w:rPr>
          <w:rFonts w:ascii="Times New Roman" w:hAnsi="Times New Roman" w:cs="Times New Roman"/>
          <w:sz w:val="20"/>
          <w:szCs w:val="20"/>
        </w:rPr>
        <w:t>−128}.</w:t>
      </w:r>
    </w:p>
    <w:p w14:paraId="565B68A9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Proof sketch: The cosine clustering filter with threshold τ = 0.6 ensures that the aggregate centroid lies within a π/3-angular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neighborhood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of the honest gradient subspace when f &lt; N/3, following from the probabilistic analysis of [Blanchard et al., 2017] extended to commitment-bound gradients.</w:t>
      </w:r>
    </w:p>
    <w:p w14:paraId="0BCAF277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6.2 Client Reputation Dynamics</w:t>
      </w:r>
    </w:p>
    <w:p w14:paraId="03C47542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Figure 5 illustrates how the reputation system evolves over training rounds. Honest high-quality clients accumulate reputation approaching 1.0, while a Byzantine client detected at round 25 sees its reputation rapidly approach 0, rendering its future contributions negligible before stake slashing completes.</w:t>
      </w:r>
    </w:p>
    <w:p w14:paraId="22D31708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17274E46" w14:textId="77777777" w:rsidR="00533D8C" w:rsidRPr="00D81508" w:rsidRDefault="00000000" w:rsidP="003A41C5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2DFE94D" wp14:editId="6305D4A9">
            <wp:extent cx="5334000" cy="2028825"/>
            <wp:effectExtent l="0" t="0" r="0" b="0"/>
            <wp:docPr id="2126496934" name="Figure" descr="Chart" titl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8807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>Figure 5. Client reputation score evolution over training rounds. Honest clients accumulate reputation while a Byzantine client (detected at round 25) sees its score collapse to near zero, effectively neutralizing its influence before formal slashing.</w:t>
      </w:r>
    </w:p>
    <w:p w14:paraId="48596203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2811F564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6.3 Gradient Privacy</w:t>
      </w:r>
    </w:p>
    <w:p w14:paraId="53FFD12C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 protocol achieves computational zero-knowledge: no polynomial-time adversary observing the on-chain proof π_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can extract information about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Δw_i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beyond what is implied by the public inputs (norm bound and loss-reduction validity), under the q-power Knowledge of Exponent assumption on the BN254 curve.</w:t>
      </w:r>
    </w:p>
    <w:p w14:paraId="180868A4" w14:textId="77777777" w:rsidR="00533D8C" w:rsidRPr="00D81508" w:rsidRDefault="00000000" w:rsidP="00D81508">
      <w:pPr>
        <w:pStyle w:val="Heading2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6.4 Incentive Compatibility</w:t>
      </w:r>
    </w:p>
    <w:p w14:paraId="15A32563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FedToken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mechanism satisfies ex-post Nash Incentive Compatibility: submitting a valid high-quality gradient and truthfully committing one’s stake is a dominant strategy, as the expected slashing loss from Byzantine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exceeds the marginal reward gain from gradient manipulation in expectation over the reputation update rule.</w:t>
      </w:r>
    </w:p>
    <w:p w14:paraId="2EDDF738" w14:textId="77777777" w:rsidR="00533D8C" w:rsidRPr="00D81508" w:rsidRDefault="00000000" w:rsidP="00D81508">
      <w:pPr>
        <w:pStyle w:val="Heading1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7. Discussion and Limitations</w:t>
      </w:r>
    </w:p>
    <w:p w14:paraId="1461F849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BFL-Guard represents a significant step toward accountable, privacy-preserving federated learning for enterprise and regulated deployments (healthcare, finance, government). The framework’s on-chain audit trail enables regulatory compliance demonstrations — a critical requirement for FL deployments under GDPR and the EU AI Act.</w:t>
      </w:r>
    </w:p>
    <w:p w14:paraId="0D7ED34D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Limitations include: (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 proof generation requires approximately 45 seconds on a standard laptop for a ResNet-20 gradient (hardware accelerators reduce this to ~3 seconds); (ii) the cosine similarity filter may underperform against sophisticated adaptive attacks mimicking honest gradient profiles; (iii) the current BRAC processes gradients as commitment hashes, requiring off-chain aggregation re-submission. Future directions include FHE-based in-circuit gradient aggregation and cross-chain FL federation via IBC protocol bridges.</w:t>
      </w:r>
    </w:p>
    <w:p w14:paraId="557CEF16" w14:textId="77777777" w:rsidR="00533D8C" w:rsidRPr="00D81508" w:rsidRDefault="00000000" w:rsidP="00D81508">
      <w:pPr>
        <w:pStyle w:val="Heading1"/>
        <w:spacing w:before="12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81508">
        <w:rPr>
          <w:rFonts w:ascii="Times New Roman" w:hAnsi="Times New Roman" w:cs="Times New Roman"/>
          <w:color w:val="auto"/>
          <w:sz w:val="20"/>
          <w:szCs w:val="20"/>
        </w:rPr>
        <w:t>8. Conclusion</w:t>
      </w:r>
    </w:p>
    <w:p w14:paraId="34ED0F16" w14:textId="77777777" w:rsidR="00533D8C" w:rsidRPr="00D81508" w:rsidRDefault="00000000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We presented BFL-Guard, a blockchain-enabled federated learning framework that unifies zero-knowledge gradient verification, Byzantine-resilient on-chain aggregation, and tokenized incentives within a practical, deployable architecture. Our framework achieves state-of-the-art accuracy and convergence speed under Byzantine attack, provides cryptographically verifiable privacy guarantees for gradient contributors, and creates economically rational incentives for honest participation — all with manageable on-chain costs enabled by Ethereum’s EIP-4844 and IPFS hybrid storage. BFL-Guard demonstrates that blockchain is not merely a buzzword in AI infrastructure but a foundational layer that resolves the accountability, security, and incentive gaps that have limited federated learning’s real-world adoption.</w:t>
      </w:r>
    </w:p>
    <w:p w14:paraId="05688EA5" w14:textId="77777777" w:rsidR="00533D8C" w:rsidRPr="00D81508" w:rsidRDefault="00533D8C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p w14:paraId="173506A4" w14:textId="77777777" w:rsidR="00533D8C" w:rsidRPr="00D81508" w:rsidRDefault="00000000" w:rsidP="00D81508">
      <w:pPr>
        <w:pStyle w:val="ListParagraph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684C8BFB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[1] McMahan, H.B., Moore, E., Ramage, D., Hampson, S., &amp;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Agüera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Arcas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, B. (2017). Communication-efficient learning of deep networks from decentralized data. AISTATS 2017.</w:t>
      </w:r>
    </w:p>
    <w:p w14:paraId="5BA3042F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[2] Blanchard, P., El Mhamdi, E.M.,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Guerraoui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, R., &amp; Stainer, J. (2017). Machine learning with adversaries: Byzantine tolerant gradient descent.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NeurIPS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2017.</w:t>
      </w:r>
    </w:p>
    <w:p w14:paraId="17E45D69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[3] Yin, D., Chen, Y., Kannan, R., &amp; Bartlett, P. (2018). Byzantine-robust distributed learning: Towards optimal statistical rates. ICML 2018.</w:t>
      </w:r>
    </w:p>
    <w:p w14:paraId="2EE052EC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[4] Bao, X., Su, C., Xiong, Y., Huang, W., &amp; Hu, Y. (2019).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FLChain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: A blockchain for auditable federated learning with trust and incentive. IEEE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BigDataService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2019.</w:t>
      </w:r>
    </w:p>
    <w:p w14:paraId="6ED9F00A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[5] Kim, H., Park, J., Bennis, M., &amp; Kim, S.L. (2020).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Blockchained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 on-device federated learning. IEEE Communications Letters, 24(6), 1279–1283.</w:t>
      </w:r>
    </w:p>
    <w:p w14:paraId="39DA9456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[6] Nguyen, D.C., Ding, M., Pathirana, P.N., et al. (2021). Federated learning for internet of things: A comprehensive survey. IEEE Communications Surveys &amp; Tutorials, 23(3), 1622–1658.</w:t>
      </w:r>
    </w:p>
    <w:p w14:paraId="117985E1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[7] Garg, S., Gentry, C., Halevi, S., &amp;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Raykova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 xml:space="preserve">, M. (2023). Verifiable neural network inference using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zk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-SNARKs. IEEE S&amp;P 2023.</w:t>
      </w:r>
    </w:p>
    <w:p w14:paraId="7E11CC05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[8] Sun, G., Cong, Y., Dong, J., et al. (2022). Data poisoning attacks on federated machine learning. IEEE Internet of Things Journal, 9(13), 11365–11375.</w:t>
      </w:r>
    </w:p>
    <w:p w14:paraId="0BCCE05E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[9] Fang, M., Cao, X., Jia, J., &amp; Gong, N.Z. (2020). Local model poisoning attacks to Byzantine-robust federated learning. USENIX Security 2020.</w:t>
      </w:r>
    </w:p>
    <w:p w14:paraId="4DC83610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 xml:space="preserve">[10] </w:t>
      </w:r>
      <w:proofErr w:type="spellStart"/>
      <w:r w:rsidRPr="00D81508">
        <w:rPr>
          <w:rFonts w:ascii="Times New Roman" w:hAnsi="Times New Roman" w:cs="Times New Roman"/>
          <w:sz w:val="20"/>
          <w:szCs w:val="20"/>
        </w:rPr>
        <w:t>Groth</w:t>
      </w:r>
      <w:proofErr w:type="spellEnd"/>
      <w:r w:rsidRPr="00D81508">
        <w:rPr>
          <w:rFonts w:ascii="Times New Roman" w:hAnsi="Times New Roman" w:cs="Times New Roman"/>
          <w:sz w:val="20"/>
          <w:szCs w:val="20"/>
        </w:rPr>
        <w:t>, J. (2016). On the size of pairing-based non-interactive arguments. EUROCRYPT 2016.</w:t>
      </w:r>
    </w:p>
    <w:p w14:paraId="14CEDB55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[11] Ethereum Improvement Proposal 4844: Shard Blob Transactions. https://eips.ethereum.org/EIPS/eip-4844 (2023).</w:t>
      </w:r>
    </w:p>
    <w:p w14:paraId="5EC10559" w14:textId="77777777" w:rsidR="00533D8C" w:rsidRPr="00D81508" w:rsidRDefault="00000000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81508">
        <w:rPr>
          <w:rFonts w:ascii="Times New Roman" w:hAnsi="Times New Roman" w:cs="Times New Roman"/>
          <w:sz w:val="20"/>
          <w:szCs w:val="20"/>
        </w:rPr>
        <w:t>[12] Wood, G. (2014). Ethereum: A secure decentralised generalised transaction ledger. Ethereum Project Yellow Paper.</w:t>
      </w:r>
    </w:p>
    <w:p w14:paraId="2DF70D63" w14:textId="77777777" w:rsidR="00533D8C" w:rsidRPr="00D81508" w:rsidRDefault="00533D8C" w:rsidP="00D81508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</w:p>
    <w:sectPr w:rsidR="00533D8C" w:rsidRPr="00D81508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1638"/>
    <w:multiLevelType w:val="hybridMultilevel"/>
    <w:tmpl w:val="533238F6"/>
    <w:lvl w:ilvl="0" w:tplc="7CDC7BFA">
      <w:start w:val="1"/>
      <w:numFmt w:val="bullet"/>
      <w:lvlText w:val="●"/>
      <w:lvlJc w:val="left"/>
      <w:pPr>
        <w:ind w:left="720" w:hanging="360"/>
      </w:pPr>
    </w:lvl>
    <w:lvl w:ilvl="1" w:tplc="B71AE020">
      <w:start w:val="1"/>
      <w:numFmt w:val="bullet"/>
      <w:lvlText w:val="○"/>
      <w:lvlJc w:val="left"/>
      <w:pPr>
        <w:ind w:left="1440" w:hanging="360"/>
      </w:pPr>
    </w:lvl>
    <w:lvl w:ilvl="2" w:tplc="E74E2C44">
      <w:start w:val="1"/>
      <w:numFmt w:val="bullet"/>
      <w:lvlText w:val="■"/>
      <w:lvlJc w:val="left"/>
      <w:pPr>
        <w:ind w:left="2160" w:hanging="360"/>
      </w:pPr>
    </w:lvl>
    <w:lvl w:ilvl="3" w:tplc="B9486E80">
      <w:start w:val="1"/>
      <w:numFmt w:val="bullet"/>
      <w:lvlText w:val="●"/>
      <w:lvlJc w:val="left"/>
      <w:pPr>
        <w:ind w:left="2880" w:hanging="360"/>
      </w:pPr>
    </w:lvl>
    <w:lvl w:ilvl="4" w:tplc="BD04F79C">
      <w:start w:val="1"/>
      <w:numFmt w:val="bullet"/>
      <w:lvlText w:val="○"/>
      <w:lvlJc w:val="left"/>
      <w:pPr>
        <w:ind w:left="3600" w:hanging="360"/>
      </w:pPr>
    </w:lvl>
    <w:lvl w:ilvl="5" w:tplc="A95A7078">
      <w:start w:val="1"/>
      <w:numFmt w:val="bullet"/>
      <w:lvlText w:val="■"/>
      <w:lvlJc w:val="left"/>
      <w:pPr>
        <w:ind w:left="4320" w:hanging="360"/>
      </w:pPr>
    </w:lvl>
    <w:lvl w:ilvl="6" w:tplc="183C05EA">
      <w:start w:val="1"/>
      <w:numFmt w:val="bullet"/>
      <w:lvlText w:val="●"/>
      <w:lvlJc w:val="left"/>
      <w:pPr>
        <w:ind w:left="5040" w:hanging="360"/>
      </w:pPr>
    </w:lvl>
    <w:lvl w:ilvl="7" w:tplc="3CE0DDFC">
      <w:start w:val="1"/>
      <w:numFmt w:val="bullet"/>
      <w:lvlText w:val="●"/>
      <w:lvlJc w:val="left"/>
      <w:pPr>
        <w:ind w:left="5760" w:hanging="360"/>
      </w:pPr>
    </w:lvl>
    <w:lvl w:ilvl="8" w:tplc="CB0640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3B93809"/>
    <w:multiLevelType w:val="hybridMultilevel"/>
    <w:tmpl w:val="C6FA128C"/>
    <w:lvl w:ilvl="0" w:tplc="DB12C088">
      <w:start w:val="1"/>
      <w:numFmt w:val="bullet"/>
      <w:lvlText w:val="•"/>
      <w:lvlJc w:val="left"/>
      <w:pPr>
        <w:ind w:left="720" w:hanging="360"/>
      </w:pPr>
    </w:lvl>
    <w:lvl w:ilvl="1" w:tplc="B7F6E73A">
      <w:numFmt w:val="decimal"/>
      <w:lvlText w:val=""/>
      <w:lvlJc w:val="left"/>
    </w:lvl>
    <w:lvl w:ilvl="2" w:tplc="3060491A">
      <w:numFmt w:val="decimal"/>
      <w:lvlText w:val=""/>
      <w:lvlJc w:val="left"/>
    </w:lvl>
    <w:lvl w:ilvl="3" w:tplc="D00871D6">
      <w:numFmt w:val="decimal"/>
      <w:lvlText w:val=""/>
      <w:lvlJc w:val="left"/>
    </w:lvl>
    <w:lvl w:ilvl="4" w:tplc="9B6E768A">
      <w:numFmt w:val="decimal"/>
      <w:lvlText w:val=""/>
      <w:lvlJc w:val="left"/>
    </w:lvl>
    <w:lvl w:ilvl="5" w:tplc="0D38841E">
      <w:numFmt w:val="decimal"/>
      <w:lvlText w:val=""/>
      <w:lvlJc w:val="left"/>
    </w:lvl>
    <w:lvl w:ilvl="6" w:tplc="D26AADD0">
      <w:numFmt w:val="decimal"/>
      <w:lvlText w:val=""/>
      <w:lvlJc w:val="left"/>
    </w:lvl>
    <w:lvl w:ilvl="7" w:tplc="9E00E4C4">
      <w:numFmt w:val="decimal"/>
      <w:lvlText w:val=""/>
      <w:lvlJc w:val="left"/>
    </w:lvl>
    <w:lvl w:ilvl="8" w:tplc="E1F4DD36">
      <w:numFmt w:val="decimal"/>
      <w:lvlText w:val=""/>
      <w:lvlJc w:val="left"/>
    </w:lvl>
  </w:abstractNum>
  <w:abstractNum w:abstractNumId="2" w15:restartNumberingAfterBreak="0">
    <w:nsid w:val="77C347AA"/>
    <w:multiLevelType w:val="hybridMultilevel"/>
    <w:tmpl w:val="0714D4A4"/>
    <w:lvl w:ilvl="0" w:tplc="3F088404">
      <w:start w:val="1"/>
      <w:numFmt w:val="decimal"/>
      <w:lvlText w:val="%1."/>
      <w:lvlJc w:val="left"/>
      <w:pPr>
        <w:ind w:left="720" w:hanging="360"/>
      </w:pPr>
    </w:lvl>
    <w:lvl w:ilvl="1" w:tplc="F468CE1E">
      <w:numFmt w:val="decimal"/>
      <w:lvlText w:val=""/>
      <w:lvlJc w:val="left"/>
    </w:lvl>
    <w:lvl w:ilvl="2" w:tplc="F21E0F40">
      <w:numFmt w:val="decimal"/>
      <w:lvlText w:val=""/>
      <w:lvlJc w:val="left"/>
    </w:lvl>
    <w:lvl w:ilvl="3" w:tplc="742C3CA6">
      <w:numFmt w:val="decimal"/>
      <w:lvlText w:val=""/>
      <w:lvlJc w:val="left"/>
    </w:lvl>
    <w:lvl w:ilvl="4" w:tplc="281C0508">
      <w:numFmt w:val="decimal"/>
      <w:lvlText w:val=""/>
      <w:lvlJc w:val="left"/>
    </w:lvl>
    <w:lvl w:ilvl="5" w:tplc="3F0C0486">
      <w:numFmt w:val="decimal"/>
      <w:lvlText w:val=""/>
      <w:lvlJc w:val="left"/>
    </w:lvl>
    <w:lvl w:ilvl="6" w:tplc="F06AC77A">
      <w:numFmt w:val="decimal"/>
      <w:lvlText w:val=""/>
      <w:lvlJc w:val="left"/>
    </w:lvl>
    <w:lvl w:ilvl="7" w:tplc="0D5E1760">
      <w:numFmt w:val="decimal"/>
      <w:lvlText w:val=""/>
      <w:lvlJc w:val="left"/>
    </w:lvl>
    <w:lvl w:ilvl="8" w:tplc="3EAE1BE4">
      <w:numFmt w:val="decimal"/>
      <w:lvlText w:val=""/>
      <w:lvlJc w:val="left"/>
    </w:lvl>
  </w:abstractNum>
  <w:num w:numId="1" w16cid:durableId="1662003399">
    <w:abstractNumId w:val="0"/>
    <w:lvlOverride w:ilvl="0">
      <w:startOverride w:val="1"/>
    </w:lvlOverride>
  </w:num>
  <w:num w:numId="2" w16cid:durableId="857426659">
    <w:abstractNumId w:val="1"/>
    <w:lvlOverride w:ilvl="0">
      <w:startOverride w:val="1"/>
    </w:lvlOverride>
  </w:num>
  <w:num w:numId="3" w16cid:durableId="14471230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8C"/>
    <w:rsid w:val="00273AD6"/>
    <w:rsid w:val="00277457"/>
    <w:rsid w:val="002A7441"/>
    <w:rsid w:val="003A41C5"/>
    <w:rsid w:val="004237FD"/>
    <w:rsid w:val="00533D8C"/>
    <w:rsid w:val="0095548B"/>
    <w:rsid w:val="00BA2753"/>
    <w:rsid w:val="00BF6F68"/>
    <w:rsid w:val="00C224BE"/>
    <w:rsid w:val="00D765E7"/>
    <w:rsid w:val="00D8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A420"/>
  <w15:docId w15:val="{01CF5A98-B859-45AF-B835-4A49A10C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00"/>
      <w:outlineLvl w:val="0"/>
    </w:pPr>
    <w:rPr>
      <w:b/>
      <w:bCs/>
      <w:color w:val="1A3C6B"/>
      <w:sz w:val="26"/>
      <w:szCs w:val="26"/>
    </w:rPr>
  </w:style>
  <w:style w:type="paragraph" w:styleId="Heading2">
    <w:name w:val="heading 2"/>
    <w:uiPriority w:val="9"/>
    <w:unhideWhenUsed/>
    <w:qFormat/>
    <w:pPr>
      <w:spacing w:before="180" w:after="80"/>
      <w:outlineLvl w:val="1"/>
    </w:pPr>
    <w:rPr>
      <w:b/>
      <w:bCs/>
      <w:color w:val="2E5FA3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D8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4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appan.v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ssk.steel@gmail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rumal09@gmail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mac.kumaresan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2674</Words>
  <Characters>15242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2. Related Work</vt:lpstr>
      <vt:lpstr>    2.1 Federated Learning and Byzantine Robustness</vt:lpstr>
      <vt:lpstr>    2.2 Blockchain-Based Federated Learning</vt:lpstr>
      <vt:lpstr>    2.3 Zero-Knowledge Proofs in Machine Learning</vt:lpstr>
      <vt:lpstr>3. System Model and Threat Model</vt:lpstr>
      <vt:lpstr>    3.1 System Model</vt:lpstr>
      <vt:lpstr>    3.2 Threat Model</vt:lpstr>
      <vt:lpstr>4. BFL-Guard Architecture</vt:lpstr>
      <vt:lpstr>    4.1 Zero-Knowledge Gradient Proof System</vt:lpstr>
      <vt:lpstr>    4.2 Byzantine-Resilient Aggregation Contract (BRAC)</vt:lpstr>
      <vt:lpstr>    4.3 Tokenized Incentive Protocol (FedToken)</vt:lpstr>
      <vt:lpstr>5. Experimental Evaluation</vt:lpstr>
      <vt:lpstr>    5.1 Experimental Setup</vt:lpstr>
      <vt:lpstr>    5.2 Accuracy Under Byzantine Attack</vt:lpstr>
      <vt:lpstr>    5.3 Convergence Speed</vt:lpstr>
      <vt:lpstr>    5.4 Gas Cost and Communication Overhead</vt:lpstr>
      <vt:lpstr>6. Security Analysis</vt:lpstr>
      <vt:lpstr>    6.1 Byzantine Resilience</vt:lpstr>
      <vt:lpstr>    6.2 Client Reputation Dynamics</vt:lpstr>
      <vt:lpstr>    6.3 Gradient Privacy</vt:lpstr>
      <vt:lpstr>    6.4 Incentive Compatibility</vt:lpstr>
      <vt:lpstr>7. Discussion and Limitations</vt:lpstr>
      <vt:lpstr>8. Conclusion</vt:lpstr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ellappan v</cp:lastModifiedBy>
  <cp:revision>15</cp:revision>
  <dcterms:created xsi:type="dcterms:W3CDTF">2026-06-29T17:36:00Z</dcterms:created>
  <dcterms:modified xsi:type="dcterms:W3CDTF">2026-07-05T16:02:00Z</dcterms:modified>
</cp:coreProperties>
</file>