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3"/>
        <w:spacing w:before="60"/>
        <w:ind w:left="0" w:right="437" w:firstLine="0"/>
        <w:jc w:val="center"/>
      </w:pPr>
      <w:r>
        <w:rPr/>
        <w:t>Safe</w:t>
      </w:r>
      <w:r>
        <w:rPr>
          <w:spacing w:val="-11"/>
        </w:rPr>
        <w:t> </w:t>
      </w:r>
      <w:r>
        <w:rPr/>
        <w:t>Workplace</w:t>
      </w:r>
      <w:r>
        <w:rPr>
          <w:spacing w:val="-8"/>
        </w:rPr>
        <w:t> </w:t>
      </w:r>
      <w:r>
        <w:rPr/>
        <w:t>Initiative:</w:t>
      </w:r>
      <w:r>
        <w:rPr>
          <w:spacing w:val="-9"/>
        </w:rPr>
        <w:t> </w:t>
      </w:r>
      <w:r>
        <w:rPr/>
        <w:t>A</w:t>
      </w:r>
      <w:r>
        <w:rPr>
          <w:spacing w:val="-8"/>
        </w:rPr>
        <w:t> </w:t>
      </w:r>
      <w:r>
        <w:rPr/>
        <w:t>Workplace</w:t>
      </w:r>
      <w:r>
        <w:rPr>
          <w:spacing w:val="-9"/>
        </w:rPr>
        <w:t> </w:t>
      </w:r>
      <w:r>
        <w:rPr/>
        <w:t>Awareness</w:t>
      </w:r>
      <w:r>
        <w:rPr>
          <w:spacing w:val="-8"/>
        </w:rPr>
        <w:t> </w:t>
      </w:r>
      <w:r>
        <w:rPr>
          <w:spacing w:val="-2"/>
        </w:rPr>
        <w:t>Program</w:t>
      </w:r>
    </w:p>
    <w:p>
      <w:pPr>
        <w:pStyle w:val="BodyText"/>
        <w:spacing w:before="232"/>
        <w:rPr>
          <w:b/>
        </w:rPr>
      </w:pPr>
    </w:p>
    <w:p>
      <w:pPr>
        <w:spacing w:line="276" w:lineRule="auto" w:before="0"/>
        <w:ind w:left="91" w:right="528" w:firstLine="0"/>
        <w:jc w:val="center"/>
        <w:rPr>
          <w:b/>
          <w:sz w:val="24"/>
        </w:rPr>
      </w:pPr>
      <w:r>
        <w:rPr>
          <w:b/>
          <w:sz w:val="24"/>
        </w:rPr>
        <w:t/>
      </w:r>
      <w:r>
        <w:rPr>
          <w:b/>
          <w:spacing w:val="-4"/>
          <w:sz w:val="24"/>
        </w:rPr>
        <w:t/>
      </w:r>
      <w:r>
        <w:rPr>
          <w:b/>
          <w:sz w:val="24"/>
        </w:rPr>
        <w:t/>
      </w:r>
      <w:r>
        <w:rPr>
          <w:b/>
          <w:spacing w:val="-4"/>
          <w:sz w:val="24"/>
        </w:rPr>
        <w:t/>
      </w:r>
      <w:r>
        <w:rPr>
          <w:b/>
          <w:sz w:val="24"/>
        </w:rPr>
        <w:t/>
      </w:r>
      <w:r>
        <w:rPr>
          <w:b/>
          <w:spacing w:val="-4"/>
          <w:sz w:val="24"/>
        </w:rPr>
        <w:t/>
      </w:r>
      <w:r>
        <w:rPr>
          <w:b/>
          <w:sz w:val="24"/>
        </w:rPr>
        <w:t/>
      </w:r>
      <w:r>
        <w:rPr>
          <w:b/>
          <w:spacing w:val="-4"/>
          <w:sz w:val="24"/>
        </w:rPr>
        <w:t/>
      </w:r>
      <w:r>
        <w:rPr>
          <w:b/>
          <w:sz w:val="24"/>
        </w:rPr>
        <w:t/>
      </w:r>
      <w:r>
        <w:rPr>
          <w:b/>
          <w:spacing w:val="-4"/>
          <w:sz w:val="24"/>
        </w:rPr>
        <w:t/>
      </w:r>
      <w:r>
        <w:rPr>
          <w:b/>
          <w:sz w:val="24"/>
        </w:rPr>
        <w:t/>
      </w:r>
      <w:r>
        <w:rPr>
          <w:b/>
          <w:spacing w:val="-4"/>
          <w:sz w:val="24"/>
        </w:rPr>
        <w:t/>
      </w:r>
      <w:r>
        <w:rPr>
          <w:b/>
          <w:sz w:val="24"/>
        </w:rPr>
        <w:t/>
      </w:r>
      <w:r>
        <w:rPr>
          <w:b/>
          <w:spacing w:val="-4"/>
          <w:sz w:val="24"/>
        </w:rPr>
        <w:t/>
      </w:r>
      <w:r>
        <w:rPr>
          <w:b/>
          <w:sz w:val="24"/>
        </w:rPr>
        <w:t/>
      </w:r>
      <w:r>
        <w:rPr>
          <w:b/>
          <w:spacing w:val="-4"/>
          <w:sz w:val="24"/>
        </w:rPr>
        <w:t/>
      </w:r>
      <w:r>
        <w:rPr>
          <w:b/>
          <w:sz w:val="24"/>
        </w:rPr>
        <w:t/>
      </w:r>
      <w:r>
        <w:rPr>
          <w:b/>
          <w:spacing w:val="-4"/>
          <w:sz w:val="24"/>
        </w:rPr>
        <w:t/>
      </w:r>
      <w:r>
        <w:rPr>
          <w:b/>
          <w:sz w:val="24"/>
        </w:rPr>
        <w:t/>
      </w:r>
      <w:r>
        <w:rPr>
          <w:b/>
          <w:spacing w:val="-4"/>
          <w:sz w:val="24"/>
        </w:rPr>
        <w:t/>
      </w:r>
      <w:r>
        <w:rPr>
          <w:b/>
          <w:sz w:val="24"/>
        </w:rPr>
        <w:t/>
      </w:r>
      <w:r>
        <w:rPr>
          <w:b/>
          <w:spacing w:val="-4"/>
          <w:sz w:val="24"/>
        </w:rPr>
        <w:t/>
      </w:r>
      <w:r>
        <w:rPr>
          <w:b/>
          <w:sz w:val="24"/>
        </w:rPr>
        <w:t/>
      </w:r>
    </w:p>
    <w:p>
      <w:pPr>
        <w:pStyle w:val="BodyText"/>
        <w:spacing w:line="276" w:lineRule="auto"/>
        <w:ind w:left="90" w:right="528"/>
        <w:jc w:val="center"/>
      </w:pPr>
      <w:r>
        <w:rPr/>
        <w:t/>
      </w:r>
      <w:r>
        <w:rPr>
          <w:spacing w:val="-5"/>
        </w:rPr>
        <w:t/>
      </w:r>
      <w:r>
        <w:rPr/>
        <w:t/>
      </w:r>
      <w:r>
        <w:rPr>
          <w:spacing w:val="-5"/>
        </w:rPr>
        <w:t/>
      </w:r>
      <w:r>
        <w:rPr/>
        <w:t/>
      </w:r>
      <w:r>
        <w:rPr>
          <w:spacing w:val="-5"/>
        </w:rPr>
        <w:t/>
      </w:r>
      <w:r>
        <w:rPr/>
        <w:t/>
      </w:r>
      <w:r>
        <w:rPr>
          <w:spacing w:val="-5"/>
        </w:rPr>
        <w:t/>
      </w:r>
      <w:r>
        <w:rPr/>
        <w:t/>
      </w:r>
      <w:r>
        <w:rPr>
          <w:spacing w:val="-5"/>
        </w:rPr>
        <w:t/>
      </w:r>
      <w:r>
        <w:rPr/>
        <w:t/>
      </w:r>
      <w:r>
        <w:rPr>
          <w:spacing w:val="-5"/>
        </w:rPr>
        <w:t/>
      </w:r>
      <w:r>
        <w:rPr/>
        <w:t/>
      </w:r>
      <w:r>
        <w:rPr>
          <w:spacing w:val="-5"/>
        </w:rPr>
        <w:t/>
      </w:r>
      <w:r>
        <w:rPr/>
        <w:t/>
      </w:r>
      <w:r>
        <w:rPr>
          <w:spacing w:val="-5"/>
        </w:rPr>
        <w:t/>
      </w:r>
      <w:r>
        <w:rPr/>
        <w:t/>
      </w:r>
      <w:r>
        <w:rPr>
          <w:spacing w:val="-5"/>
        </w:rPr>
        <w:t/>
      </w:r>
      <w:r>
        <w:rPr/>
        <w:t/>
      </w:r>
    </w:p>
    <w:p>
      <w:pPr>
        <w:pStyle w:val="BodyText"/>
        <w:ind w:right="437"/>
        <w:jc w:val="center"/>
      </w:pPr>
      <w:hyperlink r:id="rId5">
        <w:r>
          <w:rPr>
            <w:spacing w:val="-2"/>
          </w:rPr>
          <w:t/>
        </w:r>
      </w:hyperlink>
    </w:p>
    <w:p>
      <w:pPr>
        <w:pStyle w:val="BodyText"/>
        <w:spacing w:before="83"/>
      </w:pPr>
    </w:p>
    <w:p>
      <w:pPr>
        <w:pStyle w:val="Heading2"/>
        <w:ind w:left="0" w:right="437"/>
        <w:jc w:val="center"/>
      </w:pPr>
      <w:r>
        <w:rPr>
          <w:spacing w:val="-2"/>
        </w:rPr>
        <w:t>ABSTRACT</w:t>
      </w:r>
    </w:p>
    <w:p>
      <w:pPr>
        <w:pStyle w:val="BodyText"/>
        <w:spacing w:before="179"/>
        <w:rPr>
          <w:b/>
        </w:rPr>
      </w:pPr>
    </w:p>
    <w:p>
      <w:pPr>
        <w:pStyle w:val="BodyText"/>
        <w:spacing w:line="360" w:lineRule="auto"/>
        <w:ind w:left="23" w:right="462"/>
        <w:jc w:val="both"/>
      </w:pPr>
      <w:r>
        <w:rPr/>
        <w:t>The Creating a Safe Workplace Initiative: A Workplace Awareness Program is designed to inform employees and members of an organization regarding sexual harassment in the workplace and the importance of creating an environment that is safe, </w:t>
      </w:r>
      <w:r>
        <w:rPr/>
        <w:t>respectful,</w:t>
      </w:r>
      <w:r>
        <w:rPr>
          <w:spacing w:val="40"/>
        </w:rPr>
        <w:t> </w:t>
      </w:r>
      <w:r>
        <w:rPr/>
        <w:t>professional, and ethical. Sexual harassment is a serious issue that can negatively</w:t>
      </w:r>
      <w:r>
        <w:rPr>
          <w:spacing w:val="-3"/>
        </w:rPr>
        <w:t> </w:t>
      </w:r>
      <w:r>
        <w:rPr/>
        <w:t>impact</w:t>
      </w:r>
      <w:r>
        <w:rPr>
          <w:spacing w:val="-3"/>
        </w:rPr>
        <w:t> </w:t>
      </w:r>
      <w:r>
        <w:rPr/>
        <w:t>the emotional well-being, mental health, work performance, and quality of life of the individual</w:t>
      </w:r>
      <w:r>
        <w:rPr>
          <w:spacing w:val="40"/>
        </w:rPr>
        <w:t> </w:t>
      </w:r>
      <w:r>
        <w:rPr/>
        <w:t>at the centre of the issue, as well as lead to a reduction in productivity in the organization, damage to working relationships, and negative perceptions</w:t>
      </w:r>
      <w:r>
        <w:rPr>
          <w:spacing w:val="-3"/>
        </w:rPr>
        <w:t> </w:t>
      </w:r>
      <w:r>
        <w:rPr/>
        <w:t>of</w:t>
      </w:r>
      <w:r>
        <w:rPr>
          <w:spacing w:val="-3"/>
        </w:rPr>
        <w:t> </w:t>
      </w:r>
      <w:r>
        <w:rPr/>
        <w:t>an</w:t>
      </w:r>
      <w:r>
        <w:rPr>
          <w:spacing w:val="-3"/>
        </w:rPr>
        <w:t> </w:t>
      </w:r>
      <w:r>
        <w:rPr/>
        <w:t>organization.</w:t>
      </w:r>
      <w:r>
        <w:rPr>
          <w:spacing w:val="-3"/>
        </w:rPr>
        <w:t> </w:t>
      </w:r>
      <w:r>
        <w:rPr/>
        <w:t>Therefore,</w:t>
      </w:r>
      <w:r>
        <w:rPr>
          <w:spacing w:val="-3"/>
        </w:rPr>
        <w:t> </w:t>
      </w:r>
      <w:r>
        <w:rPr/>
        <w:t>the purpose of this program is to</w:t>
      </w:r>
      <w:r>
        <w:rPr>
          <w:spacing w:val="-3"/>
        </w:rPr>
        <w:t> </w:t>
      </w:r>
      <w:r>
        <w:rPr/>
        <w:t>provide</w:t>
      </w:r>
      <w:r>
        <w:rPr>
          <w:spacing w:val="-3"/>
        </w:rPr>
        <w:t> </w:t>
      </w:r>
      <w:r>
        <w:rPr/>
        <w:t>a</w:t>
      </w:r>
      <w:r>
        <w:rPr>
          <w:spacing w:val="-3"/>
        </w:rPr>
        <w:t> </w:t>
      </w:r>
      <w:r>
        <w:rPr/>
        <w:t>proactive</w:t>
      </w:r>
      <w:r>
        <w:rPr>
          <w:spacing w:val="-3"/>
        </w:rPr>
        <w:t> </w:t>
      </w:r>
      <w:r>
        <w:rPr/>
        <w:t>approach</w:t>
      </w:r>
      <w:r>
        <w:rPr>
          <w:spacing w:val="-3"/>
        </w:rPr>
        <w:t> </w:t>
      </w:r>
      <w:r>
        <w:rPr/>
        <w:t>to</w:t>
      </w:r>
      <w:r>
        <w:rPr>
          <w:spacing w:val="-3"/>
        </w:rPr>
        <w:t> </w:t>
      </w:r>
      <w:r>
        <w:rPr/>
        <w:t>developing</w:t>
      </w:r>
      <w:r>
        <w:rPr>
          <w:spacing w:val="-3"/>
        </w:rPr>
        <w:t> </w:t>
      </w:r>
      <w:r>
        <w:rPr/>
        <w:t>a</w:t>
      </w:r>
      <w:r>
        <w:rPr>
          <w:spacing w:val="-3"/>
        </w:rPr>
        <w:t> </w:t>
      </w:r>
      <w:r>
        <w:rPr/>
        <w:t>culture</w:t>
      </w:r>
      <w:r>
        <w:rPr>
          <w:spacing w:val="-3"/>
        </w:rPr>
        <w:t> </w:t>
      </w:r>
      <w:r>
        <w:rPr/>
        <w:t>of</w:t>
      </w:r>
      <w:r>
        <w:rPr>
          <w:spacing w:val="-3"/>
        </w:rPr>
        <w:t> </w:t>
      </w:r>
      <w:r>
        <w:rPr/>
        <w:t>respect, accountability, and zero tolerance for sexual harassment, in all its forms.</w:t>
      </w:r>
    </w:p>
    <w:p>
      <w:pPr>
        <w:pStyle w:val="BodyText"/>
        <w:spacing w:before="138"/>
      </w:pPr>
    </w:p>
    <w:p>
      <w:pPr>
        <w:pStyle w:val="BodyText"/>
        <w:spacing w:line="360" w:lineRule="auto"/>
        <w:ind w:left="23" w:right="467"/>
        <w:jc w:val="both"/>
      </w:pPr>
      <w:r>
        <w:rPr/>
        <w:t>The program will include various interactive and engaging sessions designed to </w:t>
      </w:r>
      <w:r>
        <w:rPr/>
        <w:t>encourage active participation and foster meaningful learning. These sessions will include educational presentations from experienced speakers, interactive quizzes, scenario simulation exercises, group discussions,</w:t>
      </w:r>
      <w:r>
        <w:rPr>
          <w:spacing w:val="-3"/>
        </w:rPr>
        <w:t> </w:t>
      </w:r>
      <w:r>
        <w:rPr/>
        <w:t>and</w:t>
      </w:r>
      <w:r>
        <w:rPr>
          <w:spacing w:val="-3"/>
        </w:rPr>
        <w:t> </w:t>
      </w:r>
      <w:r>
        <w:rPr/>
        <w:t>reflective</w:t>
      </w:r>
      <w:r>
        <w:rPr>
          <w:spacing w:val="-3"/>
        </w:rPr>
        <w:t> </w:t>
      </w:r>
      <w:r>
        <w:rPr/>
        <w:t>activities.</w:t>
      </w:r>
      <w:r>
        <w:rPr>
          <w:spacing w:val="-3"/>
        </w:rPr>
        <w:t> </w:t>
      </w:r>
      <w:r>
        <w:rPr/>
        <w:t>As</w:t>
      </w:r>
      <w:r>
        <w:rPr>
          <w:spacing w:val="-3"/>
        </w:rPr>
        <w:t> </w:t>
      </w:r>
      <w:r>
        <w:rPr/>
        <w:t>a</w:t>
      </w:r>
      <w:r>
        <w:rPr>
          <w:spacing w:val="-3"/>
        </w:rPr>
        <w:t> </w:t>
      </w:r>
      <w:r>
        <w:rPr/>
        <w:t>result</w:t>
      </w:r>
      <w:r>
        <w:rPr>
          <w:spacing w:val="-3"/>
        </w:rPr>
        <w:t> </w:t>
      </w:r>
      <w:r>
        <w:rPr/>
        <w:t>of</w:t>
      </w:r>
      <w:r>
        <w:rPr>
          <w:spacing w:val="-3"/>
        </w:rPr>
        <w:t> </w:t>
      </w:r>
      <w:r>
        <w:rPr/>
        <w:t>these</w:t>
      </w:r>
      <w:r>
        <w:rPr>
          <w:spacing w:val="-3"/>
        </w:rPr>
        <w:t> </w:t>
      </w:r>
      <w:r>
        <w:rPr/>
        <w:t>different</w:t>
      </w:r>
      <w:r>
        <w:rPr>
          <w:spacing w:val="-3"/>
        </w:rPr>
        <w:t> </w:t>
      </w:r>
      <w:r>
        <w:rPr/>
        <w:t>types</w:t>
      </w:r>
      <w:r>
        <w:rPr>
          <w:spacing w:val="-3"/>
        </w:rPr>
        <w:t> </w:t>
      </w:r>
      <w:r>
        <w:rPr/>
        <w:t>of</w:t>
      </w:r>
      <w:r>
        <w:rPr>
          <w:spacing w:val="-3"/>
        </w:rPr>
        <w:t> </w:t>
      </w:r>
      <w:r>
        <w:rPr/>
        <w:t>sessions,</w:t>
      </w:r>
      <w:r>
        <w:rPr>
          <w:spacing w:val="-3"/>
        </w:rPr>
        <w:t> </w:t>
      </w:r>
      <w:r>
        <w:rPr/>
        <w:t>the participants will have a mix of theoretical knowledge as well as practical knowledge related to sexual harassment and sexual harassment issues, allowing them to identify inappropriate behaviours, and respond appropriately in their own workplace.</w:t>
      </w:r>
    </w:p>
    <w:p>
      <w:pPr>
        <w:pStyle w:val="BodyText"/>
        <w:spacing w:before="138"/>
      </w:pPr>
    </w:p>
    <w:p>
      <w:pPr>
        <w:pStyle w:val="BodyText"/>
        <w:spacing w:line="360" w:lineRule="auto"/>
        <w:ind w:left="23" w:right="461"/>
        <w:jc w:val="both"/>
      </w:pPr>
      <w:r>
        <w:rPr/>
        <w:t>The program will inform individuals about various</w:t>
      </w:r>
      <w:r>
        <w:rPr>
          <w:spacing w:val="-3"/>
        </w:rPr>
        <w:t> </w:t>
      </w:r>
      <w:r>
        <w:rPr/>
        <w:t>types</w:t>
      </w:r>
      <w:r>
        <w:rPr>
          <w:spacing w:val="-3"/>
        </w:rPr>
        <w:t> </w:t>
      </w:r>
      <w:r>
        <w:rPr/>
        <w:t>of</w:t>
      </w:r>
      <w:r>
        <w:rPr>
          <w:spacing w:val="-3"/>
        </w:rPr>
        <w:t> </w:t>
      </w:r>
      <w:r>
        <w:rPr/>
        <w:t>sexual</w:t>
      </w:r>
      <w:r>
        <w:rPr>
          <w:spacing w:val="-3"/>
        </w:rPr>
        <w:t> </w:t>
      </w:r>
      <w:r>
        <w:rPr/>
        <w:t>harassment.</w:t>
      </w:r>
      <w:r>
        <w:rPr>
          <w:spacing w:val="-3"/>
        </w:rPr>
        <w:t> </w:t>
      </w:r>
      <w:r>
        <w:rPr/>
        <w:t>This</w:t>
      </w:r>
      <w:r>
        <w:rPr>
          <w:spacing w:val="-3"/>
        </w:rPr>
        <w:t> </w:t>
      </w:r>
      <w:r>
        <w:rPr/>
        <w:t>includes verbal harassment, physical harassment, and bullying through electronic</w:t>
      </w:r>
      <w:r>
        <w:rPr>
          <w:spacing w:val="-3"/>
        </w:rPr>
        <w:t> </w:t>
      </w:r>
      <w:r>
        <w:rPr/>
        <w:t>means.</w:t>
      </w:r>
      <w:r>
        <w:rPr>
          <w:spacing w:val="-3"/>
        </w:rPr>
        <w:t> </w:t>
      </w:r>
      <w:r>
        <w:rPr/>
        <w:t>The</w:t>
      </w:r>
      <w:r>
        <w:rPr>
          <w:spacing w:val="-3"/>
        </w:rPr>
        <w:t> </w:t>
      </w:r>
      <w:r>
        <w:rPr/>
        <w:t>training will also address the misconception about sexual harassment and how to identify </w:t>
      </w:r>
      <w:r>
        <w:rPr/>
        <w:t>sexual harassment when it happens. The goal of</w:t>
      </w:r>
      <w:r>
        <w:rPr>
          <w:spacing w:val="-2"/>
        </w:rPr>
        <w:t> </w:t>
      </w:r>
      <w:r>
        <w:rPr/>
        <w:t>the</w:t>
      </w:r>
      <w:r>
        <w:rPr>
          <w:spacing w:val="-2"/>
        </w:rPr>
        <w:t> </w:t>
      </w:r>
      <w:r>
        <w:rPr/>
        <w:t>program</w:t>
      </w:r>
      <w:r>
        <w:rPr>
          <w:spacing w:val="-2"/>
        </w:rPr>
        <w:t> </w:t>
      </w:r>
      <w:r>
        <w:rPr/>
        <w:t>is</w:t>
      </w:r>
      <w:r>
        <w:rPr>
          <w:spacing w:val="-2"/>
        </w:rPr>
        <w:t> </w:t>
      </w:r>
      <w:r>
        <w:rPr/>
        <w:t>to</w:t>
      </w:r>
      <w:r>
        <w:rPr>
          <w:spacing w:val="-2"/>
        </w:rPr>
        <w:t> </w:t>
      </w:r>
      <w:r>
        <w:rPr/>
        <w:t>educate</w:t>
      </w:r>
      <w:r>
        <w:rPr>
          <w:spacing w:val="-2"/>
        </w:rPr>
        <w:t> </w:t>
      </w:r>
      <w:r>
        <w:rPr/>
        <w:t>people</w:t>
      </w:r>
      <w:r>
        <w:rPr>
          <w:spacing w:val="-2"/>
        </w:rPr>
        <w:t> </w:t>
      </w:r>
      <w:r>
        <w:rPr/>
        <w:t>on</w:t>
      </w:r>
      <w:r>
        <w:rPr>
          <w:spacing w:val="-2"/>
        </w:rPr>
        <w:t> </w:t>
      </w:r>
      <w:r>
        <w:rPr/>
        <w:t>their</w:t>
      </w:r>
      <w:r>
        <w:rPr>
          <w:spacing w:val="-2"/>
        </w:rPr>
        <w:t> </w:t>
      </w:r>
      <w:r>
        <w:rPr/>
        <w:t>rights</w:t>
      </w:r>
      <w:r>
        <w:rPr>
          <w:spacing w:val="-2"/>
        </w:rPr>
        <w:t> </w:t>
      </w:r>
      <w:r>
        <w:rPr/>
        <w:t>and responsibilities at work as well as to promote respect for others, regardless of their </w:t>
      </w:r>
      <w:r>
        <w:rPr>
          <w:spacing w:val="-2"/>
        </w:rPr>
        <w:t>background.</w:t>
      </w:r>
    </w:p>
    <w:p>
      <w:pPr>
        <w:pStyle w:val="BodyText"/>
        <w:spacing w:after="0" w:line="360" w:lineRule="auto"/>
        <w:jc w:val="both"/>
        <w:sectPr>
          <w:type w:val="continuous"/>
          <w:pgSz w:w="11920" w:h="16840"/>
          <w:pgMar w:top="1380" w:bottom="280" w:left="1417" w:right="992"/>
        </w:sectPr>
      </w:pPr>
    </w:p>
    <w:p>
      <w:pPr>
        <w:pStyle w:val="BodyText"/>
        <w:spacing w:line="360" w:lineRule="auto" w:before="60"/>
        <w:ind w:left="23" w:right="462"/>
        <w:jc w:val="both"/>
      </w:pPr>
      <w:r>
        <w:rPr/>
        <w:t>It will also provide people with information on how to report harassing conduct at work. </w:t>
      </w:r>
      <w:r>
        <w:rPr/>
        <w:t>It will guide them on who to report the harassment to and how to report it without fear. The program's</w:t>
      </w:r>
      <w:r>
        <w:rPr>
          <w:spacing w:val="40"/>
        </w:rPr>
        <w:t> </w:t>
      </w:r>
      <w:r>
        <w:rPr/>
        <w:t>goal</w:t>
      </w:r>
      <w:r>
        <w:rPr>
          <w:spacing w:val="40"/>
        </w:rPr>
        <w:t> </w:t>
      </w:r>
      <w:r>
        <w:rPr/>
        <w:t>is</w:t>
      </w:r>
      <w:r>
        <w:rPr>
          <w:spacing w:val="40"/>
        </w:rPr>
        <w:t> </w:t>
      </w:r>
      <w:r>
        <w:rPr/>
        <w:t>to</w:t>
      </w:r>
      <w:r>
        <w:rPr>
          <w:spacing w:val="40"/>
        </w:rPr>
        <w:t> </w:t>
      </w:r>
      <w:r>
        <w:rPr/>
        <w:t>instill</w:t>
      </w:r>
      <w:r>
        <w:rPr>
          <w:spacing w:val="40"/>
        </w:rPr>
        <w:t> </w:t>
      </w:r>
      <w:r>
        <w:rPr/>
        <w:t>a</w:t>
      </w:r>
      <w:r>
        <w:rPr>
          <w:spacing w:val="40"/>
        </w:rPr>
        <w:t> </w:t>
      </w:r>
      <w:r>
        <w:rPr/>
        <w:t>sense</w:t>
      </w:r>
      <w:r>
        <w:rPr>
          <w:spacing w:val="40"/>
        </w:rPr>
        <w:t> </w:t>
      </w:r>
      <w:r>
        <w:rPr/>
        <w:t>of</w:t>
      </w:r>
      <w:r>
        <w:rPr>
          <w:spacing w:val="40"/>
        </w:rPr>
        <w:t> </w:t>
      </w:r>
      <w:r>
        <w:rPr/>
        <w:t>security</w:t>
      </w:r>
      <w:r>
        <w:rPr>
          <w:spacing w:val="40"/>
        </w:rPr>
        <w:t> </w:t>
      </w:r>
      <w:r>
        <w:rPr/>
        <w:t>in</w:t>
      </w:r>
      <w:r>
        <w:rPr>
          <w:spacing w:val="40"/>
        </w:rPr>
        <w:t> </w:t>
      </w:r>
      <w:r>
        <w:rPr/>
        <w:t>individuals</w:t>
      </w:r>
      <w:r>
        <w:rPr>
          <w:spacing w:val="40"/>
        </w:rPr>
        <w:t> </w:t>
      </w:r>
      <w:r>
        <w:rPr/>
        <w:t>when</w:t>
      </w:r>
      <w:r>
        <w:rPr>
          <w:spacing w:val="40"/>
        </w:rPr>
        <w:t> </w:t>
      </w:r>
      <w:r>
        <w:rPr/>
        <w:t>they</w:t>
      </w:r>
      <w:r>
        <w:rPr>
          <w:spacing w:val="40"/>
        </w:rPr>
        <w:t> </w:t>
      </w:r>
      <w:r>
        <w:rPr/>
        <w:t>report</w:t>
      </w:r>
      <w:r>
        <w:rPr>
          <w:spacing w:val="40"/>
        </w:rPr>
        <w:t> </w:t>
      </w:r>
      <w:r>
        <w:rPr/>
        <w:t>a harassment-related incident. It also encourages people to support one another and help</w:t>
      </w:r>
      <w:r>
        <w:rPr>
          <w:spacing w:val="-3"/>
        </w:rPr>
        <w:t> </w:t>
      </w:r>
      <w:r>
        <w:rPr/>
        <w:t>those who have been victimized.</w:t>
      </w:r>
    </w:p>
    <w:p>
      <w:pPr>
        <w:pStyle w:val="BodyText"/>
        <w:spacing w:before="137"/>
      </w:pPr>
    </w:p>
    <w:p>
      <w:pPr>
        <w:pStyle w:val="BodyText"/>
        <w:spacing w:line="360" w:lineRule="auto" w:before="1"/>
        <w:ind w:left="23" w:right="461"/>
        <w:jc w:val="both"/>
      </w:pPr>
      <w:r>
        <w:rPr/>
        <w:t>Compliments of the above, the program is also designed to provide employees with </w:t>
      </w:r>
      <w:r>
        <w:rPr/>
        <w:t>an environment that is conducive to good work performance. Employees receive education on building a workplace where everyone is treated in a kind, honest, and respectful manner. Employees develop a positive attitude toward their employers</w:t>
      </w:r>
      <w:r>
        <w:rPr>
          <w:spacing w:val="-3"/>
        </w:rPr>
        <w:t> </w:t>
      </w:r>
      <w:r>
        <w:rPr/>
        <w:t>when</w:t>
      </w:r>
      <w:r>
        <w:rPr>
          <w:spacing w:val="-3"/>
        </w:rPr>
        <w:t> </w:t>
      </w:r>
      <w:r>
        <w:rPr/>
        <w:t>employers</w:t>
      </w:r>
      <w:r>
        <w:rPr>
          <w:spacing w:val="-3"/>
        </w:rPr>
        <w:t> </w:t>
      </w:r>
      <w:r>
        <w:rPr/>
        <w:t>show</w:t>
      </w:r>
      <w:r>
        <w:rPr>
          <w:spacing w:val="-3"/>
        </w:rPr>
        <w:t> </w:t>
      </w:r>
      <w:r>
        <w:rPr/>
        <w:t>interest in employee welfare.</w:t>
      </w:r>
    </w:p>
    <w:p>
      <w:pPr>
        <w:pStyle w:val="BodyText"/>
        <w:spacing w:before="137"/>
      </w:pPr>
    </w:p>
    <w:p>
      <w:pPr>
        <w:pStyle w:val="BodyText"/>
        <w:spacing w:line="360" w:lineRule="auto" w:before="1"/>
        <w:ind w:left="23" w:right="470"/>
        <w:jc w:val="both"/>
      </w:pPr>
      <w:r>
        <w:rPr>
          <w:b/>
        </w:rPr>
        <w:t>Keywords: </w:t>
      </w:r>
      <w:r>
        <w:rPr/>
        <w:t>Sexual Harassment, Sexual Awareness, Workplace Safety, Anti-</w:t>
      </w:r>
      <w:r>
        <w:rPr/>
        <w:t>Sexual Harassment Act 2022 (Act 840), Employee Awareness, Organisational Culture</w:t>
      </w:r>
    </w:p>
    <w:p>
      <w:pPr>
        <w:pStyle w:val="BodyText"/>
        <w:spacing w:before="137"/>
      </w:pPr>
    </w:p>
    <w:p>
      <w:pPr>
        <w:pStyle w:val="Heading2"/>
        <w:spacing w:before="1"/>
        <w:ind w:left="0" w:right="437"/>
        <w:jc w:val="center"/>
      </w:pPr>
      <w:r>
        <w:rPr>
          <w:spacing w:val="-2"/>
        </w:rPr>
        <w:t>INTRODUCTION</w:t>
      </w:r>
    </w:p>
    <w:p>
      <w:pPr>
        <w:pStyle w:val="BodyText"/>
        <w:spacing w:before="275"/>
        <w:rPr>
          <w:b/>
        </w:rPr>
      </w:pPr>
    </w:p>
    <w:p>
      <w:pPr>
        <w:pStyle w:val="BodyText"/>
        <w:spacing w:line="276" w:lineRule="auto" w:before="1"/>
        <w:ind w:left="23" w:right="464" w:firstLine="720"/>
        <w:jc w:val="both"/>
      </w:pPr>
      <w:r>
        <w:rPr/>
        <w:t>Sexual Harassment is a significant issue that can impact</w:t>
      </w:r>
      <w:r>
        <w:rPr>
          <w:spacing w:val="-3"/>
        </w:rPr>
        <w:t> </w:t>
      </w:r>
      <w:r>
        <w:rPr/>
        <w:t>the</w:t>
      </w:r>
      <w:r>
        <w:rPr>
          <w:spacing w:val="-3"/>
        </w:rPr>
        <w:t> </w:t>
      </w:r>
      <w:r>
        <w:rPr/>
        <w:t>wellbeing</w:t>
      </w:r>
      <w:r>
        <w:rPr>
          <w:spacing w:val="-3"/>
        </w:rPr>
        <w:t> </w:t>
      </w:r>
      <w:r>
        <w:rPr/>
        <w:t>of</w:t>
      </w:r>
      <w:r>
        <w:rPr>
          <w:spacing w:val="-3"/>
        </w:rPr>
        <w:t> </w:t>
      </w:r>
      <w:r>
        <w:rPr/>
        <w:t>individuals, how they get along with others and how productive they are in their respective workplaces. Sexual harassment can be demonstrated in various ways, including verbal, non-verbal, physical, or through the use of electronic media. These behaviours can create an unsafe workplace, adversely impact</w:t>
      </w:r>
      <w:r>
        <w:rPr>
          <w:spacing w:val="-4"/>
        </w:rPr>
        <w:t> </w:t>
      </w:r>
      <w:r>
        <w:rPr/>
        <w:t>the</w:t>
      </w:r>
      <w:r>
        <w:rPr>
          <w:spacing w:val="-4"/>
        </w:rPr>
        <w:t> </w:t>
      </w:r>
      <w:r>
        <w:rPr/>
        <w:t>victim,</w:t>
      </w:r>
      <w:r>
        <w:rPr>
          <w:spacing w:val="-4"/>
        </w:rPr>
        <w:t> </w:t>
      </w:r>
      <w:r>
        <w:rPr/>
        <w:t>and</w:t>
      </w:r>
      <w:r>
        <w:rPr>
          <w:spacing w:val="-4"/>
        </w:rPr>
        <w:t> </w:t>
      </w:r>
      <w:r>
        <w:rPr/>
        <w:t>lead</w:t>
      </w:r>
      <w:r>
        <w:rPr>
          <w:spacing w:val="-4"/>
        </w:rPr>
        <w:t> </w:t>
      </w:r>
      <w:r>
        <w:rPr/>
        <w:t>to</w:t>
      </w:r>
      <w:r>
        <w:rPr>
          <w:spacing w:val="-4"/>
        </w:rPr>
        <w:t> </w:t>
      </w:r>
      <w:r>
        <w:rPr/>
        <w:t>emotional</w:t>
      </w:r>
      <w:r>
        <w:rPr>
          <w:spacing w:val="-4"/>
        </w:rPr>
        <w:t> </w:t>
      </w:r>
      <w:r>
        <w:rPr/>
        <w:t>distress,</w:t>
      </w:r>
      <w:r>
        <w:rPr>
          <w:spacing w:val="-4"/>
        </w:rPr>
        <w:t> </w:t>
      </w:r>
      <w:r>
        <w:rPr/>
        <w:t>psychological</w:t>
      </w:r>
      <w:r>
        <w:rPr>
          <w:spacing w:val="-4"/>
        </w:rPr>
        <w:t> </w:t>
      </w:r>
      <w:r>
        <w:rPr/>
        <w:t>trauma, and decreased job performance.</w:t>
      </w:r>
    </w:p>
    <w:p>
      <w:pPr>
        <w:pStyle w:val="BodyText"/>
        <w:spacing w:before="41"/>
      </w:pPr>
    </w:p>
    <w:p>
      <w:pPr>
        <w:pStyle w:val="BodyText"/>
        <w:spacing w:line="276" w:lineRule="auto"/>
        <w:ind w:left="23" w:right="463" w:firstLine="720"/>
        <w:jc w:val="both"/>
      </w:pPr>
      <w:r>
        <w:rPr/>
        <w:t>The Anti-Sexual Harassment Act 2022 empowers victims of sexual harassment through the ability to seek redress, create an Anti-Sexual Harassment Tribunal </w:t>
      </w:r>
      <w:r>
        <w:rPr/>
        <w:t>(TAGS), increase public awareness and prevent future occurrences of sexual harassment. Victims of sexual harassment may also experience difficulties interacting</w:t>
      </w:r>
      <w:r>
        <w:rPr>
          <w:spacing w:val="-4"/>
        </w:rPr>
        <w:t> </w:t>
      </w:r>
      <w:r>
        <w:rPr/>
        <w:t>with</w:t>
      </w:r>
      <w:r>
        <w:rPr>
          <w:spacing w:val="-4"/>
        </w:rPr>
        <w:t> </w:t>
      </w:r>
      <w:r>
        <w:rPr/>
        <w:t>others</w:t>
      </w:r>
      <w:r>
        <w:rPr>
          <w:spacing w:val="-4"/>
        </w:rPr>
        <w:t> </w:t>
      </w:r>
      <w:r>
        <w:rPr/>
        <w:t>or</w:t>
      </w:r>
      <w:r>
        <w:rPr>
          <w:spacing w:val="-4"/>
        </w:rPr>
        <w:t> </w:t>
      </w:r>
      <w:r>
        <w:rPr/>
        <w:t>continuing</w:t>
      </w:r>
      <w:r>
        <w:rPr>
          <w:spacing w:val="-4"/>
        </w:rPr>
        <w:t> </w:t>
      </w:r>
      <w:r>
        <w:rPr/>
        <w:t>their employment as a result of the trauma suffered.</w:t>
      </w:r>
    </w:p>
    <w:p>
      <w:pPr>
        <w:pStyle w:val="BodyText"/>
        <w:spacing w:before="41"/>
      </w:pPr>
    </w:p>
    <w:p>
      <w:pPr>
        <w:pStyle w:val="BodyText"/>
        <w:spacing w:line="276" w:lineRule="auto"/>
        <w:ind w:left="23" w:right="462" w:firstLine="720"/>
        <w:jc w:val="both"/>
      </w:pPr>
      <w:r>
        <w:rPr/>
        <w:t>Therefore, it is essential to create awareness and understanding of sexual harassment to promote safe, professional, and respectful workplace cultures. The Safe </w:t>
      </w:r>
      <w:r>
        <w:rPr/>
        <w:t>Workplace Initiative: Creating a Safe Organisation provides an</w:t>
      </w:r>
      <w:r>
        <w:rPr>
          <w:spacing w:val="-3"/>
        </w:rPr>
        <w:t> </w:t>
      </w:r>
      <w:r>
        <w:rPr/>
        <w:t>educational</w:t>
      </w:r>
      <w:r>
        <w:rPr>
          <w:spacing w:val="-3"/>
        </w:rPr>
        <w:t> </w:t>
      </w:r>
      <w:r>
        <w:rPr/>
        <w:t>and</w:t>
      </w:r>
      <w:r>
        <w:rPr>
          <w:spacing w:val="-3"/>
        </w:rPr>
        <w:t> </w:t>
      </w:r>
      <w:r>
        <w:rPr/>
        <w:t>preventative</w:t>
      </w:r>
      <w:r>
        <w:rPr>
          <w:spacing w:val="-3"/>
        </w:rPr>
        <w:t> </w:t>
      </w:r>
      <w:r>
        <w:rPr/>
        <w:t>programme designed to assist participants in recognising different forms of sexual harassment and in determining appropriate responses when confronted with such behaviours.</w:t>
      </w:r>
    </w:p>
    <w:p>
      <w:pPr>
        <w:pStyle w:val="BodyText"/>
        <w:spacing w:after="0" w:line="276" w:lineRule="auto"/>
        <w:jc w:val="both"/>
        <w:sectPr>
          <w:pgSz w:w="11920" w:h="16840"/>
          <w:pgMar w:top="1380" w:bottom="280" w:left="1417" w:right="992"/>
        </w:sectPr>
      </w:pPr>
    </w:p>
    <w:p>
      <w:pPr>
        <w:pStyle w:val="Heading2"/>
        <w:numPr>
          <w:ilvl w:val="1"/>
          <w:numId w:val="1"/>
        </w:numPr>
        <w:tabs>
          <w:tab w:pos="383" w:val="left" w:leader="none"/>
        </w:tabs>
        <w:spacing w:line="240" w:lineRule="auto" w:before="77" w:after="0"/>
        <w:ind w:left="383" w:right="0" w:hanging="360"/>
        <w:jc w:val="left"/>
      </w:pPr>
      <w:r>
        <w:rPr/>
        <w:t>PROGRAM </w:t>
      </w:r>
      <w:r>
        <w:rPr>
          <w:spacing w:val="-2"/>
        </w:rPr>
        <w:t>DESCRIPTION</w:t>
      </w:r>
    </w:p>
    <w:p>
      <w:pPr>
        <w:pStyle w:val="BodyText"/>
        <w:spacing w:before="83"/>
        <w:rPr>
          <w:b/>
        </w:rPr>
      </w:pPr>
    </w:p>
    <w:p>
      <w:pPr>
        <w:pStyle w:val="BodyText"/>
        <w:spacing w:line="276" w:lineRule="auto"/>
        <w:ind w:left="23" w:right="462" w:firstLine="720"/>
        <w:jc w:val="both"/>
      </w:pPr>
      <w:r>
        <w:rPr/>
        <w:t>The Safe Workplace Initiative is a program aimed at providing employees with</w:t>
      </w:r>
      <w:r>
        <w:rPr>
          <w:spacing w:val="-4"/>
        </w:rPr>
        <w:t> </w:t>
      </w:r>
      <w:r>
        <w:rPr/>
        <w:t>more education regarding sexual harassment at their workplace. It allows employees to become aware of the definitions and differences between acceptable and unacceptable behaviours at work, in addition to providing knowledge and skills to create a safer,</w:t>
      </w:r>
      <w:r>
        <w:rPr>
          <w:spacing w:val="-3"/>
        </w:rPr>
        <w:t> </w:t>
      </w:r>
      <w:r>
        <w:rPr/>
        <w:t>more</w:t>
      </w:r>
      <w:r>
        <w:rPr>
          <w:spacing w:val="-3"/>
        </w:rPr>
        <w:t> </w:t>
      </w:r>
      <w:r>
        <w:rPr/>
        <w:t>professional,</w:t>
      </w:r>
      <w:r>
        <w:rPr>
          <w:spacing w:val="-3"/>
        </w:rPr>
        <w:t> </w:t>
      </w:r>
      <w:r>
        <w:rPr/>
        <w:t>and ethical workplace. The Safe Workplace Initiative is a collaboration between the third-year Counselling internship students from Universiti Malaysia Sarawak (UNIMAS) and Teknikkl </w:t>
      </w:r>
      <w:r>
        <w:rPr>
          <w:spacing w:val="-2"/>
        </w:rPr>
        <w:t>Institusi.</w:t>
      </w:r>
    </w:p>
    <w:p>
      <w:pPr>
        <w:pStyle w:val="BodyText"/>
        <w:spacing w:before="41"/>
      </w:pPr>
    </w:p>
    <w:p>
      <w:pPr>
        <w:pStyle w:val="BodyText"/>
        <w:spacing w:line="276" w:lineRule="auto"/>
        <w:ind w:left="23" w:right="462" w:firstLine="720"/>
        <w:jc w:val="both"/>
      </w:pPr>
      <w:r>
        <w:rPr/>
        <w:t>The program will focus on using prevention techniques and practical </w:t>
      </w:r>
      <w:r>
        <w:rPr/>
        <w:t>application techniques to assist employees in effectively dealing with sexual harassment in the</w:t>
      </w:r>
      <w:r>
        <w:rPr>
          <w:spacing w:val="40"/>
        </w:rPr>
        <w:t> </w:t>
      </w:r>
      <w:r>
        <w:rPr/>
        <w:t>workplace. This will be done using interactive</w:t>
      </w:r>
      <w:r>
        <w:rPr>
          <w:spacing w:val="-3"/>
        </w:rPr>
        <w:t> </w:t>
      </w:r>
      <w:r>
        <w:rPr/>
        <w:t>learning</w:t>
      </w:r>
      <w:r>
        <w:rPr>
          <w:spacing w:val="-3"/>
        </w:rPr>
        <w:t> </w:t>
      </w:r>
      <w:r>
        <w:rPr/>
        <w:t>activities</w:t>
      </w:r>
      <w:r>
        <w:rPr>
          <w:spacing w:val="-3"/>
        </w:rPr>
        <w:t> </w:t>
      </w:r>
      <w:r>
        <w:rPr/>
        <w:t>such</w:t>
      </w:r>
      <w:r>
        <w:rPr>
          <w:spacing w:val="-3"/>
        </w:rPr>
        <w:t> </w:t>
      </w:r>
      <w:r>
        <w:rPr/>
        <w:t>as</w:t>
      </w:r>
      <w:r>
        <w:rPr>
          <w:spacing w:val="-3"/>
        </w:rPr>
        <w:t> </w:t>
      </w:r>
      <w:r>
        <w:rPr/>
        <w:t>informal</w:t>
      </w:r>
      <w:r>
        <w:rPr>
          <w:spacing w:val="-3"/>
        </w:rPr>
        <w:t> </w:t>
      </w:r>
      <w:r>
        <w:rPr/>
        <w:t>discussion sessions, quizzes, and role playing simulations.</w:t>
      </w:r>
      <w:r>
        <w:rPr>
          <w:spacing w:val="-3"/>
        </w:rPr>
        <w:t> </w:t>
      </w:r>
      <w:r>
        <w:rPr/>
        <w:t>Participants</w:t>
      </w:r>
      <w:r>
        <w:rPr>
          <w:spacing w:val="-3"/>
        </w:rPr>
        <w:t> </w:t>
      </w:r>
      <w:r>
        <w:rPr/>
        <w:t>will</w:t>
      </w:r>
      <w:r>
        <w:rPr>
          <w:spacing w:val="-3"/>
        </w:rPr>
        <w:t> </w:t>
      </w:r>
      <w:r>
        <w:rPr/>
        <w:t>develop</w:t>
      </w:r>
      <w:r>
        <w:rPr>
          <w:spacing w:val="-3"/>
        </w:rPr>
        <w:t> </w:t>
      </w:r>
      <w:r>
        <w:rPr/>
        <w:t>an</w:t>
      </w:r>
      <w:r>
        <w:rPr>
          <w:spacing w:val="-3"/>
        </w:rPr>
        <w:t> </w:t>
      </w:r>
      <w:r>
        <w:rPr/>
        <w:t>understanding</w:t>
      </w:r>
      <w:r>
        <w:rPr>
          <w:spacing w:val="-3"/>
        </w:rPr>
        <w:t> </w:t>
      </w:r>
      <w:r>
        <w:rPr/>
        <w:t>of how to identify whether a behaviour is considered sexual harassment, and they will also become familiar with the steps they need to take if they are a victim or witness of sexual </w:t>
      </w:r>
      <w:r>
        <w:rPr>
          <w:spacing w:val="-2"/>
        </w:rPr>
        <w:t>harassment.</w:t>
      </w:r>
    </w:p>
    <w:p>
      <w:pPr>
        <w:pStyle w:val="BodyText"/>
        <w:spacing w:before="41"/>
      </w:pPr>
    </w:p>
    <w:p>
      <w:pPr>
        <w:pStyle w:val="BodyText"/>
        <w:spacing w:line="276" w:lineRule="auto" w:before="1"/>
        <w:ind w:left="23" w:right="466" w:firstLine="720"/>
        <w:jc w:val="both"/>
      </w:pPr>
      <w:r>
        <w:rPr/>
        <w:t>This program will allow participants to share their experiences in a supportive </w:t>
      </w:r>
      <w:r>
        <w:rPr/>
        <w:t>and comfortable environment and will encourage meaningful discussion regarding their experiences. Through group discussions, all participants will have access to the appropriate reporting procedures in accordance with the Anti-Sexual Harassment Act 2022 (Act 840). This will empower participants to report incidents of sexual harassment and obtain the help they need.</w:t>
      </w:r>
    </w:p>
    <w:p>
      <w:pPr>
        <w:pStyle w:val="BodyText"/>
      </w:pPr>
    </w:p>
    <w:p>
      <w:pPr>
        <w:pStyle w:val="BodyText"/>
        <w:spacing w:before="82"/>
      </w:pPr>
    </w:p>
    <w:p>
      <w:pPr>
        <w:pStyle w:val="Heading2"/>
        <w:numPr>
          <w:ilvl w:val="1"/>
          <w:numId w:val="1"/>
        </w:numPr>
        <w:tabs>
          <w:tab w:pos="383" w:val="left" w:leader="none"/>
        </w:tabs>
        <w:spacing w:line="240" w:lineRule="auto" w:before="0" w:after="0"/>
        <w:ind w:left="383" w:right="0" w:hanging="360"/>
        <w:jc w:val="left"/>
      </w:pPr>
      <w:r>
        <w:rPr/>
        <w:t>PROGRAM </w:t>
      </w:r>
      <w:r>
        <w:rPr>
          <w:spacing w:val="-2"/>
        </w:rPr>
        <w:t>OBJECTIVES.</w:t>
      </w:r>
    </w:p>
    <w:p>
      <w:pPr>
        <w:pStyle w:val="BodyText"/>
        <w:spacing w:before="180"/>
        <w:rPr>
          <w:b/>
        </w:rPr>
      </w:pPr>
    </w:p>
    <w:p>
      <w:pPr>
        <w:pStyle w:val="ListParagraph"/>
        <w:numPr>
          <w:ilvl w:val="2"/>
          <w:numId w:val="1"/>
        </w:numPr>
        <w:tabs>
          <w:tab w:pos="743" w:val="left" w:leader="none"/>
        </w:tabs>
        <w:spacing w:line="360" w:lineRule="auto" w:before="0" w:after="0"/>
        <w:ind w:left="743" w:right="474" w:hanging="360"/>
        <w:jc w:val="both"/>
        <w:rPr>
          <w:sz w:val="24"/>
        </w:rPr>
      </w:pPr>
      <w:r>
        <w:rPr>
          <w:sz w:val="24"/>
        </w:rPr>
        <w:t>To enhance participants' understanding of the forms, impacts, and implications </w:t>
      </w:r>
      <w:r>
        <w:rPr>
          <w:sz w:val="24"/>
        </w:rPr>
        <w:t>of sexual harassment in the workplace in accordance with the Anti-Sexual Harassment Act 2022 (Act 840).</w:t>
      </w:r>
    </w:p>
    <w:p>
      <w:pPr>
        <w:pStyle w:val="ListParagraph"/>
        <w:numPr>
          <w:ilvl w:val="2"/>
          <w:numId w:val="1"/>
        </w:numPr>
        <w:tabs>
          <w:tab w:pos="743" w:val="left" w:leader="none"/>
        </w:tabs>
        <w:spacing w:line="360" w:lineRule="auto" w:before="0" w:after="0"/>
        <w:ind w:left="743" w:right="472" w:hanging="360"/>
        <w:jc w:val="both"/>
        <w:rPr>
          <w:sz w:val="24"/>
        </w:rPr>
      </w:pPr>
      <w:r>
        <w:rPr>
          <w:sz w:val="24"/>
        </w:rPr>
        <w:t>To increase awareness of the importance of maintaining professional boundaries </w:t>
      </w:r>
      <w:r>
        <w:rPr>
          <w:sz w:val="24"/>
        </w:rPr>
        <w:t>and ethical conduct within the organisation.</w:t>
      </w:r>
    </w:p>
    <w:p>
      <w:pPr>
        <w:pStyle w:val="ListParagraph"/>
        <w:numPr>
          <w:ilvl w:val="2"/>
          <w:numId w:val="1"/>
        </w:numPr>
        <w:tabs>
          <w:tab w:pos="743" w:val="left" w:leader="none"/>
        </w:tabs>
        <w:spacing w:line="360" w:lineRule="auto" w:before="0" w:after="0"/>
        <w:ind w:left="743" w:right="463" w:hanging="360"/>
        <w:jc w:val="both"/>
        <w:rPr>
          <w:sz w:val="24"/>
        </w:rPr>
      </w:pPr>
      <w:r>
        <w:rPr>
          <w:sz w:val="24"/>
        </w:rPr>
        <w:t>To assist participants in identifying the appropriate reporting channels and </w:t>
      </w:r>
      <w:r>
        <w:rPr>
          <w:sz w:val="24"/>
        </w:rPr>
        <w:t>suitable actions to take in cases of sexual harassment.</w:t>
      </w:r>
    </w:p>
    <w:p>
      <w:pPr>
        <w:pStyle w:val="ListParagraph"/>
        <w:numPr>
          <w:ilvl w:val="2"/>
          <w:numId w:val="1"/>
        </w:numPr>
        <w:tabs>
          <w:tab w:pos="743" w:val="left" w:leader="none"/>
        </w:tabs>
        <w:spacing w:line="240" w:lineRule="auto" w:before="0" w:after="0"/>
        <w:ind w:left="743" w:right="0" w:hanging="360"/>
        <w:jc w:val="both"/>
        <w:rPr>
          <w:sz w:val="24"/>
        </w:rPr>
      </w:pPr>
      <w:r>
        <w:rPr>
          <w:sz w:val="24"/>
        </w:rPr>
        <w:t>To</w:t>
      </w:r>
      <w:r>
        <w:rPr>
          <w:spacing w:val="-3"/>
          <w:sz w:val="24"/>
        </w:rPr>
        <w:t> </w:t>
      </w:r>
      <w:r>
        <w:rPr>
          <w:sz w:val="24"/>
        </w:rPr>
        <w:t>promote</w:t>
      </w:r>
      <w:r>
        <w:rPr>
          <w:spacing w:val="-2"/>
          <w:sz w:val="24"/>
        </w:rPr>
        <w:t> </w:t>
      </w:r>
      <w:r>
        <w:rPr>
          <w:sz w:val="24"/>
        </w:rPr>
        <w:t>a</w:t>
      </w:r>
      <w:r>
        <w:rPr>
          <w:spacing w:val="-2"/>
          <w:sz w:val="24"/>
        </w:rPr>
        <w:t> </w:t>
      </w:r>
      <w:r>
        <w:rPr>
          <w:sz w:val="24"/>
        </w:rPr>
        <w:t>safe,</w:t>
      </w:r>
      <w:r>
        <w:rPr>
          <w:spacing w:val="-2"/>
          <w:sz w:val="24"/>
        </w:rPr>
        <w:t> </w:t>
      </w:r>
      <w:r>
        <w:rPr>
          <w:sz w:val="24"/>
        </w:rPr>
        <w:t>respectful,</w:t>
      </w:r>
      <w:r>
        <w:rPr>
          <w:spacing w:val="-2"/>
          <w:sz w:val="24"/>
        </w:rPr>
        <w:t> </w:t>
      </w:r>
      <w:r>
        <w:rPr>
          <w:sz w:val="24"/>
        </w:rPr>
        <w:t>and</w:t>
      </w:r>
      <w:r>
        <w:rPr>
          <w:spacing w:val="-2"/>
          <w:sz w:val="24"/>
        </w:rPr>
        <w:t> </w:t>
      </w:r>
      <w:r>
        <w:rPr>
          <w:sz w:val="24"/>
        </w:rPr>
        <w:t>harassment-free</w:t>
      </w:r>
      <w:r>
        <w:rPr>
          <w:spacing w:val="-2"/>
          <w:sz w:val="24"/>
        </w:rPr>
        <w:t> </w:t>
      </w:r>
      <w:r>
        <w:rPr>
          <w:sz w:val="24"/>
        </w:rPr>
        <w:t>workplace</w:t>
      </w:r>
      <w:r>
        <w:rPr>
          <w:spacing w:val="-2"/>
          <w:sz w:val="24"/>
        </w:rPr>
        <w:t> culture.</w:t>
      </w:r>
    </w:p>
    <w:p>
      <w:pPr>
        <w:pStyle w:val="ListParagraph"/>
        <w:spacing w:after="0" w:line="240" w:lineRule="auto"/>
        <w:jc w:val="both"/>
        <w:rPr>
          <w:sz w:val="24"/>
        </w:rPr>
        <w:sectPr>
          <w:pgSz w:w="11920" w:h="16840"/>
          <w:pgMar w:top="1680" w:bottom="280" w:left="1417" w:right="992"/>
        </w:sectPr>
      </w:pPr>
    </w:p>
    <w:p>
      <w:pPr>
        <w:pStyle w:val="Heading2"/>
        <w:spacing w:before="60"/>
        <w:ind w:left="204" w:right="437"/>
        <w:jc w:val="center"/>
      </w:pPr>
      <w:r>
        <w:rPr>
          <w:spacing w:val="-2"/>
        </w:rPr>
        <w:t>LITERATURE</w:t>
      </w:r>
      <w:r>
        <w:rPr>
          <w:spacing w:val="2"/>
        </w:rPr>
        <w:t> </w:t>
      </w:r>
      <w:r>
        <w:rPr>
          <w:spacing w:val="-2"/>
        </w:rPr>
        <w:t>REVIEW</w:t>
      </w:r>
    </w:p>
    <w:p>
      <w:pPr>
        <w:pStyle w:val="BodyText"/>
        <w:rPr>
          <w:b/>
        </w:rPr>
      </w:pPr>
    </w:p>
    <w:p>
      <w:pPr>
        <w:pStyle w:val="ListParagraph"/>
        <w:numPr>
          <w:ilvl w:val="1"/>
          <w:numId w:val="2"/>
        </w:numPr>
        <w:tabs>
          <w:tab w:pos="383" w:val="left" w:leader="none"/>
        </w:tabs>
        <w:spacing w:line="240" w:lineRule="auto" w:before="276" w:after="0"/>
        <w:ind w:left="383" w:right="0" w:hanging="360"/>
        <w:jc w:val="left"/>
        <w:rPr>
          <w:b/>
          <w:sz w:val="24"/>
        </w:rPr>
      </w:pPr>
      <w:r>
        <w:rPr>
          <w:b/>
          <w:spacing w:val="-2"/>
          <w:sz w:val="24"/>
        </w:rPr>
        <w:t>LITERATURE</w:t>
      </w:r>
      <w:r>
        <w:rPr>
          <w:b/>
          <w:spacing w:val="2"/>
          <w:sz w:val="24"/>
        </w:rPr>
        <w:t> </w:t>
      </w:r>
      <w:r>
        <w:rPr>
          <w:b/>
          <w:spacing w:val="-2"/>
          <w:sz w:val="24"/>
        </w:rPr>
        <w:t>REVIEW</w:t>
      </w:r>
    </w:p>
    <w:p>
      <w:pPr>
        <w:pStyle w:val="BodyText"/>
        <w:spacing w:before="101"/>
        <w:rPr>
          <w:b/>
        </w:rPr>
      </w:pPr>
    </w:p>
    <w:p>
      <w:pPr>
        <w:pStyle w:val="BodyText"/>
        <w:spacing w:line="360" w:lineRule="auto" w:before="1"/>
        <w:ind w:left="23" w:right="461" w:firstLine="720"/>
        <w:jc w:val="both"/>
      </w:pPr>
      <w:r>
        <w:rPr/>
        <w:t>The focus of this study is the concept of verbal sexual harassment. It also examines</w:t>
      </w:r>
      <w:r>
        <w:rPr>
          <w:spacing w:val="40"/>
        </w:rPr>
        <w:t> </w:t>
      </w:r>
      <w:r>
        <w:rPr/>
        <w:t>the results of previous studies related to the higher education ecosystem at both local </w:t>
      </w:r>
      <w:r>
        <w:rPr/>
        <w:t>and international levels, and discusses the three</w:t>
      </w:r>
      <w:r>
        <w:rPr>
          <w:spacing w:val="-2"/>
        </w:rPr>
        <w:t> </w:t>
      </w:r>
      <w:r>
        <w:rPr/>
        <w:t>main</w:t>
      </w:r>
      <w:r>
        <w:rPr>
          <w:spacing w:val="-2"/>
        </w:rPr>
        <w:t> </w:t>
      </w:r>
      <w:r>
        <w:rPr/>
        <w:t>theoretical</w:t>
      </w:r>
      <w:r>
        <w:rPr>
          <w:spacing w:val="-2"/>
        </w:rPr>
        <w:t> </w:t>
      </w:r>
      <w:r>
        <w:rPr/>
        <w:t>foundations</w:t>
      </w:r>
      <w:r>
        <w:rPr>
          <w:spacing w:val="-2"/>
        </w:rPr>
        <w:t> </w:t>
      </w:r>
      <w:r>
        <w:rPr/>
        <w:t>that</w:t>
      </w:r>
      <w:r>
        <w:rPr>
          <w:spacing w:val="-2"/>
        </w:rPr>
        <w:t> </w:t>
      </w:r>
      <w:r>
        <w:rPr/>
        <w:t>form</w:t>
      </w:r>
      <w:r>
        <w:rPr>
          <w:spacing w:val="-2"/>
        </w:rPr>
        <w:t> </w:t>
      </w:r>
      <w:r>
        <w:rPr/>
        <w:t>the</w:t>
      </w:r>
      <w:r>
        <w:rPr>
          <w:spacing w:val="-2"/>
        </w:rPr>
        <w:t> </w:t>
      </w:r>
      <w:r>
        <w:rPr/>
        <w:t>design and dynamics of this intervention module's activities.</w:t>
      </w:r>
    </w:p>
    <w:p>
      <w:pPr>
        <w:pStyle w:val="BodyText"/>
        <w:spacing w:before="4"/>
      </w:pPr>
    </w:p>
    <w:p>
      <w:pPr>
        <w:pStyle w:val="Heading3"/>
        <w:numPr>
          <w:ilvl w:val="1"/>
          <w:numId w:val="2"/>
        </w:numPr>
        <w:tabs>
          <w:tab w:pos="383" w:val="left" w:leader="none"/>
        </w:tabs>
        <w:spacing w:line="240" w:lineRule="auto" w:before="0" w:after="0"/>
        <w:ind w:left="383" w:right="0" w:hanging="360"/>
        <w:jc w:val="left"/>
      </w:pPr>
      <w:r>
        <w:rPr/>
        <w:t>Concept</w:t>
      </w:r>
      <w:r>
        <w:rPr>
          <w:spacing w:val="-4"/>
        </w:rPr>
        <w:t> </w:t>
      </w:r>
      <w:r>
        <w:rPr/>
        <w:t>and</w:t>
      </w:r>
      <w:r>
        <w:rPr>
          <w:spacing w:val="-4"/>
        </w:rPr>
        <w:t> </w:t>
      </w:r>
      <w:r>
        <w:rPr/>
        <w:t>Conceptualization</w:t>
      </w:r>
      <w:r>
        <w:rPr>
          <w:spacing w:val="-4"/>
        </w:rPr>
        <w:t> </w:t>
      </w:r>
      <w:r>
        <w:rPr/>
        <w:t>of</w:t>
      </w:r>
      <w:r>
        <w:rPr>
          <w:spacing w:val="-4"/>
        </w:rPr>
        <w:t> </w:t>
      </w:r>
      <w:r>
        <w:rPr/>
        <w:t>Verbal</w:t>
      </w:r>
      <w:r>
        <w:rPr>
          <w:spacing w:val="-4"/>
        </w:rPr>
        <w:t> </w:t>
      </w:r>
      <w:r>
        <w:rPr/>
        <w:t>Sexual</w:t>
      </w:r>
      <w:r>
        <w:rPr>
          <w:spacing w:val="-3"/>
        </w:rPr>
        <w:t> </w:t>
      </w:r>
      <w:r>
        <w:rPr>
          <w:spacing w:val="-2"/>
        </w:rPr>
        <w:t>Harassment</w:t>
      </w:r>
    </w:p>
    <w:p>
      <w:pPr>
        <w:pStyle w:val="BodyText"/>
        <w:spacing w:before="102"/>
        <w:rPr>
          <w:b/>
        </w:rPr>
      </w:pPr>
    </w:p>
    <w:p>
      <w:pPr>
        <w:pStyle w:val="BodyText"/>
        <w:spacing w:line="360" w:lineRule="auto"/>
        <w:ind w:left="23" w:right="461" w:firstLine="720"/>
        <w:jc w:val="both"/>
      </w:pPr>
      <w:r>
        <w:rPr/>
        <w:t>Within the academic environment, there is often a blurred line between casual social interaction and formal professional communication. This situation creates a "grey </w:t>
      </w:r>
      <w:r>
        <w:rPr/>
        <w:t>zone," which is frequently manipulated or misinterpreted by instructors. According to Muzaffar et</w:t>
      </w:r>
      <w:r>
        <w:rPr>
          <w:spacing w:val="40"/>
        </w:rPr>
        <w:t> </w:t>
      </w:r>
      <w:r>
        <w:rPr/>
        <w:t>al. (2022), verbal sexual harassment can be defined as any type of comment, word, joke, question, or remark containing sexual elements that are unwelcome by the recipient. This</w:t>
      </w:r>
      <w:r>
        <w:rPr>
          <w:spacing w:val="40"/>
        </w:rPr>
        <w:t> </w:t>
      </w:r>
      <w:r>
        <w:rPr/>
        <w:t>type of harassment directly contributes to the creation of a learning environment or</w:t>
      </w:r>
      <w:r>
        <w:rPr>
          <w:spacing w:val="40"/>
        </w:rPr>
        <w:t> </w:t>
      </w:r>
      <w:r>
        <w:rPr/>
        <w:t>workplace that is intimidating, hostile, non-conducive, and detrimental to individual dignity.</w:t>
      </w:r>
    </w:p>
    <w:p>
      <w:pPr>
        <w:pStyle w:val="BodyText"/>
        <w:spacing w:line="360" w:lineRule="auto" w:before="240"/>
        <w:ind w:left="23" w:right="466" w:firstLine="720"/>
        <w:jc w:val="both"/>
      </w:pPr>
      <w:r>
        <w:rPr/>
        <w:t>Expressions of verbal sexual harassment are manifested through various types </w:t>
      </w:r>
      <w:r>
        <w:rPr/>
        <w:t>of inappropriate verbal behavior, according to research on the relationship dynamics between instructors or</w:t>
      </w:r>
      <w:r>
        <w:rPr>
          <w:spacing w:val="-3"/>
        </w:rPr>
        <w:t> </w:t>
      </w:r>
      <w:r>
        <w:rPr/>
        <w:t>lecturers</w:t>
      </w:r>
      <w:r>
        <w:rPr>
          <w:spacing w:val="-3"/>
        </w:rPr>
        <w:t> </w:t>
      </w:r>
      <w:r>
        <w:rPr/>
        <w:t>and</w:t>
      </w:r>
      <w:r>
        <w:rPr>
          <w:spacing w:val="-3"/>
        </w:rPr>
        <w:t> </w:t>
      </w:r>
      <w:r>
        <w:rPr/>
        <w:t>students</w:t>
      </w:r>
      <w:r>
        <w:rPr>
          <w:spacing w:val="-3"/>
        </w:rPr>
        <w:t> </w:t>
      </w:r>
      <w:r>
        <w:rPr/>
        <w:t>at</w:t>
      </w:r>
      <w:r>
        <w:rPr>
          <w:spacing w:val="-3"/>
        </w:rPr>
        <w:t> </w:t>
      </w:r>
      <w:r>
        <w:rPr/>
        <w:t>the</w:t>
      </w:r>
      <w:r>
        <w:rPr>
          <w:spacing w:val="-3"/>
        </w:rPr>
        <w:t> </w:t>
      </w:r>
      <w:r>
        <w:rPr/>
        <w:t>college</w:t>
      </w:r>
      <w:r>
        <w:rPr>
          <w:spacing w:val="-3"/>
        </w:rPr>
        <w:t> </w:t>
      </w:r>
      <w:r>
        <w:rPr/>
        <w:t>level</w:t>
      </w:r>
      <w:r>
        <w:rPr>
          <w:spacing w:val="-3"/>
        </w:rPr>
        <w:t> </w:t>
      </w:r>
      <w:r>
        <w:rPr/>
        <w:t>(Holmqvist</w:t>
      </w:r>
      <w:r>
        <w:rPr>
          <w:spacing w:val="-3"/>
        </w:rPr>
        <w:t> </w:t>
      </w:r>
      <w:r>
        <w:rPr/>
        <w:t>Gattario</w:t>
      </w:r>
      <w:r>
        <w:rPr>
          <w:spacing w:val="-3"/>
        </w:rPr>
        <w:t> </w:t>
      </w:r>
      <w:r>
        <w:rPr/>
        <w:t>et</w:t>
      </w:r>
      <w:r>
        <w:rPr>
          <w:spacing w:val="-3"/>
        </w:rPr>
        <w:t> </w:t>
      </w:r>
      <w:r>
        <w:rPr/>
        <w:t>al.,</w:t>
      </w:r>
      <w:r>
        <w:rPr>
          <w:spacing w:val="-3"/>
        </w:rPr>
        <w:t> </w:t>
      </w:r>
      <w:r>
        <w:rPr/>
        <w:t>2026).</w:t>
      </w:r>
      <w:r>
        <w:rPr>
          <w:spacing w:val="-3"/>
        </w:rPr>
        <w:t> </w:t>
      </w:r>
      <w:r>
        <w:rPr/>
        <w:t>One such behavior is evaluating a person's physical appearance and sexual appeal, where the perpetrator makes sexually toned comments or implicit insinuations regarding a student's looks, clothing, or sexual attractiveness. Furthermore, there is the problem of the normalization of sexual jokes, which involves incorporating jokes, comedy, or stories containing sexual elements or references into teaching and learning (PdP) sessions with the aim of livening up the classroom atmosphere or maintaining a relaxed teaching style.</w:t>
      </w:r>
    </w:p>
    <w:p>
      <w:pPr>
        <w:pStyle w:val="BodyText"/>
        <w:spacing w:line="360" w:lineRule="auto" w:before="240"/>
        <w:ind w:left="23" w:right="461" w:firstLine="720"/>
        <w:jc w:val="both"/>
      </w:pPr>
      <w:r>
        <w:rPr/>
        <w:t>The use of unprofessional nicknames is another frequently observed form of verbal harassment. This relates to using terms of endearment or intimate names that do not meet professional standards, such as </w:t>
      </w:r>
      <w:r>
        <w:rPr>
          <w:i/>
        </w:rPr>
        <w:t>sayang </w:t>
      </w:r>
      <w:r>
        <w:rPr/>
        <w:t>(darling), </w:t>
      </w:r>
      <w:r>
        <w:rPr>
          <w:i/>
        </w:rPr>
        <w:t>comel </w:t>
      </w:r>
      <w:r>
        <w:rPr/>
        <w:t>(cute), </w:t>
      </w:r>
      <w:r>
        <w:rPr>
          <w:i/>
        </w:rPr>
        <w:t>dear</w:t>
      </w:r>
      <w:r>
        <w:rPr/>
        <w:t>, or </w:t>
      </w:r>
      <w:r>
        <w:rPr>
          <w:i/>
        </w:rPr>
        <w:t>manis </w:t>
      </w:r>
      <w:r>
        <w:rPr/>
        <w:t>(sweet), when speaking to students, whether in the classroom or outside. Subsequently, harassment </w:t>
      </w:r>
      <w:r>
        <w:rPr/>
        <w:t>also occurs in the form of sexualized personal inquiries, where students are asked about their private lives, relationship status, orientation, or intimate experiences, regardless of their academic</w:t>
      </w:r>
      <w:r>
        <w:rPr>
          <w:spacing w:val="12"/>
        </w:rPr>
        <w:t> </w:t>
      </w:r>
      <w:r>
        <w:rPr/>
        <w:t>subject</w:t>
      </w:r>
      <w:r>
        <w:rPr>
          <w:spacing w:val="12"/>
        </w:rPr>
        <w:t> </w:t>
      </w:r>
      <w:r>
        <w:rPr/>
        <w:t>or</w:t>
      </w:r>
      <w:r>
        <w:rPr>
          <w:spacing w:val="13"/>
        </w:rPr>
        <w:t> </w:t>
      </w:r>
      <w:r>
        <w:rPr/>
        <w:t>performance</w:t>
      </w:r>
      <w:r>
        <w:rPr>
          <w:spacing w:val="12"/>
        </w:rPr>
        <w:t> </w:t>
      </w:r>
      <w:r>
        <w:rPr/>
        <w:t>(Arwa</w:t>
      </w:r>
      <w:r>
        <w:rPr>
          <w:spacing w:val="-2"/>
        </w:rPr>
        <w:t> </w:t>
      </w:r>
      <w:r>
        <w:rPr/>
        <w:t>Masadeh</w:t>
      </w:r>
      <w:r>
        <w:rPr>
          <w:spacing w:val="-2"/>
        </w:rPr>
        <w:t> </w:t>
      </w:r>
      <w:r>
        <w:rPr/>
        <w:t>et</w:t>
      </w:r>
      <w:r>
        <w:rPr>
          <w:spacing w:val="-2"/>
        </w:rPr>
        <w:t> </w:t>
      </w:r>
      <w:r>
        <w:rPr/>
        <w:t>al.,</w:t>
      </w:r>
      <w:r>
        <w:rPr>
          <w:spacing w:val="-2"/>
        </w:rPr>
        <w:t> </w:t>
      </w:r>
      <w:r>
        <w:rPr/>
        <w:t>2024).</w:t>
      </w:r>
      <w:r>
        <w:rPr>
          <w:spacing w:val="-2"/>
        </w:rPr>
        <w:t> </w:t>
      </w:r>
      <w:r>
        <w:rPr/>
        <w:t>Verbal</w:t>
      </w:r>
      <w:r>
        <w:rPr>
          <w:spacing w:val="-2"/>
        </w:rPr>
        <w:t> </w:t>
      </w:r>
      <w:r>
        <w:rPr/>
        <w:t>sexual</w:t>
      </w:r>
      <w:r>
        <w:rPr>
          <w:spacing w:val="-2"/>
        </w:rPr>
        <w:t> </w:t>
      </w:r>
      <w:r>
        <w:rPr/>
        <w:t>harassment</w:t>
      </w:r>
      <w:r>
        <w:rPr>
          <w:spacing w:val="-2"/>
        </w:rPr>
        <w:t> </w:t>
      </w:r>
      <w:r>
        <w:rPr>
          <w:spacing w:val="-4"/>
        </w:rPr>
        <w:t>that</w:t>
      </w:r>
    </w:p>
    <w:p>
      <w:pPr>
        <w:pStyle w:val="BodyText"/>
        <w:spacing w:after="0" w:line="360" w:lineRule="auto"/>
        <w:jc w:val="both"/>
        <w:sectPr>
          <w:pgSz w:w="11920" w:h="16840"/>
          <w:pgMar w:top="1380" w:bottom="280" w:left="1417" w:right="992"/>
        </w:sectPr>
      </w:pPr>
    </w:p>
    <w:p>
      <w:pPr>
        <w:pStyle w:val="BodyText"/>
        <w:spacing w:line="360" w:lineRule="auto" w:before="60"/>
        <w:ind w:left="23" w:right="464"/>
        <w:jc w:val="both"/>
      </w:pPr>
      <w:r>
        <w:rPr/>
        <w:t>leaves no physical evidence makes it more difficult to detect in an academic context. Therefore, in such cases, proof depends entirely on the testimony or statements from the victim's own mouth. This ultimately hinders the formal complaint process within </w:t>
      </w:r>
      <w:r>
        <w:rPr/>
        <w:t>the organization from proceeding smoothly.</w:t>
      </w:r>
    </w:p>
    <w:p>
      <w:pPr>
        <w:pStyle w:val="BodyText"/>
        <w:spacing w:before="4"/>
      </w:pPr>
    </w:p>
    <w:p>
      <w:pPr>
        <w:pStyle w:val="Heading3"/>
        <w:numPr>
          <w:ilvl w:val="1"/>
          <w:numId w:val="2"/>
        </w:numPr>
        <w:tabs>
          <w:tab w:pos="473" w:val="left" w:leader="none"/>
        </w:tabs>
        <w:spacing w:line="360" w:lineRule="auto" w:before="0" w:after="0"/>
        <w:ind w:left="23" w:right="468" w:firstLine="0"/>
        <w:jc w:val="left"/>
      </w:pPr>
      <w:r>
        <w:rPr/>
        <w:t>Analysis</w:t>
      </w:r>
      <w:r>
        <w:rPr>
          <w:spacing w:val="80"/>
        </w:rPr>
        <w:t> </w:t>
      </w:r>
      <w:r>
        <w:rPr/>
        <w:t>of</w:t>
      </w:r>
      <w:r>
        <w:rPr>
          <w:spacing w:val="80"/>
        </w:rPr>
        <w:t> </w:t>
      </w:r>
      <w:r>
        <w:rPr/>
        <w:t>Past</w:t>
      </w:r>
      <w:r>
        <w:rPr>
          <w:spacing w:val="80"/>
        </w:rPr>
        <w:t> </w:t>
      </w:r>
      <w:r>
        <w:rPr/>
        <w:t>Studies</w:t>
      </w:r>
      <w:r>
        <w:rPr>
          <w:spacing w:val="40"/>
        </w:rPr>
        <w:t> </w:t>
      </w:r>
      <w:r>
        <w:rPr/>
        <w:t>Regarding</w:t>
      </w:r>
      <w:r>
        <w:rPr>
          <w:spacing w:val="40"/>
        </w:rPr>
        <w:t> </w:t>
      </w:r>
      <w:r>
        <w:rPr/>
        <w:t>Sexual</w:t>
      </w:r>
      <w:r>
        <w:rPr>
          <w:spacing w:val="40"/>
        </w:rPr>
        <w:t> </w:t>
      </w:r>
      <w:r>
        <w:rPr/>
        <w:t>Harassment</w:t>
      </w:r>
      <w:r>
        <w:rPr>
          <w:spacing w:val="40"/>
        </w:rPr>
        <w:t> </w:t>
      </w:r>
      <w:r>
        <w:rPr/>
        <w:t>Issues</w:t>
      </w:r>
      <w:r>
        <w:rPr>
          <w:spacing w:val="40"/>
        </w:rPr>
        <w:t> </w:t>
      </w:r>
      <w:r>
        <w:rPr/>
        <w:t>in</w:t>
      </w:r>
      <w:r>
        <w:rPr>
          <w:spacing w:val="40"/>
        </w:rPr>
        <w:t> </w:t>
      </w:r>
      <w:r>
        <w:rPr/>
        <w:t>Educational</w:t>
      </w:r>
      <w:r>
        <w:rPr>
          <w:spacing w:val="40"/>
        </w:rPr>
        <w:t> </w:t>
      </w:r>
      <w:r>
        <w:rPr>
          <w:spacing w:val="-2"/>
        </w:rPr>
        <w:t>Institutions</w:t>
      </w:r>
    </w:p>
    <w:p>
      <w:pPr>
        <w:pStyle w:val="BodyText"/>
        <w:spacing w:line="360" w:lineRule="auto" w:before="240"/>
        <w:ind w:left="23" w:right="461" w:firstLine="720"/>
        <w:jc w:val="both"/>
      </w:pPr>
      <w:r>
        <w:rPr/>
        <w:t>A literature review of various empirical studies shows that sexual harassment in the educational environment is not just</w:t>
      </w:r>
      <w:r>
        <w:rPr>
          <w:spacing w:val="-3"/>
        </w:rPr>
        <w:t> </w:t>
      </w:r>
      <w:r>
        <w:rPr/>
        <w:t>an</w:t>
      </w:r>
      <w:r>
        <w:rPr>
          <w:spacing w:val="-3"/>
        </w:rPr>
        <w:t> </w:t>
      </w:r>
      <w:r>
        <w:rPr/>
        <w:t>isolated</w:t>
      </w:r>
      <w:r>
        <w:rPr>
          <w:spacing w:val="-3"/>
        </w:rPr>
        <w:t> </w:t>
      </w:r>
      <w:r>
        <w:rPr/>
        <w:t>incident.</w:t>
      </w:r>
      <w:r>
        <w:rPr>
          <w:spacing w:val="-3"/>
        </w:rPr>
        <w:t> </w:t>
      </w:r>
      <w:r>
        <w:rPr/>
        <w:t>It</w:t>
      </w:r>
      <w:r>
        <w:rPr>
          <w:spacing w:val="-3"/>
        </w:rPr>
        <w:t> </w:t>
      </w:r>
      <w:r>
        <w:rPr/>
        <w:t>is</w:t>
      </w:r>
      <w:r>
        <w:rPr>
          <w:spacing w:val="-3"/>
        </w:rPr>
        <w:t> </w:t>
      </w:r>
      <w:r>
        <w:rPr/>
        <w:t>a</w:t>
      </w:r>
      <w:r>
        <w:rPr>
          <w:spacing w:val="-3"/>
        </w:rPr>
        <w:t> </w:t>
      </w:r>
      <w:r>
        <w:rPr/>
        <w:t>systemic</w:t>
      </w:r>
      <w:r>
        <w:rPr>
          <w:spacing w:val="-3"/>
        </w:rPr>
        <w:t> </w:t>
      </w:r>
      <w:r>
        <w:rPr/>
        <w:t>problem</w:t>
      </w:r>
      <w:r>
        <w:rPr>
          <w:spacing w:val="-3"/>
        </w:rPr>
        <w:t> </w:t>
      </w:r>
      <w:r>
        <w:rPr/>
        <w:t>that</w:t>
      </w:r>
      <w:r>
        <w:rPr>
          <w:spacing w:val="-3"/>
        </w:rPr>
        <w:t> </w:t>
      </w:r>
      <w:r>
        <w:rPr/>
        <w:t>requires structured intervention focused on the source of the problem, which are the instructors </w:t>
      </w:r>
      <w:r>
        <w:rPr>
          <w:spacing w:val="-2"/>
        </w:rPr>
        <w:t>themselves.</w:t>
      </w:r>
    </w:p>
    <w:p>
      <w:pPr>
        <w:pStyle w:val="Heading3"/>
        <w:numPr>
          <w:ilvl w:val="2"/>
          <w:numId w:val="2"/>
        </w:numPr>
        <w:tabs>
          <w:tab w:pos="563" w:val="left" w:leader="none"/>
        </w:tabs>
        <w:spacing w:line="240" w:lineRule="auto" w:before="240" w:after="0"/>
        <w:ind w:left="563" w:right="0" w:hanging="540"/>
        <w:jc w:val="left"/>
      </w:pPr>
      <w:r>
        <w:rPr/>
        <w:t>High</w:t>
      </w:r>
      <w:r>
        <w:rPr>
          <w:spacing w:val="-1"/>
        </w:rPr>
        <w:t> </w:t>
      </w:r>
      <w:r>
        <w:rPr/>
        <w:t>Frequency</w:t>
      </w:r>
      <w:r>
        <w:rPr>
          <w:spacing w:val="-1"/>
        </w:rPr>
        <w:t> </w:t>
      </w:r>
      <w:r>
        <w:rPr/>
        <w:t>and</w:t>
      </w:r>
      <w:r>
        <w:rPr>
          <w:spacing w:val="-1"/>
        </w:rPr>
        <w:t> </w:t>
      </w:r>
      <w:r>
        <w:rPr/>
        <w:t>the</w:t>
      </w:r>
      <w:r>
        <w:rPr>
          <w:spacing w:val="-1"/>
        </w:rPr>
        <w:t> </w:t>
      </w:r>
      <w:r>
        <w:rPr/>
        <w:t>Phenomenon</w:t>
      </w:r>
      <w:r>
        <w:rPr>
          <w:spacing w:val="-1"/>
        </w:rPr>
        <w:t> </w:t>
      </w:r>
      <w:r>
        <w:rPr/>
        <w:t>of </w:t>
      </w:r>
      <w:r>
        <w:rPr>
          <w:spacing w:val="-2"/>
        </w:rPr>
        <w:t>Normalization</w:t>
      </w:r>
    </w:p>
    <w:p>
      <w:pPr>
        <w:pStyle w:val="BodyText"/>
        <w:spacing w:before="102"/>
        <w:rPr>
          <w:b/>
        </w:rPr>
      </w:pPr>
    </w:p>
    <w:p>
      <w:pPr>
        <w:pStyle w:val="BodyText"/>
        <w:spacing w:line="360" w:lineRule="auto"/>
        <w:ind w:left="23" w:right="463" w:firstLine="720"/>
        <w:jc w:val="both"/>
      </w:pPr>
      <w:r>
        <w:rPr/>
        <w:t>It has been confirmed by empirical studies on the landscape of sexual harassment </w:t>
      </w:r>
      <w:r>
        <w:rPr/>
        <w:t>in Malaysian educational institutions that the incidence rate of sexual harassment is at an alarming level. The results show that verbal harassment is the variation most frequently experienced by students in academic settings. However, because it lacks physical impact, perpetrators often normalize</w:t>
      </w:r>
      <w:r>
        <w:rPr>
          <w:spacing w:val="-3"/>
        </w:rPr>
        <w:t> </w:t>
      </w:r>
      <w:r>
        <w:rPr/>
        <w:t>the</w:t>
      </w:r>
      <w:r>
        <w:rPr>
          <w:spacing w:val="-3"/>
        </w:rPr>
        <w:t> </w:t>
      </w:r>
      <w:r>
        <w:rPr/>
        <w:t>behavior</w:t>
      </w:r>
      <w:r>
        <w:rPr>
          <w:spacing w:val="-3"/>
        </w:rPr>
        <w:t> </w:t>
      </w:r>
      <w:r>
        <w:rPr/>
        <w:t>as</w:t>
      </w:r>
      <w:r>
        <w:rPr>
          <w:spacing w:val="-3"/>
        </w:rPr>
        <w:t> </w:t>
      </w:r>
      <w:r>
        <w:rPr/>
        <w:t>mere</w:t>
      </w:r>
      <w:r>
        <w:rPr>
          <w:spacing w:val="-3"/>
        </w:rPr>
        <w:t> </w:t>
      </w:r>
      <w:r>
        <w:rPr/>
        <w:t>"banter"</w:t>
      </w:r>
      <w:r>
        <w:rPr>
          <w:spacing w:val="-3"/>
        </w:rPr>
        <w:t> </w:t>
      </w:r>
      <w:r>
        <w:rPr/>
        <w:t>or</w:t>
      </w:r>
      <w:r>
        <w:rPr>
          <w:spacing w:val="-3"/>
        </w:rPr>
        <w:t> </w:t>
      </w:r>
      <w:r>
        <w:rPr/>
        <w:t>as</w:t>
      </w:r>
      <w:r>
        <w:rPr>
          <w:spacing w:val="-3"/>
        </w:rPr>
        <w:t> </w:t>
      </w:r>
      <w:r>
        <w:rPr/>
        <w:t>a</w:t>
      </w:r>
      <w:r>
        <w:rPr>
          <w:spacing w:val="-3"/>
        </w:rPr>
        <w:t> </w:t>
      </w:r>
      <w:r>
        <w:rPr/>
        <w:t>way</w:t>
      </w:r>
      <w:r>
        <w:rPr>
          <w:spacing w:val="-3"/>
        </w:rPr>
        <w:t> </w:t>
      </w:r>
      <w:r>
        <w:rPr/>
        <w:t>to</w:t>
      </w:r>
      <w:r>
        <w:rPr>
          <w:spacing w:val="-3"/>
        </w:rPr>
        <w:t> </w:t>
      </w:r>
      <w:r>
        <w:rPr/>
        <w:t>interact</w:t>
      </w:r>
      <w:r>
        <w:rPr>
          <w:spacing w:val="-3"/>
        </w:rPr>
        <w:t> </w:t>
      </w:r>
      <w:r>
        <w:rPr/>
        <w:t>with</w:t>
      </w:r>
      <w:r>
        <w:rPr>
          <w:spacing w:val="-3"/>
        </w:rPr>
        <w:t> </w:t>
      </w:r>
      <w:r>
        <w:rPr/>
        <w:t>others, which leads victims to choose to suppress their feelings (Mohd et al., 2022).</w:t>
      </w:r>
    </w:p>
    <w:p>
      <w:pPr>
        <w:pStyle w:val="BodyText"/>
        <w:spacing w:line="360" w:lineRule="auto" w:before="240"/>
        <w:ind w:left="23" w:right="463" w:firstLine="720"/>
        <w:jc w:val="both"/>
      </w:pPr>
      <w:r>
        <w:rPr/>
        <w:t>The use of digital technology and social media has created new spaces for </w:t>
      </w:r>
      <w:r>
        <w:rPr/>
        <w:t>sexual harassment that are harder to detect, in addition to verbal harassment, according to studies. Often, online harassment, such as the sending of sexual messages</w:t>
      </w:r>
      <w:r>
        <w:rPr>
          <w:spacing w:val="-3"/>
        </w:rPr>
        <w:t> </w:t>
      </w:r>
      <w:r>
        <w:rPr/>
        <w:t>or</w:t>
      </w:r>
      <w:r>
        <w:rPr>
          <w:spacing w:val="-3"/>
        </w:rPr>
        <w:t> </w:t>
      </w:r>
      <w:r>
        <w:rPr/>
        <w:t>unwanted</w:t>
      </w:r>
      <w:r>
        <w:rPr>
          <w:spacing w:val="-3"/>
        </w:rPr>
        <w:t> </w:t>
      </w:r>
      <w:r>
        <w:rPr/>
        <w:t>comments</w:t>
      </w:r>
      <w:r>
        <w:rPr>
          <w:spacing w:val="-3"/>
        </w:rPr>
        <w:t> </w:t>
      </w:r>
      <w:r>
        <w:rPr/>
        <w:t>on virtual learning platforms is left unmonitored (Choi et al., 2025). This creates a</w:t>
      </w:r>
      <w:r>
        <w:rPr>
          <w:spacing w:val="-2"/>
        </w:rPr>
        <w:t> </w:t>
      </w:r>
      <w:r>
        <w:rPr/>
        <w:t>new</w:t>
      </w:r>
      <w:r>
        <w:rPr>
          <w:spacing w:val="-2"/>
        </w:rPr>
        <w:t> </w:t>
      </w:r>
      <w:r>
        <w:rPr/>
        <w:t>layer</w:t>
      </w:r>
      <w:r>
        <w:rPr>
          <w:spacing w:val="-2"/>
        </w:rPr>
        <w:t> </w:t>
      </w:r>
      <w:r>
        <w:rPr/>
        <w:t>in the spectrum of sexual harassment that challenges conventional norms, such as victims are</w:t>
      </w:r>
      <w:r>
        <w:rPr>
          <w:spacing w:val="40"/>
        </w:rPr>
        <w:t> </w:t>
      </w:r>
      <w:r>
        <w:rPr/>
        <w:t>not only exposed physically but also in their own digital spaces. Then, this makes ethical monitoring and enforcement more challenging.</w:t>
      </w:r>
    </w:p>
    <w:p>
      <w:pPr>
        <w:pStyle w:val="BodyText"/>
        <w:spacing w:line="360" w:lineRule="auto" w:before="240"/>
        <w:ind w:left="23" w:right="461" w:firstLine="720"/>
        <w:jc w:val="both"/>
      </w:pPr>
      <w:r>
        <w:rPr/>
        <w:t>Furthermore, the imbalanced power culture in the student-lecturer </w:t>
      </w:r>
      <w:r>
        <w:rPr/>
        <w:t>relationship worsens this</w:t>
      </w:r>
      <w:r>
        <w:rPr>
          <w:spacing w:val="-2"/>
        </w:rPr>
        <w:t> </w:t>
      </w:r>
      <w:r>
        <w:rPr/>
        <w:t>phenomenon</w:t>
      </w:r>
      <w:r>
        <w:rPr>
          <w:spacing w:val="-2"/>
        </w:rPr>
        <w:t> </w:t>
      </w:r>
      <w:r>
        <w:rPr/>
        <w:t>of</w:t>
      </w:r>
      <w:r>
        <w:rPr>
          <w:spacing w:val="-2"/>
        </w:rPr>
        <w:t> </w:t>
      </w:r>
      <w:r>
        <w:rPr/>
        <w:t>normalization.</w:t>
      </w:r>
      <w:r>
        <w:rPr>
          <w:spacing w:val="-2"/>
        </w:rPr>
        <w:t> </w:t>
      </w:r>
      <w:r>
        <w:rPr/>
        <w:t>Due</w:t>
      </w:r>
      <w:r>
        <w:rPr>
          <w:spacing w:val="-2"/>
        </w:rPr>
        <w:t> </w:t>
      </w:r>
      <w:r>
        <w:rPr/>
        <w:t>to</w:t>
      </w:r>
      <w:r>
        <w:rPr>
          <w:spacing w:val="-2"/>
        </w:rPr>
        <w:t> </w:t>
      </w:r>
      <w:r>
        <w:rPr/>
        <w:t>concerns</w:t>
      </w:r>
      <w:r>
        <w:rPr>
          <w:spacing w:val="-2"/>
        </w:rPr>
        <w:t> </w:t>
      </w:r>
      <w:r>
        <w:rPr/>
        <w:t>about</w:t>
      </w:r>
      <w:r>
        <w:rPr>
          <w:spacing w:val="-2"/>
        </w:rPr>
        <w:t> </w:t>
      </w:r>
      <w:r>
        <w:rPr/>
        <w:t>the</w:t>
      </w:r>
      <w:r>
        <w:rPr>
          <w:spacing w:val="-2"/>
        </w:rPr>
        <w:t> </w:t>
      </w:r>
      <w:r>
        <w:rPr/>
        <w:t>impact</w:t>
      </w:r>
      <w:r>
        <w:rPr>
          <w:spacing w:val="-2"/>
        </w:rPr>
        <w:t> </w:t>
      </w:r>
      <w:r>
        <w:rPr/>
        <w:t>of</w:t>
      </w:r>
      <w:r>
        <w:rPr>
          <w:spacing w:val="-2"/>
        </w:rPr>
        <w:t> </w:t>
      </w:r>
      <w:r>
        <w:rPr/>
        <w:t>the</w:t>
      </w:r>
      <w:r>
        <w:rPr>
          <w:spacing w:val="-2"/>
        </w:rPr>
        <w:t> </w:t>
      </w:r>
      <w:r>
        <w:rPr/>
        <w:t>behavior on their grades, letters of recommendation, or the smoothness of their</w:t>
      </w:r>
      <w:r>
        <w:rPr>
          <w:spacing w:val="-2"/>
        </w:rPr>
        <w:t> </w:t>
      </w:r>
      <w:r>
        <w:rPr/>
        <w:t>studies,</w:t>
      </w:r>
      <w:r>
        <w:rPr>
          <w:spacing w:val="-2"/>
        </w:rPr>
        <w:t> </w:t>
      </w:r>
      <w:r>
        <w:rPr/>
        <w:t>students</w:t>
      </w:r>
      <w:r>
        <w:rPr>
          <w:spacing w:val="-2"/>
        </w:rPr>
        <w:t> </w:t>
      </w:r>
      <w:r>
        <w:rPr/>
        <w:t>often feel they have no voice or power</w:t>
      </w:r>
      <w:r>
        <w:rPr>
          <w:spacing w:val="-3"/>
        </w:rPr>
        <w:t> </w:t>
      </w:r>
      <w:r>
        <w:rPr/>
        <w:t>to</w:t>
      </w:r>
      <w:r>
        <w:rPr>
          <w:spacing w:val="-3"/>
        </w:rPr>
        <w:t> </w:t>
      </w:r>
      <w:r>
        <w:rPr/>
        <w:t>reject</w:t>
      </w:r>
      <w:r>
        <w:rPr>
          <w:spacing w:val="-3"/>
        </w:rPr>
        <w:t> </w:t>
      </w:r>
      <w:r>
        <w:rPr/>
        <w:t>such</w:t>
      </w:r>
      <w:r>
        <w:rPr>
          <w:spacing w:val="-3"/>
        </w:rPr>
        <w:t> </w:t>
      </w:r>
      <w:r>
        <w:rPr/>
        <w:t>behavior.</w:t>
      </w:r>
      <w:r>
        <w:rPr>
          <w:spacing w:val="-3"/>
        </w:rPr>
        <w:t> </w:t>
      </w:r>
      <w:r>
        <w:rPr/>
        <w:t>When</w:t>
      </w:r>
      <w:r>
        <w:rPr>
          <w:spacing w:val="-3"/>
        </w:rPr>
        <w:t> </w:t>
      </w:r>
      <w:r>
        <w:rPr/>
        <w:t>instructors</w:t>
      </w:r>
      <w:r>
        <w:rPr>
          <w:spacing w:val="-3"/>
        </w:rPr>
        <w:t> </w:t>
      </w:r>
      <w:r>
        <w:rPr/>
        <w:t>use</w:t>
      </w:r>
      <w:r>
        <w:rPr>
          <w:spacing w:val="-3"/>
        </w:rPr>
        <w:t> </w:t>
      </w:r>
      <w:r>
        <w:rPr/>
        <w:t>their</w:t>
      </w:r>
      <w:r>
        <w:rPr>
          <w:spacing w:val="-3"/>
        </w:rPr>
        <w:t> </w:t>
      </w:r>
      <w:r>
        <w:rPr/>
        <w:t>power</w:t>
      </w:r>
      <w:r>
        <w:rPr>
          <w:spacing w:val="-3"/>
        </w:rPr>
        <w:t> </w:t>
      </w:r>
      <w:r>
        <w:rPr/>
        <w:t>to "protect"</w:t>
      </w:r>
      <w:r>
        <w:rPr>
          <w:spacing w:val="29"/>
        </w:rPr>
        <w:t> </w:t>
      </w:r>
      <w:r>
        <w:rPr/>
        <w:t>or</w:t>
      </w:r>
      <w:r>
        <w:rPr>
          <w:spacing w:val="29"/>
        </w:rPr>
        <w:t> </w:t>
      </w:r>
      <w:r>
        <w:rPr/>
        <w:t>"reprimand"</w:t>
      </w:r>
      <w:r>
        <w:rPr>
          <w:spacing w:val="29"/>
        </w:rPr>
        <w:t> </w:t>
      </w:r>
      <w:r>
        <w:rPr/>
        <w:t>in</w:t>
      </w:r>
      <w:r>
        <w:rPr>
          <w:spacing w:val="29"/>
        </w:rPr>
        <w:t> </w:t>
      </w:r>
      <w:r>
        <w:rPr/>
        <w:t>a</w:t>
      </w:r>
      <w:r>
        <w:rPr>
          <w:spacing w:val="14"/>
        </w:rPr>
        <w:t> </w:t>
      </w:r>
      <w:r>
        <w:rPr/>
        <w:t>sexualized</w:t>
      </w:r>
      <w:r>
        <w:rPr>
          <w:spacing w:val="15"/>
        </w:rPr>
        <w:t> </w:t>
      </w:r>
      <w:r>
        <w:rPr/>
        <w:t>manner,</w:t>
      </w:r>
      <w:r>
        <w:rPr>
          <w:spacing w:val="14"/>
        </w:rPr>
        <w:t> </w:t>
      </w:r>
      <w:r>
        <w:rPr/>
        <w:t>they</w:t>
      </w:r>
      <w:r>
        <w:rPr>
          <w:spacing w:val="14"/>
        </w:rPr>
        <w:t> </w:t>
      </w:r>
      <w:r>
        <w:rPr/>
        <w:t>create</w:t>
      </w:r>
      <w:r>
        <w:rPr>
          <w:spacing w:val="14"/>
        </w:rPr>
        <w:t> </w:t>
      </w:r>
      <w:r>
        <w:rPr/>
        <w:t>an</w:t>
      </w:r>
      <w:r>
        <w:rPr>
          <w:spacing w:val="15"/>
        </w:rPr>
        <w:t> </w:t>
      </w:r>
      <w:r>
        <w:rPr/>
        <w:t>environment</w:t>
      </w:r>
      <w:r>
        <w:rPr>
          <w:spacing w:val="14"/>
        </w:rPr>
        <w:t> </w:t>
      </w:r>
      <w:r>
        <w:rPr/>
        <w:t>where</w:t>
      </w:r>
      <w:r>
        <w:rPr>
          <w:spacing w:val="14"/>
        </w:rPr>
        <w:t> </w:t>
      </w:r>
      <w:r>
        <w:rPr/>
        <w:t>the</w:t>
      </w:r>
      <w:r>
        <w:rPr>
          <w:spacing w:val="15"/>
        </w:rPr>
        <w:t> </w:t>
      </w:r>
      <w:r>
        <w:rPr>
          <w:spacing w:val="-4"/>
        </w:rPr>
        <w:t>line</w:t>
      </w:r>
    </w:p>
    <w:p>
      <w:pPr>
        <w:pStyle w:val="BodyText"/>
        <w:spacing w:after="0" w:line="360" w:lineRule="auto"/>
        <w:jc w:val="both"/>
        <w:sectPr>
          <w:pgSz w:w="11920" w:h="16840"/>
          <w:pgMar w:top="1380" w:bottom="280" w:left="1417" w:right="992"/>
        </w:sectPr>
      </w:pPr>
    </w:p>
    <w:p>
      <w:pPr>
        <w:pStyle w:val="BodyText"/>
        <w:spacing w:line="360" w:lineRule="auto" w:before="60"/>
        <w:ind w:left="23"/>
      </w:pPr>
      <w:r>
        <w:rPr/>
        <w:t>between</w:t>
      </w:r>
      <w:r>
        <w:rPr>
          <w:spacing w:val="71"/>
        </w:rPr>
        <w:t> </w:t>
      </w:r>
      <w:r>
        <w:rPr/>
        <w:t>teaching</w:t>
      </w:r>
      <w:r>
        <w:rPr>
          <w:spacing w:val="71"/>
        </w:rPr>
        <w:t> </w:t>
      </w:r>
      <w:r>
        <w:rPr/>
        <w:t>and</w:t>
      </w:r>
      <w:r>
        <w:rPr>
          <w:spacing w:val="40"/>
        </w:rPr>
        <w:t> </w:t>
      </w:r>
      <w:r>
        <w:rPr/>
        <w:t>harassment</w:t>
      </w:r>
      <w:r>
        <w:rPr>
          <w:spacing w:val="40"/>
        </w:rPr>
        <w:t> </w:t>
      </w:r>
      <w:r>
        <w:rPr/>
        <w:t>becomes</w:t>
      </w:r>
      <w:r>
        <w:rPr>
          <w:spacing w:val="40"/>
        </w:rPr>
        <w:t> </w:t>
      </w:r>
      <w:r>
        <w:rPr/>
        <w:t>blurred.</w:t>
      </w:r>
      <w:r>
        <w:rPr>
          <w:spacing w:val="40"/>
        </w:rPr>
        <w:t> </w:t>
      </w:r>
      <w:r>
        <w:rPr/>
        <w:t>This</w:t>
      </w:r>
      <w:r>
        <w:rPr>
          <w:spacing w:val="40"/>
        </w:rPr>
        <w:t> </w:t>
      </w:r>
      <w:r>
        <w:rPr/>
        <w:t>condition</w:t>
      </w:r>
      <w:r>
        <w:rPr>
          <w:spacing w:val="40"/>
        </w:rPr>
        <w:t> </w:t>
      </w:r>
      <w:r>
        <w:rPr/>
        <w:t>fosters</w:t>
      </w:r>
      <w:r>
        <w:rPr>
          <w:spacing w:val="40"/>
        </w:rPr>
        <w:t> </w:t>
      </w:r>
      <w:r>
        <w:rPr/>
        <w:t>a</w:t>
      </w:r>
      <w:r>
        <w:rPr>
          <w:spacing w:val="40"/>
        </w:rPr>
        <w:t> </w:t>
      </w:r>
      <w:r>
        <w:rPr/>
        <w:t>"culture</w:t>
      </w:r>
      <w:r>
        <w:rPr>
          <w:spacing w:val="40"/>
        </w:rPr>
        <w:t> </w:t>
      </w:r>
      <w:r>
        <w:rPr/>
        <w:t>of silence," which hinders openness in reporting misconduct.</w:t>
      </w:r>
    </w:p>
    <w:p>
      <w:pPr>
        <w:pStyle w:val="Heading3"/>
        <w:numPr>
          <w:ilvl w:val="2"/>
          <w:numId w:val="2"/>
        </w:numPr>
        <w:tabs>
          <w:tab w:pos="563" w:val="left" w:leader="none"/>
        </w:tabs>
        <w:spacing w:line="240" w:lineRule="auto" w:before="240" w:after="0"/>
        <w:ind w:left="563" w:right="0" w:hanging="540"/>
        <w:jc w:val="left"/>
      </w:pPr>
      <w:r>
        <w:rPr/>
        <w:t>Decline in Psychological Function and Academic </w:t>
      </w:r>
      <w:r>
        <w:rPr>
          <w:spacing w:val="-2"/>
        </w:rPr>
        <w:t>Performance</w:t>
      </w:r>
    </w:p>
    <w:p>
      <w:pPr>
        <w:pStyle w:val="BodyText"/>
        <w:spacing w:before="102"/>
        <w:rPr>
          <w:b/>
        </w:rPr>
      </w:pPr>
    </w:p>
    <w:p>
      <w:pPr>
        <w:pStyle w:val="BodyText"/>
        <w:spacing w:line="360" w:lineRule="auto"/>
        <w:ind w:left="23" w:right="461" w:firstLine="720"/>
        <w:jc w:val="both"/>
      </w:pPr>
      <w:r>
        <w:rPr/>
        <w:t>Institutional management cannot ignore the effects of exposure to verbal sexual harassment. Sexual harassment of university students has persistent negative effects. </w:t>
      </w:r>
      <w:r>
        <w:rPr/>
        <w:t>These impacts include a significant decline in mental health, such as anxiety disorders, depression, and personal trauma. Furthermore, victims experience a decline in academic performance, increased absenteeism from lectures, and a decrease in intrinsic motivation to participate in campus activities (Mapayi et al., 2026). This directly prevents students from enjoying a</w:t>
      </w:r>
      <w:r>
        <w:rPr>
          <w:spacing w:val="-2"/>
        </w:rPr>
        <w:t> </w:t>
      </w:r>
      <w:r>
        <w:rPr/>
        <w:t>safe learning environment that would help them achieve their academic potential.</w:t>
      </w:r>
    </w:p>
    <w:p>
      <w:pPr>
        <w:pStyle w:val="BodyText"/>
        <w:spacing w:line="360" w:lineRule="auto" w:before="240"/>
        <w:ind w:left="23" w:right="461" w:firstLine="720"/>
        <w:jc w:val="both"/>
      </w:pPr>
      <w:r>
        <w:rPr/>
        <w:t>The psychological impact on victims often persists throughout their period of </w:t>
      </w:r>
      <w:r>
        <w:rPr/>
        <w:t>study. Longitudinal studies show that victims of sexual harassment on campus are more likely to experience symptoms of post-traumatic stress disorder (PTSD), which</w:t>
      </w:r>
      <w:r>
        <w:rPr>
          <w:spacing w:val="-3"/>
        </w:rPr>
        <w:t> </w:t>
      </w:r>
      <w:r>
        <w:rPr/>
        <w:t>can</w:t>
      </w:r>
      <w:r>
        <w:rPr>
          <w:spacing w:val="-3"/>
        </w:rPr>
        <w:t> </w:t>
      </w:r>
      <w:r>
        <w:rPr/>
        <w:t>affect</w:t>
      </w:r>
      <w:r>
        <w:rPr>
          <w:spacing w:val="-3"/>
        </w:rPr>
        <w:t> </w:t>
      </w:r>
      <w:r>
        <w:rPr/>
        <w:t>their</w:t>
      </w:r>
      <w:r>
        <w:rPr>
          <w:spacing w:val="-3"/>
        </w:rPr>
        <w:t> </w:t>
      </w:r>
      <w:r>
        <w:rPr/>
        <w:t>ability to succeed in their careers after graduation. When victims experience feelings of insecurity and a loss of self-confidence, they not only hinder their own personality growth but are</w:t>
      </w:r>
      <w:r>
        <w:rPr>
          <w:spacing w:val="-2"/>
        </w:rPr>
        <w:t> </w:t>
      </w:r>
      <w:r>
        <w:rPr/>
        <w:t>also prevented from engaging in social interactions with peers and other teachers. All of these factors together form a chain of detrimental effects on the quality of a student's life.</w:t>
      </w:r>
    </w:p>
    <w:p>
      <w:pPr>
        <w:pStyle w:val="BodyText"/>
        <w:spacing w:line="360" w:lineRule="auto" w:before="240"/>
        <w:ind w:left="23" w:right="462" w:firstLine="720"/>
        <w:jc w:val="both"/>
      </w:pPr>
      <w:r>
        <w:rPr/>
        <w:t>Sexual harassment acts as a serious cognitive disruption in terms of </w:t>
      </w:r>
      <w:r>
        <w:rPr/>
        <w:t>academic performance. Students experiencing harassment or an unsafe environment may struggle to concentrate during class and experience a significant decline in short-term memory. When a victim's mind is constantly on alert (</w:t>
      </w:r>
      <w:r>
        <w:rPr>
          <w:i/>
        </w:rPr>
        <w:t>hypervigilance</w:t>
      </w:r>
      <w:r>
        <w:rPr/>
        <w:t>) to</w:t>
      </w:r>
      <w:r>
        <w:rPr>
          <w:spacing w:val="-3"/>
        </w:rPr>
        <w:t> </w:t>
      </w:r>
      <w:r>
        <w:rPr/>
        <w:t>avoid</w:t>
      </w:r>
      <w:r>
        <w:rPr>
          <w:spacing w:val="-3"/>
        </w:rPr>
        <w:t> </w:t>
      </w:r>
      <w:r>
        <w:rPr/>
        <w:t>or</w:t>
      </w:r>
      <w:r>
        <w:rPr>
          <w:spacing w:val="-3"/>
        </w:rPr>
        <w:t> </w:t>
      </w:r>
      <w:r>
        <w:rPr/>
        <w:t>manage</w:t>
      </w:r>
      <w:r>
        <w:rPr>
          <w:spacing w:val="-3"/>
        </w:rPr>
        <w:t> </w:t>
      </w:r>
      <w:r>
        <w:rPr/>
        <w:t>harassing</w:t>
      </w:r>
      <w:r>
        <w:rPr>
          <w:spacing w:val="-3"/>
        </w:rPr>
        <w:t> </w:t>
      </w:r>
      <w:r>
        <w:rPr/>
        <w:t>situations, their mental energy is consumed by self-protection. Consequently, the gap in academic achievement between victims and other students widens. This ultimately</w:t>
      </w:r>
      <w:r>
        <w:rPr>
          <w:spacing w:val="-4"/>
        </w:rPr>
        <w:t> </w:t>
      </w:r>
      <w:r>
        <w:rPr/>
        <w:t>affects</w:t>
      </w:r>
      <w:r>
        <w:rPr>
          <w:spacing w:val="-4"/>
        </w:rPr>
        <w:t> </w:t>
      </w:r>
      <w:r>
        <w:rPr/>
        <w:t>the</w:t>
      </w:r>
      <w:r>
        <w:rPr>
          <w:spacing w:val="-4"/>
        </w:rPr>
        <w:t> </w:t>
      </w:r>
      <w:r>
        <w:rPr/>
        <w:t>students' prospects for social mobility (Zara et al., 2024).</w:t>
      </w:r>
    </w:p>
    <w:p>
      <w:pPr>
        <w:pStyle w:val="Heading3"/>
        <w:numPr>
          <w:ilvl w:val="2"/>
          <w:numId w:val="2"/>
        </w:numPr>
        <w:tabs>
          <w:tab w:pos="563" w:val="left" w:leader="none"/>
        </w:tabs>
        <w:spacing w:line="240" w:lineRule="auto" w:before="240" w:after="0"/>
        <w:ind w:left="563" w:right="0" w:hanging="540"/>
        <w:jc w:val="left"/>
      </w:pPr>
      <w:r>
        <w:rPr/>
        <w:t>Failure</w:t>
      </w:r>
      <w:r>
        <w:rPr>
          <w:spacing w:val="-1"/>
        </w:rPr>
        <w:t> </w:t>
      </w:r>
      <w:r>
        <w:rPr/>
        <w:t>of</w:t>
      </w:r>
      <w:r>
        <w:rPr>
          <w:spacing w:val="-1"/>
        </w:rPr>
        <w:t> </w:t>
      </w:r>
      <w:r>
        <w:rPr/>
        <w:t>Internal</w:t>
      </w:r>
      <w:r>
        <w:rPr>
          <w:spacing w:val="-1"/>
        </w:rPr>
        <w:t> </w:t>
      </w:r>
      <w:r>
        <w:rPr/>
        <w:t>Support Systems</w:t>
      </w:r>
      <w:r>
        <w:rPr>
          <w:spacing w:val="-1"/>
        </w:rPr>
        <w:t> </w:t>
      </w:r>
      <w:r>
        <w:rPr/>
        <w:t>and</w:t>
      </w:r>
      <w:r>
        <w:rPr>
          <w:spacing w:val="-1"/>
        </w:rPr>
        <w:t> </w:t>
      </w:r>
      <w:r>
        <w:rPr/>
        <w:t>Reporting </w:t>
      </w:r>
      <w:r>
        <w:rPr>
          <w:spacing w:val="-2"/>
        </w:rPr>
        <w:t>Barriers</w:t>
      </w:r>
    </w:p>
    <w:p>
      <w:pPr>
        <w:pStyle w:val="BodyText"/>
        <w:spacing w:before="102"/>
        <w:rPr>
          <w:b/>
        </w:rPr>
      </w:pPr>
    </w:p>
    <w:p>
      <w:pPr>
        <w:pStyle w:val="BodyText"/>
        <w:spacing w:line="360" w:lineRule="auto"/>
        <w:ind w:left="23" w:right="462" w:firstLine="720"/>
        <w:jc w:val="both"/>
      </w:pPr>
      <w:r>
        <w:rPr/>
        <w:t>An important factor contributing to the persistence</w:t>
      </w:r>
      <w:r>
        <w:rPr>
          <w:spacing w:val="-2"/>
        </w:rPr>
        <w:t> </w:t>
      </w:r>
      <w:r>
        <w:rPr/>
        <w:t>of</w:t>
      </w:r>
      <w:r>
        <w:rPr>
          <w:spacing w:val="-2"/>
        </w:rPr>
        <w:t> </w:t>
      </w:r>
      <w:r>
        <w:rPr/>
        <w:t>this</w:t>
      </w:r>
      <w:r>
        <w:rPr>
          <w:spacing w:val="-2"/>
        </w:rPr>
        <w:t> </w:t>
      </w:r>
      <w:r>
        <w:rPr/>
        <w:t>problem</w:t>
      </w:r>
      <w:r>
        <w:rPr>
          <w:spacing w:val="-2"/>
        </w:rPr>
        <w:t> </w:t>
      </w:r>
      <w:r>
        <w:rPr/>
        <w:t>is</w:t>
      </w:r>
      <w:r>
        <w:rPr>
          <w:spacing w:val="-2"/>
        </w:rPr>
        <w:t> </w:t>
      </w:r>
      <w:r>
        <w:rPr/>
        <w:t>the</w:t>
      </w:r>
      <w:r>
        <w:rPr>
          <w:spacing w:val="-2"/>
        </w:rPr>
        <w:t> </w:t>
      </w:r>
      <w:r>
        <w:rPr/>
        <w:t>weakness</w:t>
      </w:r>
      <w:r>
        <w:rPr>
          <w:spacing w:val="-2"/>
        </w:rPr>
        <w:t> </w:t>
      </w:r>
      <w:r>
        <w:rPr/>
        <w:t>of the institutional support ecosystem itself. A comprehensive study by Behzadi Fard et </w:t>
      </w:r>
      <w:r>
        <w:rPr/>
        <w:t>al. (2024) on sexual harassment in higher education institutions shows that the majority of victimized students do not disclose or report the incidents they experienced through the organization's official channels.</w:t>
      </w:r>
    </w:p>
    <w:p>
      <w:pPr>
        <w:pStyle w:val="BodyText"/>
        <w:spacing w:after="0" w:line="360" w:lineRule="auto"/>
        <w:jc w:val="both"/>
        <w:sectPr>
          <w:pgSz w:w="11920" w:h="16840"/>
          <w:pgMar w:top="1380" w:bottom="280" w:left="1417" w:right="992"/>
        </w:sectPr>
      </w:pPr>
    </w:p>
    <w:p>
      <w:pPr>
        <w:pStyle w:val="BodyText"/>
        <w:spacing w:line="360" w:lineRule="auto" w:before="60"/>
        <w:ind w:left="23" w:right="463" w:firstLine="720"/>
        <w:jc w:val="both"/>
      </w:pPr>
      <w:r>
        <w:rPr/>
        <w:t>Systemic and attitudinal barriers, such as social stigma, fear of being accused of blowing a small issue out of proportion or being "too sensitive," a lack of </w:t>
      </w:r>
      <w:r>
        <w:rPr/>
        <w:t>confidentiality protection, and the tendency of certain support units (such as counseling units</w:t>
      </w:r>
      <w:r>
        <w:rPr>
          <w:spacing w:val="-3"/>
        </w:rPr>
        <w:t> </w:t>
      </w:r>
      <w:r>
        <w:rPr/>
        <w:t>that</w:t>
      </w:r>
      <w:r>
        <w:rPr>
          <w:spacing w:val="-3"/>
        </w:rPr>
        <w:t> </w:t>
      </w:r>
      <w:r>
        <w:rPr/>
        <w:t>lack</w:t>
      </w:r>
      <w:r>
        <w:rPr>
          <w:spacing w:val="-3"/>
        </w:rPr>
        <w:t> </w:t>
      </w:r>
      <w:r>
        <w:rPr/>
        <w:t>deep knowledge of harassment ethics) to advise victims to</w:t>
      </w:r>
      <w:r>
        <w:rPr>
          <w:spacing w:val="-2"/>
        </w:rPr>
        <w:t> </w:t>
      </w:r>
      <w:r>
        <w:rPr/>
        <w:t>drop</w:t>
      </w:r>
      <w:r>
        <w:rPr>
          <w:spacing w:val="-2"/>
        </w:rPr>
        <w:t> </w:t>
      </w:r>
      <w:r>
        <w:rPr/>
        <w:t>the</w:t>
      </w:r>
      <w:r>
        <w:rPr>
          <w:spacing w:val="-2"/>
        </w:rPr>
        <w:t> </w:t>
      </w:r>
      <w:r>
        <w:rPr/>
        <w:t>case</w:t>
      </w:r>
      <w:r>
        <w:rPr>
          <w:spacing w:val="-2"/>
        </w:rPr>
        <w:t> </w:t>
      </w:r>
      <w:r>
        <w:rPr/>
        <w:t>to</w:t>
      </w:r>
      <w:r>
        <w:rPr>
          <w:spacing w:val="-2"/>
        </w:rPr>
        <w:t> </w:t>
      </w:r>
      <w:r>
        <w:rPr/>
        <w:t>protect</w:t>
      </w:r>
      <w:r>
        <w:rPr>
          <w:spacing w:val="-2"/>
        </w:rPr>
        <w:t> </w:t>
      </w:r>
      <w:r>
        <w:rPr/>
        <w:t>the</w:t>
      </w:r>
      <w:r>
        <w:rPr>
          <w:spacing w:val="-2"/>
        </w:rPr>
        <w:t> </w:t>
      </w:r>
      <w:r>
        <w:rPr/>
        <w:t>institution's reputation, are among the barriers identified in the study. Furthermore, the root cause of the failure in early prevention identified is the lack of formal training involving professional ethical boundaries for teaching staff.</w:t>
      </w:r>
    </w:p>
    <w:p>
      <w:pPr>
        <w:pStyle w:val="BodyText"/>
        <w:spacing w:line="360" w:lineRule="auto" w:before="240"/>
        <w:ind w:left="23" w:right="461" w:firstLine="720"/>
        <w:jc w:val="both"/>
      </w:pPr>
      <w:r>
        <w:rPr/>
        <w:t>The absence of clear, victim-centered reporting protocols is another</w:t>
      </w:r>
      <w:r>
        <w:rPr>
          <w:spacing w:val="-4"/>
        </w:rPr>
        <w:t> </w:t>
      </w:r>
      <w:r>
        <w:rPr/>
        <w:t>significant</w:t>
      </w:r>
      <w:r>
        <w:rPr>
          <w:spacing w:val="-4"/>
        </w:rPr>
        <w:t> </w:t>
      </w:r>
      <w:r>
        <w:rPr/>
        <w:t>factor contributing to the failure of support</w:t>
      </w:r>
      <w:r>
        <w:rPr>
          <w:spacing w:val="-2"/>
        </w:rPr>
        <w:t> </w:t>
      </w:r>
      <w:r>
        <w:rPr/>
        <w:t>systems.</w:t>
      </w:r>
      <w:r>
        <w:rPr>
          <w:spacing w:val="-2"/>
        </w:rPr>
        <w:t> </w:t>
      </w:r>
      <w:r>
        <w:rPr/>
        <w:t>Many</w:t>
      </w:r>
      <w:r>
        <w:rPr>
          <w:spacing w:val="-2"/>
        </w:rPr>
        <w:t> </w:t>
      </w:r>
      <w:r>
        <w:rPr/>
        <w:t>educational</w:t>
      </w:r>
      <w:r>
        <w:rPr>
          <w:spacing w:val="-2"/>
        </w:rPr>
        <w:t> </w:t>
      </w:r>
      <w:r>
        <w:rPr/>
        <w:t>institutions</w:t>
      </w:r>
      <w:r>
        <w:rPr>
          <w:spacing w:val="-2"/>
        </w:rPr>
        <w:t> </w:t>
      </w:r>
      <w:r>
        <w:rPr/>
        <w:t>have</w:t>
      </w:r>
      <w:r>
        <w:rPr>
          <w:spacing w:val="-2"/>
        </w:rPr>
        <w:t> </w:t>
      </w:r>
      <w:r>
        <w:rPr/>
        <w:t>been</w:t>
      </w:r>
      <w:r>
        <w:rPr>
          <w:spacing w:val="-2"/>
        </w:rPr>
        <w:t> </w:t>
      </w:r>
      <w:r>
        <w:rPr/>
        <w:t>found to have policies that are too</w:t>
      </w:r>
      <w:r>
        <w:rPr>
          <w:spacing w:val="-2"/>
        </w:rPr>
        <w:t> </w:t>
      </w:r>
      <w:r>
        <w:rPr/>
        <w:t>rigid</w:t>
      </w:r>
      <w:r>
        <w:rPr>
          <w:spacing w:val="-2"/>
        </w:rPr>
        <w:t> </w:t>
      </w:r>
      <w:r>
        <w:rPr/>
        <w:t>or</w:t>
      </w:r>
      <w:r>
        <w:rPr>
          <w:spacing w:val="-2"/>
        </w:rPr>
        <w:t> </w:t>
      </w:r>
      <w:r>
        <w:rPr/>
        <w:t>focused</w:t>
      </w:r>
      <w:r>
        <w:rPr>
          <w:spacing w:val="-2"/>
        </w:rPr>
        <w:t> </w:t>
      </w:r>
      <w:r>
        <w:rPr/>
        <w:t>on</w:t>
      </w:r>
      <w:r>
        <w:rPr>
          <w:spacing w:val="-2"/>
        </w:rPr>
        <w:t> </w:t>
      </w:r>
      <w:r>
        <w:rPr/>
        <w:t>the</w:t>
      </w:r>
      <w:r>
        <w:rPr>
          <w:spacing w:val="-2"/>
        </w:rPr>
        <w:t> </w:t>
      </w:r>
      <w:r>
        <w:rPr/>
        <w:t>organization's</w:t>
      </w:r>
      <w:r>
        <w:rPr>
          <w:spacing w:val="-2"/>
        </w:rPr>
        <w:t> </w:t>
      </w:r>
      <w:r>
        <w:rPr/>
        <w:t>security</w:t>
      </w:r>
      <w:r>
        <w:rPr>
          <w:spacing w:val="-2"/>
        </w:rPr>
        <w:t> </w:t>
      </w:r>
      <w:r>
        <w:rPr/>
        <w:t>rather</w:t>
      </w:r>
      <w:r>
        <w:rPr>
          <w:spacing w:val="-2"/>
        </w:rPr>
        <w:t> </w:t>
      </w:r>
      <w:r>
        <w:rPr/>
        <w:t>than</w:t>
      </w:r>
      <w:r>
        <w:rPr>
          <w:spacing w:val="-2"/>
        </w:rPr>
        <w:t> </w:t>
      </w:r>
      <w:r>
        <w:rPr/>
        <w:t>student welfare. Victims tend to</w:t>
      </w:r>
      <w:r>
        <w:rPr>
          <w:spacing w:val="-4"/>
        </w:rPr>
        <w:t> </w:t>
      </w:r>
      <w:r>
        <w:rPr/>
        <w:t>withdraw</w:t>
      </w:r>
      <w:r>
        <w:rPr>
          <w:spacing w:val="-4"/>
        </w:rPr>
        <w:t> </w:t>
      </w:r>
      <w:r>
        <w:rPr/>
        <w:t>when</w:t>
      </w:r>
      <w:r>
        <w:rPr>
          <w:spacing w:val="-4"/>
        </w:rPr>
        <w:t> </w:t>
      </w:r>
      <w:r>
        <w:rPr/>
        <w:t>a</w:t>
      </w:r>
      <w:r>
        <w:rPr>
          <w:spacing w:val="-4"/>
        </w:rPr>
        <w:t> </w:t>
      </w:r>
      <w:r>
        <w:rPr/>
        <w:t>lengthy</w:t>
      </w:r>
      <w:r>
        <w:rPr>
          <w:spacing w:val="-4"/>
        </w:rPr>
        <w:t> </w:t>
      </w:r>
      <w:r>
        <w:rPr/>
        <w:t>and</w:t>
      </w:r>
      <w:r>
        <w:rPr>
          <w:spacing w:val="-4"/>
        </w:rPr>
        <w:t> </w:t>
      </w:r>
      <w:r>
        <w:rPr/>
        <w:t>traumatic</w:t>
      </w:r>
      <w:r>
        <w:rPr>
          <w:spacing w:val="-4"/>
        </w:rPr>
        <w:t> </w:t>
      </w:r>
      <w:r>
        <w:rPr/>
        <w:t>investigation</w:t>
      </w:r>
      <w:r>
        <w:rPr>
          <w:spacing w:val="-4"/>
        </w:rPr>
        <w:t> </w:t>
      </w:r>
      <w:r>
        <w:rPr/>
        <w:t>requires</w:t>
      </w:r>
      <w:r>
        <w:rPr>
          <w:spacing w:val="-4"/>
        </w:rPr>
        <w:t> </w:t>
      </w:r>
      <w:r>
        <w:rPr/>
        <w:t>overly technical evidence. Victims feel exposed and anxious about negative reactions from the perpetrator or management closely associated with the perpetrator due to the absence of an effective, anonymous reporting channel.</w:t>
      </w:r>
    </w:p>
    <w:p>
      <w:pPr>
        <w:pStyle w:val="BodyText"/>
        <w:spacing w:line="360" w:lineRule="auto" w:before="240"/>
        <w:ind w:left="23" w:right="460" w:firstLine="720"/>
        <w:jc w:val="both"/>
      </w:pPr>
      <w:r>
        <w:rPr/>
        <w:t>Finally, because of the lack of teacher training, early prevention is ineffective. Educators may commit "micro-harassment" (unconscious harassment) or fail to detect signs of</w:t>
      </w:r>
      <w:r>
        <w:rPr>
          <w:spacing w:val="-3"/>
        </w:rPr>
        <w:t> </w:t>
      </w:r>
      <w:r>
        <w:rPr/>
        <w:t>harassment</w:t>
      </w:r>
      <w:r>
        <w:rPr>
          <w:spacing w:val="-3"/>
        </w:rPr>
        <w:t> </w:t>
      </w:r>
      <w:r>
        <w:rPr/>
        <w:t>in</w:t>
      </w:r>
      <w:r>
        <w:rPr>
          <w:spacing w:val="-3"/>
        </w:rPr>
        <w:t> </w:t>
      </w:r>
      <w:r>
        <w:rPr/>
        <w:t>their</w:t>
      </w:r>
      <w:r>
        <w:rPr>
          <w:spacing w:val="-3"/>
        </w:rPr>
        <w:t> </w:t>
      </w:r>
      <w:r>
        <w:rPr/>
        <w:t>students</w:t>
      </w:r>
      <w:r>
        <w:rPr>
          <w:spacing w:val="-3"/>
        </w:rPr>
        <w:t> </w:t>
      </w:r>
      <w:r>
        <w:rPr/>
        <w:t>if</w:t>
      </w:r>
      <w:r>
        <w:rPr>
          <w:spacing w:val="-3"/>
        </w:rPr>
        <w:t> </w:t>
      </w:r>
      <w:r>
        <w:rPr/>
        <w:t>they</w:t>
      </w:r>
      <w:r>
        <w:rPr>
          <w:spacing w:val="-3"/>
        </w:rPr>
        <w:t> </w:t>
      </w:r>
      <w:r>
        <w:rPr/>
        <w:t>do</w:t>
      </w:r>
      <w:r>
        <w:rPr>
          <w:spacing w:val="-3"/>
        </w:rPr>
        <w:t> </w:t>
      </w:r>
      <w:r>
        <w:rPr/>
        <w:t>not</w:t>
      </w:r>
      <w:r>
        <w:rPr>
          <w:spacing w:val="-3"/>
        </w:rPr>
        <w:t> </w:t>
      </w:r>
      <w:r>
        <w:rPr/>
        <w:t>understand</w:t>
      </w:r>
      <w:r>
        <w:rPr>
          <w:spacing w:val="-3"/>
        </w:rPr>
        <w:t> </w:t>
      </w:r>
      <w:r>
        <w:rPr/>
        <w:t>their</w:t>
      </w:r>
      <w:r>
        <w:rPr>
          <w:spacing w:val="-3"/>
        </w:rPr>
        <w:t> </w:t>
      </w:r>
      <w:r>
        <w:rPr/>
        <w:t>professional</w:t>
      </w:r>
      <w:r>
        <w:rPr>
          <w:spacing w:val="-3"/>
        </w:rPr>
        <w:t> </w:t>
      </w:r>
      <w:r>
        <w:rPr/>
        <w:t>ethics</w:t>
      </w:r>
      <w:r>
        <w:rPr>
          <w:spacing w:val="-3"/>
        </w:rPr>
        <w:t> </w:t>
      </w:r>
      <w:r>
        <w:rPr/>
        <w:t>(Gianakos</w:t>
      </w:r>
      <w:r>
        <w:rPr>
          <w:spacing w:val="-3"/>
        </w:rPr>
        <w:t> </w:t>
      </w:r>
      <w:r>
        <w:rPr/>
        <w:t>et al., 2022). Sexual harassment sensitivity training is not mandated by institutions, which suggests that they do not prioritize this issue. Therefore, this cycle of harassment will continue to repeat and harm the</w:t>
      </w:r>
      <w:r>
        <w:rPr>
          <w:spacing w:val="-3"/>
        </w:rPr>
        <w:t> </w:t>
      </w:r>
      <w:r>
        <w:rPr/>
        <w:t>higher</w:t>
      </w:r>
      <w:r>
        <w:rPr>
          <w:spacing w:val="-3"/>
        </w:rPr>
        <w:t> </w:t>
      </w:r>
      <w:r>
        <w:rPr/>
        <w:t>education</w:t>
      </w:r>
      <w:r>
        <w:rPr>
          <w:spacing w:val="-3"/>
        </w:rPr>
        <w:t> </w:t>
      </w:r>
      <w:r>
        <w:rPr/>
        <w:t>ecosystem</w:t>
      </w:r>
      <w:r>
        <w:rPr>
          <w:spacing w:val="-3"/>
        </w:rPr>
        <w:t> </w:t>
      </w:r>
      <w:r>
        <w:rPr/>
        <w:t>if</w:t>
      </w:r>
      <w:r>
        <w:rPr>
          <w:spacing w:val="-3"/>
        </w:rPr>
        <w:t> </w:t>
      </w:r>
      <w:r>
        <w:rPr/>
        <w:t>leaders</w:t>
      </w:r>
      <w:r>
        <w:rPr>
          <w:spacing w:val="-3"/>
        </w:rPr>
        <w:t> </w:t>
      </w:r>
      <w:r>
        <w:rPr/>
        <w:t>do</w:t>
      </w:r>
      <w:r>
        <w:rPr>
          <w:spacing w:val="-3"/>
        </w:rPr>
        <w:t> </w:t>
      </w:r>
      <w:r>
        <w:rPr/>
        <w:t>not</w:t>
      </w:r>
      <w:r>
        <w:rPr>
          <w:spacing w:val="-3"/>
        </w:rPr>
        <w:t> </w:t>
      </w:r>
      <w:r>
        <w:rPr/>
        <w:t>strive</w:t>
      </w:r>
      <w:r>
        <w:rPr>
          <w:spacing w:val="-3"/>
        </w:rPr>
        <w:t> </w:t>
      </w:r>
      <w:r>
        <w:rPr/>
        <w:t>to</w:t>
      </w:r>
      <w:r>
        <w:rPr>
          <w:spacing w:val="-3"/>
        </w:rPr>
        <w:t> </w:t>
      </w:r>
      <w:r>
        <w:rPr/>
        <w:t>change the system and provide continuous training.</w:t>
      </w:r>
    </w:p>
    <w:p>
      <w:pPr>
        <w:pStyle w:val="Heading3"/>
        <w:numPr>
          <w:ilvl w:val="1"/>
          <w:numId w:val="2"/>
        </w:numPr>
        <w:tabs>
          <w:tab w:pos="383" w:val="left" w:leader="none"/>
        </w:tabs>
        <w:spacing w:line="240" w:lineRule="auto" w:before="240" w:after="0"/>
        <w:ind w:left="383" w:right="0" w:hanging="360"/>
        <w:jc w:val="left"/>
      </w:pPr>
      <w:r>
        <w:rPr/>
        <w:t>Intervention </w:t>
      </w:r>
      <w:r>
        <w:rPr>
          <w:spacing w:val="-2"/>
        </w:rPr>
        <w:t>Theory</w:t>
      </w:r>
    </w:p>
    <w:p>
      <w:pPr>
        <w:pStyle w:val="BodyText"/>
        <w:spacing w:before="102"/>
        <w:rPr>
          <w:b/>
        </w:rPr>
      </w:pPr>
    </w:p>
    <w:p>
      <w:pPr>
        <w:pStyle w:val="BodyText"/>
        <w:spacing w:line="360" w:lineRule="auto"/>
        <w:ind w:left="23" w:right="462" w:firstLine="720"/>
        <w:jc w:val="both"/>
      </w:pPr>
      <w:r>
        <w:rPr/>
        <w:t>There are three fundamental psychological frameworks that support one another </w:t>
      </w:r>
      <w:r>
        <w:rPr/>
        <w:t>in addressing the problem of verbal sexual harassment from cognitive, behavioural, and social perspectives in order to guarantee the intervention module has a long-lasting effect.</w:t>
      </w:r>
    </w:p>
    <w:p>
      <w:pPr>
        <w:pStyle w:val="BodyText"/>
        <w:spacing w:line="360" w:lineRule="auto" w:before="240"/>
        <w:ind w:left="23" w:right="463" w:firstLine="720"/>
        <w:jc w:val="both"/>
      </w:pPr>
      <w:r>
        <w:rPr/>
        <w:t>The irrational assumptions that frequently lead educators to see sexual harassment</w:t>
      </w:r>
      <w:r>
        <w:rPr>
          <w:spacing w:val="-3"/>
        </w:rPr>
        <w:t> </w:t>
      </w:r>
      <w:r>
        <w:rPr/>
        <w:t>as "friendly banter" are challenged by Rational Emotive Behaviour Therapy (REBT). The activities' primary objective is to participate in a cognitive confrontation, which has been demonstrated to successfully lower illogical workplace attitudes and encourage moral professional</w:t>
      </w:r>
      <w:r>
        <w:rPr>
          <w:spacing w:val="43"/>
        </w:rPr>
        <w:t> </w:t>
      </w:r>
      <w:r>
        <w:rPr/>
        <w:t>behaviour</w:t>
      </w:r>
      <w:r>
        <w:rPr>
          <w:spacing w:val="45"/>
        </w:rPr>
        <w:t> </w:t>
      </w:r>
      <w:r>
        <w:rPr/>
        <w:t>(Abiogu</w:t>
      </w:r>
      <w:r>
        <w:rPr>
          <w:spacing w:val="45"/>
        </w:rPr>
        <w:t> </w:t>
      </w:r>
      <w:r>
        <w:rPr/>
        <w:t>et</w:t>
      </w:r>
      <w:r>
        <w:rPr>
          <w:spacing w:val="45"/>
        </w:rPr>
        <w:t> </w:t>
      </w:r>
      <w:r>
        <w:rPr/>
        <w:t>al.,</w:t>
      </w:r>
      <w:r>
        <w:rPr>
          <w:spacing w:val="45"/>
        </w:rPr>
        <w:t> </w:t>
      </w:r>
      <w:r>
        <w:rPr/>
        <w:t>2021).</w:t>
      </w:r>
      <w:r>
        <w:rPr>
          <w:spacing w:val="45"/>
        </w:rPr>
        <w:t> </w:t>
      </w:r>
      <w:r>
        <w:rPr/>
        <w:t>This</w:t>
      </w:r>
      <w:r>
        <w:rPr>
          <w:spacing w:val="45"/>
        </w:rPr>
        <w:t> </w:t>
      </w:r>
      <w:r>
        <w:rPr/>
        <w:t>strategy</w:t>
      </w:r>
      <w:r>
        <w:rPr>
          <w:spacing w:val="30"/>
        </w:rPr>
        <w:t> </w:t>
      </w:r>
      <w:r>
        <w:rPr/>
        <w:t>seeks</w:t>
      </w:r>
      <w:r>
        <w:rPr>
          <w:spacing w:val="30"/>
        </w:rPr>
        <w:t> </w:t>
      </w:r>
      <w:r>
        <w:rPr/>
        <w:t>to</w:t>
      </w:r>
      <w:r>
        <w:rPr>
          <w:spacing w:val="30"/>
        </w:rPr>
        <w:t> </w:t>
      </w:r>
      <w:r>
        <w:rPr/>
        <w:t>change</w:t>
      </w:r>
      <w:r>
        <w:rPr>
          <w:spacing w:val="30"/>
        </w:rPr>
        <w:t> </w:t>
      </w:r>
      <w:r>
        <w:rPr/>
        <w:t>the</w:t>
      </w:r>
      <w:r>
        <w:rPr>
          <w:spacing w:val="30"/>
        </w:rPr>
        <w:t> </w:t>
      </w:r>
      <w:r>
        <w:rPr>
          <w:spacing w:val="-2"/>
        </w:rPr>
        <w:t>offender's</w:t>
      </w:r>
    </w:p>
    <w:p>
      <w:pPr>
        <w:pStyle w:val="BodyText"/>
        <w:spacing w:after="0" w:line="360" w:lineRule="auto"/>
        <w:jc w:val="both"/>
        <w:sectPr>
          <w:pgSz w:w="11920" w:h="16840"/>
          <w:pgMar w:top="1380" w:bottom="280" w:left="1417" w:right="992"/>
        </w:sectPr>
      </w:pPr>
    </w:p>
    <w:p>
      <w:pPr>
        <w:pStyle w:val="BodyText"/>
        <w:spacing w:line="360" w:lineRule="auto" w:before="60"/>
        <w:ind w:left="23" w:right="403"/>
      </w:pPr>
      <w:r>
        <w:rPr/>
        <w:t>perspective</w:t>
      </w:r>
      <w:r>
        <w:rPr>
          <w:spacing w:val="40"/>
        </w:rPr>
        <w:t> </w:t>
      </w:r>
      <w:r>
        <w:rPr/>
        <w:t>on</w:t>
      </w:r>
      <w:r>
        <w:rPr>
          <w:spacing w:val="40"/>
        </w:rPr>
        <w:t> </w:t>
      </w:r>
      <w:r>
        <w:rPr/>
        <w:t>their</w:t>
      </w:r>
      <w:r>
        <w:rPr>
          <w:spacing w:val="26"/>
        </w:rPr>
        <w:t> </w:t>
      </w:r>
      <w:r>
        <w:rPr/>
        <w:t>conduct</w:t>
      </w:r>
      <w:r>
        <w:rPr>
          <w:spacing w:val="26"/>
        </w:rPr>
        <w:t> </w:t>
      </w:r>
      <w:r>
        <w:rPr/>
        <w:t>by</w:t>
      </w:r>
      <w:r>
        <w:rPr>
          <w:spacing w:val="26"/>
        </w:rPr>
        <w:t> </w:t>
      </w:r>
      <w:r>
        <w:rPr/>
        <w:t>substituting</w:t>
      </w:r>
      <w:r>
        <w:rPr>
          <w:spacing w:val="26"/>
        </w:rPr>
        <w:t> </w:t>
      </w:r>
      <w:r>
        <w:rPr/>
        <w:t>a</w:t>
      </w:r>
      <w:r>
        <w:rPr>
          <w:spacing w:val="26"/>
        </w:rPr>
        <w:t> </w:t>
      </w:r>
      <w:r>
        <w:rPr/>
        <w:t>rational</w:t>
      </w:r>
      <w:r>
        <w:rPr>
          <w:spacing w:val="26"/>
        </w:rPr>
        <w:t> </w:t>
      </w:r>
      <w:r>
        <w:rPr/>
        <w:t>belief</w:t>
      </w:r>
      <w:r>
        <w:rPr>
          <w:spacing w:val="26"/>
        </w:rPr>
        <w:t> </w:t>
      </w:r>
      <w:r>
        <w:rPr/>
        <w:t>system</w:t>
      </w:r>
      <w:r>
        <w:rPr>
          <w:spacing w:val="26"/>
        </w:rPr>
        <w:t> </w:t>
      </w:r>
      <w:r>
        <w:rPr/>
        <w:t>based</w:t>
      </w:r>
      <w:r>
        <w:rPr>
          <w:spacing w:val="26"/>
        </w:rPr>
        <w:t> </w:t>
      </w:r>
      <w:r>
        <w:rPr/>
        <w:t>on</w:t>
      </w:r>
      <w:r>
        <w:rPr>
          <w:spacing w:val="26"/>
        </w:rPr>
        <w:t> </w:t>
      </w:r>
      <w:r>
        <w:rPr/>
        <w:t>professional ethics for destructive, out-of-date viewpoints.</w:t>
      </w:r>
    </w:p>
    <w:p>
      <w:pPr>
        <w:pStyle w:val="BodyText"/>
        <w:spacing w:line="360" w:lineRule="auto" w:before="240"/>
        <w:ind w:left="23" w:right="461" w:firstLine="720"/>
        <w:jc w:val="both"/>
      </w:pPr>
      <w:r>
        <w:rPr/>
        <w:t>By adopting the reframing process, Cognitive Behavioural Therapy (CBT) </w:t>
      </w:r>
      <w:r>
        <w:rPr/>
        <w:t>assists educators in</w:t>
      </w:r>
      <w:r>
        <w:rPr>
          <w:spacing w:val="-3"/>
        </w:rPr>
        <w:t> </w:t>
      </w:r>
      <w:r>
        <w:rPr/>
        <w:t>identifying</w:t>
      </w:r>
      <w:r>
        <w:rPr>
          <w:spacing w:val="-3"/>
        </w:rPr>
        <w:t> </w:t>
      </w:r>
      <w:r>
        <w:rPr/>
        <w:t>and</w:t>
      </w:r>
      <w:r>
        <w:rPr>
          <w:spacing w:val="-3"/>
        </w:rPr>
        <w:t> </w:t>
      </w:r>
      <w:r>
        <w:rPr/>
        <w:t>changing</w:t>
      </w:r>
      <w:r>
        <w:rPr>
          <w:spacing w:val="-3"/>
        </w:rPr>
        <w:t> </w:t>
      </w:r>
      <w:r>
        <w:rPr/>
        <w:t>the</w:t>
      </w:r>
      <w:r>
        <w:rPr>
          <w:spacing w:val="-3"/>
        </w:rPr>
        <w:t> </w:t>
      </w:r>
      <w:r>
        <w:rPr/>
        <w:t>cognitive</w:t>
      </w:r>
      <w:r>
        <w:rPr>
          <w:spacing w:val="-3"/>
        </w:rPr>
        <w:t> </w:t>
      </w:r>
      <w:r>
        <w:rPr/>
        <w:t>distortions</w:t>
      </w:r>
      <w:r>
        <w:rPr>
          <w:spacing w:val="-3"/>
        </w:rPr>
        <w:t> </w:t>
      </w:r>
      <w:r>
        <w:rPr/>
        <w:t>that</w:t>
      </w:r>
      <w:r>
        <w:rPr>
          <w:spacing w:val="-3"/>
        </w:rPr>
        <w:t> </w:t>
      </w:r>
      <w:r>
        <w:rPr/>
        <w:t>can</w:t>
      </w:r>
      <w:r>
        <w:rPr>
          <w:spacing w:val="-3"/>
        </w:rPr>
        <w:t> </w:t>
      </w:r>
      <w:r>
        <w:rPr/>
        <w:t>impede</w:t>
      </w:r>
      <w:r>
        <w:rPr>
          <w:spacing w:val="-3"/>
        </w:rPr>
        <w:t> </w:t>
      </w:r>
      <w:r>
        <w:rPr/>
        <w:t>their</w:t>
      </w:r>
      <w:r>
        <w:rPr>
          <w:spacing w:val="-3"/>
        </w:rPr>
        <w:t> </w:t>
      </w:r>
      <w:r>
        <w:rPr/>
        <w:t>ability</w:t>
      </w:r>
      <w:r>
        <w:rPr>
          <w:spacing w:val="-3"/>
        </w:rPr>
        <w:t> </w:t>
      </w:r>
      <w:r>
        <w:rPr/>
        <w:t>to think clearly. This therapy technique helps instructors realign their perceptions with professional</w:t>
      </w:r>
      <w:r>
        <w:rPr>
          <w:spacing w:val="80"/>
        </w:rPr>
        <w:t> </w:t>
      </w:r>
      <w:r>
        <w:rPr/>
        <w:t>ethical</w:t>
      </w:r>
      <w:r>
        <w:rPr>
          <w:spacing w:val="80"/>
        </w:rPr>
        <w:t> </w:t>
      </w:r>
      <w:r>
        <w:rPr/>
        <w:t>norms</w:t>
      </w:r>
      <w:r>
        <w:rPr>
          <w:spacing w:val="80"/>
        </w:rPr>
        <w:t> </w:t>
      </w:r>
      <w:r>
        <w:rPr/>
        <w:t>and</w:t>
      </w:r>
      <w:r>
        <w:rPr>
          <w:spacing w:val="80"/>
        </w:rPr>
        <w:t> </w:t>
      </w:r>
      <w:r>
        <w:rPr/>
        <w:t>has</w:t>
      </w:r>
      <w:r>
        <w:rPr>
          <w:spacing w:val="80"/>
        </w:rPr>
        <w:t> </w:t>
      </w:r>
      <w:r>
        <w:rPr/>
        <w:t>been</w:t>
      </w:r>
      <w:r>
        <w:rPr>
          <w:spacing w:val="80"/>
        </w:rPr>
        <w:t> </w:t>
      </w:r>
      <w:r>
        <w:rPr/>
        <w:t>demonstrated</w:t>
      </w:r>
      <w:r>
        <w:rPr>
          <w:spacing w:val="80"/>
        </w:rPr>
        <w:t> </w:t>
      </w:r>
      <w:r>
        <w:rPr/>
        <w:t>to</w:t>
      </w:r>
      <w:r>
        <w:rPr>
          <w:spacing w:val="80"/>
        </w:rPr>
        <w:t> </w:t>
      </w:r>
      <w:r>
        <w:rPr/>
        <w:t>improve</w:t>
      </w:r>
      <w:r>
        <w:rPr>
          <w:spacing w:val="80"/>
        </w:rPr>
        <w:t> </w:t>
      </w:r>
      <w:r>
        <w:rPr/>
        <w:t>professional problem-solving and conflict resolution within diverse teams (Harriott, 2025). As a result, individuals are able to stop considering sexual harassment as a light-hearted teaching approach and start to perceive encounters more impartially, devoid of preconceived notions.</w:t>
      </w:r>
    </w:p>
    <w:p>
      <w:pPr>
        <w:pStyle w:val="BodyText"/>
        <w:spacing w:line="360" w:lineRule="auto" w:before="240"/>
        <w:ind w:left="23" w:right="461" w:firstLine="720"/>
        <w:jc w:val="both"/>
      </w:pPr>
      <w:r>
        <w:rPr/>
        <w:t>Developing a proactive and safe organisational culture for all college </w:t>
      </w:r>
      <w:r>
        <w:rPr/>
        <w:t>students</w:t>
      </w:r>
      <w:r>
        <w:rPr>
          <w:spacing w:val="40"/>
        </w:rPr>
        <w:t> </w:t>
      </w:r>
      <w:r>
        <w:rPr/>
        <w:t>requires the application of Social Learning Theory (SLT). Participants can be trained to become skilled in professional and firm intervention techniques by using observation, modelling, and vicarious reinforcement. This effectively breaks the</w:t>
      </w:r>
      <w:r>
        <w:rPr>
          <w:spacing w:val="-4"/>
        </w:rPr>
        <w:t> </w:t>
      </w:r>
      <w:r>
        <w:rPr/>
        <w:t>social</w:t>
      </w:r>
      <w:r>
        <w:rPr>
          <w:spacing w:val="-4"/>
        </w:rPr>
        <w:t> </w:t>
      </w:r>
      <w:r>
        <w:rPr/>
        <w:t>learning</w:t>
      </w:r>
      <w:r>
        <w:rPr>
          <w:spacing w:val="-4"/>
        </w:rPr>
        <w:t> </w:t>
      </w:r>
      <w:r>
        <w:rPr/>
        <w:t>chain</w:t>
      </w:r>
      <w:r>
        <w:rPr>
          <w:spacing w:val="-4"/>
        </w:rPr>
        <w:t> </w:t>
      </w:r>
      <w:r>
        <w:rPr/>
        <w:t>that encourages harassment and creates a new cultural norm of collective</w:t>
      </w:r>
      <w:r>
        <w:rPr>
          <w:spacing w:val="-2"/>
        </w:rPr>
        <w:t> </w:t>
      </w:r>
      <w:r>
        <w:rPr/>
        <w:t>disapproval</w:t>
      </w:r>
      <w:r>
        <w:rPr>
          <w:spacing w:val="-2"/>
        </w:rPr>
        <w:t> </w:t>
      </w:r>
      <w:r>
        <w:rPr/>
        <w:t>(Sharma</w:t>
      </w:r>
      <w:r>
        <w:rPr>
          <w:spacing w:val="-2"/>
        </w:rPr>
        <w:t> </w:t>
      </w:r>
      <w:r>
        <w:rPr/>
        <w:t>et al., 2025).</w:t>
      </w:r>
    </w:p>
    <w:p>
      <w:pPr>
        <w:pStyle w:val="BodyText"/>
      </w:pPr>
    </w:p>
    <w:p>
      <w:pPr>
        <w:pStyle w:val="BodyText"/>
        <w:spacing w:before="5"/>
      </w:pPr>
    </w:p>
    <w:p>
      <w:pPr>
        <w:pStyle w:val="Heading2"/>
        <w:ind w:left="0" w:right="437"/>
        <w:jc w:val="center"/>
      </w:pPr>
      <w:r>
        <w:rPr>
          <w:spacing w:val="-2"/>
        </w:rPr>
        <w:t>METHODS</w:t>
      </w:r>
    </w:p>
    <w:p>
      <w:pPr>
        <w:pStyle w:val="BodyText"/>
        <w:spacing w:before="83"/>
        <w:rPr>
          <w:b/>
        </w:rPr>
      </w:pPr>
    </w:p>
    <w:p>
      <w:pPr>
        <w:pStyle w:val="Heading3"/>
        <w:numPr>
          <w:ilvl w:val="1"/>
          <w:numId w:val="3"/>
        </w:numPr>
        <w:tabs>
          <w:tab w:pos="383" w:val="left" w:leader="none"/>
        </w:tabs>
        <w:spacing w:line="240" w:lineRule="auto" w:before="0" w:after="0"/>
        <w:ind w:left="383" w:right="0" w:hanging="360"/>
        <w:jc w:val="left"/>
      </w:pPr>
      <w:r>
        <w:rPr/>
        <w:t>Research</w:t>
      </w:r>
      <w:r>
        <w:rPr>
          <w:spacing w:val="-5"/>
        </w:rPr>
        <w:t> </w:t>
      </w:r>
      <w:r>
        <w:rPr>
          <w:spacing w:val="-2"/>
        </w:rPr>
        <w:t>Design</w:t>
      </w:r>
    </w:p>
    <w:p>
      <w:pPr>
        <w:pStyle w:val="BodyText"/>
        <w:spacing w:before="83"/>
        <w:rPr>
          <w:b/>
        </w:rPr>
      </w:pPr>
    </w:p>
    <w:p>
      <w:pPr>
        <w:pStyle w:val="BodyText"/>
        <w:spacing w:line="360" w:lineRule="auto"/>
        <w:ind w:left="23" w:right="463" w:firstLine="720"/>
        <w:jc w:val="both"/>
      </w:pPr>
      <w:r>
        <w:rPr/>
        <w:t>This study employed a quantitative pre-test and post-test approach to </w:t>
      </w:r>
      <w:r>
        <w:rPr/>
        <w:t>evaluate participants’</w:t>
      </w:r>
      <w:r>
        <w:rPr>
          <w:spacing w:val="40"/>
        </w:rPr>
        <w:t> </w:t>
      </w:r>
      <w:r>
        <w:rPr/>
        <w:t>responses</w:t>
      </w:r>
      <w:r>
        <w:rPr>
          <w:spacing w:val="40"/>
        </w:rPr>
        <w:t> </w:t>
      </w:r>
      <w:r>
        <w:rPr/>
        <w:t>to</w:t>
      </w:r>
      <w:r>
        <w:rPr>
          <w:spacing w:val="40"/>
        </w:rPr>
        <w:t> </w:t>
      </w:r>
      <w:r>
        <w:rPr/>
        <w:t>the</w:t>
      </w:r>
      <w:r>
        <w:rPr>
          <w:spacing w:val="40"/>
        </w:rPr>
        <w:t> </w:t>
      </w:r>
      <w:r>
        <w:rPr/>
        <w:t>Sexual</w:t>
      </w:r>
      <w:r>
        <w:rPr>
          <w:spacing w:val="40"/>
        </w:rPr>
        <w:t> </w:t>
      </w:r>
      <w:r>
        <w:rPr/>
        <w:t>Awareness</w:t>
      </w:r>
      <w:r>
        <w:rPr>
          <w:spacing w:val="40"/>
        </w:rPr>
        <w:t> </w:t>
      </w:r>
      <w:r>
        <w:rPr/>
        <w:t>and</w:t>
      </w:r>
      <w:r>
        <w:rPr>
          <w:spacing w:val="40"/>
        </w:rPr>
        <w:t> </w:t>
      </w:r>
      <w:r>
        <w:rPr/>
        <w:t>Education</w:t>
      </w:r>
      <w:r>
        <w:rPr>
          <w:spacing w:val="40"/>
        </w:rPr>
        <w:t> </w:t>
      </w:r>
      <w:r>
        <w:rPr/>
        <w:t>Program.</w:t>
      </w:r>
      <w:r>
        <w:rPr>
          <w:spacing w:val="40"/>
        </w:rPr>
        <w:t> </w:t>
      </w:r>
      <w:r>
        <w:rPr/>
        <w:t>Specifically,</w:t>
      </w:r>
      <w:r>
        <w:rPr>
          <w:spacing w:val="40"/>
        </w:rPr>
        <w:t> </w:t>
      </w:r>
      <w:r>
        <w:rPr/>
        <w:t>a one-group pre-test–post-test design was utilized, in which all participants received the intervention without a control group. The</w:t>
      </w:r>
      <w:r>
        <w:rPr>
          <w:spacing w:val="-3"/>
        </w:rPr>
        <w:t> </w:t>
      </w:r>
      <w:r>
        <w:rPr/>
        <w:t>intervention</w:t>
      </w:r>
      <w:r>
        <w:rPr>
          <w:spacing w:val="-3"/>
        </w:rPr>
        <w:t> </w:t>
      </w:r>
      <w:r>
        <w:rPr/>
        <w:t>comprised</w:t>
      </w:r>
      <w:r>
        <w:rPr>
          <w:spacing w:val="-3"/>
        </w:rPr>
        <w:t> </w:t>
      </w:r>
      <w:r>
        <w:rPr/>
        <w:t>four</w:t>
      </w:r>
      <w:r>
        <w:rPr>
          <w:spacing w:val="-3"/>
        </w:rPr>
        <w:t> </w:t>
      </w:r>
      <w:r>
        <w:rPr/>
        <w:t>structured</w:t>
      </w:r>
      <w:r>
        <w:rPr>
          <w:spacing w:val="-3"/>
        </w:rPr>
        <w:t> </w:t>
      </w:r>
      <w:r>
        <w:rPr/>
        <w:t>submodules addressing key dimensions of</w:t>
      </w:r>
      <w:r>
        <w:rPr>
          <w:spacing w:val="-3"/>
        </w:rPr>
        <w:t> </w:t>
      </w:r>
      <w:r>
        <w:rPr/>
        <w:t>sexual</w:t>
      </w:r>
      <w:r>
        <w:rPr>
          <w:spacing w:val="-3"/>
        </w:rPr>
        <w:t> </w:t>
      </w:r>
      <w:r>
        <w:rPr/>
        <w:t>awareness,</w:t>
      </w:r>
      <w:r>
        <w:rPr>
          <w:spacing w:val="-3"/>
        </w:rPr>
        <w:t> </w:t>
      </w:r>
      <w:r>
        <w:rPr/>
        <w:t>recognition</w:t>
      </w:r>
      <w:r>
        <w:rPr>
          <w:spacing w:val="-3"/>
        </w:rPr>
        <w:t> </w:t>
      </w:r>
      <w:r>
        <w:rPr/>
        <w:t>of</w:t>
      </w:r>
      <w:r>
        <w:rPr>
          <w:spacing w:val="-3"/>
        </w:rPr>
        <w:t> </w:t>
      </w:r>
      <w:r>
        <w:rPr/>
        <w:t>sexual</w:t>
      </w:r>
      <w:r>
        <w:rPr>
          <w:spacing w:val="-3"/>
        </w:rPr>
        <w:t> </w:t>
      </w:r>
      <w:r>
        <w:rPr/>
        <w:t>harassment,</w:t>
      </w:r>
      <w:r>
        <w:rPr>
          <w:spacing w:val="-3"/>
        </w:rPr>
        <w:t> </w:t>
      </w:r>
      <w:r>
        <w:rPr/>
        <w:t>evaluation of sexual behavior,</w:t>
      </w:r>
      <w:r>
        <w:rPr>
          <w:spacing w:val="-4"/>
        </w:rPr>
        <w:t> </w:t>
      </w:r>
      <w:r>
        <w:rPr/>
        <w:t>and</w:t>
      </w:r>
      <w:r>
        <w:rPr>
          <w:spacing w:val="-4"/>
        </w:rPr>
        <w:t> </w:t>
      </w:r>
      <w:r>
        <w:rPr/>
        <w:t>self-reflection,</w:t>
      </w:r>
      <w:r>
        <w:rPr>
          <w:spacing w:val="-4"/>
        </w:rPr>
        <w:t> </w:t>
      </w:r>
      <w:r>
        <w:rPr/>
        <w:t>all</w:t>
      </w:r>
      <w:r>
        <w:rPr>
          <w:spacing w:val="-4"/>
        </w:rPr>
        <w:t> </w:t>
      </w:r>
      <w:r>
        <w:rPr/>
        <w:t>grounded</w:t>
      </w:r>
      <w:r>
        <w:rPr>
          <w:spacing w:val="-4"/>
        </w:rPr>
        <w:t> </w:t>
      </w:r>
      <w:r>
        <w:rPr/>
        <w:t>in</w:t>
      </w:r>
      <w:r>
        <w:rPr>
          <w:spacing w:val="-4"/>
        </w:rPr>
        <w:t> </w:t>
      </w:r>
      <w:r>
        <w:rPr/>
        <w:t>psychoeducational</w:t>
      </w:r>
      <w:r>
        <w:rPr>
          <w:spacing w:val="-4"/>
        </w:rPr>
        <w:t> </w:t>
      </w:r>
      <w:r>
        <w:rPr/>
        <w:t>principles.</w:t>
      </w:r>
      <w:r>
        <w:rPr>
          <w:spacing w:val="-4"/>
        </w:rPr>
        <w:t> </w:t>
      </w:r>
      <w:r>
        <w:rPr/>
        <w:t>Pre-</w:t>
      </w:r>
      <w:r>
        <w:rPr>
          <w:spacing w:val="-4"/>
        </w:rPr>
        <w:t> </w:t>
      </w:r>
      <w:r>
        <w:rPr/>
        <w:t>and post-assessment instruments were integrated into each submodule to measure participants’ improvement in sexual awareness, knowledge of sexual harassment, sexual behavior, and reflective</w:t>
      </w:r>
      <w:r>
        <w:rPr>
          <w:spacing w:val="40"/>
        </w:rPr>
        <w:t> </w:t>
      </w:r>
      <w:r>
        <w:rPr/>
        <w:t>understanding.</w:t>
      </w:r>
      <w:r>
        <w:rPr>
          <w:spacing w:val="40"/>
        </w:rPr>
        <w:t> </w:t>
      </w:r>
      <w:r>
        <w:rPr/>
        <w:t>This</w:t>
      </w:r>
      <w:r>
        <w:rPr>
          <w:spacing w:val="40"/>
        </w:rPr>
        <w:t> </w:t>
      </w:r>
      <w:r>
        <w:rPr/>
        <w:t>design</w:t>
      </w:r>
      <w:r>
        <w:rPr>
          <w:spacing w:val="40"/>
        </w:rPr>
        <w:t> </w:t>
      </w:r>
      <w:r>
        <w:rPr/>
        <w:t>enabled</w:t>
      </w:r>
      <w:r>
        <w:rPr>
          <w:spacing w:val="40"/>
        </w:rPr>
        <w:t> </w:t>
      </w:r>
      <w:r>
        <w:rPr/>
        <w:t>direct</w:t>
      </w:r>
      <w:r>
        <w:rPr>
          <w:spacing w:val="40"/>
        </w:rPr>
        <w:t> </w:t>
      </w:r>
      <w:r>
        <w:rPr/>
        <w:t>comparison</w:t>
      </w:r>
      <w:r>
        <w:rPr>
          <w:spacing w:val="40"/>
        </w:rPr>
        <w:t> </w:t>
      </w:r>
      <w:r>
        <w:rPr/>
        <w:t>between</w:t>
      </w:r>
      <w:r>
        <w:rPr>
          <w:spacing w:val="40"/>
        </w:rPr>
        <w:t> </w:t>
      </w:r>
      <w:r>
        <w:rPr/>
        <w:t>pre-test</w:t>
      </w:r>
      <w:r>
        <w:rPr>
          <w:spacing w:val="40"/>
        </w:rPr>
        <w:t> </w:t>
      </w:r>
      <w:r>
        <w:rPr/>
        <w:t>and post-test results, providing empirical evidence of the module’s effectiveness in enhancing sexual awareness and fostering adaptive understanding among participants.</w:t>
      </w:r>
    </w:p>
    <w:p>
      <w:pPr>
        <w:pStyle w:val="BodyText"/>
        <w:spacing w:after="0" w:line="360" w:lineRule="auto"/>
        <w:jc w:val="both"/>
        <w:sectPr>
          <w:pgSz w:w="11920" w:h="16840"/>
          <w:pgMar w:top="1380" w:bottom="280" w:left="1417" w:right="992"/>
        </w:sectPr>
      </w:pPr>
    </w:p>
    <w:p>
      <w:pPr>
        <w:pStyle w:val="Heading3"/>
        <w:numPr>
          <w:ilvl w:val="1"/>
          <w:numId w:val="3"/>
        </w:numPr>
        <w:tabs>
          <w:tab w:pos="383" w:val="left" w:leader="none"/>
        </w:tabs>
        <w:spacing w:line="240" w:lineRule="auto" w:before="60" w:after="0"/>
        <w:ind w:left="383" w:right="0" w:hanging="360"/>
        <w:jc w:val="left"/>
      </w:pPr>
      <w:r>
        <w:rPr>
          <w:spacing w:val="-2"/>
        </w:rPr>
        <w:t>Participants</w:t>
      </w:r>
    </w:p>
    <w:p>
      <w:pPr>
        <w:pStyle w:val="BodyText"/>
        <w:rPr>
          <w:b/>
        </w:rPr>
      </w:pPr>
    </w:p>
    <w:p>
      <w:pPr>
        <w:pStyle w:val="BodyText"/>
        <w:spacing w:line="360" w:lineRule="auto" w:before="276"/>
        <w:ind w:left="23" w:right="460" w:firstLine="720"/>
        <w:jc w:val="both"/>
      </w:pPr>
      <w:r>
        <w:rPr/>
        <w:t>The program initially involved a total of 35 participants, of whom 30 completed </w:t>
      </w:r>
      <w:r>
        <w:rPr/>
        <w:t>all four submodules. Participants were nominated from various units and departments to ensure comprehensive representation across the organization. To comply with reporting standards and improve</w:t>
      </w:r>
      <w:r>
        <w:rPr>
          <w:spacing w:val="-4"/>
        </w:rPr>
        <w:t> </w:t>
      </w:r>
      <w:r>
        <w:rPr/>
        <w:t>the</w:t>
      </w:r>
      <w:r>
        <w:rPr>
          <w:spacing w:val="-4"/>
        </w:rPr>
        <w:t> </w:t>
      </w:r>
      <w:r>
        <w:rPr/>
        <w:t>clarity</w:t>
      </w:r>
      <w:r>
        <w:rPr>
          <w:spacing w:val="-4"/>
        </w:rPr>
        <w:t> </w:t>
      </w:r>
      <w:r>
        <w:rPr/>
        <w:t>of</w:t>
      </w:r>
      <w:r>
        <w:rPr>
          <w:spacing w:val="-4"/>
        </w:rPr>
        <w:t> </w:t>
      </w:r>
      <w:r>
        <w:rPr/>
        <w:t>the</w:t>
      </w:r>
      <w:r>
        <w:rPr>
          <w:spacing w:val="-4"/>
        </w:rPr>
        <w:t> </w:t>
      </w:r>
      <w:r>
        <w:rPr/>
        <w:t>sample</w:t>
      </w:r>
      <w:r>
        <w:rPr>
          <w:spacing w:val="-4"/>
        </w:rPr>
        <w:t> </w:t>
      </w:r>
      <w:r>
        <w:rPr/>
        <w:t>description,</w:t>
      </w:r>
      <w:r>
        <w:rPr>
          <w:spacing w:val="-4"/>
        </w:rPr>
        <w:t> </w:t>
      </w:r>
      <w:r>
        <w:rPr/>
        <w:t>limited</w:t>
      </w:r>
      <w:r>
        <w:rPr>
          <w:spacing w:val="-4"/>
        </w:rPr>
        <w:t> </w:t>
      </w:r>
      <w:r>
        <w:rPr/>
        <w:t>aggregate</w:t>
      </w:r>
      <w:r>
        <w:rPr>
          <w:spacing w:val="-4"/>
        </w:rPr>
        <w:t> </w:t>
      </w:r>
      <w:r>
        <w:rPr/>
        <w:t>demographic</w:t>
      </w:r>
      <w:r>
        <w:rPr>
          <w:spacing w:val="-4"/>
        </w:rPr>
        <w:t> </w:t>
      </w:r>
      <w:r>
        <w:rPr/>
        <w:t>information such as general age range and gender distribution was collected and reported without compromising confidentiality. The demographic characteristics of the participants are presented in Table 2, summarizing age and gender distribution. These data</w:t>
      </w:r>
      <w:r>
        <w:rPr>
          <w:spacing w:val="-3"/>
        </w:rPr>
        <w:t> </w:t>
      </w:r>
      <w:r>
        <w:rPr/>
        <w:t>were</w:t>
      </w:r>
      <w:r>
        <w:rPr>
          <w:spacing w:val="-3"/>
        </w:rPr>
        <w:t> </w:t>
      </w:r>
      <w:r>
        <w:rPr/>
        <w:t>compiled</w:t>
      </w:r>
      <w:r>
        <w:rPr>
          <w:spacing w:val="-3"/>
        </w:rPr>
        <w:t> </w:t>
      </w:r>
      <w:r>
        <w:rPr/>
        <w:t>in summary form only, ensuring that no individual participant could be identified. To maintain confidentiality and prevent identification, all responses were coded numerically. Participants were fully informed about</w:t>
      </w:r>
      <w:r>
        <w:rPr>
          <w:spacing w:val="-4"/>
        </w:rPr>
        <w:t> </w:t>
      </w:r>
      <w:r>
        <w:rPr/>
        <w:t>the</w:t>
      </w:r>
      <w:r>
        <w:rPr>
          <w:spacing w:val="-4"/>
        </w:rPr>
        <w:t> </w:t>
      </w:r>
      <w:r>
        <w:rPr/>
        <w:t>purpose</w:t>
      </w:r>
      <w:r>
        <w:rPr>
          <w:spacing w:val="-4"/>
        </w:rPr>
        <w:t> </w:t>
      </w:r>
      <w:r>
        <w:rPr/>
        <w:t>of</w:t>
      </w:r>
      <w:r>
        <w:rPr>
          <w:spacing w:val="-4"/>
        </w:rPr>
        <w:t> </w:t>
      </w:r>
      <w:r>
        <w:rPr/>
        <w:t>the</w:t>
      </w:r>
      <w:r>
        <w:rPr>
          <w:spacing w:val="-4"/>
        </w:rPr>
        <w:t> </w:t>
      </w:r>
      <w:r>
        <w:rPr/>
        <w:t>study,</w:t>
      </w:r>
      <w:r>
        <w:rPr>
          <w:spacing w:val="-4"/>
        </w:rPr>
        <w:t> </w:t>
      </w:r>
      <w:r>
        <w:rPr/>
        <w:t>confidentiality</w:t>
      </w:r>
      <w:r>
        <w:rPr>
          <w:spacing w:val="-4"/>
        </w:rPr>
        <w:t> </w:t>
      </w:r>
      <w:r>
        <w:rPr/>
        <w:t>procedures,</w:t>
      </w:r>
      <w:r>
        <w:rPr>
          <w:spacing w:val="-4"/>
        </w:rPr>
        <w:t> </w:t>
      </w:r>
      <w:r>
        <w:rPr/>
        <w:t>and</w:t>
      </w:r>
      <w:r>
        <w:rPr>
          <w:spacing w:val="-4"/>
        </w:rPr>
        <w:t> </w:t>
      </w:r>
      <w:r>
        <w:rPr/>
        <w:t>their</w:t>
      </w:r>
      <w:r>
        <w:rPr>
          <w:spacing w:val="-4"/>
        </w:rPr>
        <w:t> </w:t>
      </w:r>
      <w:r>
        <w:rPr/>
        <w:t>right to withdraw at any time without consequence. Prior to</w:t>
      </w:r>
      <w:r>
        <w:rPr>
          <w:spacing w:val="-2"/>
        </w:rPr>
        <w:t> </w:t>
      </w:r>
      <w:r>
        <w:rPr/>
        <w:t>data</w:t>
      </w:r>
      <w:r>
        <w:rPr>
          <w:spacing w:val="-2"/>
        </w:rPr>
        <w:t> </w:t>
      </w:r>
      <w:r>
        <w:rPr/>
        <w:t>collection,</w:t>
      </w:r>
      <w:r>
        <w:rPr>
          <w:spacing w:val="-2"/>
        </w:rPr>
        <w:t> </w:t>
      </w:r>
      <w:r>
        <w:rPr/>
        <w:t>informed</w:t>
      </w:r>
      <w:r>
        <w:rPr>
          <w:spacing w:val="-2"/>
        </w:rPr>
        <w:t> </w:t>
      </w:r>
      <w:r>
        <w:rPr/>
        <w:t>consent</w:t>
      </w:r>
      <w:r>
        <w:rPr>
          <w:spacing w:val="-2"/>
        </w:rPr>
        <w:t> </w:t>
      </w:r>
      <w:r>
        <w:rPr/>
        <w:t>was obtained from the relevant authorities for participation in this study.</w:t>
      </w:r>
    </w:p>
    <w:p>
      <w:pPr>
        <w:pStyle w:val="BodyText"/>
      </w:pPr>
    </w:p>
    <w:p>
      <w:pPr>
        <w:pStyle w:val="BodyText"/>
        <w:spacing w:before="5"/>
      </w:pPr>
    </w:p>
    <w:p>
      <w:pPr>
        <w:spacing w:before="0"/>
        <w:ind w:left="23" w:right="0" w:firstLine="0"/>
        <w:jc w:val="left"/>
        <w:rPr>
          <w:b/>
          <w:sz w:val="24"/>
        </w:rPr>
      </w:pPr>
      <w:r>
        <w:rPr>
          <w:b/>
          <w:sz w:val="24"/>
        </w:rPr>
        <w:t>Table</w:t>
      </w:r>
      <w:r>
        <w:rPr>
          <w:b/>
          <w:spacing w:val="-3"/>
          <w:sz w:val="24"/>
        </w:rPr>
        <w:t> </w:t>
      </w:r>
      <w:r>
        <w:rPr>
          <w:b/>
          <w:sz w:val="24"/>
        </w:rPr>
        <w:t>2.</w:t>
      </w:r>
      <w:r>
        <w:rPr>
          <w:b/>
          <w:spacing w:val="-3"/>
          <w:sz w:val="24"/>
        </w:rPr>
        <w:t> </w:t>
      </w:r>
      <w:r>
        <w:rPr>
          <w:b/>
          <w:sz w:val="24"/>
        </w:rPr>
        <w:t>Demographic</w:t>
      </w:r>
      <w:r>
        <w:rPr>
          <w:b/>
          <w:spacing w:val="-3"/>
          <w:sz w:val="24"/>
        </w:rPr>
        <w:t> </w:t>
      </w:r>
      <w:r>
        <w:rPr>
          <w:b/>
          <w:sz w:val="24"/>
        </w:rPr>
        <w:t>Characteristics</w:t>
      </w:r>
      <w:r>
        <w:rPr>
          <w:b/>
          <w:spacing w:val="-3"/>
          <w:sz w:val="24"/>
        </w:rPr>
        <w:t> </w:t>
      </w:r>
      <w:r>
        <w:rPr>
          <w:b/>
          <w:sz w:val="24"/>
        </w:rPr>
        <w:t>of</w:t>
      </w:r>
      <w:r>
        <w:rPr>
          <w:b/>
          <w:spacing w:val="-3"/>
          <w:sz w:val="24"/>
        </w:rPr>
        <w:t> </w:t>
      </w:r>
      <w:r>
        <w:rPr>
          <w:b/>
          <w:sz w:val="24"/>
        </w:rPr>
        <w:t>Participants</w:t>
      </w:r>
      <w:r>
        <w:rPr>
          <w:b/>
          <w:spacing w:val="-3"/>
          <w:sz w:val="24"/>
        </w:rPr>
        <w:t> </w:t>
      </w:r>
      <w:r>
        <w:rPr>
          <w:b/>
          <w:sz w:val="24"/>
        </w:rPr>
        <w:t>(N</w:t>
      </w:r>
      <w:r>
        <w:rPr>
          <w:b/>
          <w:spacing w:val="-3"/>
          <w:sz w:val="24"/>
        </w:rPr>
        <w:t> </w:t>
      </w:r>
      <w:r>
        <w:rPr>
          <w:b/>
          <w:sz w:val="24"/>
        </w:rPr>
        <w:t>=</w:t>
      </w:r>
      <w:r>
        <w:rPr>
          <w:b/>
          <w:spacing w:val="-2"/>
          <w:sz w:val="24"/>
        </w:rPr>
        <w:t> </w:t>
      </w:r>
      <w:r>
        <w:rPr>
          <w:b/>
          <w:spacing w:val="-5"/>
          <w:sz w:val="24"/>
        </w:rPr>
        <w:t>30)</w:t>
      </w:r>
    </w:p>
    <w:p>
      <w:pPr>
        <w:pStyle w:val="BodyText"/>
        <w:rPr>
          <w:b/>
          <w:sz w:val="20"/>
        </w:rPr>
      </w:pPr>
    </w:p>
    <w:p>
      <w:pPr>
        <w:pStyle w:val="BodyText"/>
        <w:rPr>
          <w:b/>
          <w:sz w:val="20"/>
        </w:rPr>
      </w:pPr>
    </w:p>
    <w:p>
      <w:pPr>
        <w:pStyle w:val="BodyText"/>
        <w:spacing w:before="141"/>
        <w:rPr>
          <w:b/>
          <w:sz w:val="20"/>
        </w:rPr>
      </w:pPr>
    </w:p>
    <w:tbl>
      <w:tblPr>
        <w:tblW w:w="0" w:type="auto"/>
        <w:jc w:val="left"/>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20"/>
        <w:gridCol w:w="2240"/>
        <w:gridCol w:w="2240"/>
        <w:gridCol w:w="2240"/>
      </w:tblGrid>
      <w:tr>
        <w:trPr>
          <w:trHeight w:val="479" w:hRule="atLeast"/>
        </w:trPr>
        <w:tc>
          <w:tcPr>
            <w:tcW w:w="2220" w:type="dxa"/>
          </w:tcPr>
          <w:p>
            <w:pPr>
              <w:pStyle w:val="TableParagraph"/>
              <w:spacing w:before="107"/>
              <w:ind w:left="671"/>
              <w:rPr>
                <w:b/>
                <w:sz w:val="24"/>
              </w:rPr>
            </w:pPr>
            <w:r>
              <w:rPr>
                <w:b/>
                <w:spacing w:val="-2"/>
                <w:sz w:val="24"/>
              </w:rPr>
              <w:t>Variable</w:t>
            </w:r>
          </w:p>
        </w:tc>
        <w:tc>
          <w:tcPr>
            <w:tcW w:w="2240" w:type="dxa"/>
          </w:tcPr>
          <w:p>
            <w:pPr>
              <w:pStyle w:val="TableParagraph"/>
              <w:spacing w:before="107"/>
              <w:ind w:left="649"/>
              <w:rPr>
                <w:b/>
                <w:sz w:val="24"/>
              </w:rPr>
            </w:pPr>
            <w:r>
              <w:rPr>
                <w:b/>
                <w:spacing w:val="-2"/>
                <w:sz w:val="24"/>
              </w:rPr>
              <w:t>Category</w:t>
            </w:r>
          </w:p>
        </w:tc>
        <w:tc>
          <w:tcPr>
            <w:tcW w:w="2240" w:type="dxa"/>
          </w:tcPr>
          <w:p>
            <w:pPr>
              <w:pStyle w:val="TableParagraph"/>
              <w:spacing w:before="107"/>
              <w:ind w:left="15" w:right="1"/>
              <w:jc w:val="center"/>
              <w:rPr>
                <w:b/>
                <w:sz w:val="24"/>
              </w:rPr>
            </w:pPr>
            <w:r>
              <w:rPr>
                <w:b/>
                <w:spacing w:val="-10"/>
                <w:sz w:val="24"/>
              </w:rPr>
              <w:t>n</w:t>
            </w:r>
          </w:p>
        </w:tc>
        <w:tc>
          <w:tcPr>
            <w:tcW w:w="2240" w:type="dxa"/>
          </w:tcPr>
          <w:p>
            <w:pPr>
              <w:pStyle w:val="TableParagraph"/>
              <w:spacing w:before="107"/>
              <w:ind w:left="15" w:right="10"/>
              <w:jc w:val="center"/>
              <w:rPr>
                <w:b/>
                <w:sz w:val="24"/>
              </w:rPr>
            </w:pPr>
            <w:r>
              <w:rPr>
                <w:b/>
                <w:spacing w:val="-10"/>
                <w:sz w:val="24"/>
              </w:rPr>
              <w:t>%</w:t>
            </w:r>
          </w:p>
        </w:tc>
      </w:tr>
      <w:tr>
        <w:trPr>
          <w:trHeight w:val="479" w:hRule="atLeast"/>
        </w:trPr>
        <w:tc>
          <w:tcPr>
            <w:tcW w:w="2220" w:type="dxa"/>
            <w:vMerge w:val="restart"/>
          </w:tcPr>
          <w:p>
            <w:pPr>
              <w:pStyle w:val="TableParagraph"/>
              <w:spacing w:before="108"/>
              <w:rPr>
                <w:b/>
                <w:sz w:val="24"/>
              </w:rPr>
            </w:pPr>
            <w:r>
              <w:rPr>
                <w:b/>
                <w:sz w:val="24"/>
              </w:rPr>
              <w:t>Age </w:t>
            </w:r>
            <w:r>
              <w:rPr>
                <w:b/>
                <w:spacing w:val="-2"/>
                <w:sz w:val="24"/>
              </w:rPr>
              <w:t>Range</w:t>
            </w:r>
          </w:p>
        </w:tc>
        <w:tc>
          <w:tcPr>
            <w:tcW w:w="2240" w:type="dxa"/>
          </w:tcPr>
          <w:p>
            <w:pPr>
              <w:pStyle w:val="TableParagraph"/>
              <w:spacing w:before="108"/>
              <w:ind w:left="109"/>
              <w:rPr>
                <w:sz w:val="24"/>
              </w:rPr>
            </w:pPr>
            <w:r>
              <w:rPr>
                <w:sz w:val="24"/>
              </w:rPr>
              <w:t>20-29 </w:t>
            </w:r>
            <w:r>
              <w:rPr>
                <w:spacing w:val="-2"/>
                <w:sz w:val="24"/>
              </w:rPr>
              <w:t>years</w:t>
            </w:r>
          </w:p>
        </w:tc>
        <w:tc>
          <w:tcPr>
            <w:tcW w:w="2240" w:type="dxa"/>
          </w:tcPr>
          <w:p>
            <w:pPr>
              <w:pStyle w:val="TableParagraph"/>
              <w:spacing w:before="108"/>
              <w:ind w:left="15"/>
              <w:jc w:val="center"/>
              <w:rPr>
                <w:sz w:val="24"/>
              </w:rPr>
            </w:pPr>
            <w:r>
              <w:rPr>
                <w:spacing w:val="-10"/>
                <w:sz w:val="24"/>
              </w:rPr>
              <w:t>6</w:t>
            </w:r>
          </w:p>
        </w:tc>
        <w:tc>
          <w:tcPr>
            <w:tcW w:w="2240" w:type="dxa"/>
          </w:tcPr>
          <w:p>
            <w:pPr>
              <w:pStyle w:val="TableParagraph"/>
              <w:spacing w:before="108"/>
              <w:ind w:left="15" w:right="10"/>
              <w:jc w:val="center"/>
              <w:rPr>
                <w:sz w:val="24"/>
              </w:rPr>
            </w:pPr>
            <w:r>
              <w:rPr>
                <w:spacing w:val="-4"/>
                <w:sz w:val="24"/>
              </w:rPr>
              <w:t>20.0</w:t>
            </w:r>
          </w:p>
        </w:tc>
      </w:tr>
      <w:tr>
        <w:trPr>
          <w:trHeight w:val="480" w:hRule="atLeast"/>
        </w:trPr>
        <w:tc>
          <w:tcPr>
            <w:tcW w:w="2220" w:type="dxa"/>
            <w:vMerge/>
            <w:tcBorders>
              <w:top w:val="nil"/>
            </w:tcBorders>
          </w:tcPr>
          <w:p>
            <w:pPr>
              <w:rPr>
                <w:sz w:val="2"/>
                <w:szCs w:val="2"/>
              </w:rPr>
            </w:pPr>
          </w:p>
        </w:tc>
        <w:tc>
          <w:tcPr>
            <w:tcW w:w="2240" w:type="dxa"/>
          </w:tcPr>
          <w:p>
            <w:pPr>
              <w:pStyle w:val="TableParagraph"/>
              <w:spacing w:before="109"/>
              <w:ind w:left="109"/>
              <w:rPr>
                <w:sz w:val="24"/>
              </w:rPr>
            </w:pPr>
            <w:r>
              <w:rPr>
                <w:sz w:val="24"/>
              </w:rPr>
              <w:t>30-39 </w:t>
            </w:r>
            <w:r>
              <w:rPr>
                <w:spacing w:val="-2"/>
                <w:sz w:val="24"/>
              </w:rPr>
              <w:t>years</w:t>
            </w:r>
          </w:p>
        </w:tc>
        <w:tc>
          <w:tcPr>
            <w:tcW w:w="2240" w:type="dxa"/>
          </w:tcPr>
          <w:p>
            <w:pPr>
              <w:pStyle w:val="TableParagraph"/>
              <w:spacing w:before="109"/>
              <w:ind w:left="15"/>
              <w:jc w:val="center"/>
              <w:rPr>
                <w:sz w:val="24"/>
              </w:rPr>
            </w:pPr>
            <w:r>
              <w:rPr>
                <w:spacing w:val="-10"/>
                <w:sz w:val="24"/>
              </w:rPr>
              <w:t>8</w:t>
            </w:r>
          </w:p>
        </w:tc>
        <w:tc>
          <w:tcPr>
            <w:tcW w:w="2240" w:type="dxa"/>
          </w:tcPr>
          <w:p>
            <w:pPr>
              <w:pStyle w:val="TableParagraph"/>
              <w:spacing w:before="109"/>
              <w:ind w:left="15" w:right="10"/>
              <w:jc w:val="center"/>
              <w:rPr>
                <w:sz w:val="24"/>
              </w:rPr>
            </w:pPr>
            <w:r>
              <w:rPr>
                <w:spacing w:val="-4"/>
                <w:sz w:val="24"/>
              </w:rPr>
              <w:t>26.7</w:t>
            </w:r>
          </w:p>
        </w:tc>
      </w:tr>
      <w:tr>
        <w:trPr>
          <w:trHeight w:val="479" w:hRule="atLeast"/>
        </w:trPr>
        <w:tc>
          <w:tcPr>
            <w:tcW w:w="2220" w:type="dxa"/>
            <w:vMerge/>
            <w:tcBorders>
              <w:top w:val="nil"/>
            </w:tcBorders>
          </w:tcPr>
          <w:p>
            <w:pPr>
              <w:rPr>
                <w:sz w:val="2"/>
                <w:szCs w:val="2"/>
              </w:rPr>
            </w:pPr>
          </w:p>
        </w:tc>
        <w:tc>
          <w:tcPr>
            <w:tcW w:w="2240" w:type="dxa"/>
          </w:tcPr>
          <w:p>
            <w:pPr>
              <w:pStyle w:val="TableParagraph"/>
              <w:spacing w:before="110"/>
              <w:ind w:left="109"/>
              <w:rPr>
                <w:sz w:val="24"/>
              </w:rPr>
            </w:pPr>
            <w:r>
              <w:rPr>
                <w:sz w:val="24"/>
              </w:rPr>
              <w:t>40-49 </w:t>
            </w:r>
            <w:r>
              <w:rPr>
                <w:spacing w:val="-2"/>
                <w:sz w:val="24"/>
              </w:rPr>
              <w:t>years</w:t>
            </w:r>
          </w:p>
        </w:tc>
        <w:tc>
          <w:tcPr>
            <w:tcW w:w="2240" w:type="dxa"/>
          </w:tcPr>
          <w:p>
            <w:pPr>
              <w:pStyle w:val="TableParagraph"/>
              <w:spacing w:before="110"/>
              <w:ind w:left="15"/>
              <w:jc w:val="center"/>
              <w:rPr>
                <w:sz w:val="24"/>
              </w:rPr>
            </w:pPr>
            <w:r>
              <w:rPr>
                <w:spacing w:val="-5"/>
                <w:sz w:val="24"/>
              </w:rPr>
              <w:t>12</w:t>
            </w:r>
          </w:p>
        </w:tc>
        <w:tc>
          <w:tcPr>
            <w:tcW w:w="2240" w:type="dxa"/>
          </w:tcPr>
          <w:p>
            <w:pPr>
              <w:pStyle w:val="TableParagraph"/>
              <w:spacing w:before="110"/>
              <w:ind w:left="15" w:right="10"/>
              <w:jc w:val="center"/>
              <w:rPr>
                <w:sz w:val="24"/>
              </w:rPr>
            </w:pPr>
            <w:r>
              <w:rPr>
                <w:spacing w:val="-4"/>
                <w:sz w:val="24"/>
              </w:rPr>
              <w:t>40.0</w:t>
            </w:r>
          </w:p>
        </w:tc>
      </w:tr>
      <w:tr>
        <w:trPr>
          <w:trHeight w:val="480" w:hRule="atLeast"/>
        </w:trPr>
        <w:tc>
          <w:tcPr>
            <w:tcW w:w="2220" w:type="dxa"/>
            <w:vMerge/>
            <w:tcBorders>
              <w:top w:val="nil"/>
            </w:tcBorders>
          </w:tcPr>
          <w:p>
            <w:pPr>
              <w:rPr>
                <w:sz w:val="2"/>
                <w:szCs w:val="2"/>
              </w:rPr>
            </w:pPr>
          </w:p>
        </w:tc>
        <w:tc>
          <w:tcPr>
            <w:tcW w:w="2240" w:type="dxa"/>
          </w:tcPr>
          <w:p>
            <w:pPr>
              <w:pStyle w:val="TableParagraph"/>
              <w:spacing w:before="111"/>
              <w:ind w:left="109"/>
              <w:rPr>
                <w:sz w:val="24"/>
              </w:rPr>
            </w:pPr>
            <w:r>
              <w:rPr>
                <w:sz w:val="24"/>
              </w:rPr>
              <w:t>50 </w:t>
            </w:r>
            <w:r>
              <w:rPr>
                <w:spacing w:val="-2"/>
                <w:sz w:val="24"/>
              </w:rPr>
              <w:t>years</w:t>
            </w:r>
          </w:p>
        </w:tc>
        <w:tc>
          <w:tcPr>
            <w:tcW w:w="2240" w:type="dxa"/>
          </w:tcPr>
          <w:p>
            <w:pPr>
              <w:pStyle w:val="TableParagraph"/>
              <w:spacing w:before="111"/>
              <w:ind w:left="15"/>
              <w:jc w:val="center"/>
              <w:rPr>
                <w:sz w:val="24"/>
              </w:rPr>
            </w:pPr>
            <w:r>
              <w:rPr>
                <w:spacing w:val="-10"/>
                <w:sz w:val="24"/>
              </w:rPr>
              <w:t>4</w:t>
            </w:r>
          </w:p>
        </w:tc>
        <w:tc>
          <w:tcPr>
            <w:tcW w:w="2240" w:type="dxa"/>
          </w:tcPr>
          <w:p>
            <w:pPr>
              <w:pStyle w:val="TableParagraph"/>
              <w:spacing w:before="111"/>
              <w:ind w:left="15" w:right="10"/>
              <w:jc w:val="center"/>
              <w:rPr>
                <w:sz w:val="24"/>
              </w:rPr>
            </w:pPr>
            <w:r>
              <w:rPr>
                <w:spacing w:val="-4"/>
                <w:sz w:val="24"/>
              </w:rPr>
              <w:t>13.3</w:t>
            </w:r>
          </w:p>
        </w:tc>
      </w:tr>
      <w:tr>
        <w:trPr>
          <w:trHeight w:val="479" w:hRule="atLeast"/>
        </w:trPr>
        <w:tc>
          <w:tcPr>
            <w:tcW w:w="2220" w:type="dxa"/>
            <w:vMerge w:val="restart"/>
          </w:tcPr>
          <w:p>
            <w:pPr>
              <w:pStyle w:val="TableParagraph"/>
              <w:spacing w:before="112"/>
              <w:rPr>
                <w:b/>
                <w:sz w:val="24"/>
              </w:rPr>
            </w:pPr>
            <w:r>
              <w:rPr>
                <w:b/>
                <w:spacing w:val="-2"/>
                <w:sz w:val="24"/>
              </w:rPr>
              <w:t>Gender</w:t>
            </w:r>
          </w:p>
        </w:tc>
        <w:tc>
          <w:tcPr>
            <w:tcW w:w="2240" w:type="dxa"/>
          </w:tcPr>
          <w:p>
            <w:pPr>
              <w:pStyle w:val="TableParagraph"/>
              <w:spacing w:before="112"/>
              <w:ind w:left="109"/>
              <w:rPr>
                <w:sz w:val="24"/>
              </w:rPr>
            </w:pPr>
            <w:r>
              <w:rPr>
                <w:spacing w:val="-4"/>
                <w:sz w:val="24"/>
              </w:rPr>
              <w:t>Male</w:t>
            </w:r>
          </w:p>
        </w:tc>
        <w:tc>
          <w:tcPr>
            <w:tcW w:w="2240" w:type="dxa"/>
          </w:tcPr>
          <w:p>
            <w:pPr>
              <w:pStyle w:val="TableParagraph"/>
              <w:spacing w:before="112"/>
              <w:ind w:left="15"/>
              <w:jc w:val="center"/>
              <w:rPr>
                <w:sz w:val="24"/>
              </w:rPr>
            </w:pPr>
            <w:r>
              <w:rPr>
                <w:spacing w:val="-5"/>
                <w:sz w:val="24"/>
              </w:rPr>
              <w:t>13</w:t>
            </w:r>
          </w:p>
        </w:tc>
        <w:tc>
          <w:tcPr>
            <w:tcW w:w="2240" w:type="dxa"/>
          </w:tcPr>
          <w:p>
            <w:pPr>
              <w:pStyle w:val="TableParagraph"/>
              <w:spacing w:before="112"/>
              <w:ind w:left="15" w:right="10"/>
              <w:jc w:val="center"/>
              <w:rPr>
                <w:sz w:val="24"/>
              </w:rPr>
            </w:pPr>
            <w:r>
              <w:rPr>
                <w:spacing w:val="-4"/>
                <w:sz w:val="24"/>
              </w:rPr>
              <w:t>43.3</w:t>
            </w:r>
          </w:p>
        </w:tc>
      </w:tr>
      <w:tr>
        <w:trPr>
          <w:trHeight w:val="479" w:hRule="atLeast"/>
        </w:trPr>
        <w:tc>
          <w:tcPr>
            <w:tcW w:w="2220" w:type="dxa"/>
            <w:vMerge/>
            <w:tcBorders>
              <w:top w:val="nil"/>
            </w:tcBorders>
          </w:tcPr>
          <w:p>
            <w:pPr>
              <w:rPr>
                <w:sz w:val="2"/>
                <w:szCs w:val="2"/>
              </w:rPr>
            </w:pPr>
          </w:p>
        </w:tc>
        <w:tc>
          <w:tcPr>
            <w:tcW w:w="2240" w:type="dxa"/>
          </w:tcPr>
          <w:p>
            <w:pPr>
              <w:pStyle w:val="TableParagraph"/>
              <w:spacing w:before="113"/>
              <w:ind w:left="109"/>
              <w:rPr>
                <w:sz w:val="24"/>
              </w:rPr>
            </w:pPr>
            <w:r>
              <w:rPr>
                <w:spacing w:val="-2"/>
                <w:sz w:val="24"/>
              </w:rPr>
              <w:t>Female</w:t>
            </w:r>
          </w:p>
        </w:tc>
        <w:tc>
          <w:tcPr>
            <w:tcW w:w="2240" w:type="dxa"/>
          </w:tcPr>
          <w:p>
            <w:pPr>
              <w:pStyle w:val="TableParagraph"/>
              <w:spacing w:before="113"/>
              <w:ind w:left="15"/>
              <w:jc w:val="center"/>
              <w:rPr>
                <w:sz w:val="24"/>
              </w:rPr>
            </w:pPr>
            <w:r>
              <w:rPr>
                <w:spacing w:val="-5"/>
                <w:sz w:val="24"/>
              </w:rPr>
              <w:t>17</w:t>
            </w:r>
          </w:p>
        </w:tc>
        <w:tc>
          <w:tcPr>
            <w:tcW w:w="2240" w:type="dxa"/>
          </w:tcPr>
          <w:p>
            <w:pPr>
              <w:pStyle w:val="TableParagraph"/>
              <w:spacing w:before="113"/>
              <w:ind w:left="15" w:right="10"/>
              <w:jc w:val="center"/>
              <w:rPr>
                <w:sz w:val="24"/>
              </w:rPr>
            </w:pPr>
            <w:r>
              <w:rPr>
                <w:spacing w:val="-4"/>
                <w:sz w:val="24"/>
              </w:rPr>
              <w:t>56.7</w:t>
            </w:r>
          </w:p>
        </w:tc>
      </w:tr>
    </w:tbl>
    <w:p>
      <w:pPr>
        <w:pStyle w:val="TableParagraph"/>
        <w:spacing w:after="0"/>
        <w:jc w:val="center"/>
        <w:rPr>
          <w:sz w:val="24"/>
        </w:rPr>
        <w:sectPr>
          <w:pgSz w:w="11920" w:h="16840"/>
          <w:pgMar w:top="1380" w:bottom="280" w:left="1417" w:right="992"/>
        </w:sectPr>
      </w:pPr>
    </w:p>
    <w:p>
      <w:pPr>
        <w:pStyle w:val="Heading3"/>
        <w:numPr>
          <w:ilvl w:val="1"/>
          <w:numId w:val="3"/>
        </w:numPr>
        <w:tabs>
          <w:tab w:pos="383" w:val="left" w:leader="none"/>
        </w:tabs>
        <w:spacing w:line="240" w:lineRule="auto" w:before="60" w:after="0"/>
        <w:ind w:left="383" w:right="0" w:hanging="360"/>
        <w:jc w:val="left"/>
      </w:pPr>
      <w:r>
        <w:rPr>
          <w:spacing w:val="-2"/>
        </w:rPr>
        <w:t>Procedure</w:t>
      </w:r>
    </w:p>
    <w:p>
      <w:pPr>
        <w:pStyle w:val="BodyText"/>
        <w:spacing w:before="5"/>
        <w:rPr>
          <w:b/>
        </w:rPr>
      </w:pPr>
    </w:p>
    <w:p>
      <w:pPr>
        <w:pStyle w:val="BodyText"/>
        <w:spacing w:line="360" w:lineRule="auto"/>
        <w:ind w:left="23" w:right="461" w:firstLine="720"/>
        <w:jc w:val="both"/>
      </w:pPr>
      <w:r>
        <w:rPr/>
        <w:t>The intervention was conducted at the Teknikkl Institusi auditorium hall </w:t>
      </w:r>
      <w:r>
        <w:rPr/>
        <w:t>throughout the structured sessions. At the beginning, participants received a briefing on the program objectives</w:t>
      </w:r>
      <w:r>
        <w:rPr>
          <w:spacing w:val="80"/>
        </w:rPr>
        <w:t> </w:t>
      </w:r>
      <w:r>
        <w:rPr/>
        <w:t>and</w:t>
      </w:r>
      <w:r>
        <w:rPr>
          <w:spacing w:val="80"/>
        </w:rPr>
        <w:t> </w:t>
      </w:r>
      <w:r>
        <w:rPr/>
        <w:t>the</w:t>
      </w:r>
      <w:r>
        <w:rPr>
          <w:spacing w:val="80"/>
        </w:rPr>
        <w:t> </w:t>
      </w:r>
      <w:r>
        <w:rPr/>
        <w:t>sequence</w:t>
      </w:r>
      <w:r>
        <w:rPr>
          <w:spacing w:val="80"/>
        </w:rPr>
        <w:t> </w:t>
      </w:r>
      <w:r>
        <w:rPr/>
        <w:t>of</w:t>
      </w:r>
      <w:r>
        <w:rPr>
          <w:spacing w:val="80"/>
        </w:rPr>
        <w:t> </w:t>
      </w:r>
      <w:r>
        <w:rPr/>
        <w:t>activities</w:t>
      </w:r>
      <w:r>
        <w:rPr>
          <w:spacing w:val="80"/>
        </w:rPr>
        <w:t> </w:t>
      </w:r>
      <w:r>
        <w:rPr/>
        <w:t>upon</w:t>
      </w:r>
      <w:r>
        <w:rPr>
          <w:spacing w:val="40"/>
        </w:rPr>
        <w:t> </w:t>
      </w:r>
      <w:r>
        <w:rPr/>
        <w:t>arrival.</w:t>
      </w:r>
      <w:r>
        <w:rPr>
          <w:spacing w:val="40"/>
        </w:rPr>
        <w:t> </w:t>
      </w:r>
      <w:r>
        <w:rPr/>
        <w:t>They</w:t>
      </w:r>
      <w:r>
        <w:rPr>
          <w:spacing w:val="40"/>
        </w:rPr>
        <w:t> </w:t>
      </w:r>
      <w:r>
        <w:rPr/>
        <w:t>first</w:t>
      </w:r>
      <w:r>
        <w:rPr>
          <w:spacing w:val="40"/>
        </w:rPr>
        <w:t> </w:t>
      </w:r>
      <w:r>
        <w:rPr/>
        <w:t>completed</w:t>
      </w:r>
      <w:r>
        <w:rPr>
          <w:spacing w:val="40"/>
        </w:rPr>
        <w:t> </w:t>
      </w:r>
      <w:r>
        <w:rPr/>
        <w:t>a</w:t>
      </w:r>
      <w:r>
        <w:rPr>
          <w:spacing w:val="40"/>
        </w:rPr>
        <w:t> </w:t>
      </w:r>
      <w:r>
        <w:rPr/>
        <w:t>set</w:t>
      </w:r>
      <w:r>
        <w:rPr>
          <w:spacing w:val="40"/>
        </w:rPr>
        <w:t> </w:t>
      </w:r>
      <w:r>
        <w:rPr/>
        <w:t>of pre-assessment instruments consisting of the Sexual</w:t>
      </w:r>
      <w:r>
        <w:rPr>
          <w:spacing w:val="-6"/>
        </w:rPr>
        <w:t> </w:t>
      </w:r>
      <w:r>
        <w:rPr/>
        <w:t>Awareness</w:t>
      </w:r>
      <w:r>
        <w:rPr>
          <w:spacing w:val="-6"/>
        </w:rPr>
        <w:t> </w:t>
      </w:r>
      <w:r>
        <w:rPr/>
        <w:t>Questionnaire</w:t>
      </w:r>
      <w:r>
        <w:rPr>
          <w:spacing w:val="-6"/>
        </w:rPr>
        <w:t> </w:t>
      </w:r>
      <w:r>
        <w:rPr/>
        <w:t>(SAQ)</w:t>
      </w:r>
      <w:r>
        <w:rPr>
          <w:spacing w:val="-6"/>
        </w:rPr>
        <w:t> </w:t>
      </w:r>
      <w:r>
        <w:rPr/>
        <w:t>and</w:t>
      </w:r>
      <w:r>
        <w:rPr>
          <w:spacing w:val="-6"/>
        </w:rPr>
        <w:t> </w:t>
      </w:r>
      <w:r>
        <w:rPr/>
        <w:t>the Sexual Harassment Knowledge Quiz before the intervention began.</w:t>
      </w:r>
    </w:p>
    <w:p>
      <w:pPr>
        <w:pStyle w:val="BodyText"/>
        <w:spacing w:line="360" w:lineRule="auto" w:before="240"/>
        <w:ind w:left="23" w:right="463" w:firstLine="720"/>
        <w:jc w:val="both"/>
      </w:pPr>
      <w:r>
        <w:rPr/>
        <w:t>The program was facilitated by trained facilitators under the supervision of a registered counselor. The four submodules were delivered sequentially through lectures, group discussions, videos, and hands-on activities. Participants were guided to identify </w:t>
      </w:r>
      <w:r>
        <w:rPr/>
        <w:t>their level of sexual awareness, recognize various forms of sexual harassment, evaluate their attitudes and behaviors using standardized assessments, and engage in guided self-reflection aligned with the psychoeducational approach applied throughout the modules.</w:t>
      </w:r>
    </w:p>
    <w:p>
      <w:pPr>
        <w:pStyle w:val="BodyText"/>
        <w:spacing w:line="360" w:lineRule="auto" w:before="240"/>
        <w:ind w:left="23" w:right="461" w:firstLine="720"/>
        <w:jc w:val="both"/>
      </w:pPr>
      <w:r>
        <w:rPr/>
        <w:t>After the intervention was completed, participants filled out a set of post-</w:t>
      </w:r>
      <w:r>
        <w:rPr/>
        <w:t>assessment instruments consisting of the Sexual Assessment Scale (SAS) and a structured reflection instrument to evaluate their learning outcomes. To ensure consistency and reliability, data collection procedures were standardized across all groups. Finally, a brief discussion</w:t>
      </w:r>
      <w:r>
        <w:rPr>
          <w:spacing w:val="-4"/>
        </w:rPr>
        <w:t> </w:t>
      </w:r>
      <w:r>
        <w:rPr/>
        <w:t>session was held at the end of the program to review learning objectives, gather feedback, and</w:t>
      </w:r>
      <w:r>
        <w:rPr>
          <w:spacing w:val="40"/>
        </w:rPr>
        <w:t> </w:t>
      </w:r>
      <w:r>
        <w:rPr/>
        <w:t>express appreciation to the participants.</w:t>
      </w:r>
    </w:p>
    <w:p>
      <w:pPr>
        <w:pStyle w:val="BodyText"/>
        <w:spacing w:after="0" w:line="360" w:lineRule="auto"/>
        <w:jc w:val="both"/>
        <w:sectPr>
          <w:pgSz w:w="11920" w:h="16840"/>
          <w:pgMar w:top="1380" w:bottom="280" w:left="1417" w:right="992"/>
        </w:sectPr>
      </w:pPr>
    </w:p>
    <w:p>
      <w:pPr>
        <w:pStyle w:val="Heading2"/>
        <w:spacing w:before="60"/>
        <w:ind w:left="3475"/>
      </w:pPr>
      <w:r>
        <w:rPr/>
        <w:t>4.0 </w:t>
      </w:r>
      <w:r>
        <w:rPr>
          <w:spacing w:val="-2"/>
        </w:rPr>
        <w:t>INSTRUMENTS</w:t>
      </w:r>
    </w:p>
    <w:p>
      <w:pPr>
        <w:pStyle w:val="BodyText"/>
        <w:rPr>
          <w:b/>
        </w:rPr>
      </w:pPr>
    </w:p>
    <w:p>
      <w:pPr>
        <w:pStyle w:val="BodyText"/>
        <w:spacing w:before="46"/>
        <w:rPr>
          <w:b/>
        </w:rPr>
      </w:pPr>
    </w:p>
    <w:p>
      <w:pPr>
        <w:pStyle w:val="BodyText"/>
        <w:spacing w:line="360" w:lineRule="auto" w:before="1"/>
        <w:ind w:left="23" w:right="464" w:firstLine="720"/>
        <w:jc w:val="both"/>
      </w:pPr>
      <w:r>
        <w:rPr/>
        <w:t>To evaluate the effectiveness of the early awareness program on issues related to sexual harassment, three assessment instruments were used: the Sexual Assessment Scale (SAS) as both the pre-test and post-test measure, the Sexual Harassment Knowledge </w:t>
      </w:r>
      <w:r>
        <w:rPr/>
        <w:t>Quiz, and</w:t>
      </w:r>
      <w:r>
        <w:rPr>
          <w:spacing w:val="-5"/>
        </w:rPr>
        <w:t> </w:t>
      </w:r>
      <w:r>
        <w:rPr/>
        <w:t>the</w:t>
      </w:r>
      <w:r>
        <w:rPr>
          <w:spacing w:val="-5"/>
        </w:rPr>
        <w:t> </w:t>
      </w:r>
      <w:r>
        <w:rPr/>
        <w:t>Sexual</w:t>
      </w:r>
      <w:r>
        <w:rPr>
          <w:spacing w:val="-5"/>
        </w:rPr>
        <w:t> </w:t>
      </w:r>
      <w:r>
        <w:rPr/>
        <w:t>Awareness</w:t>
      </w:r>
      <w:r>
        <w:rPr>
          <w:spacing w:val="-5"/>
        </w:rPr>
        <w:t> </w:t>
      </w:r>
      <w:r>
        <w:rPr/>
        <w:t>Questionnaire.</w:t>
      </w:r>
      <w:r>
        <w:rPr>
          <w:spacing w:val="-5"/>
        </w:rPr>
        <w:t> </w:t>
      </w:r>
      <w:r>
        <w:rPr/>
        <w:t>The</w:t>
      </w:r>
      <w:r>
        <w:rPr>
          <w:spacing w:val="-5"/>
        </w:rPr>
        <w:t> </w:t>
      </w:r>
      <w:r>
        <w:rPr/>
        <w:t>use</w:t>
      </w:r>
      <w:r>
        <w:rPr>
          <w:spacing w:val="-5"/>
        </w:rPr>
        <w:t> </w:t>
      </w:r>
      <w:r>
        <w:rPr/>
        <w:t>of</w:t>
      </w:r>
      <w:r>
        <w:rPr>
          <w:spacing w:val="-5"/>
        </w:rPr>
        <w:t> </w:t>
      </w:r>
      <w:r>
        <w:rPr/>
        <w:t>these</w:t>
      </w:r>
      <w:r>
        <w:rPr>
          <w:spacing w:val="-5"/>
        </w:rPr>
        <w:t> </w:t>
      </w:r>
      <w:r>
        <w:rPr/>
        <w:t>three</w:t>
      </w:r>
      <w:r>
        <w:rPr>
          <w:spacing w:val="-5"/>
        </w:rPr>
        <w:t> </w:t>
      </w:r>
      <w:r>
        <w:rPr/>
        <w:t>instruments</w:t>
      </w:r>
      <w:r>
        <w:rPr>
          <w:spacing w:val="-5"/>
        </w:rPr>
        <w:t> </w:t>
      </w:r>
      <w:r>
        <w:rPr/>
        <w:t>aimed</w:t>
      </w:r>
      <w:r>
        <w:rPr>
          <w:spacing w:val="-5"/>
        </w:rPr>
        <w:t> </w:t>
      </w:r>
      <w:r>
        <w:rPr/>
        <w:t>to</w:t>
      </w:r>
      <w:r>
        <w:rPr>
          <w:spacing w:val="-5"/>
        </w:rPr>
        <w:t> </w:t>
      </w:r>
      <w:r>
        <w:rPr/>
        <w:t>identify participants’ levels of knowledge, awareness, understanding, and changes in perception before and after the program. These instruments helped assess the extent to which the program enhanced participants’ understanding of the concept of sexual harassment, its</w:t>
      </w:r>
      <w:r>
        <w:rPr>
          <w:spacing w:val="40"/>
        </w:rPr>
        <w:t> </w:t>
      </w:r>
      <w:r>
        <w:rPr/>
        <w:t>various forms, risk factors, impacts on victims, and appropriate preventive measures.</w:t>
      </w:r>
    </w:p>
    <w:p>
      <w:pPr>
        <w:pStyle w:val="BodyText"/>
        <w:spacing w:before="3"/>
      </w:pPr>
    </w:p>
    <w:p>
      <w:pPr>
        <w:pStyle w:val="Heading1"/>
        <w:numPr>
          <w:ilvl w:val="1"/>
          <w:numId w:val="4"/>
        </w:numPr>
        <w:tabs>
          <w:tab w:pos="410" w:val="left" w:leader="none"/>
        </w:tabs>
        <w:spacing w:line="240" w:lineRule="auto" w:before="1" w:after="0"/>
        <w:ind w:left="410" w:right="0" w:hanging="387"/>
        <w:jc w:val="left"/>
      </w:pPr>
      <w:bookmarkStart w:name="4.1 Sexual Assessment Scale " w:id="1"/>
      <w:bookmarkEnd w:id="1"/>
      <w:r>
        <w:rPr>
          <w:b w:val="0"/>
        </w:rPr>
      </w:r>
      <w:r>
        <w:rPr/>
        <w:t>Sexual</w:t>
      </w:r>
      <w:r>
        <w:rPr>
          <w:spacing w:val="-8"/>
        </w:rPr>
        <w:t> </w:t>
      </w:r>
      <w:r>
        <w:rPr/>
        <w:t>Assessment</w:t>
      </w:r>
      <w:r>
        <w:rPr>
          <w:spacing w:val="-8"/>
        </w:rPr>
        <w:t> </w:t>
      </w:r>
      <w:r>
        <w:rPr>
          <w:spacing w:val="-2"/>
        </w:rPr>
        <w:t>Scale</w:t>
      </w:r>
    </w:p>
    <w:p>
      <w:pPr>
        <w:pStyle w:val="BodyText"/>
        <w:spacing w:before="90"/>
        <w:rPr>
          <w:b/>
          <w:sz w:val="26"/>
        </w:rPr>
      </w:pPr>
    </w:p>
    <w:p>
      <w:pPr>
        <w:pStyle w:val="BodyText"/>
        <w:spacing w:line="360" w:lineRule="auto"/>
        <w:ind w:left="23" w:right="461" w:firstLine="720"/>
        <w:jc w:val="both"/>
      </w:pPr>
      <w:r>
        <w:rPr/>
        <w:t>The Sexual Assessment Scale (SAS) developed by Hendrick and Hendrick </w:t>
      </w:r>
      <w:r>
        <w:rPr/>
        <w:t>(1987)</w:t>
      </w:r>
      <w:r>
        <w:rPr>
          <w:spacing w:val="40"/>
        </w:rPr>
        <w:t> </w:t>
      </w:r>
      <w:r>
        <w:rPr/>
        <w:t>was used as both the pre-test and post-test instrument to measure changes in participants’ awareness and understanding of sexual issues, as well</w:t>
      </w:r>
      <w:r>
        <w:rPr>
          <w:spacing w:val="-3"/>
        </w:rPr>
        <w:t> </w:t>
      </w:r>
      <w:r>
        <w:rPr/>
        <w:t>as</w:t>
      </w:r>
      <w:r>
        <w:rPr>
          <w:spacing w:val="-3"/>
        </w:rPr>
        <w:t> </w:t>
      </w:r>
      <w:r>
        <w:rPr/>
        <w:t>their</w:t>
      </w:r>
      <w:r>
        <w:rPr>
          <w:spacing w:val="-3"/>
        </w:rPr>
        <w:t> </w:t>
      </w:r>
      <w:r>
        <w:rPr/>
        <w:t>experiences</w:t>
      </w:r>
      <w:r>
        <w:rPr>
          <w:spacing w:val="-3"/>
        </w:rPr>
        <w:t> </w:t>
      </w:r>
      <w:r>
        <w:rPr/>
        <w:t>or</w:t>
      </w:r>
      <w:r>
        <w:rPr>
          <w:spacing w:val="-3"/>
        </w:rPr>
        <w:t> </w:t>
      </w:r>
      <w:r>
        <w:rPr/>
        <w:t>comprehension of symptoms related to sexual matters. The pre-test was administered before the program began to obtain an initial overview of participant’s knowledge and awareness levels, while</w:t>
      </w:r>
      <w:r>
        <w:rPr>
          <w:spacing w:val="40"/>
        </w:rPr>
        <w:t> </w:t>
      </w:r>
      <w:r>
        <w:rPr/>
        <w:t>the post-test was conducted after the program to observe changes or improvements in</w:t>
      </w:r>
      <w:r>
        <w:rPr>
          <w:spacing w:val="40"/>
        </w:rPr>
        <w:t> </w:t>
      </w:r>
      <w:r>
        <w:rPr/>
        <w:t>learning outcomes. The comparison of scores between the pre-test and post-test provided evidence of the effectiveness of the educational intervention delivered.</w:t>
      </w:r>
    </w:p>
    <w:p>
      <w:pPr>
        <w:pStyle w:val="BodyText"/>
      </w:pPr>
    </w:p>
    <w:p>
      <w:pPr>
        <w:pStyle w:val="BodyText"/>
        <w:spacing w:before="102"/>
      </w:pPr>
    </w:p>
    <w:p>
      <w:pPr>
        <w:pStyle w:val="Heading1"/>
        <w:numPr>
          <w:ilvl w:val="1"/>
          <w:numId w:val="4"/>
        </w:numPr>
        <w:tabs>
          <w:tab w:pos="470" w:val="left" w:leader="none"/>
        </w:tabs>
        <w:spacing w:line="240" w:lineRule="auto" w:before="0" w:after="0"/>
        <w:ind w:left="470" w:right="0" w:hanging="387"/>
        <w:jc w:val="left"/>
      </w:pPr>
      <w:r>
        <w:rPr/>
        <w:t>Sexual</w:t>
      </w:r>
      <w:r>
        <w:rPr>
          <w:spacing w:val="-9"/>
        </w:rPr>
        <w:t> </w:t>
      </w:r>
      <w:r>
        <w:rPr/>
        <w:t>Harassment</w:t>
      </w:r>
      <w:r>
        <w:rPr>
          <w:spacing w:val="-8"/>
        </w:rPr>
        <w:t> </w:t>
      </w:r>
      <w:r>
        <w:rPr/>
        <w:t>Knowledge</w:t>
      </w:r>
      <w:r>
        <w:rPr>
          <w:spacing w:val="-8"/>
        </w:rPr>
        <w:t> </w:t>
      </w:r>
      <w:r>
        <w:rPr>
          <w:spacing w:val="-4"/>
        </w:rPr>
        <w:t>Quiz</w:t>
      </w:r>
    </w:p>
    <w:p>
      <w:pPr>
        <w:pStyle w:val="BodyText"/>
        <w:spacing w:before="90"/>
        <w:rPr>
          <w:b/>
          <w:sz w:val="26"/>
        </w:rPr>
      </w:pPr>
    </w:p>
    <w:p>
      <w:pPr>
        <w:pStyle w:val="BodyText"/>
        <w:spacing w:line="360" w:lineRule="auto" w:before="1"/>
        <w:ind w:left="23" w:right="462" w:firstLine="720"/>
        <w:jc w:val="both"/>
      </w:pPr>
      <w:r>
        <w:rPr/>
        <w:t>The Sexual Harassment</w:t>
      </w:r>
      <w:r>
        <w:rPr>
          <w:spacing w:val="-4"/>
        </w:rPr>
        <w:t> </w:t>
      </w:r>
      <w:r>
        <w:rPr/>
        <w:t>Knowledge</w:t>
      </w:r>
      <w:r>
        <w:rPr>
          <w:spacing w:val="-4"/>
        </w:rPr>
        <w:t> </w:t>
      </w:r>
      <w:r>
        <w:rPr/>
        <w:t>Quiz</w:t>
      </w:r>
      <w:r>
        <w:rPr>
          <w:spacing w:val="-4"/>
        </w:rPr>
        <w:t> </w:t>
      </w:r>
      <w:r>
        <w:rPr/>
        <w:t>was</w:t>
      </w:r>
      <w:r>
        <w:rPr>
          <w:spacing w:val="-4"/>
        </w:rPr>
        <w:t> </w:t>
      </w:r>
      <w:r>
        <w:rPr/>
        <w:t>used</w:t>
      </w:r>
      <w:r>
        <w:rPr>
          <w:spacing w:val="-4"/>
        </w:rPr>
        <w:t> </w:t>
      </w:r>
      <w:r>
        <w:rPr/>
        <w:t>as</w:t>
      </w:r>
      <w:r>
        <w:rPr>
          <w:spacing w:val="-4"/>
        </w:rPr>
        <w:t> </w:t>
      </w:r>
      <w:r>
        <w:rPr/>
        <w:t>a</w:t>
      </w:r>
      <w:r>
        <w:rPr>
          <w:spacing w:val="-4"/>
        </w:rPr>
        <w:t> </w:t>
      </w:r>
      <w:r>
        <w:rPr/>
        <w:t>reinforcement</w:t>
      </w:r>
      <w:r>
        <w:rPr>
          <w:spacing w:val="-4"/>
        </w:rPr>
        <w:t> </w:t>
      </w:r>
      <w:r>
        <w:rPr/>
        <w:t>and</w:t>
      </w:r>
      <w:r>
        <w:rPr>
          <w:spacing w:val="-4"/>
        </w:rPr>
        <w:t> </w:t>
      </w:r>
      <w:r>
        <w:rPr/>
        <w:t>assessment instrument to</w:t>
      </w:r>
      <w:r>
        <w:rPr>
          <w:spacing w:val="-3"/>
        </w:rPr>
        <w:t> </w:t>
      </w:r>
      <w:r>
        <w:rPr/>
        <w:t>evaluate</w:t>
      </w:r>
      <w:r>
        <w:rPr>
          <w:spacing w:val="-3"/>
        </w:rPr>
        <w:t> </w:t>
      </w:r>
      <w:r>
        <w:rPr/>
        <w:t>participants’</w:t>
      </w:r>
      <w:r>
        <w:rPr>
          <w:spacing w:val="-3"/>
        </w:rPr>
        <w:t> </w:t>
      </w:r>
      <w:r>
        <w:rPr/>
        <w:t>understanding</w:t>
      </w:r>
      <w:r>
        <w:rPr>
          <w:spacing w:val="-3"/>
        </w:rPr>
        <w:t> </w:t>
      </w:r>
      <w:r>
        <w:rPr/>
        <w:t>of</w:t>
      </w:r>
      <w:r>
        <w:rPr>
          <w:spacing w:val="-3"/>
        </w:rPr>
        <w:t> </w:t>
      </w:r>
      <w:r>
        <w:rPr/>
        <w:t>the</w:t>
      </w:r>
      <w:r>
        <w:rPr>
          <w:spacing w:val="-3"/>
        </w:rPr>
        <w:t> </w:t>
      </w:r>
      <w:r>
        <w:rPr/>
        <w:t>topic</w:t>
      </w:r>
      <w:r>
        <w:rPr>
          <w:spacing w:val="-3"/>
        </w:rPr>
        <w:t> </w:t>
      </w:r>
      <w:r>
        <w:rPr/>
        <w:t>of</w:t>
      </w:r>
      <w:r>
        <w:rPr>
          <w:spacing w:val="-3"/>
        </w:rPr>
        <w:t> </w:t>
      </w:r>
      <w:r>
        <w:rPr/>
        <w:t>sexual</w:t>
      </w:r>
      <w:r>
        <w:rPr>
          <w:spacing w:val="-3"/>
        </w:rPr>
        <w:t> </w:t>
      </w:r>
      <w:r>
        <w:rPr/>
        <w:t>harassment.</w:t>
      </w:r>
      <w:r>
        <w:rPr>
          <w:spacing w:val="-3"/>
        </w:rPr>
        <w:t> </w:t>
      </w:r>
      <w:r>
        <w:rPr/>
        <w:t>The</w:t>
      </w:r>
      <w:r>
        <w:rPr>
          <w:spacing w:val="-3"/>
        </w:rPr>
        <w:t> </w:t>
      </w:r>
      <w:r>
        <w:rPr/>
        <w:t>quiz contained questions related to the definition of sexual harassment, types of behaviors categorized as sexual harassment, situations involving harassment, and actions that can be taken by individuals who experience or witness such incidents. This instrument helped identify the extent to which participants were able to recognize and distinguish between appropriate behaviors and those that constitute sexual harassment in everyday life.</w:t>
      </w:r>
    </w:p>
    <w:p>
      <w:pPr>
        <w:pStyle w:val="BodyText"/>
        <w:spacing w:after="0" w:line="360" w:lineRule="auto"/>
        <w:jc w:val="both"/>
        <w:sectPr>
          <w:pgSz w:w="11920" w:h="16840"/>
          <w:pgMar w:top="1380" w:bottom="280" w:left="1417" w:right="992"/>
        </w:sectPr>
      </w:pPr>
    </w:p>
    <w:p>
      <w:pPr>
        <w:pStyle w:val="Heading1"/>
        <w:numPr>
          <w:ilvl w:val="1"/>
          <w:numId w:val="4"/>
        </w:numPr>
        <w:tabs>
          <w:tab w:pos="410" w:val="left" w:leader="none"/>
        </w:tabs>
        <w:spacing w:line="240" w:lineRule="auto" w:before="60" w:after="0"/>
        <w:ind w:left="410" w:right="0" w:hanging="387"/>
        <w:jc w:val="both"/>
      </w:pPr>
      <w:bookmarkStart w:name="4.3 Sexual Awareness Questionnaire " w:id="2"/>
      <w:bookmarkEnd w:id="2"/>
      <w:r>
        <w:rPr>
          <w:b w:val="0"/>
        </w:rPr>
      </w:r>
      <w:r>
        <w:rPr>
          <w:spacing w:val="-2"/>
        </w:rPr>
        <w:t>Sexual</w:t>
      </w:r>
      <w:r>
        <w:rPr>
          <w:spacing w:val="-4"/>
        </w:rPr>
        <w:t> </w:t>
      </w:r>
      <w:r>
        <w:rPr>
          <w:spacing w:val="-2"/>
        </w:rPr>
        <w:t>Awareness</w:t>
      </w:r>
      <w:r>
        <w:rPr>
          <w:spacing w:val="-4"/>
        </w:rPr>
        <w:t> </w:t>
      </w:r>
      <w:r>
        <w:rPr>
          <w:spacing w:val="-2"/>
        </w:rPr>
        <w:t>Questionnaire</w:t>
      </w:r>
    </w:p>
    <w:p>
      <w:pPr>
        <w:pStyle w:val="BodyText"/>
        <w:spacing w:before="90"/>
        <w:rPr>
          <w:b/>
          <w:sz w:val="26"/>
        </w:rPr>
      </w:pPr>
    </w:p>
    <w:p>
      <w:pPr>
        <w:pStyle w:val="BodyText"/>
        <w:spacing w:line="360" w:lineRule="auto"/>
        <w:ind w:left="23" w:right="461" w:firstLine="720"/>
        <w:jc w:val="both"/>
      </w:pPr>
      <w:r>
        <w:rPr/>
        <w:t>The Sexual Awareness Questionnaire (SAQ) developed by Hendrick and </w:t>
      </w:r>
      <w:r>
        <w:rPr/>
        <w:t>Hendrick (1987) was used to measure participants’ overall awareness of sexual issues, including knowledge, attitudes, and understanding of personal boundaries and consent. Through this questionnaire, participants’ level of awareness regarding sexual harassment issues was identified and used as an indicator to evaluate the effectiveness of the program objectives.</w:t>
      </w:r>
    </w:p>
    <w:p>
      <w:pPr>
        <w:pStyle w:val="BodyText"/>
        <w:spacing w:line="360" w:lineRule="auto" w:before="240"/>
        <w:ind w:left="23" w:right="471" w:firstLine="720"/>
        <w:jc w:val="both"/>
      </w:pPr>
      <w:r>
        <w:rPr/>
        <w:t>The validity and reliability of the</w:t>
      </w:r>
      <w:r>
        <w:rPr>
          <w:spacing w:val="-3"/>
        </w:rPr>
        <w:t> </w:t>
      </w:r>
      <w:r>
        <w:rPr/>
        <w:t>instrument</w:t>
      </w:r>
      <w:r>
        <w:rPr>
          <w:spacing w:val="-3"/>
        </w:rPr>
        <w:t> </w:t>
      </w:r>
      <w:r>
        <w:rPr/>
        <w:t>were</w:t>
      </w:r>
      <w:r>
        <w:rPr>
          <w:spacing w:val="-3"/>
        </w:rPr>
        <w:t> </w:t>
      </w:r>
      <w:r>
        <w:rPr/>
        <w:t>established</w:t>
      </w:r>
      <w:r>
        <w:rPr>
          <w:spacing w:val="-3"/>
        </w:rPr>
        <w:t> </w:t>
      </w:r>
      <w:r>
        <w:rPr/>
        <w:t>prior</w:t>
      </w:r>
      <w:r>
        <w:rPr>
          <w:spacing w:val="-3"/>
        </w:rPr>
        <w:t> </w:t>
      </w:r>
      <w:r>
        <w:rPr/>
        <w:t>to</w:t>
      </w:r>
      <w:r>
        <w:rPr>
          <w:spacing w:val="-3"/>
        </w:rPr>
        <w:t> </w:t>
      </w:r>
      <w:r>
        <w:rPr/>
        <w:t>data</w:t>
      </w:r>
      <w:r>
        <w:rPr>
          <w:spacing w:val="-3"/>
        </w:rPr>
        <w:t> </w:t>
      </w:r>
      <w:r>
        <w:rPr/>
        <w:t>collection. The Sexual Awareness Questionnaire (SAQ) was tested using Pearson correlation analysis, comparing</w:t>
      </w:r>
      <w:r>
        <w:rPr>
          <w:spacing w:val="30"/>
        </w:rPr>
        <w:t> </w:t>
      </w:r>
      <w:r>
        <w:rPr/>
        <w:t>the</w:t>
      </w:r>
      <w:r>
        <w:rPr>
          <w:spacing w:val="30"/>
        </w:rPr>
        <w:t> </w:t>
      </w:r>
      <w:r>
        <w:rPr/>
        <w:t>obtained</w:t>
      </w:r>
      <w:r>
        <w:rPr>
          <w:spacing w:val="30"/>
        </w:rPr>
        <w:t> </w:t>
      </w:r>
      <w:r>
        <w:rPr>
          <w:i/>
        </w:rPr>
        <w:t>r</w:t>
      </w:r>
      <w:r>
        <w:rPr>
          <w:i/>
          <w:spacing w:val="30"/>
        </w:rPr>
        <w:t> </w:t>
      </w:r>
      <w:r>
        <w:rPr/>
        <w:t>values</w:t>
      </w:r>
      <w:r>
        <w:rPr>
          <w:spacing w:val="30"/>
        </w:rPr>
        <w:t> </w:t>
      </w:r>
      <w:r>
        <w:rPr/>
        <w:t>with</w:t>
      </w:r>
      <w:r>
        <w:rPr>
          <w:spacing w:val="15"/>
        </w:rPr>
        <w:t> </w:t>
      </w:r>
      <w:r>
        <w:rPr/>
        <w:t>the</w:t>
      </w:r>
      <w:r>
        <w:rPr>
          <w:spacing w:val="15"/>
        </w:rPr>
        <w:t> </w:t>
      </w:r>
      <w:r>
        <w:rPr/>
        <w:t>table</w:t>
      </w:r>
      <w:r>
        <w:rPr>
          <w:spacing w:val="15"/>
        </w:rPr>
        <w:t> </w:t>
      </w:r>
      <w:r>
        <w:rPr/>
        <w:t>value</w:t>
      </w:r>
      <w:r>
        <w:rPr>
          <w:spacing w:val="15"/>
        </w:rPr>
        <w:t> </w:t>
      </w:r>
      <w:r>
        <w:rPr/>
        <w:t>of</w:t>
      </w:r>
      <w:r>
        <w:rPr>
          <w:spacing w:val="15"/>
        </w:rPr>
        <w:t> </w:t>
      </w:r>
      <w:r>
        <w:rPr/>
        <w:t>0.244</w:t>
      </w:r>
      <w:r>
        <w:rPr>
          <w:spacing w:val="15"/>
        </w:rPr>
        <w:t> </w:t>
      </w:r>
      <w:r>
        <w:rPr/>
        <w:t>at</w:t>
      </w:r>
      <w:r>
        <w:rPr>
          <w:spacing w:val="15"/>
        </w:rPr>
        <w:t> </w:t>
      </w:r>
      <w:r>
        <w:rPr/>
        <w:t>a</w:t>
      </w:r>
      <w:r>
        <w:rPr>
          <w:spacing w:val="15"/>
        </w:rPr>
        <w:t> </w:t>
      </w:r>
      <w:r>
        <w:rPr/>
        <w:t>significance</w:t>
      </w:r>
      <w:r>
        <w:rPr>
          <w:spacing w:val="15"/>
        </w:rPr>
        <w:t> </w:t>
      </w:r>
      <w:r>
        <w:rPr/>
        <w:t>level</w:t>
      </w:r>
      <w:r>
        <w:rPr>
          <w:spacing w:val="15"/>
        </w:rPr>
        <w:t> </w:t>
      </w:r>
      <w:r>
        <w:rPr/>
        <w:t>of</w:t>
      </w:r>
      <w:r>
        <w:rPr>
          <w:spacing w:val="15"/>
        </w:rPr>
        <w:t> </w:t>
      </w:r>
      <w:r>
        <w:rPr/>
        <w:t>α</w:t>
      </w:r>
      <w:r>
        <w:rPr>
          <w:spacing w:val="15"/>
        </w:rPr>
        <w:t> </w:t>
      </w:r>
      <w:r>
        <w:rPr>
          <w:spacing w:val="-10"/>
        </w:rPr>
        <w:t>=</w:t>
      </w:r>
    </w:p>
    <w:p>
      <w:pPr>
        <w:pStyle w:val="BodyText"/>
        <w:spacing w:line="360" w:lineRule="auto"/>
        <w:ind w:left="23" w:right="462"/>
        <w:jc w:val="both"/>
      </w:pPr>
      <w:r>
        <w:rPr/>
        <w:t>0.05.</w:t>
      </w:r>
      <w:r>
        <w:rPr>
          <w:spacing w:val="40"/>
        </w:rPr>
        <w:t> </w:t>
      </w:r>
      <w:r>
        <w:rPr/>
        <w:t>All</w:t>
      </w:r>
      <w:r>
        <w:rPr>
          <w:spacing w:val="40"/>
        </w:rPr>
        <w:t> </w:t>
      </w:r>
      <w:r>
        <w:rPr/>
        <w:t>items</w:t>
      </w:r>
      <w:r>
        <w:rPr>
          <w:spacing w:val="40"/>
        </w:rPr>
        <w:t> </w:t>
      </w:r>
      <w:r>
        <w:rPr/>
        <w:t>were found to be valid, with </w:t>
      </w:r>
      <w:r>
        <w:rPr>
          <w:i/>
        </w:rPr>
        <w:t>r </w:t>
      </w:r>
      <w:r>
        <w:rPr/>
        <w:t>values ranging from 0.282 to 0.689 </w:t>
      </w:r>
      <w:r>
        <w:rPr/>
        <w:t>(</w:t>
      </w:r>
      <w:r>
        <w:rPr>
          <w:i/>
        </w:rPr>
        <w:t>r </w:t>
      </w:r>
      <w:r>
        <w:rPr/>
        <w:t>calculated &gt; </w:t>
      </w:r>
      <w:r>
        <w:rPr>
          <w:i/>
        </w:rPr>
        <w:t>r </w:t>
      </w:r>
      <w:r>
        <w:rPr/>
        <w:t>table). The reliability of the instrument was assessed using Cronbach’s alpha, yielding an overall value of 0.89, indicating a high level of internal consistency.</w:t>
      </w:r>
    </w:p>
    <w:p>
      <w:pPr>
        <w:pStyle w:val="BodyText"/>
      </w:pPr>
    </w:p>
    <w:p>
      <w:pPr>
        <w:pStyle w:val="BodyText"/>
      </w:pPr>
    </w:p>
    <w:p>
      <w:pPr>
        <w:pStyle w:val="BodyText"/>
        <w:spacing w:before="47"/>
      </w:pPr>
    </w:p>
    <w:p>
      <w:pPr>
        <w:pStyle w:val="Heading2"/>
        <w:ind w:left="3220"/>
      </w:pPr>
      <w:r>
        <w:rPr>
          <w:spacing w:val="-2"/>
        </w:rPr>
        <w:t>5.0</w:t>
      </w:r>
      <w:r>
        <w:rPr>
          <w:spacing w:val="-11"/>
        </w:rPr>
        <w:t> </w:t>
      </w:r>
      <w:r>
        <w:rPr>
          <w:spacing w:val="-2"/>
        </w:rPr>
        <w:t>DATA</w:t>
      </w:r>
      <w:r>
        <w:rPr>
          <w:spacing w:val="-11"/>
        </w:rPr>
        <w:t> </w:t>
      </w:r>
      <w:r>
        <w:rPr>
          <w:spacing w:val="-2"/>
        </w:rPr>
        <w:t>COLLECTION</w:t>
      </w:r>
    </w:p>
    <w:p>
      <w:pPr>
        <w:pStyle w:val="BodyText"/>
        <w:spacing w:before="83"/>
        <w:rPr>
          <w:b/>
        </w:rPr>
      </w:pPr>
    </w:p>
    <w:p>
      <w:pPr>
        <w:pStyle w:val="BodyText"/>
        <w:spacing w:line="360" w:lineRule="auto"/>
        <w:ind w:left="23" w:right="463" w:firstLine="720"/>
        <w:jc w:val="both"/>
      </w:pPr>
      <w:r>
        <w:rPr/>
        <w:t>Data collection for the early awareness program on sexual harassment issues </w:t>
      </w:r>
      <w:r>
        <w:rPr/>
        <w:t>was conducted using three assessment instruments: the Sexual Assessment Scale (SAS), the Sexual Harassment Knowledge Quiz, and the Sexual Awareness Questionnaire. The use of these instruments aimed to identify participants’ initial level of knowledge, measure their understanding of sexual harassment issues, and evaluate changes in awareness after completing the program.</w:t>
      </w:r>
    </w:p>
    <w:p>
      <w:pPr>
        <w:pStyle w:val="BodyText"/>
        <w:spacing w:line="360" w:lineRule="auto" w:before="240"/>
        <w:ind w:left="23" w:right="462" w:firstLine="720"/>
        <w:jc w:val="both"/>
      </w:pPr>
      <w:r>
        <w:rPr/>
        <w:t>At the beginning of the program, 30 participants completed the Sexual </w:t>
      </w:r>
      <w:r>
        <w:rPr/>
        <w:t>Assessment Scale (SAS) as the initial pre-test. The instrument was distributed through a Google Form prepared by the organizers to facilitate data collection. This initial data collection was intended to obtain</w:t>
      </w:r>
      <w:r>
        <w:rPr>
          <w:spacing w:val="-3"/>
        </w:rPr>
        <w:t> </w:t>
      </w:r>
      <w:r>
        <w:rPr/>
        <w:t>an</w:t>
      </w:r>
      <w:r>
        <w:rPr>
          <w:spacing w:val="-3"/>
        </w:rPr>
        <w:t> </w:t>
      </w:r>
      <w:r>
        <w:rPr/>
        <w:t>overview</w:t>
      </w:r>
      <w:r>
        <w:rPr>
          <w:spacing w:val="-3"/>
        </w:rPr>
        <w:t> </w:t>
      </w:r>
      <w:r>
        <w:rPr/>
        <w:t>of</w:t>
      </w:r>
      <w:r>
        <w:rPr>
          <w:spacing w:val="-3"/>
        </w:rPr>
        <w:t> </w:t>
      </w:r>
      <w:r>
        <w:rPr/>
        <w:t>participants’</w:t>
      </w:r>
      <w:r>
        <w:rPr>
          <w:spacing w:val="-3"/>
        </w:rPr>
        <w:t> </w:t>
      </w:r>
      <w:r>
        <w:rPr/>
        <w:t>understanding</w:t>
      </w:r>
      <w:r>
        <w:rPr>
          <w:spacing w:val="-3"/>
        </w:rPr>
        <w:t> </w:t>
      </w:r>
      <w:r>
        <w:rPr/>
        <w:t>and</w:t>
      </w:r>
      <w:r>
        <w:rPr>
          <w:spacing w:val="-3"/>
        </w:rPr>
        <w:t> </w:t>
      </w:r>
      <w:r>
        <w:rPr/>
        <w:t>awareness</w:t>
      </w:r>
      <w:r>
        <w:rPr>
          <w:spacing w:val="-3"/>
        </w:rPr>
        <w:t> </w:t>
      </w:r>
      <w:r>
        <w:rPr/>
        <w:t>before</w:t>
      </w:r>
      <w:r>
        <w:rPr>
          <w:spacing w:val="-3"/>
        </w:rPr>
        <w:t> </w:t>
      </w:r>
      <w:r>
        <w:rPr/>
        <w:t>receiving any information or exposure related to sexual harassment through program activities.</w:t>
      </w:r>
    </w:p>
    <w:p>
      <w:pPr>
        <w:pStyle w:val="BodyText"/>
        <w:spacing w:line="360" w:lineRule="auto" w:before="240"/>
        <w:ind w:left="23" w:right="464" w:firstLine="720"/>
        <w:jc w:val="both"/>
      </w:pPr>
      <w:r>
        <w:rPr/>
        <w:t>Subsequently, participants completed two additional instruments, the </w:t>
      </w:r>
      <w:r>
        <w:rPr/>
        <w:t>Sexual Harassment Knowledge Quiz and the Sexual Awareness Questionnaire, which were administered alternately with interactive activities throughout the program. The sequence began with participants completing the SAS, followed by awareness activities on sexual harassment.</w:t>
      </w:r>
      <w:r>
        <w:rPr>
          <w:spacing w:val="28"/>
        </w:rPr>
        <w:t> </w:t>
      </w:r>
      <w:r>
        <w:rPr/>
        <w:t>After</w:t>
      </w:r>
      <w:r>
        <w:rPr>
          <w:spacing w:val="30"/>
        </w:rPr>
        <w:t> </w:t>
      </w:r>
      <w:r>
        <w:rPr/>
        <w:t>these</w:t>
      </w:r>
      <w:r>
        <w:rPr>
          <w:spacing w:val="30"/>
        </w:rPr>
        <w:t> </w:t>
      </w:r>
      <w:r>
        <w:rPr/>
        <w:t>activities,</w:t>
      </w:r>
      <w:r>
        <w:rPr>
          <w:spacing w:val="30"/>
        </w:rPr>
        <w:t> </w:t>
      </w:r>
      <w:r>
        <w:rPr/>
        <w:t>participants</w:t>
      </w:r>
      <w:r>
        <w:rPr>
          <w:spacing w:val="15"/>
        </w:rPr>
        <w:t> </w:t>
      </w:r>
      <w:r>
        <w:rPr/>
        <w:t>answered</w:t>
      </w:r>
      <w:r>
        <w:rPr>
          <w:spacing w:val="15"/>
        </w:rPr>
        <w:t> </w:t>
      </w:r>
      <w:r>
        <w:rPr/>
        <w:t>the</w:t>
      </w:r>
      <w:r>
        <w:rPr>
          <w:spacing w:val="15"/>
        </w:rPr>
        <w:t> </w:t>
      </w:r>
      <w:r>
        <w:rPr/>
        <w:t>Sexual</w:t>
      </w:r>
      <w:r>
        <w:rPr>
          <w:spacing w:val="15"/>
        </w:rPr>
        <w:t> </w:t>
      </w:r>
      <w:r>
        <w:rPr/>
        <w:t>Harassment</w:t>
      </w:r>
      <w:r>
        <w:rPr>
          <w:spacing w:val="15"/>
        </w:rPr>
        <w:t> </w:t>
      </w:r>
      <w:r>
        <w:rPr>
          <w:spacing w:val="-2"/>
        </w:rPr>
        <w:t>Knowledge</w:t>
      </w:r>
    </w:p>
    <w:p>
      <w:pPr>
        <w:pStyle w:val="BodyText"/>
        <w:spacing w:after="0" w:line="360" w:lineRule="auto"/>
        <w:jc w:val="both"/>
        <w:sectPr>
          <w:pgSz w:w="11920" w:h="16840"/>
          <w:pgMar w:top="1380" w:bottom="280" w:left="1417" w:right="992"/>
        </w:sectPr>
      </w:pPr>
    </w:p>
    <w:p>
      <w:pPr>
        <w:pStyle w:val="BodyText"/>
        <w:spacing w:line="360" w:lineRule="auto" w:before="60"/>
        <w:ind w:left="23" w:right="462"/>
        <w:jc w:val="both"/>
      </w:pPr>
      <w:r>
        <w:rPr/>
        <w:t>Quiz to assess their understanding of situations, forms, and characteristics of </w:t>
      </w:r>
      <w:r>
        <w:rPr/>
        <w:t>sexual harassment. They then participated in other activities before completing the Sexual Awareness Questionnaire,</w:t>
      </w:r>
      <w:r>
        <w:rPr>
          <w:spacing w:val="-7"/>
        </w:rPr>
        <w:t> </w:t>
      </w:r>
      <w:r>
        <w:rPr/>
        <w:t>which</w:t>
      </w:r>
      <w:r>
        <w:rPr>
          <w:spacing w:val="-7"/>
        </w:rPr>
        <w:t> </w:t>
      </w:r>
      <w:r>
        <w:rPr/>
        <w:t>measured</w:t>
      </w:r>
      <w:r>
        <w:rPr>
          <w:spacing w:val="-7"/>
        </w:rPr>
        <w:t> </w:t>
      </w:r>
      <w:r>
        <w:rPr/>
        <w:t>their</w:t>
      </w:r>
      <w:r>
        <w:rPr>
          <w:spacing w:val="-7"/>
        </w:rPr>
        <w:t> </w:t>
      </w:r>
      <w:r>
        <w:rPr/>
        <w:t>awareness</w:t>
      </w:r>
      <w:r>
        <w:rPr>
          <w:spacing w:val="-7"/>
        </w:rPr>
        <w:t> </w:t>
      </w:r>
      <w:r>
        <w:rPr/>
        <w:t>of</w:t>
      </w:r>
      <w:r>
        <w:rPr>
          <w:spacing w:val="-7"/>
        </w:rPr>
        <w:t> </w:t>
      </w:r>
      <w:r>
        <w:rPr/>
        <w:t>personal</w:t>
      </w:r>
      <w:r>
        <w:rPr>
          <w:spacing w:val="-7"/>
        </w:rPr>
        <w:t> </w:t>
      </w:r>
      <w:r>
        <w:rPr/>
        <w:t>boundaries,</w:t>
      </w:r>
      <w:r>
        <w:rPr>
          <w:spacing w:val="-7"/>
        </w:rPr>
        <w:t> </w:t>
      </w:r>
      <w:r>
        <w:rPr/>
        <w:t>individual rights, consent, and preventive measures against sexual harassment.</w:t>
      </w:r>
    </w:p>
    <w:p>
      <w:pPr>
        <w:pStyle w:val="BodyText"/>
        <w:spacing w:line="360" w:lineRule="auto" w:before="240"/>
        <w:ind w:left="23" w:right="463" w:firstLine="720"/>
        <w:jc w:val="both"/>
      </w:pPr>
      <w:r>
        <w:rPr/>
        <w:t>At the end of the program, participants were again asked to complete the Sexual Assessment Scale (SAS)</w:t>
      </w:r>
      <w:r>
        <w:rPr>
          <w:spacing w:val="-3"/>
        </w:rPr>
        <w:t> </w:t>
      </w:r>
      <w:r>
        <w:rPr/>
        <w:t>as</w:t>
      </w:r>
      <w:r>
        <w:rPr>
          <w:spacing w:val="-3"/>
        </w:rPr>
        <w:t> </w:t>
      </w:r>
      <w:r>
        <w:rPr/>
        <w:t>the</w:t>
      </w:r>
      <w:r>
        <w:rPr>
          <w:spacing w:val="-3"/>
        </w:rPr>
        <w:t> </w:t>
      </w:r>
      <w:r>
        <w:rPr/>
        <w:t>final</w:t>
      </w:r>
      <w:r>
        <w:rPr>
          <w:spacing w:val="-3"/>
        </w:rPr>
        <w:t> </w:t>
      </w:r>
      <w:r>
        <w:rPr/>
        <w:t>post-test.</w:t>
      </w:r>
      <w:r>
        <w:rPr>
          <w:spacing w:val="-3"/>
        </w:rPr>
        <w:t> </w:t>
      </w:r>
      <w:r>
        <w:rPr/>
        <w:t>This</w:t>
      </w:r>
      <w:r>
        <w:rPr>
          <w:spacing w:val="-3"/>
        </w:rPr>
        <w:t> </w:t>
      </w:r>
      <w:r>
        <w:rPr/>
        <w:t>data</w:t>
      </w:r>
      <w:r>
        <w:rPr>
          <w:spacing w:val="-3"/>
        </w:rPr>
        <w:t> </w:t>
      </w:r>
      <w:r>
        <w:rPr/>
        <w:t>collection</w:t>
      </w:r>
      <w:r>
        <w:rPr>
          <w:spacing w:val="-3"/>
        </w:rPr>
        <w:t> </w:t>
      </w:r>
      <w:r>
        <w:rPr/>
        <w:t>was</w:t>
      </w:r>
      <w:r>
        <w:rPr>
          <w:spacing w:val="-3"/>
        </w:rPr>
        <w:t> </w:t>
      </w:r>
      <w:r>
        <w:rPr/>
        <w:t>conducted</w:t>
      </w:r>
      <w:r>
        <w:rPr>
          <w:spacing w:val="-3"/>
        </w:rPr>
        <w:t> </w:t>
      </w:r>
      <w:r>
        <w:rPr/>
        <w:t>to</w:t>
      </w:r>
      <w:r>
        <w:rPr>
          <w:spacing w:val="-3"/>
        </w:rPr>
        <w:t> </w:t>
      </w:r>
      <w:r>
        <w:rPr/>
        <w:t>compare the results with the</w:t>
      </w:r>
      <w:r>
        <w:rPr>
          <w:spacing w:val="-3"/>
        </w:rPr>
        <w:t> </w:t>
      </w:r>
      <w:r>
        <w:rPr/>
        <w:t>initial</w:t>
      </w:r>
      <w:r>
        <w:rPr>
          <w:spacing w:val="-3"/>
        </w:rPr>
        <w:t> </w:t>
      </w:r>
      <w:r>
        <w:rPr/>
        <w:t>pre-test</w:t>
      </w:r>
      <w:r>
        <w:rPr>
          <w:spacing w:val="-3"/>
        </w:rPr>
        <w:t> </w:t>
      </w:r>
      <w:r>
        <w:rPr/>
        <w:t>scores.</w:t>
      </w:r>
      <w:r>
        <w:rPr>
          <w:spacing w:val="-3"/>
        </w:rPr>
        <w:t> </w:t>
      </w:r>
      <w:r>
        <w:rPr/>
        <w:t>The</w:t>
      </w:r>
      <w:r>
        <w:rPr>
          <w:spacing w:val="-3"/>
        </w:rPr>
        <w:t> </w:t>
      </w:r>
      <w:r>
        <w:rPr/>
        <w:t>comparison</w:t>
      </w:r>
      <w:r>
        <w:rPr>
          <w:spacing w:val="-3"/>
        </w:rPr>
        <w:t> </w:t>
      </w:r>
      <w:r>
        <w:rPr/>
        <w:t>between</w:t>
      </w:r>
      <w:r>
        <w:rPr>
          <w:spacing w:val="-3"/>
        </w:rPr>
        <w:t> </w:t>
      </w:r>
      <w:r>
        <w:rPr/>
        <w:t>pre-test</w:t>
      </w:r>
      <w:r>
        <w:rPr>
          <w:spacing w:val="-3"/>
        </w:rPr>
        <w:t> </w:t>
      </w:r>
      <w:r>
        <w:rPr/>
        <w:t>and</w:t>
      </w:r>
      <w:r>
        <w:rPr>
          <w:spacing w:val="-3"/>
        </w:rPr>
        <w:t> </w:t>
      </w:r>
      <w:r>
        <w:rPr/>
        <w:t>post-test</w:t>
      </w:r>
      <w:r>
        <w:rPr>
          <w:spacing w:val="-3"/>
        </w:rPr>
        <w:t> </w:t>
      </w:r>
      <w:r>
        <w:rPr/>
        <w:t>SAS scores was used to evaluate the effectiveness of the program in enhancing participants’ understanding, knowledge, and awareness of sexual harassment issues. Data obtained from</w:t>
      </w:r>
      <w:r>
        <w:rPr>
          <w:spacing w:val="40"/>
        </w:rPr>
        <w:t> </w:t>
      </w:r>
      <w:r>
        <w:rPr/>
        <w:t>all three instruments served as the basis for analyzing the program’s outcomes.</w:t>
      </w:r>
    </w:p>
    <w:p>
      <w:pPr>
        <w:pStyle w:val="BodyText"/>
      </w:pPr>
    </w:p>
    <w:p>
      <w:pPr>
        <w:pStyle w:val="BodyText"/>
        <w:spacing w:before="102"/>
      </w:pPr>
    </w:p>
    <w:p>
      <w:pPr>
        <w:pStyle w:val="Heading2"/>
        <w:ind w:left="3768"/>
      </w:pPr>
      <w:r>
        <w:rPr/>
        <w:t>6.0 </w:t>
      </w:r>
      <w:r>
        <w:rPr>
          <w:spacing w:val="-2"/>
        </w:rPr>
        <w:t>FINDINGS</w:t>
      </w:r>
    </w:p>
    <w:p>
      <w:pPr>
        <w:pStyle w:val="BodyText"/>
        <w:rPr>
          <w:b/>
        </w:rPr>
      </w:pPr>
    </w:p>
    <w:p>
      <w:pPr>
        <w:pStyle w:val="BodyText"/>
        <w:spacing w:before="124"/>
        <w:rPr>
          <w:b/>
        </w:rPr>
      </w:pPr>
    </w:p>
    <w:p>
      <w:pPr>
        <w:pStyle w:val="BodyText"/>
        <w:spacing w:after="38"/>
        <w:ind w:left="23"/>
        <w:jc w:val="both"/>
      </w:pPr>
      <w:r>
        <w:rPr/>
        <w:t>Descriptive </w:t>
      </w:r>
      <w:r>
        <w:rPr>
          <w:spacing w:val="-2"/>
        </w:rPr>
        <w:t>Statistics</w:t>
      </w:r>
    </w:p>
    <w:tbl>
      <w:tblPr>
        <w:tblW w:w="0" w:type="auto"/>
        <w:jc w:val="left"/>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00"/>
        <w:gridCol w:w="2060"/>
        <w:gridCol w:w="1840"/>
        <w:gridCol w:w="2420"/>
      </w:tblGrid>
      <w:tr>
        <w:trPr>
          <w:trHeight w:val="300" w:hRule="atLeast"/>
        </w:trPr>
        <w:tc>
          <w:tcPr>
            <w:tcW w:w="2200" w:type="dxa"/>
          </w:tcPr>
          <w:p>
            <w:pPr>
              <w:pStyle w:val="TableParagraph"/>
              <w:spacing w:line="274" w:lineRule="exact"/>
              <w:rPr>
                <w:sz w:val="24"/>
              </w:rPr>
            </w:pPr>
            <w:r>
              <w:rPr>
                <w:spacing w:val="-2"/>
                <w:sz w:val="24"/>
              </w:rPr>
              <w:t>Measures</w:t>
            </w:r>
          </w:p>
        </w:tc>
        <w:tc>
          <w:tcPr>
            <w:tcW w:w="2060" w:type="dxa"/>
          </w:tcPr>
          <w:p>
            <w:pPr>
              <w:pStyle w:val="TableParagraph"/>
              <w:spacing w:line="274" w:lineRule="exact"/>
              <w:ind w:left="99"/>
              <w:rPr>
                <w:sz w:val="24"/>
              </w:rPr>
            </w:pPr>
            <w:r>
              <w:rPr>
                <w:spacing w:val="-10"/>
                <w:sz w:val="24"/>
              </w:rPr>
              <w:t>N</w:t>
            </w:r>
          </w:p>
        </w:tc>
        <w:tc>
          <w:tcPr>
            <w:tcW w:w="1840" w:type="dxa"/>
          </w:tcPr>
          <w:p>
            <w:pPr>
              <w:pStyle w:val="TableParagraph"/>
              <w:spacing w:line="274" w:lineRule="exact"/>
              <w:rPr>
                <w:sz w:val="24"/>
              </w:rPr>
            </w:pPr>
            <w:r>
              <w:rPr>
                <w:spacing w:val="-4"/>
                <w:sz w:val="24"/>
              </w:rPr>
              <w:t>Mean</w:t>
            </w:r>
          </w:p>
        </w:tc>
        <w:tc>
          <w:tcPr>
            <w:tcW w:w="2420" w:type="dxa"/>
          </w:tcPr>
          <w:p>
            <w:pPr>
              <w:pStyle w:val="TableParagraph"/>
              <w:spacing w:line="274" w:lineRule="exact"/>
              <w:ind w:left="99"/>
              <w:rPr>
                <w:sz w:val="24"/>
              </w:rPr>
            </w:pPr>
            <w:r>
              <w:rPr>
                <w:sz w:val="24"/>
              </w:rPr>
              <w:t>Standard </w:t>
            </w:r>
            <w:r>
              <w:rPr>
                <w:spacing w:val="-2"/>
                <w:sz w:val="24"/>
              </w:rPr>
              <w:t>Deviation</w:t>
            </w:r>
          </w:p>
        </w:tc>
      </w:tr>
      <w:tr>
        <w:trPr>
          <w:trHeight w:val="320" w:hRule="atLeast"/>
        </w:trPr>
        <w:tc>
          <w:tcPr>
            <w:tcW w:w="2200" w:type="dxa"/>
          </w:tcPr>
          <w:p>
            <w:pPr>
              <w:pStyle w:val="TableParagraph"/>
              <w:spacing w:before="10"/>
              <w:rPr>
                <w:sz w:val="24"/>
              </w:rPr>
            </w:pPr>
            <w:r>
              <w:rPr>
                <w:sz w:val="24"/>
              </w:rPr>
              <w:t>Pre-</w:t>
            </w:r>
            <w:r>
              <w:rPr>
                <w:spacing w:val="-4"/>
                <w:sz w:val="24"/>
              </w:rPr>
              <w:t>test</w:t>
            </w:r>
          </w:p>
        </w:tc>
        <w:tc>
          <w:tcPr>
            <w:tcW w:w="2060" w:type="dxa"/>
          </w:tcPr>
          <w:p>
            <w:pPr>
              <w:pStyle w:val="TableParagraph"/>
              <w:spacing w:before="10"/>
              <w:ind w:left="99"/>
              <w:rPr>
                <w:sz w:val="24"/>
              </w:rPr>
            </w:pPr>
            <w:r>
              <w:rPr>
                <w:spacing w:val="-5"/>
                <w:sz w:val="24"/>
              </w:rPr>
              <w:t>30</w:t>
            </w:r>
          </w:p>
        </w:tc>
        <w:tc>
          <w:tcPr>
            <w:tcW w:w="1840" w:type="dxa"/>
          </w:tcPr>
          <w:p>
            <w:pPr>
              <w:pStyle w:val="TableParagraph"/>
              <w:spacing w:before="10"/>
              <w:rPr>
                <w:sz w:val="24"/>
              </w:rPr>
            </w:pPr>
            <w:r>
              <w:rPr>
                <w:spacing w:val="-2"/>
                <w:sz w:val="24"/>
              </w:rPr>
              <w:t>23.57</w:t>
            </w:r>
          </w:p>
        </w:tc>
        <w:tc>
          <w:tcPr>
            <w:tcW w:w="2420" w:type="dxa"/>
          </w:tcPr>
          <w:p>
            <w:pPr>
              <w:pStyle w:val="TableParagraph"/>
              <w:spacing w:before="10"/>
              <w:ind w:left="99"/>
              <w:rPr>
                <w:sz w:val="24"/>
              </w:rPr>
            </w:pPr>
            <w:r>
              <w:rPr>
                <w:spacing w:val="-4"/>
                <w:sz w:val="24"/>
              </w:rPr>
              <w:t>6.51</w:t>
            </w:r>
          </w:p>
        </w:tc>
      </w:tr>
      <w:tr>
        <w:trPr>
          <w:trHeight w:val="320" w:hRule="atLeast"/>
        </w:trPr>
        <w:tc>
          <w:tcPr>
            <w:tcW w:w="2200" w:type="dxa"/>
          </w:tcPr>
          <w:p>
            <w:pPr>
              <w:pStyle w:val="TableParagraph"/>
              <w:spacing w:before="3"/>
              <w:rPr>
                <w:sz w:val="24"/>
              </w:rPr>
            </w:pPr>
            <w:r>
              <w:rPr>
                <w:sz w:val="24"/>
              </w:rPr>
              <w:t>Pro-</w:t>
            </w:r>
            <w:r>
              <w:rPr>
                <w:spacing w:val="-4"/>
                <w:sz w:val="24"/>
              </w:rPr>
              <w:t>test</w:t>
            </w:r>
          </w:p>
        </w:tc>
        <w:tc>
          <w:tcPr>
            <w:tcW w:w="2060" w:type="dxa"/>
          </w:tcPr>
          <w:p>
            <w:pPr>
              <w:pStyle w:val="TableParagraph"/>
              <w:spacing w:before="3"/>
              <w:ind w:left="99"/>
              <w:rPr>
                <w:sz w:val="24"/>
              </w:rPr>
            </w:pPr>
            <w:r>
              <w:rPr>
                <w:spacing w:val="-5"/>
                <w:sz w:val="24"/>
              </w:rPr>
              <w:t>30</w:t>
            </w:r>
          </w:p>
        </w:tc>
        <w:tc>
          <w:tcPr>
            <w:tcW w:w="1840" w:type="dxa"/>
          </w:tcPr>
          <w:p>
            <w:pPr>
              <w:pStyle w:val="TableParagraph"/>
              <w:spacing w:before="3"/>
              <w:rPr>
                <w:sz w:val="24"/>
              </w:rPr>
            </w:pPr>
            <w:r>
              <w:rPr>
                <w:spacing w:val="-2"/>
                <w:sz w:val="24"/>
              </w:rPr>
              <w:t>34.00</w:t>
            </w:r>
          </w:p>
        </w:tc>
        <w:tc>
          <w:tcPr>
            <w:tcW w:w="2420" w:type="dxa"/>
          </w:tcPr>
          <w:p>
            <w:pPr>
              <w:pStyle w:val="TableParagraph"/>
              <w:spacing w:before="3"/>
              <w:ind w:left="99"/>
              <w:rPr>
                <w:sz w:val="24"/>
              </w:rPr>
            </w:pPr>
            <w:r>
              <w:rPr>
                <w:spacing w:val="-4"/>
                <w:sz w:val="24"/>
              </w:rPr>
              <w:t>6.37</w:t>
            </w:r>
          </w:p>
        </w:tc>
      </w:tr>
    </w:tbl>
    <w:p>
      <w:pPr>
        <w:pStyle w:val="BodyText"/>
        <w:spacing w:before="36"/>
      </w:pPr>
    </w:p>
    <w:p>
      <w:pPr>
        <w:pStyle w:val="BodyText"/>
        <w:spacing w:after="32"/>
        <w:ind w:left="23"/>
        <w:jc w:val="both"/>
      </w:pPr>
      <w:r>
        <w:rPr/>
        <w:t>Paired</w:t>
      </w:r>
      <w:r>
        <w:rPr>
          <w:spacing w:val="-6"/>
        </w:rPr>
        <w:t> </w:t>
      </w:r>
      <w:r>
        <w:rPr/>
        <w:t>Samples</w:t>
      </w:r>
      <w:r>
        <w:rPr>
          <w:spacing w:val="-6"/>
        </w:rPr>
        <w:t> </w:t>
      </w:r>
      <w:r>
        <w:rPr/>
        <w:t>t-Test</w:t>
      </w:r>
      <w:r>
        <w:rPr>
          <w:spacing w:val="-5"/>
        </w:rPr>
        <w:t> </w:t>
      </w:r>
      <w:r>
        <w:rPr>
          <w:spacing w:val="-2"/>
        </w:rPr>
        <w:t>Result</w:t>
      </w:r>
    </w:p>
    <w:tbl>
      <w:tblPr>
        <w:tblW w:w="0" w:type="auto"/>
        <w:jc w:val="left"/>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80"/>
        <w:gridCol w:w="2480"/>
      </w:tblGrid>
      <w:tr>
        <w:trPr>
          <w:trHeight w:val="319" w:hRule="atLeast"/>
        </w:trPr>
        <w:tc>
          <w:tcPr>
            <w:tcW w:w="4180" w:type="dxa"/>
          </w:tcPr>
          <w:p>
            <w:pPr>
              <w:pStyle w:val="TableParagraph"/>
              <w:spacing w:before="5"/>
              <w:rPr>
                <w:sz w:val="24"/>
              </w:rPr>
            </w:pPr>
            <w:r>
              <w:rPr>
                <w:spacing w:val="-2"/>
                <w:sz w:val="24"/>
              </w:rPr>
              <w:t>Domain</w:t>
            </w:r>
          </w:p>
        </w:tc>
        <w:tc>
          <w:tcPr>
            <w:tcW w:w="2480" w:type="dxa"/>
          </w:tcPr>
          <w:p>
            <w:pPr>
              <w:pStyle w:val="TableParagraph"/>
              <w:spacing w:before="5"/>
              <w:ind w:left="99"/>
              <w:rPr>
                <w:sz w:val="24"/>
              </w:rPr>
            </w:pPr>
            <w:r>
              <w:rPr>
                <w:spacing w:val="-2"/>
                <w:sz w:val="24"/>
              </w:rPr>
              <w:t>Value</w:t>
            </w:r>
          </w:p>
        </w:tc>
      </w:tr>
      <w:tr>
        <w:trPr>
          <w:trHeight w:val="300" w:hRule="atLeast"/>
        </w:trPr>
        <w:tc>
          <w:tcPr>
            <w:tcW w:w="4180" w:type="dxa"/>
          </w:tcPr>
          <w:p>
            <w:pPr>
              <w:pStyle w:val="TableParagraph"/>
              <w:spacing w:line="273" w:lineRule="exact"/>
              <w:rPr>
                <w:sz w:val="24"/>
              </w:rPr>
            </w:pPr>
            <w:r>
              <w:rPr>
                <w:spacing w:val="-10"/>
                <w:sz w:val="24"/>
              </w:rPr>
              <w:t>t</w:t>
            </w:r>
          </w:p>
        </w:tc>
        <w:tc>
          <w:tcPr>
            <w:tcW w:w="2480" w:type="dxa"/>
          </w:tcPr>
          <w:p>
            <w:pPr>
              <w:pStyle w:val="TableParagraph"/>
              <w:spacing w:line="273" w:lineRule="exact"/>
              <w:ind w:left="99"/>
              <w:rPr>
                <w:sz w:val="24"/>
              </w:rPr>
            </w:pPr>
            <w:r>
              <w:rPr>
                <w:sz w:val="24"/>
              </w:rPr>
              <w:t>-</w:t>
            </w:r>
            <w:r>
              <w:rPr>
                <w:spacing w:val="-2"/>
                <w:sz w:val="24"/>
              </w:rPr>
              <w:t>39.284</w:t>
            </w:r>
          </w:p>
        </w:tc>
      </w:tr>
      <w:tr>
        <w:trPr>
          <w:trHeight w:val="319" w:hRule="atLeast"/>
        </w:trPr>
        <w:tc>
          <w:tcPr>
            <w:tcW w:w="4180" w:type="dxa"/>
          </w:tcPr>
          <w:p>
            <w:pPr>
              <w:pStyle w:val="TableParagraph"/>
              <w:spacing w:before="9"/>
              <w:rPr>
                <w:sz w:val="24"/>
              </w:rPr>
            </w:pPr>
            <w:r>
              <w:rPr>
                <w:spacing w:val="-5"/>
                <w:sz w:val="24"/>
              </w:rPr>
              <w:t>df</w:t>
            </w:r>
          </w:p>
        </w:tc>
        <w:tc>
          <w:tcPr>
            <w:tcW w:w="2480" w:type="dxa"/>
          </w:tcPr>
          <w:p>
            <w:pPr>
              <w:pStyle w:val="TableParagraph"/>
              <w:spacing w:before="9"/>
              <w:ind w:left="99"/>
              <w:rPr>
                <w:sz w:val="24"/>
              </w:rPr>
            </w:pPr>
            <w:r>
              <w:rPr>
                <w:spacing w:val="-5"/>
                <w:sz w:val="24"/>
              </w:rPr>
              <w:t>29</w:t>
            </w:r>
          </w:p>
        </w:tc>
      </w:tr>
      <w:tr>
        <w:trPr>
          <w:trHeight w:val="300" w:hRule="atLeast"/>
        </w:trPr>
        <w:tc>
          <w:tcPr>
            <w:tcW w:w="4180" w:type="dxa"/>
          </w:tcPr>
          <w:p>
            <w:pPr>
              <w:pStyle w:val="TableParagraph"/>
              <w:spacing w:before="2"/>
              <w:rPr>
                <w:sz w:val="24"/>
              </w:rPr>
            </w:pPr>
            <w:r>
              <w:rPr>
                <w:sz w:val="24"/>
              </w:rPr>
              <w:t>Sig. (2-</w:t>
            </w:r>
            <w:r>
              <w:rPr>
                <w:spacing w:val="-2"/>
                <w:sz w:val="24"/>
              </w:rPr>
              <w:t>tailed)</w:t>
            </w:r>
          </w:p>
        </w:tc>
        <w:tc>
          <w:tcPr>
            <w:tcW w:w="2480" w:type="dxa"/>
          </w:tcPr>
          <w:p>
            <w:pPr>
              <w:pStyle w:val="TableParagraph"/>
              <w:spacing w:before="2"/>
              <w:ind w:left="99"/>
              <w:rPr>
                <w:sz w:val="24"/>
              </w:rPr>
            </w:pPr>
            <w:r>
              <w:rPr>
                <w:sz w:val="24"/>
              </w:rPr>
              <w:t>&lt; </w:t>
            </w:r>
            <w:r>
              <w:rPr>
                <w:spacing w:val="-4"/>
                <w:sz w:val="24"/>
              </w:rPr>
              <w:t>.001</w:t>
            </w:r>
          </w:p>
        </w:tc>
      </w:tr>
      <w:tr>
        <w:trPr>
          <w:trHeight w:val="319" w:hRule="atLeast"/>
        </w:trPr>
        <w:tc>
          <w:tcPr>
            <w:tcW w:w="4180" w:type="dxa"/>
          </w:tcPr>
          <w:p>
            <w:pPr>
              <w:pStyle w:val="TableParagraph"/>
              <w:spacing w:before="14"/>
              <w:rPr>
                <w:sz w:val="24"/>
              </w:rPr>
            </w:pPr>
            <w:r>
              <w:rPr>
                <w:sz w:val="24"/>
              </w:rPr>
              <w:t>Mean </w:t>
            </w:r>
            <w:r>
              <w:rPr>
                <w:spacing w:val="-2"/>
                <w:sz w:val="24"/>
              </w:rPr>
              <w:t>Difference</w:t>
            </w:r>
          </w:p>
        </w:tc>
        <w:tc>
          <w:tcPr>
            <w:tcW w:w="2480" w:type="dxa"/>
          </w:tcPr>
          <w:p>
            <w:pPr>
              <w:pStyle w:val="TableParagraph"/>
              <w:spacing w:before="14"/>
              <w:ind w:left="99"/>
              <w:rPr>
                <w:sz w:val="24"/>
              </w:rPr>
            </w:pPr>
            <w:r>
              <w:rPr>
                <w:sz w:val="24"/>
              </w:rPr>
              <w:t>-</w:t>
            </w:r>
            <w:r>
              <w:rPr>
                <w:spacing w:val="-2"/>
                <w:sz w:val="24"/>
              </w:rPr>
              <w:t>10.433</w:t>
            </w:r>
          </w:p>
        </w:tc>
      </w:tr>
      <w:tr>
        <w:trPr>
          <w:trHeight w:val="319" w:hRule="atLeast"/>
        </w:trPr>
        <w:tc>
          <w:tcPr>
            <w:tcW w:w="4180" w:type="dxa"/>
          </w:tcPr>
          <w:p>
            <w:pPr>
              <w:pStyle w:val="TableParagraph"/>
              <w:spacing w:before="7"/>
              <w:rPr>
                <w:sz w:val="24"/>
              </w:rPr>
            </w:pPr>
            <w:r>
              <w:rPr>
                <w:sz w:val="24"/>
              </w:rPr>
              <w:t>95% CI </w:t>
            </w:r>
            <w:r>
              <w:rPr>
                <w:spacing w:val="-2"/>
                <w:sz w:val="24"/>
              </w:rPr>
              <w:t>Lower</w:t>
            </w:r>
          </w:p>
        </w:tc>
        <w:tc>
          <w:tcPr>
            <w:tcW w:w="2480" w:type="dxa"/>
          </w:tcPr>
          <w:p>
            <w:pPr>
              <w:pStyle w:val="TableParagraph"/>
              <w:spacing w:before="7"/>
              <w:ind w:left="99"/>
              <w:rPr>
                <w:sz w:val="24"/>
              </w:rPr>
            </w:pPr>
            <w:r>
              <w:rPr>
                <w:sz w:val="24"/>
              </w:rPr>
              <w:t>-</w:t>
            </w:r>
            <w:r>
              <w:rPr>
                <w:spacing w:val="-2"/>
                <w:sz w:val="24"/>
              </w:rPr>
              <w:t>10.977</w:t>
            </w:r>
          </w:p>
        </w:tc>
      </w:tr>
      <w:tr>
        <w:trPr>
          <w:trHeight w:val="300" w:hRule="atLeast"/>
        </w:trPr>
        <w:tc>
          <w:tcPr>
            <w:tcW w:w="4180" w:type="dxa"/>
          </w:tcPr>
          <w:p>
            <w:pPr>
              <w:pStyle w:val="TableParagraph"/>
              <w:spacing w:line="275" w:lineRule="exact"/>
              <w:rPr>
                <w:sz w:val="24"/>
              </w:rPr>
            </w:pPr>
            <w:r>
              <w:rPr>
                <w:sz w:val="24"/>
              </w:rPr>
              <w:t>95% CI </w:t>
            </w:r>
            <w:r>
              <w:rPr>
                <w:spacing w:val="-2"/>
                <w:sz w:val="24"/>
              </w:rPr>
              <w:t>Upper</w:t>
            </w:r>
          </w:p>
        </w:tc>
        <w:tc>
          <w:tcPr>
            <w:tcW w:w="2480" w:type="dxa"/>
          </w:tcPr>
          <w:p>
            <w:pPr>
              <w:pStyle w:val="TableParagraph"/>
              <w:spacing w:line="275" w:lineRule="exact"/>
              <w:ind w:left="99"/>
              <w:rPr>
                <w:sz w:val="24"/>
              </w:rPr>
            </w:pPr>
            <w:r>
              <w:rPr>
                <w:sz w:val="24"/>
              </w:rPr>
              <w:t>-</w:t>
            </w:r>
            <w:r>
              <w:rPr>
                <w:spacing w:val="-2"/>
                <w:sz w:val="24"/>
              </w:rPr>
              <w:t>9.890</w:t>
            </w:r>
          </w:p>
        </w:tc>
      </w:tr>
    </w:tbl>
    <w:p>
      <w:pPr>
        <w:pStyle w:val="BodyText"/>
      </w:pPr>
    </w:p>
    <w:p>
      <w:pPr>
        <w:pStyle w:val="BodyText"/>
      </w:pPr>
    </w:p>
    <w:p>
      <w:pPr>
        <w:pStyle w:val="BodyText"/>
        <w:spacing w:before="156"/>
      </w:pPr>
    </w:p>
    <w:p>
      <w:pPr>
        <w:pStyle w:val="BodyText"/>
        <w:spacing w:line="360" w:lineRule="auto"/>
        <w:ind w:left="23" w:right="460" w:firstLine="720"/>
        <w:jc w:val="both"/>
      </w:pPr>
      <w:bookmarkStart w:name=" " w:id="3"/>
      <w:bookmarkEnd w:id="3"/>
      <w:r>
        <w:rPr/>
      </w:r>
      <w:r>
        <w:rPr/>
        <w:t>To evaluate the effectiveness</w:t>
      </w:r>
      <w:r>
        <w:rPr>
          <w:spacing w:val="-4"/>
        </w:rPr>
        <w:t> </w:t>
      </w:r>
      <w:r>
        <w:rPr/>
        <w:t>of</w:t>
      </w:r>
      <w:r>
        <w:rPr>
          <w:spacing w:val="-4"/>
        </w:rPr>
        <w:t> </w:t>
      </w:r>
      <w:r>
        <w:rPr/>
        <w:t>the</w:t>
      </w:r>
      <w:r>
        <w:rPr>
          <w:spacing w:val="-4"/>
        </w:rPr>
        <w:t> </w:t>
      </w:r>
      <w:r>
        <w:rPr/>
        <w:t>early</w:t>
      </w:r>
      <w:r>
        <w:rPr>
          <w:spacing w:val="-4"/>
        </w:rPr>
        <w:t> </w:t>
      </w:r>
      <w:r>
        <w:rPr/>
        <w:t>awareness</w:t>
      </w:r>
      <w:r>
        <w:rPr>
          <w:spacing w:val="-4"/>
        </w:rPr>
        <w:t> </w:t>
      </w:r>
      <w:r>
        <w:rPr/>
        <w:t>programme</w:t>
      </w:r>
      <w:r>
        <w:rPr>
          <w:spacing w:val="-4"/>
        </w:rPr>
        <w:t> </w:t>
      </w:r>
      <w:r>
        <w:rPr/>
        <w:t>on</w:t>
      </w:r>
      <w:r>
        <w:rPr>
          <w:spacing w:val="-4"/>
        </w:rPr>
        <w:t> </w:t>
      </w:r>
      <w:r>
        <w:rPr/>
        <w:t>sexual</w:t>
      </w:r>
      <w:r>
        <w:rPr>
          <w:spacing w:val="-4"/>
        </w:rPr>
        <w:t> </w:t>
      </w:r>
      <w:r>
        <w:rPr/>
        <w:t>harassment issues,</w:t>
      </w:r>
      <w:r>
        <w:rPr>
          <w:spacing w:val="-4"/>
        </w:rPr>
        <w:t> </w:t>
      </w:r>
      <w:r>
        <w:rPr/>
        <w:t>comparative</w:t>
      </w:r>
      <w:r>
        <w:rPr>
          <w:spacing w:val="-4"/>
        </w:rPr>
        <w:t> </w:t>
      </w:r>
      <w:r>
        <w:rPr/>
        <w:t>analysis</w:t>
      </w:r>
      <w:r>
        <w:rPr>
          <w:spacing w:val="-4"/>
        </w:rPr>
        <w:t> </w:t>
      </w:r>
      <w:r>
        <w:rPr/>
        <w:t>was</w:t>
      </w:r>
      <w:r>
        <w:rPr>
          <w:spacing w:val="-4"/>
        </w:rPr>
        <w:t> </w:t>
      </w:r>
      <w:r>
        <w:rPr/>
        <w:t>conducted</w:t>
      </w:r>
      <w:r>
        <w:rPr>
          <w:spacing w:val="-4"/>
        </w:rPr>
        <w:t> </w:t>
      </w:r>
      <w:r>
        <w:rPr/>
        <w:t>only</w:t>
      </w:r>
      <w:r>
        <w:rPr>
          <w:spacing w:val="-4"/>
        </w:rPr>
        <w:t> </w:t>
      </w:r>
      <w:r>
        <w:rPr/>
        <w:t>on</w:t>
      </w:r>
      <w:r>
        <w:rPr>
          <w:spacing w:val="-4"/>
        </w:rPr>
        <w:t> </w:t>
      </w:r>
      <w:r>
        <w:rPr/>
        <w:t>the</w:t>
      </w:r>
      <w:r>
        <w:rPr>
          <w:spacing w:val="-4"/>
        </w:rPr>
        <w:t> </w:t>
      </w:r>
      <w:r>
        <w:rPr/>
        <w:t>Sexual</w:t>
      </w:r>
      <w:r>
        <w:rPr>
          <w:spacing w:val="-4"/>
        </w:rPr>
        <w:t> </w:t>
      </w:r>
      <w:r>
        <w:rPr/>
        <w:t>Assessment</w:t>
      </w:r>
      <w:r>
        <w:rPr>
          <w:spacing w:val="-4"/>
        </w:rPr>
        <w:t> </w:t>
      </w:r>
      <w:r>
        <w:rPr/>
        <w:t>Scale</w:t>
      </w:r>
      <w:r>
        <w:rPr>
          <w:spacing w:val="-4"/>
        </w:rPr>
        <w:t> </w:t>
      </w:r>
      <w:r>
        <w:rPr/>
        <w:t>(SAS).</w:t>
      </w:r>
      <w:r>
        <w:rPr>
          <w:spacing w:val="-4"/>
        </w:rPr>
        <w:t> </w:t>
      </w:r>
      <w:r>
        <w:rPr/>
        <w:t>This is because the SAS was the only instrument</w:t>
      </w:r>
      <w:r>
        <w:rPr>
          <w:spacing w:val="-2"/>
        </w:rPr>
        <w:t> </w:t>
      </w:r>
      <w:r>
        <w:rPr/>
        <w:t>administered</w:t>
      </w:r>
      <w:r>
        <w:rPr>
          <w:spacing w:val="-2"/>
        </w:rPr>
        <w:t> </w:t>
      </w:r>
      <w:r>
        <w:rPr/>
        <w:t>to</w:t>
      </w:r>
      <w:r>
        <w:rPr>
          <w:spacing w:val="-2"/>
        </w:rPr>
        <w:t> </w:t>
      </w:r>
      <w:r>
        <w:rPr/>
        <w:t>participants</w:t>
      </w:r>
      <w:r>
        <w:rPr>
          <w:spacing w:val="-2"/>
        </w:rPr>
        <w:t> </w:t>
      </w:r>
      <w:r>
        <w:rPr/>
        <w:t>twice,</w:t>
      </w:r>
      <w:r>
        <w:rPr>
          <w:spacing w:val="-2"/>
        </w:rPr>
        <w:t> </w:t>
      </w:r>
      <w:r>
        <w:rPr/>
        <w:t>namely</w:t>
      </w:r>
      <w:r>
        <w:rPr>
          <w:spacing w:val="-2"/>
        </w:rPr>
        <w:t> </w:t>
      </w:r>
      <w:r>
        <w:rPr/>
        <w:t>at</w:t>
      </w:r>
      <w:r>
        <w:rPr>
          <w:spacing w:val="-2"/>
        </w:rPr>
        <w:t> </w:t>
      </w:r>
      <w:r>
        <w:rPr/>
        <w:t>the beginning of the programme as a pre-test and</w:t>
      </w:r>
      <w:r>
        <w:rPr>
          <w:spacing w:val="-2"/>
        </w:rPr>
        <w:t> </w:t>
      </w:r>
      <w:r>
        <w:rPr/>
        <w:t>at</w:t>
      </w:r>
      <w:r>
        <w:rPr>
          <w:spacing w:val="-2"/>
        </w:rPr>
        <w:t> </w:t>
      </w:r>
      <w:r>
        <w:rPr/>
        <w:t>the</w:t>
      </w:r>
      <w:r>
        <w:rPr>
          <w:spacing w:val="-2"/>
        </w:rPr>
        <w:t> </w:t>
      </w:r>
      <w:r>
        <w:rPr/>
        <w:t>end</w:t>
      </w:r>
      <w:r>
        <w:rPr>
          <w:spacing w:val="-2"/>
        </w:rPr>
        <w:t> </w:t>
      </w:r>
      <w:r>
        <w:rPr/>
        <w:t>of</w:t>
      </w:r>
      <w:r>
        <w:rPr>
          <w:spacing w:val="-2"/>
        </w:rPr>
        <w:t> </w:t>
      </w:r>
      <w:r>
        <w:rPr/>
        <w:t>the</w:t>
      </w:r>
      <w:r>
        <w:rPr>
          <w:spacing w:val="-2"/>
        </w:rPr>
        <w:t> </w:t>
      </w:r>
      <w:r>
        <w:rPr/>
        <w:t>programme</w:t>
      </w:r>
      <w:r>
        <w:rPr>
          <w:spacing w:val="-2"/>
        </w:rPr>
        <w:t> </w:t>
      </w:r>
      <w:r>
        <w:rPr/>
        <w:t>as</w:t>
      </w:r>
      <w:r>
        <w:rPr>
          <w:spacing w:val="-2"/>
        </w:rPr>
        <w:t> </w:t>
      </w:r>
      <w:r>
        <w:rPr/>
        <w:t>a</w:t>
      </w:r>
      <w:r>
        <w:rPr>
          <w:spacing w:val="-2"/>
        </w:rPr>
        <w:t> </w:t>
      </w:r>
      <w:r>
        <w:rPr/>
        <w:t>post-test.</w:t>
      </w:r>
      <w:r>
        <w:rPr>
          <w:spacing w:val="-2"/>
        </w:rPr>
        <w:t> </w:t>
      </w:r>
      <w:r>
        <w:rPr/>
        <w:t>The use of the same instrument before and after the programme enabled changes in participants’ understanding and awareness to be assessed more accurately.</w:t>
      </w:r>
    </w:p>
    <w:p>
      <w:pPr>
        <w:pStyle w:val="BodyText"/>
        <w:spacing w:after="0" w:line="360" w:lineRule="auto"/>
        <w:jc w:val="both"/>
        <w:sectPr>
          <w:pgSz w:w="11920" w:h="16840"/>
          <w:pgMar w:top="1380" w:bottom="280" w:left="1417" w:right="992"/>
        </w:sectPr>
      </w:pPr>
    </w:p>
    <w:p>
      <w:pPr>
        <w:pStyle w:val="BodyText"/>
        <w:spacing w:line="360" w:lineRule="auto" w:before="60"/>
        <w:ind w:left="23" w:right="466" w:firstLine="720"/>
        <w:jc w:val="both"/>
      </w:pPr>
      <w:r>
        <w:rPr/>
        <w:t>A total of 30 participants completed the SAS before the programme </w:t>
      </w:r>
      <w:r>
        <w:rPr/>
        <w:t>commenced through a Google Form provided by the organisers. The pre-test scores offered an initial overview of participants’ knowledge and awareness regarding sexual issues and sexual harassment prior to receiving information and exposure through the programme activities. Upon completion of all awareness activities, participants completed the SAS</w:t>
      </w:r>
      <w:r>
        <w:rPr>
          <w:spacing w:val="-2"/>
        </w:rPr>
        <w:t> </w:t>
      </w:r>
      <w:r>
        <w:rPr/>
        <w:t>once</w:t>
      </w:r>
      <w:r>
        <w:rPr>
          <w:spacing w:val="-2"/>
        </w:rPr>
        <w:t> </w:t>
      </w:r>
      <w:r>
        <w:rPr/>
        <w:t>again</w:t>
      </w:r>
      <w:r>
        <w:rPr>
          <w:spacing w:val="-2"/>
        </w:rPr>
        <w:t> </w:t>
      </w:r>
      <w:r>
        <w:rPr/>
        <w:t>as</w:t>
      </w:r>
      <w:r>
        <w:rPr>
          <w:spacing w:val="-2"/>
        </w:rPr>
        <w:t> </w:t>
      </w:r>
      <w:r>
        <w:rPr/>
        <w:t>a post-test to determine changes in their understanding after participating in the programme.</w:t>
      </w:r>
    </w:p>
    <w:p>
      <w:pPr>
        <w:pStyle w:val="BodyText"/>
        <w:spacing w:line="360" w:lineRule="auto" w:before="240"/>
        <w:ind w:left="23" w:right="460" w:firstLine="720"/>
        <w:jc w:val="both"/>
      </w:pPr>
      <w:r>
        <w:rPr/>
        <w:t>Based on the descriptive statistical analysis,</w:t>
      </w:r>
      <w:r>
        <w:rPr>
          <w:spacing w:val="-2"/>
        </w:rPr>
        <w:t> </w:t>
      </w:r>
      <w:r>
        <w:rPr/>
        <w:t>the</w:t>
      </w:r>
      <w:r>
        <w:rPr>
          <w:spacing w:val="-2"/>
        </w:rPr>
        <w:t> </w:t>
      </w:r>
      <w:r>
        <w:rPr/>
        <w:t>mean</w:t>
      </w:r>
      <w:r>
        <w:rPr>
          <w:spacing w:val="-2"/>
        </w:rPr>
        <w:t> </w:t>
      </w:r>
      <w:r>
        <w:rPr/>
        <w:t>score</w:t>
      </w:r>
      <w:r>
        <w:rPr>
          <w:spacing w:val="-2"/>
        </w:rPr>
        <w:t> </w:t>
      </w:r>
      <w:r>
        <w:rPr/>
        <w:t>for</w:t>
      </w:r>
      <w:r>
        <w:rPr>
          <w:spacing w:val="-2"/>
        </w:rPr>
        <w:t> </w:t>
      </w:r>
      <w:r>
        <w:rPr/>
        <w:t>the</w:t>
      </w:r>
      <w:r>
        <w:rPr>
          <w:spacing w:val="-2"/>
        </w:rPr>
        <w:t> </w:t>
      </w:r>
      <w:r>
        <w:rPr/>
        <w:t>pre-test</w:t>
      </w:r>
      <w:r>
        <w:rPr>
          <w:spacing w:val="-2"/>
        </w:rPr>
        <w:t> </w:t>
      </w:r>
      <w:r>
        <w:rPr/>
        <w:t>was</w:t>
      </w:r>
      <w:r>
        <w:rPr>
          <w:spacing w:val="-2"/>
        </w:rPr>
        <w:t> </w:t>
      </w:r>
      <w:r>
        <w:rPr/>
        <w:t>23.57 (SD = 6.51), while the mean</w:t>
      </w:r>
      <w:r>
        <w:rPr>
          <w:spacing w:val="-2"/>
        </w:rPr>
        <w:t> </w:t>
      </w:r>
      <w:r>
        <w:rPr/>
        <w:t>score</w:t>
      </w:r>
      <w:r>
        <w:rPr>
          <w:spacing w:val="-2"/>
        </w:rPr>
        <w:t> </w:t>
      </w:r>
      <w:r>
        <w:rPr/>
        <w:t>for</w:t>
      </w:r>
      <w:r>
        <w:rPr>
          <w:spacing w:val="-2"/>
        </w:rPr>
        <w:t> </w:t>
      </w:r>
      <w:r>
        <w:rPr/>
        <w:t>the</w:t>
      </w:r>
      <w:r>
        <w:rPr>
          <w:spacing w:val="-2"/>
        </w:rPr>
        <w:t> </w:t>
      </w:r>
      <w:r>
        <w:rPr/>
        <w:t>post-test</w:t>
      </w:r>
      <w:r>
        <w:rPr>
          <w:spacing w:val="-2"/>
        </w:rPr>
        <w:t> </w:t>
      </w:r>
      <w:r>
        <w:rPr/>
        <w:t>increased</w:t>
      </w:r>
      <w:r>
        <w:rPr>
          <w:spacing w:val="-2"/>
        </w:rPr>
        <w:t> </w:t>
      </w:r>
      <w:r>
        <w:rPr/>
        <w:t>to</w:t>
      </w:r>
      <w:r>
        <w:rPr>
          <w:spacing w:val="-2"/>
        </w:rPr>
        <w:t> </w:t>
      </w:r>
      <w:r>
        <w:rPr/>
        <w:t>34.00</w:t>
      </w:r>
      <w:r>
        <w:rPr>
          <w:spacing w:val="-2"/>
        </w:rPr>
        <w:t> </w:t>
      </w:r>
      <w:r>
        <w:rPr/>
        <w:t>(SD</w:t>
      </w:r>
      <w:r>
        <w:rPr>
          <w:spacing w:val="-2"/>
        </w:rPr>
        <w:t> </w:t>
      </w:r>
      <w:r>
        <w:rPr/>
        <w:t>=</w:t>
      </w:r>
      <w:r>
        <w:rPr>
          <w:spacing w:val="-2"/>
        </w:rPr>
        <w:t> </w:t>
      </w:r>
      <w:r>
        <w:rPr/>
        <w:t>6.37).</w:t>
      </w:r>
      <w:r>
        <w:rPr>
          <w:spacing w:val="-2"/>
        </w:rPr>
        <w:t> </w:t>
      </w:r>
      <w:r>
        <w:rPr/>
        <w:t>The</w:t>
      </w:r>
      <w:r>
        <w:rPr>
          <w:spacing w:val="-2"/>
        </w:rPr>
        <w:t> </w:t>
      </w:r>
      <w:r>
        <w:rPr/>
        <w:t>mean difference of 10.43 points indicates that participants demonstrated an improvement in their scores after attending the programme. This increase suggests that participants developed a better understanding of sexual harassment issues following the information sessions, educational activities, and awareness-related interventions conducted throughout the </w:t>
      </w:r>
      <w:r>
        <w:rPr>
          <w:spacing w:val="-2"/>
        </w:rPr>
        <w:t>programme.</w:t>
      </w:r>
    </w:p>
    <w:p>
      <w:pPr>
        <w:pStyle w:val="BodyText"/>
        <w:spacing w:line="360" w:lineRule="auto" w:before="240"/>
        <w:ind w:left="23" w:right="462" w:firstLine="720"/>
        <w:jc w:val="both"/>
      </w:pPr>
      <w:r>
        <w:rPr/>
        <w:t>Furthermore, the Paired Samples </w:t>
      </w:r>
      <w:r>
        <w:rPr>
          <w:i/>
        </w:rPr>
        <w:t>t</w:t>
      </w:r>
      <w:r>
        <w:rPr/>
        <w:t>-test revealed a statistically significant difference between the pre-test and post-test scores, </w:t>
      </w:r>
      <w:r>
        <w:rPr>
          <w:i/>
        </w:rPr>
        <w:t>t</w:t>
      </w:r>
      <w:r>
        <w:rPr/>
        <w:t>(29) = -39.284, </w:t>
      </w:r>
      <w:r>
        <w:rPr>
          <w:i/>
        </w:rPr>
        <w:t>p </w:t>
      </w:r>
      <w:r>
        <w:rPr/>
        <w:t>&lt; .001. These findings indicate that the observed improvement in scores was unlikely to have occurred by chance </w:t>
      </w:r>
      <w:r>
        <w:rPr/>
        <w:t>and</w:t>
      </w:r>
      <w:r>
        <w:rPr>
          <w:spacing w:val="40"/>
        </w:rPr>
        <w:t> </w:t>
      </w:r>
      <w:r>
        <w:rPr/>
        <w:t>provide evidence that the programme was effective in</w:t>
      </w:r>
      <w:r>
        <w:rPr>
          <w:spacing w:val="-4"/>
        </w:rPr>
        <w:t> </w:t>
      </w:r>
      <w:r>
        <w:rPr/>
        <w:t>enhancing</w:t>
      </w:r>
      <w:r>
        <w:rPr>
          <w:spacing w:val="-4"/>
        </w:rPr>
        <w:t> </w:t>
      </w:r>
      <w:r>
        <w:rPr/>
        <w:t>participants’</w:t>
      </w:r>
      <w:r>
        <w:rPr>
          <w:spacing w:val="-4"/>
        </w:rPr>
        <w:t> </w:t>
      </w:r>
      <w:r>
        <w:rPr/>
        <w:t>awareness</w:t>
      </w:r>
      <w:r>
        <w:rPr>
          <w:spacing w:val="-4"/>
        </w:rPr>
        <w:t> </w:t>
      </w:r>
      <w:r>
        <w:rPr/>
        <w:t>and understanding of sexual harassment issues.</w:t>
      </w:r>
    </w:p>
    <w:p>
      <w:pPr>
        <w:pStyle w:val="BodyText"/>
        <w:spacing w:line="360" w:lineRule="auto" w:before="240"/>
        <w:ind w:left="23" w:right="461" w:firstLine="720"/>
        <w:jc w:val="both"/>
      </w:pPr>
      <w:r>
        <w:rPr/>
        <w:t>Although the Sexual Harassment Quiz and the Sexual Awareness Questionnaire (SAQ) were also utilised during the programme, these instruments were not included in the pre-test and post-test comparison because they were administered only once to </w:t>
      </w:r>
      <w:r>
        <w:rPr/>
        <w:t>participants. Therefore, both instruments served as supplementary assessment tools to identify</w:t>
      </w:r>
      <w:r>
        <w:rPr>
          <w:spacing w:val="40"/>
        </w:rPr>
        <w:t> </w:t>
      </w:r>
      <w:r>
        <w:rPr/>
        <w:t>participants’ level of understanding following the activities, whereas the SAS functioned as the primary instrument for evaluating the overall effectiveness of the programme.</w:t>
      </w:r>
    </w:p>
    <w:p>
      <w:pPr>
        <w:pStyle w:val="BodyText"/>
        <w:spacing w:after="0" w:line="360" w:lineRule="auto"/>
        <w:jc w:val="both"/>
        <w:sectPr>
          <w:pgSz w:w="11920" w:h="16840"/>
          <w:pgMar w:top="1380" w:bottom="280" w:left="1417" w:right="992"/>
        </w:sectPr>
      </w:pPr>
    </w:p>
    <w:p>
      <w:pPr>
        <w:pStyle w:val="Heading3"/>
        <w:numPr>
          <w:ilvl w:val="0"/>
          <w:numId w:val="5"/>
        </w:numPr>
        <w:tabs>
          <w:tab w:pos="263" w:val="left" w:leader="none"/>
        </w:tabs>
        <w:spacing w:line="240" w:lineRule="auto" w:before="60" w:after="0"/>
        <w:ind w:left="263" w:right="0" w:hanging="240"/>
        <w:jc w:val="left"/>
      </w:pPr>
      <w:r>
        <w:rPr/>
        <w:drawing>
          <wp:anchor distT="0" distB="0" distL="0" distR="0" allowOverlap="1" layoutInCell="1" locked="0" behindDoc="1" simplePos="0" relativeHeight="487115776">
            <wp:simplePos x="0" y="0"/>
            <wp:positionH relativeFrom="page">
              <wp:posOffset>1156208</wp:posOffset>
            </wp:positionH>
            <wp:positionV relativeFrom="paragraph">
              <wp:posOffset>665754</wp:posOffset>
            </wp:positionV>
            <wp:extent cx="4125728" cy="1963102"/>
            <wp:effectExtent l="0" t="0" r="0" b="0"/>
            <wp:wrapNone/>
            <wp:docPr id="1" name="Image 1" descr="Forms response chart. Question title: Jantina. Number of responses: 38 responses."/>
            <wp:cNvGraphicFramePr>
              <a:graphicFrameLocks/>
            </wp:cNvGraphicFramePr>
            <a:graphic>
              <a:graphicData uri="http://schemas.openxmlformats.org/drawingml/2006/picture">
                <pic:pic>
                  <pic:nvPicPr>
                    <pic:cNvPr id="1" name="Image 1" descr="Forms response chart. Question title: Jantina. Number of responses: 38 responses."/>
                    <pic:cNvPicPr/>
                  </pic:nvPicPr>
                  <pic:blipFill>
                    <a:blip r:embed="rId6" cstate="print"/>
                    <a:stretch>
                      <a:fillRect/>
                    </a:stretch>
                  </pic:blipFill>
                  <pic:spPr>
                    <a:xfrm>
                      <a:off x="0" y="0"/>
                      <a:ext cx="4125728" cy="1963102"/>
                    </a:xfrm>
                    <a:prstGeom prst="rect">
                      <a:avLst/>
                    </a:prstGeom>
                  </pic:spPr>
                </pic:pic>
              </a:graphicData>
            </a:graphic>
          </wp:anchor>
        </w:drawing>
      </w:r>
      <w:r>
        <w:rPr/>
        <w:t>Sexual</w:t>
      </w:r>
      <w:r>
        <w:rPr>
          <w:spacing w:val="-12"/>
        </w:rPr>
        <w:t> </w:t>
      </w:r>
      <w:r>
        <w:rPr/>
        <w:t>Awareness</w:t>
      </w:r>
      <w:r>
        <w:rPr>
          <w:spacing w:val="-9"/>
        </w:rPr>
        <w:t> </w:t>
      </w:r>
      <w:r>
        <w:rPr/>
        <w:t>Questionnaire</w:t>
      </w:r>
      <w:r>
        <w:rPr>
          <w:spacing w:val="-9"/>
        </w:rPr>
        <w:t> </w:t>
      </w:r>
      <w:r>
        <w:rPr>
          <w:spacing w:val="-2"/>
        </w:rPr>
        <w:t>(SAQ)</w:t>
      </w:r>
    </w:p>
    <w:p>
      <w:pPr>
        <w:pStyle w:val="BodyText"/>
        <w:spacing w:before="41"/>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933450</wp:posOffset>
                </wp:positionH>
                <wp:positionV relativeFrom="paragraph">
                  <wp:posOffset>202505</wp:posOffset>
                </wp:positionV>
                <wp:extent cx="5905500" cy="252412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5905500" cy="2524125"/>
                        </a:xfrm>
                        <a:custGeom>
                          <a:avLst/>
                          <a:gdLst/>
                          <a:ahLst/>
                          <a:cxnLst/>
                          <a:rect l="l" t="t" r="r" b="b"/>
                          <a:pathLst>
                            <a:path w="5905500" h="2524125">
                              <a:moveTo>
                                <a:pt x="0" y="14287"/>
                              </a:moveTo>
                              <a:lnTo>
                                <a:pt x="5891212" y="14287"/>
                              </a:lnTo>
                            </a:path>
                            <a:path w="5905500" h="2524125">
                              <a:moveTo>
                                <a:pt x="5891212" y="0"/>
                              </a:moveTo>
                              <a:lnTo>
                                <a:pt x="5891212" y="2509837"/>
                              </a:lnTo>
                            </a:path>
                            <a:path w="5905500" h="2524125">
                              <a:moveTo>
                                <a:pt x="5905500" y="2509837"/>
                              </a:moveTo>
                              <a:lnTo>
                                <a:pt x="14287" y="2509837"/>
                              </a:lnTo>
                            </a:path>
                            <a:path w="5905500" h="2524125">
                              <a:moveTo>
                                <a:pt x="14287" y="2524125"/>
                              </a:moveTo>
                              <a:lnTo>
                                <a:pt x="14287" y="14287"/>
                              </a:lnTo>
                            </a:path>
                          </a:pathLst>
                        </a:custGeom>
                        <a:ln w="28575">
                          <a:solidFill>
                            <a:srgbClr val="F7FAFD"/>
                          </a:solidFill>
                          <a:prstDash val="solid"/>
                        </a:ln>
                      </wps:spPr>
                      <wps:bodyPr wrap="square" lIns="0" tIns="0" rIns="0" bIns="0" rtlCol="0">
                        <a:prstTxWarp prst="textNoShape">
                          <a:avLst/>
                        </a:prstTxWarp>
                        <a:noAutofit/>
                      </wps:bodyPr>
                    </wps:wsp>
                  </a:graphicData>
                </a:graphic>
              </wp:anchor>
            </w:drawing>
          </mc:Choice>
          <mc:Fallback>
            <w:pict>
              <v:shape style="position:absolute;margin-left:73.5pt;margin-top:15.945312pt;width:465pt;height:198.75pt;mso-position-horizontal-relative:page;mso-position-vertical-relative:paragraph;z-index:-15728640;mso-wrap-distance-left:0;mso-wrap-distance-right:0" id="docshape1" coordorigin="1470,319" coordsize="9300,3975" path="m1470,341l10748,341m10748,319l10748,4271m10770,4271l1493,4271m1493,4294l1493,341e" filled="false" stroked="true" strokeweight="2.25pt" strokecolor="#f7fafd">
                <v:path arrowok="t"/>
                <v:stroke dashstyle="solid"/>
                <w10:wrap type="topAndBottom"/>
              </v:shape>
            </w:pict>
          </mc:Fallback>
        </mc:AlternateContent>
      </w:r>
    </w:p>
    <w:p>
      <w:pPr>
        <w:pStyle w:val="BodyText"/>
        <w:rPr>
          <w:b/>
          <w:sz w:val="20"/>
        </w:rPr>
      </w:pPr>
    </w:p>
    <w:p>
      <w:pPr>
        <w:pStyle w:val="BodyText"/>
        <w:rPr>
          <w:b/>
          <w:sz w:val="20"/>
        </w:rPr>
      </w:pPr>
    </w:p>
    <w:p>
      <w:pPr>
        <w:pStyle w:val="BodyText"/>
        <w:spacing w:before="7"/>
        <w:rPr>
          <w:b/>
          <w:sz w:val="20"/>
        </w:rPr>
      </w:pPr>
      <w:r>
        <w:rPr>
          <w:b/>
          <w:sz w:val="20"/>
        </w:rPr>
        <w:drawing>
          <wp:anchor distT="0" distB="0" distL="0" distR="0" allowOverlap="1" layoutInCell="1" locked="0" behindDoc="1" simplePos="0" relativeHeight="487588352">
            <wp:simplePos x="0" y="0"/>
            <wp:positionH relativeFrom="page">
              <wp:posOffset>1130796</wp:posOffset>
            </wp:positionH>
            <wp:positionV relativeFrom="paragraph">
              <wp:posOffset>166347</wp:posOffset>
            </wp:positionV>
            <wp:extent cx="4490893" cy="2025586"/>
            <wp:effectExtent l="0" t="0" r="0" b="0"/>
            <wp:wrapTopAndBottom/>
            <wp:docPr id="3" name="Image 3" descr="Forms response chart. Question title: Umur. Number of responses: 39 responses."/>
            <wp:cNvGraphicFramePr>
              <a:graphicFrameLocks/>
            </wp:cNvGraphicFramePr>
            <a:graphic>
              <a:graphicData uri="http://schemas.openxmlformats.org/drawingml/2006/picture">
                <pic:pic>
                  <pic:nvPicPr>
                    <pic:cNvPr id="3" name="Image 3" descr="Forms response chart. Question title: Umur. Number of responses: 39 responses."/>
                    <pic:cNvPicPr/>
                  </pic:nvPicPr>
                  <pic:blipFill>
                    <a:blip r:embed="rId7" cstate="print"/>
                    <a:stretch>
                      <a:fillRect/>
                    </a:stretch>
                  </pic:blipFill>
                  <pic:spPr>
                    <a:xfrm>
                      <a:off x="0" y="0"/>
                      <a:ext cx="4490893" cy="2025586"/>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160"/>
        <w:rPr>
          <w:b/>
          <w:sz w:val="20"/>
        </w:rPr>
      </w:pPr>
      <w:r>
        <w:rPr>
          <w:b/>
          <w:sz w:val="20"/>
        </w:rPr>
        <w:drawing>
          <wp:anchor distT="0" distB="0" distL="0" distR="0" allowOverlap="1" layoutInCell="1" locked="0" behindDoc="1" simplePos="0" relativeHeight="487588864">
            <wp:simplePos x="0" y="0"/>
            <wp:positionH relativeFrom="page">
              <wp:posOffset>1130796</wp:posOffset>
            </wp:positionH>
            <wp:positionV relativeFrom="paragraph">
              <wp:posOffset>263224</wp:posOffset>
            </wp:positionV>
            <wp:extent cx="5653385" cy="2111692"/>
            <wp:effectExtent l="0" t="0" r="0" b="0"/>
            <wp:wrapTopAndBottom/>
            <wp:docPr id="4" name="Image 4" descr="Forms response chart. Question title: 1. I am very aware of my sexual feelings.. Number of responses: 39 responses."/>
            <wp:cNvGraphicFramePr>
              <a:graphicFrameLocks/>
            </wp:cNvGraphicFramePr>
            <a:graphic>
              <a:graphicData uri="http://schemas.openxmlformats.org/drawingml/2006/picture">
                <pic:pic>
                  <pic:nvPicPr>
                    <pic:cNvPr id="4" name="Image 4" descr="Forms response chart. Question title: 1. I am very aware of my sexual feelings.. Number of responses: 39 responses."/>
                    <pic:cNvPicPr/>
                  </pic:nvPicPr>
                  <pic:blipFill>
                    <a:blip r:embed="rId8"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38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5" name="Image 5" descr="Forms response chart. Question title: 2. I wonder whether others think I’m sexy.. Number of responses: 39 responses."/>
            <wp:cNvGraphicFramePr>
              <a:graphicFrameLocks/>
            </wp:cNvGraphicFramePr>
            <a:graphic>
              <a:graphicData uri="http://schemas.openxmlformats.org/drawingml/2006/picture">
                <pic:pic>
                  <pic:nvPicPr>
                    <pic:cNvPr id="5" name="Image 5" descr="Forms response chart. Question title: 2. I wonder whether others think I’m sexy.. Number of responses: 39 responses."/>
                    <pic:cNvPicPr/>
                  </pic:nvPicPr>
                  <pic:blipFill>
                    <a:blip r:embed="rId9"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89888">
            <wp:simplePos x="0" y="0"/>
            <wp:positionH relativeFrom="page">
              <wp:posOffset>1130796</wp:posOffset>
            </wp:positionH>
            <wp:positionV relativeFrom="paragraph">
              <wp:posOffset>218827</wp:posOffset>
            </wp:positionV>
            <wp:extent cx="5653385" cy="2111692"/>
            <wp:effectExtent l="0" t="0" r="0" b="0"/>
            <wp:wrapTopAndBottom/>
            <wp:docPr id="6" name="Image 6" descr="Forms response chart. Question title: 3. I’m assertive about the sexual aspects of my life.. Number of responses: 39 responses."/>
            <wp:cNvGraphicFramePr>
              <a:graphicFrameLocks/>
            </wp:cNvGraphicFramePr>
            <a:graphic>
              <a:graphicData uri="http://schemas.openxmlformats.org/drawingml/2006/picture">
                <pic:pic>
                  <pic:nvPicPr>
                    <pic:cNvPr id="6" name="Image 6" descr="Forms response chart. Question title: 3. I’m assertive about the sexual aspects of my life.. Number of responses: 39 responses."/>
                    <pic:cNvPicPr/>
                  </pic:nvPicPr>
                  <pic:blipFill>
                    <a:blip r:embed="rId10"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59" w:right="0" w:firstLine="0"/>
        <w:rPr>
          <w:sz w:val="20"/>
        </w:rPr>
      </w:pPr>
      <w:r>
        <w:rPr>
          <w:sz w:val="20"/>
        </w:rPr>
        <w:drawing>
          <wp:inline distT="0" distB="0" distL="0" distR="0">
            <wp:extent cx="5656240" cy="2111692"/>
            <wp:effectExtent l="0" t="0" r="0" b="0"/>
            <wp:docPr id="7" name="Image 7" descr="Forms response chart. Question title: 4. I’m very aware of my sexual motivations.. Number of responses: 39 responses."/>
            <wp:cNvGraphicFramePr>
              <a:graphicFrameLocks/>
            </wp:cNvGraphicFramePr>
            <a:graphic>
              <a:graphicData uri="http://schemas.openxmlformats.org/drawingml/2006/picture">
                <pic:pic>
                  <pic:nvPicPr>
                    <pic:cNvPr id="7" name="Image 7" descr="Forms response chart. Question title: 4. I’m very aware of my sexual motivations.. Number of responses: 39 responses."/>
                    <pic:cNvPicPr/>
                  </pic:nvPicPr>
                  <pic:blipFill>
                    <a:blip r:embed="rId11" cstate="print"/>
                    <a:stretch>
                      <a:fillRect/>
                    </a:stretch>
                  </pic:blipFill>
                  <pic:spPr>
                    <a:xfrm>
                      <a:off x="0" y="0"/>
                      <a:ext cx="5656240"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0400">
            <wp:simplePos x="0" y="0"/>
            <wp:positionH relativeFrom="page">
              <wp:posOffset>1130796</wp:posOffset>
            </wp:positionH>
            <wp:positionV relativeFrom="paragraph">
              <wp:posOffset>218827</wp:posOffset>
            </wp:positionV>
            <wp:extent cx="5653385" cy="2111692"/>
            <wp:effectExtent l="0" t="0" r="0" b="0"/>
            <wp:wrapTopAndBottom/>
            <wp:docPr id="8" name="Image 8" descr="Forms response chart. Question title: 5. I’m concerned about the sexual appearance of my body.. Number of responses: 39 responses."/>
            <wp:cNvGraphicFramePr>
              <a:graphicFrameLocks/>
            </wp:cNvGraphicFramePr>
            <a:graphic>
              <a:graphicData uri="http://schemas.openxmlformats.org/drawingml/2006/picture">
                <pic:pic>
                  <pic:nvPicPr>
                    <pic:cNvPr id="8" name="Image 8" descr="Forms response chart. Question title: 5. I’m concerned about the sexual appearance of my body.. Number of responses: 39 responses."/>
                    <pic:cNvPicPr/>
                  </pic:nvPicPr>
                  <pic:blipFill>
                    <a:blip r:embed="rId12"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9" name="Image 9" descr="Forms response chart. Question title: 6. I’m not very direct about voicing my sexual desires.. Number of responses: 39 responses."/>
            <wp:cNvGraphicFramePr>
              <a:graphicFrameLocks/>
            </wp:cNvGraphicFramePr>
            <a:graphic>
              <a:graphicData uri="http://schemas.openxmlformats.org/drawingml/2006/picture">
                <pic:pic>
                  <pic:nvPicPr>
                    <pic:cNvPr id="9" name="Image 9" descr="Forms response chart. Question title: 6. I’m not very direct about voicing my sexual desires.. Number of responses: 39 responses."/>
                    <pic:cNvPicPr/>
                  </pic:nvPicPr>
                  <pic:blipFill>
                    <a:blip r:embed="rId13"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0912">
            <wp:simplePos x="0" y="0"/>
            <wp:positionH relativeFrom="page">
              <wp:posOffset>1130796</wp:posOffset>
            </wp:positionH>
            <wp:positionV relativeFrom="paragraph">
              <wp:posOffset>218827</wp:posOffset>
            </wp:positionV>
            <wp:extent cx="5653385" cy="2111692"/>
            <wp:effectExtent l="0" t="0" r="0" b="0"/>
            <wp:wrapTopAndBottom/>
            <wp:docPr id="10" name="Image 10" descr="Forms response chart. Question title: 7. I’m always trying to understand my sexual feelings. . Number of responses: 39 responses."/>
            <wp:cNvGraphicFramePr>
              <a:graphicFrameLocks/>
            </wp:cNvGraphicFramePr>
            <a:graphic>
              <a:graphicData uri="http://schemas.openxmlformats.org/drawingml/2006/picture">
                <pic:pic>
                  <pic:nvPicPr>
                    <pic:cNvPr id="10" name="Image 10" descr="Forms response chart. Question title: 7. I’m always trying to understand my sexual feelings. . Number of responses: 39 responses."/>
                    <pic:cNvPicPr/>
                  </pic:nvPicPr>
                  <pic:blipFill>
                    <a:blip r:embed="rId14"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11" name="Image 11" descr="Forms response chart. Question title: 8. I know immediately when others consider me sexy. . Number of responses: 39 responses."/>
            <wp:cNvGraphicFramePr>
              <a:graphicFrameLocks/>
            </wp:cNvGraphicFramePr>
            <a:graphic>
              <a:graphicData uri="http://schemas.openxmlformats.org/drawingml/2006/picture">
                <pic:pic>
                  <pic:nvPicPr>
                    <pic:cNvPr id="11" name="Image 11" descr="Forms response chart. Question title: 8. I know immediately when others consider me sexy. . Number of responses: 39 responses."/>
                    <pic:cNvPicPr/>
                  </pic:nvPicPr>
                  <pic:blipFill>
                    <a:blip r:embed="rId15"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1424">
            <wp:simplePos x="0" y="0"/>
            <wp:positionH relativeFrom="page">
              <wp:posOffset>1130796</wp:posOffset>
            </wp:positionH>
            <wp:positionV relativeFrom="paragraph">
              <wp:posOffset>218827</wp:posOffset>
            </wp:positionV>
            <wp:extent cx="5653385" cy="2111692"/>
            <wp:effectExtent l="0" t="0" r="0" b="0"/>
            <wp:wrapTopAndBottom/>
            <wp:docPr id="12" name="Image 12" descr="Forms response chart. Question title: 9. I am somewhat passive about expressing my sexual desires.. Number of responses: 39 responses."/>
            <wp:cNvGraphicFramePr>
              <a:graphicFrameLocks/>
            </wp:cNvGraphicFramePr>
            <a:graphic>
              <a:graphicData uri="http://schemas.openxmlformats.org/drawingml/2006/picture">
                <pic:pic>
                  <pic:nvPicPr>
                    <pic:cNvPr id="12" name="Image 12" descr="Forms response chart. Question title: 9. I am somewhat passive about expressing my sexual desires.. Number of responses: 39 responses."/>
                    <pic:cNvPicPr/>
                  </pic:nvPicPr>
                  <pic:blipFill>
                    <a:blip r:embed="rId16"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13" name="Image 13" descr="Forms response chart. Question title: 10. I’m very alert to changes in my sexual desires. . Number of responses: 39 responses."/>
            <wp:cNvGraphicFramePr>
              <a:graphicFrameLocks/>
            </wp:cNvGraphicFramePr>
            <a:graphic>
              <a:graphicData uri="http://schemas.openxmlformats.org/drawingml/2006/picture">
                <pic:pic>
                  <pic:nvPicPr>
                    <pic:cNvPr id="13" name="Image 13" descr="Forms response chart. Question title: 10. I’m very alert to changes in my sexual desires. . Number of responses: 39 responses."/>
                    <pic:cNvPicPr/>
                  </pic:nvPicPr>
                  <pic:blipFill>
                    <a:blip r:embed="rId17"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1936">
            <wp:simplePos x="0" y="0"/>
            <wp:positionH relativeFrom="page">
              <wp:posOffset>1130796</wp:posOffset>
            </wp:positionH>
            <wp:positionV relativeFrom="paragraph">
              <wp:posOffset>218827</wp:posOffset>
            </wp:positionV>
            <wp:extent cx="5653385" cy="2111692"/>
            <wp:effectExtent l="0" t="0" r="0" b="0"/>
            <wp:wrapTopAndBottom/>
            <wp:docPr id="14" name="Image 14" descr="Forms response chart. Question title: 11. I am quick to sense whether others think I’m sexy.. Number of responses: 39 responses."/>
            <wp:cNvGraphicFramePr>
              <a:graphicFrameLocks/>
            </wp:cNvGraphicFramePr>
            <a:graphic>
              <a:graphicData uri="http://schemas.openxmlformats.org/drawingml/2006/picture">
                <pic:pic>
                  <pic:nvPicPr>
                    <pic:cNvPr id="14" name="Image 14" descr="Forms response chart. Question title: 11. I am quick to sense whether others think I’m sexy.. Number of responses: 39 responses."/>
                    <pic:cNvPicPr/>
                  </pic:nvPicPr>
                  <pic:blipFill>
                    <a:blip r:embed="rId18"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15" name="Image 15" descr="Forms response chart. Question title: 12. I do not hesitate to ask for what I want in a sexual relationship.. Number of responses: 39 responses."/>
            <wp:cNvGraphicFramePr>
              <a:graphicFrameLocks/>
            </wp:cNvGraphicFramePr>
            <a:graphic>
              <a:graphicData uri="http://schemas.openxmlformats.org/drawingml/2006/picture">
                <pic:pic>
                  <pic:nvPicPr>
                    <pic:cNvPr id="15" name="Image 15" descr="Forms response chart. Question title: 12. I do not hesitate to ask for what I want in a sexual relationship.. Number of responses: 39 responses."/>
                    <pic:cNvPicPr/>
                  </pic:nvPicPr>
                  <pic:blipFill>
                    <a:blip r:embed="rId19"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2448">
            <wp:simplePos x="0" y="0"/>
            <wp:positionH relativeFrom="page">
              <wp:posOffset>1130796</wp:posOffset>
            </wp:positionH>
            <wp:positionV relativeFrom="paragraph">
              <wp:posOffset>218827</wp:posOffset>
            </wp:positionV>
            <wp:extent cx="5653385" cy="2111692"/>
            <wp:effectExtent l="0" t="0" r="0" b="0"/>
            <wp:wrapTopAndBottom/>
            <wp:docPr id="16" name="Image 16" descr="Forms response chart. Question title: 13. I am very aware of my sexual tendencies.. Number of responses: 39 responses."/>
            <wp:cNvGraphicFramePr>
              <a:graphicFrameLocks/>
            </wp:cNvGraphicFramePr>
            <a:graphic>
              <a:graphicData uri="http://schemas.openxmlformats.org/drawingml/2006/picture">
                <pic:pic>
                  <pic:nvPicPr>
                    <pic:cNvPr id="16" name="Image 16" descr="Forms response chart. Question title: 13. I am very aware of my sexual tendencies.. Number of responses: 39 responses."/>
                    <pic:cNvPicPr/>
                  </pic:nvPicPr>
                  <pic:blipFill>
                    <a:blip r:embed="rId20"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17" name="Image 17" descr="Forms response chart. Question title: 14. I usually worry about making a good sexual impression on others.. Number of responses: 39 responses."/>
            <wp:cNvGraphicFramePr>
              <a:graphicFrameLocks/>
            </wp:cNvGraphicFramePr>
            <a:graphic>
              <a:graphicData uri="http://schemas.openxmlformats.org/drawingml/2006/picture">
                <pic:pic>
                  <pic:nvPicPr>
                    <pic:cNvPr id="17" name="Image 17" descr="Forms response chart. Question title: 14. I usually worry about making a good sexual impression on others.. Number of responses: 39 responses."/>
                    <pic:cNvPicPr/>
                  </pic:nvPicPr>
                  <pic:blipFill>
                    <a:blip r:embed="rId21"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2960">
            <wp:simplePos x="0" y="0"/>
            <wp:positionH relativeFrom="page">
              <wp:posOffset>1130796</wp:posOffset>
            </wp:positionH>
            <wp:positionV relativeFrom="paragraph">
              <wp:posOffset>218827</wp:posOffset>
            </wp:positionV>
            <wp:extent cx="5653385" cy="2111692"/>
            <wp:effectExtent l="0" t="0" r="0" b="0"/>
            <wp:wrapTopAndBottom/>
            <wp:docPr id="18" name="Image 18" descr="Forms response chart. Question title: 15. I’m the type of person who insists of having my sexual needs met.. Number of responses: 39 responses."/>
            <wp:cNvGraphicFramePr>
              <a:graphicFrameLocks/>
            </wp:cNvGraphicFramePr>
            <a:graphic>
              <a:graphicData uri="http://schemas.openxmlformats.org/drawingml/2006/picture">
                <pic:pic>
                  <pic:nvPicPr>
                    <pic:cNvPr id="18" name="Image 18" descr="Forms response chart. Question title: 15. I’m the type of person who insists of having my sexual needs met.. Number of responses: 39 responses."/>
                    <pic:cNvPicPr/>
                  </pic:nvPicPr>
                  <pic:blipFill>
                    <a:blip r:embed="rId22"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19" name="Image 19" descr="Forms response chart. Question title: 16. I think about my sexual motivations more than most people do.. Number of responses: 39 responses."/>
            <wp:cNvGraphicFramePr>
              <a:graphicFrameLocks/>
            </wp:cNvGraphicFramePr>
            <a:graphic>
              <a:graphicData uri="http://schemas.openxmlformats.org/drawingml/2006/picture">
                <pic:pic>
                  <pic:nvPicPr>
                    <pic:cNvPr id="19" name="Image 19" descr="Forms response chart. Question title: 16. I think about my sexual motivations more than most people do.. Number of responses: 39 responses."/>
                    <pic:cNvPicPr/>
                  </pic:nvPicPr>
                  <pic:blipFill>
                    <a:blip r:embed="rId23"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3472">
            <wp:simplePos x="0" y="0"/>
            <wp:positionH relativeFrom="page">
              <wp:posOffset>1130796</wp:posOffset>
            </wp:positionH>
            <wp:positionV relativeFrom="paragraph">
              <wp:posOffset>218827</wp:posOffset>
            </wp:positionV>
            <wp:extent cx="5653385" cy="2111692"/>
            <wp:effectExtent l="0" t="0" r="0" b="0"/>
            <wp:wrapTopAndBottom/>
            <wp:docPr id="20" name="Image 20" descr="Forms response chart. Question title: 17. I’m concerned about what other people think of my sex appeal.. Number of responses: 39 responses."/>
            <wp:cNvGraphicFramePr>
              <a:graphicFrameLocks/>
            </wp:cNvGraphicFramePr>
            <a:graphic>
              <a:graphicData uri="http://schemas.openxmlformats.org/drawingml/2006/picture">
                <pic:pic>
                  <pic:nvPicPr>
                    <pic:cNvPr id="20" name="Image 20" descr="Forms response chart. Question title: 17. I’m concerned about what other people think of my sex appeal.. Number of responses: 39 responses."/>
                    <pic:cNvPicPr/>
                  </pic:nvPicPr>
                  <pic:blipFill>
                    <a:blip r:embed="rId24"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21" name="Image 21" descr="Forms response chart. Question title: 18. When it comes to sex, I usually ask for what I want.. Number of responses: 39 responses."/>
            <wp:cNvGraphicFramePr>
              <a:graphicFrameLocks/>
            </wp:cNvGraphicFramePr>
            <a:graphic>
              <a:graphicData uri="http://schemas.openxmlformats.org/drawingml/2006/picture">
                <pic:pic>
                  <pic:nvPicPr>
                    <pic:cNvPr id="21" name="Image 21" descr="Forms response chart. Question title: 18. When it comes to sex, I usually ask for what I want.. Number of responses: 39 responses."/>
                    <pic:cNvPicPr/>
                  </pic:nvPicPr>
                  <pic:blipFill>
                    <a:blip r:embed="rId25"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3984">
            <wp:simplePos x="0" y="0"/>
            <wp:positionH relativeFrom="page">
              <wp:posOffset>1130796</wp:posOffset>
            </wp:positionH>
            <wp:positionV relativeFrom="paragraph">
              <wp:posOffset>218827</wp:posOffset>
            </wp:positionV>
            <wp:extent cx="5653385" cy="2111692"/>
            <wp:effectExtent l="0" t="0" r="0" b="0"/>
            <wp:wrapTopAndBottom/>
            <wp:docPr id="22" name="Image 22" descr="Forms response chart. Question title: 19. I reflect about my sexual desires a lot.. Number of responses: 39 responses."/>
            <wp:cNvGraphicFramePr>
              <a:graphicFrameLocks/>
            </wp:cNvGraphicFramePr>
            <a:graphic>
              <a:graphicData uri="http://schemas.openxmlformats.org/drawingml/2006/picture">
                <pic:pic>
                  <pic:nvPicPr>
                    <pic:cNvPr id="22" name="Image 22" descr="Forms response chart. Question title: 19. I reflect about my sexual desires a lot.. Number of responses: 39 responses."/>
                    <pic:cNvPicPr/>
                  </pic:nvPicPr>
                  <pic:blipFill>
                    <a:blip r:embed="rId26"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23" name="Image 23" descr="Forms response chart. Question title: 20. I never seem to know when I’m turning others on.. Number of responses: 39 responses."/>
            <wp:cNvGraphicFramePr>
              <a:graphicFrameLocks/>
            </wp:cNvGraphicFramePr>
            <a:graphic>
              <a:graphicData uri="http://schemas.openxmlformats.org/drawingml/2006/picture">
                <pic:pic>
                  <pic:nvPicPr>
                    <pic:cNvPr id="23" name="Image 23" descr="Forms response chart. Question title: 20. I never seem to know when I’m turning others on.. Number of responses: 39 responses."/>
                    <pic:cNvPicPr/>
                  </pic:nvPicPr>
                  <pic:blipFill>
                    <a:blip r:embed="rId27"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4496">
            <wp:simplePos x="0" y="0"/>
            <wp:positionH relativeFrom="page">
              <wp:posOffset>1130796</wp:posOffset>
            </wp:positionH>
            <wp:positionV relativeFrom="paragraph">
              <wp:posOffset>218827</wp:posOffset>
            </wp:positionV>
            <wp:extent cx="5653385" cy="2111692"/>
            <wp:effectExtent l="0" t="0" r="0" b="0"/>
            <wp:wrapTopAndBottom/>
            <wp:docPr id="24" name="Image 24" descr="Forms response chart. Question title: 21. If I were sexually interested in someone, I’d let that person know.. Number of responses: 39 responses."/>
            <wp:cNvGraphicFramePr>
              <a:graphicFrameLocks/>
            </wp:cNvGraphicFramePr>
            <a:graphic>
              <a:graphicData uri="http://schemas.openxmlformats.org/drawingml/2006/picture">
                <pic:pic>
                  <pic:nvPicPr>
                    <pic:cNvPr id="24" name="Image 24" descr="Forms response chart. Question title: 21. If I were sexually interested in someone, I’d let that person know.. Number of responses: 39 responses."/>
                    <pic:cNvPicPr/>
                  </pic:nvPicPr>
                  <pic:blipFill>
                    <a:blip r:embed="rId28"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25" name="Image 25" descr="Forms response chart. Question title: 22. I’m very aware of the way my mind works when I’m sexually aroused.. Number of responses: 39 responses."/>
            <wp:cNvGraphicFramePr>
              <a:graphicFrameLocks/>
            </wp:cNvGraphicFramePr>
            <a:graphic>
              <a:graphicData uri="http://schemas.openxmlformats.org/drawingml/2006/picture">
                <pic:pic>
                  <pic:nvPicPr>
                    <pic:cNvPr id="25" name="Image 25" descr="Forms response chart. Question title: 22. I’m very aware of the way my mind works when I’m sexually aroused.. Number of responses: 39 responses."/>
                    <pic:cNvPicPr/>
                  </pic:nvPicPr>
                  <pic:blipFill>
                    <a:blip r:embed="rId29"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5008">
            <wp:simplePos x="0" y="0"/>
            <wp:positionH relativeFrom="page">
              <wp:posOffset>1130796</wp:posOffset>
            </wp:positionH>
            <wp:positionV relativeFrom="paragraph">
              <wp:posOffset>218827</wp:posOffset>
            </wp:positionV>
            <wp:extent cx="5653385" cy="2111692"/>
            <wp:effectExtent l="0" t="0" r="0" b="0"/>
            <wp:wrapTopAndBottom/>
            <wp:docPr id="26" name="Image 26" descr="Forms response chart. Question title: 23. I rarely think about my sex appeal. . Number of responses: 39 responses."/>
            <wp:cNvGraphicFramePr>
              <a:graphicFrameLocks/>
            </wp:cNvGraphicFramePr>
            <a:graphic>
              <a:graphicData uri="http://schemas.openxmlformats.org/drawingml/2006/picture">
                <pic:pic>
                  <pic:nvPicPr>
                    <pic:cNvPr id="26" name="Image 26" descr="Forms response chart. Question title: 23. I rarely think about my sex appeal. . Number of responses: 39 responses."/>
                    <pic:cNvPicPr/>
                  </pic:nvPicPr>
                  <pic:blipFill>
                    <a:blip r:embed="rId30"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27" name="Image 27" descr="Forms response chart. Question title: 24. If I were to have sex with someone, I’d tell my partner what I like. . Number of responses: 39 responses."/>
            <wp:cNvGraphicFramePr>
              <a:graphicFrameLocks/>
            </wp:cNvGraphicFramePr>
            <a:graphic>
              <a:graphicData uri="http://schemas.openxmlformats.org/drawingml/2006/picture">
                <pic:pic>
                  <pic:nvPicPr>
                    <pic:cNvPr id="27" name="Image 27" descr="Forms response chart. Question title: 24. If I were to have sex with someone, I’d tell my partner what I like. . Number of responses: 39 responses."/>
                    <pic:cNvPicPr/>
                  </pic:nvPicPr>
                  <pic:blipFill>
                    <a:blip r:embed="rId31"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5520">
            <wp:simplePos x="0" y="0"/>
            <wp:positionH relativeFrom="page">
              <wp:posOffset>1130796</wp:posOffset>
            </wp:positionH>
            <wp:positionV relativeFrom="paragraph">
              <wp:posOffset>218827</wp:posOffset>
            </wp:positionV>
            <wp:extent cx="5653385" cy="2111692"/>
            <wp:effectExtent l="0" t="0" r="0" b="0"/>
            <wp:wrapTopAndBottom/>
            <wp:docPr id="28" name="Image 28" descr="Forms response chart. Question title: 25. I know what turns me on sexually. . Number of responses: 39 responses."/>
            <wp:cNvGraphicFramePr>
              <a:graphicFrameLocks/>
            </wp:cNvGraphicFramePr>
            <a:graphic>
              <a:graphicData uri="http://schemas.openxmlformats.org/drawingml/2006/picture">
                <pic:pic>
                  <pic:nvPicPr>
                    <pic:cNvPr id="28" name="Image 28" descr="Forms response chart. Question title: 25. I know what turns me on sexually. . Number of responses: 39 responses."/>
                    <pic:cNvPicPr/>
                  </pic:nvPicPr>
                  <pic:blipFill>
                    <a:blip r:embed="rId32"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29" name="Image 29" descr="Forms response chart. Question title: 26. I don’t care what others think of my sexuality.. Number of responses: 39 responses."/>
            <wp:cNvGraphicFramePr>
              <a:graphicFrameLocks/>
            </wp:cNvGraphicFramePr>
            <a:graphic>
              <a:graphicData uri="http://schemas.openxmlformats.org/drawingml/2006/picture">
                <pic:pic>
                  <pic:nvPicPr>
                    <pic:cNvPr id="29" name="Image 29" descr="Forms response chart. Question title: 26. I don’t care what others think of my sexuality.. Number of responses: 39 responses."/>
                    <pic:cNvPicPr/>
                  </pic:nvPicPr>
                  <pic:blipFill>
                    <a:blip r:embed="rId33"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6032">
            <wp:simplePos x="0" y="0"/>
            <wp:positionH relativeFrom="page">
              <wp:posOffset>1130796</wp:posOffset>
            </wp:positionH>
            <wp:positionV relativeFrom="paragraph">
              <wp:posOffset>218827</wp:posOffset>
            </wp:positionV>
            <wp:extent cx="5653385" cy="2111692"/>
            <wp:effectExtent l="0" t="0" r="0" b="0"/>
            <wp:wrapTopAndBottom/>
            <wp:docPr id="30" name="Image 30" descr="Forms response chart. Question title: 27. I don’t let others tell me how to run my sex life.. Number of responses: 39 responses."/>
            <wp:cNvGraphicFramePr>
              <a:graphicFrameLocks/>
            </wp:cNvGraphicFramePr>
            <a:graphic>
              <a:graphicData uri="http://schemas.openxmlformats.org/drawingml/2006/picture">
                <pic:pic>
                  <pic:nvPicPr>
                    <pic:cNvPr id="30" name="Image 30" descr="Forms response chart. Question title: 27. I don’t let others tell me how to run my sex life.. Number of responses: 39 responses."/>
                    <pic:cNvPicPr/>
                  </pic:nvPicPr>
                  <pic:blipFill>
                    <a:blip r:embed="rId34"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31" name="Image 31" descr="Forms response chart. Question title: 28. I rarely think about the sexual aspects of my life.. Number of responses: 39 responses."/>
            <wp:cNvGraphicFramePr>
              <a:graphicFrameLocks/>
            </wp:cNvGraphicFramePr>
            <a:graphic>
              <a:graphicData uri="http://schemas.openxmlformats.org/drawingml/2006/picture">
                <pic:pic>
                  <pic:nvPicPr>
                    <pic:cNvPr id="31" name="Image 31" descr="Forms response chart. Question title: 28. I rarely think about the sexual aspects of my life.. Number of responses: 39 responses."/>
                    <pic:cNvPicPr/>
                  </pic:nvPicPr>
                  <pic:blipFill>
                    <a:blip r:embed="rId35"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6544">
            <wp:simplePos x="0" y="0"/>
            <wp:positionH relativeFrom="page">
              <wp:posOffset>1130796</wp:posOffset>
            </wp:positionH>
            <wp:positionV relativeFrom="paragraph">
              <wp:posOffset>218802</wp:posOffset>
            </wp:positionV>
            <wp:extent cx="5653385" cy="2111692"/>
            <wp:effectExtent l="0" t="0" r="0" b="0"/>
            <wp:wrapTopAndBottom/>
            <wp:docPr id="32" name="Image 32" descr="Forms response chart. Question title: 29. I know when others think I’m sexy. . Number of responses: 39 responses."/>
            <wp:cNvGraphicFramePr>
              <a:graphicFrameLocks/>
            </wp:cNvGraphicFramePr>
            <a:graphic>
              <a:graphicData uri="http://schemas.openxmlformats.org/drawingml/2006/picture">
                <pic:pic>
                  <pic:nvPicPr>
                    <pic:cNvPr id="32" name="Image 32" descr="Forms response chart. Question title: 29. I know when others think I’m sexy. . Number of responses: 39 responses."/>
                    <pic:cNvPicPr/>
                  </pic:nvPicPr>
                  <pic:blipFill>
                    <a:blip r:embed="rId36"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33" name="Image 33" descr="Forms response chart. Question title: 30. If I were to have sex with someone, I’d let my partner take the initiative. . Number of responses: 39 responses."/>
            <wp:cNvGraphicFramePr>
              <a:graphicFrameLocks/>
            </wp:cNvGraphicFramePr>
            <a:graphic>
              <a:graphicData uri="http://schemas.openxmlformats.org/drawingml/2006/picture">
                <pic:pic>
                  <pic:nvPicPr>
                    <pic:cNvPr id="33" name="Image 33" descr="Forms response chart. Question title: 30. If I were to have sex with someone, I’d let my partner take the initiative. . Number of responses: 39 responses."/>
                    <pic:cNvPicPr/>
                  </pic:nvPicPr>
                  <pic:blipFill>
                    <a:blip r:embed="rId37"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7056">
            <wp:simplePos x="0" y="0"/>
            <wp:positionH relativeFrom="page">
              <wp:posOffset>1130796</wp:posOffset>
            </wp:positionH>
            <wp:positionV relativeFrom="paragraph">
              <wp:posOffset>218802</wp:posOffset>
            </wp:positionV>
            <wp:extent cx="5653385" cy="2111692"/>
            <wp:effectExtent l="0" t="0" r="0" b="0"/>
            <wp:wrapTopAndBottom/>
            <wp:docPr id="34" name="Image 34" descr="Forms response chart. Question title: 31. I don’t think about my sexuality very much. . Number of responses: 39 responses."/>
            <wp:cNvGraphicFramePr>
              <a:graphicFrameLocks/>
            </wp:cNvGraphicFramePr>
            <a:graphic>
              <a:graphicData uri="http://schemas.openxmlformats.org/drawingml/2006/picture">
                <pic:pic>
                  <pic:nvPicPr>
                    <pic:cNvPr id="34" name="Image 34" descr="Forms response chart. Question title: 31. I don’t think about my sexuality very much. . Number of responses: 39 responses."/>
                    <pic:cNvPicPr/>
                  </pic:nvPicPr>
                  <pic:blipFill>
                    <a:blip r:embed="rId38"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35" name="Image 35" descr="Forms response chart. Question title: 32. Other people’s opinions of my sexuality don’t matter very much to me.. Number of responses: 39 responses."/>
            <wp:cNvGraphicFramePr>
              <a:graphicFrameLocks/>
            </wp:cNvGraphicFramePr>
            <a:graphic>
              <a:graphicData uri="http://schemas.openxmlformats.org/drawingml/2006/picture">
                <pic:pic>
                  <pic:nvPicPr>
                    <pic:cNvPr id="35" name="Image 35" descr="Forms response chart. Question title: 32. Other people’s opinions of my sexuality don’t matter very much to me.. Number of responses: 39 responses."/>
                    <pic:cNvPicPr/>
                  </pic:nvPicPr>
                  <pic:blipFill>
                    <a:blip r:embed="rId39"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7568">
            <wp:simplePos x="0" y="0"/>
            <wp:positionH relativeFrom="page">
              <wp:posOffset>1130796</wp:posOffset>
            </wp:positionH>
            <wp:positionV relativeFrom="paragraph">
              <wp:posOffset>218802</wp:posOffset>
            </wp:positionV>
            <wp:extent cx="5653385" cy="2111692"/>
            <wp:effectExtent l="0" t="0" r="0" b="0"/>
            <wp:wrapTopAndBottom/>
            <wp:docPr id="36" name="Image 36" descr="Forms response chart. Question title: 33. I would ask about sexually-transmitted diseases before having sex with someone. . Number of responses: 39 responses."/>
            <wp:cNvGraphicFramePr>
              <a:graphicFrameLocks/>
            </wp:cNvGraphicFramePr>
            <a:graphic>
              <a:graphicData uri="http://schemas.openxmlformats.org/drawingml/2006/picture">
                <pic:pic>
                  <pic:nvPicPr>
                    <pic:cNvPr id="36" name="Image 36" descr="Forms response chart. Question title: 33. I would ask about sexually-transmitted diseases before having sex with someone. . Number of responses: 39 responses."/>
                    <pic:cNvPicPr/>
                  </pic:nvPicPr>
                  <pic:blipFill>
                    <a:blip r:embed="rId40"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37" name="Image 37" descr="Forms response chart. Question title: 34. I don’t consider myself a very sexual person. . Number of responses: 39 responses."/>
            <wp:cNvGraphicFramePr>
              <a:graphicFrameLocks/>
            </wp:cNvGraphicFramePr>
            <a:graphic>
              <a:graphicData uri="http://schemas.openxmlformats.org/drawingml/2006/picture">
                <pic:pic>
                  <pic:nvPicPr>
                    <pic:cNvPr id="37" name="Image 37" descr="Forms response chart. Question title: 34. I don’t consider myself a very sexual person. . Number of responses: 39 responses."/>
                    <pic:cNvPicPr/>
                  </pic:nvPicPr>
                  <pic:blipFill>
                    <a:blip r:embed="rId41" cstate="print"/>
                    <a:stretch>
                      <a:fillRect/>
                    </a:stretch>
                  </pic:blipFill>
                  <pic:spPr>
                    <a:xfrm>
                      <a:off x="0" y="0"/>
                      <a:ext cx="5653385" cy="21116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w:drawing>
          <wp:anchor distT="0" distB="0" distL="0" distR="0" allowOverlap="1" layoutInCell="1" locked="0" behindDoc="1" simplePos="0" relativeHeight="487598080">
            <wp:simplePos x="0" y="0"/>
            <wp:positionH relativeFrom="page">
              <wp:posOffset>1130796</wp:posOffset>
            </wp:positionH>
            <wp:positionV relativeFrom="paragraph">
              <wp:posOffset>218802</wp:posOffset>
            </wp:positionV>
            <wp:extent cx="5653385" cy="2111692"/>
            <wp:effectExtent l="0" t="0" r="0" b="0"/>
            <wp:wrapTopAndBottom/>
            <wp:docPr id="38" name="Image 38" descr="Forms response chart. Question title: 35. When I’m with others, I want to look sexy. . Number of responses: 39 responses."/>
            <wp:cNvGraphicFramePr>
              <a:graphicFrameLocks/>
            </wp:cNvGraphicFramePr>
            <a:graphic>
              <a:graphicData uri="http://schemas.openxmlformats.org/drawingml/2006/picture">
                <pic:pic>
                  <pic:nvPicPr>
                    <pic:cNvPr id="38" name="Image 38" descr="Forms response chart. Question title: 35. When I’m with others, I want to look sexy. . Number of responses: 39 responses."/>
                    <pic:cNvPicPr/>
                  </pic:nvPicPr>
                  <pic:blipFill>
                    <a:blip r:embed="rId42" cstate="print"/>
                    <a:stretch>
                      <a:fillRect/>
                    </a:stretch>
                  </pic:blipFill>
                  <pic:spPr>
                    <a:xfrm>
                      <a:off x="0" y="0"/>
                      <a:ext cx="5653385" cy="2111692"/>
                    </a:xfrm>
                    <a:prstGeom prst="rect">
                      <a:avLst/>
                    </a:prstGeom>
                  </pic:spPr>
                </pic:pic>
              </a:graphicData>
            </a:graphic>
          </wp:anchor>
        </w:drawing>
      </w:r>
    </w:p>
    <w:p>
      <w:pPr>
        <w:pStyle w:val="BodyText"/>
        <w:spacing w:after="0"/>
        <w:rPr>
          <w:b/>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53385" cy="2111692"/>
            <wp:effectExtent l="0" t="0" r="0" b="0"/>
            <wp:docPr id="39" name="Image 39" descr="Forms response chart. Question title: 36. If I wanted to practice “safe sex” with someone, I would insist on doing so.. Number of responses: 39 responses."/>
            <wp:cNvGraphicFramePr>
              <a:graphicFrameLocks/>
            </wp:cNvGraphicFramePr>
            <a:graphic>
              <a:graphicData uri="http://schemas.openxmlformats.org/drawingml/2006/picture">
                <pic:pic>
                  <pic:nvPicPr>
                    <pic:cNvPr id="39" name="Image 39" descr="Forms response chart. Question title: 36. If I wanted to practice “safe sex” with someone, I would insist on doing so.. Number of responses: 39 responses."/>
                    <pic:cNvPicPr/>
                  </pic:nvPicPr>
                  <pic:blipFill>
                    <a:blip r:embed="rId43" cstate="print"/>
                    <a:stretch>
                      <a:fillRect/>
                    </a:stretch>
                  </pic:blipFill>
                  <pic:spPr>
                    <a:xfrm>
                      <a:off x="0" y="0"/>
                      <a:ext cx="5653385" cy="2111692"/>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8"/>
        <w:rPr>
          <w:b/>
        </w:rPr>
      </w:pPr>
    </w:p>
    <w:p>
      <w:pPr>
        <w:pStyle w:val="ListParagraph"/>
        <w:numPr>
          <w:ilvl w:val="0"/>
          <w:numId w:val="5"/>
        </w:numPr>
        <w:tabs>
          <w:tab w:pos="263" w:val="left" w:leader="none"/>
        </w:tabs>
        <w:spacing w:line="240" w:lineRule="auto" w:before="0" w:after="0"/>
        <w:ind w:left="263" w:right="0" w:hanging="240"/>
        <w:jc w:val="left"/>
        <w:rPr>
          <w:sz w:val="24"/>
        </w:rPr>
      </w:pPr>
      <w:r>
        <w:rPr>
          <w:sz w:val="24"/>
        </w:rPr>
        <w:t>Kuiz Gangguan </w:t>
      </w:r>
      <w:r>
        <w:rPr>
          <w:spacing w:val="-2"/>
          <w:sz w:val="24"/>
        </w:rPr>
        <w:t>Seksual</w:t>
      </w:r>
    </w:p>
    <w:p>
      <w:pPr>
        <w:pStyle w:val="BodyText"/>
        <w:rPr>
          <w:sz w:val="20"/>
        </w:rPr>
      </w:pPr>
    </w:p>
    <w:p>
      <w:pPr>
        <w:pStyle w:val="BodyText"/>
        <w:spacing w:before="180"/>
        <w:rPr>
          <w:sz w:val="20"/>
        </w:rPr>
      </w:pPr>
      <w:r>
        <w:rPr>
          <w:sz w:val="20"/>
        </w:rPr>
        <w:drawing>
          <wp:anchor distT="0" distB="0" distL="0" distR="0" allowOverlap="1" layoutInCell="1" locked="0" behindDoc="1" simplePos="0" relativeHeight="487598592">
            <wp:simplePos x="0" y="0"/>
            <wp:positionH relativeFrom="page">
              <wp:posOffset>1133698</wp:posOffset>
            </wp:positionH>
            <wp:positionV relativeFrom="paragraph">
              <wp:posOffset>275610</wp:posOffset>
            </wp:positionV>
            <wp:extent cx="5596280" cy="2223135"/>
            <wp:effectExtent l="0" t="0" r="0" b="0"/>
            <wp:wrapTopAndBottom/>
            <wp:docPr id="40" name="Image 40" descr="Forms response chart. Question title: 1. Contoh gangguan seksual melalui isyarat adalah.... Number of responses: 15 / 15 correct responses."/>
            <wp:cNvGraphicFramePr>
              <a:graphicFrameLocks/>
            </wp:cNvGraphicFramePr>
            <a:graphic>
              <a:graphicData uri="http://schemas.openxmlformats.org/drawingml/2006/picture">
                <pic:pic>
                  <pic:nvPicPr>
                    <pic:cNvPr id="40" name="Image 40" descr="Forms response chart. Question title: 1. Contoh gangguan seksual melalui isyarat adalah.... Number of responses: 15 / 15 correct responses."/>
                    <pic:cNvPicPr/>
                  </pic:nvPicPr>
                  <pic:blipFill>
                    <a:blip r:embed="rId44" cstate="print"/>
                    <a:stretch>
                      <a:fillRect/>
                    </a:stretch>
                  </pic:blipFill>
                  <pic:spPr>
                    <a:xfrm>
                      <a:off x="0" y="0"/>
                      <a:ext cx="5596280" cy="2223135"/>
                    </a:xfrm>
                    <a:prstGeom prst="rect">
                      <a:avLst/>
                    </a:prstGeom>
                  </pic:spPr>
                </pic:pic>
              </a:graphicData>
            </a:graphic>
          </wp:anchor>
        </w:drawing>
      </w:r>
    </w:p>
    <w:p>
      <w:pPr>
        <w:pStyle w:val="BodyText"/>
        <w:spacing w:after="0"/>
        <w:rPr>
          <w:sz w:val="20"/>
        </w:rPr>
        <w:sectPr>
          <w:pgSz w:w="11920" w:h="16840"/>
          <w:pgMar w:top="1820" w:bottom="280" w:left="1417" w:right="992"/>
        </w:sectPr>
      </w:pPr>
    </w:p>
    <w:p>
      <w:pPr>
        <w:spacing w:line="240" w:lineRule="auto"/>
        <w:ind w:left="336" w:right="0" w:firstLine="0"/>
        <w:rPr>
          <w:sz w:val="20"/>
        </w:rPr>
      </w:pPr>
      <w:r>
        <w:rPr>
          <w:sz w:val="20"/>
        </w:rPr>
        <w:drawing>
          <wp:inline distT="0" distB="0" distL="0" distR="0">
            <wp:extent cx="5616266" cy="2223135"/>
            <wp:effectExtent l="0" t="0" r="0" b="0"/>
            <wp:docPr id="41" name="Image 41" descr="Forms response chart. Question title: 2.  Gangguan seksual adalah.... Number of responses: 15 / 15 correct responses."/>
            <wp:cNvGraphicFramePr>
              <a:graphicFrameLocks/>
            </wp:cNvGraphicFramePr>
            <a:graphic>
              <a:graphicData uri="http://schemas.openxmlformats.org/drawingml/2006/picture">
                <pic:pic>
                  <pic:nvPicPr>
                    <pic:cNvPr id="41" name="Image 41" descr="Forms response chart. Question title: 2.  Gangguan seksual adalah.... Number of responses: 15 / 15 correct responses."/>
                    <pic:cNvPicPr/>
                  </pic:nvPicPr>
                  <pic:blipFill>
                    <a:blip r:embed="rId45" cstate="print"/>
                    <a:stretch>
                      <a:fillRect/>
                    </a:stretch>
                  </pic:blipFill>
                  <pic:spPr>
                    <a:xfrm>
                      <a:off x="0" y="0"/>
                      <a:ext cx="5616266" cy="222313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5"/>
        <w:rPr>
          <w:sz w:val="20"/>
        </w:rPr>
      </w:pPr>
      <w:r>
        <w:rPr>
          <w:sz w:val="20"/>
        </w:rPr>
        <w:drawing>
          <wp:anchor distT="0" distB="0" distL="0" distR="0" allowOverlap="1" layoutInCell="1" locked="0" behindDoc="1" simplePos="0" relativeHeight="487599104">
            <wp:simplePos x="0" y="0"/>
            <wp:positionH relativeFrom="page">
              <wp:posOffset>1032123</wp:posOffset>
            </wp:positionH>
            <wp:positionV relativeFrom="paragraph">
              <wp:posOffset>253715</wp:posOffset>
            </wp:positionV>
            <wp:extent cx="5696213" cy="2223135"/>
            <wp:effectExtent l="0" t="0" r="0" b="0"/>
            <wp:wrapTopAndBottom/>
            <wp:docPr id="42" name="Image 42" descr="Forms response chart. Question title: 3.  Apakah yang perlu kamu lakukan jika mengalami kejadian gangguan seksual?. Number of responses: 15 / 15 correct responses."/>
            <wp:cNvGraphicFramePr>
              <a:graphicFrameLocks/>
            </wp:cNvGraphicFramePr>
            <a:graphic>
              <a:graphicData uri="http://schemas.openxmlformats.org/drawingml/2006/picture">
                <pic:pic>
                  <pic:nvPicPr>
                    <pic:cNvPr id="42" name="Image 42" descr="Forms response chart. Question title: 3.  Apakah yang perlu kamu lakukan jika mengalami kejadian gangguan seksual?. Number of responses: 15 / 15 correct responses."/>
                    <pic:cNvPicPr/>
                  </pic:nvPicPr>
                  <pic:blipFill>
                    <a:blip r:embed="rId46" cstate="print"/>
                    <a:stretch>
                      <a:fillRect/>
                    </a:stretch>
                  </pic:blipFill>
                  <pic:spPr>
                    <a:xfrm>
                      <a:off x="0" y="0"/>
                      <a:ext cx="5696213" cy="2223135"/>
                    </a:xfrm>
                    <a:prstGeom prst="rect">
                      <a:avLst/>
                    </a:prstGeom>
                  </pic:spPr>
                </pic:pic>
              </a:graphicData>
            </a:graphic>
          </wp:anchor>
        </w:drawing>
      </w:r>
    </w:p>
    <w:p>
      <w:pPr>
        <w:pStyle w:val="BodyText"/>
        <w:spacing w:after="0"/>
        <w:rPr>
          <w:sz w:val="20"/>
        </w:rPr>
        <w:sectPr>
          <w:pgSz w:w="11920" w:h="16840"/>
          <w:pgMar w:top="1820" w:bottom="280" w:left="1417" w:right="992"/>
        </w:sectPr>
      </w:pPr>
    </w:p>
    <w:p>
      <w:pPr>
        <w:spacing w:line="240" w:lineRule="auto"/>
        <w:ind w:left="258" w:right="0" w:firstLine="0"/>
        <w:rPr>
          <w:sz w:val="20"/>
        </w:rPr>
      </w:pPr>
      <w:r>
        <w:rPr>
          <w:sz w:val="20"/>
        </w:rPr>
        <w:drawing>
          <wp:inline distT="0" distB="0" distL="0" distR="0">
            <wp:extent cx="5664806" cy="2223135"/>
            <wp:effectExtent l="0" t="0" r="0" b="0"/>
            <wp:docPr id="43" name="Image 43" descr="Forms response chart. Question title: 4. Apakah contoh gangguan dalam talian? . Number of responses: 15 / 15 correct responses."/>
            <wp:cNvGraphicFramePr>
              <a:graphicFrameLocks/>
            </wp:cNvGraphicFramePr>
            <a:graphic>
              <a:graphicData uri="http://schemas.openxmlformats.org/drawingml/2006/picture">
                <pic:pic>
                  <pic:nvPicPr>
                    <pic:cNvPr id="43" name="Image 43" descr="Forms response chart. Question title: 4. Apakah contoh gangguan dalam talian? . Number of responses: 15 / 15 correct responses."/>
                    <pic:cNvPicPr/>
                  </pic:nvPicPr>
                  <pic:blipFill>
                    <a:blip r:embed="rId47" cstate="print"/>
                    <a:stretch>
                      <a:fillRect/>
                    </a:stretch>
                  </pic:blipFill>
                  <pic:spPr>
                    <a:xfrm>
                      <a:off x="0" y="0"/>
                      <a:ext cx="5664806" cy="222313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5"/>
        <w:rPr>
          <w:sz w:val="20"/>
        </w:rPr>
      </w:pPr>
      <w:r>
        <w:rPr>
          <w:sz w:val="20"/>
        </w:rPr>
        <w:drawing>
          <wp:anchor distT="0" distB="0" distL="0" distR="0" allowOverlap="1" layoutInCell="1" locked="0" behindDoc="1" simplePos="0" relativeHeight="487599616">
            <wp:simplePos x="0" y="0"/>
            <wp:positionH relativeFrom="page">
              <wp:posOffset>1133698</wp:posOffset>
            </wp:positionH>
            <wp:positionV relativeFrom="paragraph">
              <wp:posOffset>253715</wp:posOffset>
            </wp:positionV>
            <wp:extent cx="5621977" cy="2223135"/>
            <wp:effectExtent l="0" t="0" r="0" b="0"/>
            <wp:wrapTopAndBottom/>
            <wp:docPr id="44" name="Image 44" descr="Forms response chart. Question title: 5. Memeluk, mencium atau menyentuh ialah?. Number of responses: 10 / 15 correct responses."/>
            <wp:cNvGraphicFramePr>
              <a:graphicFrameLocks/>
            </wp:cNvGraphicFramePr>
            <a:graphic>
              <a:graphicData uri="http://schemas.openxmlformats.org/drawingml/2006/picture">
                <pic:pic>
                  <pic:nvPicPr>
                    <pic:cNvPr id="44" name="Image 44" descr="Forms response chart. Question title: 5. Memeluk, mencium atau menyentuh ialah?. Number of responses: 10 / 15 correct responses."/>
                    <pic:cNvPicPr/>
                  </pic:nvPicPr>
                  <pic:blipFill>
                    <a:blip r:embed="rId48" cstate="print"/>
                    <a:stretch>
                      <a:fillRect/>
                    </a:stretch>
                  </pic:blipFill>
                  <pic:spPr>
                    <a:xfrm>
                      <a:off x="0" y="0"/>
                      <a:ext cx="5621977" cy="2223135"/>
                    </a:xfrm>
                    <a:prstGeom prst="rect">
                      <a:avLst/>
                    </a:prstGeom>
                  </pic:spPr>
                </pic:pic>
              </a:graphicData>
            </a:graphic>
          </wp:anchor>
        </w:drawing>
      </w:r>
    </w:p>
    <w:p>
      <w:pPr>
        <w:pStyle w:val="BodyText"/>
        <w:spacing w:after="0"/>
        <w:rPr>
          <w:sz w:val="20"/>
        </w:rPr>
        <w:sectPr>
          <w:pgSz w:w="11920" w:h="16840"/>
          <w:pgMar w:top="1820" w:bottom="280" w:left="1417" w:right="992"/>
        </w:sectPr>
      </w:pPr>
    </w:p>
    <w:p>
      <w:pPr>
        <w:spacing w:line="240" w:lineRule="auto"/>
        <w:ind w:left="126" w:right="0" w:firstLine="0"/>
        <w:rPr>
          <w:sz w:val="20"/>
        </w:rPr>
      </w:pPr>
      <w:r>
        <w:rPr>
          <w:sz w:val="20"/>
        </w:rPr>
        <w:drawing>
          <wp:inline distT="0" distB="0" distL="0" distR="0">
            <wp:extent cx="5747608" cy="2223135"/>
            <wp:effectExtent l="0" t="0" r="0" b="0"/>
            <wp:docPr id="45" name="Image 45" descr="Forms response chart. Question title: 6.  Kategori gangguan seksual adalah seperti berikut KECUALI?. Number of responses: 15 / 15 correct responses."/>
            <wp:cNvGraphicFramePr>
              <a:graphicFrameLocks/>
            </wp:cNvGraphicFramePr>
            <a:graphic>
              <a:graphicData uri="http://schemas.openxmlformats.org/drawingml/2006/picture">
                <pic:pic>
                  <pic:nvPicPr>
                    <pic:cNvPr id="45" name="Image 45" descr="Forms response chart. Question title: 6.  Kategori gangguan seksual adalah seperti berikut KECUALI?. Number of responses: 15 / 15 correct responses."/>
                    <pic:cNvPicPr/>
                  </pic:nvPicPr>
                  <pic:blipFill>
                    <a:blip r:embed="rId49" cstate="print"/>
                    <a:stretch>
                      <a:fillRect/>
                    </a:stretch>
                  </pic:blipFill>
                  <pic:spPr>
                    <a:xfrm>
                      <a:off x="0" y="0"/>
                      <a:ext cx="5747608" cy="222313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5"/>
        <w:rPr>
          <w:sz w:val="20"/>
        </w:rPr>
      </w:pPr>
      <w:r>
        <w:rPr>
          <w:sz w:val="20"/>
        </w:rPr>
        <w:drawing>
          <wp:anchor distT="0" distB="0" distL="0" distR="0" allowOverlap="1" layoutInCell="1" locked="0" behindDoc="1" simplePos="0" relativeHeight="487600128">
            <wp:simplePos x="0" y="0"/>
            <wp:positionH relativeFrom="page">
              <wp:posOffset>1130796</wp:posOffset>
            </wp:positionH>
            <wp:positionV relativeFrom="paragraph">
              <wp:posOffset>253412</wp:posOffset>
            </wp:positionV>
            <wp:extent cx="5632465" cy="2414587"/>
            <wp:effectExtent l="0" t="0" r="0" b="0"/>
            <wp:wrapTopAndBottom/>
            <wp:docPr id="46" name="Image 46" descr="Forms response chart. Question title: 7.  Perbualan, membuat bunyi-bunyian, komen berunsur seksual ke atas penampilan. Ini merujuk gangguan seksual secara?. Number of responses: 10 / 15 correct responses."/>
            <wp:cNvGraphicFramePr>
              <a:graphicFrameLocks/>
            </wp:cNvGraphicFramePr>
            <a:graphic>
              <a:graphicData uri="http://schemas.openxmlformats.org/drawingml/2006/picture">
                <pic:pic>
                  <pic:nvPicPr>
                    <pic:cNvPr id="46" name="Image 46" descr="Forms response chart. Question title: 7.  Perbualan, membuat bunyi-bunyian, komen berunsur seksual ke atas penampilan. Ini merujuk gangguan seksual secara?. Number of responses: 10 / 15 correct responses."/>
                    <pic:cNvPicPr/>
                  </pic:nvPicPr>
                  <pic:blipFill>
                    <a:blip r:embed="rId50" cstate="print"/>
                    <a:stretch>
                      <a:fillRect/>
                    </a:stretch>
                  </pic:blipFill>
                  <pic:spPr>
                    <a:xfrm>
                      <a:off x="0" y="0"/>
                      <a:ext cx="5632465" cy="2414587"/>
                    </a:xfrm>
                    <a:prstGeom prst="rect">
                      <a:avLst/>
                    </a:prstGeom>
                  </pic:spPr>
                </pic:pic>
              </a:graphicData>
            </a:graphic>
          </wp:anchor>
        </w:drawing>
      </w:r>
    </w:p>
    <w:p>
      <w:pPr>
        <w:pStyle w:val="BodyText"/>
        <w:spacing w:after="0"/>
        <w:rPr>
          <w:sz w:val="20"/>
        </w:rPr>
        <w:sectPr>
          <w:pgSz w:w="11920" w:h="16840"/>
          <w:pgMar w:top="1820" w:bottom="280" w:left="1417" w:right="992"/>
        </w:sectPr>
      </w:pPr>
    </w:p>
    <w:p>
      <w:pPr>
        <w:spacing w:line="240" w:lineRule="auto"/>
        <w:ind w:left="176" w:right="0" w:firstLine="0"/>
        <w:rPr>
          <w:sz w:val="20"/>
        </w:rPr>
      </w:pPr>
      <w:r>
        <w:rPr>
          <w:sz w:val="20"/>
        </w:rPr>
        <w:drawing>
          <wp:inline distT="0" distB="0" distL="0" distR="0">
            <wp:extent cx="5723957" cy="2414587"/>
            <wp:effectExtent l="0" t="0" r="0" b="0"/>
            <wp:docPr id="47" name="Image 47" descr="Forms response chart. Question title: 8. Apakah yang akan berlaku sekiranya seseorang individu sering menjadi mangsa gangguan seksual? . Number of responses: 15 / 15 correct responses."/>
            <wp:cNvGraphicFramePr>
              <a:graphicFrameLocks/>
            </wp:cNvGraphicFramePr>
            <a:graphic>
              <a:graphicData uri="http://schemas.openxmlformats.org/drawingml/2006/picture">
                <pic:pic>
                  <pic:nvPicPr>
                    <pic:cNvPr id="47" name="Image 47" descr="Forms response chart. Question title: 8. Apakah yang akan berlaku sekiranya seseorang individu sering menjadi mangsa gangguan seksual? . Number of responses: 15 / 15 correct responses."/>
                    <pic:cNvPicPr/>
                  </pic:nvPicPr>
                  <pic:blipFill>
                    <a:blip r:embed="rId51" cstate="print"/>
                    <a:stretch>
                      <a:fillRect/>
                    </a:stretch>
                  </pic:blipFill>
                  <pic:spPr>
                    <a:xfrm>
                      <a:off x="0" y="0"/>
                      <a:ext cx="5723957" cy="241458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1"/>
        <w:rPr>
          <w:sz w:val="20"/>
        </w:rPr>
      </w:pPr>
      <w:r>
        <w:rPr>
          <w:sz w:val="20"/>
        </w:rPr>
        <w:drawing>
          <wp:anchor distT="0" distB="0" distL="0" distR="0" allowOverlap="1" layoutInCell="1" locked="0" behindDoc="1" simplePos="0" relativeHeight="487600640">
            <wp:simplePos x="0" y="0"/>
            <wp:positionH relativeFrom="page">
              <wp:posOffset>1122089</wp:posOffset>
            </wp:positionH>
            <wp:positionV relativeFrom="paragraph">
              <wp:posOffset>251053</wp:posOffset>
            </wp:positionV>
            <wp:extent cx="5480932" cy="2414587"/>
            <wp:effectExtent l="0" t="0" r="0" b="0"/>
            <wp:wrapTopAndBottom/>
            <wp:docPr id="48" name="Image 48" descr="Forms response chart. Question title: 9.  Mendesak, mengugut/memujuk rayu bagi memenuhi keinginan seksual seseorang. Ini merujuk jenis gangguan seksual secara.... Number of responses: 4 / 15 correct responses."/>
            <wp:cNvGraphicFramePr>
              <a:graphicFrameLocks/>
            </wp:cNvGraphicFramePr>
            <a:graphic>
              <a:graphicData uri="http://schemas.openxmlformats.org/drawingml/2006/picture">
                <pic:pic>
                  <pic:nvPicPr>
                    <pic:cNvPr id="48" name="Image 48" descr="Forms response chart. Question title: 9.  Mendesak, mengugut/memujuk rayu bagi memenuhi keinginan seksual seseorang. Ini merujuk jenis gangguan seksual secara.... Number of responses: 4 / 15 correct responses."/>
                    <pic:cNvPicPr/>
                  </pic:nvPicPr>
                  <pic:blipFill>
                    <a:blip r:embed="rId52" cstate="print"/>
                    <a:stretch>
                      <a:fillRect/>
                    </a:stretch>
                  </pic:blipFill>
                  <pic:spPr>
                    <a:xfrm>
                      <a:off x="0" y="0"/>
                      <a:ext cx="5480932" cy="2414587"/>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111"/>
      </w:pPr>
    </w:p>
    <w:p>
      <w:pPr>
        <w:pStyle w:val="ListParagraph"/>
        <w:numPr>
          <w:ilvl w:val="0"/>
          <w:numId w:val="5"/>
        </w:numPr>
        <w:tabs>
          <w:tab w:pos="263" w:val="left" w:leader="none"/>
        </w:tabs>
        <w:spacing w:line="240" w:lineRule="auto" w:before="0" w:after="0"/>
        <w:ind w:left="263" w:right="0" w:hanging="240"/>
        <w:jc w:val="left"/>
        <w:rPr>
          <w:sz w:val="24"/>
        </w:rPr>
      </w:pPr>
      <w:r>
        <w:rPr>
          <w:sz w:val="24"/>
        </w:rPr>
        <w:t>Sexual Symptom Assessment Scale </w:t>
      </w:r>
      <w:r>
        <w:rPr>
          <w:spacing w:val="-2"/>
          <w:sz w:val="24"/>
        </w:rPr>
        <w:t>(SSAS)</w:t>
      </w:r>
    </w:p>
    <w:p>
      <w:pPr>
        <w:pStyle w:val="ListParagraph"/>
        <w:spacing w:after="0" w:line="240" w:lineRule="auto"/>
        <w:jc w:val="left"/>
        <w:rPr>
          <w:sz w:val="24"/>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4140281" cy="1963102"/>
            <wp:effectExtent l="0" t="0" r="0" b="0"/>
            <wp:docPr id="49" name="Image 49" descr="Forms response chart. Question title: Jantina. Number of responses: 30 responses."/>
            <wp:cNvGraphicFramePr>
              <a:graphicFrameLocks/>
            </wp:cNvGraphicFramePr>
            <a:graphic>
              <a:graphicData uri="http://schemas.openxmlformats.org/drawingml/2006/picture">
                <pic:pic>
                  <pic:nvPicPr>
                    <pic:cNvPr id="49" name="Image 49" descr="Forms response chart. Question title: Jantina. Number of responses: 30 responses."/>
                    <pic:cNvPicPr/>
                  </pic:nvPicPr>
                  <pic:blipFill>
                    <a:blip r:embed="rId53" cstate="print"/>
                    <a:stretch>
                      <a:fillRect/>
                    </a:stretch>
                  </pic:blipFill>
                  <pic:spPr>
                    <a:xfrm>
                      <a:off x="0" y="0"/>
                      <a:ext cx="4140281" cy="196310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8"/>
        <w:rPr>
          <w:sz w:val="20"/>
        </w:rPr>
      </w:pPr>
      <w:r>
        <w:rPr>
          <w:sz w:val="20"/>
        </w:rPr>
        <w:drawing>
          <wp:anchor distT="0" distB="0" distL="0" distR="0" allowOverlap="1" layoutInCell="1" locked="0" behindDoc="1" simplePos="0" relativeHeight="487601152">
            <wp:simplePos x="0" y="0"/>
            <wp:positionH relativeFrom="page">
              <wp:posOffset>1130796</wp:posOffset>
            </wp:positionH>
            <wp:positionV relativeFrom="paragraph">
              <wp:posOffset>185727</wp:posOffset>
            </wp:positionV>
            <wp:extent cx="4490893" cy="2025586"/>
            <wp:effectExtent l="0" t="0" r="0" b="0"/>
            <wp:wrapTopAndBottom/>
            <wp:docPr id="50" name="Image 50" descr="Forms response chart. Question title: Umur. Number of responses: 30 responses."/>
            <wp:cNvGraphicFramePr>
              <a:graphicFrameLocks/>
            </wp:cNvGraphicFramePr>
            <a:graphic>
              <a:graphicData uri="http://schemas.openxmlformats.org/drawingml/2006/picture">
                <pic:pic>
                  <pic:nvPicPr>
                    <pic:cNvPr id="50" name="Image 50" descr="Forms response chart. Question title: Umur. Number of responses: 30 responses."/>
                    <pic:cNvPicPr/>
                  </pic:nvPicPr>
                  <pic:blipFill>
                    <a:blip r:embed="rId54" cstate="print"/>
                    <a:stretch>
                      <a:fillRect/>
                    </a:stretch>
                  </pic:blipFill>
                  <pic:spPr>
                    <a:xfrm>
                      <a:off x="0" y="0"/>
                      <a:ext cx="4490893" cy="202558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60"/>
        <w:rPr>
          <w:sz w:val="20"/>
        </w:rPr>
      </w:pPr>
      <w:r>
        <w:rPr>
          <w:sz w:val="20"/>
        </w:rPr>
        <w:drawing>
          <wp:anchor distT="0" distB="0" distL="0" distR="0" allowOverlap="1" layoutInCell="1" locked="0" behindDoc="1" simplePos="0" relativeHeight="487601664">
            <wp:simplePos x="0" y="0"/>
            <wp:positionH relativeFrom="page">
              <wp:posOffset>1130796</wp:posOffset>
            </wp:positionH>
            <wp:positionV relativeFrom="paragraph">
              <wp:posOffset>262958</wp:posOffset>
            </wp:positionV>
            <wp:extent cx="5661057" cy="2303145"/>
            <wp:effectExtent l="0" t="0" r="0" b="0"/>
            <wp:wrapTopAndBottom/>
            <wp:docPr id="51" name="Image 51" descr="Forms response chart. Question title: 1. If you had urges to engage in problematic sexual behaviors, on average, how strong were your urges? Please circle the most appropriate number:. Number of responses: 30 responses."/>
            <wp:cNvGraphicFramePr>
              <a:graphicFrameLocks/>
            </wp:cNvGraphicFramePr>
            <a:graphic>
              <a:graphicData uri="http://schemas.openxmlformats.org/drawingml/2006/picture">
                <pic:pic>
                  <pic:nvPicPr>
                    <pic:cNvPr id="51" name="Image 51" descr="Forms response chart. Question title: 1. If you had urges to engage in problematic sexual behaviors, on average, how strong were your urges? Please circle the most appropriate number:. Number of responses: 30 responses."/>
                    <pic:cNvPicPr/>
                  </pic:nvPicPr>
                  <pic:blipFill>
                    <a:blip r:embed="rId55" cstate="print"/>
                    <a:stretch>
                      <a:fillRect/>
                    </a:stretch>
                  </pic:blipFill>
                  <pic:spPr>
                    <a:xfrm>
                      <a:off x="0" y="0"/>
                      <a:ext cx="5661057" cy="2303145"/>
                    </a:xfrm>
                    <a:prstGeom prst="rect">
                      <a:avLst/>
                    </a:prstGeom>
                  </pic:spPr>
                </pic:pic>
              </a:graphicData>
            </a:graphic>
          </wp:anchor>
        </w:drawing>
      </w:r>
    </w:p>
    <w:p>
      <w:pPr>
        <w:pStyle w:val="BodyText"/>
        <w:spacing w:after="0"/>
        <w:rPr>
          <w:sz w:val="20"/>
        </w:rPr>
        <w:sectPr>
          <w:pgSz w:w="11920" w:h="16840"/>
          <w:pgMar w:top="1840" w:bottom="280" w:left="1417" w:right="992"/>
        </w:sectPr>
      </w:pPr>
    </w:p>
    <w:p>
      <w:pPr>
        <w:spacing w:line="240" w:lineRule="auto"/>
        <w:ind w:left="363" w:right="0" w:firstLine="0"/>
        <w:rPr>
          <w:sz w:val="20"/>
        </w:rPr>
      </w:pPr>
      <w:r>
        <w:rPr>
          <w:sz w:val="20"/>
        </w:rPr>
        <w:drawing>
          <wp:inline distT="0" distB="0" distL="0" distR="0">
            <wp:extent cx="5661057" cy="2303145"/>
            <wp:effectExtent l="0" t="0" r="0" b="0"/>
            <wp:docPr id="52" name="Image 52" descr="Forms response chart. Question title: 2. How many times did you experience urges to engage in problematic sexual behaviors? Please circle the most appropriate number:  . Number of responses: 30 responses."/>
            <wp:cNvGraphicFramePr>
              <a:graphicFrameLocks/>
            </wp:cNvGraphicFramePr>
            <a:graphic>
              <a:graphicData uri="http://schemas.openxmlformats.org/drawingml/2006/picture">
                <pic:pic>
                  <pic:nvPicPr>
                    <pic:cNvPr id="52" name="Image 52" descr="Forms response chart. Question title: 2. How many times did you experience urges to engage in problematic sexual behaviors? Please circle the most appropriate number:  . Number of responses: 30 responses."/>
                    <pic:cNvPicPr/>
                  </pic:nvPicPr>
                  <pic:blipFill>
                    <a:blip r:embed="rId56" cstate="print"/>
                    <a:stretch>
                      <a:fillRect/>
                    </a:stretch>
                  </pic:blipFill>
                  <pic:spPr>
                    <a:xfrm>
                      <a:off x="0" y="0"/>
                      <a:ext cx="5661057" cy="230314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8"/>
        <w:rPr>
          <w:sz w:val="20"/>
        </w:rPr>
      </w:pPr>
      <w:r>
        <w:rPr>
          <w:sz w:val="20"/>
        </w:rPr>
        <w:drawing>
          <wp:anchor distT="0" distB="0" distL="0" distR="0" allowOverlap="1" layoutInCell="1" locked="0" behindDoc="1" simplePos="0" relativeHeight="487602176">
            <wp:simplePos x="0" y="0"/>
            <wp:positionH relativeFrom="page">
              <wp:posOffset>1130796</wp:posOffset>
            </wp:positionH>
            <wp:positionV relativeFrom="paragraph">
              <wp:posOffset>210974</wp:posOffset>
            </wp:positionV>
            <wp:extent cx="5661057" cy="2308860"/>
            <wp:effectExtent l="0" t="0" r="0" b="0"/>
            <wp:wrapTopAndBottom/>
            <wp:docPr id="53" name="Image 53" descr="Forms response chart. Question title: 3. How many hours (add up hours) were you preoccupied with your urges to engage in problematic sexual behaviors? Please circle the most appropriate number:   . Number of responses: 30 responses."/>
            <wp:cNvGraphicFramePr>
              <a:graphicFrameLocks/>
            </wp:cNvGraphicFramePr>
            <a:graphic>
              <a:graphicData uri="http://schemas.openxmlformats.org/drawingml/2006/picture">
                <pic:pic>
                  <pic:nvPicPr>
                    <pic:cNvPr id="53" name="Image 53" descr="Forms response chart. Question title: 3. How many hours (add up hours) were you preoccupied with your urges to engage in problematic sexual behaviors? Please circle the most appropriate number:   . Number of responses: 30 responses."/>
                    <pic:cNvPicPr/>
                  </pic:nvPicPr>
                  <pic:blipFill>
                    <a:blip r:embed="rId57" cstate="print"/>
                    <a:stretch>
                      <a:fillRect/>
                    </a:stretch>
                  </pic:blipFill>
                  <pic:spPr>
                    <a:xfrm>
                      <a:off x="0" y="0"/>
                      <a:ext cx="5661057" cy="2308860"/>
                    </a:xfrm>
                    <a:prstGeom prst="rect">
                      <a:avLst/>
                    </a:prstGeom>
                  </pic:spPr>
                </pic:pic>
              </a:graphicData>
            </a:graphic>
          </wp:anchor>
        </w:drawing>
      </w:r>
    </w:p>
    <w:p>
      <w:pPr>
        <w:pStyle w:val="BodyText"/>
        <w:spacing w:after="0"/>
        <w:rPr>
          <w:sz w:val="20"/>
        </w:rPr>
        <w:sectPr>
          <w:pgSz w:w="11920" w:h="16840"/>
          <w:pgMar w:top="1820" w:bottom="280" w:left="1417" w:right="992"/>
        </w:sectPr>
      </w:pPr>
    </w:p>
    <w:p>
      <w:pPr>
        <w:spacing w:line="240" w:lineRule="auto"/>
        <w:ind w:left="359" w:right="0" w:firstLine="0"/>
        <w:rPr>
          <w:sz w:val="20"/>
        </w:rPr>
      </w:pPr>
      <w:r>
        <w:rPr>
          <w:sz w:val="20"/>
        </w:rPr>
        <w:drawing>
          <wp:inline distT="0" distB="0" distL="0" distR="0">
            <wp:extent cx="5656240" cy="2111692"/>
            <wp:effectExtent l="0" t="0" r="0" b="0"/>
            <wp:docPr id="54" name="Image 54" descr="Forms response chart. Question title: 4. How much were you able to control your urges? Please circle the most appropriate number:   . Number of responses: 30 responses."/>
            <wp:cNvGraphicFramePr>
              <a:graphicFrameLocks/>
            </wp:cNvGraphicFramePr>
            <a:graphic>
              <a:graphicData uri="http://schemas.openxmlformats.org/drawingml/2006/picture">
                <pic:pic>
                  <pic:nvPicPr>
                    <pic:cNvPr id="54" name="Image 54" descr="Forms response chart. Question title: 4. How much were you able to control your urges? Please circle the most appropriate number:   . Number of responses: 30 responses."/>
                    <pic:cNvPicPr/>
                  </pic:nvPicPr>
                  <pic:blipFill>
                    <a:blip r:embed="rId58" cstate="print"/>
                    <a:stretch>
                      <a:fillRect/>
                    </a:stretch>
                  </pic:blipFill>
                  <pic:spPr>
                    <a:xfrm>
                      <a:off x="0" y="0"/>
                      <a:ext cx="5656240" cy="211169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0"/>
        <w:rPr>
          <w:sz w:val="20"/>
        </w:rPr>
      </w:pPr>
      <w:r>
        <w:rPr>
          <w:sz w:val="20"/>
        </w:rPr>
        <w:drawing>
          <wp:anchor distT="0" distB="0" distL="0" distR="0" allowOverlap="1" layoutInCell="1" locked="0" behindDoc="1" simplePos="0" relativeHeight="487602688">
            <wp:simplePos x="0" y="0"/>
            <wp:positionH relativeFrom="page">
              <wp:posOffset>1124991</wp:posOffset>
            </wp:positionH>
            <wp:positionV relativeFrom="paragraph">
              <wp:posOffset>218499</wp:posOffset>
            </wp:positionV>
            <wp:extent cx="5666775" cy="2303145"/>
            <wp:effectExtent l="0" t="0" r="0" b="0"/>
            <wp:wrapTopAndBottom/>
            <wp:docPr id="55" name="Image 55" descr="Forms response chart. Question title: 5. How often did thoughts about engaging in problematic sexual behaviors come up? Please circle the most appropriate number:   . Number of responses: 30 responses."/>
            <wp:cNvGraphicFramePr>
              <a:graphicFrameLocks/>
            </wp:cNvGraphicFramePr>
            <a:graphic>
              <a:graphicData uri="http://schemas.openxmlformats.org/drawingml/2006/picture">
                <pic:pic>
                  <pic:nvPicPr>
                    <pic:cNvPr id="55" name="Image 55" descr="Forms response chart. Question title: 5. How often did thoughts about engaging in problematic sexual behaviors come up? Please circle the most appropriate number:   . Number of responses: 30 responses."/>
                    <pic:cNvPicPr/>
                  </pic:nvPicPr>
                  <pic:blipFill>
                    <a:blip r:embed="rId59" cstate="print"/>
                    <a:stretch>
                      <a:fillRect/>
                    </a:stretch>
                  </pic:blipFill>
                  <pic:spPr>
                    <a:xfrm>
                      <a:off x="0" y="0"/>
                      <a:ext cx="5666775" cy="2303145"/>
                    </a:xfrm>
                    <a:prstGeom prst="rect">
                      <a:avLst/>
                    </a:prstGeom>
                  </pic:spPr>
                </pic:pic>
              </a:graphicData>
            </a:graphic>
          </wp:anchor>
        </w:drawing>
      </w:r>
    </w:p>
    <w:p>
      <w:pPr>
        <w:pStyle w:val="BodyText"/>
        <w:spacing w:after="0"/>
        <w:rPr>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72462" cy="2308859"/>
            <wp:effectExtent l="0" t="0" r="0" b="0"/>
            <wp:docPr id="56" name="Image 56" descr="Forms response chart. Question title: 6. Approximately how many hours (add up hours) did you spend thinking about engaging in problematic sexual behaviors? Please circle the most appropriate number:. Number of responses: 30 responses."/>
            <wp:cNvGraphicFramePr>
              <a:graphicFrameLocks/>
            </wp:cNvGraphicFramePr>
            <a:graphic>
              <a:graphicData uri="http://schemas.openxmlformats.org/drawingml/2006/picture">
                <pic:pic>
                  <pic:nvPicPr>
                    <pic:cNvPr id="56" name="Image 56" descr="Forms response chart. Question title: 6. Approximately how many hours (add up hours) did you spend thinking about engaging in problematic sexual behaviors? Please circle the most appropriate number:. Number of responses: 30 responses."/>
                    <pic:cNvPicPr/>
                  </pic:nvPicPr>
                  <pic:blipFill>
                    <a:blip r:embed="rId60" cstate="print"/>
                    <a:stretch>
                      <a:fillRect/>
                    </a:stretch>
                  </pic:blipFill>
                  <pic:spPr>
                    <a:xfrm>
                      <a:off x="0" y="0"/>
                      <a:ext cx="5672462" cy="230885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0"/>
        <w:rPr>
          <w:sz w:val="20"/>
        </w:rPr>
      </w:pPr>
      <w:r>
        <w:rPr>
          <w:sz w:val="20"/>
        </w:rPr>
        <w:drawing>
          <wp:anchor distT="0" distB="0" distL="0" distR="0" allowOverlap="1" layoutInCell="1" locked="0" behindDoc="1" simplePos="0" relativeHeight="487603200">
            <wp:simplePos x="0" y="0"/>
            <wp:positionH relativeFrom="page">
              <wp:posOffset>1124991</wp:posOffset>
            </wp:positionH>
            <wp:positionV relativeFrom="paragraph">
              <wp:posOffset>212149</wp:posOffset>
            </wp:positionV>
            <wp:extent cx="5666775" cy="2303145"/>
            <wp:effectExtent l="0" t="0" r="0" b="0"/>
            <wp:wrapTopAndBottom/>
            <wp:docPr id="57" name="Image 57" descr="Forms response chart. Question title: 7. How much were you able to control your thoughts of problematic sexual behaviors? Please circle the most appropriate number:. Number of responses: 30 responses."/>
            <wp:cNvGraphicFramePr>
              <a:graphicFrameLocks/>
            </wp:cNvGraphicFramePr>
            <a:graphic>
              <a:graphicData uri="http://schemas.openxmlformats.org/drawingml/2006/picture">
                <pic:pic>
                  <pic:nvPicPr>
                    <pic:cNvPr id="57" name="Image 57" descr="Forms response chart. Question title: 7. How much were you able to control your thoughts of problematic sexual behaviors? Please circle the most appropriate number:. Number of responses: 30 responses."/>
                    <pic:cNvPicPr/>
                  </pic:nvPicPr>
                  <pic:blipFill>
                    <a:blip r:embed="rId61" cstate="print"/>
                    <a:stretch>
                      <a:fillRect/>
                    </a:stretch>
                  </pic:blipFill>
                  <pic:spPr>
                    <a:xfrm>
                      <a:off x="0" y="0"/>
                      <a:ext cx="5666775" cy="2303145"/>
                    </a:xfrm>
                    <a:prstGeom prst="rect">
                      <a:avLst/>
                    </a:prstGeom>
                  </pic:spPr>
                </pic:pic>
              </a:graphicData>
            </a:graphic>
          </wp:anchor>
        </w:drawing>
      </w:r>
    </w:p>
    <w:p>
      <w:pPr>
        <w:pStyle w:val="BodyText"/>
        <w:spacing w:after="0"/>
        <w:rPr>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61057" cy="2303145"/>
            <wp:effectExtent l="0" t="0" r="0" b="0"/>
            <wp:docPr id="58" name="Image 58" descr="Forms response chart. Question title: 8. Approximately how much total time did you spend engaging in problematic sexual behaviors? Please circle the most appropriate number:. Number of responses: 30 responses."/>
            <wp:cNvGraphicFramePr>
              <a:graphicFrameLocks/>
            </wp:cNvGraphicFramePr>
            <a:graphic>
              <a:graphicData uri="http://schemas.openxmlformats.org/drawingml/2006/picture">
                <pic:pic>
                  <pic:nvPicPr>
                    <pic:cNvPr id="58" name="Image 58" descr="Forms response chart. Question title: 8. Approximately how much total time did you spend engaging in problematic sexual behaviors? Please circle the most appropriate number:. Number of responses: 30 responses."/>
                    <pic:cNvPicPr/>
                  </pic:nvPicPr>
                  <pic:blipFill>
                    <a:blip r:embed="rId62" cstate="print"/>
                    <a:stretch>
                      <a:fillRect/>
                    </a:stretch>
                  </pic:blipFill>
                  <pic:spPr>
                    <a:xfrm>
                      <a:off x="0" y="0"/>
                      <a:ext cx="5661057" cy="230314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7"/>
        <w:rPr>
          <w:sz w:val="20"/>
        </w:rPr>
      </w:pPr>
      <w:r>
        <w:rPr>
          <w:sz w:val="20"/>
        </w:rPr>
        <w:drawing>
          <wp:anchor distT="0" distB="0" distL="0" distR="0" allowOverlap="1" layoutInCell="1" locked="0" behindDoc="1" simplePos="0" relativeHeight="487603712">
            <wp:simplePos x="0" y="0"/>
            <wp:positionH relativeFrom="page">
              <wp:posOffset>1130796</wp:posOffset>
            </wp:positionH>
            <wp:positionV relativeFrom="paragraph">
              <wp:posOffset>216775</wp:posOffset>
            </wp:positionV>
            <wp:extent cx="5661057" cy="2303145"/>
            <wp:effectExtent l="0" t="0" r="0" b="0"/>
            <wp:wrapTopAndBottom/>
            <wp:docPr id="59" name="Image 59" descr="Forms response chart. Question title: 9. On average, how much anticipatory tension and/or excitement did you have shortly before you engaged in problematic sexual behaviors? If you did not actually engage in such behaviors, please estimate how much tension and/or excitement you believe you would have experienced if you had engaged in problematic sexual behaviors. Please circle the most appropriate number:. Number of responses: 30 responses."/>
            <wp:cNvGraphicFramePr>
              <a:graphicFrameLocks/>
            </wp:cNvGraphicFramePr>
            <a:graphic>
              <a:graphicData uri="http://schemas.openxmlformats.org/drawingml/2006/picture">
                <pic:pic>
                  <pic:nvPicPr>
                    <pic:cNvPr id="59" name="Image 59" descr="Forms response chart. Question title: 9. On average, how much anticipatory tension and/or excitement did you have shortly before you engaged in problematic sexual behaviors? If you did not actually engage in such behaviors, please estimate how much tension and/or excitement you believe you would have experienced if you had engaged in problematic sexual behaviors. Please circle the most appropriate number:. Number of responses: 30 responses."/>
                    <pic:cNvPicPr/>
                  </pic:nvPicPr>
                  <pic:blipFill>
                    <a:blip r:embed="rId63" cstate="print"/>
                    <a:stretch>
                      <a:fillRect/>
                    </a:stretch>
                  </pic:blipFill>
                  <pic:spPr>
                    <a:xfrm>
                      <a:off x="0" y="0"/>
                      <a:ext cx="5661057" cy="2303145"/>
                    </a:xfrm>
                    <a:prstGeom prst="rect">
                      <a:avLst/>
                    </a:prstGeom>
                  </pic:spPr>
                </pic:pic>
              </a:graphicData>
            </a:graphic>
          </wp:anchor>
        </w:drawing>
      </w:r>
    </w:p>
    <w:p>
      <w:pPr>
        <w:pStyle w:val="BodyText"/>
        <w:spacing w:after="0"/>
        <w:rPr>
          <w:sz w:val="20"/>
        </w:rPr>
        <w:sectPr>
          <w:pgSz w:w="11920" w:h="16840"/>
          <w:pgMar w:top="1820" w:bottom="280" w:left="1417" w:right="992"/>
        </w:sectPr>
      </w:pPr>
    </w:p>
    <w:p>
      <w:pPr>
        <w:spacing w:line="240" w:lineRule="auto"/>
        <w:ind w:left="363" w:right="0" w:firstLine="0"/>
        <w:rPr>
          <w:sz w:val="20"/>
        </w:rPr>
      </w:pPr>
      <w:r>
        <w:rPr>
          <w:sz w:val="20"/>
        </w:rPr>
        <w:drawing>
          <wp:inline distT="0" distB="0" distL="0" distR="0">
            <wp:extent cx="5661057" cy="2303145"/>
            <wp:effectExtent l="0" t="0" r="0" b="0"/>
            <wp:docPr id="60" name="Image 60" descr="Forms response chart. Question title: 10. On average, how much excitement and pleasure did you feel when you engaged in problematic sexual behaviors? If you did not actually engage in such behaviors, please estimate how much excitement and pleasure you would have experienced, if you had. Please circle the most appropriate number:. Number of responses: 30 responses."/>
            <wp:cNvGraphicFramePr>
              <a:graphicFrameLocks/>
            </wp:cNvGraphicFramePr>
            <a:graphic>
              <a:graphicData uri="http://schemas.openxmlformats.org/drawingml/2006/picture">
                <pic:pic>
                  <pic:nvPicPr>
                    <pic:cNvPr id="60" name="Image 60" descr="Forms response chart. Question title: 10. On average, how much excitement and pleasure did you feel when you engaged in problematic sexual behaviors? If you did not actually engage in such behaviors, please estimate how much excitement and pleasure you would have experienced, if you had. Please circle the most appropriate number:. Number of responses: 30 responses."/>
                    <pic:cNvPicPr/>
                  </pic:nvPicPr>
                  <pic:blipFill>
                    <a:blip r:embed="rId64" cstate="print"/>
                    <a:stretch>
                      <a:fillRect/>
                    </a:stretch>
                  </pic:blipFill>
                  <pic:spPr>
                    <a:xfrm>
                      <a:off x="0" y="0"/>
                      <a:ext cx="5661057" cy="230314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8"/>
        <w:rPr>
          <w:sz w:val="20"/>
        </w:rPr>
      </w:pPr>
      <w:r>
        <w:rPr>
          <w:sz w:val="20"/>
        </w:rPr>
        <w:drawing>
          <wp:anchor distT="0" distB="0" distL="0" distR="0" allowOverlap="1" layoutInCell="1" locked="0" behindDoc="1" simplePos="0" relativeHeight="487604224">
            <wp:simplePos x="0" y="0"/>
            <wp:positionH relativeFrom="page">
              <wp:posOffset>1130796</wp:posOffset>
            </wp:positionH>
            <wp:positionV relativeFrom="paragraph">
              <wp:posOffset>210974</wp:posOffset>
            </wp:positionV>
            <wp:extent cx="5661057" cy="2308860"/>
            <wp:effectExtent l="0" t="0" r="0" b="0"/>
            <wp:wrapTopAndBottom/>
            <wp:docPr id="61" name="Image 61" descr="Forms response chart. Question title: 11. How much emotional distress (mental pain or anguish, shame, guilt, embarrassment) has your problematic sexual behavior caused you? Please circle the most appropriate number:. Number of responses: 30 responses."/>
            <wp:cNvGraphicFramePr>
              <a:graphicFrameLocks/>
            </wp:cNvGraphicFramePr>
            <a:graphic>
              <a:graphicData uri="http://schemas.openxmlformats.org/drawingml/2006/picture">
                <pic:pic>
                  <pic:nvPicPr>
                    <pic:cNvPr id="61" name="Image 61" descr="Forms response chart. Question title: 11. How much emotional distress (mental pain or anguish, shame, guilt, embarrassment) has your problematic sexual behavior caused you? Please circle the most appropriate number:. Number of responses: 30 responses."/>
                    <pic:cNvPicPr/>
                  </pic:nvPicPr>
                  <pic:blipFill>
                    <a:blip r:embed="rId65" cstate="print"/>
                    <a:stretch>
                      <a:fillRect/>
                    </a:stretch>
                  </pic:blipFill>
                  <pic:spPr>
                    <a:xfrm>
                      <a:off x="0" y="0"/>
                      <a:ext cx="5661057" cy="2308860"/>
                    </a:xfrm>
                    <a:prstGeom prst="rect">
                      <a:avLst/>
                    </a:prstGeom>
                  </pic:spPr>
                </pic:pic>
              </a:graphicData>
            </a:graphic>
          </wp:anchor>
        </w:drawing>
      </w:r>
    </w:p>
    <w:p>
      <w:pPr>
        <w:pStyle w:val="BodyText"/>
        <w:spacing w:after="0"/>
        <w:rPr>
          <w:sz w:val="20"/>
        </w:rPr>
        <w:sectPr>
          <w:pgSz w:w="11920" w:h="16840"/>
          <w:pgMar w:top="1820" w:bottom="280" w:left="1417" w:right="992"/>
        </w:sectPr>
      </w:pPr>
    </w:p>
    <w:p>
      <w:pPr>
        <w:pStyle w:val="ListParagraph"/>
        <w:numPr>
          <w:ilvl w:val="0"/>
          <w:numId w:val="5"/>
        </w:numPr>
        <w:tabs>
          <w:tab w:pos="263" w:val="left" w:leader="none"/>
        </w:tabs>
        <w:spacing w:line="240" w:lineRule="auto" w:before="60" w:after="0"/>
        <w:ind w:left="263" w:right="0" w:hanging="240"/>
        <w:jc w:val="left"/>
        <w:rPr>
          <w:sz w:val="24"/>
        </w:rPr>
      </w:pPr>
      <w:r>
        <w:rPr>
          <w:sz w:val="24"/>
        </w:rPr>
        <w:t>Final </w:t>
      </w:r>
      <w:r>
        <w:rPr>
          <w:spacing w:val="-2"/>
          <w:sz w:val="24"/>
        </w:rPr>
        <w:t>Reflection</w:t>
      </w:r>
    </w:p>
    <w:p>
      <w:pPr>
        <w:pStyle w:val="BodyText"/>
        <w:rPr>
          <w:sz w:val="20"/>
        </w:rPr>
      </w:pPr>
    </w:p>
    <w:p>
      <w:pPr>
        <w:pStyle w:val="BodyText"/>
        <w:spacing w:before="179"/>
        <w:rPr>
          <w:sz w:val="20"/>
        </w:rPr>
      </w:pPr>
      <w:r>
        <w:rPr>
          <w:sz w:val="20"/>
        </w:rPr>
        <w:drawing>
          <wp:anchor distT="0" distB="0" distL="0" distR="0" allowOverlap="1" layoutInCell="1" locked="0" behindDoc="1" simplePos="0" relativeHeight="487604736">
            <wp:simplePos x="0" y="0"/>
            <wp:positionH relativeFrom="page">
              <wp:posOffset>1130796</wp:posOffset>
            </wp:positionH>
            <wp:positionV relativeFrom="paragraph">
              <wp:posOffset>275451</wp:posOffset>
            </wp:positionV>
            <wp:extent cx="5637943" cy="2034444"/>
            <wp:effectExtent l="0" t="0" r="0" b="0"/>
            <wp:wrapTopAndBottom/>
            <wp:docPr id="62" name="Image 62" descr="Forms response chart. Question title: 1. Manakah antara situasi berikut merupakan contoh gangguan seksual secara verbal di pejabat?. Number of responses: 35 responses."/>
            <wp:cNvGraphicFramePr>
              <a:graphicFrameLocks/>
            </wp:cNvGraphicFramePr>
            <a:graphic>
              <a:graphicData uri="http://schemas.openxmlformats.org/drawingml/2006/picture">
                <pic:pic>
                  <pic:nvPicPr>
                    <pic:cNvPr id="62" name="Image 62" descr="Forms response chart. Question title: 1. Manakah antara situasi berikut merupakan contoh gangguan seksual secara verbal di pejabat?. Number of responses: 35 responses."/>
                    <pic:cNvPicPr/>
                  </pic:nvPicPr>
                  <pic:blipFill>
                    <a:blip r:embed="rId66" cstate="print"/>
                    <a:stretch>
                      <a:fillRect/>
                    </a:stretch>
                  </pic:blipFill>
                  <pic:spPr>
                    <a:xfrm>
                      <a:off x="0" y="0"/>
                      <a:ext cx="5637943" cy="203444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60"/>
        <w:rPr>
          <w:sz w:val="20"/>
        </w:rPr>
      </w:pPr>
      <w:r>
        <w:rPr>
          <w:sz w:val="20"/>
        </w:rPr>
        <w:drawing>
          <wp:anchor distT="0" distB="0" distL="0" distR="0" allowOverlap="1" layoutInCell="1" locked="0" behindDoc="1" simplePos="0" relativeHeight="487605248">
            <wp:simplePos x="0" y="0"/>
            <wp:positionH relativeFrom="page">
              <wp:posOffset>1130796</wp:posOffset>
            </wp:positionH>
            <wp:positionV relativeFrom="paragraph">
              <wp:posOffset>263250</wp:posOffset>
            </wp:positionV>
            <wp:extent cx="5517046" cy="2034444"/>
            <wp:effectExtent l="0" t="0" r="0" b="0"/>
            <wp:wrapTopAndBottom/>
            <wp:docPr id="63" name="Image 63" descr="Forms response chart. Question title: 2. Di bawah adalah situasi gangguan seksual bukan lisan dalam kategori visual, KECUALI:. Number of responses: 35 responses."/>
            <wp:cNvGraphicFramePr>
              <a:graphicFrameLocks/>
            </wp:cNvGraphicFramePr>
            <a:graphic>
              <a:graphicData uri="http://schemas.openxmlformats.org/drawingml/2006/picture">
                <pic:pic>
                  <pic:nvPicPr>
                    <pic:cNvPr id="63" name="Image 63" descr="Forms response chart. Question title: 2. Di bawah adalah situasi gangguan seksual bukan lisan dalam kategori visual, KECUALI:. Number of responses: 35 responses."/>
                    <pic:cNvPicPr/>
                  </pic:nvPicPr>
                  <pic:blipFill>
                    <a:blip r:embed="rId67" cstate="print"/>
                    <a:stretch>
                      <a:fillRect/>
                    </a:stretch>
                  </pic:blipFill>
                  <pic:spPr>
                    <a:xfrm>
                      <a:off x="0" y="0"/>
                      <a:ext cx="5517046" cy="2034444"/>
                    </a:xfrm>
                    <a:prstGeom prst="rect">
                      <a:avLst/>
                    </a:prstGeom>
                  </pic:spPr>
                </pic:pic>
              </a:graphicData>
            </a:graphic>
          </wp:anchor>
        </w:drawing>
      </w:r>
    </w:p>
    <w:p>
      <w:pPr>
        <w:pStyle w:val="BodyText"/>
        <w:rPr>
          <w:sz w:val="20"/>
        </w:rPr>
      </w:pP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05760">
                <wp:simplePos x="0" y="0"/>
                <wp:positionH relativeFrom="page">
                  <wp:posOffset>1143000</wp:posOffset>
                </wp:positionH>
                <wp:positionV relativeFrom="paragraph">
                  <wp:posOffset>195680</wp:posOffset>
                </wp:positionV>
                <wp:extent cx="5435600" cy="279400"/>
                <wp:effectExtent l="0" t="0" r="0" b="0"/>
                <wp:wrapTopAndBottom/>
                <wp:docPr id="64" name="Textbox 64"/>
                <wp:cNvGraphicFramePr>
                  <a:graphicFrameLocks/>
                </wp:cNvGraphicFramePr>
                <a:graphic>
                  <a:graphicData uri="http://schemas.microsoft.com/office/word/2010/wordprocessingShape">
                    <wps:wsp>
                      <wps:cNvPr id="64" name="Textbox 64"/>
                      <wps:cNvSpPr txBox="1"/>
                      <wps:spPr>
                        <a:xfrm>
                          <a:off x="0" y="0"/>
                          <a:ext cx="5435600" cy="279400"/>
                        </a:xfrm>
                        <a:prstGeom prst="rect">
                          <a:avLst/>
                        </a:prstGeom>
                        <a:solidFill>
                          <a:srgbClr val="F9F9F9"/>
                        </a:solidFill>
                      </wps:spPr>
                      <wps:txbx>
                        <w:txbxContent>
                          <w:p>
                            <w:pPr>
                              <w:spacing w:line="270" w:lineRule="exact" w:before="0"/>
                              <w:ind w:left="0" w:right="0" w:firstLine="0"/>
                              <w:jc w:val="left"/>
                              <w:rPr>
                                <w:b/>
                                <w:color w:val="000000"/>
                                <w:sz w:val="24"/>
                              </w:rPr>
                            </w:pPr>
                            <w:bookmarkStart w:name="3. What were the main inputs or lessons " w:id="4"/>
                            <w:bookmarkEnd w:id="4"/>
                            <w:r>
                              <w:rPr>
                                <w:color w:val="000000"/>
                              </w:rPr>
                            </w:r>
                            <w:r>
                              <w:rPr>
                                <w:b/>
                                <w:color w:val="000000"/>
                                <w:sz w:val="24"/>
                              </w:rPr>
                              <w:t>3.</w:t>
                            </w:r>
                            <w:r>
                              <w:rPr>
                                <w:b/>
                                <w:color w:val="000000"/>
                                <w:spacing w:val="-1"/>
                                <w:sz w:val="24"/>
                              </w:rPr>
                              <w:t> </w:t>
                            </w:r>
                            <w:r>
                              <w:rPr>
                                <w:b/>
                                <w:color w:val="000000"/>
                                <w:sz w:val="24"/>
                              </w:rPr>
                              <w:t>What</w:t>
                            </w:r>
                            <w:r>
                              <w:rPr>
                                <w:b/>
                                <w:color w:val="000000"/>
                                <w:spacing w:val="-1"/>
                                <w:sz w:val="24"/>
                              </w:rPr>
                              <w:t> </w:t>
                            </w:r>
                            <w:r>
                              <w:rPr>
                                <w:b/>
                                <w:color w:val="000000"/>
                                <w:sz w:val="24"/>
                              </w:rPr>
                              <w:t>were</w:t>
                            </w:r>
                            <w:r>
                              <w:rPr>
                                <w:b/>
                                <w:color w:val="000000"/>
                                <w:spacing w:val="-1"/>
                                <w:sz w:val="24"/>
                              </w:rPr>
                              <w:t> </w:t>
                            </w:r>
                            <w:r>
                              <w:rPr>
                                <w:b/>
                                <w:color w:val="000000"/>
                                <w:sz w:val="24"/>
                              </w:rPr>
                              <w:t>the</w:t>
                            </w:r>
                            <w:r>
                              <w:rPr>
                                <w:b/>
                                <w:color w:val="000000"/>
                                <w:spacing w:val="-1"/>
                                <w:sz w:val="24"/>
                              </w:rPr>
                              <w:t> </w:t>
                            </w:r>
                            <w:r>
                              <w:rPr>
                                <w:b/>
                                <w:color w:val="000000"/>
                                <w:sz w:val="24"/>
                              </w:rPr>
                              <w:t>main</w:t>
                            </w:r>
                            <w:r>
                              <w:rPr>
                                <w:b/>
                                <w:color w:val="000000"/>
                                <w:spacing w:val="-1"/>
                                <w:sz w:val="24"/>
                              </w:rPr>
                              <w:t> </w:t>
                            </w:r>
                            <w:r>
                              <w:rPr>
                                <w:b/>
                                <w:color w:val="000000"/>
                                <w:sz w:val="24"/>
                              </w:rPr>
                              <w:t>inputs or</w:t>
                            </w:r>
                            <w:r>
                              <w:rPr>
                                <w:b/>
                                <w:color w:val="000000"/>
                                <w:spacing w:val="-1"/>
                                <w:sz w:val="24"/>
                              </w:rPr>
                              <w:t> </w:t>
                            </w:r>
                            <w:r>
                              <w:rPr>
                                <w:b/>
                                <w:color w:val="000000"/>
                                <w:sz w:val="24"/>
                              </w:rPr>
                              <w:t>lessons</w:t>
                            </w:r>
                            <w:r>
                              <w:rPr>
                                <w:b/>
                                <w:color w:val="000000"/>
                                <w:spacing w:val="-1"/>
                                <w:sz w:val="24"/>
                              </w:rPr>
                              <w:t> </w:t>
                            </w:r>
                            <w:r>
                              <w:rPr>
                                <w:b/>
                                <w:color w:val="000000"/>
                                <w:sz w:val="24"/>
                              </w:rPr>
                              <w:t>you</w:t>
                            </w:r>
                            <w:r>
                              <w:rPr>
                                <w:b/>
                                <w:color w:val="000000"/>
                                <w:spacing w:val="-1"/>
                                <w:sz w:val="24"/>
                              </w:rPr>
                              <w:t> </w:t>
                            </w:r>
                            <w:r>
                              <w:rPr>
                                <w:b/>
                                <w:color w:val="000000"/>
                                <w:sz w:val="24"/>
                              </w:rPr>
                              <w:t>gained</w:t>
                            </w:r>
                            <w:r>
                              <w:rPr>
                                <w:b/>
                                <w:color w:val="000000"/>
                                <w:spacing w:val="-1"/>
                                <w:sz w:val="24"/>
                              </w:rPr>
                              <w:t> </w:t>
                            </w:r>
                            <w:r>
                              <w:rPr>
                                <w:b/>
                                <w:color w:val="000000"/>
                                <w:sz w:val="24"/>
                              </w:rPr>
                              <w:t>throughout</w:t>
                            </w:r>
                            <w:r>
                              <w:rPr>
                                <w:b/>
                                <w:color w:val="000000"/>
                                <w:spacing w:val="-1"/>
                                <w:sz w:val="24"/>
                              </w:rPr>
                              <w:t> </w:t>
                            </w:r>
                            <w:r>
                              <w:rPr>
                                <w:b/>
                                <w:color w:val="000000"/>
                                <w:sz w:val="24"/>
                              </w:rPr>
                              <w:t>this </w:t>
                            </w:r>
                            <w:r>
                              <w:rPr>
                                <w:b/>
                                <w:color w:val="000000"/>
                                <w:spacing w:val="-2"/>
                                <w:sz w:val="24"/>
                              </w:rPr>
                              <w:t>programme?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0pt;margin-top:15.407937pt;width:428pt;height:22pt;mso-position-horizontal-relative:page;mso-position-vertical-relative:paragraph;z-index:-15710720;mso-wrap-distance-left:0;mso-wrap-distance-right:0" type="#_x0000_t202" id="docshape2" filled="true" fillcolor="#f9f9f9" stroked="false">
                <v:textbox inset="0,0,0,0">
                  <w:txbxContent>
                    <w:p>
                      <w:pPr>
                        <w:spacing w:line="270" w:lineRule="exact" w:before="0"/>
                        <w:ind w:left="0" w:right="0" w:firstLine="0"/>
                        <w:jc w:val="left"/>
                        <w:rPr>
                          <w:b/>
                          <w:color w:val="000000"/>
                          <w:sz w:val="24"/>
                        </w:rPr>
                      </w:pPr>
                      <w:bookmarkStart w:name="3. What were the main inputs or lessons " w:id="5"/>
                      <w:bookmarkEnd w:id="5"/>
                      <w:r>
                        <w:rPr>
                          <w:color w:val="000000"/>
                        </w:rPr>
                      </w:r>
                      <w:r>
                        <w:rPr>
                          <w:b/>
                          <w:color w:val="000000"/>
                          <w:sz w:val="24"/>
                        </w:rPr>
                        <w:t>3.</w:t>
                      </w:r>
                      <w:r>
                        <w:rPr>
                          <w:b/>
                          <w:color w:val="000000"/>
                          <w:spacing w:val="-1"/>
                          <w:sz w:val="24"/>
                        </w:rPr>
                        <w:t> </w:t>
                      </w:r>
                      <w:r>
                        <w:rPr>
                          <w:b/>
                          <w:color w:val="000000"/>
                          <w:sz w:val="24"/>
                        </w:rPr>
                        <w:t>What</w:t>
                      </w:r>
                      <w:r>
                        <w:rPr>
                          <w:b/>
                          <w:color w:val="000000"/>
                          <w:spacing w:val="-1"/>
                          <w:sz w:val="24"/>
                        </w:rPr>
                        <w:t> </w:t>
                      </w:r>
                      <w:r>
                        <w:rPr>
                          <w:b/>
                          <w:color w:val="000000"/>
                          <w:sz w:val="24"/>
                        </w:rPr>
                        <w:t>were</w:t>
                      </w:r>
                      <w:r>
                        <w:rPr>
                          <w:b/>
                          <w:color w:val="000000"/>
                          <w:spacing w:val="-1"/>
                          <w:sz w:val="24"/>
                        </w:rPr>
                        <w:t> </w:t>
                      </w:r>
                      <w:r>
                        <w:rPr>
                          <w:b/>
                          <w:color w:val="000000"/>
                          <w:sz w:val="24"/>
                        </w:rPr>
                        <w:t>the</w:t>
                      </w:r>
                      <w:r>
                        <w:rPr>
                          <w:b/>
                          <w:color w:val="000000"/>
                          <w:spacing w:val="-1"/>
                          <w:sz w:val="24"/>
                        </w:rPr>
                        <w:t> </w:t>
                      </w:r>
                      <w:r>
                        <w:rPr>
                          <w:b/>
                          <w:color w:val="000000"/>
                          <w:sz w:val="24"/>
                        </w:rPr>
                        <w:t>main</w:t>
                      </w:r>
                      <w:r>
                        <w:rPr>
                          <w:b/>
                          <w:color w:val="000000"/>
                          <w:spacing w:val="-1"/>
                          <w:sz w:val="24"/>
                        </w:rPr>
                        <w:t> </w:t>
                      </w:r>
                      <w:r>
                        <w:rPr>
                          <w:b/>
                          <w:color w:val="000000"/>
                          <w:sz w:val="24"/>
                        </w:rPr>
                        <w:t>inputs or</w:t>
                      </w:r>
                      <w:r>
                        <w:rPr>
                          <w:b/>
                          <w:color w:val="000000"/>
                          <w:spacing w:val="-1"/>
                          <w:sz w:val="24"/>
                        </w:rPr>
                        <w:t> </w:t>
                      </w:r>
                      <w:r>
                        <w:rPr>
                          <w:b/>
                          <w:color w:val="000000"/>
                          <w:sz w:val="24"/>
                        </w:rPr>
                        <w:t>lessons</w:t>
                      </w:r>
                      <w:r>
                        <w:rPr>
                          <w:b/>
                          <w:color w:val="000000"/>
                          <w:spacing w:val="-1"/>
                          <w:sz w:val="24"/>
                        </w:rPr>
                        <w:t> </w:t>
                      </w:r>
                      <w:r>
                        <w:rPr>
                          <w:b/>
                          <w:color w:val="000000"/>
                          <w:sz w:val="24"/>
                        </w:rPr>
                        <w:t>you</w:t>
                      </w:r>
                      <w:r>
                        <w:rPr>
                          <w:b/>
                          <w:color w:val="000000"/>
                          <w:spacing w:val="-1"/>
                          <w:sz w:val="24"/>
                        </w:rPr>
                        <w:t> </w:t>
                      </w:r>
                      <w:r>
                        <w:rPr>
                          <w:b/>
                          <w:color w:val="000000"/>
                          <w:sz w:val="24"/>
                        </w:rPr>
                        <w:t>gained</w:t>
                      </w:r>
                      <w:r>
                        <w:rPr>
                          <w:b/>
                          <w:color w:val="000000"/>
                          <w:spacing w:val="-1"/>
                          <w:sz w:val="24"/>
                        </w:rPr>
                        <w:t> </w:t>
                      </w:r>
                      <w:r>
                        <w:rPr>
                          <w:b/>
                          <w:color w:val="000000"/>
                          <w:sz w:val="24"/>
                        </w:rPr>
                        <w:t>throughout</w:t>
                      </w:r>
                      <w:r>
                        <w:rPr>
                          <w:b/>
                          <w:color w:val="000000"/>
                          <w:spacing w:val="-1"/>
                          <w:sz w:val="24"/>
                        </w:rPr>
                        <w:t> </w:t>
                      </w:r>
                      <w:r>
                        <w:rPr>
                          <w:b/>
                          <w:color w:val="000000"/>
                          <w:sz w:val="24"/>
                        </w:rPr>
                        <w:t>this </w:t>
                      </w:r>
                      <w:r>
                        <w:rPr>
                          <w:b/>
                          <w:color w:val="000000"/>
                          <w:spacing w:val="-2"/>
                          <w:sz w:val="24"/>
                        </w:rPr>
                        <w:t>programme?</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06272">
                <wp:simplePos x="0" y="0"/>
                <wp:positionH relativeFrom="page">
                  <wp:posOffset>1143000</wp:posOffset>
                </wp:positionH>
                <wp:positionV relativeFrom="paragraph">
                  <wp:posOffset>602043</wp:posOffset>
                </wp:positionV>
                <wp:extent cx="5511800" cy="1600200"/>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5511800" cy="1600200"/>
                        </a:xfrm>
                        <a:prstGeom prst="rect">
                          <a:avLst/>
                        </a:prstGeom>
                        <a:solidFill>
                          <a:srgbClr val="F9F9F9"/>
                        </a:solidFill>
                      </wps:spPr>
                      <wps:txbx>
                        <w:txbxContent>
                          <w:p>
                            <w:pPr>
                              <w:pStyle w:val="BodyText"/>
                              <w:numPr>
                                <w:ilvl w:val="0"/>
                                <w:numId w:val="6"/>
                              </w:numPr>
                              <w:tabs>
                                <w:tab w:pos="360" w:val="left" w:leader="none"/>
                              </w:tabs>
                              <w:spacing w:line="360" w:lineRule="auto" w:before="9" w:after="0"/>
                              <w:ind w:left="360" w:right="213" w:hanging="360"/>
                              <w:jc w:val="left"/>
                              <w:rPr>
                                <w:color w:val="000000"/>
                              </w:rPr>
                            </w:pPr>
                            <w:r>
                              <w:rPr>
                                <w:color w:val="000000"/>
                              </w:rPr>
                              <w:t>It</w:t>
                            </w:r>
                            <w:r>
                              <w:rPr>
                                <w:color w:val="000000"/>
                                <w:spacing w:val="-3"/>
                              </w:rPr>
                              <w:t> </w:t>
                            </w:r>
                            <w:r>
                              <w:rPr>
                                <w:color w:val="000000"/>
                              </w:rPr>
                              <w:t>taught</w:t>
                            </w:r>
                            <w:r>
                              <w:rPr>
                                <w:color w:val="000000"/>
                                <w:spacing w:val="-3"/>
                              </w:rPr>
                              <w:t> </w:t>
                            </w:r>
                            <w:r>
                              <w:rPr>
                                <w:color w:val="000000"/>
                              </w:rPr>
                              <w:t>me</w:t>
                            </w:r>
                            <w:r>
                              <w:rPr>
                                <w:color w:val="000000"/>
                                <w:spacing w:val="-3"/>
                              </w:rPr>
                              <w:t> </w:t>
                            </w:r>
                            <w:r>
                              <w:rPr>
                                <w:color w:val="000000"/>
                              </w:rPr>
                              <w:t>how</w:t>
                            </w:r>
                            <w:r>
                              <w:rPr>
                                <w:color w:val="000000"/>
                                <w:spacing w:val="-3"/>
                              </w:rPr>
                              <w:t> </w:t>
                            </w:r>
                            <w:r>
                              <w:rPr>
                                <w:color w:val="000000"/>
                              </w:rPr>
                              <w:t>to</w:t>
                            </w:r>
                            <w:r>
                              <w:rPr>
                                <w:color w:val="000000"/>
                                <w:spacing w:val="-3"/>
                              </w:rPr>
                              <w:t> </w:t>
                            </w:r>
                            <w:r>
                              <w:rPr>
                                <w:color w:val="000000"/>
                              </w:rPr>
                              <w:t>handle</w:t>
                            </w:r>
                            <w:r>
                              <w:rPr>
                                <w:color w:val="000000"/>
                                <w:spacing w:val="-3"/>
                              </w:rPr>
                              <w:t> </w:t>
                            </w:r>
                            <w:r>
                              <w:rPr>
                                <w:color w:val="000000"/>
                              </w:rPr>
                              <w:t>situations</w:t>
                            </w:r>
                            <w:r>
                              <w:rPr>
                                <w:color w:val="000000"/>
                                <w:spacing w:val="-3"/>
                              </w:rPr>
                              <w:t> </w:t>
                            </w:r>
                            <w:r>
                              <w:rPr>
                                <w:color w:val="000000"/>
                              </w:rPr>
                              <w:t>or</w:t>
                            </w:r>
                            <w:r>
                              <w:rPr>
                                <w:color w:val="000000"/>
                                <w:spacing w:val="-3"/>
                              </w:rPr>
                              <w:t> </w:t>
                            </w:r>
                            <w:r>
                              <w:rPr>
                                <w:color w:val="000000"/>
                              </w:rPr>
                              <w:t>problems</w:t>
                            </w:r>
                            <w:r>
                              <w:rPr>
                                <w:color w:val="000000"/>
                                <w:spacing w:val="-3"/>
                              </w:rPr>
                              <w:t> </w:t>
                            </w:r>
                            <w:r>
                              <w:rPr>
                                <w:color w:val="000000"/>
                              </w:rPr>
                              <w:t>in</w:t>
                            </w:r>
                            <w:r>
                              <w:rPr>
                                <w:color w:val="000000"/>
                                <w:spacing w:val="-3"/>
                              </w:rPr>
                              <w:t> </w:t>
                            </w:r>
                            <w:r>
                              <w:rPr>
                                <w:color w:val="000000"/>
                              </w:rPr>
                              <w:t>a</w:t>
                            </w:r>
                            <w:r>
                              <w:rPr>
                                <w:color w:val="000000"/>
                                <w:spacing w:val="-3"/>
                              </w:rPr>
                              <w:t> </w:t>
                            </w:r>
                            <w:r>
                              <w:rPr>
                                <w:color w:val="000000"/>
                              </w:rPr>
                              <w:t>more</w:t>
                            </w:r>
                            <w:r>
                              <w:rPr>
                                <w:color w:val="000000"/>
                                <w:spacing w:val="-3"/>
                              </w:rPr>
                              <w:t> </w:t>
                            </w:r>
                            <w:r>
                              <w:rPr>
                                <w:color w:val="000000"/>
                              </w:rPr>
                              <w:t>mature</w:t>
                            </w:r>
                            <w:r>
                              <w:rPr>
                                <w:color w:val="000000"/>
                                <w:spacing w:val="-3"/>
                              </w:rPr>
                              <w:t> </w:t>
                            </w:r>
                            <w:r>
                              <w:rPr>
                                <w:color w:val="000000"/>
                              </w:rPr>
                              <w:t>and</w:t>
                            </w:r>
                            <w:r>
                              <w:rPr>
                                <w:color w:val="000000"/>
                                <w:spacing w:val="-3"/>
                              </w:rPr>
                              <w:t> </w:t>
                            </w:r>
                            <w:r>
                              <w:rPr>
                                <w:color w:val="000000"/>
                              </w:rPr>
                              <w:t>professional </w:t>
                            </w:r>
                            <w:r>
                              <w:rPr>
                                <w:color w:val="000000"/>
                                <w:spacing w:val="-2"/>
                              </w:rPr>
                              <w:t>manner.</w:t>
                            </w:r>
                          </w:p>
                          <w:p>
                            <w:pPr>
                              <w:pStyle w:val="BodyText"/>
                              <w:numPr>
                                <w:ilvl w:val="0"/>
                                <w:numId w:val="6"/>
                              </w:numPr>
                              <w:tabs>
                                <w:tab w:pos="360" w:val="left" w:leader="none"/>
                              </w:tabs>
                              <w:spacing w:line="360" w:lineRule="auto" w:before="1" w:after="0"/>
                              <w:ind w:left="360" w:right="778" w:hanging="360"/>
                              <w:jc w:val="left"/>
                              <w:rPr>
                                <w:color w:val="000000"/>
                              </w:rPr>
                            </w:pPr>
                            <w:r>
                              <w:rPr>
                                <w:color w:val="000000"/>
                              </w:rPr>
                              <w:t>I</w:t>
                            </w:r>
                            <w:r>
                              <w:rPr>
                                <w:color w:val="000000"/>
                                <w:spacing w:val="-4"/>
                              </w:rPr>
                              <w:t> </w:t>
                            </w:r>
                            <w:r>
                              <w:rPr>
                                <w:color w:val="000000"/>
                              </w:rPr>
                              <w:t>learned</w:t>
                            </w:r>
                            <w:r>
                              <w:rPr>
                                <w:color w:val="000000"/>
                                <w:spacing w:val="-4"/>
                              </w:rPr>
                              <w:t> </w:t>
                            </w:r>
                            <w:r>
                              <w:rPr>
                                <w:color w:val="000000"/>
                              </w:rPr>
                              <w:t>about</w:t>
                            </w:r>
                            <w:r>
                              <w:rPr>
                                <w:color w:val="000000"/>
                                <w:spacing w:val="-4"/>
                              </w:rPr>
                              <w:t> </w:t>
                            </w:r>
                            <w:r>
                              <w:rPr>
                                <w:color w:val="000000"/>
                              </w:rPr>
                              <w:t>the</w:t>
                            </w:r>
                            <w:r>
                              <w:rPr>
                                <w:color w:val="000000"/>
                                <w:spacing w:val="-4"/>
                              </w:rPr>
                              <w:t> </w:t>
                            </w:r>
                            <w:r>
                              <w:rPr>
                                <w:color w:val="000000"/>
                              </w:rPr>
                              <w:t>different</w:t>
                            </w:r>
                            <w:r>
                              <w:rPr>
                                <w:color w:val="000000"/>
                                <w:spacing w:val="-4"/>
                              </w:rPr>
                              <w:t> </w:t>
                            </w:r>
                            <w:r>
                              <w:rPr>
                                <w:color w:val="000000"/>
                              </w:rPr>
                              <w:t>types</w:t>
                            </w:r>
                            <w:r>
                              <w:rPr>
                                <w:color w:val="000000"/>
                                <w:spacing w:val="-4"/>
                              </w:rPr>
                              <w:t> </w:t>
                            </w:r>
                            <w:r>
                              <w:rPr>
                                <w:color w:val="000000"/>
                              </w:rPr>
                              <w:t>of</w:t>
                            </w:r>
                            <w:r>
                              <w:rPr>
                                <w:color w:val="000000"/>
                                <w:spacing w:val="-4"/>
                              </w:rPr>
                              <w:t> </w:t>
                            </w:r>
                            <w:r>
                              <w:rPr>
                                <w:color w:val="000000"/>
                              </w:rPr>
                              <w:t>harassment</w:t>
                            </w:r>
                            <w:r>
                              <w:rPr>
                                <w:color w:val="000000"/>
                                <w:spacing w:val="-4"/>
                              </w:rPr>
                              <w:t> </w:t>
                            </w:r>
                            <w:r>
                              <w:rPr>
                                <w:color w:val="000000"/>
                              </w:rPr>
                              <w:t>and</w:t>
                            </w:r>
                            <w:r>
                              <w:rPr>
                                <w:color w:val="000000"/>
                                <w:spacing w:val="-4"/>
                              </w:rPr>
                              <w:t> </w:t>
                            </w:r>
                            <w:r>
                              <w:rPr>
                                <w:color w:val="000000"/>
                              </w:rPr>
                              <w:t>the</w:t>
                            </w:r>
                            <w:r>
                              <w:rPr>
                                <w:color w:val="000000"/>
                                <w:spacing w:val="-4"/>
                              </w:rPr>
                              <w:t> </w:t>
                            </w:r>
                            <w:r>
                              <w:rPr>
                                <w:color w:val="000000"/>
                              </w:rPr>
                              <w:t>proper</w:t>
                            </w:r>
                            <w:r>
                              <w:rPr>
                                <w:color w:val="000000"/>
                                <w:spacing w:val="-4"/>
                              </w:rPr>
                              <w:t> </w:t>
                            </w:r>
                            <w:r>
                              <w:rPr>
                                <w:color w:val="000000"/>
                              </w:rPr>
                              <w:t>procedures</w:t>
                            </w:r>
                            <w:r>
                              <w:rPr>
                                <w:color w:val="000000"/>
                                <w:spacing w:val="-4"/>
                              </w:rPr>
                              <w:t> </w:t>
                            </w:r>
                            <w:r>
                              <w:rPr>
                                <w:color w:val="000000"/>
                              </w:rPr>
                              <w:t>for reporting complaints.</w:t>
                            </w:r>
                          </w:p>
                          <w:p>
                            <w:pPr>
                              <w:pStyle w:val="BodyText"/>
                              <w:numPr>
                                <w:ilvl w:val="0"/>
                                <w:numId w:val="6"/>
                              </w:numPr>
                              <w:tabs>
                                <w:tab w:pos="359" w:val="left" w:leader="none"/>
                              </w:tabs>
                              <w:spacing w:line="240" w:lineRule="auto" w:before="2" w:after="0"/>
                              <w:ind w:left="359" w:right="0" w:hanging="359"/>
                              <w:jc w:val="left"/>
                              <w:rPr>
                                <w:color w:val="000000"/>
                              </w:rPr>
                            </w:pPr>
                            <w:r>
                              <w:rPr>
                                <w:color w:val="000000"/>
                              </w:rPr>
                              <w:t>I became more aware and sensitive to issues related to sexual </w:t>
                            </w:r>
                            <w:r>
                              <w:rPr>
                                <w:color w:val="000000"/>
                                <w:spacing w:val="-2"/>
                              </w:rPr>
                              <w:t>harassment.</w:t>
                            </w:r>
                          </w:p>
                          <w:p>
                            <w:pPr>
                              <w:pStyle w:val="BodyText"/>
                              <w:numPr>
                                <w:ilvl w:val="0"/>
                                <w:numId w:val="6"/>
                              </w:numPr>
                              <w:tabs>
                                <w:tab w:pos="359" w:val="left" w:leader="none"/>
                              </w:tabs>
                              <w:spacing w:line="240" w:lineRule="auto" w:before="139" w:after="0"/>
                              <w:ind w:left="359" w:right="0" w:hanging="359"/>
                              <w:jc w:val="left"/>
                              <w:rPr>
                                <w:color w:val="000000"/>
                              </w:rPr>
                            </w:pPr>
                            <w:r>
                              <w:rPr>
                                <w:color w:val="000000"/>
                              </w:rPr>
                              <w:t>I gained new knowledge and understanding about sexual </w:t>
                            </w:r>
                            <w:r>
                              <w:rPr>
                                <w:color w:val="000000"/>
                                <w:spacing w:val="-2"/>
                              </w:rPr>
                              <w:t>harassment.</w:t>
                            </w:r>
                          </w:p>
                        </w:txbxContent>
                      </wps:txbx>
                      <wps:bodyPr wrap="square" lIns="0" tIns="0" rIns="0" bIns="0" rtlCol="0">
                        <a:noAutofit/>
                      </wps:bodyPr>
                    </wps:wsp>
                  </a:graphicData>
                </a:graphic>
              </wp:anchor>
            </w:drawing>
          </mc:Choice>
          <mc:Fallback>
            <w:pict>
              <v:shape style="position:absolute;margin-left:90pt;margin-top:47.405003pt;width:434pt;height:126pt;mso-position-horizontal-relative:page;mso-position-vertical-relative:paragraph;z-index:-15710208;mso-wrap-distance-left:0;mso-wrap-distance-right:0" type="#_x0000_t202" id="docshape3" filled="true" fillcolor="#f9f9f9" stroked="false">
                <v:textbox inset="0,0,0,0">
                  <w:txbxContent>
                    <w:p>
                      <w:pPr>
                        <w:pStyle w:val="BodyText"/>
                        <w:numPr>
                          <w:ilvl w:val="0"/>
                          <w:numId w:val="6"/>
                        </w:numPr>
                        <w:tabs>
                          <w:tab w:pos="360" w:val="left" w:leader="none"/>
                        </w:tabs>
                        <w:spacing w:line="360" w:lineRule="auto" w:before="9" w:after="0"/>
                        <w:ind w:left="360" w:right="213" w:hanging="360"/>
                        <w:jc w:val="left"/>
                        <w:rPr>
                          <w:color w:val="000000"/>
                        </w:rPr>
                      </w:pPr>
                      <w:r>
                        <w:rPr>
                          <w:color w:val="000000"/>
                        </w:rPr>
                        <w:t>It</w:t>
                      </w:r>
                      <w:r>
                        <w:rPr>
                          <w:color w:val="000000"/>
                          <w:spacing w:val="-3"/>
                        </w:rPr>
                        <w:t> </w:t>
                      </w:r>
                      <w:r>
                        <w:rPr>
                          <w:color w:val="000000"/>
                        </w:rPr>
                        <w:t>taught</w:t>
                      </w:r>
                      <w:r>
                        <w:rPr>
                          <w:color w:val="000000"/>
                          <w:spacing w:val="-3"/>
                        </w:rPr>
                        <w:t> </w:t>
                      </w:r>
                      <w:r>
                        <w:rPr>
                          <w:color w:val="000000"/>
                        </w:rPr>
                        <w:t>me</w:t>
                      </w:r>
                      <w:r>
                        <w:rPr>
                          <w:color w:val="000000"/>
                          <w:spacing w:val="-3"/>
                        </w:rPr>
                        <w:t> </w:t>
                      </w:r>
                      <w:r>
                        <w:rPr>
                          <w:color w:val="000000"/>
                        </w:rPr>
                        <w:t>how</w:t>
                      </w:r>
                      <w:r>
                        <w:rPr>
                          <w:color w:val="000000"/>
                          <w:spacing w:val="-3"/>
                        </w:rPr>
                        <w:t> </w:t>
                      </w:r>
                      <w:r>
                        <w:rPr>
                          <w:color w:val="000000"/>
                        </w:rPr>
                        <w:t>to</w:t>
                      </w:r>
                      <w:r>
                        <w:rPr>
                          <w:color w:val="000000"/>
                          <w:spacing w:val="-3"/>
                        </w:rPr>
                        <w:t> </w:t>
                      </w:r>
                      <w:r>
                        <w:rPr>
                          <w:color w:val="000000"/>
                        </w:rPr>
                        <w:t>handle</w:t>
                      </w:r>
                      <w:r>
                        <w:rPr>
                          <w:color w:val="000000"/>
                          <w:spacing w:val="-3"/>
                        </w:rPr>
                        <w:t> </w:t>
                      </w:r>
                      <w:r>
                        <w:rPr>
                          <w:color w:val="000000"/>
                        </w:rPr>
                        <w:t>situations</w:t>
                      </w:r>
                      <w:r>
                        <w:rPr>
                          <w:color w:val="000000"/>
                          <w:spacing w:val="-3"/>
                        </w:rPr>
                        <w:t> </w:t>
                      </w:r>
                      <w:r>
                        <w:rPr>
                          <w:color w:val="000000"/>
                        </w:rPr>
                        <w:t>or</w:t>
                      </w:r>
                      <w:r>
                        <w:rPr>
                          <w:color w:val="000000"/>
                          <w:spacing w:val="-3"/>
                        </w:rPr>
                        <w:t> </w:t>
                      </w:r>
                      <w:r>
                        <w:rPr>
                          <w:color w:val="000000"/>
                        </w:rPr>
                        <w:t>problems</w:t>
                      </w:r>
                      <w:r>
                        <w:rPr>
                          <w:color w:val="000000"/>
                          <w:spacing w:val="-3"/>
                        </w:rPr>
                        <w:t> </w:t>
                      </w:r>
                      <w:r>
                        <w:rPr>
                          <w:color w:val="000000"/>
                        </w:rPr>
                        <w:t>in</w:t>
                      </w:r>
                      <w:r>
                        <w:rPr>
                          <w:color w:val="000000"/>
                          <w:spacing w:val="-3"/>
                        </w:rPr>
                        <w:t> </w:t>
                      </w:r>
                      <w:r>
                        <w:rPr>
                          <w:color w:val="000000"/>
                        </w:rPr>
                        <w:t>a</w:t>
                      </w:r>
                      <w:r>
                        <w:rPr>
                          <w:color w:val="000000"/>
                          <w:spacing w:val="-3"/>
                        </w:rPr>
                        <w:t> </w:t>
                      </w:r>
                      <w:r>
                        <w:rPr>
                          <w:color w:val="000000"/>
                        </w:rPr>
                        <w:t>more</w:t>
                      </w:r>
                      <w:r>
                        <w:rPr>
                          <w:color w:val="000000"/>
                          <w:spacing w:val="-3"/>
                        </w:rPr>
                        <w:t> </w:t>
                      </w:r>
                      <w:r>
                        <w:rPr>
                          <w:color w:val="000000"/>
                        </w:rPr>
                        <w:t>mature</w:t>
                      </w:r>
                      <w:r>
                        <w:rPr>
                          <w:color w:val="000000"/>
                          <w:spacing w:val="-3"/>
                        </w:rPr>
                        <w:t> </w:t>
                      </w:r>
                      <w:r>
                        <w:rPr>
                          <w:color w:val="000000"/>
                        </w:rPr>
                        <w:t>and</w:t>
                      </w:r>
                      <w:r>
                        <w:rPr>
                          <w:color w:val="000000"/>
                          <w:spacing w:val="-3"/>
                        </w:rPr>
                        <w:t> </w:t>
                      </w:r>
                      <w:r>
                        <w:rPr>
                          <w:color w:val="000000"/>
                        </w:rPr>
                        <w:t>professional </w:t>
                      </w:r>
                      <w:r>
                        <w:rPr>
                          <w:color w:val="000000"/>
                          <w:spacing w:val="-2"/>
                        </w:rPr>
                        <w:t>manner.</w:t>
                      </w:r>
                    </w:p>
                    <w:p>
                      <w:pPr>
                        <w:pStyle w:val="BodyText"/>
                        <w:numPr>
                          <w:ilvl w:val="0"/>
                          <w:numId w:val="6"/>
                        </w:numPr>
                        <w:tabs>
                          <w:tab w:pos="360" w:val="left" w:leader="none"/>
                        </w:tabs>
                        <w:spacing w:line="360" w:lineRule="auto" w:before="1" w:after="0"/>
                        <w:ind w:left="360" w:right="778" w:hanging="360"/>
                        <w:jc w:val="left"/>
                        <w:rPr>
                          <w:color w:val="000000"/>
                        </w:rPr>
                      </w:pPr>
                      <w:r>
                        <w:rPr>
                          <w:color w:val="000000"/>
                        </w:rPr>
                        <w:t>I</w:t>
                      </w:r>
                      <w:r>
                        <w:rPr>
                          <w:color w:val="000000"/>
                          <w:spacing w:val="-4"/>
                        </w:rPr>
                        <w:t> </w:t>
                      </w:r>
                      <w:r>
                        <w:rPr>
                          <w:color w:val="000000"/>
                        </w:rPr>
                        <w:t>learned</w:t>
                      </w:r>
                      <w:r>
                        <w:rPr>
                          <w:color w:val="000000"/>
                          <w:spacing w:val="-4"/>
                        </w:rPr>
                        <w:t> </w:t>
                      </w:r>
                      <w:r>
                        <w:rPr>
                          <w:color w:val="000000"/>
                        </w:rPr>
                        <w:t>about</w:t>
                      </w:r>
                      <w:r>
                        <w:rPr>
                          <w:color w:val="000000"/>
                          <w:spacing w:val="-4"/>
                        </w:rPr>
                        <w:t> </w:t>
                      </w:r>
                      <w:r>
                        <w:rPr>
                          <w:color w:val="000000"/>
                        </w:rPr>
                        <w:t>the</w:t>
                      </w:r>
                      <w:r>
                        <w:rPr>
                          <w:color w:val="000000"/>
                          <w:spacing w:val="-4"/>
                        </w:rPr>
                        <w:t> </w:t>
                      </w:r>
                      <w:r>
                        <w:rPr>
                          <w:color w:val="000000"/>
                        </w:rPr>
                        <w:t>different</w:t>
                      </w:r>
                      <w:r>
                        <w:rPr>
                          <w:color w:val="000000"/>
                          <w:spacing w:val="-4"/>
                        </w:rPr>
                        <w:t> </w:t>
                      </w:r>
                      <w:r>
                        <w:rPr>
                          <w:color w:val="000000"/>
                        </w:rPr>
                        <w:t>types</w:t>
                      </w:r>
                      <w:r>
                        <w:rPr>
                          <w:color w:val="000000"/>
                          <w:spacing w:val="-4"/>
                        </w:rPr>
                        <w:t> </w:t>
                      </w:r>
                      <w:r>
                        <w:rPr>
                          <w:color w:val="000000"/>
                        </w:rPr>
                        <w:t>of</w:t>
                      </w:r>
                      <w:r>
                        <w:rPr>
                          <w:color w:val="000000"/>
                          <w:spacing w:val="-4"/>
                        </w:rPr>
                        <w:t> </w:t>
                      </w:r>
                      <w:r>
                        <w:rPr>
                          <w:color w:val="000000"/>
                        </w:rPr>
                        <w:t>harassment</w:t>
                      </w:r>
                      <w:r>
                        <w:rPr>
                          <w:color w:val="000000"/>
                          <w:spacing w:val="-4"/>
                        </w:rPr>
                        <w:t> </w:t>
                      </w:r>
                      <w:r>
                        <w:rPr>
                          <w:color w:val="000000"/>
                        </w:rPr>
                        <w:t>and</w:t>
                      </w:r>
                      <w:r>
                        <w:rPr>
                          <w:color w:val="000000"/>
                          <w:spacing w:val="-4"/>
                        </w:rPr>
                        <w:t> </w:t>
                      </w:r>
                      <w:r>
                        <w:rPr>
                          <w:color w:val="000000"/>
                        </w:rPr>
                        <w:t>the</w:t>
                      </w:r>
                      <w:r>
                        <w:rPr>
                          <w:color w:val="000000"/>
                          <w:spacing w:val="-4"/>
                        </w:rPr>
                        <w:t> </w:t>
                      </w:r>
                      <w:r>
                        <w:rPr>
                          <w:color w:val="000000"/>
                        </w:rPr>
                        <w:t>proper</w:t>
                      </w:r>
                      <w:r>
                        <w:rPr>
                          <w:color w:val="000000"/>
                          <w:spacing w:val="-4"/>
                        </w:rPr>
                        <w:t> </w:t>
                      </w:r>
                      <w:r>
                        <w:rPr>
                          <w:color w:val="000000"/>
                        </w:rPr>
                        <w:t>procedures</w:t>
                      </w:r>
                      <w:r>
                        <w:rPr>
                          <w:color w:val="000000"/>
                          <w:spacing w:val="-4"/>
                        </w:rPr>
                        <w:t> </w:t>
                      </w:r>
                      <w:r>
                        <w:rPr>
                          <w:color w:val="000000"/>
                        </w:rPr>
                        <w:t>for reporting complaints.</w:t>
                      </w:r>
                    </w:p>
                    <w:p>
                      <w:pPr>
                        <w:pStyle w:val="BodyText"/>
                        <w:numPr>
                          <w:ilvl w:val="0"/>
                          <w:numId w:val="6"/>
                        </w:numPr>
                        <w:tabs>
                          <w:tab w:pos="359" w:val="left" w:leader="none"/>
                        </w:tabs>
                        <w:spacing w:line="240" w:lineRule="auto" w:before="2" w:after="0"/>
                        <w:ind w:left="359" w:right="0" w:hanging="359"/>
                        <w:jc w:val="left"/>
                        <w:rPr>
                          <w:color w:val="000000"/>
                        </w:rPr>
                      </w:pPr>
                      <w:r>
                        <w:rPr>
                          <w:color w:val="000000"/>
                        </w:rPr>
                        <w:t>I became more aware and sensitive to issues related to sexual </w:t>
                      </w:r>
                      <w:r>
                        <w:rPr>
                          <w:color w:val="000000"/>
                          <w:spacing w:val="-2"/>
                        </w:rPr>
                        <w:t>harassment.</w:t>
                      </w:r>
                    </w:p>
                    <w:p>
                      <w:pPr>
                        <w:pStyle w:val="BodyText"/>
                        <w:numPr>
                          <w:ilvl w:val="0"/>
                          <w:numId w:val="6"/>
                        </w:numPr>
                        <w:tabs>
                          <w:tab w:pos="359" w:val="left" w:leader="none"/>
                        </w:tabs>
                        <w:spacing w:line="240" w:lineRule="auto" w:before="139" w:after="0"/>
                        <w:ind w:left="359" w:right="0" w:hanging="359"/>
                        <w:jc w:val="left"/>
                        <w:rPr>
                          <w:color w:val="000000"/>
                        </w:rPr>
                      </w:pPr>
                      <w:r>
                        <w:rPr>
                          <w:color w:val="000000"/>
                        </w:rPr>
                        <w:t>I gained new knowledge and understanding about sexual </w:t>
                      </w:r>
                      <w:r>
                        <w:rPr>
                          <w:color w:val="000000"/>
                          <w:spacing w:val="-2"/>
                        </w:rPr>
                        <w:t>harassment.</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06784">
                <wp:simplePos x="0" y="0"/>
                <wp:positionH relativeFrom="page">
                  <wp:posOffset>1143000</wp:posOffset>
                </wp:positionH>
                <wp:positionV relativeFrom="paragraph">
                  <wp:posOffset>2367318</wp:posOffset>
                </wp:positionV>
                <wp:extent cx="5435600" cy="279400"/>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5435600" cy="279400"/>
                        </a:xfrm>
                        <a:prstGeom prst="rect">
                          <a:avLst/>
                        </a:prstGeom>
                        <a:solidFill>
                          <a:srgbClr val="F9F9F9"/>
                        </a:solidFill>
                      </wps:spPr>
                      <wps:txbx>
                        <w:txbxContent>
                          <w:p>
                            <w:pPr>
                              <w:spacing w:line="274" w:lineRule="exact" w:before="0"/>
                              <w:ind w:left="0" w:right="0" w:firstLine="0"/>
                              <w:jc w:val="left"/>
                              <w:rPr>
                                <w:b/>
                                <w:color w:val="000000"/>
                                <w:sz w:val="24"/>
                              </w:rPr>
                            </w:pPr>
                            <w:bookmarkStart w:name="4. Could you provide any suggestions for" w:id="6"/>
                            <w:bookmarkEnd w:id="6"/>
                            <w:r>
                              <w:rPr>
                                <w:color w:val="000000"/>
                              </w:rPr>
                            </w:r>
                            <w:r>
                              <w:rPr>
                                <w:b/>
                                <w:color w:val="000000"/>
                                <w:sz w:val="24"/>
                              </w:rPr>
                              <w:t>4.</w:t>
                            </w:r>
                            <w:r>
                              <w:rPr>
                                <w:b/>
                                <w:color w:val="000000"/>
                                <w:spacing w:val="-2"/>
                                <w:sz w:val="24"/>
                              </w:rPr>
                              <w:t> </w:t>
                            </w:r>
                            <w:r>
                              <w:rPr>
                                <w:b/>
                                <w:color w:val="000000"/>
                                <w:sz w:val="24"/>
                              </w:rPr>
                              <w:t>Could</w:t>
                            </w:r>
                            <w:r>
                              <w:rPr>
                                <w:b/>
                                <w:color w:val="000000"/>
                                <w:spacing w:val="-1"/>
                                <w:sz w:val="24"/>
                              </w:rPr>
                              <w:t> </w:t>
                            </w:r>
                            <w:r>
                              <w:rPr>
                                <w:b/>
                                <w:color w:val="000000"/>
                                <w:sz w:val="24"/>
                              </w:rPr>
                              <w:t>you</w:t>
                            </w:r>
                            <w:r>
                              <w:rPr>
                                <w:b/>
                                <w:color w:val="000000"/>
                                <w:spacing w:val="-1"/>
                                <w:sz w:val="24"/>
                              </w:rPr>
                              <w:t> </w:t>
                            </w:r>
                            <w:r>
                              <w:rPr>
                                <w:b/>
                                <w:color w:val="000000"/>
                                <w:sz w:val="24"/>
                              </w:rPr>
                              <w:t>provide</w:t>
                            </w:r>
                            <w:r>
                              <w:rPr>
                                <w:b/>
                                <w:color w:val="000000"/>
                                <w:spacing w:val="-1"/>
                                <w:sz w:val="24"/>
                              </w:rPr>
                              <w:t> </w:t>
                            </w:r>
                            <w:r>
                              <w:rPr>
                                <w:b/>
                                <w:color w:val="000000"/>
                                <w:sz w:val="24"/>
                              </w:rPr>
                              <w:t>any</w:t>
                            </w:r>
                            <w:r>
                              <w:rPr>
                                <w:b/>
                                <w:color w:val="000000"/>
                                <w:spacing w:val="-1"/>
                                <w:sz w:val="24"/>
                              </w:rPr>
                              <w:t> </w:t>
                            </w:r>
                            <w:r>
                              <w:rPr>
                                <w:b/>
                                <w:color w:val="000000"/>
                                <w:sz w:val="24"/>
                              </w:rPr>
                              <w:t>suggestions</w:t>
                            </w:r>
                            <w:r>
                              <w:rPr>
                                <w:b/>
                                <w:color w:val="000000"/>
                                <w:spacing w:val="-1"/>
                                <w:sz w:val="24"/>
                              </w:rPr>
                              <w:t> </w:t>
                            </w:r>
                            <w:r>
                              <w:rPr>
                                <w:b/>
                                <w:color w:val="000000"/>
                                <w:sz w:val="24"/>
                              </w:rPr>
                              <w:t>for</w:t>
                            </w:r>
                            <w:r>
                              <w:rPr>
                                <w:b/>
                                <w:color w:val="000000"/>
                                <w:spacing w:val="-1"/>
                                <w:sz w:val="24"/>
                              </w:rPr>
                              <w:t> </w:t>
                            </w:r>
                            <w:r>
                              <w:rPr>
                                <w:b/>
                                <w:color w:val="000000"/>
                                <w:sz w:val="24"/>
                              </w:rPr>
                              <w:t>improving</w:t>
                            </w:r>
                            <w:r>
                              <w:rPr>
                                <w:b/>
                                <w:color w:val="000000"/>
                                <w:spacing w:val="-1"/>
                                <w:sz w:val="24"/>
                              </w:rPr>
                              <w:t> </w:t>
                            </w:r>
                            <w:r>
                              <w:rPr>
                                <w:b/>
                                <w:color w:val="000000"/>
                                <w:sz w:val="24"/>
                              </w:rPr>
                              <w:t>our</w:t>
                            </w:r>
                            <w:r>
                              <w:rPr>
                                <w:b/>
                                <w:color w:val="000000"/>
                                <w:spacing w:val="-1"/>
                                <w:sz w:val="24"/>
                              </w:rPr>
                              <w:t> </w:t>
                            </w:r>
                            <w:r>
                              <w:rPr>
                                <w:b/>
                                <w:color w:val="000000"/>
                                <w:spacing w:val="-2"/>
                                <w:sz w:val="24"/>
                              </w:rPr>
                              <w:t>programme?</w:t>
                            </w:r>
                          </w:p>
                        </w:txbxContent>
                      </wps:txbx>
                      <wps:bodyPr wrap="square" lIns="0" tIns="0" rIns="0" bIns="0" rtlCol="0">
                        <a:noAutofit/>
                      </wps:bodyPr>
                    </wps:wsp>
                  </a:graphicData>
                </a:graphic>
              </wp:anchor>
            </w:drawing>
          </mc:Choice>
          <mc:Fallback>
            <w:pict>
              <v:shape style="position:absolute;margin-left:90pt;margin-top:186.403046pt;width:428pt;height:22pt;mso-position-horizontal-relative:page;mso-position-vertical-relative:paragraph;z-index:-15709696;mso-wrap-distance-left:0;mso-wrap-distance-right:0" type="#_x0000_t202" id="docshape4" filled="true" fillcolor="#f9f9f9" stroked="false">
                <v:textbox inset="0,0,0,0">
                  <w:txbxContent>
                    <w:p>
                      <w:pPr>
                        <w:spacing w:line="274" w:lineRule="exact" w:before="0"/>
                        <w:ind w:left="0" w:right="0" w:firstLine="0"/>
                        <w:jc w:val="left"/>
                        <w:rPr>
                          <w:b/>
                          <w:color w:val="000000"/>
                          <w:sz w:val="24"/>
                        </w:rPr>
                      </w:pPr>
                      <w:bookmarkStart w:name="4. Could you provide any suggestions for" w:id="7"/>
                      <w:bookmarkEnd w:id="7"/>
                      <w:r>
                        <w:rPr>
                          <w:color w:val="000000"/>
                        </w:rPr>
                      </w:r>
                      <w:r>
                        <w:rPr>
                          <w:b/>
                          <w:color w:val="000000"/>
                          <w:sz w:val="24"/>
                        </w:rPr>
                        <w:t>4.</w:t>
                      </w:r>
                      <w:r>
                        <w:rPr>
                          <w:b/>
                          <w:color w:val="000000"/>
                          <w:spacing w:val="-2"/>
                          <w:sz w:val="24"/>
                        </w:rPr>
                        <w:t> </w:t>
                      </w:r>
                      <w:r>
                        <w:rPr>
                          <w:b/>
                          <w:color w:val="000000"/>
                          <w:sz w:val="24"/>
                        </w:rPr>
                        <w:t>Could</w:t>
                      </w:r>
                      <w:r>
                        <w:rPr>
                          <w:b/>
                          <w:color w:val="000000"/>
                          <w:spacing w:val="-1"/>
                          <w:sz w:val="24"/>
                        </w:rPr>
                        <w:t> </w:t>
                      </w:r>
                      <w:r>
                        <w:rPr>
                          <w:b/>
                          <w:color w:val="000000"/>
                          <w:sz w:val="24"/>
                        </w:rPr>
                        <w:t>you</w:t>
                      </w:r>
                      <w:r>
                        <w:rPr>
                          <w:b/>
                          <w:color w:val="000000"/>
                          <w:spacing w:val="-1"/>
                          <w:sz w:val="24"/>
                        </w:rPr>
                        <w:t> </w:t>
                      </w:r>
                      <w:r>
                        <w:rPr>
                          <w:b/>
                          <w:color w:val="000000"/>
                          <w:sz w:val="24"/>
                        </w:rPr>
                        <w:t>provide</w:t>
                      </w:r>
                      <w:r>
                        <w:rPr>
                          <w:b/>
                          <w:color w:val="000000"/>
                          <w:spacing w:val="-1"/>
                          <w:sz w:val="24"/>
                        </w:rPr>
                        <w:t> </w:t>
                      </w:r>
                      <w:r>
                        <w:rPr>
                          <w:b/>
                          <w:color w:val="000000"/>
                          <w:sz w:val="24"/>
                        </w:rPr>
                        <w:t>any</w:t>
                      </w:r>
                      <w:r>
                        <w:rPr>
                          <w:b/>
                          <w:color w:val="000000"/>
                          <w:spacing w:val="-1"/>
                          <w:sz w:val="24"/>
                        </w:rPr>
                        <w:t> </w:t>
                      </w:r>
                      <w:r>
                        <w:rPr>
                          <w:b/>
                          <w:color w:val="000000"/>
                          <w:sz w:val="24"/>
                        </w:rPr>
                        <w:t>suggestions</w:t>
                      </w:r>
                      <w:r>
                        <w:rPr>
                          <w:b/>
                          <w:color w:val="000000"/>
                          <w:spacing w:val="-1"/>
                          <w:sz w:val="24"/>
                        </w:rPr>
                        <w:t> </w:t>
                      </w:r>
                      <w:r>
                        <w:rPr>
                          <w:b/>
                          <w:color w:val="000000"/>
                          <w:sz w:val="24"/>
                        </w:rPr>
                        <w:t>for</w:t>
                      </w:r>
                      <w:r>
                        <w:rPr>
                          <w:b/>
                          <w:color w:val="000000"/>
                          <w:spacing w:val="-1"/>
                          <w:sz w:val="24"/>
                        </w:rPr>
                        <w:t> </w:t>
                      </w:r>
                      <w:r>
                        <w:rPr>
                          <w:b/>
                          <w:color w:val="000000"/>
                          <w:sz w:val="24"/>
                        </w:rPr>
                        <w:t>improving</w:t>
                      </w:r>
                      <w:r>
                        <w:rPr>
                          <w:b/>
                          <w:color w:val="000000"/>
                          <w:spacing w:val="-1"/>
                          <w:sz w:val="24"/>
                        </w:rPr>
                        <w:t> </w:t>
                      </w:r>
                      <w:r>
                        <w:rPr>
                          <w:b/>
                          <w:color w:val="000000"/>
                          <w:sz w:val="24"/>
                        </w:rPr>
                        <w:t>our</w:t>
                      </w:r>
                      <w:r>
                        <w:rPr>
                          <w:b/>
                          <w:color w:val="000000"/>
                          <w:spacing w:val="-1"/>
                          <w:sz w:val="24"/>
                        </w:rPr>
                        <w:t> </w:t>
                      </w:r>
                      <w:r>
                        <w:rPr>
                          <w:b/>
                          <w:color w:val="000000"/>
                          <w:spacing w:val="-2"/>
                          <w:sz w:val="24"/>
                        </w:rPr>
                        <w:t>programme?</w:t>
                      </w:r>
                    </w:p>
                  </w:txbxContent>
                </v:textbox>
                <v:fill type="solid"/>
                <w10:wrap type="topAndBottom"/>
              </v:shape>
            </w:pict>
          </mc:Fallback>
        </mc:AlternateContent>
      </w:r>
    </w:p>
    <w:p>
      <w:pPr>
        <w:pStyle w:val="BodyText"/>
        <w:spacing w:before="3"/>
        <w:rPr>
          <w:sz w:val="15"/>
        </w:rPr>
      </w:pPr>
    </w:p>
    <w:p>
      <w:pPr>
        <w:pStyle w:val="BodyText"/>
        <w:spacing w:before="6"/>
        <w:rPr>
          <w:sz w:val="20"/>
        </w:rPr>
      </w:pPr>
    </w:p>
    <w:p>
      <w:pPr>
        <w:pStyle w:val="BodyText"/>
        <w:spacing w:after="0"/>
        <w:rPr>
          <w:sz w:val="20"/>
        </w:rPr>
        <w:sectPr>
          <w:pgSz w:w="11920" w:h="16840"/>
          <w:pgMar w:top="1380" w:bottom="280" w:left="1417" w:right="992"/>
        </w:sectPr>
      </w:pPr>
    </w:p>
    <w:p>
      <w:pPr>
        <w:spacing w:line="240" w:lineRule="auto"/>
        <w:ind w:left="383" w:right="0" w:firstLine="0"/>
        <w:rPr>
          <w:sz w:val="20"/>
        </w:rPr>
      </w:pPr>
      <w:r>
        <w:rPr>
          <w:sz w:val="20"/>
        </w:rPr>
        <mc:AlternateContent>
          <mc:Choice Requires="wps">
            <w:drawing>
              <wp:inline distT="0" distB="0" distL="0" distR="0">
                <wp:extent cx="5511800" cy="1334135"/>
                <wp:effectExtent l="0" t="0" r="0" b="0"/>
                <wp:docPr id="67" name="Textbox 67"/>
                <wp:cNvGraphicFramePr>
                  <a:graphicFrameLocks/>
                </wp:cNvGraphicFramePr>
                <a:graphic>
                  <a:graphicData uri="http://schemas.microsoft.com/office/word/2010/wordprocessingShape">
                    <wps:wsp>
                      <wps:cNvPr id="67" name="Textbox 67"/>
                      <wps:cNvSpPr txBox="1"/>
                      <wps:spPr>
                        <a:xfrm>
                          <a:off x="0" y="0"/>
                          <a:ext cx="5511800" cy="1334135"/>
                        </a:xfrm>
                        <a:prstGeom prst="rect">
                          <a:avLst/>
                        </a:prstGeom>
                        <a:solidFill>
                          <a:srgbClr val="F9F9F9"/>
                        </a:solidFill>
                      </wps:spPr>
                      <wps:txbx>
                        <w:txbxContent>
                          <w:p>
                            <w:pPr>
                              <w:pStyle w:val="BodyText"/>
                              <w:numPr>
                                <w:ilvl w:val="0"/>
                                <w:numId w:val="7"/>
                              </w:numPr>
                              <w:tabs>
                                <w:tab w:pos="360" w:val="left" w:leader="none"/>
                              </w:tabs>
                              <w:spacing w:line="360" w:lineRule="auto" w:before="1" w:after="0"/>
                              <w:ind w:left="360" w:right="300" w:hanging="360"/>
                              <w:jc w:val="left"/>
                              <w:rPr>
                                <w:color w:val="000000"/>
                              </w:rPr>
                            </w:pPr>
                            <w:r>
                              <w:rPr>
                                <w:color w:val="000000"/>
                              </w:rPr>
                              <w:t>Incorporate</w:t>
                            </w:r>
                            <w:r>
                              <w:rPr>
                                <w:color w:val="000000"/>
                                <w:spacing w:val="-4"/>
                              </w:rPr>
                              <w:t> </w:t>
                            </w:r>
                            <w:r>
                              <w:rPr>
                                <w:color w:val="000000"/>
                              </w:rPr>
                              <w:t>more</w:t>
                            </w:r>
                            <w:r>
                              <w:rPr>
                                <w:color w:val="000000"/>
                                <w:spacing w:val="-4"/>
                              </w:rPr>
                              <w:t> </w:t>
                            </w:r>
                            <w:r>
                              <w:rPr>
                                <w:color w:val="000000"/>
                              </w:rPr>
                              <w:t>multimedia</w:t>
                            </w:r>
                            <w:r>
                              <w:rPr>
                                <w:color w:val="000000"/>
                                <w:spacing w:val="-4"/>
                              </w:rPr>
                              <w:t> </w:t>
                            </w:r>
                            <w:r>
                              <w:rPr>
                                <w:color w:val="000000"/>
                              </w:rPr>
                              <w:t>elements</w:t>
                            </w:r>
                            <w:r>
                              <w:rPr>
                                <w:color w:val="000000"/>
                                <w:spacing w:val="-4"/>
                              </w:rPr>
                              <w:t> </w:t>
                            </w:r>
                            <w:r>
                              <w:rPr>
                                <w:color w:val="000000"/>
                              </w:rPr>
                              <w:t>such</w:t>
                            </w:r>
                            <w:r>
                              <w:rPr>
                                <w:color w:val="000000"/>
                                <w:spacing w:val="-4"/>
                              </w:rPr>
                              <w:t> </w:t>
                            </w:r>
                            <w:r>
                              <w:rPr>
                                <w:color w:val="000000"/>
                              </w:rPr>
                              <w:t>as</w:t>
                            </w:r>
                            <w:r>
                              <w:rPr>
                                <w:color w:val="000000"/>
                                <w:spacing w:val="-4"/>
                              </w:rPr>
                              <w:t> </w:t>
                            </w:r>
                            <w:r>
                              <w:rPr>
                                <w:color w:val="000000"/>
                              </w:rPr>
                              <w:t>videos,</w:t>
                            </w:r>
                            <w:r>
                              <w:rPr>
                                <w:color w:val="000000"/>
                                <w:spacing w:val="-4"/>
                              </w:rPr>
                              <w:t> </w:t>
                            </w:r>
                            <w:r>
                              <w:rPr>
                                <w:color w:val="000000"/>
                              </w:rPr>
                              <w:t>games,</w:t>
                            </w:r>
                            <w:r>
                              <w:rPr>
                                <w:color w:val="000000"/>
                                <w:spacing w:val="-4"/>
                              </w:rPr>
                              <w:t> </w:t>
                            </w:r>
                            <w:r>
                              <w:rPr>
                                <w:color w:val="000000"/>
                              </w:rPr>
                              <w:t>or</w:t>
                            </w:r>
                            <w:r>
                              <w:rPr>
                                <w:color w:val="000000"/>
                                <w:spacing w:val="-4"/>
                              </w:rPr>
                              <w:t> </w:t>
                            </w:r>
                            <w:r>
                              <w:rPr>
                                <w:color w:val="000000"/>
                              </w:rPr>
                              <w:t>group</w:t>
                            </w:r>
                            <w:r>
                              <w:rPr>
                                <w:color w:val="000000"/>
                                <w:spacing w:val="-4"/>
                              </w:rPr>
                              <w:t> </w:t>
                            </w:r>
                            <w:r>
                              <w:rPr>
                                <w:color w:val="000000"/>
                              </w:rPr>
                              <w:t>activities</w:t>
                            </w:r>
                            <w:r>
                              <w:rPr>
                                <w:color w:val="000000"/>
                                <w:spacing w:val="-4"/>
                              </w:rPr>
                              <w:t> </w:t>
                            </w:r>
                            <w:r>
                              <w:rPr>
                                <w:color w:val="000000"/>
                              </w:rPr>
                              <w:t>to make the programme more engaging.</w:t>
                            </w:r>
                          </w:p>
                          <w:p>
                            <w:pPr>
                              <w:pStyle w:val="BodyText"/>
                              <w:numPr>
                                <w:ilvl w:val="0"/>
                                <w:numId w:val="7"/>
                              </w:numPr>
                              <w:tabs>
                                <w:tab w:pos="359" w:val="left" w:leader="none"/>
                              </w:tabs>
                              <w:spacing w:line="240" w:lineRule="auto" w:before="1" w:after="0"/>
                              <w:ind w:left="359" w:right="0" w:hanging="359"/>
                              <w:jc w:val="left"/>
                              <w:rPr>
                                <w:color w:val="000000"/>
                              </w:rPr>
                            </w:pPr>
                            <w:r>
                              <w:rPr>
                                <w:color w:val="000000"/>
                              </w:rPr>
                              <w:t>Include more fun and interactive </w:t>
                            </w:r>
                            <w:r>
                              <w:rPr>
                                <w:color w:val="000000"/>
                                <w:spacing w:val="-2"/>
                              </w:rPr>
                              <w:t>games.</w:t>
                            </w:r>
                          </w:p>
                          <w:p>
                            <w:pPr>
                              <w:pStyle w:val="BodyText"/>
                              <w:numPr>
                                <w:ilvl w:val="0"/>
                                <w:numId w:val="7"/>
                              </w:numPr>
                              <w:tabs>
                                <w:tab w:pos="359" w:val="left" w:leader="none"/>
                              </w:tabs>
                              <w:spacing w:line="240" w:lineRule="auto" w:before="140" w:after="0"/>
                              <w:ind w:left="359" w:right="0" w:hanging="359"/>
                              <w:jc w:val="left"/>
                              <w:rPr>
                                <w:color w:val="000000"/>
                              </w:rPr>
                            </w:pPr>
                            <w:r>
                              <w:rPr>
                                <w:color w:val="000000"/>
                              </w:rPr>
                              <w:t>Increase the number of activities that involve movement and active </w:t>
                            </w:r>
                            <w:r>
                              <w:rPr>
                                <w:color w:val="000000"/>
                                <w:spacing w:val="-2"/>
                              </w:rPr>
                              <w:t>participation.</w:t>
                            </w:r>
                          </w:p>
                          <w:p>
                            <w:pPr>
                              <w:pStyle w:val="BodyText"/>
                              <w:numPr>
                                <w:ilvl w:val="0"/>
                                <w:numId w:val="7"/>
                              </w:numPr>
                              <w:tabs>
                                <w:tab w:pos="359" w:val="left" w:leader="none"/>
                              </w:tabs>
                              <w:spacing w:line="240" w:lineRule="auto" w:before="139" w:after="0"/>
                              <w:ind w:left="359" w:right="0" w:hanging="359"/>
                              <w:jc w:val="left"/>
                              <w:rPr>
                                <w:color w:val="000000"/>
                              </w:rPr>
                            </w:pPr>
                            <w:r>
                              <w:rPr>
                                <w:color w:val="000000"/>
                              </w:rPr>
                              <w:t>Conduct the programme more frequently in the </w:t>
                            </w:r>
                            <w:r>
                              <w:rPr>
                                <w:color w:val="000000"/>
                                <w:spacing w:val="-2"/>
                              </w:rPr>
                              <w:t>future.</w:t>
                            </w:r>
                          </w:p>
                        </w:txbxContent>
                      </wps:txbx>
                      <wps:bodyPr wrap="square" lIns="0" tIns="0" rIns="0" bIns="0" rtlCol="0">
                        <a:noAutofit/>
                      </wps:bodyPr>
                    </wps:wsp>
                  </a:graphicData>
                </a:graphic>
              </wp:inline>
            </w:drawing>
          </mc:Choice>
          <mc:Fallback>
            <w:pict>
              <v:shape style="width:434pt;height:105.05pt;mso-position-horizontal-relative:char;mso-position-vertical-relative:line" type="#_x0000_t202" id="docshape5" filled="true" fillcolor="#f9f9f9" stroked="false">
                <w10:anchorlock/>
                <v:textbox inset="0,0,0,0">
                  <w:txbxContent>
                    <w:p>
                      <w:pPr>
                        <w:pStyle w:val="BodyText"/>
                        <w:numPr>
                          <w:ilvl w:val="0"/>
                          <w:numId w:val="7"/>
                        </w:numPr>
                        <w:tabs>
                          <w:tab w:pos="360" w:val="left" w:leader="none"/>
                        </w:tabs>
                        <w:spacing w:line="360" w:lineRule="auto" w:before="1" w:after="0"/>
                        <w:ind w:left="360" w:right="300" w:hanging="360"/>
                        <w:jc w:val="left"/>
                        <w:rPr>
                          <w:color w:val="000000"/>
                        </w:rPr>
                      </w:pPr>
                      <w:r>
                        <w:rPr>
                          <w:color w:val="000000"/>
                        </w:rPr>
                        <w:t>Incorporate</w:t>
                      </w:r>
                      <w:r>
                        <w:rPr>
                          <w:color w:val="000000"/>
                          <w:spacing w:val="-4"/>
                        </w:rPr>
                        <w:t> </w:t>
                      </w:r>
                      <w:r>
                        <w:rPr>
                          <w:color w:val="000000"/>
                        </w:rPr>
                        <w:t>more</w:t>
                      </w:r>
                      <w:r>
                        <w:rPr>
                          <w:color w:val="000000"/>
                          <w:spacing w:val="-4"/>
                        </w:rPr>
                        <w:t> </w:t>
                      </w:r>
                      <w:r>
                        <w:rPr>
                          <w:color w:val="000000"/>
                        </w:rPr>
                        <w:t>multimedia</w:t>
                      </w:r>
                      <w:r>
                        <w:rPr>
                          <w:color w:val="000000"/>
                          <w:spacing w:val="-4"/>
                        </w:rPr>
                        <w:t> </w:t>
                      </w:r>
                      <w:r>
                        <w:rPr>
                          <w:color w:val="000000"/>
                        </w:rPr>
                        <w:t>elements</w:t>
                      </w:r>
                      <w:r>
                        <w:rPr>
                          <w:color w:val="000000"/>
                          <w:spacing w:val="-4"/>
                        </w:rPr>
                        <w:t> </w:t>
                      </w:r>
                      <w:r>
                        <w:rPr>
                          <w:color w:val="000000"/>
                        </w:rPr>
                        <w:t>such</w:t>
                      </w:r>
                      <w:r>
                        <w:rPr>
                          <w:color w:val="000000"/>
                          <w:spacing w:val="-4"/>
                        </w:rPr>
                        <w:t> </w:t>
                      </w:r>
                      <w:r>
                        <w:rPr>
                          <w:color w:val="000000"/>
                        </w:rPr>
                        <w:t>as</w:t>
                      </w:r>
                      <w:r>
                        <w:rPr>
                          <w:color w:val="000000"/>
                          <w:spacing w:val="-4"/>
                        </w:rPr>
                        <w:t> </w:t>
                      </w:r>
                      <w:r>
                        <w:rPr>
                          <w:color w:val="000000"/>
                        </w:rPr>
                        <w:t>videos,</w:t>
                      </w:r>
                      <w:r>
                        <w:rPr>
                          <w:color w:val="000000"/>
                          <w:spacing w:val="-4"/>
                        </w:rPr>
                        <w:t> </w:t>
                      </w:r>
                      <w:r>
                        <w:rPr>
                          <w:color w:val="000000"/>
                        </w:rPr>
                        <w:t>games,</w:t>
                      </w:r>
                      <w:r>
                        <w:rPr>
                          <w:color w:val="000000"/>
                          <w:spacing w:val="-4"/>
                        </w:rPr>
                        <w:t> </w:t>
                      </w:r>
                      <w:r>
                        <w:rPr>
                          <w:color w:val="000000"/>
                        </w:rPr>
                        <w:t>or</w:t>
                      </w:r>
                      <w:r>
                        <w:rPr>
                          <w:color w:val="000000"/>
                          <w:spacing w:val="-4"/>
                        </w:rPr>
                        <w:t> </w:t>
                      </w:r>
                      <w:r>
                        <w:rPr>
                          <w:color w:val="000000"/>
                        </w:rPr>
                        <w:t>group</w:t>
                      </w:r>
                      <w:r>
                        <w:rPr>
                          <w:color w:val="000000"/>
                          <w:spacing w:val="-4"/>
                        </w:rPr>
                        <w:t> </w:t>
                      </w:r>
                      <w:r>
                        <w:rPr>
                          <w:color w:val="000000"/>
                        </w:rPr>
                        <w:t>activities</w:t>
                      </w:r>
                      <w:r>
                        <w:rPr>
                          <w:color w:val="000000"/>
                          <w:spacing w:val="-4"/>
                        </w:rPr>
                        <w:t> </w:t>
                      </w:r>
                      <w:r>
                        <w:rPr>
                          <w:color w:val="000000"/>
                        </w:rPr>
                        <w:t>to make the programme more engaging.</w:t>
                      </w:r>
                    </w:p>
                    <w:p>
                      <w:pPr>
                        <w:pStyle w:val="BodyText"/>
                        <w:numPr>
                          <w:ilvl w:val="0"/>
                          <w:numId w:val="7"/>
                        </w:numPr>
                        <w:tabs>
                          <w:tab w:pos="359" w:val="left" w:leader="none"/>
                        </w:tabs>
                        <w:spacing w:line="240" w:lineRule="auto" w:before="1" w:after="0"/>
                        <w:ind w:left="359" w:right="0" w:hanging="359"/>
                        <w:jc w:val="left"/>
                        <w:rPr>
                          <w:color w:val="000000"/>
                        </w:rPr>
                      </w:pPr>
                      <w:r>
                        <w:rPr>
                          <w:color w:val="000000"/>
                        </w:rPr>
                        <w:t>Include more fun and interactive </w:t>
                      </w:r>
                      <w:r>
                        <w:rPr>
                          <w:color w:val="000000"/>
                          <w:spacing w:val="-2"/>
                        </w:rPr>
                        <w:t>games.</w:t>
                      </w:r>
                    </w:p>
                    <w:p>
                      <w:pPr>
                        <w:pStyle w:val="BodyText"/>
                        <w:numPr>
                          <w:ilvl w:val="0"/>
                          <w:numId w:val="7"/>
                        </w:numPr>
                        <w:tabs>
                          <w:tab w:pos="359" w:val="left" w:leader="none"/>
                        </w:tabs>
                        <w:spacing w:line="240" w:lineRule="auto" w:before="140" w:after="0"/>
                        <w:ind w:left="359" w:right="0" w:hanging="359"/>
                        <w:jc w:val="left"/>
                        <w:rPr>
                          <w:color w:val="000000"/>
                        </w:rPr>
                      </w:pPr>
                      <w:r>
                        <w:rPr>
                          <w:color w:val="000000"/>
                        </w:rPr>
                        <w:t>Increase the number of activities that involve movement and active </w:t>
                      </w:r>
                      <w:r>
                        <w:rPr>
                          <w:color w:val="000000"/>
                          <w:spacing w:val="-2"/>
                        </w:rPr>
                        <w:t>participation.</w:t>
                      </w:r>
                    </w:p>
                    <w:p>
                      <w:pPr>
                        <w:pStyle w:val="BodyText"/>
                        <w:numPr>
                          <w:ilvl w:val="0"/>
                          <w:numId w:val="7"/>
                        </w:numPr>
                        <w:tabs>
                          <w:tab w:pos="359" w:val="left" w:leader="none"/>
                        </w:tabs>
                        <w:spacing w:line="240" w:lineRule="auto" w:before="139" w:after="0"/>
                        <w:ind w:left="359" w:right="0" w:hanging="359"/>
                        <w:jc w:val="left"/>
                        <w:rPr>
                          <w:color w:val="000000"/>
                        </w:rPr>
                      </w:pPr>
                      <w:r>
                        <w:rPr>
                          <w:color w:val="000000"/>
                        </w:rPr>
                        <w:t>Conduct the programme more frequently in the </w:t>
                      </w:r>
                      <w:r>
                        <w:rPr>
                          <w:color w:val="000000"/>
                          <w:spacing w:val="-2"/>
                        </w:rPr>
                        <w:t>future.</w:t>
                      </w:r>
                    </w:p>
                  </w:txbxContent>
                </v:textbox>
                <v:fill type="solid"/>
              </v:shape>
            </w:pict>
          </mc:Fallback>
        </mc:AlternateContent>
      </w:r>
      <w:r>
        <w:rPr>
          <w:sz w:val="20"/>
        </w:rPr>
      </w:r>
    </w:p>
    <w:p>
      <w:pPr>
        <w:pStyle w:val="BodyText"/>
      </w:pPr>
    </w:p>
    <w:p>
      <w:pPr>
        <w:pStyle w:val="BodyText"/>
        <w:spacing w:before="191"/>
      </w:pPr>
    </w:p>
    <w:p>
      <w:pPr>
        <w:pStyle w:val="Heading2"/>
        <w:numPr>
          <w:ilvl w:val="1"/>
          <w:numId w:val="8"/>
        </w:numPr>
        <w:tabs>
          <w:tab w:pos="3982" w:val="left" w:leader="none"/>
        </w:tabs>
        <w:spacing w:line="240" w:lineRule="auto" w:before="0" w:after="0"/>
        <w:ind w:left="3982" w:right="0" w:hanging="360"/>
        <w:jc w:val="left"/>
      </w:pPr>
      <w:r>
        <w:rPr>
          <w:spacing w:val="-2"/>
        </w:rPr>
        <w:t>DISCUSSION</w:t>
      </w:r>
    </w:p>
    <w:p>
      <w:pPr>
        <w:pStyle w:val="BodyText"/>
        <w:spacing w:before="102"/>
        <w:rPr>
          <w:b/>
        </w:rPr>
      </w:pPr>
    </w:p>
    <w:p>
      <w:pPr>
        <w:pStyle w:val="BodyText"/>
        <w:spacing w:line="360" w:lineRule="auto"/>
        <w:ind w:left="23" w:right="460" w:firstLine="720"/>
        <w:jc w:val="both"/>
      </w:pPr>
      <w:r>
        <w:rPr/>
        <w:t>This discussion section interprets and elaborates on the research findings in order to evaluate the effectiveness of the Safe Workplace Initiative Programme: Creating a Safe Organisation in addressing the issue of sexual harassment in the workplace, </w:t>
      </w:r>
      <w:r>
        <w:rPr/>
        <w:t>particularly within the context of</w:t>
      </w:r>
      <w:r>
        <w:rPr>
          <w:spacing w:val="-3"/>
        </w:rPr>
        <w:t> </w:t>
      </w:r>
      <w:r>
        <w:rPr/>
        <w:t>educational</w:t>
      </w:r>
      <w:r>
        <w:rPr>
          <w:spacing w:val="-3"/>
        </w:rPr>
        <w:t> </w:t>
      </w:r>
      <w:r>
        <w:rPr/>
        <w:t>institutions.</w:t>
      </w:r>
      <w:r>
        <w:rPr>
          <w:spacing w:val="-3"/>
        </w:rPr>
        <w:t> </w:t>
      </w:r>
      <w:r>
        <w:rPr/>
        <w:t>This</w:t>
      </w:r>
      <w:r>
        <w:rPr>
          <w:spacing w:val="-3"/>
        </w:rPr>
        <w:t> </w:t>
      </w:r>
      <w:r>
        <w:rPr/>
        <w:t>discussion</w:t>
      </w:r>
      <w:r>
        <w:rPr>
          <w:spacing w:val="-3"/>
        </w:rPr>
        <w:t> </w:t>
      </w:r>
      <w:r>
        <w:rPr/>
        <w:t>relates</w:t>
      </w:r>
      <w:r>
        <w:rPr>
          <w:spacing w:val="-3"/>
        </w:rPr>
        <w:t> </w:t>
      </w:r>
      <w:r>
        <w:rPr/>
        <w:t>the</w:t>
      </w:r>
      <w:r>
        <w:rPr>
          <w:spacing w:val="-3"/>
        </w:rPr>
        <w:t> </w:t>
      </w:r>
      <w:r>
        <w:rPr/>
        <w:t>quantitative</w:t>
      </w:r>
      <w:r>
        <w:rPr>
          <w:spacing w:val="-3"/>
        </w:rPr>
        <w:t> </w:t>
      </w:r>
      <w:r>
        <w:rPr/>
        <w:t>findings obtained from the Sexual Assessment Scale (SAS) instrument to the objectives of the programme, the literature review, and the three theoretical frameworks that shaped the intervention design, while also highlighting the limitations of the study.</w:t>
      </w:r>
    </w:p>
    <w:p>
      <w:pPr>
        <w:pStyle w:val="Heading3"/>
        <w:numPr>
          <w:ilvl w:val="1"/>
          <w:numId w:val="8"/>
        </w:numPr>
        <w:tabs>
          <w:tab w:pos="383" w:val="left" w:leader="none"/>
        </w:tabs>
        <w:spacing w:line="240" w:lineRule="auto" w:before="240" w:after="0"/>
        <w:ind w:left="383" w:right="0" w:hanging="360"/>
        <w:jc w:val="left"/>
      </w:pPr>
      <w:r>
        <w:rPr/>
        <w:t>Interpretation</w:t>
      </w:r>
      <w:r>
        <w:rPr>
          <w:spacing w:val="-2"/>
        </w:rPr>
        <w:t> </w:t>
      </w:r>
      <w:r>
        <w:rPr/>
        <w:t>of</w:t>
      </w:r>
      <w:r>
        <w:rPr>
          <w:spacing w:val="-1"/>
        </w:rPr>
        <w:t> </w:t>
      </w:r>
      <w:r>
        <w:rPr/>
        <w:t>Findings</w:t>
      </w:r>
      <w:r>
        <w:rPr>
          <w:spacing w:val="-2"/>
        </w:rPr>
        <w:t> </w:t>
      </w:r>
      <w:r>
        <w:rPr/>
        <w:t>and</w:t>
      </w:r>
      <w:r>
        <w:rPr>
          <w:spacing w:val="-1"/>
        </w:rPr>
        <w:t> </w:t>
      </w:r>
      <w:r>
        <w:rPr/>
        <w:t>Achievement</w:t>
      </w:r>
      <w:r>
        <w:rPr>
          <w:spacing w:val="-2"/>
        </w:rPr>
        <w:t> </w:t>
      </w:r>
      <w:r>
        <w:rPr/>
        <w:t>of</w:t>
      </w:r>
      <w:r>
        <w:rPr>
          <w:spacing w:val="-1"/>
        </w:rPr>
        <w:t> </w:t>
      </w:r>
      <w:r>
        <w:rPr/>
        <w:t>Programme</w:t>
      </w:r>
      <w:r>
        <w:rPr>
          <w:spacing w:val="-1"/>
        </w:rPr>
        <w:t> </w:t>
      </w:r>
      <w:r>
        <w:rPr>
          <w:spacing w:val="-2"/>
        </w:rPr>
        <w:t>Objectives</w:t>
      </w:r>
    </w:p>
    <w:p>
      <w:pPr>
        <w:pStyle w:val="BodyText"/>
        <w:spacing w:before="102"/>
        <w:rPr>
          <w:b/>
        </w:rPr>
      </w:pPr>
    </w:p>
    <w:p>
      <w:pPr>
        <w:pStyle w:val="BodyText"/>
        <w:spacing w:line="360" w:lineRule="auto"/>
        <w:ind w:left="23" w:right="465" w:firstLine="720"/>
        <w:jc w:val="both"/>
      </w:pPr>
      <w:r>
        <w:rPr/>
        <w:t>The quantitative findings of this study support the achievement of the </w:t>
      </w:r>
      <w:r>
        <w:rPr/>
        <w:t>programme's main objective, namely to increase participants' understanding of the forms, effects, and implications of</w:t>
      </w:r>
      <w:r>
        <w:rPr>
          <w:spacing w:val="-3"/>
        </w:rPr>
        <w:t> </w:t>
      </w:r>
      <w:r>
        <w:rPr/>
        <w:t>sexual</w:t>
      </w:r>
      <w:r>
        <w:rPr>
          <w:spacing w:val="-3"/>
        </w:rPr>
        <w:t> </w:t>
      </w:r>
      <w:r>
        <w:rPr/>
        <w:t>harassment</w:t>
      </w:r>
      <w:r>
        <w:rPr>
          <w:spacing w:val="-3"/>
        </w:rPr>
        <w:t> </w:t>
      </w:r>
      <w:r>
        <w:rPr/>
        <w:t>in</w:t>
      </w:r>
      <w:r>
        <w:rPr>
          <w:spacing w:val="-3"/>
        </w:rPr>
        <w:t> </w:t>
      </w:r>
      <w:r>
        <w:rPr/>
        <w:t>the</w:t>
      </w:r>
      <w:r>
        <w:rPr>
          <w:spacing w:val="-3"/>
        </w:rPr>
        <w:t> </w:t>
      </w:r>
      <w:r>
        <w:rPr/>
        <w:t>workplace</w:t>
      </w:r>
      <w:r>
        <w:rPr>
          <w:spacing w:val="-3"/>
        </w:rPr>
        <w:t> </w:t>
      </w:r>
      <w:r>
        <w:rPr/>
        <w:t>based</w:t>
      </w:r>
      <w:r>
        <w:rPr>
          <w:spacing w:val="-3"/>
        </w:rPr>
        <w:t> </w:t>
      </w:r>
      <w:r>
        <w:rPr/>
        <w:t>on</w:t>
      </w:r>
      <w:r>
        <w:rPr>
          <w:spacing w:val="-3"/>
        </w:rPr>
        <w:t> </w:t>
      </w:r>
      <w:r>
        <w:rPr/>
        <w:t>the</w:t>
      </w:r>
      <w:r>
        <w:rPr>
          <w:spacing w:val="-3"/>
        </w:rPr>
        <w:t> </w:t>
      </w:r>
      <w:r>
        <w:rPr/>
        <w:t>Anti-Sexual</w:t>
      </w:r>
      <w:r>
        <w:rPr>
          <w:spacing w:val="-3"/>
        </w:rPr>
        <w:t> </w:t>
      </w:r>
      <w:r>
        <w:rPr/>
        <w:t>Harassment</w:t>
      </w:r>
      <w:r>
        <w:rPr>
          <w:spacing w:val="-3"/>
        </w:rPr>
        <w:t> </w:t>
      </w:r>
      <w:r>
        <w:rPr/>
        <w:t>Act 2022 (Act 840). Based on descriptive statistical analysis of</w:t>
      </w:r>
      <w:r>
        <w:rPr>
          <w:spacing w:val="-3"/>
        </w:rPr>
        <w:t> </w:t>
      </w:r>
      <w:r>
        <w:rPr/>
        <w:t>30</w:t>
      </w:r>
      <w:r>
        <w:rPr>
          <w:spacing w:val="-3"/>
        </w:rPr>
        <w:t> </w:t>
      </w:r>
      <w:r>
        <w:rPr/>
        <w:t>participants,</w:t>
      </w:r>
      <w:r>
        <w:rPr>
          <w:spacing w:val="-3"/>
        </w:rPr>
        <w:t> </w:t>
      </w:r>
      <w:r>
        <w:rPr/>
        <w:t>the</w:t>
      </w:r>
      <w:r>
        <w:rPr>
          <w:spacing w:val="-3"/>
        </w:rPr>
        <w:t> </w:t>
      </w:r>
      <w:r>
        <w:rPr/>
        <w:t>mean</w:t>
      </w:r>
      <w:r>
        <w:rPr>
          <w:spacing w:val="-3"/>
        </w:rPr>
        <w:t> </w:t>
      </w:r>
      <w:r>
        <w:rPr/>
        <w:t>pre-test SSAS score was 23.57 (SD = 6.51), which increased to 34.00 (SD = 6.37) at post-test, representing a mean increase of 10.43 points. This increase indicates that participants had a better level of awareness and understanding of</w:t>
      </w:r>
      <w:r>
        <w:rPr>
          <w:spacing w:val="-3"/>
        </w:rPr>
        <w:t> </w:t>
      </w:r>
      <w:r>
        <w:rPr/>
        <w:t>sexual</w:t>
      </w:r>
      <w:r>
        <w:rPr>
          <w:spacing w:val="-3"/>
        </w:rPr>
        <w:t> </w:t>
      </w:r>
      <w:r>
        <w:rPr/>
        <w:t>harassment</w:t>
      </w:r>
      <w:r>
        <w:rPr>
          <w:spacing w:val="-3"/>
        </w:rPr>
        <w:t> </w:t>
      </w:r>
      <w:r>
        <w:rPr/>
        <w:t>issues</w:t>
      </w:r>
      <w:r>
        <w:rPr>
          <w:spacing w:val="-3"/>
        </w:rPr>
        <w:t> </w:t>
      </w:r>
      <w:r>
        <w:rPr/>
        <w:t>after</w:t>
      </w:r>
      <w:r>
        <w:rPr>
          <w:spacing w:val="-3"/>
        </w:rPr>
        <w:t> </w:t>
      </w:r>
      <w:r>
        <w:rPr/>
        <w:t>participating</w:t>
      </w:r>
      <w:r>
        <w:rPr>
          <w:spacing w:val="-3"/>
        </w:rPr>
        <w:t> </w:t>
      </w:r>
      <w:r>
        <w:rPr/>
        <w:t>in the programme.</w:t>
      </w:r>
    </w:p>
    <w:p>
      <w:pPr>
        <w:pStyle w:val="BodyText"/>
        <w:spacing w:line="360" w:lineRule="auto" w:before="240"/>
        <w:ind w:left="23" w:right="460" w:firstLine="720"/>
        <w:jc w:val="both"/>
      </w:pPr>
      <w:r>
        <w:rPr/>
        <w:t>The Paired-Samples t-Test analysis showed a statistically significant difference between the pre-test and post-test scores, namely t(29) = -39.284, p &lt; .001. This value indicates</w:t>
      </w:r>
      <w:r>
        <w:rPr>
          <w:spacing w:val="-3"/>
        </w:rPr>
        <w:t> </w:t>
      </w:r>
      <w:r>
        <w:rPr/>
        <w:t>that</w:t>
      </w:r>
      <w:r>
        <w:rPr>
          <w:spacing w:val="-3"/>
        </w:rPr>
        <w:t> </w:t>
      </w:r>
      <w:r>
        <w:rPr/>
        <w:t>the</w:t>
      </w:r>
      <w:r>
        <w:rPr>
          <w:spacing w:val="-3"/>
        </w:rPr>
        <w:t> </w:t>
      </w:r>
      <w:r>
        <w:rPr/>
        <w:t>increase</w:t>
      </w:r>
      <w:r>
        <w:rPr>
          <w:spacing w:val="-3"/>
        </w:rPr>
        <w:t> </w:t>
      </w:r>
      <w:r>
        <w:rPr/>
        <w:t>in</w:t>
      </w:r>
      <w:r>
        <w:rPr>
          <w:spacing w:val="-3"/>
        </w:rPr>
        <w:t> </w:t>
      </w:r>
      <w:r>
        <w:rPr/>
        <w:t>scores</w:t>
      </w:r>
      <w:r>
        <w:rPr>
          <w:spacing w:val="-3"/>
        </w:rPr>
        <w:t> </w:t>
      </w:r>
      <w:r>
        <w:rPr/>
        <w:t>was</w:t>
      </w:r>
      <w:r>
        <w:rPr>
          <w:spacing w:val="-3"/>
        </w:rPr>
        <w:t> </w:t>
      </w:r>
      <w:r>
        <w:rPr/>
        <w:t>not</w:t>
      </w:r>
      <w:r>
        <w:rPr>
          <w:spacing w:val="-3"/>
        </w:rPr>
        <w:t> </w:t>
      </w:r>
      <w:r>
        <w:rPr/>
        <w:t>due</w:t>
      </w:r>
      <w:r>
        <w:rPr>
          <w:spacing w:val="-3"/>
        </w:rPr>
        <w:t> </w:t>
      </w:r>
      <w:r>
        <w:rPr/>
        <w:t>to</w:t>
      </w:r>
      <w:r>
        <w:rPr>
          <w:spacing w:val="-3"/>
        </w:rPr>
        <w:t> </w:t>
      </w:r>
      <w:r>
        <w:rPr/>
        <w:t>chance,</w:t>
      </w:r>
      <w:r>
        <w:rPr>
          <w:spacing w:val="-3"/>
        </w:rPr>
        <w:t> </w:t>
      </w:r>
      <w:r>
        <w:rPr/>
        <w:t>but</w:t>
      </w:r>
      <w:r>
        <w:rPr>
          <w:spacing w:val="-3"/>
        </w:rPr>
        <w:t> </w:t>
      </w:r>
      <w:r>
        <w:rPr/>
        <w:t>was</w:t>
      </w:r>
      <w:r>
        <w:rPr>
          <w:spacing w:val="-3"/>
        </w:rPr>
        <w:t> </w:t>
      </w:r>
      <w:r>
        <w:rPr/>
        <w:t>rather</w:t>
      </w:r>
      <w:r>
        <w:rPr>
          <w:spacing w:val="-3"/>
        </w:rPr>
        <w:t> </w:t>
      </w:r>
      <w:r>
        <w:rPr/>
        <w:t>a</w:t>
      </w:r>
      <w:r>
        <w:rPr>
          <w:spacing w:val="-3"/>
        </w:rPr>
        <w:t> </w:t>
      </w:r>
      <w:r>
        <w:rPr/>
        <w:t>direct</w:t>
      </w:r>
      <w:r>
        <w:rPr>
          <w:spacing w:val="-3"/>
        </w:rPr>
        <w:t> </w:t>
      </w:r>
      <w:r>
        <w:rPr/>
        <w:t>effect</w:t>
      </w:r>
      <w:r>
        <w:rPr>
          <w:spacing w:val="-3"/>
        </w:rPr>
        <w:t> </w:t>
      </w:r>
      <w:r>
        <w:rPr/>
        <w:t>of</w:t>
      </w:r>
      <w:r>
        <w:rPr>
          <w:spacing w:val="-3"/>
        </w:rPr>
        <w:t> </w:t>
      </w:r>
      <w:r>
        <w:rPr/>
        <w:t>the educational intervention implemented. In other words, the combination of interactive activities such as casual discussion sessions,</w:t>
      </w:r>
      <w:r>
        <w:rPr>
          <w:spacing w:val="-3"/>
        </w:rPr>
        <w:t> </w:t>
      </w:r>
      <w:r>
        <w:rPr/>
        <w:t>awareness</w:t>
      </w:r>
      <w:r>
        <w:rPr>
          <w:spacing w:val="-3"/>
        </w:rPr>
        <w:t> </w:t>
      </w:r>
      <w:r>
        <w:rPr/>
        <w:t>quizzes,</w:t>
      </w:r>
      <w:r>
        <w:rPr>
          <w:spacing w:val="-3"/>
        </w:rPr>
        <w:t> </w:t>
      </w:r>
      <w:r>
        <w:rPr/>
        <w:t>and</w:t>
      </w:r>
      <w:r>
        <w:rPr>
          <w:spacing w:val="-3"/>
        </w:rPr>
        <w:t> </w:t>
      </w:r>
      <w:r>
        <w:rPr/>
        <w:t>simulations</w:t>
      </w:r>
      <w:r>
        <w:rPr>
          <w:spacing w:val="-3"/>
        </w:rPr>
        <w:t> </w:t>
      </w:r>
      <w:r>
        <w:rPr/>
        <w:t>successfully helped participants more clearly distinguish between acceptable social interactions and behaviour classified as sexual harassment.</w:t>
      </w:r>
    </w:p>
    <w:p>
      <w:pPr>
        <w:pStyle w:val="BodyText"/>
        <w:spacing w:after="0" w:line="360" w:lineRule="auto"/>
        <w:jc w:val="both"/>
        <w:sectPr>
          <w:pgSz w:w="11920" w:h="16840"/>
          <w:pgMar w:top="1440" w:bottom="280" w:left="1417" w:right="992"/>
        </w:sectPr>
      </w:pPr>
    </w:p>
    <w:p>
      <w:pPr>
        <w:pStyle w:val="BodyText"/>
        <w:spacing w:line="360" w:lineRule="auto" w:before="60"/>
        <w:ind w:left="23" w:right="462" w:firstLine="720"/>
        <w:jc w:val="both"/>
      </w:pPr>
      <w:r>
        <w:rPr/>
        <w:t>This achievement is particularly important given</w:t>
      </w:r>
      <w:r>
        <w:rPr>
          <w:spacing w:val="-3"/>
        </w:rPr>
        <w:t> </w:t>
      </w:r>
      <w:r>
        <w:rPr/>
        <w:t>that</w:t>
      </w:r>
      <w:r>
        <w:rPr>
          <w:spacing w:val="-3"/>
        </w:rPr>
        <w:t> </w:t>
      </w:r>
      <w:r>
        <w:rPr/>
        <w:t>a</w:t>
      </w:r>
      <w:r>
        <w:rPr>
          <w:spacing w:val="-3"/>
        </w:rPr>
        <w:t> </w:t>
      </w:r>
      <w:r>
        <w:rPr/>
        <w:t>study</w:t>
      </w:r>
      <w:r>
        <w:rPr>
          <w:spacing w:val="-3"/>
        </w:rPr>
        <w:t> </w:t>
      </w:r>
      <w:r>
        <w:rPr/>
        <w:t>by</w:t>
      </w:r>
      <w:r>
        <w:rPr>
          <w:spacing w:val="-3"/>
        </w:rPr>
        <w:t> </w:t>
      </w:r>
      <w:r>
        <w:rPr/>
        <w:t>Shalihin</w:t>
      </w:r>
      <w:r>
        <w:rPr>
          <w:spacing w:val="-3"/>
        </w:rPr>
        <w:t> </w:t>
      </w:r>
      <w:r>
        <w:rPr/>
        <w:t>et</w:t>
      </w:r>
      <w:r>
        <w:rPr>
          <w:spacing w:val="-3"/>
        </w:rPr>
        <w:t> </w:t>
      </w:r>
      <w:r>
        <w:rPr/>
        <w:t>al.</w:t>
      </w:r>
      <w:r>
        <w:rPr>
          <w:spacing w:val="-3"/>
        </w:rPr>
        <w:t> </w:t>
      </w:r>
      <w:r>
        <w:rPr/>
        <w:t>(2022) found that verbal</w:t>
      </w:r>
      <w:r>
        <w:rPr>
          <w:spacing w:val="-2"/>
        </w:rPr>
        <w:t> </w:t>
      </w:r>
      <w:r>
        <w:rPr/>
        <w:t>sexual</w:t>
      </w:r>
      <w:r>
        <w:rPr>
          <w:spacing w:val="-2"/>
        </w:rPr>
        <w:t> </w:t>
      </w:r>
      <w:r>
        <w:rPr/>
        <w:t>harassment</w:t>
      </w:r>
      <w:r>
        <w:rPr>
          <w:spacing w:val="-2"/>
        </w:rPr>
        <w:t> </w:t>
      </w:r>
      <w:r>
        <w:rPr/>
        <w:t>is</w:t>
      </w:r>
      <w:r>
        <w:rPr>
          <w:spacing w:val="-2"/>
        </w:rPr>
        <w:t> </w:t>
      </w:r>
      <w:r>
        <w:rPr/>
        <w:t>often</w:t>
      </w:r>
      <w:r>
        <w:rPr>
          <w:spacing w:val="-2"/>
        </w:rPr>
        <w:t> </w:t>
      </w:r>
      <w:r>
        <w:rPr/>
        <w:t>normalised</w:t>
      </w:r>
      <w:r>
        <w:rPr>
          <w:spacing w:val="-2"/>
        </w:rPr>
        <w:t> </w:t>
      </w:r>
      <w:r>
        <w:rPr/>
        <w:t>as</w:t>
      </w:r>
      <w:r>
        <w:rPr>
          <w:spacing w:val="-2"/>
        </w:rPr>
        <w:t> </w:t>
      </w:r>
      <w:r>
        <w:rPr/>
        <w:t>ordinary</w:t>
      </w:r>
      <w:r>
        <w:rPr>
          <w:spacing w:val="-2"/>
        </w:rPr>
        <w:t> </w:t>
      </w:r>
      <w:r>
        <w:rPr/>
        <w:t>joking</w:t>
      </w:r>
      <w:r>
        <w:rPr>
          <w:spacing w:val="-2"/>
        </w:rPr>
        <w:t> </w:t>
      </w:r>
      <w:r>
        <w:rPr/>
        <w:t>due</w:t>
      </w:r>
      <w:r>
        <w:rPr>
          <w:spacing w:val="-2"/>
        </w:rPr>
        <w:t> </w:t>
      </w:r>
      <w:r>
        <w:rPr/>
        <w:t>to</w:t>
      </w:r>
      <w:r>
        <w:rPr>
          <w:spacing w:val="-2"/>
        </w:rPr>
        <w:t> </w:t>
      </w:r>
      <w:r>
        <w:rPr/>
        <w:t>the</w:t>
      </w:r>
      <w:r>
        <w:rPr>
          <w:spacing w:val="-2"/>
        </w:rPr>
        <w:t> </w:t>
      </w:r>
      <w:r>
        <w:rPr/>
        <w:t>absence of physical injury. The significant increase in SAS scores reflects that this phenomenon of normalisation can be reduced, and that participants became more sensitive to</w:t>
      </w:r>
      <w:r>
        <w:rPr>
          <w:spacing w:val="-3"/>
        </w:rPr>
        <w:t> </w:t>
      </w:r>
      <w:r>
        <w:rPr/>
        <w:t>the</w:t>
      </w:r>
      <w:r>
        <w:rPr>
          <w:spacing w:val="-3"/>
        </w:rPr>
        <w:t> </w:t>
      </w:r>
      <w:r>
        <w:rPr/>
        <w:t>importance of maintaining professional and ethical boundaries within the organisation.</w:t>
      </w:r>
    </w:p>
    <w:p>
      <w:pPr>
        <w:pStyle w:val="Heading3"/>
        <w:numPr>
          <w:ilvl w:val="1"/>
          <w:numId w:val="8"/>
        </w:numPr>
        <w:tabs>
          <w:tab w:pos="428" w:val="left" w:leader="none"/>
        </w:tabs>
        <w:spacing w:line="360" w:lineRule="auto" w:before="240" w:after="0"/>
        <w:ind w:left="23" w:right="461" w:firstLine="0"/>
        <w:jc w:val="left"/>
      </w:pPr>
      <w:r>
        <w:rPr/>
        <w:t>Application</w:t>
      </w:r>
      <w:r>
        <w:rPr>
          <w:spacing w:val="39"/>
        </w:rPr>
        <w:t> </w:t>
      </w:r>
      <w:r>
        <w:rPr/>
        <w:t>of</w:t>
      </w:r>
      <w:r>
        <w:rPr>
          <w:spacing w:val="39"/>
        </w:rPr>
        <w:t> </w:t>
      </w:r>
      <w:r>
        <w:rPr/>
        <w:t>Theoretical</w:t>
      </w:r>
      <w:r>
        <w:rPr>
          <w:spacing w:val="39"/>
        </w:rPr>
        <w:t> </w:t>
      </w:r>
      <w:r>
        <w:rPr/>
        <w:t>Frameworks in Explaining Changes in Perception </w:t>
      </w:r>
      <w:r>
        <w:rPr/>
        <w:t>and </w:t>
      </w:r>
      <w:r>
        <w:rPr>
          <w:spacing w:val="-2"/>
        </w:rPr>
        <w:t>Behaviour</w:t>
      </w:r>
    </w:p>
    <w:p>
      <w:pPr>
        <w:pStyle w:val="BodyText"/>
        <w:spacing w:line="360" w:lineRule="auto" w:before="240"/>
        <w:ind w:left="23" w:right="462" w:firstLine="720"/>
        <w:jc w:val="both"/>
      </w:pPr>
      <w:r>
        <w:rPr/>
        <w:t>The</w:t>
      </w:r>
      <w:r>
        <w:rPr>
          <w:spacing w:val="-4"/>
        </w:rPr>
        <w:t> </w:t>
      </w:r>
      <w:r>
        <w:rPr/>
        <w:t>statistically</w:t>
      </w:r>
      <w:r>
        <w:rPr>
          <w:spacing w:val="-4"/>
        </w:rPr>
        <w:t> </w:t>
      </w:r>
      <w:r>
        <w:rPr/>
        <w:t>demonstrated</w:t>
      </w:r>
      <w:r>
        <w:rPr>
          <w:spacing w:val="-4"/>
        </w:rPr>
        <w:t> </w:t>
      </w:r>
      <w:r>
        <w:rPr/>
        <w:t>increase</w:t>
      </w:r>
      <w:r>
        <w:rPr>
          <w:spacing w:val="-4"/>
        </w:rPr>
        <w:t> </w:t>
      </w:r>
      <w:r>
        <w:rPr/>
        <w:t>in</w:t>
      </w:r>
      <w:r>
        <w:rPr>
          <w:spacing w:val="-4"/>
        </w:rPr>
        <w:t> </w:t>
      </w:r>
      <w:r>
        <w:rPr/>
        <w:t>awareness</w:t>
      </w:r>
      <w:r>
        <w:rPr>
          <w:spacing w:val="-4"/>
        </w:rPr>
        <w:t> </w:t>
      </w:r>
      <w:r>
        <w:rPr/>
        <w:t>described</w:t>
      </w:r>
      <w:r>
        <w:rPr>
          <w:spacing w:val="-4"/>
        </w:rPr>
        <w:t> </w:t>
      </w:r>
      <w:r>
        <w:rPr/>
        <w:t>above</w:t>
      </w:r>
      <w:r>
        <w:rPr>
          <w:spacing w:val="-4"/>
        </w:rPr>
        <w:t> </w:t>
      </w:r>
      <w:r>
        <w:rPr/>
        <w:t>can</w:t>
      </w:r>
      <w:r>
        <w:rPr>
          <w:spacing w:val="-4"/>
        </w:rPr>
        <w:t> </w:t>
      </w:r>
      <w:r>
        <w:rPr/>
        <w:t>be</w:t>
      </w:r>
      <w:r>
        <w:rPr>
          <w:spacing w:val="-4"/>
        </w:rPr>
        <w:t> </w:t>
      </w:r>
      <w:r>
        <w:rPr/>
        <w:t>explained through three main theoretical frameworks underlying the programme's design, namely Rational Emotive Behaviour Therapy (REBT), Cognitive Behavioural Therapy (CBT), and Social Learning Theory (SLT). These three theories explain why the change in participants' perception occurred.</w:t>
      </w:r>
    </w:p>
    <w:p>
      <w:pPr>
        <w:pStyle w:val="Heading3"/>
        <w:numPr>
          <w:ilvl w:val="2"/>
          <w:numId w:val="8"/>
        </w:numPr>
        <w:tabs>
          <w:tab w:pos="563" w:val="left" w:leader="none"/>
        </w:tabs>
        <w:spacing w:line="240" w:lineRule="auto" w:before="240" w:after="0"/>
        <w:ind w:left="563" w:right="0" w:hanging="540"/>
        <w:jc w:val="left"/>
      </w:pPr>
      <w:r>
        <w:rPr/>
        <w:t>Rational Emotive Behaviour Therapy </w:t>
      </w:r>
      <w:r>
        <w:rPr>
          <w:spacing w:val="-2"/>
        </w:rPr>
        <w:t>(REBT)</w:t>
      </w:r>
    </w:p>
    <w:p>
      <w:pPr>
        <w:pStyle w:val="BodyText"/>
        <w:spacing w:before="102"/>
        <w:rPr>
          <w:b/>
        </w:rPr>
      </w:pPr>
    </w:p>
    <w:p>
      <w:pPr>
        <w:pStyle w:val="BodyText"/>
        <w:spacing w:line="360" w:lineRule="auto"/>
        <w:ind w:left="23" w:right="462" w:firstLine="720"/>
        <w:jc w:val="both"/>
      </w:pPr>
      <w:r>
        <w:rPr/>
        <w:t>Through the Human Barometer activity, the programme succeeded in </w:t>
      </w:r>
      <w:r>
        <w:rPr/>
        <w:t>challenging irrational beliefs among participants.</w:t>
      </w:r>
      <w:r>
        <w:rPr>
          <w:spacing w:val="-4"/>
        </w:rPr>
        <w:t> </w:t>
      </w:r>
      <w:r>
        <w:rPr/>
        <w:t>For</w:t>
      </w:r>
      <w:r>
        <w:rPr>
          <w:spacing w:val="-4"/>
        </w:rPr>
        <w:t> </w:t>
      </w:r>
      <w:r>
        <w:rPr/>
        <w:t>example,</w:t>
      </w:r>
      <w:r>
        <w:rPr>
          <w:spacing w:val="-4"/>
        </w:rPr>
        <w:t> </w:t>
      </w:r>
      <w:r>
        <w:rPr/>
        <w:t>the</w:t>
      </w:r>
      <w:r>
        <w:rPr>
          <w:spacing w:val="-4"/>
        </w:rPr>
        <w:t> </w:t>
      </w:r>
      <w:r>
        <w:rPr/>
        <w:t>perception</w:t>
      </w:r>
      <w:r>
        <w:rPr>
          <w:spacing w:val="-4"/>
        </w:rPr>
        <w:t> </w:t>
      </w:r>
      <w:r>
        <w:rPr/>
        <w:t>that</w:t>
      </w:r>
      <w:r>
        <w:rPr>
          <w:spacing w:val="-4"/>
        </w:rPr>
        <w:t> </w:t>
      </w:r>
      <w:r>
        <w:rPr/>
        <w:t>affectionate</w:t>
      </w:r>
      <w:r>
        <w:rPr>
          <w:spacing w:val="-4"/>
        </w:rPr>
        <w:t> </w:t>
      </w:r>
      <w:r>
        <w:rPr/>
        <w:t>nicknames or physical comments were a method of building rapport was directly debated by the facilitator acting as Devil's Advocate, and replaced with a more rational understanding grounded in professional ethics and the legal implications under Act 840. This process of cognitive</w:t>
      </w:r>
      <w:r>
        <w:rPr>
          <w:spacing w:val="40"/>
        </w:rPr>
        <w:t> </w:t>
      </w:r>
      <w:r>
        <w:rPr/>
        <w:t>confrontation</w:t>
      </w:r>
      <w:r>
        <w:rPr>
          <w:spacing w:val="40"/>
        </w:rPr>
        <w:t> </w:t>
      </w:r>
      <w:r>
        <w:rPr/>
        <w:t>is</w:t>
      </w:r>
      <w:r>
        <w:rPr>
          <w:spacing w:val="40"/>
        </w:rPr>
        <w:t> </w:t>
      </w:r>
      <w:r>
        <w:rPr/>
        <w:t>consistent</w:t>
      </w:r>
      <w:r>
        <w:rPr>
          <w:spacing w:val="40"/>
        </w:rPr>
        <w:t> </w:t>
      </w:r>
      <w:r>
        <w:rPr/>
        <w:t>with</w:t>
      </w:r>
      <w:r>
        <w:rPr>
          <w:spacing w:val="40"/>
        </w:rPr>
        <w:t> </w:t>
      </w:r>
      <w:r>
        <w:rPr/>
        <w:t>the</w:t>
      </w:r>
      <w:r>
        <w:rPr>
          <w:spacing w:val="40"/>
        </w:rPr>
        <w:t> </w:t>
      </w:r>
      <w:r>
        <w:rPr/>
        <w:t>increased</w:t>
      </w:r>
      <w:r>
        <w:rPr>
          <w:spacing w:val="40"/>
        </w:rPr>
        <w:t> </w:t>
      </w:r>
      <w:r>
        <w:rPr/>
        <w:t>understanding</w:t>
      </w:r>
      <w:r>
        <w:rPr>
          <w:spacing w:val="40"/>
        </w:rPr>
        <w:t> </w:t>
      </w:r>
      <w:r>
        <w:rPr/>
        <w:t>reflected</w:t>
      </w:r>
      <w:r>
        <w:rPr>
          <w:spacing w:val="40"/>
        </w:rPr>
        <w:t> </w:t>
      </w:r>
      <w:r>
        <w:rPr/>
        <w:t>in</w:t>
      </w:r>
      <w:r>
        <w:rPr>
          <w:spacing w:val="40"/>
        </w:rPr>
        <w:t> </w:t>
      </w:r>
      <w:r>
        <w:rPr/>
        <w:t>the post-test scores.</w:t>
      </w:r>
    </w:p>
    <w:p>
      <w:pPr>
        <w:pStyle w:val="Heading3"/>
        <w:numPr>
          <w:ilvl w:val="2"/>
          <w:numId w:val="8"/>
        </w:numPr>
        <w:tabs>
          <w:tab w:pos="563" w:val="left" w:leader="none"/>
        </w:tabs>
        <w:spacing w:line="240" w:lineRule="auto" w:before="240" w:after="0"/>
        <w:ind w:left="563" w:right="0" w:hanging="540"/>
        <w:jc w:val="left"/>
      </w:pPr>
      <w:r>
        <w:rPr/>
        <w:t>Cognitive Behavioural Therapy </w:t>
      </w:r>
      <w:r>
        <w:rPr>
          <w:spacing w:val="-2"/>
        </w:rPr>
        <w:t>(CBT)</w:t>
      </w:r>
    </w:p>
    <w:p>
      <w:pPr>
        <w:pStyle w:val="BodyText"/>
        <w:spacing w:before="102"/>
        <w:rPr>
          <w:b/>
        </w:rPr>
      </w:pPr>
    </w:p>
    <w:p>
      <w:pPr>
        <w:pStyle w:val="BodyText"/>
        <w:spacing w:line="360" w:lineRule="auto"/>
        <w:ind w:left="23" w:right="468" w:firstLine="720"/>
        <w:jc w:val="both"/>
      </w:pPr>
      <w:r>
        <w:rPr/>
        <w:t>The Reframing technique applied in the Harassment or Not activity </w:t>
      </w:r>
      <w:r>
        <w:rPr/>
        <w:t>helped participants change their cognitive distortions. Participants were trained to view behaviour that had previously been regarded as harmless instructional humour as</w:t>
      </w:r>
      <w:r>
        <w:rPr>
          <w:spacing w:val="-3"/>
        </w:rPr>
        <w:t> </w:t>
      </w:r>
      <w:r>
        <w:rPr/>
        <w:t>a</w:t>
      </w:r>
      <w:r>
        <w:rPr>
          <w:spacing w:val="-3"/>
        </w:rPr>
        <w:t> </w:t>
      </w:r>
      <w:r>
        <w:rPr/>
        <w:t>form</w:t>
      </w:r>
      <w:r>
        <w:rPr>
          <w:spacing w:val="-3"/>
        </w:rPr>
        <w:t> </w:t>
      </w:r>
      <w:r>
        <w:rPr/>
        <w:t>of</w:t>
      </w:r>
      <w:r>
        <w:rPr>
          <w:spacing w:val="-3"/>
        </w:rPr>
        <w:t> </w:t>
      </w:r>
      <w:r>
        <w:rPr/>
        <w:t>violation</w:t>
      </w:r>
      <w:r>
        <w:rPr>
          <w:spacing w:val="-3"/>
        </w:rPr>
        <w:t> </w:t>
      </w:r>
      <w:r>
        <w:rPr/>
        <w:t>of safety rights and workplace ethics. This cognitive restructuring enabled participants to more accurately distinguish between permissible friendly interaction and high-risk behaviour that violates the code of ethics and national legislation.</w:t>
      </w:r>
    </w:p>
    <w:p>
      <w:pPr>
        <w:pStyle w:val="BodyText"/>
        <w:spacing w:after="0" w:line="360" w:lineRule="auto"/>
        <w:jc w:val="both"/>
        <w:sectPr>
          <w:pgSz w:w="11920" w:h="16840"/>
          <w:pgMar w:top="1380" w:bottom="280" w:left="1417" w:right="992"/>
        </w:sectPr>
      </w:pPr>
    </w:p>
    <w:p>
      <w:pPr>
        <w:pStyle w:val="Heading3"/>
        <w:numPr>
          <w:ilvl w:val="2"/>
          <w:numId w:val="8"/>
        </w:numPr>
        <w:tabs>
          <w:tab w:pos="563" w:val="left" w:leader="none"/>
        </w:tabs>
        <w:spacing w:line="240" w:lineRule="auto" w:before="60" w:after="0"/>
        <w:ind w:left="563" w:right="0" w:hanging="540"/>
        <w:jc w:val="left"/>
      </w:pPr>
      <w:r>
        <w:rPr/>
        <w:t>Social Learning Theory </w:t>
      </w:r>
      <w:r>
        <w:rPr>
          <w:spacing w:val="-4"/>
        </w:rPr>
        <w:t>(SLT)</w:t>
      </w:r>
    </w:p>
    <w:p>
      <w:pPr>
        <w:pStyle w:val="BodyText"/>
        <w:spacing w:before="102"/>
        <w:rPr>
          <w:b/>
        </w:rPr>
      </w:pPr>
    </w:p>
    <w:p>
      <w:pPr>
        <w:pStyle w:val="BodyText"/>
        <w:spacing w:line="360" w:lineRule="auto"/>
        <w:ind w:left="23" w:right="460" w:firstLine="720"/>
        <w:jc w:val="both"/>
      </w:pPr>
      <w:r>
        <w:rPr/>
        <w:t>The programme also addressed the culture of silence through The Intervention Lab activity. Participants were given concrete modelling examples of how to intervene against harassment firmly and safely through the construction of action scripts, while group presentations created vicarious reinforcement as participants learned from the courage </w:t>
      </w:r>
      <w:r>
        <w:rPr/>
        <w:t>of</w:t>
      </w:r>
      <w:r>
        <w:rPr>
          <w:spacing w:val="40"/>
        </w:rPr>
        <w:t> </w:t>
      </w:r>
      <w:r>
        <w:rPr/>
        <w:t>their peers. This approach is consistent with the findings of Flynn et al. (2024), which emphasise the need for formal training to overcome reporting barriers and weaknesses in organisations' internal support systems.</w:t>
      </w:r>
    </w:p>
    <w:p>
      <w:pPr>
        <w:pStyle w:val="Heading3"/>
        <w:numPr>
          <w:ilvl w:val="1"/>
          <w:numId w:val="8"/>
        </w:numPr>
        <w:tabs>
          <w:tab w:pos="383" w:val="left" w:leader="none"/>
        </w:tabs>
        <w:spacing w:line="240" w:lineRule="auto" w:before="240" w:after="0"/>
        <w:ind w:left="383" w:right="0" w:hanging="360"/>
        <w:jc w:val="left"/>
      </w:pPr>
      <w:r>
        <w:rPr/>
        <w:t>Implications</w:t>
      </w:r>
      <w:r>
        <w:rPr>
          <w:spacing w:val="-3"/>
        </w:rPr>
        <w:t> </w:t>
      </w:r>
      <w:r>
        <w:rPr/>
        <w:t>for</w:t>
      </w:r>
      <w:r>
        <w:rPr>
          <w:spacing w:val="-3"/>
        </w:rPr>
        <w:t> </w:t>
      </w:r>
      <w:r>
        <w:rPr/>
        <w:t>Psychological</w:t>
      </w:r>
      <w:r>
        <w:rPr>
          <w:spacing w:val="-3"/>
        </w:rPr>
        <w:t> </w:t>
      </w:r>
      <w:r>
        <w:rPr/>
        <w:t>Wellbeing</w:t>
      </w:r>
      <w:r>
        <w:rPr>
          <w:spacing w:val="-3"/>
        </w:rPr>
        <w:t> </w:t>
      </w:r>
      <w:r>
        <w:rPr/>
        <w:t>and</w:t>
      </w:r>
      <w:r>
        <w:rPr>
          <w:spacing w:val="-2"/>
        </w:rPr>
        <w:t> Performance</w:t>
      </w:r>
    </w:p>
    <w:p>
      <w:pPr>
        <w:pStyle w:val="BodyText"/>
        <w:spacing w:before="102"/>
        <w:rPr>
          <w:b/>
        </w:rPr>
      </w:pPr>
    </w:p>
    <w:p>
      <w:pPr>
        <w:pStyle w:val="BodyText"/>
        <w:spacing w:line="360" w:lineRule="auto"/>
        <w:ind w:left="23" w:right="462" w:firstLine="720"/>
        <w:jc w:val="both"/>
      </w:pPr>
      <w:r>
        <w:rPr/>
        <w:t>This discussion also highlights the programme's positive impact</w:t>
      </w:r>
      <w:r>
        <w:rPr>
          <w:spacing w:val="-3"/>
        </w:rPr>
        <w:t> </w:t>
      </w:r>
      <w:r>
        <w:rPr/>
        <w:t>on</w:t>
      </w:r>
      <w:r>
        <w:rPr>
          <w:spacing w:val="-3"/>
        </w:rPr>
        <w:t> </w:t>
      </w:r>
      <w:r>
        <w:rPr/>
        <w:t>the</w:t>
      </w:r>
      <w:r>
        <w:rPr>
          <w:spacing w:val="-3"/>
        </w:rPr>
        <w:t> </w:t>
      </w:r>
      <w:r>
        <w:rPr/>
        <w:t>psychological wellbeing and performance of organisational members. As stated by Athanasiades et al. (2023), victims of sexual harassment often experience deterioration in mental health such </w:t>
      </w:r>
      <w:r>
        <w:rPr/>
        <w:t>as anxiety and depression, alongside a decline in performance and motivation. By creating a work environment that is safe and free from harassment, as evidenced by the significant increase in participants' awareness, this programme indirectly contributes to increased motivation, productivity, and emotional wellbeing within the organisation.</w:t>
      </w:r>
    </w:p>
    <w:p>
      <w:pPr>
        <w:pStyle w:val="Heading3"/>
        <w:numPr>
          <w:ilvl w:val="1"/>
          <w:numId w:val="8"/>
        </w:numPr>
        <w:tabs>
          <w:tab w:pos="383" w:val="left" w:leader="none"/>
        </w:tabs>
        <w:spacing w:line="240" w:lineRule="auto" w:before="240" w:after="0"/>
        <w:ind w:left="383" w:right="0" w:hanging="360"/>
        <w:jc w:val="left"/>
      </w:pPr>
      <w:r>
        <w:rPr/>
        <w:t>Strengthening</w:t>
      </w:r>
      <w:r>
        <w:rPr>
          <w:spacing w:val="-1"/>
        </w:rPr>
        <w:t> </w:t>
      </w:r>
      <w:r>
        <w:rPr/>
        <w:t>Reporting</w:t>
      </w:r>
      <w:r>
        <w:rPr>
          <w:spacing w:val="-1"/>
        </w:rPr>
        <w:t> </w:t>
      </w:r>
      <w:r>
        <w:rPr/>
        <w:t>Channels</w:t>
      </w:r>
      <w:r>
        <w:rPr>
          <w:spacing w:val="-1"/>
        </w:rPr>
        <w:t> </w:t>
      </w:r>
      <w:r>
        <w:rPr/>
        <w:t>and</w:t>
      </w:r>
      <w:r>
        <w:rPr>
          <w:spacing w:val="-1"/>
        </w:rPr>
        <w:t> </w:t>
      </w:r>
      <w:r>
        <w:rPr/>
        <w:t>Follow-up</w:t>
      </w:r>
      <w:r>
        <w:rPr>
          <w:spacing w:val="-1"/>
        </w:rPr>
        <w:t> </w:t>
      </w:r>
      <w:r>
        <w:rPr>
          <w:spacing w:val="-2"/>
        </w:rPr>
        <w:t>Action</w:t>
      </w:r>
    </w:p>
    <w:p>
      <w:pPr>
        <w:pStyle w:val="BodyText"/>
        <w:spacing w:before="102"/>
        <w:rPr>
          <w:b/>
        </w:rPr>
      </w:pPr>
    </w:p>
    <w:p>
      <w:pPr>
        <w:pStyle w:val="BodyText"/>
        <w:spacing w:line="360" w:lineRule="auto"/>
        <w:ind w:left="23" w:right="467" w:firstLine="720"/>
        <w:jc w:val="both"/>
      </w:pPr>
      <w:r>
        <w:rPr/>
        <w:t>One of the strengths of this programme is the comprehensive exposure to the</w:t>
      </w:r>
      <w:r>
        <w:rPr>
          <w:spacing w:val="-2"/>
        </w:rPr>
        <w:t> </w:t>
      </w:r>
      <w:r>
        <w:rPr/>
        <w:t>correct reporting channels in accordance with the Anti-Sexual Harassment Act 2022, including </w:t>
      </w:r>
      <w:r>
        <w:rPr/>
        <w:t>the role of the Anti-Sexual Harassment Tribunal (TAGS). Participants, whether as victims or witnesses, became more confident in taking appropriate action when faced</w:t>
      </w:r>
      <w:r>
        <w:rPr>
          <w:spacing w:val="-3"/>
        </w:rPr>
        <w:t> </w:t>
      </w:r>
      <w:r>
        <w:rPr/>
        <w:t>with</w:t>
      </w:r>
      <w:r>
        <w:rPr>
          <w:spacing w:val="-3"/>
        </w:rPr>
        <w:t> </w:t>
      </w:r>
      <w:r>
        <w:rPr/>
        <w:t>situations</w:t>
      </w:r>
      <w:r>
        <w:rPr>
          <w:spacing w:val="-3"/>
        </w:rPr>
        <w:t> </w:t>
      </w:r>
      <w:r>
        <w:rPr/>
        <w:t>of sexual harassment. This knowledge is critical in ensuring that justice can be upheld and perpetrators face appropriate consequences, thereby preventing the recurrence of similar incidents in the future.</w:t>
      </w:r>
    </w:p>
    <w:p>
      <w:pPr>
        <w:pStyle w:val="Heading3"/>
        <w:numPr>
          <w:ilvl w:val="1"/>
          <w:numId w:val="8"/>
        </w:numPr>
        <w:tabs>
          <w:tab w:pos="383" w:val="left" w:leader="none"/>
        </w:tabs>
        <w:spacing w:line="240" w:lineRule="auto" w:before="240" w:after="0"/>
        <w:ind w:left="383" w:right="0" w:hanging="360"/>
        <w:jc w:val="left"/>
      </w:pPr>
      <w:r>
        <w:rPr/>
        <w:t>Limitations of the </w:t>
      </w:r>
      <w:r>
        <w:rPr>
          <w:spacing w:val="-2"/>
        </w:rPr>
        <w:t>Study</w:t>
      </w:r>
    </w:p>
    <w:p>
      <w:pPr>
        <w:pStyle w:val="BodyText"/>
        <w:spacing w:before="102"/>
        <w:rPr>
          <w:b/>
        </w:rPr>
      </w:pPr>
    </w:p>
    <w:p>
      <w:pPr>
        <w:pStyle w:val="BodyText"/>
        <w:spacing w:line="360" w:lineRule="auto"/>
        <w:ind w:left="23" w:right="463" w:firstLine="720"/>
        <w:jc w:val="both"/>
      </w:pPr>
      <w:r>
        <w:rPr/>
        <w:t>Although the findings show significant effectiveness, several limitations need to </w:t>
      </w:r>
      <w:r>
        <w:rPr/>
        <w:t>be taken</w:t>
      </w:r>
      <w:r>
        <w:rPr>
          <w:spacing w:val="40"/>
        </w:rPr>
        <w:t> </w:t>
      </w:r>
      <w:r>
        <w:rPr/>
        <w:t>into</w:t>
      </w:r>
      <w:r>
        <w:rPr>
          <w:spacing w:val="40"/>
        </w:rPr>
        <w:t> </w:t>
      </w:r>
      <w:r>
        <w:rPr/>
        <w:t>account</w:t>
      </w:r>
      <w:r>
        <w:rPr>
          <w:spacing w:val="40"/>
        </w:rPr>
        <w:t> </w:t>
      </w:r>
      <w:r>
        <w:rPr/>
        <w:t>when</w:t>
      </w:r>
      <w:r>
        <w:rPr>
          <w:spacing w:val="40"/>
        </w:rPr>
        <w:t> </w:t>
      </w:r>
      <w:r>
        <w:rPr/>
        <w:t>interpreting</w:t>
      </w:r>
      <w:r>
        <w:rPr>
          <w:spacing w:val="40"/>
        </w:rPr>
        <w:t> </w:t>
      </w:r>
      <w:r>
        <w:rPr/>
        <w:t>these</w:t>
      </w:r>
      <w:r>
        <w:rPr>
          <w:spacing w:val="40"/>
        </w:rPr>
        <w:t> </w:t>
      </w:r>
      <w:r>
        <w:rPr/>
        <w:t>results.</w:t>
      </w:r>
      <w:r>
        <w:rPr>
          <w:spacing w:val="40"/>
        </w:rPr>
        <w:t> </w:t>
      </w:r>
      <w:r>
        <w:rPr/>
        <w:t>First,</w:t>
      </w:r>
      <w:r>
        <w:rPr>
          <w:spacing w:val="40"/>
        </w:rPr>
        <w:t> </w:t>
      </w:r>
      <w:r>
        <w:rPr/>
        <w:t>the</w:t>
      </w:r>
      <w:r>
        <w:rPr>
          <w:spacing w:val="40"/>
        </w:rPr>
        <w:t> </w:t>
      </w:r>
      <w:r>
        <w:rPr/>
        <w:t>study</w:t>
      </w:r>
      <w:r>
        <w:rPr>
          <w:spacing w:val="40"/>
        </w:rPr>
        <w:t> </w:t>
      </w:r>
      <w:r>
        <w:rPr/>
        <w:t>used</w:t>
      </w:r>
      <w:r>
        <w:rPr>
          <w:spacing w:val="40"/>
        </w:rPr>
        <w:t> </w:t>
      </w:r>
      <w:r>
        <w:rPr/>
        <w:t>a</w:t>
      </w:r>
      <w:r>
        <w:rPr>
          <w:spacing w:val="40"/>
        </w:rPr>
        <w:t> </w:t>
      </w:r>
      <w:r>
        <w:rPr/>
        <w:t>single-group pre-test–post-test design without a control group. Therefore, the increase in</w:t>
      </w:r>
      <w:r>
        <w:rPr>
          <w:spacing w:val="-2"/>
        </w:rPr>
        <w:t> </w:t>
      </w:r>
      <w:r>
        <w:rPr/>
        <w:t>scores</w:t>
      </w:r>
      <w:r>
        <w:rPr>
          <w:spacing w:val="-2"/>
        </w:rPr>
        <w:t> </w:t>
      </w:r>
      <w:r>
        <w:rPr/>
        <w:t>cannot</w:t>
      </w:r>
      <w:r>
        <w:rPr>
          <w:spacing w:val="-2"/>
        </w:rPr>
        <w:t> </w:t>
      </w:r>
      <w:r>
        <w:rPr/>
        <w:t>be attributed</w:t>
      </w:r>
      <w:r>
        <w:rPr>
          <w:spacing w:val="14"/>
        </w:rPr>
        <w:t> </w:t>
      </w:r>
      <w:r>
        <w:rPr/>
        <w:t>entirely</w:t>
      </w:r>
      <w:r>
        <w:rPr>
          <w:spacing w:val="15"/>
        </w:rPr>
        <w:t> </w:t>
      </w:r>
      <w:r>
        <w:rPr/>
        <w:t>to</w:t>
      </w:r>
      <w:r>
        <w:rPr>
          <w:spacing w:val="-1"/>
        </w:rPr>
        <w:t> </w:t>
      </w:r>
      <w:r>
        <w:rPr/>
        <w:t>the intervention alone,</w:t>
      </w:r>
      <w:r>
        <w:rPr>
          <w:spacing w:val="-1"/>
        </w:rPr>
        <w:t> </w:t>
      </w:r>
      <w:r>
        <w:rPr/>
        <w:t>as external factors</w:t>
      </w:r>
      <w:r>
        <w:rPr>
          <w:spacing w:val="-1"/>
        </w:rPr>
        <w:t> </w:t>
      </w:r>
      <w:r>
        <w:rPr/>
        <w:t>such as the</w:t>
      </w:r>
      <w:r>
        <w:rPr>
          <w:spacing w:val="-1"/>
        </w:rPr>
        <w:t> </w:t>
      </w:r>
      <w:r>
        <w:rPr/>
        <w:t>testing effect </w:t>
      </w:r>
      <w:r>
        <w:rPr>
          <w:spacing w:val="-2"/>
        </w:rPr>
        <w:t>could</w:t>
      </w:r>
    </w:p>
    <w:p>
      <w:pPr>
        <w:pStyle w:val="BodyText"/>
        <w:spacing w:after="0" w:line="360" w:lineRule="auto"/>
        <w:jc w:val="both"/>
        <w:sectPr>
          <w:pgSz w:w="11920" w:h="16840"/>
          <w:pgMar w:top="1380" w:bottom="280" w:left="1417" w:right="992"/>
        </w:sectPr>
      </w:pPr>
    </w:p>
    <w:p>
      <w:pPr>
        <w:pStyle w:val="BodyText"/>
        <w:spacing w:line="360" w:lineRule="auto" w:before="60"/>
        <w:ind w:left="23" w:right="470"/>
        <w:jc w:val="both"/>
      </w:pPr>
      <w:r>
        <w:rPr/>
        <w:t>not be controlled</w:t>
      </w:r>
      <w:r>
        <w:rPr>
          <w:spacing w:val="-4"/>
        </w:rPr>
        <w:t> </w:t>
      </w:r>
      <w:r>
        <w:rPr/>
        <w:t>for.</w:t>
      </w:r>
      <w:r>
        <w:rPr>
          <w:spacing w:val="-4"/>
        </w:rPr>
        <w:t> </w:t>
      </w:r>
      <w:r>
        <w:rPr/>
        <w:t>Second,</w:t>
      </w:r>
      <w:r>
        <w:rPr>
          <w:spacing w:val="-4"/>
        </w:rPr>
        <w:t> </w:t>
      </w:r>
      <w:r>
        <w:rPr/>
        <w:t>the</w:t>
      </w:r>
      <w:r>
        <w:rPr>
          <w:spacing w:val="-4"/>
        </w:rPr>
        <w:t> </w:t>
      </w:r>
      <w:r>
        <w:rPr/>
        <w:t>small</w:t>
      </w:r>
      <w:r>
        <w:rPr>
          <w:spacing w:val="-4"/>
        </w:rPr>
        <w:t> </w:t>
      </w:r>
      <w:r>
        <w:rPr/>
        <w:t>sample</w:t>
      </w:r>
      <w:r>
        <w:rPr>
          <w:spacing w:val="-4"/>
        </w:rPr>
        <w:t> </w:t>
      </w:r>
      <w:r>
        <w:rPr/>
        <w:t>size</w:t>
      </w:r>
      <w:r>
        <w:rPr>
          <w:spacing w:val="-4"/>
        </w:rPr>
        <w:t> </w:t>
      </w:r>
      <w:r>
        <w:rPr/>
        <w:t>(N</w:t>
      </w:r>
      <w:r>
        <w:rPr>
          <w:spacing w:val="-4"/>
        </w:rPr>
        <w:t> </w:t>
      </w:r>
      <w:r>
        <w:rPr/>
        <w:t>=</w:t>
      </w:r>
      <w:r>
        <w:rPr>
          <w:spacing w:val="-4"/>
        </w:rPr>
        <w:t> </w:t>
      </w:r>
      <w:r>
        <w:rPr/>
        <w:t>30),</w:t>
      </w:r>
      <w:r>
        <w:rPr>
          <w:spacing w:val="-4"/>
        </w:rPr>
        <w:t> </w:t>
      </w:r>
      <w:r>
        <w:rPr/>
        <w:t>limited</w:t>
      </w:r>
      <w:r>
        <w:rPr>
          <w:spacing w:val="-4"/>
        </w:rPr>
        <w:t> </w:t>
      </w:r>
      <w:r>
        <w:rPr/>
        <w:t>to</w:t>
      </w:r>
      <w:r>
        <w:rPr>
          <w:spacing w:val="-4"/>
        </w:rPr>
        <w:t> </w:t>
      </w:r>
      <w:r>
        <w:rPr/>
        <w:t>a</w:t>
      </w:r>
      <w:r>
        <w:rPr>
          <w:spacing w:val="-4"/>
        </w:rPr>
        <w:t> </w:t>
      </w:r>
      <w:r>
        <w:rPr/>
        <w:t>single</w:t>
      </w:r>
      <w:r>
        <w:rPr>
          <w:spacing w:val="-4"/>
        </w:rPr>
        <w:t> </w:t>
      </w:r>
      <w:r>
        <w:rPr/>
        <w:t>organisation, means that these findings cannot be widely generalised to</w:t>
      </w:r>
      <w:r>
        <w:rPr>
          <w:spacing w:val="-3"/>
        </w:rPr>
        <w:t> </w:t>
      </w:r>
      <w:r>
        <w:rPr/>
        <w:t>a</w:t>
      </w:r>
      <w:r>
        <w:rPr>
          <w:spacing w:val="-3"/>
        </w:rPr>
        <w:t> </w:t>
      </w:r>
      <w:r>
        <w:rPr/>
        <w:t>larger</w:t>
      </w:r>
      <w:r>
        <w:rPr>
          <w:spacing w:val="-3"/>
        </w:rPr>
        <w:t> </w:t>
      </w:r>
      <w:r>
        <w:rPr/>
        <w:t>population.</w:t>
      </w:r>
      <w:r>
        <w:rPr>
          <w:spacing w:val="-3"/>
        </w:rPr>
        <w:t> </w:t>
      </w:r>
      <w:r>
        <w:rPr/>
        <w:t>Third,</w:t>
      </w:r>
      <w:r>
        <w:rPr>
          <w:spacing w:val="-3"/>
        </w:rPr>
        <w:t> </w:t>
      </w:r>
      <w:r>
        <w:rPr/>
        <w:t>pre-test and</w:t>
      </w:r>
      <w:r>
        <w:rPr>
          <w:spacing w:val="-3"/>
        </w:rPr>
        <w:t> </w:t>
      </w:r>
      <w:r>
        <w:rPr/>
        <w:t>post-test</w:t>
      </w:r>
      <w:r>
        <w:rPr>
          <w:spacing w:val="-3"/>
        </w:rPr>
        <w:t> </w:t>
      </w:r>
      <w:r>
        <w:rPr/>
        <w:t>comparisons</w:t>
      </w:r>
      <w:r>
        <w:rPr>
          <w:spacing w:val="-3"/>
        </w:rPr>
        <w:t> </w:t>
      </w:r>
      <w:r>
        <w:rPr/>
        <w:t>could</w:t>
      </w:r>
      <w:r>
        <w:rPr>
          <w:spacing w:val="-3"/>
        </w:rPr>
        <w:t> </w:t>
      </w:r>
      <w:r>
        <w:rPr/>
        <w:t>only</w:t>
      </w:r>
      <w:r>
        <w:rPr>
          <w:spacing w:val="-3"/>
        </w:rPr>
        <w:t> </w:t>
      </w:r>
      <w:r>
        <w:rPr/>
        <w:t>be</w:t>
      </w:r>
      <w:r>
        <w:rPr>
          <w:spacing w:val="-3"/>
        </w:rPr>
        <w:t> </w:t>
      </w:r>
      <w:r>
        <w:rPr/>
        <w:t>conducted</w:t>
      </w:r>
      <w:r>
        <w:rPr>
          <w:spacing w:val="-3"/>
        </w:rPr>
        <w:t> </w:t>
      </w:r>
      <w:r>
        <w:rPr/>
        <w:t>for</w:t>
      </w:r>
      <w:r>
        <w:rPr>
          <w:spacing w:val="-3"/>
        </w:rPr>
        <w:t> </w:t>
      </w:r>
      <w:r>
        <w:rPr/>
        <w:t>the</w:t>
      </w:r>
      <w:r>
        <w:rPr>
          <w:spacing w:val="-3"/>
        </w:rPr>
        <w:t> </w:t>
      </w:r>
      <w:r>
        <w:rPr/>
        <w:t>SAS,</w:t>
      </w:r>
      <w:r>
        <w:rPr>
          <w:spacing w:val="-3"/>
        </w:rPr>
        <w:t> </w:t>
      </w:r>
      <w:r>
        <w:rPr/>
        <w:t>while</w:t>
      </w:r>
      <w:r>
        <w:rPr>
          <w:spacing w:val="-3"/>
        </w:rPr>
        <w:t> </w:t>
      </w:r>
      <w:r>
        <w:rPr/>
        <w:t>the</w:t>
      </w:r>
      <w:r>
        <w:rPr>
          <w:spacing w:val="-3"/>
        </w:rPr>
        <w:t> </w:t>
      </w:r>
      <w:r>
        <w:rPr/>
        <w:t>Sexual</w:t>
      </w:r>
      <w:r>
        <w:rPr>
          <w:spacing w:val="-3"/>
        </w:rPr>
        <w:t> </w:t>
      </w:r>
      <w:r>
        <w:rPr/>
        <w:t>Harassment Quiz and the Sexual</w:t>
      </w:r>
      <w:r>
        <w:rPr>
          <w:spacing w:val="-5"/>
        </w:rPr>
        <w:t> </w:t>
      </w:r>
      <w:r>
        <w:rPr/>
        <w:t>Awareness</w:t>
      </w:r>
      <w:r>
        <w:rPr>
          <w:spacing w:val="-5"/>
        </w:rPr>
        <w:t> </w:t>
      </w:r>
      <w:r>
        <w:rPr/>
        <w:t>Questionnaire</w:t>
      </w:r>
      <w:r>
        <w:rPr>
          <w:spacing w:val="-5"/>
        </w:rPr>
        <w:t> </w:t>
      </w:r>
      <w:r>
        <w:rPr/>
        <w:t>served</w:t>
      </w:r>
      <w:r>
        <w:rPr>
          <w:spacing w:val="-5"/>
        </w:rPr>
        <w:t> </w:t>
      </w:r>
      <w:r>
        <w:rPr/>
        <w:t>only</w:t>
      </w:r>
      <w:r>
        <w:rPr>
          <w:spacing w:val="-5"/>
        </w:rPr>
        <w:t> </w:t>
      </w:r>
      <w:r>
        <w:rPr/>
        <w:t>as</w:t>
      </w:r>
      <w:r>
        <w:rPr>
          <w:spacing w:val="-5"/>
        </w:rPr>
        <w:t> </w:t>
      </w:r>
      <w:r>
        <w:rPr/>
        <w:t>supporting</w:t>
      </w:r>
      <w:r>
        <w:rPr>
          <w:spacing w:val="-5"/>
        </w:rPr>
        <w:t> </w:t>
      </w:r>
      <w:r>
        <w:rPr/>
        <w:t>assessments,</w:t>
      </w:r>
      <w:r>
        <w:rPr>
          <w:spacing w:val="-5"/>
        </w:rPr>
        <w:t> </w:t>
      </w:r>
      <w:r>
        <w:rPr/>
        <w:t>as</w:t>
      </w:r>
      <w:r>
        <w:rPr>
          <w:spacing w:val="-5"/>
        </w:rPr>
        <w:t> </w:t>
      </w:r>
      <w:r>
        <w:rPr/>
        <w:t>they were administered only once.</w:t>
      </w:r>
      <w:r>
        <w:rPr>
          <w:spacing w:val="-3"/>
        </w:rPr>
        <w:t> </w:t>
      </w:r>
      <w:r>
        <w:rPr/>
        <w:t>Future</w:t>
      </w:r>
      <w:r>
        <w:rPr>
          <w:spacing w:val="-3"/>
        </w:rPr>
        <w:t> </w:t>
      </w:r>
      <w:r>
        <w:rPr/>
        <w:t>research</w:t>
      </w:r>
      <w:r>
        <w:rPr>
          <w:spacing w:val="-3"/>
        </w:rPr>
        <w:t> </w:t>
      </w:r>
      <w:r>
        <w:rPr/>
        <w:t>is</w:t>
      </w:r>
      <w:r>
        <w:rPr>
          <w:spacing w:val="-3"/>
        </w:rPr>
        <w:t> </w:t>
      </w:r>
      <w:r>
        <w:rPr/>
        <w:t>recommended</w:t>
      </w:r>
      <w:r>
        <w:rPr>
          <w:spacing w:val="-3"/>
        </w:rPr>
        <w:t> </w:t>
      </w:r>
      <w:r>
        <w:rPr/>
        <w:t>to</w:t>
      </w:r>
      <w:r>
        <w:rPr>
          <w:spacing w:val="-3"/>
        </w:rPr>
        <w:t> </w:t>
      </w:r>
      <w:r>
        <w:rPr/>
        <w:t>employ</w:t>
      </w:r>
      <w:r>
        <w:rPr>
          <w:spacing w:val="-3"/>
        </w:rPr>
        <w:t> </w:t>
      </w:r>
      <w:r>
        <w:rPr/>
        <w:t>a</w:t>
      </w:r>
      <w:r>
        <w:rPr>
          <w:spacing w:val="-3"/>
        </w:rPr>
        <w:t> </w:t>
      </w:r>
      <w:r>
        <w:rPr/>
        <w:t>control</w:t>
      </w:r>
      <w:r>
        <w:rPr>
          <w:spacing w:val="-3"/>
        </w:rPr>
        <w:t> </w:t>
      </w:r>
      <w:r>
        <w:rPr/>
        <w:t>group</w:t>
      </w:r>
      <w:r>
        <w:rPr>
          <w:spacing w:val="-3"/>
        </w:rPr>
        <w:t> </w:t>
      </w:r>
      <w:r>
        <w:rPr/>
        <w:t>and a larger sample in order to strengthen the validity of the findings.</w:t>
      </w:r>
    </w:p>
    <w:p>
      <w:pPr>
        <w:pStyle w:val="BodyText"/>
        <w:spacing w:line="360" w:lineRule="auto" w:before="240"/>
        <w:ind w:left="23" w:right="460" w:firstLine="720"/>
        <w:jc w:val="both"/>
      </w:pPr>
      <w:r>
        <w:rPr/>
        <w:t>Overall, this discussion demonstrates that a structured intervention combining educational elements, practical simulations, and the application of psychological theory </w:t>
      </w:r>
      <w:r>
        <w:rPr/>
        <w:t>can significantly increase participants' awareness of sexual harassment issues in the workplace. The findings and implications discussed here form the basis for the conclusions and recommendations presented in the concluding section.</w:t>
      </w:r>
    </w:p>
    <w:p>
      <w:pPr>
        <w:pStyle w:val="BodyText"/>
        <w:spacing w:before="4"/>
      </w:pPr>
    </w:p>
    <w:p>
      <w:pPr>
        <w:pStyle w:val="Heading3"/>
        <w:numPr>
          <w:ilvl w:val="0"/>
          <w:numId w:val="9"/>
        </w:numPr>
        <w:tabs>
          <w:tab w:pos="383" w:val="left" w:leader="none"/>
        </w:tabs>
        <w:spacing w:line="240" w:lineRule="auto" w:before="0" w:after="0"/>
        <w:ind w:left="383" w:right="0" w:hanging="360"/>
        <w:jc w:val="left"/>
      </w:pPr>
      <w:bookmarkStart w:name="8.0 Reflection " w:id="8"/>
      <w:bookmarkEnd w:id="8"/>
      <w:r>
        <w:rPr>
          <w:b w:val="0"/>
        </w:rPr>
      </w:r>
      <w:r>
        <w:rPr>
          <w:spacing w:val="-2"/>
        </w:rPr>
        <w:t>Reflection</w:t>
      </w:r>
    </w:p>
    <w:p>
      <w:pPr>
        <w:pStyle w:val="BodyText"/>
        <w:spacing w:before="102"/>
        <w:rPr>
          <w:b/>
        </w:rPr>
      </w:pPr>
    </w:p>
    <w:p>
      <w:pPr>
        <w:pStyle w:val="BodyText"/>
        <w:spacing w:line="360" w:lineRule="auto"/>
        <w:ind w:left="23" w:right="461" w:firstLine="720"/>
        <w:jc w:val="both"/>
      </w:pPr>
      <w:r>
        <w:rPr/>
        <w:t>The </w:t>
      </w:r>
      <w:r>
        <w:rPr>
          <w:i/>
        </w:rPr>
        <w:t>Safe Workplace</w:t>
      </w:r>
      <w:r>
        <w:rPr>
          <w:i/>
          <w:spacing w:val="-6"/>
        </w:rPr>
        <w:t> </w:t>
      </w:r>
      <w:r>
        <w:rPr>
          <w:i/>
        </w:rPr>
        <w:t>Initiative</w:t>
      </w:r>
      <w:r>
        <w:rPr>
          <w:i/>
          <w:spacing w:val="-6"/>
        </w:rPr>
        <w:t> </w:t>
      </w:r>
      <w:r>
        <w:rPr/>
        <w:t>programme</w:t>
      </w:r>
      <w:r>
        <w:rPr>
          <w:spacing w:val="-6"/>
        </w:rPr>
        <w:t> </w:t>
      </w:r>
      <w:r>
        <w:rPr/>
        <w:t>provided</w:t>
      </w:r>
      <w:r>
        <w:rPr>
          <w:spacing w:val="-6"/>
        </w:rPr>
        <w:t> </w:t>
      </w:r>
      <w:r>
        <w:rPr/>
        <w:t>a</w:t>
      </w:r>
      <w:r>
        <w:rPr>
          <w:spacing w:val="-6"/>
        </w:rPr>
        <w:t> </w:t>
      </w:r>
      <w:r>
        <w:rPr/>
        <w:t>highly</w:t>
      </w:r>
      <w:r>
        <w:rPr>
          <w:spacing w:val="-6"/>
        </w:rPr>
        <w:t> </w:t>
      </w:r>
      <w:r>
        <w:rPr/>
        <w:t>meaningful</w:t>
      </w:r>
      <w:r>
        <w:rPr>
          <w:spacing w:val="-6"/>
        </w:rPr>
        <w:t> </w:t>
      </w:r>
      <w:r>
        <w:rPr/>
        <w:t>experience</w:t>
      </w:r>
      <w:r>
        <w:rPr>
          <w:spacing w:val="-6"/>
        </w:rPr>
        <w:t> </w:t>
      </w:r>
      <w:r>
        <w:rPr/>
        <w:t>in enhancing my understanding of sexual harassment issues in the workplace. Through interactive activities such as quizzes, scenario simulations, and group discussions, I</w:t>
      </w:r>
      <w:r>
        <w:rPr>
          <w:spacing w:val="-3"/>
        </w:rPr>
        <w:t> </w:t>
      </w:r>
      <w:r>
        <w:rPr/>
        <w:t>gained</w:t>
      </w:r>
      <w:r>
        <w:rPr>
          <w:spacing w:val="-3"/>
        </w:rPr>
        <w:t> </w:t>
      </w:r>
      <w:r>
        <w:rPr/>
        <w:t>a clearer understanding</w:t>
      </w:r>
      <w:r>
        <w:rPr>
          <w:spacing w:val="-3"/>
        </w:rPr>
        <w:t> </w:t>
      </w:r>
      <w:r>
        <w:rPr/>
        <w:t>of</w:t>
      </w:r>
      <w:r>
        <w:rPr>
          <w:spacing w:val="-3"/>
        </w:rPr>
        <w:t> </w:t>
      </w:r>
      <w:r>
        <w:rPr/>
        <w:t>the</w:t>
      </w:r>
      <w:r>
        <w:rPr>
          <w:spacing w:val="-3"/>
        </w:rPr>
        <w:t> </w:t>
      </w:r>
      <w:r>
        <w:rPr/>
        <w:t>various</w:t>
      </w:r>
      <w:r>
        <w:rPr>
          <w:spacing w:val="-3"/>
        </w:rPr>
        <w:t> </w:t>
      </w:r>
      <w:r>
        <w:rPr/>
        <w:t>forms</w:t>
      </w:r>
      <w:r>
        <w:rPr>
          <w:spacing w:val="-3"/>
        </w:rPr>
        <w:t> </w:t>
      </w:r>
      <w:r>
        <w:rPr/>
        <w:t>of</w:t>
      </w:r>
      <w:r>
        <w:rPr>
          <w:spacing w:val="-3"/>
        </w:rPr>
        <w:t> </w:t>
      </w:r>
      <w:r>
        <w:rPr/>
        <w:t>sexual</w:t>
      </w:r>
      <w:r>
        <w:rPr>
          <w:spacing w:val="-3"/>
        </w:rPr>
        <w:t> </w:t>
      </w:r>
      <w:r>
        <w:rPr/>
        <w:t>harassment,</w:t>
      </w:r>
      <w:r>
        <w:rPr>
          <w:spacing w:val="-3"/>
        </w:rPr>
        <w:t> </w:t>
      </w:r>
      <w:r>
        <w:rPr/>
        <w:t>their</w:t>
      </w:r>
      <w:r>
        <w:rPr>
          <w:spacing w:val="-3"/>
        </w:rPr>
        <w:t> </w:t>
      </w:r>
      <w:r>
        <w:rPr/>
        <w:t>impacts</w:t>
      </w:r>
      <w:r>
        <w:rPr>
          <w:spacing w:val="-3"/>
        </w:rPr>
        <w:t> </w:t>
      </w:r>
      <w:r>
        <w:rPr/>
        <w:t>on</w:t>
      </w:r>
      <w:r>
        <w:rPr>
          <w:spacing w:val="-3"/>
        </w:rPr>
        <w:t> </w:t>
      </w:r>
      <w:r>
        <w:rPr/>
        <w:t>individuals, and the preventive measures that can be taken.</w:t>
      </w:r>
      <w:r>
        <w:rPr>
          <w:spacing w:val="-2"/>
        </w:rPr>
        <w:t> </w:t>
      </w:r>
      <w:r>
        <w:rPr/>
        <w:t>As</w:t>
      </w:r>
      <w:r>
        <w:rPr>
          <w:spacing w:val="-2"/>
        </w:rPr>
        <w:t> </w:t>
      </w:r>
      <w:r>
        <w:rPr/>
        <w:t>a</w:t>
      </w:r>
      <w:r>
        <w:rPr>
          <w:spacing w:val="-2"/>
        </w:rPr>
        <w:t> </w:t>
      </w:r>
      <w:r>
        <w:rPr/>
        <w:t>member</w:t>
      </w:r>
      <w:r>
        <w:rPr>
          <w:spacing w:val="-2"/>
        </w:rPr>
        <w:t> </w:t>
      </w:r>
      <w:r>
        <w:rPr/>
        <w:t>of</w:t>
      </w:r>
      <w:r>
        <w:rPr>
          <w:spacing w:val="-2"/>
        </w:rPr>
        <w:t> </w:t>
      </w:r>
      <w:r>
        <w:rPr/>
        <w:t>the</w:t>
      </w:r>
      <w:r>
        <w:rPr>
          <w:spacing w:val="-2"/>
        </w:rPr>
        <w:t> </w:t>
      </w:r>
      <w:r>
        <w:rPr/>
        <w:t>module</w:t>
      </w:r>
      <w:r>
        <w:rPr>
          <w:spacing w:val="-2"/>
        </w:rPr>
        <w:t> </w:t>
      </w:r>
      <w:r>
        <w:rPr/>
        <w:t>committee,</w:t>
      </w:r>
      <w:r>
        <w:rPr>
          <w:spacing w:val="-2"/>
        </w:rPr>
        <w:t> </w:t>
      </w:r>
      <w:r>
        <w:rPr/>
        <w:t>I</w:t>
      </w:r>
      <w:r>
        <w:rPr>
          <w:spacing w:val="-2"/>
        </w:rPr>
        <w:t> </w:t>
      </w:r>
      <w:r>
        <w:rPr/>
        <w:t>also gained valuable experience in designing and implementing activities that aligned with the programme objectives. Although there were challenges in ensuring that the activities ran smoothly and effectively engaged the participants, this experience helped me strengthen my communication skills, programme management abilities, teamwork, and problem-solving </w:t>
      </w:r>
      <w:r>
        <w:rPr>
          <w:spacing w:val="-2"/>
        </w:rPr>
        <w:t>competencies.</w:t>
      </w:r>
    </w:p>
    <w:p>
      <w:pPr>
        <w:pStyle w:val="BodyText"/>
        <w:spacing w:before="4"/>
      </w:pPr>
    </w:p>
    <w:p>
      <w:pPr>
        <w:pStyle w:val="Heading3"/>
        <w:numPr>
          <w:ilvl w:val="0"/>
          <w:numId w:val="9"/>
        </w:numPr>
        <w:tabs>
          <w:tab w:pos="383" w:val="left" w:leader="none"/>
        </w:tabs>
        <w:spacing w:line="240" w:lineRule="auto" w:before="0" w:after="0"/>
        <w:ind w:left="383" w:right="0" w:hanging="360"/>
        <w:jc w:val="left"/>
      </w:pPr>
      <w:bookmarkStart w:name="9.0 Recommendations " w:id="9"/>
      <w:bookmarkEnd w:id="9"/>
      <w:r>
        <w:rPr>
          <w:b w:val="0"/>
        </w:rPr>
      </w:r>
      <w:r>
        <w:rPr>
          <w:spacing w:val="-2"/>
        </w:rPr>
        <w:t>Recommendations</w:t>
      </w:r>
    </w:p>
    <w:p>
      <w:pPr>
        <w:pStyle w:val="BodyText"/>
        <w:spacing w:before="102"/>
        <w:rPr>
          <w:b/>
        </w:rPr>
      </w:pPr>
    </w:p>
    <w:p>
      <w:pPr>
        <w:pStyle w:val="BodyText"/>
        <w:spacing w:line="360" w:lineRule="auto"/>
        <w:ind w:left="23" w:right="461" w:firstLine="720"/>
        <w:jc w:val="both"/>
      </w:pPr>
      <w:r>
        <w:rPr/>
        <w:t>To enhance the effectiveness of the programme in the future, it is recommended that the duration of implementation be extended to allow participants more time to engage </w:t>
      </w:r>
      <w:r>
        <w:rPr/>
        <w:t>in discussions and simulation activities. In addition, incorporating more real-life case studies</w:t>
      </w:r>
      <w:r>
        <w:rPr>
          <w:spacing w:val="40"/>
        </w:rPr>
        <w:t> </w:t>
      </w:r>
      <w:r>
        <w:rPr/>
        <w:t>and experience-sharing sessions from experts or individuals who have encountered sexual harassment situations could create a deeper impact on participants. Follow-up programmes may also be conducted to assess participants’ levels of understanding and awareness after a certain period of time.</w:t>
      </w:r>
    </w:p>
    <w:p>
      <w:pPr>
        <w:pStyle w:val="BodyText"/>
        <w:spacing w:after="0" w:line="360" w:lineRule="auto"/>
        <w:jc w:val="both"/>
        <w:sectPr>
          <w:pgSz w:w="11920" w:h="16840"/>
          <w:pgMar w:top="1380" w:bottom="280" w:left="1417" w:right="992"/>
        </w:sectPr>
      </w:pPr>
    </w:p>
    <w:p>
      <w:pPr>
        <w:pStyle w:val="Heading3"/>
        <w:numPr>
          <w:ilvl w:val="0"/>
          <w:numId w:val="9"/>
        </w:numPr>
        <w:tabs>
          <w:tab w:pos="503" w:val="left" w:leader="none"/>
        </w:tabs>
        <w:spacing w:line="240" w:lineRule="auto" w:before="60" w:after="0"/>
        <w:ind w:left="503" w:right="0" w:hanging="480"/>
        <w:jc w:val="left"/>
      </w:pPr>
      <w:bookmarkStart w:name="10.0 Conclusion " w:id="10"/>
      <w:bookmarkEnd w:id="10"/>
      <w:r>
        <w:rPr>
          <w:b w:val="0"/>
        </w:rPr>
      </w:r>
      <w:r>
        <w:rPr>
          <w:spacing w:val="-2"/>
        </w:rPr>
        <w:t>Conclusion</w:t>
      </w:r>
    </w:p>
    <w:p>
      <w:pPr>
        <w:pStyle w:val="BodyText"/>
        <w:spacing w:before="101"/>
        <w:rPr>
          <w:b/>
        </w:rPr>
      </w:pPr>
    </w:p>
    <w:p>
      <w:pPr>
        <w:pStyle w:val="BodyText"/>
        <w:spacing w:line="360" w:lineRule="auto" w:before="1"/>
        <w:ind w:left="23" w:right="464" w:firstLine="720"/>
        <w:jc w:val="both"/>
      </w:pPr>
      <w:r>
        <w:rPr/>
        <w:t>Overall, the </w:t>
      </w:r>
      <w:r>
        <w:rPr>
          <w:i/>
        </w:rPr>
        <w:t>Safe Workplace Initiative</w:t>
      </w:r>
      <w:r>
        <w:rPr>
          <w:i/>
          <w:spacing w:val="-6"/>
        </w:rPr>
        <w:t> </w:t>
      </w:r>
      <w:r>
        <w:rPr/>
        <w:t>programme</w:t>
      </w:r>
      <w:r>
        <w:rPr>
          <w:spacing w:val="-6"/>
        </w:rPr>
        <w:t> </w:t>
      </w:r>
      <w:r>
        <w:rPr/>
        <w:t>successfully</w:t>
      </w:r>
      <w:r>
        <w:rPr>
          <w:spacing w:val="-6"/>
        </w:rPr>
        <w:t> </w:t>
      </w:r>
      <w:r>
        <w:rPr/>
        <w:t>achieved</w:t>
      </w:r>
      <w:r>
        <w:rPr>
          <w:spacing w:val="-7"/>
        </w:rPr>
        <w:t> </w:t>
      </w:r>
      <w:r>
        <w:rPr/>
        <w:t>its</w:t>
      </w:r>
      <w:r>
        <w:rPr>
          <w:spacing w:val="-6"/>
        </w:rPr>
        <w:t> </w:t>
      </w:r>
      <w:r>
        <w:rPr/>
        <w:t>objectives of increasing participants’ awareness and understanding of sexual harassment issues in the workplace. The programme findings demonstrated a</w:t>
      </w:r>
      <w:r>
        <w:rPr>
          <w:spacing w:val="-4"/>
        </w:rPr>
        <w:t> </w:t>
      </w:r>
      <w:r>
        <w:rPr/>
        <w:t>significant</w:t>
      </w:r>
      <w:r>
        <w:rPr>
          <w:spacing w:val="-4"/>
        </w:rPr>
        <w:t> </w:t>
      </w:r>
      <w:r>
        <w:rPr/>
        <w:t>improvement</w:t>
      </w:r>
      <w:r>
        <w:rPr>
          <w:spacing w:val="-4"/>
        </w:rPr>
        <w:t> </w:t>
      </w:r>
      <w:r>
        <w:rPr/>
        <w:t>in</w:t>
      </w:r>
      <w:r>
        <w:rPr>
          <w:spacing w:val="-4"/>
        </w:rPr>
        <w:t> </w:t>
      </w:r>
      <w:r>
        <w:rPr/>
        <w:t>participants’ knowledge levels following the interventions implemented. The programme not only provided exposure to the forms and consequences of sexual harassment but also helped participants understand the appropriate reporting channels and the importance of fostering a safe, professional, and respectful workplace culture.</w:t>
      </w:r>
      <w:r>
        <w:rPr>
          <w:spacing w:val="-3"/>
        </w:rPr>
        <w:t> </w:t>
      </w:r>
      <w:r>
        <w:rPr/>
        <w:t>Therefore,</w:t>
      </w:r>
      <w:r>
        <w:rPr>
          <w:spacing w:val="-3"/>
        </w:rPr>
        <w:t> </w:t>
      </w:r>
      <w:r>
        <w:rPr/>
        <w:t>initiatives</w:t>
      </w:r>
      <w:r>
        <w:rPr>
          <w:spacing w:val="-3"/>
        </w:rPr>
        <w:t> </w:t>
      </w:r>
      <w:r>
        <w:rPr/>
        <w:t>such</w:t>
      </w:r>
      <w:r>
        <w:rPr>
          <w:spacing w:val="-3"/>
        </w:rPr>
        <w:t> </w:t>
      </w:r>
      <w:r>
        <w:rPr/>
        <w:t>as</w:t>
      </w:r>
      <w:r>
        <w:rPr>
          <w:spacing w:val="-3"/>
        </w:rPr>
        <w:t> </w:t>
      </w:r>
      <w:r>
        <w:rPr/>
        <w:t>this</w:t>
      </w:r>
      <w:r>
        <w:rPr>
          <w:spacing w:val="-3"/>
        </w:rPr>
        <w:t> </w:t>
      </w:r>
      <w:r>
        <w:rPr/>
        <w:t>should be sustained and expanded to promote organisations that are safer and free from sexual </w:t>
      </w:r>
      <w:r>
        <w:rPr>
          <w:spacing w:val="-2"/>
        </w:rPr>
        <w:t>harassment.</w:t>
      </w:r>
    </w:p>
    <w:p>
      <w:pPr>
        <w:pStyle w:val="BodyText"/>
      </w:pPr>
    </w:p>
    <w:p>
      <w:pPr>
        <w:pStyle w:val="BodyText"/>
        <w:spacing w:before="5"/>
      </w:pPr>
    </w:p>
    <w:p>
      <w:pPr>
        <w:pStyle w:val="Heading2"/>
      </w:pPr>
      <w:r>
        <w:rPr>
          <w:spacing w:val="-2"/>
        </w:rPr>
        <w:t>ACKNOWLEDGEMENTS</w:t>
      </w:r>
    </w:p>
    <w:p>
      <w:pPr>
        <w:pStyle w:val="BodyText"/>
        <w:spacing w:line="276" w:lineRule="auto" w:before="42"/>
        <w:ind w:left="23" w:firstLine="720"/>
      </w:pPr>
      <w:r>
        <w:rPr/>
        <w:t>The</w:t>
      </w:r>
      <w:r>
        <w:rPr>
          <w:spacing w:val="40"/>
        </w:rPr>
        <w:t> </w:t>
      </w:r>
      <w:r>
        <w:rPr/>
        <w:t>authors</w:t>
      </w:r>
      <w:r>
        <w:rPr>
          <w:spacing w:val="40"/>
        </w:rPr>
        <w:t> </w:t>
      </w:r>
      <w:r>
        <w:rPr/>
        <w:t>would</w:t>
      </w:r>
      <w:r>
        <w:rPr>
          <w:spacing w:val="40"/>
        </w:rPr>
        <w:t> </w:t>
      </w:r>
      <w:r>
        <w:rPr/>
        <w:t>like</w:t>
      </w:r>
      <w:r>
        <w:rPr>
          <w:spacing w:val="40"/>
        </w:rPr>
        <w:t> </w:t>
      </w:r>
      <w:r>
        <w:rPr/>
        <w:t>to</w:t>
      </w:r>
      <w:r>
        <w:rPr>
          <w:spacing w:val="40"/>
        </w:rPr>
        <w:t> </w:t>
      </w:r>
      <w:r>
        <w:rPr/>
        <w:t>thank</w:t>
      </w:r>
      <w:r>
        <w:rPr>
          <w:spacing w:val="40"/>
        </w:rPr>
        <w:t> </w:t>
      </w:r>
      <w:r>
        <w:rPr/>
        <w:t>the</w:t>
      </w:r>
      <w:r>
        <w:rPr>
          <w:spacing w:val="40"/>
        </w:rPr>
        <w:t> </w:t>
      </w:r>
      <w:r>
        <w:rPr/>
        <w:t>Institut</w:t>
      </w:r>
      <w:r>
        <w:rPr>
          <w:spacing w:val="40"/>
        </w:rPr>
        <w:t> </w:t>
      </w:r>
      <w:r>
        <w:rPr/>
        <w:t>Kemahiran</w:t>
      </w:r>
      <w:r>
        <w:rPr>
          <w:spacing w:val="40"/>
        </w:rPr>
        <w:t> </w:t>
      </w:r>
      <w:r>
        <w:rPr/>
        <w:t>MARA</w:t>
      </w:r>
      <w:r>
        <w:rPr>
          <w:spacing w:val="40"/>
        </w:rPr>
        <w:t> </w:t>
      </w:r>
      <w:r>
        <w:rPr/>
        <w:t>Kuching</w:t>
      </w:r>
      <w:r>
        <w:rPr>
          <w:spacing w:val="27"/>
        </w:rPr>
        <w:t> </w:t>
      </w:r>
      <w:r>
        <w:rPr/>
        <w:t>for</w:t>
      </w:r>
      <w:r>
        <w:rPr>
          <w:spacing w:val="27"/>
        </w:rPr>
        <w:t> </w:t>
      </w:r>
      <w:r>
        <w:rPr/>
        <w:t>their cooperation and participation in this study.</w:t>
      </w:r>
    </w:p>
    <w:p>
      <w:pPr>
        <w:pStyle w:val="BodyText"/>
        <w:spacing w:before="41"/>
      </w:pPr>
    </w:p>
    <w:p>
      <w:pPr>
        <w:pStyle w:val="Heading2"/>
      </w:pPr>
      <w:r>
        <w:rPr/>
        <w:t>AUTHOR </w:t>
      </w:r>
      <w:r>
        <w:rPr>
          <w:spacing w:val="-2"/>
        </w:rPr>
        <w:t>CONTRIBUTIONS</w:t>
      </w:r>
    </w:p>
    <w:p>
      <w:pPr>
        <w:pStyle w:val="BodyText"/>
        <w:spacing w:line="276" w:lineRule="auto" w:before="41"/>
        <w:ind w:left="23" w:right="403" w:firstLine="720"/>
      </w:pPr>
      <w:r>
        <w:rPr/>
        <w:t>All authors contributed to the conception and design</w:t>
      </w:r>
      <w:r>
        <w:rPr>
          <w:spacing w:val="-4"/>
        </w:rPr>
        <w:t> </w:t>
      </w:r>
      <w:r>
        <w:rPr/>
        <w:t>of</w:t>
      </w:r>
      <w:r>
        <w:rPr>
          <w:spacing w:val="-4"/>
        </w:rPr>
        <w:t> </w:t>
      </w:r>
      <w:r>
        <w:rPr/>
        <w:t>the</w:t>
      </w:r>
      <w:r>
        <w:rPr>
          <w:spacing w:val="-4"/>
        </w:rPr>
        <w:t> </w:t>
      </w:r>
      <w:r>
        <w:rPr/>
        <w:t>study,</w:t>
      </w:r>
      <w:r>
        <w:rPr>
          <w:spacing w:val="-4"/>
        </w:rPr>
        <w:t> </w:t>
      </w:r>
      <w:r>
        <w:rPr/>
        <w:t>the</w:t>
      </w:r>
      <w:r>
        <w:rPr>
          <w:spacing w:val="-4"/>
        </w:rPr>
        <w:t> </w:t>
      </w:r>
      <w:r>
        <w:rPr/>
        <w:t>implementation of the intervention, data analysis, and the writing and revision of the manuscript.</w:t>
      </w:r>
    </w:p>
    <w:p>
      <w:pPr>
        <w:pStyle w:val="BodyText"/>
        <w:spacing w:before="41"/>
      </w:pPr>
    </w:p>
    <w:p>
      <w:pPr>
        <w:pStyle w:val="Heading2"/>
        <w:spacing w:before="1"/>
      </w:pPr>
      <w:r>
        <w:rPr/>
        <w:t>CONFLICT OF </w:t>
      </w:r>
      <w:r>
        <w:rPr>
          <w:spacing w:val="-2"/>
        </w:rPr>
        <w:t>INTEREST</w:t>
      </w:r>
    </w:p>
    <w:p>
      <w:pPr>
        <w:pStyle w:val="BodyText"/>
        <w:spacing w:before="41"/>
        <w:ind w:left="743"/>
      </w:pPr>
      <w:r>
        <w:rPr/>
        <w:t>The authors declare no conflict of </w:t>
      </w:r>
      <w:r>
        <w:rPr>
          <w:spacing w:val="-2"/>
        </w:rPr>
        <w:t>interest.</w:t>
      </w:r>
    </w:p>
    <w:p>
      <w:pPr>
        <w:pStyle w:val="BodyText"/>
        <w:spacing w:before="83"/>
      </w:pPr>
    </w:p>
    <w:p>
      <w:pPr>
        <w:pStyle w:val="Heading2"/>
      </w:pPr>
      <w:r>
        <w:rPr>
          <w:spacing w:val="-6"/>
        </w:rPr>
        <w:t>DATA</w:t>
      </w:r>
      <w:r>
        <w:rPr>
          <w:spacing w:val="-1"/>
        </w:rPr>
        <w:t> </w:t>
      </w:r>
      <w:r>
        <w:rPr>
          <w:spacing w:val="-6"/>
        </w:rPr>
        <w:t>AVAILABILITY</w:t>
      </w:r>
      <w:r>
        <w:rPr>
          <w:spacing w:val="-1"/>
        </w:rPr>
        <w:t> </w:t>
      </w:r>
      <w:r>
        <w:rPr>
          <w:spacing w:val="-6"/>
        </w:rPr>
        <w:t>STATEMENT</w:t>
      </w:r>
    </w:p>
    <w:p>
      <w:pPr>
        <w:pStyle w:val="BodyText"/>
        <w:spacing w:line="276" w:lineRule="auto" w:before="41"/>
        <w:ind w:left="23" w:right="460" w:firstLine="720"/>
      </w:pPr>
      <w:r>
        <w:rPr/>
        <w:t>The data that support the findings of this study are available from the </w:t>
      </w:r>
      <w:r>
        <w:rPr/>
        <w:t>corresponding author upon reasonable request.</w:t>
      </w:r>
    </w:p>
    <w:p>
      <w:pPr>
        <w:pStyle w:val="BodyText"/>
        <w:spacing w:before="42"/>
      </w:pPr>
    </w:p>
    <w:p>
      <w:pPr>
        <w:pStyle w:val="Heading2"/>
      </w:pPr>
      <w:r>
        <w:rPr/>
        <w:t>ETHICAL </w:t>
      </w:r>
      <w:r>
        <w:rPr>
          <w:spacing w:val="-2"/>
        </w:rPr>
        <w:t>STATEMENT</w:t>
      </w:r>
    </w:p>
    <w:p>
      <w:pPr>
        <w:pStyle w:val="BodyText"/>
        <w:spacing w:line="276" w:lineRule="auto" w:before="41"/>
        <w:ind w:left="23" w:right="403" w:firstLine="720"/>
      </w:pPr>
      <w:r>
        <w:rPr/>
        <w:t>This study was</w:t>
      </w:r>
      <w:r>
        <w:rPr>
          <w:spacing w:val="-4"/>
        </w:rPr>
        <w:t> </w:t>
      </w:r>
      <w:r>
        <w:rPr/>
        <w:t>conducted</w:t>
      </w:r>
      <w:r>
        <w:rPr>
          <w:spacing w:val="-4"/>
        </w:rPr>
        <w:t> </w:t>
      </w:r>
      <w:r>
        <w:rPr/>
        <w:t>in</w:t>
      </w:r>
      <w:r>
        <w:rPr>
          <w:spacing w:val="-4"/>
        </w:rPr>
        <w:t> </w:t>
      </w:r>
      <w:r>
        <w:rPr/>
        <w:t>accordance</w:t>
      </w:r>
      <w:r>
        <w:rPr>
          <w:spacing w:val="-4"/>
        </w:rPr>
        <w:t> </w:t>
      </w:r>
      <w:r>
        <w:rPr/>
        <w:t>with</w:t>
      </w:r>
      <w:r>
        <w:rPr>
          <w:spacing w:val="-4"/>
        </w:rPr>
        <w:t> </w:t>
      </w:r>
      <w:r>
        <w:rPr/>
        <w:t>ethical</w:t>
      </w:r>
      <w:r>
        <w:rPr>
          <w:spacing w:val="-4"/>
        </w:rPr>
        <w:t> </w:t>
      </w:r>
      <w:r>
        <w:rPr/>
        <w:t>standards.</w:t>
      </w:r>
      <w:r>
        <w:rPr>
          <w:spacing w:val="-4"/>
        </w:rPr>
        <w:t> </w:t>
      </w:r>
      <w:r>
        <w:rPr/>
        <w:t>Informed</w:t>
      </w:r>
      <w:r>
        <w:rPr>
          <w:spacing w:val="-4"/>
        </w:rPr>
        <w:t> </w:t>
      </w:r>
      <w:r>
        <w:rPr/>
        <w:t>consent</w:t>
      </w:r>
      <w:r>
        <w:rPr>
          <w:spacing w:val="-4"/>
        </w:rPr>
        <w:t> </w:t>
      </w:r>
      <w:r>
        <w:rPr/>
        <w:t>was obtained from all participants, and confidentiality was maintained throughout the study.</w:t>
      </w:r>
    </w:p>
    <w:p>
      <w:pPr>
        <w:pStyle w:val="BodyText"/>
        <w:spacing w:before="41"/>
      </w:pPr>
    </w:p>
    <w:p>
      <w:pPr>
        <w:pStyle w:val="Heading2"/>
      </w:pPr>
      <w:r>
        <w:rPr>
          <w:spacing w:val="-2"/>
        </w:rPr>
        <w:t>FUNDING</w:t>
      </w:r>
    </w:p>
    <w:p>
      <w:pPr>
        <w:pStyle w:val="BodyText"/>
        <w:spacing w:before="42"/>
        <w:ind w:left="743"/>
      </w:pPr>
      <w:r>
        <w:rPr/>
        <w:t>This research received no external </w:t>
      </w:r>
      <w:r>
        <w:rPr>
          <w:spacing w:val="-2"/>
        </w:rPr>
        <w:t>funding.</w:t>
      </w:r>
    </w:p>
    <w:p>
      <w:pPr>
        <w:pStyle w:val="BodyText"/>
        <w:spacing w:after="0"/>
        <w:sectPr>
          <w:pgSz w:w="11920" w:h="16840"/>
          <w:pgMar w:top="1380" w:bottom="280" w:left="1417" w:right="992"/>
        </w:sectPr>
      </w:pPr>
    </w:p>
    <w:p>
      <w:pPr>
        <w:pStyle w:val="Heading2"/>
        <w:spacing w:before="60"/>
      </w:pPr>
      <w:r>
        <w:rPr>
          <w:spacing w:val="-2"/>
        </w:rPr>
        <w:t>REFERENCES</w:t>
      </w:r>
    </w:p>
    <w:p>
      <w:pPr>
        <w:pStyle w:val="BodyText"/>
        <w:spacing w:before="82"/>
        <w:rPr>
          <w:b/>
        </w:rPr>
      </w:pPr>
    </w:p>
    <w:p>
      <w:pPr>
        <w:pStyle w:val="BodyText"/>
        <w:spacing w:line="360" w:lineRule="auto" w:before="1"/>
        <w:ind w:left="803" w:right="460" w:hanging="780"/>
        <w:rPr>
          <w:i/>
        </w:rPr>
      </w:pPr>
      <w:r>
        <w:rPr/>
        <w:t>Abiogu, G. C., Ede, M. O., Agah, J. J., Ebeh, J. J., Ejionueme, L. K., Asogwa, E. T., Ekwueme, F. O., Agu, P., Nwafor, B., Omeke, F., &amp; Ogoke, J. (2021). Effects of Rational Emotive Behavior Occupational Intervention on Perceptions</w:t>
      </w:r>
      <w:r>
        <w:rPr>
          <w:spacing w:val="-7"/>
        </w:rPr>
        <w:t> </w:t>
      </w:r>
      <w:r>
        <w:rPr/>
        <w:t>of</w:t>
      </w:r>
      <w:r>
        <w:rPr>
          <w:spacing w:val="-7"/>
        </w:rPr>
        <w:t> </w:t>
      </w:r>
      <w:r>
        <w:rPr/>
        <w:t>Work</w:t>
      </w:r>
      <w:r>
        <w:rPr>
          <w:spacing w:val="-7"/>
        </w:rPr>
        <w:t> </w:t>
      </w:r>
      <w:r>
        <w:rPr/>
        <w:t>Value and Ethical Practices: Implications for Educational Policy Makers. </w:t>
      </w:r>
      <w:r>
        <w:rPr>
          <w:i/>
        </w:rPr>
        <w:t>Journal of</w:t>
      </w:r>
    </w:p>
    <w:p>
      <w:pPr>
        <w:spacing w:line="360" w:lineRule="auto" w:before="0"/>
        <w:ind w:left="803" w:right="3893" w:firstLine="0"/>
        <w:jc w:val="left"/>
        <w:rPr>
          <w:sz w:val="24"/>
        </w:rPr>
      </w:pPr>
      <w:r>
        <w:rPr>
          <w:i/>
          <w:sz w:val="24"/>
        </w:rPr>
        <w:t>Rational-Emotive</w:t>
      </w:r>
      <w:r>
        <w:rPr>
          <w:i/>
          <w:spacing w:val="-13"/>
          <w:sz w:val="24"/>
        </w:rPr>
        <w:t> </w:t>
      </w:r>
      <w:r>
        <w:rPr>
          <w:i/>
          <w:sz w:val="24"/>
        </w:rPr>
        <w:t>&amp;</w:t>
      </w:r>
      <w:r>
        <w:rPr>
          <w:i/>
          <w:spacing w:val="-13"/>
          <w:sz w:val="24"/>
        </w:rPr>
        <w:t> </w:t>
      </w:r>
      <w:r>
        <w:rPr>
          <w:i/>
          <w:sz w:val="24"/>
        </w:rPr>
        <w:t>Cognitive-Behavior</w:t>
      </w:r>
      <w:r>
        <w:rPr>
          <w:i/>
          <w:spacing w:val="-13"/>
          <w:sz w:val="24"/>
        </w:rPr>
        <w:t> </w:t>
      </w:r>
      <w:r>
        <w:rPr>
          <w:i/>
          <w:sz w:val="24"/>
        </w:rPr>
        <w:t>Therapy</w:t>
      </w:r>
      <w:r>
        <w:rPr>
          <w:sz w:val="24"/>
        </w:rPr>
        <w:t>. </w:t>
      </w:r>
      <w:hyperlink r:id="rId68">
        <w:r>
          <w:rPr>
            <w:color w:val="1154CC"/>
            <w:spacing w:val="-2"/>
            <w:sz w:val="24"/>
            <w:u w:val="thick" w:color="1154CC"/>
          </w:rPr>
          <w:t>https://doi.org/10.1007/s10942-021-00389-0</w:t>
        </w:r>
      </w:hyperlink>
    </w:p>
    <w:p>
      <w:pPr>
        <w:pStyle w:val="BodyText"/>
      </w:pPr>
    </w:p>
    <w:p>
      <w:pPr>
        <w:pStyle w:val="BodyText"/>
        <w:spacing w:before="5"/>
      </w:pPr>
    </w:p>
    <w:p>
      <w:pPr>
        <w:pStyle w:val="BodyText"/>
        <w:spacing w:line="480" w:lineRule="auto"/>
        <w:ind w:left="743" w:right="464" w:hanging="720"/>
        <w:jc w:val="both"/>
      </w:pPr>
      <w:r>
        <w:rPr/>
        <w:t>Arwa Masadeh, Rula Al-Rimawi, Salem, A., &amp; Rami Masa’deh. (2024). Jordanian </w:t>
      </w:r>
      <w:r>
        <w:rPr/>
        <w:t>nursing students’ experience of harassment in clinical care settings. </w:t>
      </w:r>
      <w:r>
        <w:rPr>
          <w:i/>
        </w:rPr>
        <w:t>BMC Nursing</w:t>
      </w:r>
      <w:r>
        <w:rPr/>
        <w:t>, </w:t>
      </w:r>
      <w:r>
        <w:rPr>
          <w:i/>
        </w:rPr>
        <w:t>23</w:t>
      </w:r>
      <w:r>
        <w:rPr/>
        <w:t>(1). </w:t>
      </w:r>
      <w:hyperlink r:id="rId69">
        <w:r>
          <w:rPr>
            <w:color w:val="1154CC"/>
            <w:spacing w:val="-2"/>
            <w:u w:val="thick" w:color="1154CC"/>
          </w:rPr>
          <w:t>https://doi.org/10.1186/s12912-024-02146-x</w:t>
        </w:r>
      </w:hyperlink>
    </w:p>
    <w:p>
      <w:pPr>
        <w:pStyle w:val="BodyText"/>
        <w:spacing w:before="138"/>
      </w:pPr>
    </w:p>
    <w:p>
      <w:pPr>
        <w:pStyle w:val="BodyText"/>
        <w:spacing w:line="360" w:lineRule="auto"/>
        <w:ind w:left="803" w:right="466" w:hanging="780"/>
        <w:jc w:val="both"/>
      </w:pPr>
      <w:r>
        <w:rPr/>
        <w:t>Behzadi Fard, S., Razban, F., Tian, X., &amp;</w:t>
      </w:r>
      <w:r>
        <w:rPr>
          <w:spacing w:val="-4"/>
        </w:rPr>
        <w:t> </w:t>
      </w:r>
      <w:r>
        <w:rPr/>
        <w:t>Dehghan,</w:t>
      </w:r>
      <w:r>
        <w:rPr>
          <w:spacing w:val="-4"/>
        </w:rPr>
        <w:t> </w:t>
      </w:r>
      <w:r>
        <w:rPr/>
        <w:t>M.</w:t>
      </w:r>
      <w:r>
        <w:rPr>
          <w:spacing w:val="-4"/>
        </w:rPr>
        <w:t> </w:t>
      </w:r>
      <w:r>
        <w:rPr/>
        <w:t>(2024).</w:t>
      </w:r>
      <w:r>
        <w:rPr>
          <w:spacing w:val="-4"/>
        </w:rPr>
        <w:t> </w:t>
      </w:r>
      <w:r>
        <w:rPr/>
        <w:t>No</w:t>
      </w:r>
      <w:r>
        <w:rPr>
          <w:spacing w:val="-4"/>
        </w:rPr>
        <w:t> </w:t>
      </w:r>
      <w:r>
        <w:rPr/>
        <w:t>Safe</w:t>
      </w:r>
      <w:r>
        <w:rPr>
          <w:spacing w:val="-4"/>
        </w:rPr>
        <w:t> </w:t>
      </w:r>
      <w:r>
        <w:rPr/>
        <w:t>Haven</w:t>
      </w:r>
      <w:r>
        <w:rPr>
          <w:spacing w:val="-4"/>
        </w:rPr>
        <w:t> </w:t>
      </w:r>
      <w:r>
        <w:rPr/>
        <w:t>for</w:t>
      </w:r>
      <w:r>
        <w:rPr>
          <w:spacing w:val="-4"/>
        </w:rPr>
        <w:t> </w:t>
      </w:r>
      <w:r>
        <w:rPr/>
        <w:t>Reporting Sexual Harassment at Work: A Qualitative Meta-synthesis. </w:t>
      </w:r>
      <w:r>
        <w:rPr>
          <w:i/>
        </w:rPr>
        <w:t>Sexuality Research and Social Policy</w:t>
      </w:r>
      <w:r>
        <w:rPr/>
        <w:t>. </w:t>
      </w:r>
      <w:hyperlink r:id="rId70">
        <w:r>
          <w:rPr>
            <w:color w:val="1154CC"/>
            <w:u w:val="thick" w:color="1154CC"/>
          </w:rPr>
          <w:t>https://doi.org/10.1007/s13178-024-01067-3</w:t>
        </w:r>
      </w:hyperlink>
    </w:p>
    <w:p>
      <w:pPr>
        <w:pStyle w:val="BodyText"/>
        <w:spacing w:line="480" w:lineRule="auto"/>
        <w:ind w:left="803" w:right="871" w:hanging="765"/>
      </w:pPr>
      <w:r>
        <w:rPr/>
        <w:t>Choi,</w:t>
      </w:r>
      <w:r>
        <w:rPr>
          <w:spacing w:val="-13"/>
        </w:rPr>
        <w:t> </w:t>
      </w:r>
      <w:r>
        <w:rPr/>
        <w:t>S.</w:t>
      </w:r>
      <w:r>
        <w:rPr>
          <w:spacing w:val="-13"/>
        </w:rPr>
        <w:t> </w:t>
      </w:r>
      <w:r>
        <w:rPr/>
        <w:t>Y.</w:t>
      </w:r>
      <w:r>
        <w:rPr>
          <w:spacing w:val="-13"/>
        </w:rPr>
        <w:t> </w:t>
      </w:r>
      <w:r>
        <w:rPr/>
        <w:t>P.,</w:t>
      </w:r>
      <w:r>
        <w:rPr>
          <w:spacing w:val="-13"/>
        </w:rPr>
        <w:t> </w:t>
      </w:r>
      <w:r>
        <w:rPr/>
        <w:t>Yip,</w:t>
      </w:r>
      <w:r>
        <w:rPr>
          <w:spacing w:val="-13"/>
        </w:rPr>
        <w:t> </w:t>
      </w:r>
      <w:r>
        <w:rPr/>
        <w:t>T.</w:t>
      </w:r>
      <w:r>
        <w:rPr>
          <w:spacing w:val="-13"/>
        </w:rPr>
        <w:t> </w:t>
      </w:r>
      <w:r>
        <w:rPr/>
        <w:t>P.,</w:t>
      </w:r>
      <w:r>
        <w:rPr>
          <w:spacing w:val="-13"/>
        </w:rPr>
        <w:t> </w:t>
      </w:r>
      <w:r>
        <w:rPr/>
        <w:t>&amp;</w:t>
      </w:r>
      <w:r>
        <w:rPr>
          <w:spacing w:val="-13"/>
        </w:rPr>
        <w:t> </w:t>
      </w:r>
      <w:r>
        <w:rPr/>
        <w:t>Nakano,</w:t>
      </w:r>
      <w:r>
        <w:rPr>
          <w:spacing w:val="-13"/>
        </w:rPr>
        <w:t> </w:t>
      </w:r>
      <w:r>
        <w:rPr/>
        <w:t>L.</w:t>
      </w:r>
      <w:r>
        <w:rPr>
          <w:spacing w:val="-13"/>
        </w:rPr>
        <w:t> </w:t>
      </w:r>
      <w:r>
        <w:rPr/>
        <w:t>Y.</w:t>
      </w:r>
      <w:r>
        <w:rPr>
          <w:spacing w:val="-13"/>
        </w:rPr>
        <w:t> </w:t>
      </w:r>
      <w:r>
        <w:rPr/>
        <w:t>(2025).</w:t>
      </w:r>
      <w:r>
        <w:rPr>
          <w:spacing w:val="-13"/>
        </w:rPr>
        <w:t> </w:t>
      </w:r>
      <w:r>
        <w:rPr/>
        <w:t>Out-of-Frame,</w:t>
      </w:r>
      <w:r>
        <w:rPr>
          <w:spacing w:val="-13"/>
        </w:rPr>
        <w:t> </w:t>
      </w:r>
      <w:r>
        <w:rPr/>
        <w:t>Misframe,</w:t>
      </w:r>
      <w:r>
        <w:rPr>
          <w:spacing w:val="-13"/>
        </w:rPr>
        <w:t> </w:t>
      </w:r>
      <w:r>
        <w:rPr/>
        <w:t>and</w:t>
      </w:r>
      <w:r>
        <w:rPr>
          <w:spacing w:val="-13"/>
        </w:rPr>
        <w:t> </w:t>
      </w:r>
      <w:r>
        <w:rPr/>
        <w:t>Reframe: Challenges Faced by Victims in Identifying and Interpreting Online Sexual Harassment</w:t>
      </w:r>
      <w:r>
        <w:rPr>
          <w:spacing w:val="-3"/>
        </w:rPr>
        <w:t> </w:t>
      </w:r>
      <w:r>
        <w:rPr/>
        <w:t>and</w:t>
      </w:r>
      <w:r>
        <w:rPr>
          <w:spacing w:val="-3"/>
        </w:rPr>
        <w:t> </w:t>
      </w:r>
      <w:r>
        <w:rPr/>
        <w:t>Their</w:t>
      </w:r>
      <w:r>
        <w:rPr>
          <w:spacing w:val="-3"/>
        </w:rPr>
        <w:t> </w:t>
      </w:r>
      <w:r>
        <w:rPr/>
        <w:t>Policy</w:t>
      </w:r>
      <w:r>
        <w:rPr>
          <w:spacing w:val="-3"/>
        </w:rPr>
        <w:t> </w:t>
      </w:r>
      <w:r>
        <w:rPr/>
        <w:t>Implications.</w:t>
      </w:r>
      <w:r>
        <w:rPr>
          <w:spacing w:val="-3"/>
        </w:rPr>
        <w:t> </w:t>
      </w:r>
      <w:r>
        <w:rPr>
          <w:i/>
        </w:rPr>
        <w:t>Sexuality</w:t>
      </w:r>
      <w:r>
        <w:rPr>
          <w:i/>
          <w:spacing w:val="-3"/>
        </w:rPr>
        <w:t> </w:t>
      </w:r>
      <w:r>
        <w:rPr>
          <w:i/>
        </w:rPr>
        <w:t>Research</w:t>
      </w:r>
      <w:r>
        <w:rPr>
          <w:i/>
          <w:spacing w:val="-3"/>
        </w:rPr>
        <w:t> </w:t>
      </w:r>
      <w:r>
        <w:rPr>
          <w:i/>
        </w:rPr>
        <w:t>and</w:t>
      </w:r>
      <w:r>
        <w:rPr>
          <w:i/>
          <w:spacing w:val="-3"/>
        </w:rPr>
        <w:t> </w:t>
      </w:r>
      <w:r>
        <w:rPr>
          <w:i/>
        </w:rPr>
        <w:t>Social</w:t>
      </w:r>
      <w:r>
        <w:rPr>
          <w:i/>
          <w:spacing w:val="-3"/>
        </w:rPr>
        <w:t> </w:t>
      </w:r>
      <w:r>
        <w:rPr>
          <w:i/>
        </w:rPr>
        <w:t>Policy</w:t>
      </w:r>
      <w:r>
        <w:rPr/>
        <w:t>. </w:t>
      </w:r>
      <w:hyperlink r:id="rId71">
        <w:r>
          <w:rPr>
            <w:color w:val="1154CC"/>
            <w:spacing w:val="-2"/>
            <w:u w:val="thick" w:color="1154CC"/>
          </w:rPr>
          <w:t>https://doi.org/10.1007/s13178-025-01160-1</w:t>
        </w:r>
      </w:hyperlink>
    </w:p>
    <w:p>
      <w:pPr>
        <w:pStyle w:val="BodyText"/>
        <w:ind w:left="23"/>
      </w:pPr>
      <w:r>
        <w:rPr/>
        <w:t>Gianakos,</w:t>
      </w:r>
      <w:r>
        <w:rPr>
          <w:spacing w:val="13"/>
        </w:rPr>
        <w:t> </w:t>
      </w:r>
      <w:r>
        <w:rPr/>
        <w:t>A.</w:t>
      </w:r>
      <w:r>
        <w:rPr>
          <w:spacing w:val="15"/>
        </w:rPr>
        <w:t> </w:t>
      </w:r>
      <w:r>
        <w:rPr/>
        <w:t>L., Freischlag, J. A., Mercurio, A. M., Haring, R. S., LaPorte, D. M., </w:t>
      </w:r>
      <w:r>
        <w:rPr>
          <w:spacing w:val="-2"/>
        </w:rPr>
        <w:t>Mulcahey,</w:t>
      </w:r>
    </w:p>
    <w:p>
      <w:pPr>
        <w:pStyle w:val="BodyText"/>
        <w:spacing w:line="360" w:lineRule="auto" w:before="138"/>
        <w:ind w:left="593" w:right="460"/>
      </w:pPr>
      <w:r>
        <w:rPr/>
        <w:t>M.</w:t>
      </w:r>
      <w:r>
        <w:rPr>
          <w:spacing w:val="80"/>
          <w:w w:val="150"/>
        </w:rPr>
        <w:t> </w:t>
      </w:r>
      <w:r>
        <w:rPr/>
        <w:t>K.,</w:t>
      </w:r>
      <w:r>
        <w:rPr>
          <w:spacing w:val="80"/>
          <w:w w:val="150"/>
        </w:rPr>
        <w:t> </w:t>
      </w:r>
      <w:r>
        <w:rPr/>
        <w:t>Cannada,</w:t>
      </w:r>
      <w:r>
        <w:rPr>
          <w:spacing w:val="80"/>
          <w:w w:val="150"/>
        </w:rPr>
        <w:t> </w:t>
      </w:r>
      <w:r>
        <w:rPr/>
        <w:t>L.</w:t>
      </w:r>
      <w:r>
        <w:rPr>
          <w:spacing w:val="80"/>
          <w:w w:val="150"/>
        </w:rPr>
        <w:t> </w:t>
      </w:r>
      <w:r>
        <w:rPr/>
        <w:t>K.,</w:t>
      </w:r>
      <w:r>
        <w:rPr>
          <w:spacing w:val="80"/>
          <w:w w:val="150"/>
        </w:rPr>
        <w:t> </w:t>
      </w:r>
      <w:r>
        <w:rPr/>
        <w:t>&amp;</w:t>
      </w:r>
      <w:r>
        <w:rPr>
          <w:spacing w:val="80"/>
          <w:w w:val="150"/>
        </w:rPr>
        <w:t> </w:t>
      </w:r>
      <w:r>
        <w:rPr/>
        <w:t>Kennedy,</w:t>
      </w:r>
      <w:r>
        <w:rPr>
          <w:spacing w:val="80"/>
        </w:rPr>
        <w:t> </w:t>
      </w:r>
      <w:r>
        <w:rPr/>
        <w:t>J.</w:t>
      </w:r>
      <w:r>
        <w:rPr>
          <w:spacing w:val="80"/>
        </w:rPr>
        <w:t> </w:t>
      </w:r>
      <w:r>
        <w:rPr/>
        <w:t>G.</w:t>
      </w:r>
      <w:r>
        <w:rPr>
          <w:spacing w:val="80"/>
        </w:rPr>
        <w:t> </w:t>
      </w:r>
      <w:r>
        <w:rPr/>
        <w:t>(2022).</w:t>
      </w:r>
      <w:r>
        <w:rPr>
          <w:spacing w:val="80"/>
        </w:rPr>
        <w:t> </w:t>
      </w:r>
      <w:r>
        <w:rPr/>
        <w:t>Bullying,</w:t>
      </w:r>
      <w:r>
        <w:rPr>
          <w:spacing w:val="100"/>
        </w:rPr>
        <w:t> </w:t>
      </w:r>
      <w:r>
        <w:rPr/>
        <w:t>Discrimination, Harassment, Sexual</w:t>
      </w:r>
      <w:r>
        <w:rPr>
          <w:spacing w:val="-4"/>
        </w:rPr>
        <w:t> </w:t>
      </w:r>
      <w:r>
        <w:rPr/>
        <w:t>Harassment,</w:t>
      </w:r>
      <w:r>
        <w:rPr>
          <w:spacing w:val="-4"/>
        </w:rPr>
        <w:t> </w:t>
      </w:r>
      <w:r>
        <w:rPr/>
        <w:t>and</w:t>
      </w:r>
      <w:r>
        <w:rPr>
          <w:spacing w:val="-4"/>
        </w:rPr>
        <w:t> </w:t>
      </w:r>
      <w:r>
        <w:rPr/>
        <w:t>the</w:t>
      </w:r>
      <w:r>
        <w:rPr>
          <w:spacing w:val="-4"/>
        </w:rPr>
        <w:t> </w:t>
      </w:r>
      <w:r>
        <w:rPr/>
        <w:t>Fear</w:t>
      </w:r>
      <w:r>
        <w:rPr>
          <w:spacing w:val="-4"/>
        </w:rPr>
        <w:t> </w:t>
      </w:r>
      <w:r>
        <w:rPr/>
        <w:t>of</w:t>
      </w:r>
      <w:r>
        <w:rPr>
          <w:spacing w:val="-4"/>
        </w:rPr>
        <w:t> </w:t>
      </w:r>
      <w:r>
        <w:rPr/>
        <w:t>Retaliation</w:t>
      </w:r>
      <w:r>
        <w:rPr>
          <w:spacing w:val="-4"/>
        </w:rPr>
        <w:t> </w:t>
      </w:r>
      <w:r>
        <w:rPr/>
        <w:t>During</w:t>
      </w:r>
      <w:r>
        <w:rPr>
          <w:spacing w:val="-4"/>
        </w:rPr>
        <w:t> </w:t>
      </w:r>
      <w:r>
        <w:rPr/>
        <w:t>Surgical</w:t>
      </w:r>
      <w:r>
        <w:rPr>
          <w:spacing w:val="-4"/>
        </w:rPr>
        <w:t> </w:t>
      </w:r>
      <w:r>
        <w:rPr/>
        <w:t>Residency Training: A Systematic Review. </w:t>
      </w:r>
      <w:r>
        <w:rPr>
          <w:i/>
        </w:rPr>
        <w:t>World Journal of Surgery</w:t>
      </w:r>
      <w:r>
        <w:rPr/>
        <w:t>, </w:t>
      </w:r>
      <w:r>
        <w:rPr>
          <w:i/>
        </w:rPr>
        <w:t>46</w:t>
      </w:r>
      <w:r>
        <w:rPr/>
        <w:t>. </w:t>
      </w:r>
      <w:hyperlink r:id="rId72">
        <w:r>
          <w:rPr>
            <w:color w:val="1154CC"/>
            <w:spacing w:val="-2"/>
            <w:u w:val="thick" w:color="1154CC"/>
          </w:rPr>
          <w:t>https://doi.org/10.1007/s00268-021-06432-6</w:t>
        </w:r>
      </w:hyperlink>
    </w:p>
    <w:p>
      <w:pPr>
        <w:pStyle w:val="BodyText"/>
        <w:spacing w:line="360" w:lineRule="auto"/>
        <w:ind w:left="593" w:right="470" w:hanging="570"/>
      </w:pPr>
      <w:r>
        <w:rPr/>
        <w:t>Harriott,</w:t>
      </w:r>
      <w:r>
        <w:rPr>
          <w:spacing w:val="80"/>
        </w:rPr>
        <w:t> </w:t>
      </w:r>
      <w:r>
        <w:rPr/>
        <w:t>S.</w:t>
      </w:r>
      <w:r>
        <w:rPr>
          <w:spacing w:val="80"/>
        </w:rPr>
        <w:t> </w:t>
      </w:r>
      <w:r>
        <w:rPr/>
        <w:t>A.</w:t>
      </w:r>
      <w:r>
        <w:rPr>
          <w:spacing w:val="80"/>
        </w:rPr>
        <w:t> </w:t>
      </w:r>
      <w:r>
        <w:rPr/>
        <w:t>(2025).</w:t>
      </w:r>
      <w:r>
        <w:rPr>
          <w:spacing w:val="80"/>
        </w:rPr>
        <w:t> </w:t>
      </w:r>
      <w:r>
        <w:rPr/>
        <w:t>Healing</w:t>
      </w:r>
      <w:r>
        <w:rPr>
          <w:spacing w:val="80"/>
        </w:rPr>
        <w:t> </w:t>
      </w:r>
      <w:r>
        <w:rPr/>
        <w:t>Workplace</w:t>
      </w:r>
      <w:r>
        <w:rPr>
          <w:spacing w:val="80"/>
        </w:rPr>
        <w:t> </w:t>
      </w:r>
      <w:r>
        <w:rPr/>
        <w:t>Dynamics.</w:t>
      </w:r>
      <w:r>
        <w:rPr>
          <w:spacing w:val="80"/>
        </w:rPr>
        <w:t> </w:t>
      </w:r>
      <w:r>
        <w:rPr>
          <w:i/>
        </w:rPr>
        <w:t>IGI</w:t>
      </w:r>
      <w:r>
        <w:rPr>
          <w:i/>
          <w:spacing w:val="80"/>
        </w:rPr>
        <w:t> </w:t>
      </w:r>
      <w:r>
        <w:rPr>
          <w:i/>
        </w:rPr>
        <w:t>Global</w:t>
      </w:r>
      <w:r>
        <w:rPr>
          <w:i/>
          <w:spacing w:val="80"/>
        </w:rPr>
        <w:t> </w:t>
      </w:r>
      <w:r>
        <w:rPr>
          <w:i/>
        </w:rPr>
        <w:t>eBooks</w:t>
      </w:r>
      <w:r>
        <w:rPr/>
        <w:t>,</w:t>
      </w:r>
      <w:r>
        <w:rPr>
          <w:spacing w:val="80"/>
        </w:rPr>
        <w:t> </w:t>
      </w:r>
      <w:r>
        <w:rPr/>
        <w:t>131–</w:t>
      </w:r>
      <w:r>
        <w:rPr/>
        <w:t>150. </w:t>
      </w:r>
      <w:hyperlink r:id="rId73">
        <w:r>
          <w:rPr>
            <w:color w:val="1154CC"/>
            <w:spacing w:val="-2"/>
            <w:u w:val="thick" w:color="1154CC"/>
          </w:rPr>
          <w:t>https://doi.org/10.4018/979-8-3693-9556-1.ch006</w:t>
        </w:r>
      </w:hyperlink>
    </w:p>
    <w:p>
      <w:pPr>
        <w:pStyle w:val="BodyText"/>
        <w:spacing w:before="138"/>
      </w:pPr>
    </w:p>
    <w:p>
      <w:pPr>
        <w:spacing w:line="360" w:lineRule="auto" w:before="0"/>
        <w:ind w:left="593" w:right="460" w:hanging="570"/>
        <w:jc w:val="left"/>
        <w:rPr>
          <w:sz w:val="24"/>
        </w:rPr>
      </w:pPr>
      <w:r>
        <w:rPr>
          <w:sz w:val="24"/>
        </w:rPr>
        <w:t>Hendrick, S. S., &amp; Hendrick, C. (1987). </w:t>
      </w:r>
      <w:r>
        <w:rPr>
          <w:i/>
          <w:sz w:val="24"/>
        </w:rPr>
        <w:t>Multidimensionality of sexual attitudes. Journal </w:t>
      </w:r>
      <w:r>
        <w:rPr>
          <w:i/>
          <w:sz w:val="24"/>
        </w:rPr>
        <w:t>of</w:t>
      </w:r>
      <w:r>
        <w:rPr>
          <w:i/>
          <w:spacing w:val="80"/>
          <w:sz w:val="24"/>
        </w:rPr>
        <w:t> </w:t>
      </w:r>
      <w:r>
        <w:rPr>
          <w:i/>
          <w:sz w:val="24"/>
        </w:rPr>
        <w:t>Sex Research, 23</w:t>
      </w:r>
      <w:r>
        <w:rPr>
          <w:sz w:val="24"/>
        </w:rPr>
        <w:t>(4), 502–526.</w:t>
      </w:r>
    </w:p>
    <w:p>
      <w:pPr>
        <w:spacing w:after="0" w:line="360" w:lineRule="auto"/>
        <w:jc w:val="left"/>
        <w:rPr>
          <w:sz w:val="24"/>
        </w:rPr>
        <w:sectPr>
          <w:pgSz w:w="11920" w:h="16840"/>
          <w:pgMar w:top="1380" w:bottom="280" w:left="1417" w:right="992"/>
        </w:sectPr>
      </w:pPr>
    </w:p>
    <w:p>
      <w:pPr>
        <w:pStyle w:val="BodyText"/>
        <w:spacing w:line="360" w:lineRule="auto" w:before="60"/>
        <w:ind w:left="593" w:right="460" w:hanging="570"/>
      </w:pPr>
      <w:r>
        <w:rPr/>
        <w:t>Holmqvist Gattario, K., Hallén, H., Skoog, T., Thornberg, R., &amp; Lunde, C. (2026). Study protocol for EthnoPRISE: an ethnographic study of peer sexual harassment in </w:t>
      </w:r>
      <w:r>
        <w:rPr/>
        <w:t>school.</w:t>
      </w:r>
      <w:r>
        <w:rPr>
          <w:spacing w:val="40"/>
        </w:rPr>
        <w:t> </w:t>
      </w:r>
      <w:r>
        <w:rPr>
          <w:i/>
        </w:rPr>
        <w:t>BMC Psychology</w:t>
      </w:r>
      <w:r>
        <w:rPr/>
        <w:t>. </w:t>
      </w:r>
      <w:hyperlink r:id="rId74">
        <w:r>
          <w:rPr>
            <w:color w:val="1154CC"/>
            <w:u w:val="thick" w:color="1154CC"/>
          </w:rPr>
          <w:t>https://doi.org/10.1186/s40359-026-04361-4</w:t>
        </w:r>
      </w:hyperlink>
    </w:p>
    <w:p>
      <w:pPr>
        <w:pStyle w:val="BodyText"/>
        <w:spacing w:before="137"/>
      </w:pPr>
    </w:p>
    <w:p>
      <w:pPr>
        <w:pStyle w:val="BodyText"/>
        <w:spacing w:line="360" w:lineRule="auto" w:before="1"/>
        <w:ind w:left="593" w:right="461" w:hanging="570"/>
        <w:jc w:val="both"/>
      </w:pPr>
      <w:r>
        <w:rPr/>
        <w:t>Mapayi, B. M., Ibigbami,</w:t>
      </w:r>
      <w:r>
        <w:rPr>
          <w:spacing w:val="-3"/>
        </w:rPr>
        <w:t> </w:t>
      </w:r>
      <w:r>
        <w:rPr/>
        <w:t>O.,</w:t>
      </w:r>
      <w:r>
        <w:rPr>
          <w:spacing w:val="-3"/>
        </w:rPr>
        <w:t> </w:t>
      </w:r>
      <w:r>
        <w:rPr/>
        <w:t>Akinsulore,</w:t>
      </w:r>
      <w:r>
        <w:rPr>
          <w:spacing w:val="-3"/>
        </w:rPr>
        <w:t> </w:t>
      </w:r>
      <w:r>
        <w:rPr/>
        <w:t>A.,</w:t>
      </w:r>
      <w:r>
        <w:rPr>
          <w:spacing w:val="-3"/>
        </w:rPr>
        <w:t> </w:t>
      </w:r>
      <w:r>
        <w:rPr/>
        <w:t>Akanji,</w:t>
      </w:r>
      <w:r>
        <w:rPr>
          <w:spacing w:val="-3"/>
        </w:rPr>
        <w:t> </w:t>
      </w:r>
      <w:r>
        <w:rPr/>
        <w:t>M.,</w:t>
      </w:r>
      <w:r>
        <w:rPr>
          <w:spacing w:val="-3"/>
        </w:rPr>
        <w:t> </w:t>
      </w:r>
      <w:r>
        <w:rPr/>
        <w:t>Opara,</w:t>
      </w:r>
      <w:r>
        <w:rPr>
          <w:spacing w:val="-3"/>
        </w:rPr>
        <w:t> </w:t>
      </w:r>
      <w:r>
        <w:rPr/>
        <w:t>O.,</w:t>
      </w:r>
      <w:r>
        <w:rPr>
          <w:spacing w:val="-3"/>
        </w:rPr>
        <w:t> </w:t>
      </w:r>
      <w:r>
        <w:rPr/>
        <w:t>Olukokun,</w:t>
      </w:r>
      <w:r>
        <w:rPr>
          <w:spacing w:val="-3"/>
        </w:rPr>
        <w:t> </w:t>
      </w:r>
      <w:r>
        <w:rPr/>
        <w:t>K.</w:t>
      </w:r>
      <w:r>
        <w:rPr>
          <w:spacing w:val="-3"/>
        </w:rPr>
        <w:t> </w:t>
      </w:r>
      <w:r>
        <w:rPr/>
        <w:t>J.,</w:t>
      </w:r>
      <w:r>
        <w:rPr>
          <w:spacing w:val="-3"/>
        </w:rPr>
        <w:t> </w:t>
      </w:r>
      <w:r>
        <w:rPr/>
        <w:t>Agoke, O., Banjo, O., &amp; Foláyan, M. O. (2026). Sexual harassment against sexual minority students</w:t>
      </w:r>
      <w:r>
        <w:rPr>
          <w:spacing w:val="80"/>
        </w:rPr>
        <w:t> </w:t>
      </w:r>
      <w:r>
        <w:rPr/>
        <w:t>in a university in Nigeria. </w:t>
      </w:r>
      <w:r>
        <w:rPr>
          <w:i/>
        </w:rPr>
        <w:t>Discover Psychology</w:t>
      </w:r>
      <w:r>
        <w:rPr/>
        <w:t>, </w:t>
      </w:r>
      <w:r>
        <w:rPr>
          <w:i/>
        </w:rPr>
        <w:t>6</w:t>
      </w:r>
      <w:r>
        <w:rPr/>
        <w:t>(1).</w:t>
      </w:r>
    </w:p>
    <w:p>
      <w:pPr>
        <w:pStyle w:val="BodyText"/>
        <w:ind w:left="803"/>
      </w:pPr>
      <w:hyperlink r:id="rId75">
        <w:r>
          <w:rPr>
            <w:color w:val="1154CC"/>
            <w:spacing w:val="-2"/>
            <w:u w:val="thick" w:color="1154CC"/>
          </w:rPr>
          <w:t>https://doi.org/10.1007/s44202-026-00606-</w:t>
        </w:r>
        <w:r>
          <w:rPr>
            <w:color w:val="1154CC"/>
            <w:spacing w:val="-10"/>
            <w:u w:val="thick" w:color="1154CC"/>
          </w:rPr>
          <w:t>w</w:t>
        </w:r>
      </w:hyperlink>
    </w:p>
    <w:p>
      <w:pPr>
        <w:pStyle w:val="BodyText"/>
      </w:pPr>
    </w:p>
    <w:p>
      <w:pPr>
        <w:pStyle w:val="BodyText"/>
      </w:pPr>
    </w:p>
    <w:p>
      <w:pPr>
        <w:pStyle w:val="BodyText"/>
        <w:spacing w:line="360" w:lineRule="auto"/>
        <w:ind w:left="593" w:right="463" w:hanging="570"/>
        <w:jc w:val="both"/>
      </w:pPr>
      <w:r>
        <w:rPr/>
        <w:t>Mohd, Jamil, I. N., Nur, &amp; Mohd, H. (2022). Sexual Harassment in Malaysian </w:t>
      </w:r>
      <w:r>
        <w:rPr/>
        <w:t>Educational Institution – A</w:t>
      </w:r>
      <w:r>
        <w:rPr>
          <w:spacing w:val="-3"/>
        </w:rPr>
        <w:t> </w:t>
      </w:r>
      <w:r>
        <w:rPr/>
        <w:t>review</w:t>
      </w:r>
      <w:r>
        <w:rPr>
          <w:spacing w:val="-3"/>
        </w:rPr>
        <w:t> </w:t>
      </w:r>
      <w:r>
        <w:rPr/>
        <w:t>of</w:t>
      </w:r>
      <w:r>
        <w:rPr>
          <w:spacing w:val="-3"/>
        </w:rPr>
        <w:t> </w:t>
      </w:r>
      <w:r>
        <w:rPr/>
        <w:t>Its</w:t>
      </w:r>
      <w:r>
        <w:rPr>
          <w:spacing w:val="-3"/>
        </w:rPr>
        <w:t> </w:t>
      </w:r>
      <w:r>
        <w:rPr/>
        <w:t>Factors</w:t>
      </w:r>
      <w:r>
        <w:rPr>
          <w:spacing w:val="-3"/>
        </w:rPr>
        <w:t> </w:t>
      </w:r>
      <w:r>
        <w:rPr/>
        <w:t>and</w:t>
      </w:r>
      <w:r>
        <w:rPr>
          <w:spacing w:val="-3"/>
        </w:rPr>
        <w:t> </w:t>
      </w:r>
      <w:r>
        <w:rPr/>
        <w:t>Effects.</w:t>
      </w:r>
      <w:r>
        <w:rPr>
          <w:spacing w:val="-3"/>
        </w:rPr>
        <w:t> </w:t>
      </w:r>
      <w:r>
        <w:rPr/>
        <w:t>Asian</w:t>
      </w:r>
      <w:r>
        <w:rPr>
          <w:spacing w:val="-3"/>
        </w:rPr>
        <w:t> </w:t>
      </w:r>
      <w:r>
        <w:rPr/>
        <w:t>Journal</w:t>
      </w:r>
      <w:r>
        <w:rPr>
          <w:spacing w:val="-3"/>
        </w:rPr>
        <w:t> </w:t>
      </w:r>
      <w:r>
        <w:rPr/>
        <w:t>of</w:t>
      </w:r>
      <w:r>
        <w:rPr>
          <w:spacing w:val="-3"/>
        </w:rPr>
        <w:t> </w:t>
      </w:r>
      <w:r>
        <w:rPr/>
        <w:t>Civilizational</w:t>
      </w:r>
      <w:r>
        <w:rPr>
          <w:spacing w:val="-3"/>
        </w:rPr>
        <w:t> </w:t>
      </w:r>
      <w:r>
        <w:rPr/>
        <w:t>Studies (AJOCS), 4(3), 19–31. </w:t>
      </w:r>
      <w:hyperlink r:id="rId76">
        <w:r>
          <w:rPr>
            <w:color w:val="1154CC"/>
            <w:u w:val="thick" w:color="1154CC"/>
          </w:rPr>
          <w:t>https://www.ajocs.com/index.php/ajocs/article/view/157</w:t>
        </w:r>
      </w:hyperlink>
    </w:p>
    <w:p>
      <w:pPr>
        <w:pStyle w:val="BodyText"/>
        <w:spacing w:before="138"/>
      </w:pPr>
    </w:p>
    <w:p>
      <w:pPr>
        <w:pStyle w:val="BodyText"/>
        <w:spacing w:line="360" w:lineRule="auto"/>
        <w:ind w:left="593" w:right="544" w:hanging="570"/>
      </w:pPr>
      <w:r>
        <w:rPr/>
        <w:t>Muzaffar,</w:t>
      </w:r>
      <w:r>
        <w:rPr>
          <w:spacing w:val="-1"/>
        </w:rPr>
        <w:t> </w:t>
      </w:r>
      <w:r>
        <w:rPr/>
        <w:t>S.,</w:t>
      </w:r>
      <w:r>
        <w:rPr>
          <w:spacing w:val="-1"/>
        </w:rPr>
        <w:t> </w:t>
      </w:r>
      <w:r>
        <w:rPr/>
        <w:t>Mallow,</w:t>
      </w:r>
      <w:r>
        <w:rPr>
          <w:spacing w:val="-1"/>
        </w:rPr>
        <w:t> </w:t>
      </w:r>
      <w:r>
        <w:rPr/>
        <w:t>Malaysia,</w:t>
      </w:r>
      <w:r>
        <w:rPr>
          <w:spacing w:val="-1"/>
        </w:rPr>
        <w:t> </w:t>
      </w:r>
      <w:r>
        <w:rPr/>
        <w:t>I.,</w:t>
      </w:r>
      <w:r>
        <w:rPr>
          <w:spacing w:val="-1"/>
        </w:rPr>
        <w:t> </w:t>
      </w:r>
      <w:r>
        <w:rPr/>
        <w:t>Nilai,</w:t>
      </w:r>
      <w:r>
        <w:rPr>
          <w:spacing w:val="-1"/>
        </w:rPr>
        <w:t> </w:t>
      </w:r>
      <w:r>
        <w:rPr/>
        <w:t>B.,</w:t>
      </w:r>
      <w:r>
        <w:rPr>
          <w:spacing w:val="-1"/>
        </w:rPr>
        <w:t> </w:t>
      </w:r>
      <w:r>
        <w:rPr/>
        <w:t>Sembilan,</w:t>
      </w:r>
      <w:r>
        <w:rPr>
          <w:spacing w:val="-1"/>
        </w:rPr>
        <w:t> </w:t>
      </w:r>
      <w:r>
        <w:rPr/>
        <w:t>N.,</w:t>
      </w:r>
      <w:r>
        <w:rPr>
          <w:spacing w:val="-1"/>
        </w:rPr>
        <w:t> </w:t>
      </w:r>
      <w:r>
        <w:rPr/>
        <w:t>Khusus,</w:t>
      </w:r>
      <w:r>
        <w:rPr>
          <w:spacing w:val="-1"/>
        </w:rPr>
        <w:t> </w:t>
      </w:r>
      <w:r>
        <w:rPr/>
        <w:t>D.,</w:t>
      </w:r>
      <w:r>
        <w:rPr>
          <w:spacing w:val="-1"/>
        </w:rPr>
        <w:t> </w:t>
      </w:r>
      <w:r>
        <w:rPr/>
        <w:t>&amp;</w:t>
      </w:r>
      <w:r>
        <w:rPr>
          <w:spacing w:val="-1"/>
        </w:rPr>
        <w:t> </w:t>
      </w:r>
      <w:r>
        <w:rPr/>
        <w:t>Malaysia.</w:t>
      </w:r>
      <w:r>
        <w:rPr>
          <w:spacing w:val="-1"/>
        </w:rPr>
        <w:t> </w:t>
      </w:r>
      <w:r>
        <w:rPr/>
        <w:t>(2022). Sexual</w:t>
      </w:r>
      <w:r>
        <w:rPr>
          <w:spacing w:val="-4"/>
        </w:rPr>
        <w:t> </w:t>
      </w:r>
      <w:r>
        <w:rPr/>
        <w:t>harassment</w:t>
      </w:r>
      <w:r>
        <w:rPr>
          <w:spacing w:val="-4"/>
        </w:rPr>
        <w:t> </w:t>
      </w:r>
      <w:r>
        <w:rPr/>
        <w:t>in</w:t>
      </w:r>
      <w:r>
        <w:rPr>
          <w:spacing w:val="-4"/>
        </w:rPr>
        <w:t> </w:t>
      </w:r>
      <w:r>
        <w:rPr/>
        <w:t>education:</w:t>
      </w:r>
      <w:r>
        <w:rPr>
          <w:spacing w:val="-4"/>
        </w:rPr>
        <w:t> </w:t>
      </w:r>
      <w:r>
        <w:rPr/>
        <w:t>Identifying</w:t>
      </w:r>
      <w:r>
        <w:rPr>
          <w:spacing w:val="-4"/>
        </w:rPr>
        <w:t> </w:t>
      </w:r>
      <w:r>
        <w:rPr/>
        <w:t>the</w:t>
      </w:r>
      <w:r>
        <w:rPr>
          <w:spacing w:val="-4"/>
        </w:rPr>
        <w:t> </w:t>
      </w:r>
      <w:r>
        <w:rPr/>
        <w:t>issue</w:t>
      </w:r>
      <w:r>
        <w:rPr>
          <w:spacing w:val="-4"/>
        </w:rPr>
        <w:t> </w:t>
      </w:r>
      <w:r>
        <w:rPr/>
        <w:t>and</w:t>
      </w:r>
      <w:r>
        <w:rPr>
          <w:spacing w:val="-4"/>
        </w:rPr>
        <w:t> </w:t>
      </w:r>
      <w:r>
        <w:rPr/>
        <w:t>finding</w:t>
      </w:r>
      <w:r>
        <w:rPr>
          <w:spacing w:val="-4"/>
        </w:rPr>
        <w:t> </w:t>
      </w:r>
      <w:r>
        <w:rPr/>
        <w:t>the</w:t>
      </w:r>
      <w:r>
        <w:rPr>
          <w:spacing w:val="-4"/>
        </w:rPr>
        <w:t> </w:t>
      </w:r>
      <w:r>
        <w:rPr/>
        <w:t>possible</w:t>
      </w:r>
      <w:r>
        <w:rPr>
          <w:spacing w:val="-4"/>
        </w:rPr>
        <w:t> </w:t>
      </w:r>
      <w:r>
        <w:rPr/>
        <w:t>solution. </w:t>
      </w:r>
      <w:hyperlink r:id="rId77">
        <w:r>
          <w:rPr>
            <w:color w:val="1154CC"/>
            <w:spacing w:val="-2"/>
            <w:u w:val="thick" w:color="1154CC"/>
          </w:rPr>
          <w:t>https://www.ocerints.org/intcess22_e-publication/papers/Muzaffar%20Syah%20Mallo</w:t>
        </w:r>
      </w:hyperlink>
      <w:r>
        <w:rPr>
          <w:color w:val="1154CC"/>
          <w:spacing w:val="-2"/>
        </w:rPr>
        <w:t> </w:t>
      </w:r>
      <w:hyperlink r:id="rId77">
        <w:r>
          <w:rPr>
            <w:color w:val="1154CC"/>
            <w:spacing w:val="-2"/>
            <w:u w:val="thick" w:color="1154CC"/>
          </w:rPr>
          <w:t>w.pdf</w:t>
        </w:r>
      </w:hyperlink>
    </w:p>
    <w:p>
      <w:pPr>
        <w:pStyle w:val="BodyText"/>
        <w:spacing w:line="360" w:lineRule="auto"/>
        <w:ind w:left="593" w:right="467" w:hanging="570"/>
        <w:jc w:val="both"/>
      </w:pPr>
      <w:r>
        <w:rPr/>
        <w:t>Sharma, T., Aryal, B., Gyawali, K., &amp; Pandit, S. (2025). How Social Learning </w:t>
      </w:r>
      <w:r>
        <w:rPr/>
        <w:t>Theory Explains the Persistence</w:t>
      </w:r>
      <w:r>
        <w:rPr>
          <w:spacing w:val="-3"/>
        </w:rPr>
        <w:t> </w:t>
      </w:r>
      <w:r>
        <w:rPr/>
        <w:t>of</w:t>
      </w:r>
      <w:r>
        <w:rPr>
          <w:spacing w:val="-3"/>
        </w:rPr>
        <w:t> </w:t>
      </w:r>
      <w:r>
        <w:rPr/>
        <w:t>Sexual</w:t>
      </w:r>
      <w:r>
        <w:rPr>
          <w:spacing w:val="-3"/>
        </w:rPr>
        <w:t> </w:t>
      </w:r>
      <w:r>
        <w:rPr/>
        <w:t>Harassment.</w:t>
      </w:r>
      <w:r>
        <w:rPr>
          <w:spacing w:val="-3"/>
        </w:rPr>
        <w:t> </w:t>
      </w:r>
      <w:r>
        <w:rPr>
          <w:i/>
        </w:rPr>
        <w:t>Shiksha</w:t>
      </w:r>
      <w:r>
        <w:rPr>
          <w:i/>
          <w:spacing w:val="-3"/>
        </w:rPr>
        <w:t> </w:t>
      </w:r>
      <w:r>
        <w:rPr>
          <w:i/>
        </w:rPr>
        <w:t>Shastra</w:t>
      </w:r>
      <w:r>
        <w:rPr>
          <w:i/>
          <w:spacing w:val="-3"/>
        </w:rPr>
        <w:t> </w:t>
      </w:r>
      <w:r>
        <w:rPr>
          <w:i/>
        </w:rPr>
        <w:t>Saurabh</w:t>
      </w:r>
      <w:r>
        <w:rPr/>
        <w:t>,</w:t>
      </w:r>
      <w:r>
        <w:rPr>
          <w:spacing w:val="-3"/>
        </w:rPr>
        <w:t> </w:t>
      </w:r>
      <w:r>
        <w:rPr>
          <w:i/>
        </w:rPr>
        <w:t>25</w:t>
      </w:r>
      <w:r>
        <w:rPr/>
        <w:t>,</w:t>
      </w:r>
      <w:r>
        <w:rPr>
          <w:spacing w:val="-3"/>
        </w:rPr>
        <w:t> </w:t>
      </w:r>
      <w:r>
        <w:rPr/>
        <w:t>128–141. </w:t>
      </w:r>
      <w:hyperlink r:id="rId78">
        <w:r>
          <w:rPr>
            <w:color w:val="1154CC"/>
            <w:spacing w:val="-2"/>
            <w:u w:val="thick" w:color="1154CC"/>
          </w:rPr>
          <w:t>https://doi.org/10.3126/sss.v25i1.90506</w:t>
        </w:r>
      </w:hyperlink>
    </w:p>
    <w:p>
      <w:pPr>
        <w:pStyle w:val="BodyText"/>
        <w:spacing w:before="137"/>
      </w:pPr>
    </w:p>
    <w:p>
      <w:pPr>
        <w:pStyle w:val="BodyText"/>
        <w:spacing w:line="360" w:lineRule="auto" w:before="1"/>
        <w:ind w:left="593" w:right="465" w:hanging="570"/>
        <w:jc w:val="both"/>
      </w:pPr>
      <w:r>
        <w:rPr/>
        <w:t>Zara, G., Oriana Binik, Ginocchio, D., Merzagora, I.,</w:t>
      </w:r>
      <w:r>
        <w:rPr>
          <w:spacing w:val="-4"/>
        </w:rPr>
        <w:t> </w:t>
      </w:r>
      <w:r>
        <w:rPr/>
        <w:t>Giannini,</w:t>
      </w:r>
      <w:r>
        <w:rPr>
          <w:spacing w:val="-4"/>
        </w:rPr>
        <w:t> </w:t>
      </w:r>
      <w:r>
        <w:rPr/>
        <w:t>A.,</w:t>
      </w:r>
      <w:r>
        <w:rPr>
          <w:spacing w:val="-4"/>
        </w:rPr>
        <w:t> </w:t>
      </w:r>
      <w:r>
        <w:rPr/>
        <w:t>Addabbo,</w:t>
      </w:r>
      <w:r>
        <w:rPr>
          <w:spacing w:val="-4"/>
        </w:rPr>
        <w:t> </w:t>
      </w:r>
      <w:r>
        <w:rPr/>
        <w:t>T.,</w:t>
      </w:r>
      <w:r>
        <w:rPr>
          <w:spacing w:val="-4"/>
        </w:rPr>
        <w:t> </w:t>
      </w:r>
      <w:r>
        <w:rPr/>
        <w:t>Castelli,</w:t>
      </w:r>
      <w:r>
        <w:rPr>
          <w:spacing w:val="-4"/>
        </w:rPr>
        <w:t> </w:t>
      </w:r>
      <w:r>
        <w:rPr/>
        <w:t>L., Criscenti, C., Ferrari, S., Marialaura Di Tella, Franco Freilone, Giulia Lausi, Rossetto, I., Veggi, S., &amp; Laura, G. (2024). Looking for a preventive approach to sexual harassment in academia. A systematic review. </w:t>
      </w:r>
      <w:r>
        <w:rPr>
          <w:i/>
        </w:rPr>
        <w:t>European Journal on Criminal Policy and Research</w:t>
      </w:r>
      <w:r>
        <w:rPr/>
        <w:t>. </w:t>
      </w:r>
      <w:hyperlink r:id="rId79">
        <w:r>
          <w:rPr>
            <w:color w:val="1154CC"/>
            <w:u w:val="thick" w:color="1154CC"/>
          </w:rPr>
          <w:t>https://doi.org/10.1007/s10610-024-09582-0</w:t>
        </w:r>
      </w:hyperlink>
    </w:p>
    <w:sectPr>
      <w:pgSz w:w="11920" w:h="16840"/>
      <w:pgMar w:top="1380" w:bottom="280" w:left="1417"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8"/>
      <w:numFmt w:val="decimal"/>
      <w:lvlText w:val="%1.0"/>
      <w:lvlJc w:val="left"/>
      <w:pPr>
        <w:ind w:left="383"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93" w:hanging="360"/>
      </w:pPr>
      <w:rPr>
        <w:rFonts w:hint="default"/>
        <w:lang w:val="en-US" w:eastAsia="en-US" w:bidi="ar-SA"/>
      </w:rPr>
    </w:lvl>
    <w:lvl w:ilvl="2">
      <w:start w:val="0"/>
      <w:numFmt w:val="bullet"/>
      <w:lvlText w:val="•"/>
      <w:lvlJc w:val="left"/>
      <w:pPr>
        <w:ind w:left="2206" w:hanging="360"/>
      </w:pPr>
      <w:rPr>
        <w:rFonts w:hint="default"/>
        <w:lang w:val="en-US" w:eastAsia="en-US" w:bidi="ar-SA"/>
      </w:rPr>
    </w:lvl>
    <w:lvl w:ilvl="3">
      <w:start w:val="0"/>
      <w:numFmt w:val="bullet"/>
      <w:lvlText w:val="•"/>
      <w:lvlJc w:val="left"/>
      <w:pPr>
        <w:ind w:left="3119" w:hanging="360"/>
      </w:pPr>
      <w:rPr>
        <w:rFonts w:hint="default"/>
        <w:lang w:val="en-US" w:eastAsia="en-US" w:bidi="ar-SA"/>
      </w:rPr>
    </w:lvl>
    <w:lvl w:ilvl="4">
      <w:start w:val="0"/>
      <w:numFmt w:val="bullet"/>
      <w:lvlText w:val="•"/>
      <w:lvlJc w:val="left"/>
      <w:pPr>
        <w:ind w:left="4032" w:hanging="360"/>
      </w:pPr>
      <w:rPr>
        <w:rFonts w:hint="default"/>
        <w:lang w:val="en-US" w:eastAsia="en-US" w:bidi="ar-SA"/>
      </w:rPr>
    </w:lvl>
    <w:lvl w:ilvl="5">
      <w:start w:val="0"/>
      <w:numFmt w:val="bullet"/>
      <w:lvlText w:val="•"/>
      <w:lvlJc w:val="left"/>
      <w:pPr>
        <w:ind w:left="4945" w:hanging="360"/>
      </w:pPr>
      <w:rPr>
        <w:rFonts w:hint="default"/>
        <w:lang w:val="en-US" w:eastAsia="en-US" w:bidi="ar-SA"/>
      </w:rPr>
    </w:lvl>
    <w:lvl w:ilvl="6">
      <w:start w:val="0"/>
      <w:numFmt w:val="bullet"/>
      <w:lvlText w:val="•"/>
      <w:lvlJc w:val="left"/>
      <w:pPr>
        <w:ind w:left="5858" w:hanging="360"/>
      </w:pPr>
      <w:rPr>
        <w:rFonts w:hint="default"/>
        <w:lang w:val="en-US" w:eastAsia="en-US" w:bidi="ar-SA"/>
      </w:rPr>
    </w:lvl>
    <w:lvl w:ilvl="7">
      <w:start w:val="0"/>
      <w:numFmt w:val="bullet"/>
      <w:lvlText w:val="•"/>
      <w:lvlJc w:val="left"/>
      <w:pPr>
        <w:ind w:left="6771" w:hanging="360"/>
      </w:pPr>
      <w:rPr>
        <w:rFonts w:hint="default"/>
        <w:lang w:val="en-US" w:eastAsia="en-US" w:bidi="ar-SA"/>
      </w:rPr>
    </w:lvl>
    <w:lvl w:ilvl="8">
      <w:start w:val="0"/>
      <w:numFmt w:val="bullet"/>
      <w:lvlText w:val="•"/>
      <w:lvlJc w:val="left"/>
      <w:pPr>
        <w:ind w:left="7684" w:hanging="360"/>
      </w:pPr>
      <w:rPr>
        <w:rFonts w:hint="default"/>
        <w:lang w:val="en-US" w:eastAsia="en-US" w:bidi="ar-SA"/>
      </w:rPr>
    </w:lvl>
  </w:abstractNum>
  <w:abstractNum w:abstractNumId="7">
    <w:multiLevelType w:val="hybridMultilevel"/>
    <w:lvl w:ilvl="0">
      <w:start w:val="7"/>
      <w:numFmt w:val="decimal"/>
      <w:lvlText w:val="%1"/>
      <w:lvlJc w:val="left"/>
      <w:pPr>
        <w:ind w:left="3982" w:hanging="360"/>
        <w:jc w:val="left"/>
      </w:pPr>
      <w:rPr>
        <w:rFonts w:hint="default"/>
        <w:lang w:val="en-US" w:eastAsia="en-US" w:bidi="ar-SA"/>
      </w:rPr>
    </w:lvl>
    <w:lvl w:ilvl="1">
      <w:start w:val="0"/>
      <w:numFmt w:val="decimal"/>
      <w:lvlText w:val="%1.%2"/>
      <w:lvlJc w:val="left"/>
      <w:pPr>
        <w:ind w:left="3982"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563"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5209" w:hanging="540"/>
      </w:pPr>
      <w:rPr>
        <w:rFonts w:hint="default"/>
        <w:lang w:val="en-US" w:eastAsia="en-US" w:bidi="ar-SA"/>
      </w:rPr>
    </w:lvl>
    <w:lvl w:ilvl="4">
      <w:start w:val="0"/>
      <w:numFmt w:val="bullet"/>
      <w:lvlText w:val="•"/>
      <w:lvlJc w:val="left"/>
      <w:pPr>
        <w:ind w:left="5823" w:hanging="540"/>
      </w:pPr>
      <w:rPr>
        <w:rFonts w:hint="default"/>
        <w:lang w:val="en-US" w:eastAsia="en-US" w:bidi="ar-SA"/>
      </w:rPr>
    </w:lvl>
    <w:lvl w:ilvl="5">
      <w:start w:val="0"/>
      <w:numFmt w:val="bullet"/>
      <w:lvlText w:val="•"/>
      <w:lvlJc w:val="left"/>
      <w:pPr>
        <w:ind w:left="6438" w:hanging="540"/>
      </w:pPr>
      <w:rPr>
        <w:rFonts w:hint="default"/>
        <w:lang w:val="en-US" w:eastAsia="en-US" w:bidi="ar-SA"/>
      </w:rPr>
    </w:lvl>
    <w:lvl w:ilvl="6">
      <w:start w:val="0"/>
      <w:numFmt w:val="bullet"/>
      <w:lvlText w:val="•"/>
      <w:lvlJc w:val="left"/>
      <w:pPr>
        <w:ind w:left="7052" w:hanging="540"/>
      </w:pPr>
      <w:rPr>
        <w:rFonts w:hint="default"/>
        <w:lang w:val="en-US" w:eastAsia="en-US" w:bidi="ar-SA"/>
      </w:rPr>
    </w:lvl>
    <w:lvl w:ilvl="7">
      <w:start w:val="0"/>
      <w:numFmt w:val="bullet"/>
      <w:lvlText w:val="•"/>
      <w:lvlJc w:val="left"/>
      <w:pPr>
        <w:ind w:left="7667" w:hanging="540"/>
      </w:pPr>
      <w:rPr>
        <w:rFonts w:hint="default"/>
        <w:lang w:val="en-US" w:eastAsia="en-US" w:bidi="ar-SA"/>
      </w:rPr>
    </w:lvl>
    <w:lvl w:ilvl="8">
      <w:start w:val="0"/>
      <w:numFmt w:val="bullet"/>
      <w:lvlText w:val="•"/>
      <w:lvlJc w:val="left"/>
      <w:pPr>
        <w:ind w:left="8281" w:hanging="540"/>
      </w:pPr>
      <w:rPr>
        <w:rFonts w:hint="default"/>
        <w:lang w:val="en-US" w:eastAsia="en-US" w:bidi="ar-SA"/>
      </w:rPr>
    </w:lvl>
  </w:abstractNum>
  <w:abstractNum w:abstractNumId="6">
    <w:multiLevelType w:val="hybridMultilevel"/>
    <w:lvl w:ilvl="0">
      <w:start w:val="0"/>
      <w:numFmt w:val="bullet"/>
      <w:lvlText w:val="●"/>
      <w:lvlJc w:val="left"/>
      <w:pPr>
        <w:ind w:left="360" w:hanging="360"/>
      </w:pPr>
      <w:rPr>
        <w:rFonts w:hint="default" w:ascii="Microsoft Sans Serif" w:hAnsi="Microsoft Sans Serif" w:eastAsia="Microsoft Sans Serif" w:cs="Microsoft Sans Serif"/>
        <w:b w:val="0"/>
        <w:bCs w:val="0"/>
        <w:i w:val="0"/>
        <w:iCs w:val="0"/>
        <w:spacing w:val="0"/>
        <w:w w:val="100"/>
        <w:sz w:val="24"/>
        <w:szCs w:val="24"/>
        <w:lang w:val="en-US" w:eastAsia="en-US" w:bidi="ar-SA"/>
      </w:rPr>
    </w:lvl>
    <w:lvl w:ilvl="1">
      <w:start w:val="0"/>
      <w:numFmt w:val="bullet"/>
      <w:lvlText w:val="•"/>
      <w:lvlJc w:val="left"/>
      <w:pPr>
        <w:ind w:left="1192" w:hanging="360"/>
      </w:pPr>
      <w:rPr>
        <w:rFonts w:hint="default"/>
        <w:lang w:val="en-US" w:eastAsia="en-US" w:bidi="ar-SA"/>
      </w:rPr>
    </w:lvl>
    <w:lvl w:ilvl="2">
      <w:start w:val="0"/>
      <w:numFmt w:val="bullet"/>
      <w:lvlText w:val="•"/>
      <w:lvlJc w:val="left"/>
      <w:pPr>
        <w:ind w:left="2024" w:hanging="360"/>
      </w:pPr>
      <w:rPr>
        <w:rFonts w:hint="default"/>
        <w:lang w:val="en-US" w:eastAsia="en-US" w:bidi="ar-SA"/>
      </w:rPr>
    </w:lvl>
    <w:lvl w:ilvl="3">
      <w:start w:val="0"/>
      <w:numFmt w:val="bullet"/>
      <w:lvlText w:val="•"/>
      <w:lvlJc w:val="left"/>
      <w:pPr>
        <w:ind w:left="2856" w:hanging="360"/>
      </w:pPr>
      <w:rPr>
        <w:rFonts w:hint="default"/>
        <w:lang w:val="en-US" w:eastAsia="en-US" w:bidi="ar-SA"/>
      </w:rPr>
    </w:lvl>
    <w:lvl w:ilvl="4">
      <w:start w:val="0"/>
      <w:numFmt w:val="bullet"/>
      <w:lvlText w:val="•"/>
      <w:lvlJc w:val="left"/>
      <w:pPr>
        <w:ind w:left="3688" w:hanging="360"/>
      </w:pPr>
      <w:rPr>
        <w:rFonts w:hint="default"/>
        <w:lang w:val="en-US" w:eastAsia="en-US" w:bidi="ar-SA"/>
      </w:rPr>
    </w:lvl>
    <w:lvl w:ilvl="5">
      <w:start w:val="0"/>
      <w:numFmt w:val="bullet"/>
      <w:lvlText w:val="•"/>
      <w:lvlJc w:val="left"/>
      <w:pPr>
        <w:ind w:left="4520" w:hanging="360"/>
      </w:pPr>
      <w:rPr>
        <w:rFonts w:hint="default"/>
        <w:lang w:val="en-US" w:eastAsia="en-US" w:bidi="ar-SA"/>
      </w:rPr>
    </w:lvl>
    <w:lvl w:ilvl="6">
      <w:start w:val="0"/>
      <w:numFmt w:val="bullet"/>
      <w:lvlText w:val="•"/>
      <w:lvlJc w:val="left"/>
      <w:pPr>
        <w:ind w:left="5352" w:hanging="360"/>
      </w:pPr>
      <w:rPr>
        <w:rFonts w:hint="default"/>
        <w:lang w:val="en-US" w:eastAsia="en-US" w:bidi="ar-SA"/>
      </w:rPr>
    </w:lvl>
    <w:lvl w:ilvl="7">
      <w:start w:val="0"/>
      <w:numFmt w:val="bullet"/>
      <w:lvlText w:val="•"/>
      <w:lvlJc w:val="left"/>
      <w:pPr>
        <w:ind w:left="6184" w:hanging="360"/>
      </w:pPr>
      <w:rPr>
        <w:rFonts w:hint="default"/>
        <w:lang w:val="en-US" w:eastAsia="en-US" w:bidi="ar-SA"/>
      </w:rPr>
    </w:lvl>
    <w:lvl w:ilvl="8">
      <w:start w:val="0"/>
      <w:numFmt w:val="bullet"/>
      <w:lvlText w:val="•"/>
      <w:lvlJc w:val="left"/>
      <w:pPr>
        <w:ind w:left="7016" w:hanging="360"/>
      </w:pPr>
      <w:rPr>
        <w:rFonts w:hint="default"/>
        <w:lang w:val="en-US" w:eastAsia="en-US" w:bidi="ar-SA"/>
      </w:rPr>
    </w:lvl>
  </w:abstractNum>
  <w:abstractNum w:abstractNumId="5">
    <w:multiLevelType w:val="hybridMultilevel"/>
    <w:lvl w:ilvl="0">
      <w:start w:val="0"/>
      <w:numFmt w:val="bullet"/>
      <w:lvlText w:val="●"/>
      <w:lvlJc w:val="left"/>
      <w:pPr>
        <w:ind w:left="360" w:hanging="360"/>
      </w:pPr>
      <w:rPr>
        <w:rFonts w:hint="default" w:ascii="Microsoft Sans Serif" w:hAnsi="Microsoft Sans Serif" w:eastAsia="Microsoft Sans Serif" w:cs="Microsoft Sans Serif"/>
        <w:b w:val="0"/>
        <w:bCs w:val="0"/>
        <w:i w:val="0"/>
        <w:iCs w:val="0"/>
        <w:spacing w:val="0"/>
        <w:w w:val="100"/>
        <w:sz w:val="24"/>
        <w:szCs w:val="24"/>
        <w:lang w:val="en-US" w:eastAsia="en-US" w:bidi="ar-SA"/>
      </w:rPr>
    </w:lvl>
    <w:lvl w:ilvl="1">
      <w:start w:val="0"/>
      <w:numFmt w:val="bullet"/>
      <w:lvlText w:val="•"/>
      <w:lvlJc w:val="left"/>
      <w:pPr>
        <w:ind w:left="1192" w:hanging="360"/>
      </w:pPr>
      <w:rPr>
        <w:rFonts w:hint="default"/>
        <w:lang w:val="en-US" w:eastAsia="en-US" w:bidi="ar-SA"/>
      </w:rPr>
    </w:lvl>
    <w:lvl w:ilvl="2">
      <w:start w:val="0"/>
      <w:numFmt w:val="bullet"/>
      <w:lvlText w:val="•"/>
      <w:lvlJc w:val="left"/>
      <w:pPr>
        <w:ind w:left="2024" w:hanging="360"/>
      </w:pPr>
      <w:rPr>
        <w:rFonts w:hint="default"/>
        <w:lang w:val="en-US" w:eastAsia="en-US" w:bidi="ar-SA"/>
      </w:rPr>
    </w:lvl>
    <w:lvl w:ilvl="3">
      <w:start w:val="0"/>
      <w:numFmt w:val="bullet"/>
      <w:lvlText w:val="•"/>
      <w:lvlJc w:val="left"/>
      <w:pPr>
        <w:ind w:left="2856" w:hanging="360"/>
      </w:pPr>
      <w:rPr>
        <w:rFonts w:hint="default"/>
        <w:lang w:val="en-US" w:eastAsia="en-US" w:bidi="ar-SA"/>
      </w:rPr>
    </w:lvl>
    <w:lvl w:ilvl="4">
      <w:start w:val="0"/>
      <w:numFmt w:val="bullet"/>
      <w:lvlText w:val="•"/>
      <w:lvlJc w:val="left"/>
      <w:pPr>
        <w:ind w:left="3688" w:hanging="360"/>
      </w:pPr>
      <w:rPr>
        <w:rFonts w:hint="default"/>
        <w:lang w:val="en-US" w:eastAsia="en-US" w:bidi="ar-SA"/>
      </w:rPr>
    </w:lvl>
    <w:lvl w:ilvl="5">
      <w:start w:val="0"/>
      <w:numFmt w:val="bullet"/>
      <w:lvlText w:val="•"/>
      <w:lvlJc w:val="left"/>
      <w:pPr>
        <w:ind w:left="4520" w:hanging="360"/>
      </w:pPr>
      <w:rPr>
        <w:rFonts w:hint="default"/>
        <w:lang w:val="en-US" w:eastAsia="en-US" w:bidi="ar-SA"/>
      </w:rPr>
    </w:lvl>
    <w:lvl w:ilvl="6">
      <w:start w:val="0"/>
      <w:numFmt w:val="bullet"/>
      <w:lvlText w:val="•"/>
      <w:lvlJc w:val="left"/>
      <w:pPr>
        <w:ind w:left="5352" w:hanging="360"/>
      </w:pPr>
      <w:rPr>
        <w:rFonts w:hint="default"/>
        <w:lang w:val="en-US" w:eastAsia="en-US" w:bidi="ar-SA"/>
      </w:rPr>
    </w:lvl>
    <w:lvl w:ilvl="7">
      <w:start w:val="0"/>
      <w:numFmt w:val="bullet"/>
      <w:lvlText w:val="•"/>
      <w:lvlJc w:val="left"/>
      <w:pPr>
        <w:ind w:left="6184" w:hanging="360"/>
      </w:pPr>
      <w:rPr>
        <w:rFonts w:hint="default"/>
        <w:lang w:val="en-US" w:eastAsia="en-US" w:bidi="ar-SA"/>
      </w:rPr>
    </w:lvl>
    <w:lvl w:ilvl="8">
      <w:start w:val="0"/>
      <w:numFmt w:val="bullet"/>
      <w:lvlText w:val="•"/>
      <w:lvlJc w:val="left"/>
      <w:pPr>
        <w:ind w:left="7016" w:hanging="360"/>
      </w:pPr>
      <w:rPr>
        <w:rFonts w:hint="default"/>
        <w:lang w:val="en-US" w:eastAsia="en-US" w:bidi="ar-SA"/>
      </w:rPr>
    </w:lvl>
  </w:abstractNum>
  <w:abstractNum w:abstractNumId="4">
    <w:multiLevelType w:val="hybridMultilevel"/>
    <w:lvl w:ilvl="0">
      <w:start w:val="1"/>
      <w:numFmt w:val="decimal"/>
      <w:lvlText w:val="%1."/>
      <w:lvlJc w:val="left"/>
      <w:pPr>
        <w:ind w:left="263" w:hanging="240"/>
        <w:jc w:val="left"/>
      </w:pPr>
      <w:rPr>
        <w:rFonts w:hint="default"/>
        <w:spacing w:val="0"/>
        <w:w w:val="100"/>
        <w:lang w:val="en-US" w:eastAsia="en-US" w:bidi="ar-SA"/>
      </w:rPr>
    </w:lvl>
    <w:lvl w:ilvl="1">
      <w:start w:val="0"/>
      <w:numFmt w:val="bullet"/>
      <w:lvlText w:val="•"/>
      <w:lvlJc w:val="left"/>
      <w:pPr>
        <w:ind w:left="1185" w:hanging="240"/>
      </w:pPr>
      <w:rPr>
        <w:rFonts w:hint="default"/>
        <w:lang w:val="en-US" w:eastAsia="en-US" w:bidi="ar-SA"/>
      </w:rPr>
    </w:lvl>
    <w:lvl w:ilvl="2">
      <w:start w:val="0"/>
      <w:numFmt w:val="bullet"/>
      <w:lvlText w:val="•"/>
      <w:lvlJc w:val="left"/>
      <w:pPr>
        <w:ind w:left="2110" w:hanging="240"/>
      </w:pPr>
      <w:rPr>
        <w:rFonts w:hint="default"/>
        <w:lang w:val="en-US" w:eastAsia="en-US" w:bidi="ar-SA"/>
      </w:rPr>
    </w:lvl>
    <w:lvl w:ilvl="3">
      <w:start w:val="0"/>
      <w:numFmt w:val="bullet"/>
      <w:lvlText w:val="•"/>
      <w:lvlJc w:val="left"/>
      <w:pPr>
        <w:ind w:left="3035"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85" w:hanging="240"/>
      </w:pPr>
      <w:rPr>
        <w:rFonts w:hint="default"/>
        <w:lang w:val="en-US" w:eastAsia="en-US" w:bidi="ar-SA"/>
      </w:rPr>
    </w:lvl>
    <w:lvl w:ilvl="6">
      <w:start w:val="0"/>
      <w:numFmt w:val="bullet"/>
      <w:lvlText w:val="•"/>
      <w:lvlJc w:val="left"/>
      <w:pPr>
        <w:ind w:left="5810" w:hanging="240"/>
      </w:pPr>
      <w:rPr>
        <w:rFonts w:hint="default"/>
        <w:lang w:val="en-US" w:eastAsia="en-US" w:bidi="ar-SA"/>
      </w:rPr>
    </w:lvl>
    <w:lvl w:ilvl="7">
      <w:start w:val="0"/>
      <w:numFmt w:val="bullet"/>
      <w:lvlText w:val="•"/>
      <w:lvlJc w:val="left"/>
      <w:pPr>
        <w:ind w:left="6735" w:hanging="240"/>
      </w:pPr>
      <w:rPr>
        <w:rFonts w:hint="default"/>
        <w:lang w:val="en-US" w:eastAsia="en-US" w:bidi="ar-SA"/>
      </w:rPr>
    </w:lvl>
    <w:lvl w:ilvl="8">
      <w:start w:val="0"/>
      <w:numFmt w:val="bullet"/>
      <w:lvlText w:val="•"/>
      <w:lvlJc w:val="left"/>
      <w:pPr>
        <w:ind w:left="7660" w:hanging="240"/>
      </w:pPr>
      <w:rPr>
        <w:rFonts w:hint="default"/>
        <w:lang w:val="en-US" w:eastAsia="en-US" w:bidi="ar-SA"/>
      </w:rPr>
    </w:lvl>
  </w:abstractNum>
  <w:abstractNum w:abstractNumId="3">
    <w:multiLevelType w:val="hybridMultilevel"/>
    <w:lvl w:ilvl="0">
      <w:start w:val="4"/>
      <w:numFmt w:val="decimal"/>
      <w:lvlText w:val="%1"/>
      <w:lvlJc w:val="left"/>
      <w:pPr>
        <w:ind w:left="412" w:hanging="390"/>
        <w:jc w:val="left"/>
      </w:pPr>
      <w:rPr>
        <w:rFonts w:hint="default"/>
        <w:lang w:val="en-US" w:eastAsia="en-US" w:bidi="ar-SA"/>
      </w:rPr>
    </w:lvl>
    <w:lvl w:ilvl="1">
      <w:start w:val="1"/>
      <w:numFmt w:val="decimal"/>
      <w:lvlText w:val="%1.%2"/>
      <w:lvlJc w:val="left"/>
      <w:pPr>
        <w:ind w:left="412" w:hanging="390"/>
        <w:jc w:val="left"/>
      </w:pPr>
      <w:rPr>
        <w:rFonts w:hint="default" w:ascii="Times New Roman" w:hAnsi="Times New Roman" w:eastAsia="Times New Roman" w:cs="Times New Roman"/>
        <w:b/>
        <w:bCs/>
        <w:i w:val="0"/>
        <w:iCs w:val="0"/>
        <w:spacing w:val="-1"/>
        <w:w w:val="100"/>
        <w:sz w:val="26"/>
        <w:szCs w:val="26"/>
        <w:lang w:val="en-US" w:eastAsia="en-US" w:bidi="ar-SA"/>
      </w:rPr>
    </w:lvl>
    <w:lvl w:ilvl="2">
      <w:start w:val="0"/>
      <w:numFmt w:val="bullet"/>
      <w:lvlText w:val="•"/>
      <w:lvlJc w:val="left"/>
      <w:pPr>
        <w:ind w:left="2238" w:hanging="390"/>
      </w:pPr>
      <w:rPr>
        <w:rFonts w:hint="default"/>
        <w:lang w:val="en-US" w:eastAsia="en-US" w:bidi="ar-SA"/>
      </w:rPr>
    </w:lvl>
    <w:lvl w:ilvl="3">
      <w:start w:val="0"/>
      <w:numFmt w:val="bullet"/>
      <w:lvlText w:val="•"/>
      <w:lvlJc w:val="left"/>
      <w:pPr>
        <w:ind w:left="3147" w:hanging="390"/>
      </w:pPr>
      <w:rPr>
        <w:rFonts w:hint="default"/>
        <w:lang w:val="en-US" w:eastAsia="en-US" w:bidi="ar-SA"/>
      </w:rPr>
    </w:lvl>
    <w:lvl w:ilvl="4">
      <w:start w:val="0"/>
      <w:numFmt w:val="bullet"/>
      <w:lvlText w:val="•"/>
      <w:lvlJc w:val="left"/>
      <w:pPr>
        <w:ind w:left="4056" w:hanging="390"/>
      </w:pPr>
      <w:rPr>
        <w:rFonts w:hint="default"/>
        <w:lang w:val="en-US" w:eastAsia="en-US" w:bidi="ar-SA"/>
      </w:rPr>
    </w:lvl>
    <w:lvl w:ilvl="5">
      <w:start w:val="0"/>
      <w:numFmt w:val="bullet"/>
      <w:lvlText w:val="•"/>
      <w:lvlJc w:val="left"/>
      <w:pPr>
        <w:ind w:left="4965" w:hanging="390"/>
      </w:pPr>
      <w:rPr>
        <w:rFonts w:hint="default"/>
        <w:lang w:val="en-US" w:eastAsia="en-US" w:bidi="ar-SA"/>
      </w:rPr>
    </w:lvl>
    <w:lvl w:ilvl="6">
      <w:start w:val="0"/>
      <w:numFmt w:val="bullet"/>
      <w:lvlText w:val="•"/>
      <w:lvlJc w:val="left"/>
      <w:pPr>
        <w:ind w:left="5874" w:hanging="390"/>
      </w:pPr>
      <w:rPr>
        <w:rFonts w:hint="default"/>
        <w:lang w:val="en-US" w:eastAsia="en-US" w:bidi="ar-SA"/>
      </w:rPr>
    </w:lvl>
    <w:lvl w:ilvl="7">
      <w:start w:val="0"/>
      <w:numFmt w:val="bullet"/>
      <w:lvlText w:val="•"/>
      <w:lvlJc w:val="left"/>
      <w:pPr>
        <w:ind w:left="6783" w:hanging="390"/>
      </w:pPr>
      <w:rPr>
        <w:rFonts w:hint="default"/>
        <w:lang w:val="en-US" w:eastAsia="en-US" w:bidi="ar-SA"/>
      </w:rPr>
    </w:lvl>
    <w:lvl w:ilvl="8">
      <w:start w:val="0"/>
      <w:numFmt w:val="bullet"/>
      <w:lvlText w:val="•"/>
      <w:lvlJc w:val="left"/>
      <w:pPr>
        <w:ind w:left="7692" w:hanging="390"/>
      </w:pPr>
      <w:rPr>
        <w:rFonts w:hint="default"/>
        <w:lang w:val="en-US" w:eastAsia="en-US" w:bidi="ar-SA"/>
      </w:rPr>
    </w:lvl>
  </w:abstractNum>
  <w:abstractNum w:abstractNumId="2">
    <w:multiLevelType w:val="hybridMultilevel"/>
    <w:lvl w:ilvl="0">
      <w:start w:val="3"/>
      <w:numFmt w:val="decimal"/>
      <w:lvlText w:val="%1"/>
      <w:lvlJc w:val="left"/>
      <w:pPr>
        <w:ind w:left="383" w:hanging="360"/>
        <w:jc w:val="left"/>
      </w:pPr>
      <w:rPr>
        <w:rFonts w:hint="default"/>
        <w:lang w:val="en-US" w:eastAsia="en-US" w:bidi="ar-SA"/>
      </w:rPr>
    </w:lvl>
    <w:lvl w:ilvl="1">
      <w:start w:val="0"/>
      <w:numFmt w:val="decimal"/>
      <w:lvlText w:val="%1.%2"/>
      <w:lvlJc w:val="left"/>
      <w:pPr>
        <w:ind w:left="383"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206" w:hanging="360"/>
      </w:pPr>
      <w:rPr>
        <w:rFonts w:hint="default"/>
        <w:lang w:val="en-US" w:eastAsia="en-US" w:bidi="ar-SA"/>
      </w:rPr>
    </w:lvl>
    <w:lvl w:ilvl="3">
      <w:start w:val="0"/>
      <w:numFmt w:val="bullet"/>
      <w:lvlText w:val="•"/>
      <w:lvlJc w:val="left"/>
      <w:pPr>
        <w:ind w:left="3119" w:hanging="360"/>
      </w:pPr>
      <w:rPr>
        <w:rFonts w:hint="default"/>
        <w:lang w:val="en-US" w:eastAsia="en-US" w:bidi="ar-SA"/>
      </w:rPr>
    </w:lvl>
    <w:lvl w:ilvl="4">
      <w:start w:val="0"/>
      <w:numFmt w:val="bullet"/>
      <w:lvlText w:val="•"/>
      <w:lvlJc w:val="left"/>
      <w:pPr>
        <w:ind w:left="4032" w:hanging="360"/>
      </w:pPr>
      <w:rPr>
        <w:rFonts w:hint="default"/>
        <w:lang w:val="en-US" w:eastAsia="en-US" w:bidi="ar-SA"/>
      </w:rPr>
    </w:lvl>
    <w:lvl w:ilvl="5">
      <w:start w:val="0"/>
      <w:numFmt w:val="bullet"/>
      <w:lvlText w:val="•"/>
      <w:lvlJc w:val="left"/>
      <w:pPr>
        <w:ind w:left="4945" w:hanging="360"/>
      </w:pPr>
      <w:rPr>
        <w:rFonts w:hint="default"/>
        <w:lang w:val="en-US" w:eastAsia="en-US" w:bidi="ar-SA"/>
      </w:rPr>
    </w:lvl>
    <w:lvl w:ilvl="6">
      <w:start w:val="0"/>
      <w:numFmt w:val="bullet"/>
      <w:lvlText w:val="•"/>
      <w:lvlJc w:val="left"/>
      <w:pPr>
        <w:ind w:left="5858" w:hanging="360"/>
      </w:pPr>
      <w:rPr>
        <w:rFonts w:hint="default"/>
        <w:lang w:val="en-US" w:eastAsia="en-US" w:bidi="ar-SA"/>
      </w:rPr>
    </w:lvl>
    <w:lvl w:ilvl="7">
      <w:start w:val="0"/>
      <w:numFmt w:val="bullet"/>
      <w:lvlText w:val="•"/>
      <w:lvlJc w:val="left"/>
      <w:pPr>
        <w:ind w:left="6771" w:hanging="360"/>
      </w:pPr>
      <w:rPr>
        <w:rFonts w:hint="default"/>
        <w:lang w:val="en-US" w:eastAsia="en-US" w:bidi="ar-SA"/>
      </w:rPr>
    </w:lvl>
    <w:lvl w:ilvl="8">
      <w:start w:val="0"/>
      <w:numFmt w:val="bullet"/>
      <w:lvlText w:val="•"/>
      <w:lvlJc w:val="left"/>
      <w:pPr>
        <w:ind w:left="7684" w:hanging="360"/>
      </w:pPr>
      <w:rPr>
        <w:rFonts w:hint="default"/>
        <w:lang w:val="en-US" w:eastAsia="en-US" w:bidi="ar-SA"/>
      </w:rPr>
    </w:lvl>
  </w:abstractNum>
  <w:abstractNum w:abstractNumId="1">
    <w:multiLevelType w:val="hybridMultilevel"/>
    <w:lvl w:ilvl="0">
      <w:start w:val="2"/>
      <w:numFmt w:val="decimal"/>
      <w:lvlText w:val="%1"/>
      <w:lvlJc w:val="left"/>
      <w:pPr>
        <w:ind w:left="383" w:hanging="360"/>
        <w:jc w:val="left"/>
      </w:pPr>
      <w:rPr>
        <w:rFonts w:hint="default"/>
        <w:lang w:val="en-US" w:eastAsia="en-US" w:bidi="ar-SA"/>
      </w:rPr>
    </w:lvl>
    <w:lvl w:ilvl="1">
      <w:start w:val="0"/>
      <w:numFmt w:val="decimal"/>
      <w:lvlText w:val="%1.%2"/>
      <w:lvlJc w:val="left"/>
      <w:pPr>
        <w:ind w:left="383"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563"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549" w:hanging="540"/>
      </w:pPr>
      <w:rPr>
        <w:rFonts w:hint="default"/>
        <w:lang w:val="en-US" w:eastAsia="en-US" w:bidi="ar-SA"/>
      </w:rPr>
    </w:lvl>
    <w:lvl w:ilvl="4">
      <w:start w:val="0"/>
      <w:numFmt w:val="bullet"/>
      <w:lvlText w:val="•"/>
      <w:lvlJc w:val="left"/>
      <w:pPr>
        <w:ind w:left="3543" w:hanging="540"/>
      </w:pPr>
      <w:rPr>
        <w:rFonts w:hint="default"/>
        <w:lang w:val="en-US" w:eastAsia="en-US" w:bidi="ar-SA"/>
      </w:rPr>
    </w:lvl>
    <w:lvl w:ilvl="5">
      <w:start w:val="0"/>
      <w:numFmt w:val="bullet"/>
      <w:lvlText w:val="•"/>
      <w:lvlJc w:val="left"/>
      <w:pPr>
        <w:ind w:left="4538" w:hanging="540"/>
      </w:pPr>
      <w:rPr>
        <w:rFonts w:hint="default"/>
        <w:lang w:val="en-US" w:eastAsia="en-US" w:bidi="ar-SA"/>
      </w:rPr>
    </w:lvl>
    <w:lvl w:ilvl="6">
      <w:start w:val="0"/>
      <w:numFmt w:val="bullet"/>
      <w:lvlText w:val="•"/>
      <w:lvlJc w:val="left"/>
      <w:pPr>
        <w:ind w:left="5532" w:hanging="540"/>
      </w:pPr>
      <w:rPr>
        <w:rFonts w:hint="default"/>
        <w:lang w:val="en-US" w:eastAsia="en-US" w:bidi="ar-SA"/>
      </w:rPr>
    </w:lvl>
    <w:lvl w:ilvl="7">
      <w:start w:val="0"/>
      <w:numFmt w:val="bullet"/>
      <w:lvlText w:val="•"/>
      <w:lvlJc w:val="left"/>
      <w:pPr>
        <w:ind w:left="6527" w:hanging="540"/>
      </w:pPr>
      <w:rPr>
        <w:rFonts w:hint="default"/>
        <w:lang w:val="en-US" w:eastAsia="en-US" w:bidi="ar-SA"/>
      </w:rPr>
    </w:lvl>
    <w:lvl w:ilvl="8">
      <w:start w:val="0"/>
      <w:numFmt w:val="bullet"/>
      <w:lvlText w:val="•"/>
      <w:lvlJc w:val="left"/>
      <w:pPr>
        <w:ind w:left="7521" w:hanging="540"/>
      </w:pPr>
      <w:rPr>
        <w:rFonts w:hint="default"/>
        <w:lang w:val="en-US" w:eastAsia="en-US" w:bidi="ar-SA"/>
      </w:rPr>
    </w:lvl>
  </w:abstractNum>
  <w:abstractNum w:abstractNumId="0">
    <w:multiLevelType w:val="hybridMultilevel"/>
    <w:lvl w:ilvl="0">
      <w:start w:val="1"/>
      <w:numFmt w:val="decimal"/>
      <w:lvlText w:val="%1"/>
      <w:lvlJc w:val="left"/>
      <w:pPr>
        <w:ind w:left="383" w:hanging="360"/>
        <w:jc w:val="left"/>
      </w:pPr>
      <w:rPr>
        <w:rFonts w:hint="default"/>
        <w:lang w:val="en-US" w:eastAsia="en-US" w:bidi="ar-SA"/>
      </w:rPr>
    </w:lvl>
    <w:lvl w:ilvl="1">
      <w:start w:val="1"/>
      <w:numFmt w:val="decimal"/>
      <w:lvlText w:val="%1.%2"/>
      <w:lvlJc w:val="left"/>
      <w:pPr>
        <w:ind w:left="383"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74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689" w:hanging="360"/>
      </w:pPr>
      <w:rPr>
        <w:rFonts w:hint="default"/>
        <w:lang w:val="en-US" w:eastAsia="en-US" w:bidi="ar-SA"/>
      </w:rPr>
    </w:lvl>
    <w:lvl w:ilvl="4">
      <w:start w:val="0"/>
      <w:numFmt w:val="bullet"/>
      <w:lvlText w:val="•"/>
      <w:lvlJc w:val="left"/>
      <w:pPr>
        <w:ind w:left="3663" w:hanging="360"/>
      </w:pPr>
      <w:rPr>
        <w:rFonts w:hint="default"/>
        <w:lang w:val="en-US" w:eastAsia="en-US" w:bidi="ar-SA"/>
      </w:rPr>
    </w:lvl>
    <w:lvl w:ilvl="5">
      <w:start w:val="0"/>
      <w:numFmt w:val="bullet"/>
      <w:lvlText w:val="•"/>
      <w:lvlJc w:val="left"/>
      <w:pPr>
        <w:ind w:left="4638" w:hanging="360"/>
      </w:pPr>
      <w:rPr>
        <w:rFonts w:hint="default"/>
        <w:lang w:val="en-US" w:eastAsia="en-US" w:bidi="ar-SA"/>
      </w:rPr>
    </w:lvl>
    <w:lvl w:ilvl="6">
      <w:start w:val="0"/>
      <w:numFmt w:val="bullet"/>
      <w:lvlText w:val="•"/>
      <w:lvlJc w:val="left"/>
      <w:pPr>
        <w:ind w:left="5612" w:hanging="360"/>
      </w:pPr>
      <w:rPr>
        <w:rFonts w:hint="default"/>
        <w:lang w:val="en-US" w:eastAsia="en-US" w:bidi="ar-SA"/>
      </w:rPr>
    </w:lvl>
    <w:lvl w:ilvl="7">
      <w:start w:val="0"/>
      <w:numFmt w:val="bullet"/>
      <w:lvlText w:val="•"/>
      <w:lvlJc w:val="left"/>
      <w:pPr>
        <w:ind w:left="6587" w:hanging="360"/>
      </w:pPr>
      <w:rPr>
        <w:rFonts w:hint="default"/>
        <w:lang w:val="en-US" w:eastAsia="en-US" w:bidi="ar-SA"/>
      </w:rPr>
    </w:lvl>
    <w:lvl w:ilvl="8">
      <w:start w:val="0"/>
      <w:numFmt w:val="bullet"/>
      <w:lvlText w:val="•"/>
      <w:lvlJc w:val="left"/>
      <w:pPr>
        <w:ind w:left="7561" w:hanging="360"/>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410" w:hanging="387"/>
      <w:outlineLvl w:val="1"/>
    </w:pPr>
    <w:rPr>
      <w:rFonts w:ascii="Times New Roman" w:hAnsi="Times New Roman" w:eastAsia="Times New Roman" w:cs="Times New Roman"/>
      <w:b/>
      <w:bCs/>
      <w:sz w:val="26"/>
      <w:szCs w:val="26"/>
      <w:lang w:val="en-US" w:eastAsia="en-US" w:bidi="ar-SA"/>
    </w:rPr>
  </w:style>
  <w:style w:styleId="Heading2" w:type="paragraph">
    <w:name w:val="Heading 2"/>
    <w:basedOn w:val="Normal"/>
    <w:uiPriority w:val="1"/>
    <w:qFormat/>
    <w:pPr>
      <w:ind w:left="23"/>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240"/>
      <w:ind w:left="383" w:hanging="360"/>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383"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94"/>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ainulnabilah0310@gmail.com"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jpe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pn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hyperlink" Target="https://doi.org/10.1007/s10942-021-00389-0" TargetMode="External"/><Relationship Id="rId69" Type="http://schemas.openxmlformats.org/officeDocument/2006/relationships/hyperlink" Target="https://doi.org/10.1186/s12912-024-02146-x" TargetMode="External"/><Relationship Id="rId70" Type="http://schemas.openxmlformats.org/officeDocument/2006/relationships/hyperlink" Target="https://doi.org/10.1007/s13178-024-01067-3" TargetMode="External"/><Relationship Id="rId71" Type="http://schemas.openxmlformats.org/officeDocument/2006/relationships/hyperlink" Target="https://doi.org/10.1007/s13178-025-01160-1" TargetMode="External"/><Relationship Id="rId72" Type="http://schemas.openxmlformats.org/officeDocument/2006/relationships/hyperlink" Target="https://doi.org/10.1007/s00268-021-06432-6" TargetMode="External"/><Relationship Id="rId73" Type="http://schemas.openxmlformats.org/officeDocument/2006/relationships/hyperlink" Target="https://doi.org/10.4018/979-8-3693-9556-1.ch006" TargetMode="External"/><Relationship Id="rId74" Type="http://schemas.openxmlformats.org/officeDocument/2006/relationships/hyperlink" Target="https://doi.org/10.1186/s40359-026-04361-4" TargetMode="External"/><Relationship Id="rId75" Type="http://schemas.openxmlformats.org/officeDocument/2006/relationships/hyperlink" Target="https://doi.org/10.1007/s44202-026-00606-w" TargetMode="External"/><Relationship Id="rId76" Type="http://schemas.openxmlformats.org/officeDocument/2006/relationships/hyperlink" Target="https://www.ajocs.com/index.php/ajocs/article/view/157" TargetMode="External"/><Relationship Id="rId77" Type="http://schemas.openxmlformats.org/officeDocument/2006/relationships/hyperlink" Target="https://www.google.com/search?q=https%3A%2F%2Fwww.ocerints.org%2Fintcess22_e-publication%2Fpapers%2FMuzaffar%2520Syah%2520Mallow.pdf" TargetMode="External"/><Relationship Id="rId78" Type="http://schemas.openxmlformats.org/officeDocument/2006/relationships/hyperlink" Target="https://doi.org/10.3126/sss.v25i1.90506" TargetMode="External"/><Relationship Id="rId79" Type="http://schemas.openxmlformats.org/officeDocument/2006/relationships/hyperlink" Target="https://doi.org/10.1007/s10610-024-09582-0" TargetMode="External"/><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2026-07-07T02:01:05Z</dcterms:created>
  <dcterms:modified xsi:type="dcterms:W3CDTF">2026-07-07T02:01:05Z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2026-07-07T00:00:00Z</vt:filetime>
  </property>
  <property fmtid="{D5CDD505-2E9C-101B-9397-08002B2CF9AE}" pid="4" name="LastSaved">
    <vt:filetime>2026-07-07T00:00:00Z</vt:filetime>
  </property>
  <property fmtid="{D5CDD505-2E9C-101B-9397-08002B2CF9AE}" pid="5" name="Producer">
    <vt:lpwstr>iLovePDF</vt:lpwstr>
  </property>
</Properties>
</file>