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445E" w14:textId="77777777" w:rsidR="00C56275" w:rsidRDefault="00F90BEE" w:rsidP="007E0270">
      <w:pPr>
        <w:spacing w:line="240" w:lineRule="auto"/>
        <w:contextualSpacing/>
        <w:jc w:val="center"/>
        <w:rPr>
          <w:rFonts w:ascii="Times New Roman" w:hAnsi="Times New Roman" w:cs="Times New Roman"/>
          <w:b/>
          <w:bCs/>
          <w:sz w:val="36"/>
          <w:szCs w:val="36"/>
        </w:rPr>
      </w:pPr>
      <w:r w:rsidRPr="00F57EF5">
        <w:rPr>
          <w:rFonts w:ascii="Times New Roman" w:hAnsi="Times New Roman" w:cs="Times New Roman"/>
          <w:b/>
          <w:bCs/>
          <w:sz w:val="36"/>
          <w:szCs w:val="36"/>
        </w:rPr>
        <w:t xml:space="preserve">The Legality </w:t>
      </w:r>
      <w:proofErr w:type="gramStart"/>
      <w:r w:rsidRPr="00F57EF5">
        <w:rPr>
          <w:rFonts w:ascii="Times New Roman" w:hAnsi="Times New Roman" w:cs="Times New Roman"/>
          <w:b/>
          <w:bCs/>
          <w:sz w:val="36"/>
          <w:szCs w:val="36"/>
        </w:rPr>
        <w:t>Principle</w:t>
      </w:r>
      <w:proofErr w:type="gramEnd"/>
      <w:r w:rsidRPr="00F57EF5">
        <w:rPr>
          <w:rFonts w:ascii="Times New Roman" w:hAnsi="Times New Roman" w:cs="Times New Roman"/>
          <w:b/>
          <w:bCs/>
          <w:sz w:val="36"/>
          <w:szCs w:val="36"/>
        </w:rPr>
        <w:t xml:space="preserve"> Dilemma and Substantive Justice:</w:t>
      </w:r>
    </w:p>
    <w:p w14:paraId="65A8E6CE" w14:textId="63294F4E" w:rsidR="00F90BEE" w:rsidRPr="00F57EF5" w:rsidRDefault="00F90BEE" w:rsidP="007E0270">
      <w:pPr>
        <w:spacing w:line="240" w:lineRule="auto"/>
        <w:contextualSpacing/>
        <w:jc w:val="center"/>
        <w:rPr>
          <w:rFonts w:ascii="Times New Roman" w:hAnsi="Times New Roman" w:cs="Times New Roman"/>
          <w:b/>
          <w:bCs/>
          <w:sz w:val="36"/>
          <w:szCs w:val="36"/>
        </w:rPr>
      </w:pPr>
      <w:r w:rsidRPr="00F57EF5">
        <w:rPr>
          <w:rFonts w:ascii="Times New Roman" w:hAnsi="Times New Roman" w:cs="Times New Roman"/>
          <w:b/>
          <w:bCs/>
          <w:sz w:val="36"/>
          <w:szCs w:val="36"/>
        </w:rPr>
        <w:t/>
      </w:r>
    </w:p>
    <w:p w14:paraId="1BAB6C97" w14:textId="3C1D49B3" w:rsidR="00977570" w:rsidRPr="00977570" w:rsidRDefault="00977570" w:rsidP="007E0270">
      <w:pPr>
        <w:spacing w:line="240" w:lineRule="auto"/>
        <w:contextualSpacing/>
        <w:rPr>
          <w:rFonts w:ascii="Times New Roman" w:hAnsi="Times New Roman" w:cs="Times New Roman"/>
          <w:b/>
          <w:bCs/>
          <w:sz w:val="24"/>
          <w:szCs w:val="24"/>
        </w:rPr>
      </w:pPr>
    </w:p>
    <w:p w14:paraId="1A71AB15" w14:textId="16F8E840" w:rsidR="00977570" w:rsidRPr="00977570" w:rsidRDefault="00977570" w:rsidP="007E0270">
      <w:pPr>
        <w:spacing w:line="240" w:lineRule="auto"/>
        <w:contextualSpacing/>
        <w:jc w:val="center"/>
        <w:rPr>
          <w:rFonts w:ascii="Times New Roman" w:hAnsi="Times New Roman" w:cs="Times New Roman"/>
          <w:bCs/>
          <w:sz w:val="24"/>
          <w:szCs w:val="24"/>
        </w:rPr>
      </w:pPr>
      <w:proofErr w:type="spellStart"/>
      <w:r w:rsidRPr="00977570">
        <w:rPr>
          <w:rFonts w:ascii="Times New Roman" w:hAnsi="Times New Roman" w:cs="Times New Roman"/>
          <w:b/>
          <w:bCs/>
          <w:sz w:val="24"/>
          <w:szCs w:val="24"/>
        </w:rPr>
        <w:t/>
      </w:r>
      <w:proofErr w:type="spellEnd"/>
      <w:r w:rsidR="005C6775">
        <w:rPr>
          <w:rFonts w:ascii="Times New Roman" w:hAnsi="Times New Roman" w:cs="Times New Roman"/>
          <w:b/>
          <w:bCs/>
          <w:sz w:val="24"/>
          <w:szCs w:val="24"/>
        </w:rPr>
        <w:t xml:space="preserve"/>
      </w:r>
      <w:proofErr w:type="spellStart"/>
      <w:r w:rsidR="005C6775" w:rsidRPr="00977570">
        <w:rPr>
          <w:rFonts w:ascii="Times New Roman" w:hAnsi="Times New Roman" w:cs="Times New Roman"/>
          <w:b/>
          <w:bCs/>
          <w:sz w:val="24"/>
          <w:szCs w:val="24"/>
        </w:rPr>
        <w:t/>
      </w:r>
      <w:proofErr w:type="spellEnd"/>
      <w:r w:rsidR="005C6775" w:rsidRPr="00977570">
        <w:rPr>
          <w:rFonts w:ascii="Times New Roman" w:hAnsi="Times New Roman" w:cs="Times New Roman"/>
          <w:b/>
          <w:bCs/>
          <w:sz w:val="24"/>
          <w:szCs w:val="24"/>
        </w:rPr>
        <w:t xml:space="preserve"/>
      </w:r>
      <w:r w:rsidRPr="00977570">
        <w:rPr>
          <w:rFonts w:ascii="Times New Roman" w:hAnsi="Times New Roman" w:cs="Times New Roman"/>
          <w:bCs/>
          <w:sz w:val="24"/>
          <w:szCs w:val="24"/>
        </w:rPr>
        <w:br/>
      </w:r>
      <w:r w:rsidR="000C5A31">
        <w:rPr>
          <w:rFonts w:ascii="Times New Roman" w:hAnsi="Times New Roman" w:cs="Times New Roman"/>
          <w:bCs/>
          <w:sz w:val="24"/>
          <w:szCs w:val="24"/>
          <w:vertAlign w:val="superscript"/>
        </w:rPr>
        <w:t xml:space="preserve"/>
      </w:r>
      <w:r w:rsidRPr="00977570">
        <w:rPr>
          <w:rFonts w:ascii="Times New Roman" w:hAnsi="Times New Roman" w:cs="Times New Roman"/>
          <w:bCs/>
          <w:sz w:val="24"/>
          <w:szCs w:val="24"/>
        </w:rPr>
        <w:t xml:space="preserve"/>
      </w:r>
      <w:proofErr w:type="spellStart"/>
      <w:r w:rsidRPr="00977570">
        <w:rPr>
          <w:rFonts w:ascii="Times New Roman" w:hAnsi="Times New Roman" w:cs="Times New Roman"/>
          <w:bCs/>
          <w:sz w:val="24"/>
          <w:szCs w:val="24"/>
        </w:rPr>
        <w:t/>
      </w:r>
      <w:proofErr w:type="spellEnd"/>
      <w:r w:rsidRPr="00977570">
        <w:rPr>
          <w:rFonts w:ascii="Times New Roman" w:hAnsi="Times New Roman" w:cs="Times New Roman"/>
          <w:bCs/>
          <w:sz w:val="24"/>
          <w:szCs w:val="24"/>
        </w:rPr>
        <w:t xml:space="preserve"/>
      </w:r>
      <w:r w:rsidRPr="00977570">
        <w:rPr>
          <w:rFonts w:ascii="Times New Roman" w:hAnsi="Times New Roman" w:cs="Times New Roman"/>
          <w:bCs/>
          <w:sz w:val="24"/>
          <w:szCs w:val="24"/>
        </w:rPr>
        <w:br/>
      </w:r>
      <w:r w:rsidR="000C5A31">
        <w:rPr>
          <w:rFonts w:ascii="Times New Roman" w:hAnsi="Times New Roman" w:cs="Times New Roman"/>
          <w:bCs/>
          <w:sz w:val="24"/>
          <w:szCs w:val="24"/>
          <w:vertAlign w:val="superscript"/>
        </w:rPr>
        <w:t xml:space="preserve"/>
      </w:r>
      <w:r w:rsidRPr="00977570">
        <w:rPr>
          <w:rFonts w:ascii="Times New Roman" w:hAnsi="Times New Roman" w:cs="Times New Roman"/>
          <w:bCs/>
          <w:sz w:val="24"/>
          <w:szCs w:val="24"/>
        </w:rPr>
        <w:t/>
      </w:r>
      <w:proofErr w:type="spellStart"/>
      <w:r w:rsidRPr="00977570">
        <w:rPr>
          <w:rFonts w:ascii="Times New Roman" w:hAnsi="Times New Roman" w:cs="Times New Roman"/>
          <w:bCs/>
          <w:sz w:val="24"/>
          <w:szCs w:val="24"/>
        </w:rPr>
        <w:t/>
      </w:r>
      <w:proofErr w:type="spellEnd"/>
      <w:r w:rsidRPr="00977570">
        <w:rPr>
          <w:rFonts w:ascii="Times New Roman" w:hAnsi="Times New Roman" w:cs="Times New Roman"/>
          <w:bCs/>
          <w:sz w:val="24"/>
          <w:szCs w:val="24"/>
        </w:rPr>
        <w:t/>
      </w:r>
    </w:p>
    <w:p w14:paraId="15BD1062" w14:textId="4841449A" w:rsidR="00977570" w:rsidRPr="00977570" w:rsidRDefault="00977570" w:rsidP="007E0270">
      <w:pPr>
        <w:spacing w:line="240" w:lineRule="auto"/>
        <w:contextualSpacing/>
        <w:jc w:val="center"/>
        <w:rPr>
          <w:rFonts w:ascii="Times New Roman" w:hAnsi="Times New Roman" w:cs="Times New Roman"/>
          <w:bCs/>
          <w:sz w:val="24"/>
          <w:szCs w:val="24"/>
        </w:rPr>
      </w:pPr>
      <w:r w:rsidRPr="00977570">
        <w:rPr>
          <w:rFonts w:ascii="Times New Roman" w:hAnsi="Times New Roman" w:cs="Times New Roman"/>
          <w:b/>
          <w:bCs/>
          <w:sz w:val="24"/>
          <w:szCs w:val="24"/>
        </w:rPr>
        <w:t/>
      </w:r>
      <w:r w:rsidRPr="00977570">
        <w:rPr>
          <w:rFonts w:ascii="Times New Roman" w:hAnsi="Times New Roman" w:cs="Times New Roman"/>
          <w:bCs/>
          <w:sz w:val="24"/>
          <w:szCs w:val="24"/>
        </w:rPr>
        <w:t xml:space="preserve"/>
      </w:r>
      <w:hyperlink r:id="rId7" w:history="1">
        <w:r w:rsidR="007D1262" w:rsidRPr="002E4553">
          <w:rPr>
            <w:rStyle w:val="Hyperlink"/>
            <w:rFonts w:ascii="Times New Roman" w:hAnsi="Times New Roman" w:cs="Times New Roman"/>
            <w:bCs/>
            <w:sz w:val="24"/>
            <w:szCs w:val="24"/>
          </w:rPr>
          <w:t/>
        </w:r>
      </w:hyperlink>
      <w:r w:rsidR="007D1262">
        <w:rPr>
          <w:rFonts w:ascii="Times New Roman" w:hAnsi="Times New Roman" w:cs="Times New Roman"/>
          <w:bCs/>
          <w:sz w:val="24"/>
          <w:szCs w:val="24"/>
        </w:rPr>
        <w:t xml:space="preserve"/>
      </w:r>
    </w:p>
    <w:p w14:paraId="1EA24DA6" w14:textId="5CD0A401" w:rsidR="00977570" w:rsidRPr="00977570" w:rsidRDefault="00977570" w:rsidP="007E0270">
      <w:pPr>
        <w:spacing w:line="240" w:lineRule="auto"/>
        <w:contextualSpacing/>
        <w:rPr>
          <w:rFonts w:ascii="Times New Roman" w:hAnsi="Times New Roman" w:cs="Times New Roman"/>
          <w:bCs/>
          <w:sz w:val="24"/>
          <w:szCs w:val="24"/>
        </w:rPr>
      </w:pPr>
    </w:p>
    <w:p w14:paraId="5389ADD3" w14:textId="77777777" w:rsidR="001236DA" w:rsidRPr="00977570" w:rsidRDefault="001236DA" w:rsidP="007E0270">
      <w:pPr>
        <w:spacing w:line="240" w:lineRule="auto"/>
        <w:contextualSpacing/>
        <w:jc w:val="center"/>
        <w:rPr>
          <w:rFonts w:ascii="Times New Roman" w:hAnsi="Times New Roman" w:cs="Times New Roman"/>
          <w:bCs/>
          <w:sz w:val="24"/>
          <w:szCs w:val="24"/>
        </w:rPr>
      </w:pPr>
    </w:p>
    <w:p w14:paraId="63DE4D4B" w14:textId="77777777" w:rsidR="00F90BEE" w:rsidRPr="007B2444" w:rsidRDefault="00F90BEE" w:rsidP="007E0270">
      <w:pPr>
        <w:spacing w:line="240" w:lineRule="auto"/>
        <w:contextualSpacing/>
        <w:jc w:val="both"/>
        <w:rPr>
          <w:rFonts w:ascii="Times New Roman" w:hAnsi="Times New Roman" w:cs="Times New Roman"/>
          <w:b/>
          <w:bCs/>
          <w:sz w:val="28"/>
          <w:szCs w:val="28"/>
        </w:rPr>
      </w:pPr>
      <w:r w:rsidRPr="007B2444">
        <w:rPr>
          <w:rFonts w:ascii="Times New Roman" w:hAnsi="Times New Roman" w:cs="Times New Roman"/>
          <w:b/>
          <w:bCs/>
          <w:sz w:val="28"/>
          <w:szCs w:val="28"/>
        </w:rPr>
        <w:t>Abstract</w:t>
      </w:r>
    </w:p>
    <w:p w14:paraId="624827B0" w14:textId="5340131D" w:rsidR="00F90BEE" w:rsidRDefault="001236DA" w:rsidP="007E0270">
      <w:pPr>
        <w:spacing w:line="240" w:lineRule="auto"/>
        <w:contextualSpacing/>
        <w:jc w:val="both"/>
        <w:rPr>
          <w:rFonts w:ascii="Times New Roman" w:hAnsi="Times New Roman" w:cs="Times New Roman"/>
          <w:i/>
          <w:sz w:val="24"/>
          <w:szCs w:val="24"/>
        </w:rPr>
      </w:pPr>
      <w:r w:rsidRPr="001236DA">
        <w:rPr>
          <w:rFonts w:ascii="Times New Roman" w:hAnsi="Times New Roman" w:cs="Times New Roman"/>
          <w:i/>
          <w:sz w:val="24"/>
          <w:szCs w:val="24"/>
        </w:rPr>
        <w:t>The enactment of Law No. 1 of 2023 (the New Criminal Code) represents a paradigm shift in Indonesia’s penal policy, transitioning from a colonial-legacy system to one rooted in national legal values. This study scrutinizes the integration of "living law" (</w:t>
      </w:r>
      <w:proofErr w:type="spellStart"/>
      <w:r w:rsidRPr="001236DA">
        <w:rPr>
          <w:rFonts w:ascii="Times New Roman" w:hAnsi="Times New Roman" w:cs="Times New Roman"/>
          <w:i/>
          <w:iCs/>
          <w:sz w:val="24"/>
          <w:szCs w:val="24"/>
        </w:rPr>
        <w:t>hukum</w:t>
      </w:r>
      <w:proofErr w:type="spellEnd"/>
      <w:r w:rsidRPr="001236DA">
        <w:rPr>
          <w:rFonts w:ascii="Times New Roman" w:hAnsi="Times New Roman" w:cs="Times New Roman"/>
          <w:i/>
          <w:iCs/>
          <w:sz w:val="24"/>
          <w:szCs w:val="24"/>
        </w:rPr>
        <w:t xml:space="preserve"> yang </w:t>
      </w:r>
      <w:proofErr w:type="spellStart"/>
      <w:r w:rsidRPr="001236DA">
        <w:rPr>
          <w:rFonts w:ascii="Times New Roman" w:hAnsi="Times New Roman" w:cs="Times New Roman"/>
          <w:i/>
          <w:iCs/>
          <w:sz w:val="24"/>
          <w:szCs w:val="24"/>
        </w:rPr>
        <w:t>hidup</w:t>
      </w:r>
      <w:proofErr w:type="spellEnd"/>
      <w:r w:rsidRPr="001236DA">
        <w:rPr>
          <w:rFonts w:ascii="Times New Roman" w:hAnsi="Times New Roman" w:cs="Times New Roman"/>
          <w:i/>
          <w:sz w:val="24"/>
          <w:szCs w:val="24"/>
        </w:rPr>
        <w:t xml:space="preserve">) as a source of criminal liability under Article 2(1), which challenges the traditional boundaries of the </w:t>
      </w:r>
      <w:proofErr w:type="spellStart"/>
      <w:r w:rsidRPr="001236DA">
        <w:rPr>
          <w:rFonts w:ascii="Times New Roman" w:hAnsi="Times New Roman" w:cs="Times New Roman"/>
          <w:i/>
          <w:iCs/>
          <w:sz w:val="24"/>
          <w:szCs w:val="24"/>
        </w:rPr>
        <w:t>nullum</w:t>
      </w:r>
      <w:proofErr w:type="spellEnd"/>
      <w:r w:rsidRPr="001236DA">
        <w:rPr>
          <w:rFonts w:ascii="Times New Roman" w:hAnsi="Times New Roman" w:cs="Times New Roman"/>
          <w:i/>
          <w:iCs/>
          <w:sz w:val="24"/>
          <w:szCs w:val="24"/>
        </w:rPr>
        <w:t xml:space="preserve"> crimen sine </w:t>
      </w:r>
      <w:proofErr w:type="spellStart"/>
      <w:r w:rsidRPr="001236DA">
        <w:rPr>
          <w:rFonts w:ascii="Times New Roman" w:hAnsi="Times New Roman" w:cs="Times New Roman"/>
          <w:i/>
          <w:iCs/>
          <w:sz w:val="24"/>
          <w:szCs w:val="24"/>
        </w:rPr>
        <w:t>lege</w:t>
      </w:r>
      <w:proofErr w:type="spellEnd"/>
      <w:r w:rsidRPr="001236DA">
        <w:rPr>
          <w:rFonts w:ascii="Times New Roman" w:hAnsi="Times New Roman" w:cs="Times New Roman"/>
          <w:i/>
          <w:sz w:val="24"/>
          <w:szCs w:val="24"/>
        </w:rPr>
        <w:t xml:space="preserve"> principle. Using a normative juridical method with conceptual and comparative approaches, this research analyzes the inherent tension between legal pluralism and the doctrine of </w:t>
      </w:r>
      <w:r w:rsidRPr="001236DA">
        <w:rPr>
          <w:rFonts w:ascii="Times New Roman" w:hAnsi="Times New Roman" w:cs="Times New Roman"/>
          <w:i/>
          <w:iCs/>
          <w:sz w:val="24"/>
          <w:szCs w:val="24"/>
        </w:rPr>
        <w:t xml:space="preserve">lex </w:t>
      </w:r>
      <w:proofErr w:type="spellStart"/>
      <w:r w:rsidRPr="001236DA">
        <w:rPr>
          <w:rFonts w:ascii="Times New Roman" w:hAnsi="Times New Roman" w:cs="Times New Roman"/>
          <w:i/>
          <w:iCs/>
          <w:sz w:val="24"/>
          <w:szCs w:val="24"/>
        </w:rPr>
        <w:t>certa</w:t>
      </w:r>
      <w:proofErr w:type="spellEnd"/>
      <w:r w:rsidRPr="001236DA">
        <w:rPr>
          <w:rFonts w:ascii="Times New Roman" w:hAnsi="Times New Roman" w:cs="Times New Roman"/>
          <w:i/>
          <w:sz w:val="24"/>
          <w:szCs w:val="24"/>
        </w:rPr>
        <w:t>. The findings demonstrate that while the recognition of living law fosters substantive justice and cultural relevance, it risks undermining legal predictability and the protection of individual rights against arbitrary enforcement. This paper argues that the transformative ambition of the Code can only be safeguarded through a robust regulatory framework</w:t>
      </w:r>
      <w:r w:rsidR="00261630">
        <w:rPr>
          <w:rFonts w:ascii="Times New Roman" w:hAnsi="Times New Roman" w:cs="Times New Roman"/>
          <w:i/>
          <w:sz w:val="24"/>
          <w:szCs w:val="24"/>
        </w:rPr>
        <w:t>,</w:t>
      </w:r>
      <w:r w:rsidR="00384FD3">
        <w:rPr>
          <w:rFonts w:ascii="Times New Roman" w:hAnsi="Times New Roman" w:cs="Times New Roman"/>
          <w:i/>
          <w:sz w:val="24"/>
          <w:szCs w:val="24"/>
        </w:rPr>
        <w:t xml:space="preserve"> </w:t>
      </w:r>
      <w:r w:rsidRPr="001236DA">
        <w:rPr>
          <w:rFonts w:ascii="Times New Roman" w:hAnsi="Times New Roman" w:cs="Times New Roman"/>
          <w:i/>
          <w:sz w:val="24"/>
          <w:szCs w:val="24"/>
        </w:rPr>
        <w:t>specifically a Government Regulation</w:t>
      </w:r>
      <w:r w:rsidR="00384FD3">
        <w:rPr>
          <w:rFonts w:ascii="Times New Roman" w:hAnsi="Times New Roman" w:cs="Times New Roman"/>
          <w:i/>
          <w:sz w:val="24"/>
          <w:szCs w:val="24"/>
        </w:rPr>
        <w:t xml:space="preserve"> </w:t>
      </w:r>
      <w:r w:rsidRPr="001236DA">
        <w:rPr>
          <w:rFonts w:ascii="Times New Roman" w:hAnsi="Times New Roman" w:cs="Times New Roman"/>
          <w:i/>
          <w:sz w:val="24"/>
          <w:szCs w:val="24"/>
        </w:rPr>
        <w:t>that establishes strict parameters for the identification and evidentiary validation of customary norms. By reconciling restorative justice with formal legality, Indonesia provides a unique model for decolonizing criminal law in pluralistic societies.</w:t>
      </w:r>
    </w:p>
    <w:p w14:paraId="052764EE" w14:textId="77777777" w:rsidR="001236DA" w:rsidRPr="00F90BEE" w:rsidRDefault="001236DA" w:rsidP="007E0270">
      <w:pPr>
        <w:spacing w:line="240" w:lineRule="auto"/>
        <w:contextualSpacing/>
        <w:jc w:val="both"/>
        <w:rPr>
          <w:rFonts w:ascii="Times New Roman" w:hAnsi="Times New Roman" w:cs="Times New Roman"/>
          <w:sz w:val="24"/>
          <w:szCs w:val="24"/>
        </w:rPr>
      </w:pPr>
    </w:p>
    <w:p w14:paraId="5357B7B5" w14:textId="77777777" w:rsidR="00F90BEE" w:rsidRPr="001236DA" w:rsidRDefault="00F90BEE" w:rsidP="007E0270">
      <w:pPr>
        <w:spacing w:line="240" w:lineRule="auto"/>
        <w:contextualSpacing/>
        <w:jc w:val="both"/>
        <w:rPr>
          <w:rFonts w:ascii="Times New Roman" w:hAnsi="Times New Roman" w:cs="Times New Roman"/>
          <w:i/>
          <w:sz w:val="24"/>
          <w:szCs w:val="24"/>
        </w:rPr>
      </w:pPr>
      <w:r w:rsidRPr="00F90BEE">
        <w:rPr>
          <w:rFonts w:ascii="Times New Roman" w:hAnsi="Times New Roman" w:cs="Times New Roman"/>
          <w:b/>
          <w:bCs/>
          <w:sz w:val="24"/>
          <w:szCs w:val="24"/>
        </w:rPr>
        <w:t>Keywords:</w:t>
      </w:r>
      <w:r w:rsidRPr="00F90BEE">
        <w:rPr>
          <w:rFonts w:ascii="Times New Roman" w:hAnsi="Times New Roman" w:cs="Times New Roman"/>
          <w:sz w:val="24"/>
          <w:szCs w:val="24"/>
        </w:rPr>
        <w:t xml:space="preserve"> </w:t>
      </w:r>
      <w:r w:rsidRPr="001236DA">
        <w:rPr>
          <w:rFonts w:ascii="Times New Roman" w:hAnsi="Times New Roman" w:cs="Times New Roman"/>
          <w:i/>
          <w:sz w:val="24"/>
          <w:szCs w:val="24"/>
        </w:rPr>
        <w:t>Living Law, Legal Pluralism, Criminal Code Reform, Legality Principle, Restorative Justice.</w:t>
      </w:r>
    </w:p>
    <w:p w14:paraId="672F6BE6" w14:textId="77777777" w:rsidR="00F90BEE" w:rsidRPr="00F90BEE" w:rsidRDefault="00000000" w:rsidP="007E027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0F235CF3">
          <v:rect id="_x0000_i1025" style="width:0;height:1.5pt" o:hralign="center" o:hrstd="t" o:hr="t" fillcolor="#a0a0a0" stroked="f"/>
        </w:pict>
      </w:r>
    </w:p>
    <w:p w14:paraId="214B4BE5" w14:textId="1284805B" w:rsidR="00F90BEE" w:rsidRPr="00297F89" w:rsidRDefault="00F90BEE" w:rsidP="007E0270">
      <w:pPr>
        <w:pStyle w:val="ListParagraph"/>
        <w:numPr>
          <w:ilvl w:val="0"/>
          <w:numId w:val="9"/>
        </w:numPr>
        <w:spacing w:line="240" w:lineRule="auto"/>
        <w:ind w:left="360"/>
        <w:jc w:val="both"/>
        <w:rPr>
          <w:rFonts w:ascii="Times New Roman" w:hAnsi="Times New Roman" w:cs="Times New Roman"/>
          <w:b/>
          <w:bCs/>
          <w:sz w:val="28"/>
          <w:szCs w:val="28"/>
        </w:rPr>
      </w:pPr>
      <w:r w:rsidRPr="00297F89">
        <w:rPr>
          <w:rFonts w:ascii="Times New Roman" w:hAnsi="Times New Roman" w:cs="Times New Roman"/>
          <w:b/>
          <w:bCs/>
          <w:sz w:val="28"/>
          <w:szCs w:val="28"/>
        </w:rPr>
        <w:t>Introduction</w:t>
      </w:r>
    </w:p>
    <w:p w14:paraId="60AB54E6" w14:textId="61B528F8"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Indonesia’s sweeping reform of its criminal justice architecture</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 xml:space="preserve">marked by the enactment of </w:t>
      </w:r>
      <w:r w:rsidRPr="00384FD3">
        <w:rPr>
          <w:rFonts w:ascii="Times New Roman" w:hAnsi="Times New Roman" w:cs="Times New Roman"/>
          <w:sz w:val="24"/>
          <w:szCs w:val="24"/>
        </w:rPr>
        <w:t>Law No. 1 of 2023</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 xml:space="preserve">represents one of the most significant legislative milestones in the nation’s post-colonial legal development. For more than a century, Indonesia relied on the </w:t>
      </w:r>
      <w:proofErr w:type="spellStart"/>
      <w:r w:rsidRPr="00F90BEE">
        <w:rPr>
          <w:rFonts w:ascii="Times New Roman" w:hAnsi="Times New Roman" w:cs="Times New Roman"/>
          <w:i/>
          <w:iCs/>
          <w:sz w:val="24"/>
          <w:szCs w:val="24"/>
        </w:rPr>
        <w:t>Wetboek</w:t>
      </w:r>
      <w:proofErr w:type="spellEnd"/>
      <w:r w:rsidRPr="00F90BEE">
        <w:rPr>
          <w:rFonts w:ascii="Times New Roman" w:hAnsi="Times New Roman" w:cs="Times New Roman"/>
          <w:i/>
          <w:iCs/>
          <w:sz w:val="24"/>
          <w:szCs w:val="24"/>
        </w:rPr>
        <w:t xml:space="preserve"> van </w:t>
      </w:r>
      <w:proofErr w:type="spellStart"/>
      <w:r w:rsidRPr="00F90BEE">
        <w:rPr>
          <w:rFonts w:ascii="Times New Roman" w:hAnsi="Times New Roman" w:cs="Times New Roman"/>
          <w:i/>
          <w:iCs/>
          <w:sz w:val="24"/>
          <w:szCs w:val="24"/>
        </w:rPr>
        <w:t>Strafrecht</w:t>
      </w:r>
      <w:proofErr w:type="spellEnd"/>
      <w:r w:rsidRPr="00F90BEE">
        <w:rPr>
          <w:rFonts w:ascii="Times New Roman" w:hAnsi="Times New Roman" w:cs="Times New Roman"/>
          <w:i/>
          <w:iCs/>
          <w:sz w:val="24"/>
          <w:szCs w:val="24"/>
        </w:rPr>
        <w:t xml:space="preserve"> (</w:t>
      </w:r>
      <w:proofErr w:type="spellStart"/>
      <w:r w:rsidRPr="00F90BEE">
        <w:rPr>
          <w:rFonts w:ascii="Times New Roman" w:hAnsi="Times New Roman" w:cs="Times New Roman"/>
          <w:i/>
          <w:iCs/>
          <w:sz w:val="24"/>
          <w:szCs w:val="24"/>
        </w:rPr>
        <w:t>WvS</w:t>
      </w:r>
      <w:proofErr w:type="spellEnd"/>
      <w:r w:rsidRPr="00F90BEE">
        <w:rPr>
          <w:rFonts w:ascii="Times New Roman" w:hAnsi="Times New Roman" w:cs="Times New Roman"/>
          <w:i/>
          <w:iCs/>
          <w:sz w:val="24"/>
          <w:szCs w:val="24"/>
        </w:rPr>
        <w:t>)</w:t>
      </w:r>
      <w:r w:rsidRPr="00F90BEE">
        <w:rPr>
          <w:rFonts w:ascii="Times New Roman" w:hAnsi="Times New Roman" w:cs="Times New Roman"/>
          <w:sz w:val="24"/>
          <w:szCs w:val="24"/>
        </w:rPr>
        <w:t>, a codification imposed during Dutch colonial rule, which, despite numerous modifications, continued to structure Indonesia’s penal landscape. Replacing this colonial vestige embodies not only a normative shift but also a symbolic act of legal decolonization, echoing broader movements in the Global South to reassert indigenous legal identity (Lev, 1972; Bedner &amp; Van Huis, 2010). In this context, the new Criminal Code aims to integrate Indonesia’s sociocultural particularities into the legal system, moving away from the universalistic pretensions of European codifications that inadequately reflect local realities.</w:t>
      </w:r>
    </w:p>
    <w:p w14:paraId="27E4EB0D"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141A0FFE" w14:textId="7E8F3736" w:rsidR="00F90BEE" w:rsidRP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Among the most transformative and controversial elements of the new Code is its </w:t>
      </w:r>
      <w:r w:rsidRPr="00384FD3">
        <w:rPr>
          <w:rFonts w:ascii="Times New Roman" w:hAnsi="Times New Roman" w:cs="Times New Roman"/>
          <w:sz w:val="24"/>
          <w:szCs w:val="24"/>
        </w:rPr>
        <w:t>formal recognition of living law</w:t>
      </w:r>
      <w:r w:rsidR="00384FD3" w:rsidRPr="00384FD3">
        <w:rPr>
          <w:rFonts w:ascii="Times New Roman" w:hAnsi="Times New Roman" w:cs="Times New Roman"/>
          <w:sz w:val="24"/>
          <w:szCs w:val="24"/>
        </w:rPr>
        <w:t>,</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 xml:space="preserve">the unwritten, community-based norms known as </w:t>
      </w:r>
      <w:proofErr w:type="spellStart"/>
      <w:r w:rsidRPr="00F90BEE">
        <w:rPr>
          <w:rFonts w:ascii="Times New Roman" w:hAnsi="Times New Roman" w:cs="Times New Roman"/>
          <w:i/>
          <w:iCs/>
          <w:sz w:val="24"/>
          <w:szCs w:val="24"/>
        </w:rPr>
        <w:t>hukum</w:t>
      </w:r>
      <w:proofErr w:type="spellEnd"/>
      <w:r w:rsidRPr="00F90BEE">
        <w:rPr>
          <w:rFonts w:ascii="Times New Roman" w:hAnsi="Times New Roman" w:cs="Times New Roman"/>
          <w:i/>
          <w:iCs/>
          <w:sz w:val="24"/>
          <w:szCs w:val="24"/>
        </w:rPr>
        <w:t xml:space="preserve"> </w:t>
      </w:r>
      <w:proofErr w:type="spellStart"/>
      <w:r w:rsidRPr="00F90BEE">
        <w:rPr>
          <w:rFonts w:ascii="Times New Roman" w:hAnsi="Times New Roman" w:cs="Times New Roman"/>
          <w:i/>
          <w:iCs/>
          <w:sz w:val="24"/>
          <w:szCs w:val="24"/>
        </w:rPr>
        <w:t>adat</w:t>
      </w:r>
      <w:proofErr w:type="spellEnd"/>
      <w:r w:rsidR="00384FD3">
        <w:rPr>
          <w:rFonts w:ascii="Times New Roman" w:hAnsi="Times New Roman" w:cs="Times New Roman"/>
          <w:sz w:val="24"/>
          <w:szCs w:val="24"/>
        </w:rPr>
        <w:t xml:space="preserve"> </w:t>
      </w:r>
      <w:r w:rsidRPr="00F90BEE">
        <w:rPr>
          <w:rFonts w:ascii="Times New Roman" w:hAnsi="Times New Roman" w:cs="Times New Roman"/>
          <w:sz w:val="24"/>
          <w:szCs w:val="24"/>
        </w:rPr>
        <w:t xml:space="preserve">as a potential basis for criminal liability. The theoretical foundation for this recognition is grounded in the long tradition of legal pluralism, a field articulated by scholars such as </w:t>
      </w:r>
      <w:r w:rsidRPr="00384FD3">
        <w:rPr>
          <w:rFonts w:ascii="Times New Roman" w:hAnsi="Times New Roman" w:cs="Times New Roman"/>
          <w:sz w:val="24"/>
          <w:szCs w:val="24"/>
        </w:rPr>
        <w:t>Griffiths (1986),</w:t>
      </w:r>
      <w:r w:rsidRPr="00F90BEE">
        <w:rPr>
          <w:rFonts w:ascii="Times New Roman" w:hAnsi="Times New Roman" w:cs="Times New Roman"/>
          <w:sz w:val="24"/>
          <w:szCs w:val="24"/>
        </w:rPr>
        <w:t xml:space="preserve"> who distinguishes between “weak” (state-sanctioned) and “strong” (socially grounded) legal pluralism; </w:t>
      </w:r>
      <w:r w:rsidRPr="00384FD3">
        <w:rPr>
          <w:rFonts w:ascii="Times New Roman" w:hAnsi="Times New Roman" w:cs="Times New Roman"/>
          <w:sz w:val="24"/>
          <w:szCs w:val="24"/>
        </w:rPr>
        <w:t>Hooker (1981),</w:t>
      </w:r>
      <w:r w:rsidRPr="00F90BEE">
        <w:rPr>
          <w:rFonts w:ascii="Times New Roman" w:hAnsi="Times New Roman" w:cs="Times New Roman"/>
          <w:sz w:val="24"/>
          <w:szCs w:val="24"/>
        </w:rPr>
        <w:t xml:space="preserve"> who documents Southeast Asia’s layered legal orders; and </w:t>
      </w:r>
      <w:r w:rsidRPr="00384FD3">
        <w:rPr>
          <w:rFonts w:ascii="Times New Roman" w:hAnsi="Times New Roman" w:cs="Times New Roman"/>
          <w:sz w:val="24"/>
          <w:szCs w:val="24"/>
        </w:rPr>
        <w:t>Merry (1988),</w:t>
      </w:r>
      <w:r w:rsidRPr="00F90BEE">
        <w:rPr>
          <w:rFonts w:ascii="Times New Roman" w:hAnsi="Times New Roman" w:cs="Times New Roman"/>
          <w:sz w:val="24"/>
          <w:szCs w:val="24"/>
        </w:rPr>
        <w:t xml:space="preserve"> who emphasizes that law in many societies is lived and performed outside the state’s formal institutions. From this perspective, </w:t>
      </w:r>
      <w:r w:rsidRPr="00F90BEE">
        <w:rPr>
          <w:rFonts w:ascii="Times New Roman" w:hAnsi="Times New Roman" w:cs="Times New Roman"/>
          <w:i/>
          <w:iCs/>
          <w:sz w:val="24"/>
          <w:szCs w:val="24"/>
        </w:rPr>
        <w:t>living law</w:t>
      </w:r>
      <w:r w:rsidRPr="00F90BEE">
        <w:rPr>
          <w:rFonts w:ascii="Times New Roman" w:hAnsi="Times New Roman" w:cs="Times New Roman"/>
          <w:sz w:val="24"/>
          <w:szCs w:val="24"/>
        </w:rPr>
        <w:t xml:space="preserve"> is not an anomaly but a reflection of socio-normative realities that coexist with state law, shaping everyday social order more profoundly than formal regulations.</w:t>
      </w:r>
    </w:p>
    <w:p w14:paraId="40C0415F" w14:textId="77777777" w:rsidR="00FF13CF" w:rsidRDefault="00FF13CF" w:rsidP="007E0270">
      <w:pPr>
        <w:spacing w:line="240" w:lineRule="auto"/>
        <w:contextualSpacing/>
        <w:jc w:val="both"/>
        <w:rPr>
          <w:rFonts w:ascii="Times New Roman" w:hAnsi="Times New Roman" w:cs="Times New Roman"/>
          <w:sz w:val="24"/>
          <w:szCs w:val="24"/>
        </w:rPr>
      </w:pPr>
    </w:p>
    <w:p w14:paraId="46E43493" w14:textId="13EB30EA"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However, extending unwritten customary norms into the realm of criminal law generates substantial doctrinal controversy. Criminal law, particularly in modern constitutional democracies, is anchored in the </w:t>
      </w:r>
      <w:r w:rsidRPr="00384FD3">
        <w:rPr>
          <w:rFonts w:ascii="Times New Roman" w:hAnsi="Times New Roman" w:cs="Times New Roman"/>
          <w:sz w:val="24"/>
          <w:szCs w:val="24"/>
        </w:rPr>
        <w:t>principle of legality</w:t>
      </w:r>
      <w:r w:rsidRPr="00F90BEE">
        <w:rPr>
          <w:rFonts w:ascii="Times New Roman" w:hAnsi="Times New Roman" w:cs="Times New Roman"/>
          <w:sz w:val="24"/>
          <w:szCs w:val="24"/>
        </w:rPr>
        <w:t xml:space="preserve"> (</w:t>
      </w:r>
      <w:proofErr w:type="spellStart"/>
      <w:r w:rsidRPr="00F90BEE">
        <w:rPr>
          <w:rFonts w:ascii="Times New Roman" w:hAnsi="Times New Roman" w:cs="Times New Roman"/>
          <w:i/>
          <w:iCs/>
          <w:sz w:val="24"/>
          <w:szCs w:val="24"/>
        </w:rPr>
        <w:t>nullum</w:t>
      </w:r>
      <w:proofErr w:type="spellEnd"/>
      <w:r w:rsidRPr="00F90BEE">
        <w:rPr>
          <w:rFonts w:ascii="Times New Roman" w:hAnsi="Times New Roman" w:cs="Times New Roman"/>
          <w:i/>
          <w:iCs/>
          <w:sz w:val="24"/>
          <w:szCs w:val="24"/>
        </w:rPr>
        <w:t xml:space="preserve"> crimen, </w:t>
      </w:r>
      <w:proofErr w:type="spellStart"/>
      <w:r w:rsidRPr="00F90BEE">
        <w:rPr>
          <w:rFonts w:ascii="Times New Roman" w:hAnsi="Times New Roman" w:cs="Times New Roman"/>
          <w:i/>
          <w:iCs/>
          <w:sz w:val="24"/>
          <w:szCs w:val="24"/>
        </w:rPr>
        <w:t>nulla</w:t>
      </w:r>
      <w:proofErr w:type="spellEnd"/>
      <w:r w:rsidRPr="00F90BEE">
        <w:rPr>
          <w:rFonts w:ascii="Times New Roman" w:hAnsi="Times New Roman" w:cs="Times New Roman"/>
          <w:i/>
          <w:iCs/>
          <w:sz w:val="24"/>
          <w:szCs w:val="24"/>
        </w:rPr>
        <w:t xml:space="preserve"> </w:t>
      </w:r>
      <w:proofErr w:type="spellStart"/>
      <w:r w:rsidRPr="00F90BEE">
        <w:rPr>
          <w:rFonts w:ascii="Times New Roman" w:hAnsi="Times New Roman" w:cs="Times New Roman"/>
          <w:i/>
          <w:iCs/>
          <w:sz w:val="24"/>
          <w:szCs w:val="24"/>
        </w:rPr>
        <w:t>poena</w:t>
      </w:r>
      <w:proofErr w:type="spellEnd"/>
      <w:r w:rsidRPr="00F90BEE">
        <w:rPr>
          <w:rFonts w:ascii="Times New Roman" w:hAnsi="Times New Roman" w:cs="Times New Roman"/>
          <w:i/>
          <w:iCs/>
          <w:sz w:val="24"/>
          <w:szCs w:val="24"/>
        </w:rPr>
        <w:t xml:space="preserve"> sine </w:t>
      </w:r>
      <w:proofErr w:type="spellStart"/>
      <w:r w:rsidRPr="00F90BEE">
        <w:rPr>
          <w:rFonts w:ascii="Times New Roman" w:hAnsi="Times New Roman" w:cs="Times New Roman"/>
          <w:i/>
          <w:iCs/>
          <w:sz w:val="24"/>
          <w:szCs w:val="24"/>
        </w:rPr>
        <w:t>lege</w:t>
      </w:r>
      <w:proofErr w:type="spellEnd"/>
      <w:r w:rsidRPr="00F90BEE">
        <w:rPr>
          <w:rFonts w:ascii="Times New Roman" w:hAnsi="Times New Roman" w:cs="Times New Roman"/>
          <w:i/>
          <w:iCs/>
          <w:sz w:val="24"/>
          <w:szCs w:val="24"/>
        </w:rPr>
        <w:t xml:space="preserve"> </w:t>
      </w:r>
      <w:proofErr w:type="spellStart"/>
      <w:r w:rsidRPr="00F90BEE">
        <w:rPr>
          <w:rFonts w:ascii="Times New Roman" w:hAnsi="Times New Roman" w:cs="Times New Roman"/>
          <w:i/>
          <w:iCs/>
          <w:sz w:val="24"/>
          <w:szCs w:val="24"/>
        </w:rPr>
        <w:t>praevia</w:t>
      </w:r>
      <w:proofErr w:type="spellEnd"/>
      <w:r w:rsidRPr="00F90BEE">
        <w:rPr>
          <w:rFonts w:ascii="Times New Roman" w:hAnsi="Times New Roman" w:cs="Times New Roman"/>
          <w:i/>
          <w:iCs/>
          <w:sz w:val="24"/>
          <w:szCs w:val="24"/>
        </w:rPr>
        <w:t xml:space="preserve"> scripta et </w:t>
      </w:r>
      <w:proofErr w:type="spellStart"/>
      <w:r w:rsidRPr="00F90BEE">
        <w:rPr>
          <w:rFonts w:ascii="Times New Roman" w:hAnsi="Times New Roman" w:cs="Times New Roman"/>
          <w:i/>
          <w:iCs/>
          <w:sz w:val="24"/>
          <w:szCs w:val="24"/>
        </w:rPr>
        <w:t>certa</w:t>
      </w:r>
      <w:proofErr w:type="spellEnd"/>
      <w:r w:rsidRPr="00F90BEE">
        <w:rPr>
          <w:rFonts w:ascii="Times New Roman" w:hAnsi="Times New Roman" w:cs="Times New Roman"/>
          <w:sz w:val="24"/>
          <w:szCs w:val="24"/>
        </w:rPr>
        <w:t xml:space="preserve">). This principle requires that crimes be formulated </w:t>
      </w:r>
      <w:r w:rsidRPr="00384FD3">
        <w:rPr>
          <w:rFonts w:ascii="Times New Roman" w:hAnsi="Times New Roman" w:cs="Times New Roman"/>
          <w:sz w:val="24"/>
          <w:szCs w:val="24"/>
        </w:rPr>
        <w:t>in writing, with clarity, predictability, and non-retroactivity</w:t>
      </w:r>
      <w:r w:rsidR="00384FD3" w:rsidRPr="00384FD3">
        <w:rPr>
          <w:rFonts w:ascii="Times New Roman" w:hAnsi="Times New Roman" w:cs="Times New Roman"/>
          <w:sz w:val="24"/>
          <w:szCs w:val="24"/>
        </w:rPr>
        <w:t xml:space="preserve"> </w:t>
      </w:r>
      <w:r w:rsidRPr="00384FD3">
        <w:rPr>
          <w:rFonts w:ascii="Times New Roman" w:hAnsi="Times New Roman" w:cs="Times New Roman"/>
          <w:sz w:val="24"/>
          <w:szCs w:val="24"/>
        </w:rPr>
        <w:t xml:space="preserve">features that safeguard individuals from arbitrary prosecution. By contrast, customary norms are often fluid, contextual, communal, diverse across </w:t>
      </w:r>
      <w:r w:rsidRPr="00384FD3">
        <w:rPr>
          <w:rFonts w:ascii="Times New Roman" w:hAnsi="Times New Roman" w:cs="Times New Roman"/>
          <w:sz w:val="24"/>
          <w:szCs w:val="24"/>
        </w:rPr>
        <w:lastRenderedPageBreak/>
        <w:t>regions,</w:t>
      </w:r>
      <w:r w:rsidRPr="00F90BEE">
        <w:rPr>
          <w:rFonts w:ascii="Times New Roman" w:hAnsi="Times New Roman" w:cs="Times New Roman"/>
          <w:sz w:val="24"/>
          <w:szCs w:val="24"/>
        </w:rPr>
        <w:t xml:space="preserve"> and sometimes </w:t>
      </w:r>
      <w:r w:rsidRPr="00F24A19">
        <w:rPr>
          <w:rFonts w:ascii="Times New Roman" w:hAnsi="Times New Roman" w:cs="Times New Roman"/>
          <w:sz w:val="24"/>
          <w:szCs w:val="24"/>
        </w:rPr>
        <w:t>undocumented,</w:t>
      </w:r>
      <w:r w:rsidRPr="00F90BEE">
        <w:rPr>
          <w:rFonts w:ascii="Times New Roman" w:hAnsi="Times New Roman" w:cs="Times New Roman"/>
          <w:sz w:val="24"/>
          <w:szCs w:val="24"/>
        </w:rPr>
        <w:t xml:space="preserve"> raising concerns about legal certainty and equality before the law (Simons, 2020; Lindsey, 2018). Critics argue that incorporating such norms into formal criminal law risks enabling subjective interpretations, inconsistent enforcement, and potential discrimination, particularly against minorities, women, or non-members of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communities.</w:t>
      </w:r>
    </w:p>
    <w:p w14:paraId="3BC1D92C"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16B54ACC" w14:textId="24FD228C"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Despite these concerns, proponents of living law highlight the persistent dissonance between state criminal law and community dispute-resolution practices. Empirical studies in regions such as </w:t>
      </w:r>
      <w:r w:rsidRPr="00384FD3">
        <w:rPr>
          <w:rFonts w:ascii="Times New Roman" w:hAnsi="Times New Roman" w:cs="Times New Roman"/>
          <w:sz w:val="24"/>
          <w:szCs w:val="24"/>
        </w:rPr>
        <w:t>Aceh (Salim &amp; Azra, 2003), Bali (Warren, 1993), Papua (McGibbon, 2004), and Sulawesi (Davidson &amp; Henley, 2007)</w:t>
      </w:r>
      <w:r w:rsidRPr="00F90BEE">
        <w:rPr>
          <w:rFonts w:ascii="Times New Roman" w:hAnsi="Times New Roman" w:cs="Times New Roman"/>
          <w:sz w:val="24"/>
          <w:szCs w:val="24"/>
        </w:rPr>
        <w:t xml:space="preserve"> show that customary mechanisms</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emphasizing restoration, reconciliation, and social harmony</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 xml:space="preserve">retain high legitimacy and effectiveness in resolving conflicts. In many cases, communities prefer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sanctions because they yield outcomes perceived as more just and socially integrative than formal court processes, which can be slow, expensive, and culturally detached. These findings suggest that excluding living law from formal criminal justice may perpetuate a normative gap between community expectations and state practices.</w:t>
      </w:r>
    </w:p>
    <w:p w14:paraId="44033778" w14:textId="77777777" w:rsidR="00F90BEE" w:rsidRPr="00384FD3" w:rsidRDefault="00F90BEE" w:rsidP="007E0270">
      <w:pPr>
        <w:spacing w:line="240" w:lineRule="auto"/>
        <w:contextualSpacing/>
        <w:jc w:val="both"/>
        <w:rPr>
          <w:rFonts w:ascii="Times New Roman" w:hAnsi="Times New Roman" w:cs="Times New Roman"/>
          <w:sz w:val="24"/>
          <w:szCs w:val="24"/>
        </w:rPr>
      </w:pPr>
    </w:p>
    <w:p w14:paraId="4A73DBBF" w14:textId="77777777" w:rsidR="00F90BEE" w:rsidRPr="00384FD3" w:rsidRDefault="00F90BEE" w:rsidP="007E0270">
      <w:pPr>
        <w:spacing w:line="240" w:lineRule="auto"/>
        <w:contextualSpacing/>
        <w:jc w:val="both"/>
        <w:rPr>
          <w:rFonts w:ascii="Times New Roman" w:hAnsi="Times New Roman" w:cs="Times New Roman"/>
          <w:sz w:val="24"/>
          <w:szCs w:val="24"/>
        </w:rPr>
      </w:pPr>
      <w:r w:rsidRPr="00384FD3">
        <w:rPr>
          <w:rFonts w:ascii="Times New Roman" w:hAnsi="Times New Roman" w:cs="Times New Roman"/>
          <w:sz w:val="24"/>
          <w:szCs w:val="24"/>
        </w:rPr>
        <w:t>Yet even with strong sociological justification, the practical challenge remains: Can living law be harmonized with the demands of a modern criminal justice system without compromising constitutional safeguards? Existing scholarship has yet to offer a conclusive answer. Much of the literature celebrates the cultural legitimacy of customary norms but insufficiently addresses the implications for constitutional legality, procedural fairness, judicial discretion, and human rights compliance. Meanwhile, debates in Indonesia have often been polarized, focusing on political or symbolic aspects rather than examining the deeper structural tensions between pluralism and modern penal rationality.</w:t>
      </w:r>
    </w:p>
    <w:p w14:paraId="59C21077" w14:textId="77777777" w:rsidR="00F90BEE" w:rsidRPr="00384FD3" w:rsidRDefault="00F90BEE" w:rsidP="007E0270">
      <w:pPr>
        <w:spacing w:line="240" w:lineRule="auto"/>
        <w:contextualSpacing/>
        <w:jc w:val="both"/>
        <w:rPr>
          <w:rFonts w:ascii="Times New Roman" w:hAnsi="Times New Roman" w:cs="Times New Roman"/>
          <w:sz w:val="24"/>
          <w:szCs w:val="24"/>
        </w:rPr>
      </w:pPr>
    </w:p>
    <w:p w14:paraId="04FE9C85" w14:textId="77777777" w:rsidR="00F90BEE" w:rsidRPr="00384FD3" w:rsidRDefault="00F90BEE" w:rsidP="007E0270">
      <w:pPr>
        <w:spacing w:line="240" w:lineRule="auto"/>
        <w:contextualSpacing/>
        <w:jc w:val="both"/>
        <w:rPr>
          <w:rFonts w:ascii="Times New Roman" w:hAnsi="Times New Roman" w:cs="Times New Roman"/>
          <w:sz w:val="24"/>
          <w:szCs w:val="24"/>
        </w:rPr>
      </w:pPr>
      <w:r w:rsidRPr="00384FD3">
        <w:rPr>
          <w:rFonts w:ascii="Times New Roman" w:hAnsi="Times New Roman" w:cs="Times New Roman"/>
          <w:sz w:val="24"/>
          <w:szCs w:val="24"/>
        </w:rPr>
        <w:t xml:space="preserve">Although many studies explore the sociocultural legitimacy of living law, very few provide a comprehensive doctrinal and analytical assessment of </w:t>
      </w:r>
      <w:r w:rsidRPr="00384FD3">
        <w:rPr>
          <w:rFonts w:ascii="Times New Roman" w:hAnsi="Times New Roman" w:cs="Times New Roman"/>
          <w:i/>
          <w:iCs/>
          <w:sz w:val="24"/>
          <w:szCs w:val="24"/>
        </w:rPr>
        <w:t>how</w:t>
      </w:r>
      <w:r w:rsidRPr="00384FD3">
        <w:rPr>
          <w:rFonts w:ascii="Times New Roman" w:hAnsi="Times New Roman" w:cs="Times New Roman"/>
          <w:sz w:val="24"/>
          <w:szCs w:val="24"/>
        </w:rPr>
        <w:t xml:space="preserve"> and </w:t>
      </w:r>
      <w:r w:rsidRPr="00384FD3">
        <w:rPr>
          <w:rFonts w:ascii="Times New Roman" w:hAnsi="Times New Roman" w:cs="Times New Roman"/>
          <w:i/>
          <w:iCs/>
          <w:sz w:val="24"/>
          <w:szCs w:val="24"/>
        </w:rPr>
        <w:t>to what extent</w:t>
      </w:r>
      <w:r w:rsidRPr="00384FD3">
        <w:rPr>
          <w:rFonts w:ascii="Times New Roman" w:hAnsi="Times New Roman" w:cs="Times New Roman"/>
          <w:sz w:val="24"/>
          <w:szCs w:val="24"/>
        </w:rPr>
        <w:t xml:space="preserve"> living law can coexist with the constitutional principle of legality in Indonesia’s reformed criminal law system.</w:t>
      </w:r>
    </w:p>
    <w:p w14:paraId="36C75463" w14:textId="77777777" w:rsidR="00F90BEE" w:rsidRPr="00384FD3" w:rsidRDefault="00F90BEE" w:rsidP="007E0270">
      <w:pPr>
        <w:spacing w:line="240" w:lineRule="auto"/>
        <w:contextualSpacing/>
        <w:jc w:val="both"/>
        <w:rPr>
          <w:rFonts w:ascii="Times New Roman" w:hAnsi="Times New Roman" w:cs="Times New Roman"/>
          <w:sz w:val="24"/>
          <w:szCs w:val="24"/>
        </w:rPr>
      </w:pPr>
    </w:p>
    <w:p w14:paraId="17FD2B0A" w14:textId="77777777"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Moreover, limited research has evaluated the potential mechanisms, safeguards, or regulatory designs needed to operationalize living law without undermining legal certainty and equal protection.</w:t>
      </w:r>
    </w:p>
    <w:p w14:paraId="6668E6A3"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6164EA68" w14:textId="77777777"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This article addresses that gap by offering an in-depth examination of the philosophical, doctrinal, and practical tensions inherent in integrating living law into the national criminal justice framework. It critically evaluates the compatibility of customary norms with constitutional legality, explores the implications for modern criminal justice administration, and identifies pathways for reconciling pluralism with legal certainty. In doing so, the article contributes to ongoing debates on legal pluralism, constitutionalism, and penal reform in Indonesia and comparable pluralistic jurisdictions.</w:t>
      </w:r>
    </w:p>
    <w:p w14:paraId="72179ECF" w14:textId="77777777" w:rsidR="00F90BEE" w:rsidRDefault="00F90BEE" w:rsidP="007E0270">
      <w:pPr>
        <w:spacing w:line="240" w:lineRule="auto"/>
        <w:contextualSpacing/>
        <w:jc w:val="both"/>
        <w:rPr>
          <w:rFonts w:ascii="Times New Roman" w:hAnsi="Times New Roman" w:cs="Times New Roman"/>
          <w:sz w:val="24"/>
          <w:szCs w:val="24"/>
        </w:rPr>
      </w:pPr>
    </w:p>
    <w:p w14:paraId="0F346509" w14:textId="07E6F25B" w:rsidR="00F90BEE" w:rsidRPr="00F817C0" w:rsidRDefault="00F90BEE" w:rsidP="007E0270">
      <w:pPr>
        <w:pStyle w:val="ListParagraph"/>
        <w:numPr>
          <w:ilvl w:val="0"/>
          <w:numId w:val="10"/>
        </w:numPr>
        <w:spacing w:line="240" w:lineRule="auto"/>
        <w:ind w:left="360"/>
        <w:jc w:val="both"/>
        <w:rPr>
          <w:rFonts w:ascii="Times New Roman" w:hAnsi="Times New Roman" w:cs="Times New Roman"/>
          <w:b/>
          <w:bCs/>
          <w:sz w:val="28"/>
          <w:szCs w:val="28"/>
        </w:rPr>
      </w:pPr>
      <w:r w:rsidRPr="00F817C0">
        <w:rPr>
          <w:rFonts w:ascii="Times New Roman" w:hAnsi="Times New Roman" w:cs="Times New Roman"/>
          <w:b/>
          <w:bCs/>
          <w:sz w:val="28"/>
          <w:szCs w:val="28"/>
        </w:rPr>
        <w:t>Research Problems (Expanded)</w:t>
      </w:r>
    </w:p>
    <w:p w14:paraId="6814CB3B" w14:textId="77777777"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The integration of </w:t>
      </w:r>
      <w:r w:rsidRPr="00F90BEE">
        <w:rPr>
          <w:rFonts w:ascii="Times New Roman" w:hAnsi="Times New Roman" w:cs="Times New Roman"/>
          <w:i/>
          <w:iCs/>
          <w:sz w:val="24"/>
          <w:szCs w:val="24"/>
        </w:rPr>
        <w:t>living law</w:t>
      </w:r>
      <w:r w:rsidRPr="00F90BEE">
        <w:rPr>
          <w:rFonts w:ascii="Times New Roman" w:hAnsi="Times New Roman" w:cs="Times New Roman"/>
          <w:sz w:val="24"/>
          <w:szCs w:val="24"/>
        </w:rPr>
        <w:t xml:space="preserve"> into Indonesia’s new Criminal Code introduces foundational shifts in the structure, philosophy, and functioning of the national criminal justice system. These changes raise a series of complex and interrelated research problems that require deeper scholarly interrogation.</w:t>
      </w:r>
    </w:p>
    <w:p w14:paraId="00C582C9"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3436FF29" w14:textId="139C1A39" w:rsidR="00F90BEE" w:rsidRPr="00C37FE1" w:rsidRDefault="00F90BEE" w:rsidP="007E0270">
      <w:pPr>
        <w:spacing w:line="240" w:lineRule="auto"/>
        <w:contextualSpacing/>
        <w:jc w:val="both"/>
        <w:rPr>
          <w:rFonts w:ascii="Times New Roman" w:hAnsi="Times New Roman" w:cs="Times New Roman"/>
          <w:sz w:val="24"/>
          <w:szCs w:val="24"/>
        </w:rPr>
      </w:pPr>
      <w:r w:rsidRPr="00C37FE1">
        <w:rPr>
          <w:rFonts w:ascii="Times New Roman" w:hAnsi="Times New Roman" w:cs="Times New Roman"/>
          <w:sz w:val="24"/>
          <w:szCs w:val="24"/>
        </w:rPr>
        <w:t>First, this study seeks to identify what philosophical and historical foundations justify the recognition of living law within a modern codified criminal system. Indonesia’s legal genealogy is characterized by layers of colonial influence, indigenous normative orders, and post-independence attempts at decolonization. The revival of living law in national codification must therefore be contextualized within broader debates on legal pluralism, nation-building, and the legacy of customary jurisprudence. Understanding the theoretical trajectory</w:t>
      </w:r>
      <w:r w:rsidR="00384FD3" w:rsidRPr="00C37FE1">
        <w:rPr>
          <w:rFonts w:ascii="Times New Roman" w:hAnsi="Times New Roman" w:cs="Times New Roman"/>
          <w:sz w:val="24"/>
          <w:szCs w:val="24"/>
        </w:rPr>
        <w:t xml:space="preserve"> </w:t>
      </w:r>
      <w:r w:rsidRPr="00C37FE1">
        <w:rPr>
          <w:rFonts w:ascii="Times New Roman" w:hAnsi="Times New Roman" w:cs="Times New Roman"/>
          <w:sz w:val="24"/>
          <w:szCs w:val="24"/>
        </w:rPr>
        <w:t xml:space="preserve">from the colonial </w:t>
      </w:r>
      <w:proofErr w:type="spellStart"/>
      <w:r w:rsidRPr="00C37FE1">
        <w:rPr>
          <w:rFonts w:ascii="Times New Roman" w:hAnsi="Times New Roman" w:cs="Times New Roman"/>
          <w:i/>
          <w:iCs/>
          <w:sz w:val="24"/>
          <w:szCs w:val="24"/>
        </w:rPr>
        <w:t>receptie</w:t>
      </w:r>
      <w:proofErr w:type="spellEnd"/>
      <w:r w:rsidRPr="00C37FE1">
        <w:rPr>
          <w:rFonts w:ascii="Times New Roman" w:hAnsi="Times New Roman" w:cs="Times New Roman"/>
          <w:sz w:val="24"/>
          <w:szCs w:val="24"/>
        </w:rPr>
        <w:t xml:space="preserve"> doctrine to the post-independence affirmation of </w:t>
      </w:r>
      <w:proofErr w:type="spellStart"/>
      <w:r w:rsidRPr="00C37FE1">
        <w:rPr>
          <w:rFonts w:ascii="Times New Roman" w:hAnsi="Times New Roman" w:cs="Times New Roman"/>
          <w:i/>
          <w:iCs/>
          <w:sz w:val="24"/>
          <w:szCs w:val="24"/>
        </w:rPr>
        <w:t>receptie</w:t>
      </w:r>
      <w:proofErr w:type="spellEnd"/>
      <w:r w:rsidRPr="00C37FE1">
        <w:rPr>
          <w:rFonts w:ascii="Times New Roman" w:hAnsi="Times New Roman" w:cs="Times New Roman"/>
          <w:i/>
          <w:iCs/>
          <w:sz w:val="24"/>
          <w:szCs w:val="24"/>
        </w:rPr>
        <w:t xml:space="preserve"> </w:t>
      </w:r>
      <w:proofErr w:type="spellStart"/>
      <w:r w:rsidRPr="00C37FE1">
        <w:rPr>
          <w:rFonts w:ascii="Times New Roman" w:hAnsi="Times New Roman" w:cs="Times New Roman"/>
          <w:i/>
          <w:iCs/>
          <w:sz w:val="24"/>
          <w:szCs w:val="24"/>
        </w:rPr>
        <w:t>exsistentie</w:t>
      </w:r>
      <w:proofErr w:type="spellEnd"/>
      <w:r w:rsidR="00384FD3" w:rsidRPr="00C37FE1">
        <w:rPr>
          <w:rFonts w:ascii="Times New Roman" w:hAnsi="Times New Roman" w:cs="Times New Roman"/>
          <w:sz w:val="24"/>
          <w:szCs w:val="24"/>
        </w:rPr>
        <w:t xml:space="preserve"> </w:t>
      </w:r>
      <w:r w:rsidRPr="00C37FE1">
        <w:rPr>
          <w:rFonts w:ascii="Times New Roman" w:hAnsi="Times New Roman" w:cs="Times New Roman"/>
          <w:sz w:val="24"/>
          <w:szCs w:val="24"/>
        </w:rPr>
        <w:t>is essential for explaining why the state now seeks to realign formal criminal norms with indigenous socio-legal realities.</w:t>
      </w:r>
    </w:p>
    <w:p w14:paraId="3CE78CD5" w14:textId="77777777" w:rsidR="00F90BEE" w:rsidRPr="00C37FE1" w:rsidRDefault="00F90BEE" w:rsidP="007E0270">
      <w:pPr>
        <w:spacing w:line="240" w:lineRule="auto"/>
        <w:contextualSpacing/>
        <w:jc w:val="both"/>
        <w:rPr>
          <w:rFonts w:ascii="Times New Roman" w:hAnsi="Times New Roman" w:cs="Times New Roman"/>
          <w:sz w:val="24"/>
          <w:szCs w:val="24"/>
        </w:rPr>
      </w:pPr>
    </w:p>
    <w:p w14:paraId="1A128A8E" w14:textId="262EB0D0" w:rsidR="00F90BEE" w:rsidRPr="00C37FE1" w:rsidRDefault="00F90BEE" w:rsidP="007E0270">
      <w:pPr>
        <w:spacing w:line="240" w:lineRule="auto"/>
        <w:contextualSpacing/>
        <w:jc w:val="both"/>
        <w:rPr>
          <w:rFonts w:ascii="Times New Roman" w:hAnsi="Times New Roman" w:cs="Times New Roman"/>
          <w:sz w:val="24"/>
          <w:szCs w:val="24"/>
        </w:rPr>
      </w:pPr>
      <w:r w:rsidRPr="00C37FE1">
        <w:rPr>
          <w:rFonts w:ascii="Times New Roman" w:hAnsi="Times New Roman" w:cs="Times New Roman"/>
          <w:sz w:val="24"/>
          <w:szCs w:val="24"/>
        </w:rPr>
        <w:t xml:space="preserve">Second, this study examines how the adoption of the material legality principle in the new Criminal Code interacts with the classical formal legality principle, which has long served as a constitutional safeguard against arbitrariness. The tension between these two concepts is not merely textual but structural: a material legality approach allows unwritten norms to define criminal conduct, while formal legality requires strict, written, and </w:t>
      </w:r>
      <w:r w:rsidRPr="00C37FE1">
        <w:rPr>
          <w:rFonts w:ascii="Times New Roman" w:hAnsi="Times New Roman" w:cs="Times New Roman"/>
          <w:sz w:val="24"/>
          <w:szCs w:val="24"/>
        </w:rPr>
        <w:lastRenderedPageBreak/>
        <w:t>prospective formulations of offenses. This friction raises critical doctrinal questions regarding legal certainty, equality, and judicial discretion. The challenge is to determine whether these two approaches can coexist constructively</w:t>
      </w:r>
      <w:r w:rsidR="00384FD3" w:rsidRPr="00C37FE1">
        <w:rPr>
          <w:rFonts w:ascii="Times New Roman" w:hAnsi="Times New Roman" w:cs="Times New Roman"/>
          <w:sz w:val="24"/>
          <w:szCs w:val="24"/>
        </w:rPr>
        <w:t xml:space="preserve"> </w:t>
      </w:r>
      <w:r w:rsidRPr="00C37FE1">
        <w:rPr>
          <w:rFonts w:ascii="Times New Roman" w:hAnsi="Times New Roman" w:cs="Times New Roman"/>
          <w:sz w:val="24"/>
          <w:szCs w:val="24"/>
        </w:rPr>
        <w:t>or whether their interaction risks eroding foundational protections that underpin modern criminal law.</w:t>
      </w:r>
    </w:p>
    <w:p w14:paraId="545A2A2C" w14:textId="77777777" w:rsidR="00F90BEE" w:rsidRPr="00C37FE1" w:rsidRDefault="00F90BEE" w:rsidP="007E0270">
      <w:pPr>
        <w:spacing w:line="240" w:lineRule="auto"/>
        <w:contextualSpacing/>
        <w:jc w:val="both"/>
        <w:rPr>
          <w:rFonts w:ascii="Times New Roman" w:hAnsi="Times New Roman" w:cs="Times New Roman"/>
          <w:sz w:val="24"/>
          <w:szCs w:val="24"/>
        </w:rPr>
      </w:pPr>
    </w:p>
    <w:p w14:paraId="2210C9DB" w14:textId="77777777" w:rsidR="00F90BEE" w:rsidRPr="00C37FE1" w:rsidRDefault="00F90BEE" w:rsidP="007E0270">
      <w:pPr>
        <w:spacing w:line="240" w:lineRule="auto"/>
        <w:contextualSpacing/>
        <w:jc w:val="both"/>
        <w:rPr>
          <w:rFonts w:ascii="Times New Roman" w:hAnsi="Times New Roman" w:cs="Times New Roman"/>
          <w:sz w:val="24"/>
          <w:szCs w:val="24"/>
        </w:rPr>
      </w:pPr>
      <w:r w:rsidRPr="00C37FE1">
        <w:rPr>
          <w:rFonts w:ascii="Times New Roman" w:hAnsi="Times New Roman" w:cs="Times New Roman"/>
          <w:sz w:val="24"/>
          <w:szCs w:val="24"/>
        </w:rPr>
        <w:t>Third, this research evaluates what normative and institutional models can effectively harmonize legal pluralism with the demands of predictability, human rights protection, and efficient criminal justice administration. The operationalization of living law requires clear procedural standards, safeguards against discriminatory application, and mechanisms for ensuring compatibility with constitutional and international human rights norms. Without this architecture, the integration of living law risks generating fragmented enforcement, inconsistent judicial outcomes, and potential violations of protected rights.</w:t>
      </w:r>
    </w:p>
    <w:p w14:paraId="791C914D" w14:textId="77777777" w:rsidR="00F90BEE" w:rsidRPr="00C37FE1" w:rsidRDefault="00F90BEE" w:rsidP="007E0270">
      <w:pPr>
        <w:spacing w:line="240" w:lineRule="auto"/>
        <w:contextualSpacing/>
        <w:jc w:val="both"/>
        <w:rPr>
          <w:rFonts w:ascii="Times New Roman" w:hAnsi="Times New Roman" w:cs="Times New Roman"/>
          <w:sz w:val="24"/>
          <w:szCs w:val="24"/>
        </w:rPr>
      </w:pPr>
    </w:p>
    <w:p w14:paraId="57FF2065" w14:textId="77777777" w:rsidR="00F90BEE" w:rsidRPr="00C37FE1" w:rsidRDefault="00F90BEE" w:rsidP="007E0270">
      <w:pPr>
        <w:spacing w:line="240" w:lineRule="auto"/>
        <w:contextualSpacing/>
        <w:jc w:val="both"/>
        <w:rPr>
          <w:rFonts w:ascii="Times New Roman" w:hAnsi="Times New Roman" w:cs="Times New Roman"/>
          <w:sz w:val="24"/>
          <w:szCs w:val="24"/>
        </w:rPr>
      </w:pPr>
      <w:r w:rsidRPr="00C37FE1">
        <w:rPr>
          <w:rFonts w:ascii="Times New Roman" w:hAnsi="Times New Roman" w:cs="Times New Roman"/>
          <w:sz w:val="24"/>
          <w:szCs w:val="24"/>
        </w:rPr>
        <w:t>Collectively, these research problems are not merely academic abstractions. They carry profound implications for legislators, judges, prosecutors, law enforcement officers, traditional authorities, and local communities navigating the transition into Indonesia’s new penal era. The success or failure of integrating living law into the criminal justice system will shape the country’s broader trajectory of legal modernization and pluralism.</w:t>
      </w:r>
    </w:p>
    <w:p w14:paraId="718AB268"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70EB3950" w14:textId="094694F2" w:rsidR="00F90BEE" w:rsidRPr="00F817C0" w:rsidRDefault="00F90BEE" w:rsidP="007E0270">
      <w:pPr>
        <w:pStyle w:val="ListParagraph"/>
        <w:numPr>
          <w:ilvl w:val="0"/>
          <w:numId w:val="10"/>
        </w:numPr>
        <w:spacing w:line="240" w:lineRule="auto"/>
        <w:ind w:left="360"/>
        <w:jc w:val="both"/>
        <w:rPr>
          <w:rFonts w:ascii="Times New Roman" w:hAnsi="Times New Roman" w:cs="Times New Roman"/>
          <w:b/>
          <w:bCs/>
          <w:sz w:val="28"/>
          <w:szCs w:val="28"/>
        </w:rPr>
      </w:pPr>
      <w:r w:rsidRPr="00F817C0">
        <w:rPr>
          <w:rFonts w:ascii="Times New Roman" w:hAnsi="Times New Roman" w:cs="Times New Roman"/>
          <w:b/>
          <w:bCs/>
          <w:sz w:val="28"/>
          <w:szCs w:val="28"/>
        </w:rPr>
        <w:t>Research Objectives</w:t>
      </w:r>
    </w:p>
    <w:p w14:paraId="0B02A3E2" w14:textId="77777777" w:rsidR="00F90BEE" w:rsidRP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Building on the research problems identified above, this study pursues the following objectives:</w:t>
      </w:r>
    </w:p>
    <w:p w14:paraId="7F55C547" w14:textId="77777777" w:rsidR="00F90BEE" w:rsidRPr="00C528B4" w:rsidRDefault="00F90BEE" w:rsidP="007E0270">
      <w:pPr>
        <w:numPr>
          <w:ilvl w:val="0"/>
          <w:numId w:val="3"/>
        </w:numPr>
        <w:spacing w:line="240" w:lineRule="auto"/>
        <w:contextualSpacing/>
        <w:jc w:val="both"/>
        <w:rPr>
          <w:rFonts w:ascii="Times New Roman" w:hAnsi="Times New Roman" w:cs="Times New Roman"/>
          <w:sz w:val="24"/>
          <w:szCs w:val="24"/>
        </w:rPr>
      </w:pPr>
      <w:r w:rsidRPr="00C528B4">
        <w:rPr>
          <w:rFonts w:ascii="Times New Roman" w:hAnsi="Times New Roman" w:cs="Times New Roman"/>
          <w:sz w:val="24"/>
          <w:szCs w:val="24"/>
        </w:rPr>
        <w:t>To analyze the philosophical, historical, and socio-legal foundations that underpin the recognition of living law in Indonesia’s reformed Criminal Code, situating this development within broader debates on legal pluralism and decolonization.</w:t>
      </w:r>
    </w:p>
    <w:p w14:paraId="187E2D21" w14:textId="77777777" w:rsidR="00F90BEE" w:rsidRPr="00C528B4" w:rsidRDefault="00F90BEE" w:rsidP="007E0270">
      <w:pPr>
        <w:numPr>
          <w:ilvl w:val="0"/>
          <w:numId w:val="3"/>
        </w:numPr>
        <w:spacing w:line="240" w:lineRule="auto"/>
        <w:contextualSpacing/>
        <w:jc w:val="both"/>
        <w:rPr>
          <w:rFonts w:ascii="Times New Roman" w:hAnsi="Times New Roman" w:cs="Times New Roman"/>
          <w:sz w:val="24"/>
          <w:szCs w:val="24"/>
        </w:rPr>
      </w:pPr>
      <w:r w:rsidRPr="00C528B4">
        <w:rPr>
          <w:rFonts w:ascii="Times New Roman" w:hAnsi="Times New Roman" w:cs="Times New Roman"/>
          <w:sz w:val="24"/>
          <w:szCs w:val="24"/>
        </w:rPr>
        <w:t>To critically assess the conceptual interaction between material legality and formal legality, identifying points of convergence, structural friction, and their implications for legal certainty, constitutionalism, and human rights safeguards.</w:t>
      </w:r>
    </w:p>
    <w:p w14:paraId="3B961A0A" w14:textId="77777777" w:rsidR="00F90BEE" w:rsidRPr="00C528B4" w:rsidRDefault="00F90BEE" w:rsidP="007E0270">
      <w:pPr>
        <w:numPr>
          <w:ilvl w:val="0"/>
          <w:numId w:val="3"/>
        </w:numPr>
        <w:spacing w:line="240" w:lineRule="auto"/>
        <w:contextualSpacing/>
        <w:jc w:val="both"/>
        <w:rPr>
          <w:rFonts w:ascii="Times New Roman" w:hAnsi="Times New Roman" w:cs="Times New Roman"/>
          <w:sz w:val="24"/>
          <w:szCs w:val="24"/>
        </w:rPr>
      </w:pPr>
      <w:r w:rsidRPr="00C528B4">
        <w:rPr>
          <w:rFonts w:ascii="Times New Roman" w:hAnsi="Times New Roman" w:cs="Times New Roman"/>
          <w:sz w:val="24"/>
          <w:szCs w:val="24"/>
        </w:rPr>
        <w:t>To formulate a normative and institutional model that enables the operationalization of living law while preserving the integrity of criminal law principles, ensuring predictability in enforcement, and safeguarding individual rights.</w:t>
      </w:r>
    </w:p>
    <w:p w14:paraId="0871BD50" w14:textId="77777777" w:rsidR="00F90BEE" w:rsidRPr="00C528B4" w:rsidRDefault="00F90BEE" w:rsidP="007E0270">
      <w:pPr>
        <w:spacing w:line="240" w:lineRule="auto"/>
        <w:contextualSpacing/>
        <w:jc w:val="both"/>
        <w:rPr>
          <w:rFonts w:ascii="Times New Roman" w:hAnsi="Times New Roman" w:cs="Times New Roman"/>
          <w:sz w:val="24"/>
          <w:szCs w:val="24"/>
        </w:rPr>
      </w:pPr>
      <w:r w:rsidRPr="00C528B4">
        <w:rPr>
          <w:rFonts w:ascii="Times New Roman" w:hAnsi="Times New Roman" w:cs="Times New Roman"/>
          <w:sz w:val="24"/>
          <w:szCs w:val="24"/>
        </w:rPr>
        <w:t>These objectives collectively frame the study’s attempt to provide a holistic, doctrinally coherent, and practically grounded assessment of Indonesia’s legal reform.</w:t>
      </w:r>
    </w:p>
    <w:p w14:paraId="0E786B13" w14:textId="77777777" w:rsidR="00F90BEE" w:rsidRPr="00C528B4" w:rsidRDefault="00F90BEE" w:rsidP="007E0270">
      <w:pPr>
        <w:spacing w:line="240" w:lineRule="auto"/>
        <w:contextualSpacing/>
        <w:jc w:val="both"/>
        <w:rPr>
          <w:rFonts w:ascii="Times New Roman" w:hAnsi="Times New Roman" w:cs="Times New Roman"/>
          <w:sz w:val="24"/>
          <w:szCs w:val="24"/>
        </w:rPr>
      </w:pPr>
    </w:p>
    <w:p w14:paraId="3CB0768B" w14:textId="170A6C9A" w:rsidR="00F90BEE" w:rsidRPr="00F817C0" w:rsidRDefault="00F90BEE" w:rsidP="007E0270">
      <w:pPr>
        <w:pStyle w:val="ListParagraph"/>
        <w:numPr>
          <w:ilvl w:val="0"/>
          <w:numId w:val="10"/>
        </w:numPr>
        <w:spacing w:line="240" w:lineRule="auto"/>
        <w:ind w:left="360"/>
        <w:jc w:val="both"/>
        <w:rPr>
          <w:rFonts w:ascii="Times New Roman" w:hAnsi="Times New Roman" w:cs="Times New Roman"/>
          <w:b/>
          <w:bCs/>
          <w:sz w:val="28"/>
          <w:szCs w:val="28"/>
        </w:rPr>
      </w:pPr>
      <w:r w:rsidRPr="00F817C0">
        <w:rPr>
          <w:rFonts w:ascii="Times New Roman" w:hAnsi="Times New Roman" w:cs="Times New Roman"/>
          <w:b/>
          <w:bCs/>
          <w:sz w:val="28"/>
          <w:szCs w:val="28"/>
        </w:rPr>
        <w:t>Research Significance</w:t>
      </w:r>
    </w:p>
    <w:p w14:paraId="58C086A4" w14:textId="77777777" w:rsidR="00F90BEE" w:rsidRP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This study offers several significant contributions to legal scholarship, policy development, and practical implementation:</w:t>
      </w:r>
    </w:p>
    <w:p w14:paraId="6CFA1ABE" w14:textId="77777777" w:rsidR="00F90BEE" w:rsidRPr="00531074" w:rsidRDefault="00F90BEE" w:rsidP="007E0270">
      <w:pPr>
        <w:pStyle w:val="ListParagraph"/>
        <w:numPr>
          <w:ilvl w:val="0"/>
          <w:numId w:val="4"/>
        </w:numPr>
        <w:spacing w:line="240" w:lineRule="auto"/>
        <w:jc w:val="both"/>
        <w:rPr>
          <w:rFonts w:ascii="Times New Roman" w:hAnsi="Times New Roman" w:cs="Times New Roman"/>
          <w:sz w:val="24"/>
          <w:szCs w:val="24"/>
        </w:rPr>
      </w:pPr>
      <w:r w:rsidRPr="00531074">
        <w:rPr>
          <w:rFonts w:ascii="Times New Roman" w:hAnsi="Times New Roman" w:cs="Times New Roman"/>
          <w:sz w:val="24"/>
          <w:szCs w:val="24"/>
        </w:rPr>
        <w:t>Theoretical Contribution: The research deepens academic discourse on legal pluralism by demonstrating how non-state normative orders can be formally incorporated into codified criminal law without compromising constitutional safeguards. It advances the theoretical understanding of the relationship between legality, community norms, and state authority in plural societies.</w:t>
      </w:r>
    </w:p>
    <w:p w14:paraId="51E0CAB5" w14:textId="77777777" w:rsidR="00F90BEE" w:rsidRPr="00531074" w:rsidRDefault="00F90BEE" w:rsidP="007E0270">
      <w:pPr>
        <w:pStyle w:val="ListParagraph"/>
        <w:numPr>
          <w:ilvl w:val="0"/>
          <w:numId w:val="4"/>
        </w:numPr>
        <w:spacing w:line="240" w:lineRule="auto"/>
        <w:jc w:val="both"/>
        <w:rPr>
          <w:rFonts w:ascii="Times New Roman" w:hAnsi="Times New Roman" w:cs="Times New Roman"/>
          <w:sz w:val="24"/>
          <w:szCs w:val="24"/>
        </w:rPr>
      </w:pPr>
      <w:r w:rsidRPr="00531074">
        <w:rPr>
          <w:rFonts w:ascii="Times New Roman" w:hAnsi="Times New Roman" w:cs="Times New Roman"/>
          <w:sz w:val="24"/>
          <w:szCs w:val="24"/>
        </w:rPr>
        <w:t>Normative and Doctrinal Contribution: The study proposes a structured analytical framework for reconciling material and formal legality, clarifying the conditions under which living law may legitimately influence criminal liability. This contributes to doctrinal clarity in an area where existing scholarship remains fragmented.</w:t>
      </w:r>
    </w:p>
    <w:p w14:paraId="37CD59F2" w14:textId="77777777" w:rsidR="00F90BEE" w:rsidRPr="00531074" w:rsidRDefault="00F90BEE" w:rsidP="007E0270">
      <w:pPr>
        <w:pStyle w:val="ListParagraph"/>
        <w:numPr>
          <w:ilvl w:val="0"/>
          <w:numId w:val="4"/>
        </w:numPr>
        <w:spacing w:line="240" w:lineRule="auto"/>
        <w:jc w:val="both"/>
        <w:rPr>
          <w:rFonts w:ascii="Times New Roman" w:hAnsi="Times New Roman" w:cs="Times New Roman"/>
          <w:sz w:val="24"/>
          <w:szCs w:val="24"/>
        </w:rPr>
      </w:pPr>
      <w:r w:rsidRPr="00531074">
        <w:rPr>
          <w:rFonts w:ascii="Times New Roman" w:hAnsi="Times New Roman" w:cs="Times New Roman"/>
          <w:sz w:val="24"/>
          <w:szCs w:val="24"/>
        </w:rPr>
        <w:t>Policy and Legislative Contribution: The findings provide concrete guidance for policymakers in designing regulations, derivative legislation, and institutional mechanisms necessary to implement living law responsibly. This includes recommendations for cataloging customary norms, procedural safeguards, and supervisory structures.</w:t>
      </w:r>
    </w:p>
    <w:p w14:paraId="5C006ABC" w14:textId="77777777" w:rsidR="00F90BEE" w:rsidRPr="00531074" w:rsidRDefault="00F90BEE" w:rsidP="007E0270">
      <w:pPr>
        <w:pStyle w:val="ListParagraph"/>
        <w:numPr>
          <w:ilvl w:val="0"/>
          <w:numId w:val="4"/>
        </w:numPr>
        <w:spacing w:line="240" w:lineRule="auto"/>
        <w:jc w:val="both"/>
        <w:rPr>
          <w:rFonts w:ascii="Times New Roman" w:hAnsi="Times New Roman" w:cs="Times New Roman"/>
          <w:sz w:val="24"/>
          <w:szCs w:val="24"/>
        </w:rPr>
      </w:pPr>
      <w:r w:rsidRPr="00531074">
        <w:rPr>
          <w:rFonts w:ascii="Times New Roman" w:hAnsi="Times New Roman" w:cs="Times New Roman"/>
          <w:sz w:val="24"/>
          <w:szCs w:val="24"/>
        </w:rPr>
        <w:t>Judicial and Institutional Contribution: By offering interpretive guidance and criteria for judicial assessment of customary norms, the study supports judges, prosecutors, and law enforcement officers in avoiding arbitrariness and ensuring uniformity in the application of living law.</w:t>
      </w:r>
    </w:p>
    <w:p w14:paraId="170B95A0" w14:textId="77777777" w:rsidR="00F90BEE" w:rsidRPr="00F90BEE" w:rsidRDefault="00F90BEE" w:rsidP="007E0270">
      <w:pPr>
        <w:pStyle w:val="ListParagraph"/>
        <w:numPr>
          <w:ilvl w:val="0"/>
          <w:numId w:val="4"/>
        </w:numPr>
        <w:spacing w:line="240" w:lineRule="auto"/>
        <w:jc w:val="both"/>
        <w:rPr>
          <w:rFonts w:ascii="Times New Roman" w:hAnsi="Times New Roman" w:cs="Times New Roman"/>
          <w:sz w:val="24"/>
          <w:szCs w:val="24"/>
        </w:rPr>
      </w:pPr>
      <w:r w:rsidRPr="00531074">
        <w:rPr>
          <w:rFonts w:ascii="Times New Roman" w:hAnsi="Times New Roman" w:cs="Times New Roman"/>
          <w:sz w:val="24"/>
          <w:szCs w:val="24"/>
        </w:rPr>
        <w:lastRenderedPageBreak/>
        <w:t xml:space="preserve">Societal and Community Impact: </w:t>
      </w:r>
      <w:r w:rsidRPr="00F90BEE">
        <w:rPr>
          <w:rFonts w:ascii="Times New Roman" w:hAnsi="Times New Roman" w:cs="Times New Roman"/>
          <w:sz w:val="24"/>
          <w:szCs w:val="24"/>
        </w:rPr>
        <w:t>The research strengthens public understanding of the role of customary norms in shaping a culturally grounded yet rights-respecting criminal justice system. It empowers local communities by clarifying how their normative traditions can interact constructively with national law.</w:t>
      </w:r>
    </w:p>
    <w:p w14:paraId="399B5961" w14:textId="22E93447" w:rsidR="00A95EFF" w:rsidRDefault="00F90BEE" w:rsidP="007E0270">
      <w:pPr>
        <w:pStyle w:val="ListParagraph"/>
        <w:numPr>
          <w:ilvl w:val="0"/>
          <w:numId w:val="4"/>
        </w:numPr>
        <w:spacing w:line="240" w:lineRule="auto"/>
        <w:jc w:val="both"/>
        <w:rPr>
          <w:rFonts w:ascii="Times New Roman" w:hAnsi="Times New Roman" w:cs="Times New Roman"/>
          <w:sz w:val="24"/>
          <w:szCs w:val="24"/>
        </w:rPr>
      </w:pPr>
      <w:r w:rsidRPr="00F90BEE">
        <w:rPr>
          <w:rFonts w:ascii="Times New Roman" w:hAnsi="Times New Roman" w:cs="Times New Roman"/>
          <w:sz w:val="24"/>
          <w:szCs w:val="24"/>
        </w:rPr>
        <w:t>In sum, this study provides a comprehensive foundation for navigating Indonesia’s transition toward a criminal justice system that acknowledges legal diversity while upholding constitutional and human rights standards</w:t>
      </w:r>
      <w:r w:rsidR="00212478">
        <w:rPr>
          <w:rFonts w:ascii="Times New Roman" w:hAnsi="Times New Roman" w:cs="Times New Roman"/>
          <w:sz w:val="24"/>
          <w:szCs w:val="24"/>
        </w:rPr>
        <w:t>.</w:t>
      </w:r>
    </w:p>
    <w:p w14:paraId="3F50736D" w14:textId="77777777" w:rsidR="00FF13CF" w:rsidRPr="00212478" w:rsidRDefault="00FF13CF" w:rsidP="007E0270">
      <w:pPr>
        <w:pStyle w:val="ListParagraph"/>
        <w:spacing w:line="240" w:lineRule="auto"/>
        <w:ind w:left="360"/>
        <w:jc w:val="both"/>
        <w:rPr>
          <w:rFonts w:ascii="Times New Roman" w:hAnsi="Times New Roman" w:cs="Times New Roman"/>
          <w:sz w:val="24"/>
          <w:szCs w:val="24"/>
        </w:rPr>
      </w:pPr>
    </w:p>
    <w:p w14:paraId="3C03BBAD" w14:textId="1B86E62D" w:rsidR="00F90BEE" w:rsidRPr="00F817C0" w:rsidRDefault="00F90BEE" w:rsidP="007E0270">
      <w:pPr>
        <w:pStyle w:val="ListParagraph"/>
        <w:numPr>
          <w:ilvl w:val="0"/>
          <w:numId w:val="9"/>
        </w:numPr>
        <w:spacing w:line="240" w:lineRule="auto"/>
        <w:ind w:left="360"/>
        <w:jc w:val="both"/>
        <w:rPr>
          <w:rFonts w:ascii="Times New Roman" w:hAnsi="Times New Roman" w:cs="Times New Roman"/>
          <w:b/>
          <w:bCs/>
          <w:sz w:val="28"/>
          <w:szCs w:val="28"/>
        </w:rPr>
      </w:pPr>
      <w:r w:rsidRPr="00F817C0">
        <w:rPr>
          <w:rFonts w:ascii="Times New Roman" w:hAnsi="Times New Roman" w:cs="Times New Roman"/>
          <w:b/>
          <w:bCs/>
          <w:sz w:val="28"/>
          <w:szCs w:val="28"/>
        </w:rPr>
        <w:t>Research Methodology</w:t>
      </w:r>
    </w:p>
    <w:p w14:paraId="7643A0C7" w14:textId="12A82DBC" w:rsidR="00B80DFD" w:rsidRPr="00F817C0" w:rsidRDefault="00B80DFD" w:rsidP="007E0270">
      <w:pPr>
        <w:pStyle w:val="ListParagraph"/>
        <w:numPr>
          <w:ilvl w:val="0"/>
          <w:numId w:val="11"/>
        </w:numPr>
        <w:spacing w:line="240" w:lineRule="auto"/>
        <w:ind w:left="360"/>
        <w:jc w:val="both"/>
        <w:rPr>
          <w:rFonts w:ascii="Times New Roman" w:hAnsi="Times New Roman" w:cs="Times New Roman"/>
          <w:b/>
          <w:bCs/>
          <w:sz w:val="28"/>
          <w:szCs w:val="28"/>
        </w:rPr>
      </w:pPr>
      <w:r w:rsidRPr="00F817C0">
        <w:rPr>
          <w:rFonts w:ascii="Times New Roman" w:hAnsi="Times New Roman" w:cs="Times New Roman"/>
          <w:b/>
          <w:bCs/>
          <w:sz w:val="28"/>
          <w:szCs w:val="28"/>
        </w:rPr>
        <w:t>Research Type</w:t>
      </w:r>
    </w:p>
    <w:p w14:paraId="1B7BF6B2"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This study adopts a </w:t>
      </w:r>
      <w:r w:rsidRPr="00F466B1">
        <w:rPr>
          <w:rFonts w:ascii="Times New Roman" w:hAnsi="Times New Roman" w:cs="Times New Roman"/>
          <w:sz w:val="24"/>
          <w:szCs w:val="24"/>
        </w:rPr>
        <w:t>normative juridical research method</w:t>
      </w:r>
      <w:r w:rsidRPr="00B80DFD">
        <w:rPr>
          <w:rFonts w:ascii="Times New Roman" w:hAnsi="Times New Roman" w:cs="Times New Roman"/>
          <w:bCs/>
          <w:sz w:val="24"/>
          <w:szCs w:val="24"/>
        </w:rPr>
        <w:t>, which is traditionally used to examine legal norms as a coherent system of rules, principles, and doctrines. The core relevance of the normative juridical approach lies in its ability to evaluate the internal logic and constitutional legitimacy of legal provisions, making it particularly suitable for analyzing Article 2 of the 2023 Criminal Code. Because the provision involves an attempt to integrate unwritten customary norms into the highly structured framework of criminal law, a method that emphasizes textual interpretation and conceptual clarification is essential.</w:t>
      </w:r>
    </w:p>
    <w:p w14:paraId="7DB3BCA3"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7358BF55"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Moreover, normative juridical research enables scholars to scrutinize the philosophical foundations of legal change. In the context of Indonesia’s criminal law reform, the recognition of living law cannot be understood merely as a statutory innovation; it reflects deeper ideological shifts concerning national identity, pluralism, and postcolonial legal transformation. The normative approach allows the researcher to explore these shifts by situating statutory norms within their broader historical and theoretical landscapes.</w:t>
      </w:r>
    </w:p>
    <w:p w14:paraId="2EB1257A"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5CF78E10" w14:textId="5B4A0BAF" w:rsidR="00B80DFD"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Finally, normative juridical inquiry provides a systematic basis for analyzing potential conflicts between living law and established legal principles</w:t>
      </w:r>
      <w:r w:rsidR="00CA4B38">
        <w:rPr>
          <w:rFonts w:ascii="Times New Roman" w:hAnsi="Times New Roman" w:cs="Times New Roman"/>
          <w:bCs/>
          <w:sz w:val="24"/>
          <w:szCs w:val="24"/>
        </w:rPr>
        <w:t>,</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particularly the formal legality principle that demands clarity, written formulation, and non-retroactivity. Through doctrinal critique and theoretical reconstruction, this research type supports the development of recommendations capable of harmonizing pluralistic normative sources with the rule of law.</w:t>
      </w:r>
    </w:p>
    <w:p w14:paraId="2011E65D"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69BF3C7F" w14:textId="76B5F5B9" w:rsidR="00B80DFD" w:rsidRPr="00D70D9B" w:rsidRDefault="00B80DFD" w:rsidP="007E0270">
      <w:pPr>
        <w:pStyle w:val="ListParagraph"/>
        <w:numPr>
          <w:ilvl w:val="0"/>
          <w:numId w:val="11"/>
        </w:numPr>
        <w:spacing w:line="240" w:lineRule="auto"/>
        <w:ind w:left="360"/>
        <w:jc w:val="both"/>
        <w:rPr>
          <w:rFonts w:ascii="Times New Roman" w:hAnsi="Times New Roman" w:cs="Times New Roman"/>
          <w:b/>
          <w:bCs/>
          <w:sz w:val="28"/>
          <w:szCs w:val="28"/>
        </w:rPr>
      </w:pPr>
      <w:r w:rsidRPr="00D70D9B">
        <w:rPr>
          <w:rFonts w:ascii="Times New Roman" w:hAnsi="Times New Roman" w:cs="Times New Roman"/>
          <w:b/>
          <w:bCs/>
          <w:sz w:val="28"/>
          <w:szCs w:val="28"/>
        </w:rPr>
        <w:t>Research Approaches</w:t>
      </w:r>
    </w:p>
    <w:p w14:paraId="6880D59C" w14:textId="263F1CFA" w:rsidR="00B80DFD" w:rsidRPr="00D70D9B" w:rsidRDefault="00B80DFD" w:rsidP="007E0270">
      <w:pPr>
        <w:pStyle w:val="ListParagraph"/>
        <w:numPr>
          <w:ilvl w:val="0"/>
          <w:numId w:val="12"/>
        </w:numPr>
        <w:spacing w:line="240" w:lineRule="auto"/>
        <w:ind w:left="360"/>
        <w:jc w:val="both"/>
        <w:rPr>
          <w:rFonts w:ascii="Times New Roman" w:hAnsi="Times New Roman" w:cs="Times New Roman"/>
          <w:b/>
          <w:bCs/>
          <w:sz w:val="28"/>
          <w:szCs w:val="28"/>
        </w:rPr>
      </w:pPr>
      <w:r w:rsidRPr="00D70D9B">
        <w:rPr>
          <w:rFonts w:ascii="Times New Roman" w:hAnsi="Times New Roman" w:cs="Times New Roman"/>
          <w:b/>
          <w:bCs/>
          <w:sz w:val="28"/>
          <w:szCs w:val="28"/>
        </w:rPr>
        <w:t>Statutory (Legislation) Approach</w:t>
      </w:r>
    </w:p>
    <w:p w14:paraId="318FBD14"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The statutory approach is central to this study because the debate over living law is fundamentally a debate over the meaning, scope, and legal consequences of Article 2 of the new Criminal Code. This approach involves a close reading of the provision and its relationship with other legal norms, particularly the Constitution. Article 18</w:t>
      </w:r>
      <w:proofErr w:type="gramStart"/>
      <w:r w:rsidRPr="00B80DFD">
        <w:rPr>
          <w:rFonts w:ascii="Times New Roman" w:hAnsi="Times New Roman" w:cs="Times New Roman"/>
          <w:bCs/>
          <w:sz w:val="24"/>
          <w:szCs w:val="24"/>
        </w:rPr>
        <w:t>B(</w:t>
      </w:r>
      <w:proofErr w:type="gramEnd"/>
      <w:r w:rsidRPr="00B80DFD">
        <w:rPr>
          <w:rFonts w:ascii="Times New Roman" w:hAnsi="Times New Roman" w:cs="Times New Roman"/>
          <w:bCs/>
          <w:sz w:val="24"/>
          <w:szCs w:val="24"/>
        </w:rPr>
        <w:t>2) of the 1945 Constitution is a key reference point, as it explicitly declares that the state recognizes and respects customary law communities, provided that their existence is in accordance with national development and human rights principles. This constitutional clause forms the hierarchical foundation for integrating living law into the national legal system.</w:t>
      </w:r>
    </w:p>
    <w:p w14:paraId="72558852"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565BACBF" w14:textId="742F9875"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Additionally, the statutory approach evaluates the vertical and horizontal consistency of the Criminal Code. Vertically, the research examines whether Article 2 aligns with constitutional protections of legal certainty, equality before the law, and the prohibition of retroactive criminal punishment. Horizontally, it analyzes the coherence between Article 2 and other provisions of the Criminal Code</w:t>
      </w:r>
      <w:r w:rsidR="001C3C0D">
        <w:rPr>
          <w:rFonts w:ascii="Times New Roman" w:hAnsi="Times New Roman" w:cs="Times New Roman"/>
          <w:bCs/>
          <w:sz w:val="24"/>
          <w:szCs w:val="24"/>
        </w:rPr>
        <w:t>,</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especially those concerning legality, judicial discretion, and the classification of criminal acts.</w:t>
      </w:r>
    </w:p>
    <w:p w14:paraId="15FEF813"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717FBED3" w14:textId="77777777" w:rsidR="00B80DFD"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This approach also assesses obligations imposed on the executive branch. The Criminal Code itself mandates the issuance of a Government Regulation (</w:t>
      </w:r>
      <w:proofErr w:type="spellStart"/>
      <w:r w:rsidRPr="00B80DFD">
        <w:rPr>
          <w:rFonts w:ascii="Times New Roman" w:hAnsi="Times New Roman" w:cs="Times New Roman"/>
          <w:bCs/>
          <w:sz w:val="24"/>
          <w:szCs w:val="24"/>
        </w:rPr>
        <w:t>Peraturan</w:t>
      </w:r>
      <w:proofErr w:type="spellEnd"/>
      <w:r w:rsidRPr="00B80DFD">
        <w:rPr>
          <w:rFonts w:ascii="Times New Roman" w:hAnsi="Times New Roman" w:cs="Times New Roman"/>
          <w:bCs/>
          <w:sz w:val="24"/>
          <w:szCs w:val="24"/>
        </w:rPr>
        <w:t xml:space="preserve"> </w:t>
      </w:r>
      <w:proofErr w:type="spellStart"/>
      <w:r w:rsidRPr="00B80DFD">
        <w:rPr>
          <w:rFonts w:ascii="Times New Roman" w:hAnsi="Times New Roman" w:cs="Times New Roman"/>
          <w:bCs/>
          <w:sz w:val="24"/>
          <w:szCs w:val="24"/>
        </w:rPr>
        <w:t>Pemerintah</w:t>
      </w:r>
      <w:proofErr w:type="spellEnd"/>
      <w:r w:rsidRPr="00B80DFD">
        <w:rPr>
          <w:rFonts w:ascii="Times New Roman" w:hAnsi="Times New Roman" w:cs="Times New Roman"/>
          <w:bCs/>
          <w:sz w:val="24"/>
          <w:szCs w:val="24"/>
        </w:rPr>
        <w:t>) as a prerequisite for the operationalization of living law. Without such regulation, the provision remains normatively incomplete. Therefore, the statutory approach is used not only to interpret existing norms but to identify regulatory gaps that may impede implementation.</w:t>
      </w:r>
    </w:p>
    <w:p w14:paraId="4CC8A142" w14:textId="77777777" w:rsidR="00B80DFD" w:rsidRDefault="00B80DFD" w:rsidP="007E0270">
      <w:pPr>
        <w:spacing w:line="240" w:lineRule="auto"/>
        <w:contextualSpacing/>
        <w:jc w:val="both"/>
        <w:rPr>
          <w:rFonts w:ascii="Times New Roman" w:hAnsi="Times New Roman" w:cs="Times New Roman"/>
          <w:bCs/>
          <w:sz w:val="24"/>
          <w:szCs w:val="24"/>
        </w:rPr>
      </w:pPr>
    </w:p>
    <w:p w14:paraId="75AD2832" w14:textId="77777777" w:rsidR="00D70D9B" w:rsidRPr="00B80DFD" w:rsidRDefault="00D70D9B" w:rsidP="007E0270">
      <w:pPr>
        <w:spacing w:line="240" w:lineRule="auto"/>
        <w:contextualSpacing/>
        <w:jc w:val="both"/>
        <w:rPr>
          <w:rFonts w:ascii="Times New Roman" w:hAnsi="Times New Roman" w:cs="Times New Roman"/>
          <w:bCs/>
          <w:sz w:val="24"/>
          <w:szCs w:val="24"/>
        </w:rPr>
      </w:pPr>
    </w:p>
    <w:p w14:paraId="47DF3D83" w14:textId="706AF38F" w:rsidR="00B80DFD" w:rsidRPr="00D70D9B" w:rsidRDefault="00B80DFD" w:rsidP="007E0270">
      <w:pPr>
        <w:pStyle w:val="ListParagraph"/>
        <w:numPr>
          <w:ilvl w:val="0"/>
          <w:numId w:val="12"/>
        </w:numPr>
        <w:spacing w:line="240" w:lineRule="auto"/>
        <w:ind w:left="360"/>
        <w:jc w:val="both"/>
        <w:rPr>
          <w:rFonts w:ascii="Times New Roman" w:hAnsi="Times New Roman" w:cs="Times New Roman"/>
          <w:b/>
          <w:bCs/>
          <w:sz w:val="28"/>
          <w:szCs w:val="28"/>
        </w:rPr>
      </w:pPr>
      <w:r w:rsidRPr="00D70D9B">
        <w:rPr>
          <w:rFonts w:ascii="Times New Roman" w:hAnsi="Times New Roman" w:cs="Times New Roman"/>
          <w:b/>
          <w:bCs/>
          <w:sz w:val="28"/>
          <w:szCs w:val="28"/>
        </w:rPr>
        <w:lastRenderedPageBreak/>
        <w:t>Conceptual Approach</w:t>
      </w:r>
    </w:p>
    <w:p w14:paraId="5A47B0F1" w14:textId="7E5CE914"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The conceptual approach provides the theoretical framework necessary for understanding why living law is recognized, how it differs from codified norms, and what risks arise from its incorporation into criminal legislation. The study draws on the extensive literature on legal pluralism, where scholars such as Griffiths (1986), Hooker (1975), and Merry (1988) argue that plural legal orders form the lived normative environment of many societies</w:t>
      </w:r>
      <w:r w:rsidR="00813C28">
        <w:rPr>
          <w:rFonts w:ascii="Times New Roman" w:hAnsi="Times New Roman" w:cs="Times New Roman"/>
          <w:bCs/>
          <w:sz w:val="24"/>
          <w:szCs w:val="24"/>
        </w:rPr>
        <w:t>,</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including Indonesia. These theories help contextualize living law as a legitimate and historically grounded source of social regulation, rather than a deviation from state law.</w:t>
      </w:r>
    </w:p>
    <w:p w14:paraId="0B5BEC0A"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607AF0FB"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In addition, the conceptual approach examines the colonial and postcolonial jurisprudential theories of </w:t>
      </w:r>
      <w:proofErr w:type="spellStart"/>
      <w:r w:rsidRPr="00B80DFD">
        <w:rPr>
          <w:rFonts w:ascii="Times New Roman" w:hAnsi="Times New Roman" w:cs="Times New Roman"/>
          <w:bCs/>
          <w:i/>
          <w:iCs/>
          <w:sz w:val="24"/>
          <w:szCs w:val="24"/>
        </w:rPr>
        <w:t>Receptie</w:t>
      </w:r>
      <w:proofErr w:type="spellEnd"/>
      <w:r w:rsidRPr="00B80DFD">
        <w:rPr>
          <w:rFonts w:ascii="Times New Roman" w:hAnsi="Times New Roman" w:cs="Times New Roman"/>
          <w:bCs/>
          <w:sz w:val="24"/>
          <w:szCs w:val="24"/>
        </w:rPr>
        <w:t xml:space="preserve"> and </w:t>
      </w:r>
      <w:proofErr w:type="spellStart"/>
      <w:r w:rsidRPr="00B80DFD">
        <w:rPr>
          <w:rFonts w:ascii="Times New Roman" w:hAnsi="Times New Roman" w:cs="Times New Roman"/>
          <w:bCs/>
          <w:i/>
          <w:iCs/>
          <w:sz w:val="24"/>
          <w:szCs w:val="24"/>
        </w:rPr>
        <w:t>Receptie</w:t>
      </w:r>
      <w:proofErr w:type="spellEnd"/>
      <w:r w:rsidRPr="00B80DFD">
        <w:rPr>
          <w:rFonts w:ascii="Times New Roman" w:hAnsi="Times New Roman" w:cs="Times New Roman"/>
          <w:bCs/>
          <w:i/>
          <w:iCs/>
          <w:sz w:val="24"/>
          <w:szCs w:val="24"/>
        </w:rPr>
        <w:t xml:space="preserve"> </w:t>
      </w:r>
      <w:proofErr w:type="spellStart"/>
      <w:r w:rsidRPr="00B80DFD">
        <w:rPr>
          <w:rFonts w:ascii="Times New Roman" w:hAnsi="Times New Roman" w:cs="Times New Roman"/>
          <w:bCs/>
          <w:i/>
          <w:iCs/>
          <w:sz w:val="24"/>
          <w:szCs w:val="24"/>
        </w:rPr>
        <w:t>Exsistensie</w:t>
      </w:r>
      <w:proofErr w:type="spellEnd"/>
      <w:r w:rsidRPr="00B80DFD">
        <w:rPr>
          <w:rFonts w:ascii="Times New Roman" w:hAnsi="Times New Roman" w:cs="Times New Roman"/>
          <w:bCs/>
          <w:sz w:val="24"/>
          <w:szCs w:val="24"/>
        </w:rPr>
        <w:t xml:space="preserve">. Van Vollenhoven’s recognition of indigenous legal circles and </w:t>
      </w:r>
      <w:proofErr w:type="spellStart"/>
      <w:r w:rsidRPr="00B80DFD">
        <w:rPr>
          <w:rFonts w:ascii="Times New Roman" w:hAnsi="Times New Roman" w:cs="Times New Roman"/>
          <w:bCs/>
          <w:sz w:val="24"/>
          <w:szCs w:val="24"/>
        </w:rPr>
        <w:t>Soepomo’s</w:t>
      </w:r>
      <w:proofErr w:type="spellEnd"/>
      <w:r w:rsidRPr="00B80DFD">
        <w:rPr>
          <w:rFonts w:ascii="Times New Roman" w:hAnsi="Times New Roman" w:cs="Times New Roman"/>
          <w:bCs/>
          <w:sz w:val="24"/>
          <w:szCs w:val="24"/>
        </w:rPr>
        <w:t xml:space="preserve"> subsequent advocacy for the autonomy of </w:t>
      </w:r>
      <w:proofErr w:type="spellStart"/>
      <w:r w:rsidRPr="00B80DFD">
        <w:rPr>
          <w:rFonts w:ascii="Times New Roman" w:hAnsi="Times New Roman" w:cs="Times New Roman"/>
          <w:bCs/>
          <w:sz w:val="24"/>
          <w:szCs w:val="24"/>
        </w:rPr>
        <w:t>adat</w:t>
      </w:r>
      <w:proofErr w:type="spellEnd"/>
      <w:r w:rsidRPr="00B80DFD">
        <w:rPr>
          <w:rFonts w:ascii="Times New Roman" w:hAnsi="Times New Roman" w:cs="Times New Roman"/>
          <w:bCs/>
          <w:sz w:val="24"/>
          <w:szCs w:val="24"/>
        </w:rPr>
        <w:t xml:space="preserve"> law highlight Indonesia’s long struggle to reposition customary norms within national law. These concepts are necessary to understand the ideological motivations behind restoring living law as part of criminal doctrine.</w:t>
      </w:r>
    </w:p>
    <w:p w14:paraId="1481EB3E" w14:textId="77777777" w:rsidR="00C970EF" w:rsidRPr="00B80DFD" w:rsidRDefault="00C970EF" w:rsidP="007E0270">
      <w:pPr>
        <w:spacing w:line="240" w:lineRule="auto"/>
        <w:contextualSpacing/>
        <w:jc w:val="both"/>
        <w:rPr>
          <w:rFonts w:ascii="Times New Roman" w:hAnsi="Times New Roman" w:cs="Times New Roman"/>
          <w:bCs/>
          <w:sz w:val="24"/>
          <w:szCs w:val="24"/>
        </w:rPr>
      </w:pPr>
    </w:p>
    <w:p w14:paraId="677BB39C" w14:textId="2E59FE38"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Equally important is the analysis of the distinction between </w:t>
      </w:r>
      <w:r w:rsidRPr="00813C28">
        <w:rPr>
          <w:rFonts w:ascii="Times New Roman" w:hAnsi="Times New Roman" w:cs="Times New Roman"/>
          <w:sz w:val="24"/>
          <w:szCs w:val="24"/>
        </w:rPr>
        <w:t>formal legality and material legality</w:t>
      </w:r>
      <w:r w:rsidRPr="00B80DFD">
        <w:rPr>
          <w:rFonts w:ascii="Times New Roman" w:hAnsi="Times New Roman" w:cs="Times New Roman"/>
          <w:bCs/>
          <w:sz w:val="24"/>
          <w:szCs w:val="24"/>
        </w:rPr>
        <w:t>. Drawing on Hart (1961), Fuller (1964), and Ashworth (2013), this study evaluates how the shift toward material legality</w:t>
      </w:r>
      <w:r w:rsidR="00813C28">
        <w:rPr>
          <w:rFonts w:ascii="Times New Roman" w:hAnsi="Times New Roman" w:cs="Times New Roman"/>
          <w:bCs/>
          <w:sz w:val="24"/>
          <w:szCs w:val="24"/>
        </w:rPr>
        <w:t>,</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under which unwritten norms may become a basis for criminal liability</w:t>
      </w:r>
      <w:r w:rsidR="00813C28">
        <w:rPr>
          <w:rFonts w:ascii="Times New Roman" w:hAnsi="Times New Roman" w:cs="Times New Roman"/>
          <w:bCs/>
          <w:sz w:val="24"/>
          <w:szCs w:val="24"/>
        </w:rPr>
        <w:t>,</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impacts constitutional guarantees such as clarity, predictability, and non-retroactivity. This conceptual lens is critical for identifying doctrinal tensions that living law may introduce into the criminal justice system.</w:t>
      </w:r>
    </w:p>
    <w:p w14:paraId="0FA64D21"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79E99C37" w14:textId="1B4D0F57" w:rsidR="00B80DFD"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Finally, the conceptual approach incorporates principles of </w:t>
      </w:r>
      <w:r w:rsidRPr="001C3C0D">
        <w:rPr>
          <w:rFonts w:ascii="Times New Roman" w:hAnsi="Times New Roman" w:cs="Times New Roman"/>
          <w:sz w:val="24"/>
          <w:szCs w:val="24"/>
        </w:rPr>
        <w:t>restorative justice</w:t>
      </w:r>
      <w:r w:rsidRPr="00B80DFD">
        <w:rPr>
          <w:rFonts w:ascii="Times New Roman" w:hAnsi="Times New Roman" w:cs="Times New Roman"/>
          <w:bCs/>
          <w:sz w:val="24"/>
          <w:szCs w:val="24"/>
        </w:rPr>
        <w:t>, drawing from the works of Braithwaite (2002) and Zehr (2008). Customary law often emphasizes reconciliation, compensation, and community harmony</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values that resonate with global restorative justice trends. Thus, this approach helps clarify how living law can contribute positively to contemporary penal reform.</w:t>
      </w:r>
    </w:p>
    <w:p w14:paraId="121AD0C9"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29C86A97" w14:textId="0F978F4A" w:rsidR="00B80DFD" w:rsidRPr="00880FA4" w:rsidRDefault="00B80DFD" w:rsidP="007E0270">
      <w:pPr>
        <w:pStyle w:val="ListParagraph"/>
        <w:numPr>
          <w:ilvl w:val="0"/>
          <w:numId w:val="12"/>
        </w:numPr>
        <w:spacing w:line="240" w:lineRule="auto"/>
        <w:ind w:left="360"/>
        <w:jc w:val="both"/>
        <w:rPr>
          <w:rFonts w:ascii="Times New Roman" w:hAnsi="Times New Roman" w:cs="Times New Roman"/>
          <w:b/>
          <w:bCs/>
          <w:sz w:val="28"/>
          <w:szCs w:val="28"/>
        </w:rPr>
      </w:pPr>
      <w:r w:rsidRPr="00880FA4">
        <w:rPr>
          <w:rFonts w:ascii="Times New Roman" w:hAnsi="Times New Roman" w:cs="Times New Roman"/>
          <w:b/>
          <w:bCs/>
          <w:sz w:val="28"/>
          <w:szCs w:val="28"/>
        </w:rPr>
        <w:t>Case Approach</w:t>
      </w:r>
    </w:p>
    <w:p w14:paraId="08ADE5D8"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The case approach serves to ground theoretical analysis in real-world examples, demonstrating the practical stakes of recognizing or failing to recognize living law. Indonesia has experienced numerous legal conflicts involving </w:t>
      </w:r>
      <w:proofErr w:type="spellStart"/>
      <w:r w:rsidRPr="00B80DFD">
        <w:rPr>
          <w:rFonts w:ascii="Times New Roman" w:hAnsi="Times New Roman" w:cs="Times New Roman"/>
          <w:bCs/>
          <w:sz w:val="24"/>
          <w:szCs w:val="24"/>
        </w:rPr>
        <w:t>adat</w:t>
      </w:r>
      <w:proofErr w:type="spellEnd"/>
      <w:r w:rsidRPr="00B80DFD">
        <w:rPr>
          <w:rFonts w:ascii="Times New Roman" w:hAnsi="Times New Roman" w:cs="Times New Roman"/>
          <w:bCs/>
          <w:sz w:val="24"/>
          <w:szCs w:val="24"/>
        </w:rPr>
        <w:t xml:space="preserve"> communities, many of which arise in contexts such as land disputes, environmental conservation, and the prosecution of ritual practices. These cases reveal systemic gaps between statutory criminal law and community norms.</w:t>
      </w:r>
    </w:p>
    <w:p w14:paraId="125751C9"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3AE935FB"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For example, after the Constitutional Court’s landmark Decision No. 35/PUU-X/2012, which defined customary forests as separate from state forests, indigenous communities engaged in traditional forest activities continued to face criminalization. These conflicts illustrate how normative mismatches between state law and customary practices can lead to the unjust prosecution of vulnerable groups. Such cases highlight the importance of clarifying the legal status of living law and the mechanisms for validating its application.</w:t>
      </w:r>
    </w:p>
    <w:p w14:paraId="1FC8AD3C"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70AAA279"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Similarly, cases involving ritual animal sacrifices, initiation ceremonies, or culturally embedded sanctions reflect the tension between local customs and national criminal provisions. Courts have struggled to assess whether such practices constitute criminal acts or legitimate expressions of cultural identity. These examples show that the absence of clear legal guidance on living law generates inconsistent judicial outcomes.</w:t>
      </w:r>
    </w:p>
    <w:p w14:paraId="5D27E754"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5EE26698" w14:textId="77777777" w:rsidR="00B80DFD"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Thus, the case approach not only illustrates the urgency of regulatory reform but also provides empirical grounding for evaluating the risks and opportunities associated with the Criminal Code’s recognition of living law.</w:t>
      </w:r>
    </w:p>
    <w:p w14:paraId="2E86B055"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002781ED" w14:textId="506341E9" w:rsidR="00B80DFD" w:rsidRPr="004668AD" w:rsidRDefault="00B80DFD" w:rsidP="007E0270">
      <w:pPr>
        <w:pStyle w:val="ListParagraph"/>
        <w:numPr>
          <w:ilvl w:val="0"/>
          <w:numId w:val="11"/>
        </w:numPr>
        <w:spacing w:line="240" w:lineRule="auto"/>
        <w:ind w:left="360"/>
        <w:jc w:val="both"/>
        <w:rPr>
          <w:rFonts w:ascii="Times New Roman" w:hAnsi="Times New Roman" w:cs="Times New Roman"/>
          <w:b/>
          <w:bCs/>
          <w:sz w:val="28"/>
          <w:szCs w:val="28"/>
        </w:rPr>
      </w:pPr>
      <w:r w:rsidRPr="004668AD">
        <w:rPr>
          <w:rFonts w:ascii="Times New Roman" w:hAnsi="Times New Roman" w:cs="Times New Roman"/>
          <w:b/>
          <w:bCs/>
          <w:sz w:val="28"/>
          <w:szCs w:val="28"/>
        </w:rPr>
        <w:t>Legal Materials</w:t>
      </w:r>
    </w:p>
    <w:p w14:paraId="06B01ACC" w14:textId="77777777" w:rsidR="00B80DFD"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Legal materials for this research are divided into primary and secondary sources.</w:t>
      </w:r>
    </w:p>
    <w:p w14:paraId="2D00B258" w14:textId="77777777" w:rsidR="00B80DFD" w:rsidRPr="00813C28" w:rsidRDefault="00B80DFD" w:rsidP="007E0270">
      <w:pPr>
        <w:spacing w:line="240" w:lineRule="auto"/>
        <w:contextualSpacing/>
        <w:jc w:val="both"/>
        <w:rPr>
          <w:rFonts w:ascii="Times New Roman" w:hAnsi="Times New Roman" w:cs="Times New Roman"/>
          <w:sz w:val="24"/>
          <w:szCs w:val="24"/>
        </w:rPr>
      </w:pPr>
      <w:r w:rsidRPr="00B80DFD">
        <w:rPr>
          <w:rFonts w:ascii="Times New Roman" w:hAnsi="Times New Roman" w:cs="Times New Roman"/>
          <w:bCs/>
          <w:sz w:val="24"/>
          <w:szCs w:val="24"/>
        </w:rPr>
        <w:t xml:space="preserve">Primary legal materials include the </w:t>
      </w:r>
      <w:r w:rsidRPr="00813C28">
        <w:rPr>
          <w:rFonts w:ascii="Times New Roman" w:hAnsi="Times New Roman" w:cs="Times New Roman"/>
          <w:sz w:val="24"/>
          <w:szCs w:val="24"/>
        </w:rPr>
        <w:t xml:space="preserve">2023 Criminal Code, which is the focal text for analysis; the 1945 Constitution, which provides the normative hierarchy for evaluating the legitimacy of Article 2; and </w:t>
      </w:r>
      <w:r w:rsidRPr="00813C28">
        <w:rPr>
          <w:rFonts w:ascii="Times New Roman" w:hAnsi="Times New Roman" w:cs="Times New Roman"/>
          <w:sz w:val="24"/>
          <w:szCs w:val="24"/>
        </w:rPr>
        <w:lastRenderedPageBreak/>
        <w:t>Constitutional Court decisions, which clarify constitutional protection of customary communities. Relevant regional regulations (</w:t>
      </w:r>
      <w:proofErr w:type="spellStart"/>
      <w:r w:rsidRPr="00813C28">
        <w:rPr>
          <w:rFonts w:ascii="Times New Roman" w:hAnsi="Times New Roman" w:cs="Times New Roman"/>
          <w:sz w:val="24"/>
          <w:szCs w:val="24"/>
        </w:rPr>
        <w:t>Peraturan</w:t>
      </w:r>
      <w:proofErr w:type="spellEnd"/>
      <w:r w:rsidRPr="00813C28">
        <w:rPr>
          <w:rFonts w:ascii="Times New Roman" w:hAnsi="Times New Roman" w:cs="Times New Roman"/>
          <w:sz w:val="24"/>
          <w:szCs w:val="24"/>
        </w:rPr>
        <w:t xml:space="preserve"> Daerah) recognizing specific </w:t>
      </w:r>
      <w:proofErr w:type="spellStart"/>
      <w:r w:rsidRPr="00813C28">
        <w:rPr>
          <w:rFonts w:ascii="Times New Roman" w:hAnsi="Times New Roman" w:cs="Times New Roman"/>
          <w:sz w:val="24"/>
          <w:szCs w:val="24"/>
        </w:rPr>
        <w:t>adat</w:t>
      </w:r>
      <w:proofErr w:type="spellEnd"/>
      <w:r w:rsidRPr="00813C28">
        <w:rPr>
          <w:rFonts w:ascii="Times New Roman" w:hAnsi="Times New Roman" w:cs="Times New Roman"/>
          <w:sz w:val="24"/>
          <w:szCs w:val="24"/>
        </w:rPr>
        <w:t xml:space="preserve"> communities are also examined where applicable, as they may serve as precedents for future derivative regulations.</w:t>
      </w:r>
    </w:p>
    <w:p w14:paraId="0EC69E99" w14:textId="77777777" w:rsidR="00B80DFD" w:rsidRPr="00813C28" w:rsidRDefault="00B80DFD" w:rsidP="007E0270">
      <w:pPr>
        <w:spacing w:line="240" w:lineRule="auto"/>
        <w:contextualSpacing/>
        <w:jc w:val="both"/>
        <w:rPr>
          <w:rFonts w:ascii="Times New Roman" w:hAnsi="Times New Roman" w:cs="Times New Roman"/>
          <w:sz w:val="24"/>
          <w:szCs w:val="24"/>
        </w:rPr>
      </w:pPr>
    </w:p>
    <w:p w14:paraId="74BF067E" w14:textId="77777777" w:rsidR="00B80DFD" w:rsidRPr="00B80DFD" w:rsidRDefault="00B80DFD" w:rsidP="007E0270">
      <w:pPr>
        <w:spacing w:line="240" w:lineRule="auto"/>
        <w:contextualSpacing/>
        <w:jc w:val="both"/>
        <w:rPr>
          <w:rFonts w:ascii="Times New Roman" w:hAnsi="Times New Roman" w:cs="Times New Roman"/>
          <w:bCs/>
          <w:sz w:val="24"/>
          <w:szCs w:val="24"/>
        </w:rPr>
      </w:pPr>
      <w:r w:rsidRPr="00813C28">
        <w:rPr>
          <w:rFonts w:ascii="Times New Roman" w:hAnsi="Times New Roman" w:cs="Times New Roman"/>
          <w:sz w:val="24"/>
          <w:szCs w:val="24"/>
        </w:rPr>
        <w:t xml:space="preserve">Secondary legal materials include doctrinal writings on </w:t>
      </w:r>
      <w:proofErr w:type="spellStart"/>
      <w:r w:rsidRPr="00813C28">
        <w:rPr>
          <w:rFonts w:ascii="Times New Roman" w:hAnsi="Times New Roman" w:cs="Times New Roman"/>
          <w:sz w:val="24"/>
          <w:szCs w:val="24"/>
        </w:rPr>
        <w:t>adat</w:t>
      </w:r>
      <w:proofErr w:type="spellEnd"/>
      <w:r w:rsidRPr="00813C28">
        <w:rPr>
          <w:rFonts w:ascii="Times New Roman" w:hAnsi="Times New Roman" w:cs="Times New Roman"/>
          <w:sz w:val="24"/>
          <w:szCs w:val="24"/>
        </w:rPr>
        <w:t xml:space="preserve"> law, both classical and contemporary; scholarly insights on legal pluralism; comparative criminal law studies; and literature on restorative justice and indigenous rights. In addition, reports by NGOs, international bodies, and academic research centers serve as supplementary sources for understanding how customary communities experience legal marginalization</w:t>
      </w:r>
      <w:r w:rsidRPr="00B80DFD">
        <w:rPr>
          <w:rFonts w:ascii="Times New Roman" w:hAnsi="Times New Roman" w:cs="Times New Roman"/>
          <w:bCs/>
          <w:sz w:val="24"/>
          <w:szCs w:val="24"/>
        </w:rPr>
        <w:t xml:space="preserve"> under the existing system. Together, these materials form a rich base for analyzing doctrinal, philosophical, and practical dimensions of living law.</w:t>
      </w:r>
    </w:p>
    <w:p w14:paraId="5F690D17"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5C281095" w14:textId="1E50F998" w:rsidR="00B80DFD" w:rsidRPr="004668AD" w:rsidRDefault="00B80DFD" w:rsidP="007E0270">
      <w:pPr>
        <w:pStyle w:val="ListParagraph"/>
        <w:numPr>
          <w:ilvl w:val="0"/>
          <w:numId w:val="11"/>
        </w:numPr>
        <w:spacing w:line="240" w:lineRule="auto"/>
        <w:ind w:left="360"/>
        <w:jc w:val="both"/>
        <w:rPr>
          <w:rFonts w:ascii="Times New Roman" w:hAnsi="Times New Roman" w:cs="Times New Roman"/>
          <w:b/>
          <w:bCs/>
          <w:sz w:val="28"/>
          <w:szCs w:val="28"/>
        </w:rPr>
      </w:pPr>
      <w:r w:rsidRPr="004668AD">
        <w:rPr>
          <w:rFonts w:ascii="Times New Roman" w:hAnsi="Times New Roman" w:cs="Times New Roman"/>
          <w:b/>
          <w:bCs/>
          <w:sz w:val="28"/>
          <w:szCs w:val="28"/>
        </w:rPr>
        <w:t>Techniques of Analysis</w:t>
      </w:r>
    </w:p>
    <w:p w14:paraId="08110D2F" w14:textId="77777777" w:rsidR="00B80DFD" w:rsidRPr="00813C28" w:rsidRDefault="00B80DFD" w:rsidP="007E0270">
      <w:pPr>
        <w:spacing w:line="240" w:lineRule="auto"/>
        <w:contextualSpacing/>
        <w:jc w:val="both"/>
        <w:rPr>
          <w:rFonts w:ascii="Times New Roman" w:hAnsi="Times New Roman" w:cs="Times New Roman"/>
          <w:sz w:val="24"/>
          <w:szCs w:val="24"/>
        </w:rPr>
      </w:pPr>
      <w:r w:rsidRPr="00B80DFD">
        <w:rPr>
          <w:rFonts w:ascii="Times New Roman" w:hAnsi="Times New Roman" w:cs="Times New Roman"/>
          <w:bCs/>
          <w:sz w:val="24"/>
          <w:szCs w:val="24"/>
        </w:rPr>
        <w:t xml:space="preserve">The study utilizes two analytical techniques: </w:t>
      </w:r>
      <w:r w:rsidRPr="00813C28">
        <w:rPr>
          <w:rFonts w:ascii="Times New Roman" w:hAnsi="Times New Roman" w:cs="Times New Roman"/>
          <w:sz w:val="24"/>
          <w:szCs w:val="24"/>
        </w:rPr>
        <w:t>content analysis and legal construction.</w:t>
      </w:r>
    </w:p>
    <w:p w14:paraId="11336A84"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Content analysis is used to interpret Article 2 by examining the language of the statute, its normative structure, and its legislative intent. This technique allows the researcher to identify ambiguities, potential constitutional conflicts, and the intended scope of discretion for judges and law-enforcement authorities. By analyzing legislative records, explanatory memoranda, and scholarly commentary, content analysis provides a deep understanding of how living law is conceptualized within the statute.</w:t>
      </w:r>
    </w:p>
    <w:p w14:paraId="7C8A0465"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55D78A9B"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Legal construction (</w:t>
      </w:r>
      <w:proofErr w:type="spellStart"/>
      <w:r w:rsidRPr="00B80DFD">
        <w:rPr>
          <w:rFonts w:ascii="Times New Roman" w:hAnsi="Times New Roman" w:cs="Times New Roman"/>
          <w:bCs/>
          <w:sz w:val="24"/>
          <w:szCs w:val="24"/>
        </w:rPr>
        <w:t>rechtsvinding</w:t>
      </w:r>
      <w:proofErr w:type="spellEnd"/>
      <w:r w:rsidRPr="00B80DFD">
        <w:rPr>
          <w:rFonts w:ascii="Times New Roman" w:hAnsi="Times New Roman" w:cs="Times New Roman"/>
          <w:bCs/>
          <w:sz w:val="24"/>
          <w:szCs w:val="24"/>
        </w:rPr>
        <w:t>) is then used to propose solutions to doctrinal and institutional gaps. Through systematic logic and interpretive reconstruction, legal construction seeks to build a normative model that harmonizes living law with the formal legality principle, human rights standards, and demands for legal certainty. This method is crucial for formulating recommendations, including criteria for verifying customary norms, mechanisms for judicial review, and safeguards to prevent discriminatory enforcement.</w:t>
      </w:r>
    </w:p>
    <w:p w14:paraId="48ED3626" w14:textId="77777777" w:rsidR="00B80DFD" w:rsidRPr="00B80DFD" w:rsidRDefault="00B80DFD" w:rsidP="007E0270">
      <w:pPr>
        <w:spacing w:line="240" w:lineRule="auto"/>
        <w:contextualSpacing/>
        <w:jc w:val="both"/>
        <w:rPr>
          <w:rFonts w:ascii="Times New Roman" w:hAnsi="Times New Roman" w:cs="Times New Roman"/>
          <w:bCs/>
          <w:sz w:val="24"/>
          <w:szCs w:val="24"/>
        </w:rPr>
      </w:pPr>
    </w:p>
    <w:p w14:paraId="4F43217A" w14:textId="77777777" w:rsidR="00B80DFD"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Together, these techniques enable a comprehensive examination of both the theoretical legitimacy and the practical feasibility of the living law provision.</w:t>
      </w:r>
    </w:p>
    <w:p w14:paraId="5D681EB5"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7E6EFA57" w14:textId="49FC4D9A" w:rsidR="00F90BEE" w:rsidRPr="00906D4D" w:rsidRDefault="00F90BEE" w:rsidP="007E0270">
      <w:pPr>
        <w:pStyle w:val="ListParagraph"/>
        <w:numPr>
          <w:ilvl w:val="0"/>
          <w:numId w:val="9"/>
        </w:numPr>
        <w:spacing w:line="240" w:lineRule="auto"/>
        <w:ind w:left="360"/>
        <w:jc w:val="both"/>
        <w:rPr>
          <w:rFonts w:ascii="Times New Roman" w:hAnsi="Times New Roman" w:cs="Times New Roman"/>
          <w:b/>
          <w:bCs/>
          <w:sz w:val="28"/>
          <w:szCs w:val="28"/>
        </w:rPr>
      </w:pPr>
      <w:r w:rsidRPr="00906D4D">
        <w:rPr>
          <w:rFonts w:ascii="Times New Roman" w:hAnsi="Times New Roman" w:cs="Times New Roman"/>
          <w:b/>
          <w:bCs/>
          <w:sz w:val="28"/>
          <w:szCs w:val="28"/>
        </w:rPr>
        <w:t>Results and Discussion</w:t>
      </w:r>
    </w:p>
    <w:p w14:paraId="0286CDBA" w14:textId="3CD37BA2" w:rsidR="00F90BEE" w:rsidRPr="00906D4D" w:rsidRDefault="00F90BEE" w:rsidP="007E0270">
      <w:pPr>
        <w:pStyle w:val="ListParagraph"/>
        <w:numPr>
          <w:ilvl w:val="0"/>
          <w:numId w:val="13"/>
        </w:numPr>
        <w:spacing w:line="240" w:lineRule="auto"/>
        <w:ind w:left="360"/>
        <w:jc w:val="both"/>
        <w:rPr>
          <w:rFonts w:ascii="Times New Roman" w:hAnsi="Times New Roman" w:cs="Times New Roman"/>
          <w:b/>
          <w:bCs/>
          <w:sz w:val="28"/>
          <w:szCs w:val="28"/>
        </w:rPr>
      </w:pPr>
      <w:r w:rsidRPr="00906D4D">
        <w:rPr>
          <w:rFonts w:ascii="Times New Roman" w:hAnsi="Times New Roman" w:cs="Times New Roman"/>
          <w:b/>
          <w:bCs/>
          <w:sz w:val="28"/>
          <w:szCs w:val="28"/>
        </w:rPr>
        <w:t xml:space="preserve">The Philosophical Foundation of Adat Law: From </w:t>
      </w:r>
      <w:proofErr w:type="spellStart"/>
      <w:r w:rsidRPr="00906D4D">
        <w:rPr>
          <w:rFonts w:ascii="Times New Roman" w:hAnsi="Times New Roman" w:cs="Times New Roman"/>
          <w:b/>
          <w:bCs/>
          <w:sz w:val="28"/>
          <w:szCs w:val="28"/>
        </w:rPr>
        <w:t>Receptie</w:t>
      </w:r>
      <w:proofErr w:type="spellEnd"/>
      <w:r w:rsidRPr="00906D4D">
        <w:rPr>
          <w:rFonts w:ascii="Times New Roman" w:hAnsi="Times New Roman" w:cs="Times New Roman"/>
          <w:b/>
          <w:bCs/>
          <w:sz w:val="28"/>
          <w:szCs w:val="28"/>
        </w:rPr>
        <w:t xml:space="preserve"> </w:t>
      </w:r>
      <w:proofErr w:type="spellStart"/>
      <w:r w:rsidRPr="00906D4D">
        <w:rPr>
          <w:rFonts w:ascii="Times New Roman" w:hAnsi="Times New Roman" w:cs="Times New Roman"/>
          <w:b/>
          <w:bCs/>
          <w:sz w:val="28"/>
          <w:szCs w:val="28"/>
        </w:rPr>
        <w:t>Exsistensie</w:t>
      </w:r>
      <w:proofErr w:type="spellEnd"/>
      <w:r w:rsidRPr="00906D4D">
        <w:rPr>
          <w:rFonts w:ascii="Times New Roman" w:hAnsi="Times New Roman" w:cs="Times New Roman"/>
          <w:b/>
          <w:bCs/>
          <w:sz w:val="28"/>
          <w:szCs w:val="28"/>
        </w:rPr>
        <w:t xml:space="preserve"> to Modern Substantive Justice</w:t>
      </w:r>
    </w:p>
    <w:p w14:paraId="088EFE43" w14:textId="77777777" w:rsidR="00F90BEE" w:rsidRP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Customary law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has long been recognized as a dynamic and community-rooted legal system, observed by scholars such as van Vollenhoven (1901) and Ter Haar (1939). Unlike statutory law,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is embedded in social practices and evolves organically with the community. </w:t>
      </w:r>
      <w:proofErr w:type="spellStart"/>
      <w:r w:rsidRPr="00F90BEE">
        <w:rPr>
          <w:rFonts w:ascii="Times New Roman" w:hAnsi="Times New Roman" w:cs="Times New Roman"/>
          <w:sz w:val="24"/>
          <w:szCs w:val="24"/>
        </w:rPr>
        <w:t>Soepomo’s</w:t>
      </w:r>
      <w:proofErr w:type="spellEnd"/>
      <w:r w:rsidRPr="00F90BEE">
        <w:rPr>
          <w:rFonts w:ascii="Times New Roman" w:hAnsi="Times New Roman" w:cs="Times New Roman"/>
          <w:sz w:val="24"/>
          <w:szCs w:val="24"/>
        </w:rPr>
        <w:t xml:space="preserve"> </w:t>
      </w:r>
      <w:proofErr w:type="spellStart"/>
      <w:r w:rsidRPr="00F90BEE">
        <w:rPr>
          <w:rFonts w:ascii="Times New Roman" w:hAnsi="Times New Roman" w:cs="Times New Roman"/>
          <w:sz w:val="24"/>
          <w:szCs w:val="24"/>
        </w:rPr>
        <w:t>Receptie</w:t>
      </w:r>
      <w:proofErr w:type="spellEnd"/>
      <w:r w:rsidRPr="00F90BEE">
        <w:rPr>
          <w:rFonts w:ascii="Times New Roman" w:hAnsi="Times New Roman" w:cs="Times New Roman"/>
          <w:sz w:val="24"/>
          <w:szCs w:val="24"/>
        </w:rPr>
        <w:t xml:space="preserve"> </w:t>
      </w:r>
      <w:proofErr w:type="spellStart"/>
      <w:r w:rsidRPr="00F90BEE">
        <w:rPr>
          <w:rFonts w:ascii="Times New Roman" w:hAnsi="Times New Roman" w:cs="Times New Roman"/>
          <w:sz w:val="24"/>
          <w:szCs w:val="24"/>
        </w:rPr>
        <w:t>Exsistensie</w:t>
      </w:r>
      <w:proofErr w:type="spellEnd"/>
      <w:r w:rsidRPr="00F90BEE">
        <w:rPr>
          <w:rFonts w:ascii="Times New Roman" w:hAnsi="Times New Roman" w:cs="Times New Roman"/>
          <w:sz w:val="24"/>
          <w:szCs w:val="24"/>
        </w:rPr>
        <w:t xml:space="preserve"> theory elevated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from a subordinate folk system to a legitimate expression of Indonesia’s collective identity, asserting that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law applies because it lives within the people.</w:t>
      </w:r>
    </w:p>
    <w:p w14:paraId="70BD11D4" w14:textId="77777777"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The recognition of living law in the new Criminal Code echoes this philosophical lineage. It signifies a deliberate turn toward endogenous legal development, affirming that national law must reflect the nation’s </w:t>
      </w:r>
      <w:proofErr w:type="spellStart"/>
      <w:r w:rsidRPr="00F90BEE">
        <w:rPr>
          <w:rFonts w:ascii="Times New Roman" w:hAnsi="Times New Roman" w:cs="Times New Roman"/>
          <w:i/>
          <w:iCs/>
          <w:sz w:val="24"/>
          <w:szCs w:val="24"/>
        </w:rPr>
        <w:t>Volksgeist</w:t>
      </w:r>
      <w:proofErr w:type="spellEnd"/>
      <w:r w:rsidRPr="00F90BEE">
        <w:rPr>
          <w:rFonts w:ascii="Times New Roman" w:hAnsi="Times New Roman" w:cs="Times New Roman"/>
          <w:sz w:val="24"/>
          <w:szCs w:val="24"/>
        </w:rPr>
        <w:t>. In the context of modernization, this recognition also aligns with contemporary pluralism scholars who argue that legal systems must accommodate diverse normative orders rather than suppress them (Merry 1988; Hooker 1981).</w:t>
      </w:r>
    </w:p>
    <w:p w14:paraId="2061D969"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64DE4EF5" w14:textId="77777777" w:rsidR="00F90BEE" w:rsidRP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However, the integration of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into modern penal law necessitates adjustment. Adat’s communal orientation, restorative nature, and contextual application contrast with the standardization demanded by the modern state. Thus, the living law provision can be seen as an attempt to modernize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by embedding it within a rights-based, constitutional framework while preserving its cultural essence.</w:t>
      </w:r>
    </w:p>
    <w:p w14:paraId="3F880796"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6097E5A0" w14:textId="219A7D56" w:rsidR="00F90BEE" w:rsidRPr="00906D4D" w:rsidRDefault="00F90BEE" w:rsidP="007E0270">
      <w:pPr>
        <w:pStyle w:val="ListParagraph"/>
        <w:numPr>
          <w:ilvl w:val="0"/>
          <w:numId w:val="13"/>
        </w:numPr>
        <w:spacing w:line="240" w:lineRule="auto"/>
        <w:ind w:left="360"/>
        <w:jc w:val="both"/>
        <w:rPr>
          <w:rFonts w:ascii="Times New Roman" w:hAnsi="Times New Roman" w:cs="Times New Roman"/>
          <w:b/>
          <w:bCs/>
          <w:sz w:val="28"/>
          <w:szCs w:val="28"/>
        </w:rPr>
      </w:pPr>
      <w:r w:rsidRPr="00906D4D">
        <w:rPr>
          <w:rFonts w:ascii="Times New Roman" w:hAnsi="Times New Roman" w:cs="Times New Roman"/>
          <w:b/>
          <w:bCs/>
          <w:sz w:val="28"/>
          <w:szCs w:val="28"/>
        </w:rPr>
        <w:t>The Central Conflict: Material Legality versus Formal Legality and Legal Certainty</w:t>
      </w:r>
    </w:p>
    <w:p w14:paraId="3E5106B0" w14:textId="1B7E46AF"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Criminal law is traditionally bound to the principle of formal legality</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 xml:space="preserve">no crime without clear, prospective, written law (Hart 1961; Ashworth 2013). This principle ensures foreseeability and protects individuals from arbitrary </w:t>
      </w:r>
      <w:r w:rsidRPr="00F90BEE">
        <w:rPr>
          <w:rFonts w:ascii="Times New Roman" w:hAnsi="Times New Roman" w:cs="Times New Roman"/>
          <w:sz w:val="24"/>
          <w:szCs w:val="24"/>
        </w:rPr>
        <w:lastRenderedPageBreak/>
        <w:t>enforcement. By contrast, material legality</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implicitly adopted in Article 2</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allows unwritten but socially condemned acts to be punished.</w:t>
      </w:r>
    </w:p>
    <w:p w14:paraId="457A666E" w14:textId="77777777" w:rsidR="00B80DFD" w:rsidRPr="00F90BEE" w:rsidRDefault="00B80DFD" w:rsidP="007E0270">
      <w:pPr>
        <w:spacing w:line="240" w:lineRule="auto"/>
        <w:contextualSpacing/>
        <w:jc w:val="both"/>
        <w:rPr>
          <w:rFonts w:ascii="Times New Roman" w:hAnsi="Times New Roman" w:cs="Times New Roman"/>
          <w:sz w:val="24"/>
          <w:szCs w:val="24"/>
        </w:rPr>
      </w:pPr>
    </w:p>
    <w:p w14:paraId="03B8514C" w14:textId="77777777"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This shift raises significant concerns. First, the absence of codified elements of offenses challenges </w:t>
      </w:r>
      <w:r w:rsidRPr="00F90BEE">
        <w:rPr>
          <w:rFonts w:ascii="Times New Roman" w:hAnsi="Times New Roman" w:cs="Times New Roman"/>
          <w:i/>
          <w:iCs/>
          <w:sz w:val="24"/>
          <w:szCs w:val="24"/>
        </w:rPr>
        <w:t xml:space="preserve">lex </w:t>
      </w:r>
      <w:proofErr w:type="spellStart"/>
      <w:r w:rsidRPr="00F90BEE">
        <w:rPr>
          <w:rFonts w:ascii="Times New Roman" w:hAnsi="Times New Roman" w:cs="Times New Roman"/>
          <w:i/>
          <w:iCs/>
          <w:sz w:val="24"/>
          <w:szCs w:val="24"/>
        </w:rPr>
        <w:t>certa</w:t>
      </w:r>
      <w:proofErr w:type="spellEnd"/>
      <w:r w:rsidRPr="00F90BEE">
        <w:rPr>
          <w:rFonts w:ascii="Times New Roman" w:hAnsi="Times New Roman" w:cs="Times New Roman"/>
          <w:sz w:val="24"/>
          <w:szCs w:val="24"/>
        </w:rPr>
        <w:t xml:space="preserve">, as individuals cannot reasonably anticipate which actions are criminalized. Second, the geographical and cultural variability of customary norms introduces unequal application of criminal law. Third, the potential clash between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norms and human rights, such as gender equality, minority protection, and the prohibition of degrading punishment, presents further complications.</w:t>
      </w:r>
    </w:p>
    <w:p w14:paraId="51138116" w14:textId="77777777" w:rsidR="00B80DFD" w:rsidRPr="00F90BEE" w:rsidRDefault="00B80DFD" w:rsidP="007E0270">
      <w:pPr>
        <w:spacing w:line="240" w:lineRule="auto"/>
        <w:contextualSpacing/>
        <w:jc w:val="both"/>
        <w:rPr>
          <w:rFonts w:ascii="Times New Roman" w:hAnsi="Times New Roman" w:cs="Times New Roman"/>
          <w:sz w:val="24"/>
          <w:szCs w:val="24"/>
        </w:rPr>
      </w:pPr>
    </w:p>
    <w:p w14:paraId="744C16D6" w14:textId="77777777" w:rsidR="00F90BEE" w:rsidRP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Without adequate safeguards, this tension may undermine legal certainty, weaken rule-of-law standards, and open the door to discriminatory enforcement.</w:t>
      </w:r>
    </w:p>
    <w:p w14:paraId="2614F486"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0CF577FF" w14:textId="3FC8C6BA" w:rsidR="00F90BEE" w:rsidRPr="00906D4D" w:rsidRDefault="00F90BEE" w:rsidP="007E0270">
      <w:pPr>
        <w:pStyle w:val="ListParagraph"/>
        <w:numPr>
          <w:ilvl w:val="0"/>
          <w:numId w:val="13"/>
        </w:numPr>
        <w:spacing w:line="240" w:lineRule="auto"/>
        <w:ind w:left="360"/>
        <w:jc w:val="both"/>
        <w:rPr>
          <w:rFonts w:ascii="Times New Roman" w:hAnsi="Times New Roman" w:cs="Times New Roman"/>
          <w:b/>
          <w:bCs/>
          <w:sz w:val="28"/>
          <w:szCs w:val="28"/>
        </w:rPr>
      </w:pPr>
      <w:r w:rsidRPr="00906D4D">
        <w:rPr>
          <w:rFonts w:ascii="Times New Roman" w:hAnsi="Times New Roman" w:cs="Times New Roman"/>
          <w:b/>
          <w:bCs/>
          <w:sz w:val="28"/>
          <w:szCs w:val="28"/>
        </w:rPr>
        <w:t>Restorative Justice as the Bridge Between Legal Pluralism and Penal Legality</w:t>
      </w:r>
    </w:p>
    <w:p w14:paraId="400937C5" w14:textId="228827B0"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Restorative justice provides a conceptual bridge that harmonizes customary values with the modern criminal justice system. Scholars such as Braithwaite (2002) and Zehr (2008) emphasize that restorative justice values</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repairing harm, community participation, reintegration</w:t>
      </w:r>
      <w:r w:rsidR="00384FD3">
        <w:rPr>
          <w:rFonts w:ascii="Times New Roman" w:hAnsi="Times New Roman" w:cs="Times New Roman"/>
          <w:sz w:val="24"/>
          <w:szCs w:val="24"/>
        </w:rPr>
        <w:t xml:space="preserve"> </w:t>
      </w:r>
      <w:r w:rsidRPr="00F90BEE">
        <w:rPr>
          <w:rFonts w:ascii="Times New Roman" w:hAnsi="Times New Roman" w:cs="Times New Roman"/>
          <w:sz w:val="24"/>
          <w:szCs w:val="24"/>
        </w:rPr>
        <w:t xml:space="preserve">mirror the foundational logic of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dispute resolution.</w:t>
      </w:r>
    </w:p>
    <w:p w14:paraId="3CAD5B01" w14:textId="77777777" w:rsidR="00B80DFD" w:rsidRPr="00F90BEE" w:rsidRDefault="00B80DFD" w:rsidP="007E0270">
      <w:pPr>
        <w:spacing w:line="240" w:lineRule="auto"/>
        <w:contextualSpacing/>
        <w:jc w:val="both"/>
        <w:rPr>
          <w:rFonts w:ascii="Times New Roman" w:hAnsi="Times New Roman" w:cs="Times New Roman"/>
          <w:sz w:val="24"/>
          <w:szCs w:val="24"/>
        </w:rPr>
      </w:pPr>
    </w:p>
    <w:p w14:paraId="6189186B" w14:textId="77777777" w:rsidR="00F90BEE" w:rsidRP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In this sense, living law can strengthen a restorative orientation in Indonesia’s penal policy by shifting focus from punishment to relational repair. However, this integration must be selective. Not all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norms are restorative; some may perpetuate patriarchal or exclusionary practices. Therefore, the implementation of living law must filter norms through constitutional values to ensure alignment with human dignity and equality.</w:t>
      </w:r>
    </w:p>
    <w:p w14:paraId="637A9FA7" w14:textId="77777777" w:rsidR="00F90BEE" w:rsidRPr="00F90BEE" w:rsidRDefault="00F90BEE" w:rsidP="007E0270">
      <w:pPr>
        <w:spacing w:line="240" w:lineRule="auto"/>
        <w:contextualSpacing/>
        <w:jc w:val="both"/>
        <w:rPr>
          <w:rFonts w:ascii="Times New Roman" w:hAnsi="Times New Roman" w:cs="Times New Roman"/>
          <w:sz w:val="24"/>
          <w:szCs w:val="24"/>
        </w:rPr>
      </w:pPr>
    </w:p>
    <w:p w14:paraId="724BC140" w14:textId="4B17D357" w:rsidR="00F90BEE" w:rsidRPr="00F90BEE" w:rsidRDefault="00F90BEE" w:rsidP="007E0270">
      <w:pPr>
        <w:pStyle w:val="ListParagraph"/>
        <w:numPr>
          <w:ilvl w:val="0"/>
          <w:numId w:val="13"/>
        </w:numPr>
        <w:spacing w:line="240" w:lineRule="auto"/>
        <w:ind w:left="360"/>
        <w:jc w:val="both"/>
        <w:rPr>
          <w:rFonts w:ascii="Times New Roman" w:hAnsi="Times New Roman" w:cs="Times New Roman"/>
          <w:b/>
          <w:bCs/>
          <w:sz w:val="24"/>
          <w:szCs w:val="24"/>
        </w:rPr>
      </w:pPr>
      <w:r w:rsidRPr="00F90BEE">
        <w:rPr>
          <w:rFonts w:ascii="Times New Roman" w:hAnsi="Times New Roman" w:cs="Times New Roman"/>
          <w:b/>
          <w:bCs/>
          <w:sz w:val="24"/>
          <w:szCs w:val="24"/>
        </w:rPr>
        <w:t>Case Studies and the Urgency of Implementing Regulations</w:t>
      </w:r>
    </w:p>
    <w:p w14:paraId="5F41B08E" w14:textId="77777777" w:rsid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Empirical examples illustrate the paradox of living law in practice. Cases of indigenous communities prosecuted for harvesting forest products, engaging in traditional rituals, or defending communal land demonstrate the inadequacy of a uniform state legal system to accommodate cultural realities. In these cases, the absence of formal recognition of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norms has enabled criminalization of culturally legitimate conduct.</w:t>
      </w:r>
    </w:p>
    <w:p w14:paraId="761F1E9C" w14:textId="77777777" w:rsidR="00B80DFD" w:rsidRPr="00F90BEE" w:rsidRDefault="00B80DFD" w:rsidP="007E0270">
      <w:pPr>
        <w:spacing w:line="240" w:lineRule="auto"/>
        <w:contextualSpacing/>
        <w:jc w:val="both"/>
        <w:rPr>
          <w:rFonts w:ascii="Times New Roman" w:hAnsi="Times New Roman" w:cs="Times New Roman"/>
          <w:sz w:val="24"/>
          <w:szCs w:val="24"/>
        </w:rPr>
      </w:pPr>
    </w:p>
    <w:p w14:paraId="22E63D83" w14:textId="77777777" w:rsidR="00F90BEE" w:rsidRPr="00F90BEE" w:rsidRDefault="00F90BEE" w:rsidP="007E0270">
      <w:pPr>
        <w:spacing w:line="240" w:lineRule="auto"/>
        <w:contextualSpacing/>
        <w:jc w:val="both"/>
        <w:rPr>
          <w:rFonts w:ascii="Times New Roman" w:hAnsi="Times New Roman" w:cs="Times New Roman"/>
          <w:sz w:val="24"/>
          <w:szCs w:val="24"/>
        </w:rPr>
      </w:pPr>
      <w:r w:rsidRPr="00F90BEE">
        <w:rPr>
          <w:rFonts w:ascii="Times New Roman" w:hAnsi="Times New Roman" w:cs="Times New Roman"/>
          <w:sz w:val="24"/>
          <w:szCs w:val="24"/>
        </w:rPr>
        <w:t xml:space="preserve">However, the living law provision cannot be applied directly in the absence of implementing regulations. A Government Regulation is essential to define the criteria for recognizing customary norms, establish procedures for verification, map the geographical scope of </w:t>
      </w:r>
      <w:proofErr w:type="spellStart"/>
      <w:r w:rsidRPr="00F90BEE">
        <w:rPr>
          <w:rFonts w:ascii="Times New Roman" w:hAnsi="Times New Roman" w:cs="Times New Roman"/>
          <w:sz w:val="24"/>
          <w:szCs w:val="24"/>
        </w:rPr>
        <w:t>adat</w:t>
      </w:r>
      <w:proofErr w:type="spellEnd"/>
      <w:r w:rsidRPr="00F90BEE">
        <w:rPr>
          <w:rFonts w:ascii="Times New Roman" w:hAnsi="Times New Roman" w:cs="Times New Roman"/>
          <w:sz w:val="24"/>
          <w:szCs w:val="24"/>
        </w:rPr>
        <w:t xml:space="preserve"> jurisdictions, and ensure compatibility with human rights and constitutional principles. Without these measures, living law risks misapplication by state officials unfamiliar with local customs.</w:t>
      </w:r>
    </w:p>
    <w:p w14:paraId="27B99E29" w14:textId="77777777" w:rsidR="00B80DFD" w:rsidRPr="00F90BEE" w:rsidRDefault="00B80DFD" w:rsidP="007E0270">
      <w:pPr>
        <w:spacing w:line="240" w:lineRule="auto"/>
        <w:contextualSpacing/>
        <w:jc w:val="both"/>
        <w:rPr>
          <w:rFonts w:ascii="Times New Roman" w:hAnsi="Times New Roman" w:cs="Times New Roman"/>
          <w:sz w:val="24"/>
          <w:szCs w:val="24"/>
        </w:rPr>
      </w:pPr>
    </w:p>
    <w:p w14:paraId="16F54890" w14:textId="5CC84C28" w:rsidR="00B80DFD" w:rsidRPr="00FC29AE" w:rsidRDefault="00B80DFD" w:rsidP="007E0270">
      <w:pPr>
        <w:pStyle w:val="ListParagraph"/>
        <w:numPr>
          <w:ilvl w:val="0"/>
          <w:numId w:val="9"/>
        </w:numPr>
        <w:spacing w:line="240" w:lineRule="auto"/>
        <w:ind w:left="360"/>
        <w:jc w:val="both"/>
        <w:rPr>
          <w:rFonts w:ascii="Times New Roman" w:hAnsi="Times New Roman" w:cs="Times New Roman"/>
          <w:b/>
          <w:bCs/>
          <w:sz w:val="28"/>
          <w:szCs w:val="28"/>
        </w:rPr>
      </w:pPr>
      <w:r w:rsidRPr="00FC29AE">
        <w:rPr>
          <w:rFonts w:ascii="Times New Roman" w:hAnsi="Times New Roman" w:cs="Times New Roman"/>
          <w:b/>
          <w:bCs/>
          <w:sz w:val="28"/>
          <w:szCs w:val="28"/>
        </w:rPr>
        <w:t>Conclusions and Recommendations</w:t>
      </w:r>
    </w:p>
    <w:p w14:paraId="5AED8298" w14:textId="5B62518A" w:rsidR="00B80DFD" w:rsidRPr="00FC29AE" w:rsidRDefault="00B80DFD" w:rsidP="007E0270">
      <w:pPr>
        <w:pStyle w:val="ListParagraph"/>
        <w:numPr>
          <w:ilvl w:val="0"/>
          <w:numId w:val="14"/>
        </w:numPr>
        <w:spacing w:line="240" w:lineRule="auto"/>
        <w:ind w:left="360"/>
        <w:jc w:val="both"/>
        <w:rPr>
          <w:rFonts w:ascii="Times New Roman" w:hAnsi="Times New Roman" w:cs="Times New Roman"/>
          <w:b/>
          <w:bCs/>
          <w:sz w:val="28"/>
          <w:szCs w:val="28"/>
        </w:rPr>
      </w:pPr>
      <w:r w:rsidRPr="00FC29AE">
        <w:rPr>
          <w:rFonts w:ascii="Times New Roman" w:hAnsi="Times New Roman" w:cs="Times New Roman"/>
          <w:b/>
          <w:bCs/>
          <w:sz w:val="28"/>
          <w:szCs w:val="28"/>
        </w:rPr>
        <w:t>Conclusions</w:t>
      </w:r>
    </w:p>
    <w:p w14:paraId="64B7E998"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This study concludes that the formal recognition of living law (</w:t>
      </w:r>
      <w:proofErr w:type="spellStart"/>
      <w:r w:rsidRPr="00B80DFD">
        <w:rPr>
          <w:rFonts w:ascii="Times New Roman" w:hAnsi="Times New Roman" w:cs="Times New Roman"/>
          <w:bCs/>
          <w:i/>
          <w:iCs/>
          <w:sz w:val="24"/>
          <w:szCs w:val="24"/>
        </w:rPr>
        <w:t>hukum</w:t>
      </w:r>
      <w:proofErr w:type="spellEnd"/>
      <w:r w:rsidRPr="00B80DFD">
        <w:rPr>
          <w:rFonts w:ascii="Times New Roman" w:hAnsi="Times New Roman" w:cs="Times New Roman"/>
          <w:bCs/>
          <w:i/>
          <w:iCs/>
          <w:sz w:val="24"/>
          <w:szCs w:val="24"/>
        </w:rPr>
        <w:t xml:space="preserve"> yang </w:t>
      </w:r>
      <w:proofErr w:type="spellStart"/>
      <w:r w:rsidRPr="00B80DFD">
        <w:rPr>
          <w:rFonts w:ascii="Times New Roman" w:hAnsi="Times New Roman" w:cs="Times New Roman"/>
          <w:bCs/>
          <w:i/>
          <w:iCs/>
          <w:sz w:val="24"/>
          <w:szCs w:val="24"/>
        </w:rPr>
        <w:t>hidup</w:t>
      </w:r>
      <w:proofErr w:type="spellEnd"/>
      <w:r w:rsidRPr="00B80DFD">
        <w:rPr>
          <w:rFonts w:ascii="Times New Roman" w:hAnsi="Times New Roman" w:cs="Times New Roman"/>
          <w:bCs/>
          <w:sz w:val="24"/>
          <w:szCs w:val="24"/>
        </w:rPr>
        <w:t>) within Indonesia’s 2023 Criminal Code represents a profound normative and philosophical shift in the country’s criminal justice paradigm. It reflects an intentional move away from the rigid formalism of colonial legal frameworks toward a more culturally resonant and socially grounded conception of criminal liability. At the constitutional level, the integration of living law aligns with Article 18</w:t>
      </w:r>
      <w:proofErr w:type="gramStart"/>
      <w:r w:rsidRPr="00B80DFD">
        <w:rPr>
          <w:rFonts w:ascii="Times New Roman" w:hAnsi="Times New Roman" w:cs="Times New Roman"/>
          <w:bCs/>
          <w:sz w:val="24"/>
          <w:szCs w:val="24"/>
        </w:rPr>
        <w:t>B(</w:t>
      </w:r>
      <w:proofErr w:type="gramEnd"/>
      <w:r w:rsidRPr="00B80DFD">
        <w:rPr>
          <w:rFonts w:ascii="Times New Roman" w:hAnsi="Times New Roman" w:cs="Times New Roman"/>
          <w:bCs/>
          <w:sz w:val="24"/>
          <w:szCs w:val="24"/>
        </w:rPr>
        <w:t>2) of the 1945 Constitution, which mandates protection for indigenous legal communities. Philosophically, it resonates with theories of legal pluralism that emphasize the coexistence of state law and community-based norms in shaping societal order.</w:t>
      </w:r>
    </w:p>
    <w:p w14:paraId="7E894707"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7376DD70"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However, the study also demonstrates that this recognition introduces inherent tensions with fundamental principles of formal legality, particularly those pertaining to legal certainty, non-retroactivity, and the foreseeable nature of criminal sanctions. While living law enriches the criminal justice system with context-sensitive, culturally embedded norms, its unwritten and dynamic character poses challenges to the predictability required in criminal adjudication. The potential for divergent interpretations across jurisdictions further highlights the risk of inconsistent law enforcement without a clear regulatory framework to guide implementation. Therefore, </w:t>
      </w:r>
      <w:r w:rsidRPr="00B80DFD">
        <w:rPr>
          <w:rFonts w:ascii="Times New Roman" w:hAnsi="Times New Roman" w:cs="Times New Roman"/>
          <w:bCs/>
          <w:sz w:val="24"/>
          <w:szCs w:val="24"/>
        </w:rPr>
        <w:lastRenderedPageBreak/>
        <w:t>while the living law provision carries transformative potential, it must be integrated cautiously to avoid undermining essential safeguards of the rule of law.</w:t>
      </w:r>
    </w:p>
    <w:p w14:paraId="321A024E"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1F6AC381" w14:textId="210A9B77" w:rsidR="005647E6"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From a practical standpoint, findings based on case studies</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especially in disputes involving land use, natural resource conflicts, and ritual practices</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 xml:space="preserve">illustrate both the urgency and the risks of recognizing living law. On one hand, </w:t>
      </w:r>
      <w:proofErr w:type="spellStart"/>
      <w:r w:rsidRPr="00B80DFD">
        <w:rPr>
          <w:rFonts w:ascii="Times New Roman" w:hAnsi="Times New Roman" w:cs="Times New Roman"/>
          <w:bCs/>
          <w:sz w:val="24"/>
          <w:szCs w:val="24"/>
        </w:rPr>
        <w:t>adat</w:t>
      </w:r>
      <w:proofErr w:type="spellEnd"/>
      <w:r w:rsidRPr="00B80DFD">
        <w:rPr>
          <w:rFonts w:ascii="Times New Roman" w:hAnsi="Times New Roman" w:cs="Times New Roman"/>
          <w:bCs/>
          <w:sz w:val="24"/>
          <w:szCs w:val="24"/>
        </w:rPr>
        <w:t>-based resolution mechanisms have proven effective in maintaining communal harmony and promoting restorative outcomes. On the other hand, the absence of clear mechanisms for verifying customary norms has sometimes resulted in unequal protection, selective criminalization, and vulnerabilities for marginalized communities. These dualities underscore the need for a robust institutional architecture to ensure that living law contributes to justice rather than perpetuating uncertainty.</w:t>
      </w:r>
    </w:p>
    <w:p w14:paraId="5DDAF4C4" w14:textId="77777777" w:rsidR="00B80DFD" w:rsidRPr="00FC29AE" w:rsidRDefault="00B80DFD" w:rsidP="007E0270">
      <w:pPr>
        <w:pStyle w:val="ListParagraph"/>
        <w:numPr>
          <w:ilvl w:val="0"/>
          <w:numId w:val="14"/>
        </w:numPr>
        <w:spacing w:line="240" w:lineRule="auto"/>
        <w:ind w:left="360"/>
        <w:jc w:val="both"/>
        <w:rPr>
          <w:rFonts w:ascii="Times New Roman" w:hAnsi="Times New Roman" w:cs="Times New Roman"/>
          <w:b/>
          <w:bCs/>
          <w:sz w:val="28"/>
          <w:szCs w:val="28"/>
        </w:rPr>
      </w:pPr>
      <w:r w:rsidRPr="00FC29AE">
        <w:rPr>
          <w:rFonts w:ascii="Times New Roman" w:hAnsi="Times New Roman" w:cs="Times New Roman"/>
          <w:b/>
          <w:bCs/>
          <w:sz w:val="28"/>
          <w:szCs w:val="28"/>
        </w:rPr>
        <w:t>Research Limitations</w:t>
      </w:r>
    </w:p>
    <w:p w14:paraId="33ECF94B"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Despite its comprehensive conceptual inquiry, this study acknowledges several limitations. First, the research adopts a normative juridical method, which prioritizes doctrinal and conceptual analysis; therefore, it does not conduct extensive ethnographic or empirical fieldwork across Indonesia’s diverse customary communities. As a result, the conclusions may not fully capture the local variations, internal contestations, or the evolving nature of </w:t>
      </w:r>
      <w:proofErr w:type="spellStart"/>
      <w:r w:rsidRPr="00B80DFD">
        <w:rPr>
          <w:rFonts w:ascii="Times New Roman" w:hAnsi="Times New Roman" w:cs="Times New Roman"/>
          <w:bCs/>
          <w:sz w:val="24"/>
          <w:szCs w:val="24"/>
        </w:rPr>
        <w:t>adat</w:t>
      </w:r>
      <w:proofErr w:type="spellEnd"/>
      <w:r w:rsidRPr="00B80DFD">
        <w:rPr>
          <w:rFonts w:ascii="Times New Roman" w:hAnsi="Times New Roman" w:cs="Times New Roman"/>
          <w:bCs/>
          <w:sz w:val="24"/>
          <w:szCs w:val="24"/>
        </w:rPr>
        <w:t xml:space="preserve"> practices. Second, the case analyses used herein are illustrative rather than exhaustive, due to the limited availability of documented court decisions explicitly invoking living law. Third, the absence of implementing regulations at the time of writing restricts the ability to evaluate how living law will operate in practice; thus, the conclusions remain partly predictive and theoretical. These limitations highlight the need for future empirical and interdisciplinary research to validate and refine the frameworks proposed in this study.</w:t>
      </w:r>
    </w:p>
    <w:p w14:paraId="25246FEA"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01E62A4B" w14:textId="77777777" w:rsidR="00B80DFD"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Overall, while the study affirms that the recognition of living law can enrich Indonesia’s criminal justice system, its success depends on the creation of clear, rights-based, and culturally sensitive mechanisms to balance legal pluralism with constitutional guarantees.</w:t>
      </w:r>
    </w:p>
    <w:p w14:paraId="75F14141" w14:textId="77777777" w:rsidR="00B80DFD" w:rsidRDefault="00B80DFD" w:rsidP="007E0270">
      <w:pPr>
        <w:spacing w:line="240" w:lineRule="auto"/>
        <w:contextualSpacing/>
        <w:jc w:val="both"/>
        <w:rPr>
          <w:rFonts w:ascii="Times New Roman" w:hAnsi="Times New Roman" w:cs="Times New Roman"/>
          <w:bCs/>
          <w:sz w:val="24"/>
          <w:szCs w:val="24"/>
        </w:rPr>
      </w:pPr>
    </w:p>
    <w:p w14:paraId="43615BCB" w14:textId="785C1EF3" w:rsidR="00B80DFD" w:rsidRPr="00FC29AE" w:rsidRDefault="00B80DFD" w:rsidP="007E0270">
      <w:pPr>
        <w:pStyle w:val="ListParagraph"/>
        <w:numPr>
          <w:ilvl w:val="0"/>
          <w:numId w:val="14"/>
        </w:numPr>
        <w:spacing w:line="240" w:lineRule="auto"/>
        <w:ind w:left="360"/>
        <w:jc w:val="both"/>
        <w:rPr>
          <w:rFonts w:ascii="Times New Roman" w:hAnsi="Times New Roman" w:cs="Times New Roman"/>
          <w:b/>
          <w:bCs/>
          <w:sz w:val="28"/>
          <w:szCs w:val="28"/>
        </w:rPr>
      </w:pPr>
      <w:r w:rsidRPr="00FC29AE">
        <w:rPr>
          <w:rFonts w:ascii="Times New Roman" w:hAnsi="Times New Roman" w:cs="Times New Roman"/>
          <w:b/>
          <w:bCs/>
          <w:sz w:val="28"/>
          <w:szCs w:val="28"/>
        </w:rPr>
        <w:t>Recommendations</w:t>
      </w:r>
    </w:p>
    <w:p w14:paraId="090B4AFF"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Based on the findings and in recognition of the study’s methodological limitations, several recommendations are proposed to ensure the coherent and rights-respecting implementation of living law in Indonesia’s criminal justice system.</w:t>
      </w:r>
    </w:p>
    <w:p w14:paraId="1148E0B9"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33E1C2A5" w14:textId="62251365"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First, the government must urgently enact a comprehensive Government Regulation that establishes detailed criteria for identifying, validating, and applying living law. This regulation should articulate evidentiary standards, verification procedures, and clear limits to judicial discretion. Without this regulatory foundation, the application of living law risks becoming fragmented and arbitrary. The limitation of this study</w:t>
      </w:r>
      <w:r w:rsidR="002D3401">
        <w:rPr>
          <w:rFonts w:ascii="Times New Roman" w:hAnsi="Times New Roman" w:cs="Times New Roman"/>
          <w:bCs/>
          <w:sz w:val="24"/>
          <w:szCs w:val="24"/>
        </w:rPr>
        <w:t>,</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namely the absence of an existing regulation to analyze</w:t>
      </w:r>
      <w:r w:rsidR="002D3401">
        <w:rPr>
          <w:rFonts w:ascii="Times New Roman" w:hAnsi="Times New Roman" w:cs="Times New Roman"/>
          <w:bCs/>
          <w:sz w:val="24"/>
          <w:szCs w:val="24"/>
        </w:rPr>
        <w:t>,</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reinforces the urgency of this recommendation.</w:t>
      </w:r>
    </w:p>
    <w:p w14:paraId="76F4F893"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2EF107EE"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Second, the application of living law should be restricted initially to minor offenses and culturally specific cases where restorative or compensatory sanctions are most effective. This targeted approach minimizes risks to individual rights and reduces opportunities for misuse. Given that this research did not examine all customary sanction practices across Indonesia, a phased and cautious application is warranted until comprehensive national mapping of </w:t>
      </w:r>
      <w:proofErr w:type="spellStart"/>
      <w:r w:rsidRPr="00B80DFD">
        <w:rPr>
          <w:rFonts w:ascii="Times New Roman" w:hAnsi="Times New Roman" w:cs="Times New Roman"/>
          <w:bCs/>
          <w:sz w:val="24"/>
          <w:szCs w:val="24"/>
        </w:rPr>
        <w:t>adat</w:t>
      </w:r>
      <w:proofErr w:type="spellEnd"/>
      <w:r w:rsidRPr="00B80DFD">
        <w:rPr>
          <w:rFonts w:ascii="Times New Roman" w:hAnsi="Times New Roman" w:cs="Times New Roman"/>
          <w:bCs/>
          <w:sz w:val="24"/>
          <w:szCs w:val="24"/>
        </w:rPr>
        <w:t xml:space="preserve"> norms is completed.</w:t>
      </w:r>
    </w:p>
    <w:p w14:paraId="6FC9F7EB"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3238F6FF" w14:textId="2DCA7FF1"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Third, restorative justice should be adopted as the central interpretive framework for applying living law. Restorative justice provides a principled foundation that aligns with many indigenous practices while ensuring adherence to constitutional protections. However, the study recognizes its </w:t>
      </w:r>
      <w:r w:rsidR="002D3401">
        <w:rPr>
          <w:rFonts w:ascii="Times New Roman" w:hAnsi="Times New Roman" w:cs="Times New Roman"/>
          <w:bCs/>
          <w:sz w:val="24"/>
          <w:szCs w:val="24"/>
        </w:rPr>
        <w:t>limitations</w:t>
      </w:r>
      <w:r w:rsidRPr="00B80DFD">
        <w:rPr>
          <w:rFonts w:ascii="Times New Roman" w:hAnsi="Times New Roman" w:cs="Times New Roman"/>
          <w:bCs/>
          <w:sz w:val="24"/>
          <w:szCs w:val="24"/>
        </w:rPr>
        <w:t xml:space="preserve"> in assessing regional variations in restorative customs; therefore, the state should support further interdisciplinary research to ensure that restorative models are adapted appropriately to local contexts.</w:t>
      </w:r>
    </w:p>
    <w:p w14:paraId="4E685B98"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148EB096" w14:textId="77777777"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Fourth, competency-based training programs are essential for judges, prosecutors, and law enforcement officers. These programs should enhance understanding of cultural anthropology, legal pluralism, and methods for evidencing customary norms. The study’s limitation in conducting field observations underscores the likelihood </w:t>
      </w:r>
      <w:r w:rsidRPr="00B80DFD">
        <w:rPr>
          <w:rFonts w:ascii="Times New Roman" w:hAnsi="Times New Roman" w:cs="Times New Roman"/>
          <w:bCs/>
          <w:sz w:val="24"/>
          <w:szCs w:val="24"/>
        </w:rPr>
        <w:lastRenderedPageBreak/>
        <w:t>of significant variations in legal capacity across regions, making training a priority to ensure uniform implementation.</w:t>
      </w:r>
    </w:p>
    <w:p w14:paraId="41192037"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7BF5C0E2" w14:textId="378D434A" w:rsid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 xml:space="preserve">Finally, the creation of a dynamic, continuously updated national database of recognized </w:t>
      </w:r>
      <w:proofErr w:type="spellStart"/>
      <w:r w:rsidRPr="00B80DFD">
        <w:rPr>
          <w:rFonts w:ascii="Times New Roman" w:hAnsi="Times New Roman" w:cs="Times New Roman"/>
          <w:bCs/>
          <w:sz w:val="24"/>
          <w:szCs w:val="24"/>
        </w:rPr>
        <w:t>adat</w:t>
      </w:r>
      <w:proofErr w:type="spellEnd"/>
      <w:r w:rsidRPr="00B80DFD">
        <w:rPr>
          <w:rFonts w:ascii="Times New Roman" w:hAnsi="Times New Roman" w:cs="Times New Roman"/>
          <w:bCs/>
          <w:sz w:val="24"/>
          <w:szCs w:val="24"/>
        </w:rPr>
        <w:t xml:space="preserve"> norms is crucial. This database should be developed collaboratively with customary leaders, anthropologists, and regional authorities. It will serve as a reference point for courts, reduce inconsistencies, and promote transparency. This recommendation also addresses a methodological limitation of this research</w:t>
      </w:r>
      <w:r w:rsidR="00384FD3">
        <w:rPr>
          <w:rFonts w:ascii="Times New Roman" w:hAnsi="Times New Roman" w:cs="Times New Roman"/>
          <w:bCs/>
          <w:sz w:val="24"/>
          <w:szCs w:val="24"/>
        </w:rPr>
        <w:t xml:space="preserve"> </w:t>
      </w:r>
      <w:r w:rsidRPr="00B80DFD">
        <w:rPr>
          <w:rFonts w:ascii="Times New Roman" w:hAnsi="Times New Roman" w:cs="Times New Roman"/>
          <w:bCs/>
          <w:sz w:val="24"/>
          <w:szCs w:val="24"/>
        </w:rPr>
        <w:t>the absence of a centralized, reliable repository of customary norms.</w:t>
      </w:r>
    </w:p>
    <w:p w14:paraId="1DF59551" w14:textId="77777777" w:rsidR="005647E6" w:rsidRPr="00B80DFD" w:rsidRDefault="005647E6" w:rsidP="007E0270">
      <w:pPr>
        <w:spacing w:line="240" w:lineRule="auto"/>
        <w:contextualSpacing/>
        <w:jc w:val="both"/>
        <w:rPr>
          <w:rFonts w:ascii="Times New Roman" w:hAnsi="Times New Roman" w:cs="Times New Roman"/>
          <w:bCs/>
          <w:sz w:val="24"/>
          <w:szCs w:val="24"/>
        </w:rPr>
      </w:pPr>
    </w:p>
    <w:p w14:paraId="716DF799" w14:textId="77777777" w:rsidR="00B80DFD" w:rsidRPr="00B80DFD" w:rsidRDefault="00B80DFD" w:rsidP="007E0270">
      <w:pPr>
        <w:spacing w:line="240" w:lineRule="auto"/>
        <w:contextualSpacing/>
        <w:jc w:val="both"/>
        <w:rPr>
          <w:rFonts w:ascii="Times New Roman" w:hAnsi="Times New Roman" w:cs="Times New Roman"/>
          <w:bCs/>
          <w:sz w:val="24"/>
          <w:szCs w:val="24"/>
        </w:rPr>
      </w:pPr>
      <w:r w:rsidRPr="00B80DFD">
        <w:rPr>
          <w:rFonts w:ascii="Times New Roman" w:hAnsi="Times New Roman" w:cs="Times New Roman"/>
          <w:bCs/>
          <w:sz w:val="24"/>
          <w:szCs w:val="24"/>
        </w:rPr>
        <w:t>In sum, the successful operationalization of living law requires a multi-layered strategy that combines legal regulation, institutional preparation, cultural engagement, and empirical documentation. By addressing these areas, Indonesia can ensure that the recognition of living law strengthens justice, upholds constitutional protections, and honors the rich diversity of its legal traditions.</w:t>
      </w:r>
    </w:p>
    <w:p w14:paraId="22C0AB1C" w14:textId="77777777" w:rsidR="005647E6" w:rsidRDefault="005647E6" w:rsidP="007E0270">
      <w:pPr>
        <w:spacing w:line="240" w:lineRule="auto"/>
        <w:contextualSpacing/>
        <w:jc w:val="both"/>
        <w:rPr>
          <w:rFonts w:ascii="Times New Roman" w:hAnsi="Times New Roman" w:cs="Times New Roman"/>
          <w:b/>
          <w:bCs/>
          <w:sz w:val="24"/>
          <w:szCs w:val="24"/>
        </w:rPr>
      </w:pPr>
    </w:p>
    <w:p w14:paraId="547114D5" w14:textId="77777777" w:rsidR="005647E6" w:rsidRPr="00FC29AE" w:rsidRDefault="005647E6" w:rsidP="007E0270">
      <w:pPr>
        <w:spacing w:line="240" w:lineRule="auto"/>
        <w:contextualSpacing/>
        <w:jc w:val="both"/>
        <w:rPr>
          <w:rFonts w:ascii="Times New Roman" w:hAnsi="Times New Roman" w:cs="Times New Roman"/>
          <w:b/>
          <w:bCs/>
          <w:sz w:val="28"/>
          <w:szCs w:val="28"/>
        </w:rPr>
      </w:pPr>
      <w:r w:rsidRPr="00FC29AE">
        <w:rPr>
          <w:rFonts w:ascii="Times New Roman" w:hAnsi="Times New Roman" w:cs="Times New Roman"/>
          <w:b/>
          <w:bCs/>
          <w:sz w:val="28"/>
          <w:szCs w:val="28"/>
        </w:rPr>
        <w:t>Acknowledgements</w:t>
      </w:r>
    </w:p>
    <w:p w14:paraId="660C10AD" w14:textId="44118AA3" w:rsidR="00913DB0" w:rsidRPr="00902F42" w:rsidRDefault="005647E6" w:rsidP="007E0270">
      <w:pPr>
        <w:spacing w:line="240" w:lineRule="auto"/>
        <w:contextualSpacing/>
        <w:jc w:val="both"/>
        <w:rPr>
          <w:rFonts w:ascii="Times New Roman" w:hAnsi="Times New Roman" w:cs="Times New Roman"/>
          <w:i/>
          <w:sz w:val="24"/>
          <w:szCs w:val="24"/>
        </w:rPr>
      </w:pPr>
      <w:r w:rsidRPr="005647E6">
        <w:rPr>
          <w:rFonts w:ascii="Times New Roman" w:hAnsi="Times New Roman" w:cs="Times New Roman"/>
          <w:i/>
          <w:sz w:val="24"/>
          <w:szCs w:val="24"/>
        </w:rPr>
        <w:t>The authors extend their sincere gratitude to the research team for their rigorous analysis of the legal materials and scholarly sources that form the backbone of this study. Initial idea development benefited from the support of ChatGPT as a brainstorming tool, while all substantive examination, interpretation, and final drafting were carried out independently by the research team. Appreciation is also given to colleagues who provided valuable comments during the research process.</w:t>
      </w:r>
    </w:p>
    <w:p w14:paraId="32E398D9" w14:textId="77777777" w:rsidR="00913DB0" w:rsidRPr="00F90BEE" w:rsidRDefault="00913DB0" w:rsidP="007E0270">
      <w:pPr>
        <w:spacing w:line="240" w:lineRule="auto"/>
        <w:contextualSpacing/>
        <w:jc w:val="both"/>
        <w:rPr>
          <w:rFonts w:ascii="Times New Roman" w:hAnsi="Times New Roman" w:cs="Times New Roman"/>
          <w:sz w:val="24"/>
          <w:szCs w:val="24"/>
        </w:rPr>
      </w:pPr>
    </w:p>
    <w:p w14:paraId="2D39AEA4" w14:textId="77777777" w:rsidR="005647E6" w:rsidRPr="00FC29AE" w:rsidRDefault="005647E6" w:rsidP="007E0270">
      <w:pPr>
        <w:spacing w:line="240" w:lineRule="auto"/>
        <w:rPr>
          <w:rFonts w:ascii="Times New Roman" w:hAnsi="Times New Roman" w:cs="Times New Roman"/>
          <w:b/>
          <w:bCs/>
          <w:sz w:val="28"/>
          <w:szCs w:val="28"/>
        </w:rPr>
      </w:pPr>
      <w:r w:rsidRPr="00FC29AE">
        <w:rPr>
          <w:rFonts w:ascii="Times New Roman" w:hAnsi="Times New Roman" w:cs="Times New Roman"/>
          <w:b/>
          <w:bCs/>
          <w:sz w:val="28"/>
          <w:szCs w:val="28"/>
        </w:rPr>
        <w:t>References</w:t>
      </w:r>
    </w:p>
    <w:p w14:paraId="18ED9BED"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Adnan, M. (2020). </w:t>
      </w:r>
      <w:r w:rsidRPr="005647E6">
        <w:rPr>
          <w:rFonts w:ascii="Times New Roman" w:hAnsi="Times New Roman" w:cs="Times New Roman"/>
          <w:bCs/>
          <w:i/>
          <w:iCs/>
          <w:sz w:val="24"/>
          <w:szCs w:val="24"/>
        </w:rPr>
        <w:t>Legal certainty and criminal law reform in Indonesia</w:t>
      </w:r>
      <w:r w:rsidRPr="005647E6">
        <w:rPr>
          <w:rFonts w:ascii="Times New Roman" w:hAnsi="Times New Roman" w:cs="Times New Roman"/>
          <w:bCs/>
          <w:sz w:val="24"/>
          <w:szCs w:val="24"/>
        </w:rPr>
        <w:t>. Journal of Indonesian Legal Studies, 5(2), 145–168.</w:t>
      </w:r>
    </w:p>
    <w:p w14:paraId="6E839E79"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Ali, A. (2002). </w:t>
      </w:r>
      <w:proofErr w:type="spellStart"/>
      <w:r w:rsidRPr="005647E6">
        <w:rPr>
          <w:rFonts w:ascii="Times New Roman" w:hAnsi="Times New Roman" w:cs="Times New Roman"/>
          <w:bCs/>
          <w:i/>
          <w:iCs/>
          <w:sz w:val="24"/>
          <w:szCs w:val="24"/>
        </w:rPr>
        <w:t>Menguak</w:t>
      </w:r>
      <w:proofErr w:type="spellEnd"/>
      <w:r w:rsidRPr="005647E6">
        <w:rPr>
          <w:rFonts w:ascii="Times New Roman" w:hAnsi="Times New Roman" w:cs="Times New Roman"/>
          <w:bCs/>
          <w:i/>
          <w:iCs/>
          <w:sz w:val="24"/>
          <w:szCs w:val="24"/>
        </w:rPr>
        <w:t xml:space="preserve"> Teori Hukum (Legal Theory)</w:t>
      </w:r>
      <w:r w:rsidRPr="005647E6">
        <w:rPr>
          <w:rFonts w:ascii="Times New Roman" w:hAnsi="Times New Roman" w:cs="Times New Roman"/>
          <w:bCs/>
          <w:sz w:val="24"/>
          <w:szCs w:val="24"/>
        </w:rPr>
        <w:t xml:space="preserve">. </w:t>
      </w:r>
      <w:proofErr w:type="spellStart"/>
      <w:r w:rsidRPr="005647E6">
        <w:rPr>
          <w:rFonts w:ascii="Times New Roman" w:hAnsi="Times New Roman" w:cs="Times New Roman"/>
          <w:bCs/>
          <w:sz w:val="24"/>
          <w:szCs w:val="24"/>
        </w:rPr>
        <w:t>Kencana</w:t>
      </w:r>
      <w:proofErr w:type="spellEnd"/>
      <w:r w:rsidRPr="005647E6">
        <w:rPr>
          <w:rFonts w:ascii="Times New Roman" w:hAnsi="Times New Roman" w:cs="Times New Roman"/>
          <w:bCs/>
          <w:sz w:val="24"/>
          <w:szCs w:val="24"/>
        </w:rPr>
        <w:t>.</w:t>
      </w:r>
    </w:p>
    <w:p w14:paraId="4A637DD2"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Ashworth, A. (2013). </w:t>
      </w:r>
      <w:r w:rsidRPr="005647E6">
        <w:rPr>
          <w:rFonts w:ascii="Times New Roman" w:hAnsi="Times New Roman" w:cs="Times New Roman"/>
          <w:bCs/>
          <w:i/>
          <w:iCs/>
          <w:sz w:val="24"/>
          <w:szCs w:val="24"/>
        </w:rPr>
        <w:t>Principles of criminal law</w:t>
      </w:r>
      <w:r w:rsidRPr="005647E6">
        <w:rPr>
          <w:rFonts w:ascii="Times New Roman" w:hAnsi="Times New Roman" w:cs="Times New Roman"/>
          <w:bCs/>
          <w:sz w:val="24"/>
          <w:szCs w:val="24"/>
        </w:rPr>
        <w:t xml:space="preserve"> (7th ed.). Oxford University Press.</w:t>
      </w:r>
    </w:p>
    <w:p w14:paraId="65DEB07C"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Braithwaite, J. (2002). </w:t>
      </w:r>
      <w:r w:rsidRPr="005647E6">
        <w:rPr>
          <w:rFonts w:ascii="Times New Roman" w:hAnsi="Times New Roman" w:cs="Times New Roman"/>
          <w:bCs/>
          <w:i/>
          <w:iCs/>
          <w:sz w:val="24"/>
          <w:szCs w:val="24"/>
        </w:rPr>
        <w:t>Restorative justice and responsive regulation</w:t>
      </w:r>
      <w:r w:rsidRPr="005647E6">
        <w:rPr>
          <w:rFonts w:ascii="Times New Roman" w:hAnsi="Times New Roman" w:cs="Times New Roman"/>
          <w:bCs/>
          <w:sz w:val="24"/>
          <w:szCs w:val="24"/>
        </w:rPr>
        <w:t>. Oxford University Press.</w:t>
      </w:r>
    </w:p>
    <w:p w14:paraId="2B258507"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Burns, P. (2004). </w:t>
      </w:r>
      <w:r w:rsidRPr="005647E6">
        <w:rPr>
          <w:rFonts w:ascii="Times New Roman" w:hAnsi="Times New Roman" w:cs="Times New Roman"/>
          <w:bCs/>
          <w:i/>
          <w:iCs/>
          <w:sz w:val="24"/>
          <w:szCs w:val="24"/>
        </w:rPr>
        <w:t>The Leiden legacy: Concepts of law in Indonesia</w:t>
      </w:r>
      <w:r w:rsidRPr="005647E6">
        <w:rPr>
          <w:rFonts w:ascii="Times New Roman" w:hAnsi="Times New Roman" w:cs="Times New Roman"/>
          <w:bCs/>
          <w:sz w:val="24"/>
          <w:szCs w:val="24"/>
        </w:rPr>
        <w:t>. KITLV Press.</w:t>
      </w:r>
    </w:p>
    <w:p w14:paraId="596D1A4F"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Fuller, L. (1964). </w:t>
      </w:r>
      <w:r w:rsidRPr="005647E6">
        <w:rPr>
          <w:rFonts w:ascii="Times New Roman" w:hAnsi="Times New Roman" w:cs="Times New Roman"/>
          <w:bCs/>
          <w:i/>
          <w:iCs/>
          <w:sz w:val="24"/>
          <w:szCs w:val="24"/>
        </w:rPr>
        <w:t>The morality of law</w:t>
      </w:r>
      <w:r w:rsidRPr="005647E6">
        <w:rPr>
          <w:rFonts w:ascii="Times New Roman" w:hAnsi="Times New Roman" w:cs="Times New Roman"/>
          <w:bCs/>
          <w:sz w:val="24"/>
          <w:szCs w:val="24"/>
        </w:rPr>
        <w:t>. Yale University Press.</w:t>
      </w:r>
    </w:p>
    <w:p w14:paraId="49972E74"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Griffiths, J. (1986). What is legal pluralism? </w:t>
      </w:r>
      <w:r w:rsidRPr="005647E6">
        <w:rPr>
          <w:rFonts w:ascii="Times New Roman" w:hAnsi="Times New Roman" w:cs="Times New Roman"/>
          <w:bCs/>
          <w:i/>
          <w:iCs/>
          <w:sz w:val="24"/>
          <w:szCs w:val="24"/>
        </w:rPr>
        <w:t>Journal of Legal Pluralism and Unofficial Law</w:t>
      </w:r>
      <w:r w:rsidRPr="005647E6">
        <w:rPr>
          <w:rFonts w:ascii="Times New Roman" w:hAnsi="Times New Roman" w:cs="Times New Roman"/>
          <w:bCs/>
          <w:sz w:val="24"/>
          <w:szCs w:val="24"/>
        </w:rPr>
        <w:t>, 24(1), 1–55.</w:t>
      </w:r>
    </w:p>
    <w:p w14:paraId="47DDE53E"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Hampton, R. (1988). The morality of law and the limits of punishment. </w:t>
      </w:r>
      <w:r w:rsidRPr="005647E6">
        <w:rPr>
          <w:rFonts w:ascii="Times New Roman" w:hAnsi="Times New Roman" w:cs="Times New Roman"/>
          <w:bCs/>
          <w:i/>
          <w:iCs/>
          <w:sz w:val="24"/>
          <w:szCs w:val="24"/>
        </w:rPr>
        <w:t>Oxford Journal of Legal Studies</w:t>
      </w:r>
      <w:r w:rsidRPr="005647E6">
        <w:rPr>
          <w:rFonts w:ascii="Times New Roman" w:hAnsi="Times New Roman" w:cs="Times New Roman"/>
          <w:bCs/>
          <w:sz w:val="24"/>
          <w:szCs w:val="24"/>
        </w:rPr>
        <w:t>, 8(1), 1–20.</w:t>
      </w:r>
    </w:p>
    <w:p w14:paraId="26B051D8"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Hart, H. L. A. (1961). </w:t>
      </w:r>
      <w:r w:rsidRPr="005647E6">
        <w:rPr>
          <w:rFonts w:ascii="Times New Roman" w:hAnsi="Times New Roman" w:cs="Times New Roman"/>
          <w:bCs/>
          <w:i/>
          <w:iCs/>
          <w:sz w:val="24"/>
          <w:szCs w:val="24"/>
        </w:rPr>
        <w:t>The concept of law</w:t>
      </w:r>
      <w:r w:rsidRPr="005647E6">
        <w:rPr>
          <w:rFonts w:ascii="Times New Roman" w:hAnsi="Times New Roman" w:cs="Times New Roman"/>
          <w:bCs/>
          <w:sz w:val="24"/>
          <w:szCs w:val="24"/>
        </w:rPr>
        <w:t>. Oxford University Press.</w:t>
      </w:r>
    </w:p>
    <w:p w14:paraId="55408889"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Hooker, M. B. (1981). </w:t>
      </w:r>
      <w:r w:rsidRPr="005647E6">
        <w:rPr>
          <w:rFonts w:ascii="Times New Roman" w:hAnsi="Times New Roman" w:cs="Times New Roman"/>
          <w:bCs/>
          <w:i/>
          <w:iCs/>
          <w:sz w:val="24"/>
          <w:szCs w:val="24"/>
        </w:rPr>
        <w:t>Legal pluralism: An introduction to colonial and neo-colonial laws</w:t>
      </w:r>
      <w:r w:rsidRPr="005647E6">
        <w:rPr>
          <w:rFonts w:ascii="Times New Roman" w:hAnsi="Times New Roman" w:cs="Times New Roman"/>
          <w:bCs/>
          <w:sz w:val="24"/>
          <w:szCs w:val="24"/>
        </w:rPr>
        <w:t>. Clarendon Press.</w:t>
      </w:r>
    </w:p>
    <w:p w14:paraId="27C2CB09"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Justicia, R., &amp; Nurhayati, F. (2022). The living law paradigm in Indonesia’s criminal law reform. </w:t>
      </w:r>
      <w:r w:rsidRPr="005647E6">
        <w:rPr>
          <w:rFonts w:ascii="Times New Roman" w:hAnsi="Times New Roman" w:cs="Times New Roman"/>
          <w:bCs/>
          <w:i/>
          <w:iCs/>
          <w:sz w:val="24"/>
          <w:szCs w:val="24"/>
        </w:rPr>
        <w:t>Indonesian Journal of Criminology</w:t>
      </w:r>
      <w:r w:rsidRPr="005647E6">
        <w:rPr>
          <w:rFonts w:ascii="Times New Roman" w:hAnsi="Times New Roman" w:cs="Times New Roman"/>
          <w:bCs/>
          <w:sz w:val="24"/>
          <w:szCs w:val="24"/>
        </w:rPr>
        <w:t>, 8(1), 22–38.</w:t>
      </w:r>
    </w:p>
    <w:p w14:paraId="76F3D4E2"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Lev, D. S. (1972). </w:t>
      </w:r>
      <w:r w:rsidRPr="005647E6">
        <w:rPr>
          <w:rFonts w:ascii="Times New Roman" w:hAnsi="Times New Roman" w:cs="Times New Roman"/>
          <w:bCs/>
          <w:i/>
          <w:iCs/>
          <w:sz w:val="24"/>
          <w:szCs w:val="24"/>
        </w:rPr>
        <w:t>Legal evolution and political authority in Indonesia</w:t>
      </w:r>
      <w:r w:rsidRPr="005647E6">
        <w:rPr>
          <w:rFonts w:ascii="Times New Roman" w:hAnsi="Times New Roman" w:cs="Times New Roman"/>
          <w:bCs/>
          <w:sz w:val="24"/>
          <w:szCs w:val="24"/>
        </w:rPr>
        <w:t>. Martinus Nijhoff.</w:t>
      </w:r>
    </w:p>
    <w:p w14:paraId="033AE049"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MacCormick, N. (2007). </w:t>
      </w:r>
      <w:r w:rsidRPr="005647E6">
        <w:rPr>
          <w:rFonts w:ascii="Times New Roman" w:hAnsi="Times New Roman" w:cs="Times New Roman"/>
          <w:bCs/>
          <w:i/>
          <w:iCs/>
          <w:sz w:val="24"/>
          <w:szCs w:val="24"/>
        </w:rPr>
        <w:t>Institutions of law: An essay in legal theory</w:t>
      </w:r>
      <w:r w:rsidRPr="005647E6">
        <w:rPr>
          <w:rFonts w:ascii="Times New Roman" w:hAnsi="Times New Roman" w:cs="Times New Roman"/>
          <w:bCs/>
          <w:sz w:val="24"/>
          <w:szCs w:val="24"/>
        </w:rPr>
        <w:t>. Oxford University Press.</w:t>
      </w:r>
    </w:p>
    <w:p w14:paraId="04BAFF81"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Merry, S. E. (1988). Legal pluralism. </w:t>
      </w:r>
      <w:r w:rsidRPr="005647E6">
        <w:rPr>
          <w:rFonts w:ascii="Times New Roman" w:hAnsi="Times New Roman" w:cs="Times New Roman"/>
          <w:bCs/>
          <w:i/>
          <w:iCs/>
          <w:sz w:val="24"/>
          <w:szCs w:val="24"/>
        </w:rPr>
        <w:t>Law &amp; Society Review</w:t>
      </w:r>
      <w:r w:rsidRPr="005647E6">
        <w:rPr>
          <w:rFonts w:ascii="Times New Roman" w:hAnsi="Times New Roman" w:cs="Times New Roman"/>
          <w:bCs/>
          <w:sz w:val="24"/>
          <w:szCs w:val="24"/>
        </w:rPr>
        <w:t>, 22(5), 869–896.</w:t>
      </w:r>
    </w:p>
    <w:p w14:paraId="14E8A713"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proofErr w:type="spellStart"/>
      <w:r w:rsidRPr="005647E6">
        <w:rPr>
          <w:rFonts w:ascii="Times New Roman" w:hAnsi="Times New Roman" w:cs="Times New Roman"/>
          <w:bCs/>
          <w:sz w:val="24"/>
          <w:szCs w:val="24"/>
        </w:rPr>
        <w:t>Meliala</w:t>
      </w:r>
      <w:proofErr w:type="spellEnd"/>
      <w:r w:rsidRPr="005647E6">
        <w:rPr>
          <w:rFonts w:ascii="Times New Roman" w:hAnsi="Times New Roman" w:cs="Times New Roman"/>
          <w:bCs/>
          <w:sz w:val="24"/>
          <w:szCs w:val="24"/>
        </w:rPr>
        <w:t xml:space="preserve">, A. (2019). Criminal law modernization and the challenge of legal culture in Indonesia. </w:t>
      </w:r>
      <w:r w:rsidRPr="005647E6">
        <w:rPr>
          <w:rFonts w:ascii="Times New Roman" w:hAnsi="Times New Roman" w:cs="Times New Roman"/>
          <w:bCs/>
          <w:i/>
          <w:iCs/>
          <w:sz w:val="24"/>
          <w:szCs w:val="24"/>
        </w:rPr>
        <w:t>Asian Journal of Law and Society</w:t>
      </w:r>
      <w:r w:rsidRPr="005647E6">
        <w:rPr>
          <w:rFonts w:ascii="Times New Roman" w:hAnsi="Times New Roman" w:cs="Times New Roman"/>
          <w:bCs/>
          <w:sz w:val="24"/>
          <w:szCs w:val="24"/>
        </w:rPr>
        <w:t>, 6(1), 75–94.</w:t>
      </w:r>
    </w:p>
    <w:p w14:paraId="3C5E38A5"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Rahardjo, S. (2006). </w:t>
      </w:r>
      <w:r w:rsidRPr="005647E6">
        <w:rPr>
          <w:rFonts w:ascii="Times New Roman" w:hAnsi="Times New Roman" w:cs="Times New Roman"/>
          <w:bCs/>
          <w:i/>
          <w:iCs/>
          <w:sz w:val="24"/>
          <w:szCs w:val="24"/>
        </w:rPr>
        <w:t xml:space="preserve">Hukum </w:t>
      </w:r>
      <w:proofErr w:type="spellStart"/>
      <w:r w:rsidRPr="005647E6">
        <w:rPr>
          <w:rFonts w:ascii="Times New Roman" w:hAnsi="Times New Roman" w:cs="Times New Roman"/>
          <w:bCs/>
          <w:i/>
          <w:iCs/>
          <w:sz w:val="24"/>
          <w:szCs w:val="24"/>
        </w:rPr>
        <w:t>dalam</w:t>
      </w:r>
      <w:proofErr w:type="spellEnd"/>
      <w:r w:rsidRPr="005647E6">
        <w:rPr>
          <w:rFonts w:ascii="Times New Roman" w:hAnsi="Times New Roman" w:cs="Times New Roman"/>
          <w:bCs/>
          <w:i/>
          <w:iCs/>
          <w:sz w:val="24"/>
          <w:szCs w:val="24"/>
        </w:rPr>
        <w:t xml:space="preserve"> </w:t>
      </w:r>
      <w:proofErr w:type="spellStart"/>
      <w:r w:rsidRPr="005647E6">
        <w:rPr>
          <w:rFonts w:ascii="Times New Roman" w:hAnsi="Times New Roman" w:cs="Times New Roman"/>
          <w:bCs/>
          <w:i/>
          <w:iCs/>
          <w:sz w:val="24"/>
          <w:szCs w:val="24"/>
        </w:rPr>
        <w:t>jagat</w:t>
      </w:r>
      <w:proofErr w:type="spellEnd"/>
      <w:r w:rsidRPr="005647E6">
        <w:rPr>
          <w:rFonts w:ascii="Times New Roman" w:hAnsi="Times New Roman" w:cs="Times New Roman"/>
          <w:bCs/>
          <w:i/>
          <w:iCs/>
          <w:sz w:val="24"/>
          <w:szCs w:val="24"/>
        </w:rPr>
        <w:t xml:space="preserve"> </w:t>
      </w:r>
      <w:proofErr w:type="spellStart"/>
      <w:r w:rsidRPr="005647E6">
        <w:rPr>
          <w:rFonts w:ascii="Times New Roman" w:hAnsi="Times New Roman" w:cs="Times New Roman"/>
          <w:bCs/>
          <w:i/>
          <w:iCs/>
          <w:sz w:val="24"/>
          <w:szCs w:val="24"/>
        </w:rPr>
        <w:t>Ketertiban</w:t>
      </w:r>
      <w:proofErr w:type="spellEnd"/>
      <w:r w:rsidRPr="005647E6">
        <w:rPr>
          <w:rFonts w:ascii="Times New Roman" w:hAnsi="Times New Roman" w:cs="Times New Roman"/>
          <w:bCs/>
          <w:sz w:val="24"/>
          <w:szCs w:val="24"/>
        </w:rPr>
        <w:t>. UKI Press.</w:t>
      </w:r>
    </w:p>
    <w:p w14:paraId="05AFD7BE"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Rawls, J. (1971). </w:t>
      </w:r>
      <w:r w:rsidRPr="005647E6">
        <w:rPr>
          <w:rFonts w:ascii="Times New Roman" w:hAnsi="Times New Roman" w:cs="Times New Roman"/>
          <w:bCs/>
          <w:i/>
          <w:iCs/>
          <w:sz w:val="24"/>
          <w:szCs w:val="24"/>
        </w:rPr>
        <w:t>A theory of justice</w:t>
      </w:r>
      <w:r w:rsidRPr="005647E6">
        <w:rPr>
          <w:rFonts w:ascii="Times New Roman" w:hAnsi="Times New Roman" w:cs="Times New Roman"/>
          <w:bCs/>
          <w:sz w:val="24"/>
          <w:szCs w:val="24"/>
        </w:rPr>
        <w:t>. Harvard University Press.</w:t>
      </w:r>
    </w:p>
    <w:p w14:paraId="45F43BE3"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proofErr w:type="spellStart"/>
      <w:r w:rsidRPr="005647E6">
        <w:rPr>
          <w:rFonts w:ascii="Times New Roman" w:hAnsi="Times New Roman" w:cs="Times New Roman"/>
          <w:bCs/>
          <w:sz w:val="24"/>
          <w:szCs w:val="24"/>
        </w:rPr>
        <w:t>Soepomo</w:t>
      </w:r>
      <w:proofErr w:type="spellEnd"/>
      <w:r w:rsidRPr="005647E6">
        <w:rPr>
          <w:rFonts w:ascii="Times New Roman" w:hAnsi="Times New Roman" w:cs="Times New Roman"/>
          <w:bCs/>
          <w:sz w:val="24"/>
          <w:szCs w:val="24"/>
        </w:rPr>
        <w:t xml:space="preserve">. (1947). </w:t>
      </w:r>
      <w:r w:rsidRPr="005647E6">
        <w:rPr>
          <w:rFonts w:ascii="Times New Roman" w:hAnsi="Times New Roman" w:cs="Times New Roman"/>
          <w:bCs/>
          <w:i/>
          <w:iCs/>
          <w:sz w:val="24"/>
          <w:szCs w:val="24"/>
        </w:rPr>
        <w:t xml:space="preserve">Hukum </w:t>
      </w:r>
      <w:proofErr w:type="spellStart"/>
      <w:r w:rsidRPr="005647E6">
        <w:rPr>
          <w:rFonts w:ascii="Times New Roman" w:hAnsi="Times New Roman" w:cs="Times New Roman"/>
          <w:bCs/>
          <w:i/>
          <w:iCs/>
          <w:sz w:val="24"/>
          <w:szCs w:val="24"/>
        </w:rPr>
        <w:t>adat</w:t>
      </w:r>
      <w:proofErr w:type="spellEnd"/>
      <w:r w:rsidRPr="005647E6">
        <w:rPr>
          <w:rFonts w:ascii="Times New Roman" w:hAnsi="Times New Roman" w:cs="Times New Roman"/>
          <w:bCs/>
          <w:i/>
          <w:iCs/>
          <w:sz w:val="24"/>
          <w:szCs w:val="24"/>
        </w:rPr>
        <w:t xml:space="preserve"> </w:t>
      </w:r>
      <w:proofErr w:type="spellStart"/>
      <w:r w:rsidRPr="005647E6">
        <w:rPr>
          <w:rFonts w:ascii="Times New Roman" w:hAnsi="Times New Roman" w:cs="Times New Roman"/>
          <w:bCs/>
          <w:i/>
          <w:iCs/>
          <w:sz w:val="24"/>
          <w:szCs w:val="24"/>
        </w:rPr>
        <w:t>dalam</w:t>
      </w:r>
      <w:proofErr w:type="spellEnd"/>
      <w:r w:rsidRPr="005647E6">
        <w:rPr>
          <w:rFonts w:ascii="Times New Roman" w:hAnsi="Times New Roman" w:cs="Times New Roman"/>
          <w:bCs/>
          <w:i/>
          <w:iCs/>
          <w:sz w:val="24"/>
          <w:szCs w:val="24"/>
        </w:rPr>
        <w:t xml:space="preserve"> </w:t>
      </w:r>
      <w:proofErr w:type="spellStart"/>
      <w:r w:rsidRPr="005647E6">
        <w:rPr>
          <w:rFonts w:ascii="Times New Roman" w:hAnsi="Times New Roman" w:cs="Times New Roman"/>
          <w:bCs/>
          <w:i/>
          <w:iCs/>
          <w:sz w:val="24"/>
          <w:szCs w:val="24"/>
        </w:rPr>
        <w:t>politik</w:t>
      </w:r>
      <w:proofErr w:type="spellEnd"/>
      <w:r w:rsidRPr="005647E6">
        <w:rPr>
          <w:rFonts w:ascii="Times New Roman" w:hAnsi="Times New Roman" w:cs="Times New Roman"/>
          <w:bCs/>
          <w:i/>
          <w:iCs/>
          <w:sz w:val="24"/>
          <w:szCs w:val="24"/>
        </w:rPr>
        <w:t xml:space="preserve"> </w:t>
      </w:r>
      <w:proofErr w:type="spellStart"/>
      <w:r w:rsidRPr="005647E6">
        <w:rPr>
          <w:rFonts w:ascii="Times New Roman" w:hAnsi="Times New Roman" w:cs="Times New Roman"/>
          <w:bCs/>
          <w:i/>
          <w:iCs/>
          <w:sz w:val="24"/>
          <w:szCs w:val="24"/>
        </w:rPr>
        <w:t>hukum</w:t>
      </w:r>
      <w:proofErr w:type="spellEnd"/>
      <w:r w:rsidRPr="005647E6">
        <w:rPr>
          <w:rFonts w:ascii="Times New Roman" w:hAnsi="Times New Roman" w:cs="Times New Roman"/>
          <w:bCs/>
          <w:i/>
          <w:iCs/>
          <w:sz w:val="24"/>
          <w:szCs w:val="24"/>
        </w:rPr>
        <w:t xml:space="preserve"> </w:t>
      </w:r>
      <w:proofErr w:type="spellStart"/>
      <w:r w:rsidRPr="005647E6">
        <w:rPr>
          <w:rFonts w:ascii="Times New Roman" w:hAnsi="Times New Roman" w:cs="Times New Roman"/>
          <w:bCs/>
          <w:i/>
          <w:iCs/>
          <w:sz w:val="24"/>
          <w:szCs w:val="24"/>
        </w:rPr>
        <w:t>nasional</w:t>
      </w:r>
      <w:proofErr w:type="spellEnd"/>
      <w:r w:rsidRPr="005647E6">
        <w:rPr>
          <w:rFonts w:ascii="Times New Roman" w:hAnsi="Times New Roman" w:cs="Times New Roman"/>
          <w:bCs/>
          <w:i/>
          <w:iCs/>
          <w:sz w:val="24"/>
          <w:szCs w:val="24"/>
        </w:rPr>
        <w:t xml:space="preserve"> Indonesia</w:t>
      </w:r>
      <w:r w:rsidRPr="005647E6">
        <w:rPr>
          <w:rFonts w:ascii="Times New Roman" w:hAnsi="Times New Roman" w:cs="Times New Roman"/>
          <w:bCs/>
          <w:sz w:val="24"/>
          <w:szCs w:val="24"/>
        </w:rPr>
        <w:t>. Balai Pustaka.</w:t>
      </w:r>
    </w:p>
    <w:p w14:paraId="45AA3F38"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proofErr w:type="spellStart"/>
      <w:r w:rsidRPr="005647E6">
        <w:rPr>
          <w:rFonts w:ascii="Times New Roman" w:hAnsi="Times New Roman" w:cs="Times New Roman"/>
          <w:bCs/>
          <w:sz w:val="24"/>
          <w:szCs w:val="24"/>
        </w:rPr>
        <w:t>Supiana</w:t>
      </w:r>
      <w:proofErr w:type="spellEnd"/>
      <w:r w:rsidRPr="005647E6">
        <w:rPr>
          <w:rFonts w:ascii="Times New Roman" w:hAnsi="Times New Roman" w:cs="Times New Roman"/>
          <w:bCs/>
          <w:sz w:val="24"/>
          <w:szCs w:val="24"/>
        </w:rPr>
        <w:t xml:space="preserve">, A., &amp; Widodo, Y. (2021). The legality principle and Indonesian criminal law transformation. </w:t>
      </w:r>
      <w:r w:rsidRPr="005647E6">
        <w:rPr>
          <w:rFonts w:ascii="Times New Roman" w:hAnsi="Times New Roman" w:cs="Times New Roman"/>
          <w:bCs/>
          <w:i/>
          <w:iCs/>
          <w:sz w:val="24"/>
          <w:szCs w:val="24"/>
        </w:rPr>
        <w:t>Journal of Criminal Law and Policy</w:t>
      </w:r>
      <w:r w:rsidRPr="005647E6">
        <w:rPr>
          <w:rFonts w:ascii="Times New Roman" w:hAnsi="Times New Roman" w:cs="Times New Roman"/>
          <w:bCs/>
          <w:sz w:val="24"/>
          <w:szCs w:val="24"/>
        </w:rPr>
        <w:t>, 4(2), 95–112.</w:t>
      </w:r>
    </w:p>
    <w:p w14:paraId="2F481353"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Ter Haar, B. (1939). </w:t>
      </w:r>
      <w:r w:rsidRPr="005647E6">
        <w:rPr>
          <w:rFonts w:ascii="Times New Roman" w:hAnsi="Times New Roman" w:cs="Times New Roman"/>
          <w:bCs/>
          <w:i/>
          <w:iCs/>
          <w:sz w:val="24"/>
          <w:szCs w:val="24"/>
        </w:rPr>
        <w:t>Adat law in Indonesia</w:t>
      </w:r>
      <w:r w:rsidRPr="005647E6">
        <w:rPr>
          <w:rFonts w:ascii="Times New Roman" w:hAnsi="Times New Roman" w:cs="Times New Roman"/>
          <w:bCs/>
          <w:sz w:val="24"/>
          <w:szCs w:val="24"/>
        </w:rPr>
        <w:t>. Oxford University Press. (Original work published in Dutch)</w:t>
      </w:r>
    </w:p>
    <w:p w14:paraId="7B1A11AB"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Tirto, A. (2023). Legal pluralism in the new Indonesian Criminal Code: Challenges and opportunities. </w:t>
      </w:r>
      <w:r w:rsidRPr="005647E6">
        <w:rPr>
          <w:rFonts w:ascii="Times New Roman" w:hAnsi="Times New Roman" w:cs="Times New Roman"/>
          <w:bCs/>
          <w:i/>
          <w:iCs/>
          <w:sz w:val="24"/>
          <w:szCs w:val="24"/>
        </w:rPr>
        <w:t>Indonesia Law Review</w:t>
      </w:r>
      <w:r w:rsidRPr="005647E6">
        <w:rPr>
          <w:rFonts w:ascii="Times New Roman" w:hAnsi="Times New Roman" w:cs="Times New Roman"/>
          <w:bCs/>
          <w:sz w:val="24"/>
          <w:szCs w:val="24"/>
        </w:rPr>
        <w:t>, 13(1), 1–28.</w:t>
      </w:r>
    </w:p>
    <w:p w14:paraId="3224C801"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van Vollenhoven, C. (1901). </w:t>
      </w:r>
      <w:r w:rsidRPr="005647E6">
        <w:rPr>
          <w:rFonts w:ascii="Times New Roman" w:hAnsi="Times New Roman" w:cs="Times New Roman"/>
          <w:bCs/>
          <w:i/>
          <w:iCs/>
          <w:sz w:val="24"/>
          <w:szCs w:val="24"/>
        </w:rPr>
        <w:t xml:space="preserve">Het </w:t>
      </w:r>
      <w:proofErr w:type="spellStart"/>
      <w:r w:rsidRPr="005647E6">
        <w:rPr>
          <w:rFonts w:ascii="Times New Roman" w:hAnsi="Times New Roman" w:cs="Times New Roman"/>
          <w:bCs/>
          <w:i/>
          <w:iCs/>
          <w:sz w:val="24"/>
          <w:szCs w:val="24"/>
        </w:rPr>
        <w:t>adatrecht</w:t>
      </w:r>
      <w:proofErr w:type="spellEnd"/>
      <w:r w:rsidRPr="005647E6">
        <w:rPr>
          <w:rFonts w:ascii="Times New Roman" w:hAnsi="Times New Roman" w:cs="Times New Roman"/>
          <w:bCs/>
          <w:i/>
          <w:iCs/>
          <w:sz w:val="24"/>
          <w:szCs w:val="24"/>
        </w:rPr>
        <w:t xml:space="preserve"> van </w:t>
      </w:r>
      <w:proofErr w:type="spellStart"/>
      <w:r w:rsidRPr="005647E6">
        <w:rPr>
          <w:rFonts w:ascii="Times New Roman" w:hAnsi="Times New Roman" w:cs="Times New Roman"/>
          <w:bCs/>
          <w:i/>
          <w:iCs/>
          <w:sz w:val="24"/>
          <w:szCs w:val="24"/>
        </w:rPr>
        <w:t>Nederlandsch-Indië</w:t>
      </w:r>
      <w:proofErr w:type="spellEnd"/>
      <w:r w:rsidRPr="005647E6">
        <w:rPr>
          <w:rFonts w:ascii="Times New Roman" w:hAnsi="Times New Roman" w:cs="Times New Roman"/>
          <w:bCs/>
          <w:sz w:val="24"/>
          <w:szCs w:val="24"/>
        </w:rPr>
        <w:t>. Brill.</w:t>
      </w:r>
    </w:p>
    <w:p w14:paraId="4819A402"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Ward, K. (2010). </w:t>
      </w:r>
      <w:r w:rsidRPr="005647E6">
        <w:rPr>
          <w:rFonts w:ascii="Times New Roman" w:hAnsi="Times New Roman" w:cs="Times New Roman"/>
          <w:bCs/>
          <w:i/>
          <w:iCs/>
          <w:sz w:val="24"/>
          <w:szCs w:val="24"/>
        </w:rPr>
        <w:t>A genealogy of justice: Adat and state law in postcolonial Indonesia</w:t>
      </w:r>
      <w:r w:rsidRPr="005647E6">
        <w:rPr>
          <w:rFonts w:ascii="Times New Roman" w:hAnsi="Times New Roman" w:cs="Times New Roman"/>
          <w:bCs/>
          <w:sz w:val="24"/>
          <w:szCs w:val="24"/>
        </w:rPr>
        <w:t>. Cambridge University Press.</w:t>
      </w:r>
    </w:p>
    <w:p w14:paraId="1AB5ABCF"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t xml:space="preserve">Zehr, H. (2008). </w:t>
      </w:r>
      <w:r w:rsidRPr="005647E6">
        <w:rPr>
          <w:rFonts w:ascii="Times New Roman" w:hAnsi="Times New Roman" w:cs="Times New Roman"/>
          <w:bCs/>
          <w:i/>
          <w:iCs/>
          <w:sz w:val="24"/>
          <w:szCs w:val="24"/>
        </w:rPr>
        <w:t>Changing lenses: Restorative justice for our times</w:t>
      </w:r>
      <w:r w:rsidRPr="005647E6">
        <w:rPr>
          <w:rFonts w:ascii="Times New Roman" w:hAnsi="Times New Roman" w:cs="Times New Roman"/>
          <w:bCs/>
          <w:sz w:val="24"/>
          <w:szCs w:val="24"/>
        </w:rPr>
        <w:t>. Herald Press.</w:t>
      </w:r>
    </w:p>
    <w:p w14:paraId="468CD7D3" w14:textId="77777777" w:rsidR="005647E6" w:rsidRPr="005647E6" w:rsidRDefault="005647E6" w:rsidP="007E0270">
      <w:pPr>
        <w:pStyle w:val="ListParagraph"/>
        <w:numPr>
          <w:ilvl w:val="0"/>
          <w:numId w:val="8"/>
        </w:numPr>
        <w:spacing w:line="240" w:lineRule="auto"/>
        <w:jc w:val="both"/>
        <w:rPr>
          <w:rFonts w:ascii="Times New Roman" w:hAnsi="Times New Roman" w:cs="Times New Roman"/>
          <w:bCs/>
          <w:sz w:val="24"/>
          <w:szCs w:val="24"/>
        </w:rPr>
      </w:pPr>
      <w:r w:rsidRPr="005647E6">
        <w:rPr>
          <w:rFonts w:ascii="Times New Roman" w:hAnsi="Times New Roman" w:cs="Times New Roman"/>
          <w:bCs/>
          <w:sz w:val="24"/>
          <w:szCs w:val="24"/>
        </w:rPr>
        <w:lastRenderedPageBreak/>
        <w:t xml:space="preserve">Zulfa, E. (2018). Restorative justice in Indonesian criminal justice system: Normative foundations and practical challenges. </w:t>
      </w:r>
      <w:r w:rsidRPr="005647E6">
        <w:rPr>
          <w:rFonts w:ascii="Times New Roman" w:hAnsi="Times New Roman" w:cs="Times New Roman"/>
          <w:bCs/>
          <w:i/>
          <w:iCs/>
          <w:sz w:val="24"/>
          <w:szCs w:val="24"/>
        </w:rPr>
        <w:t>Journal of Southeast Asian Legal Studies</w:t>
      </w:r>
      <w:r w:rsidRPr="005647E6">
        <w:rPr>
          <w:rFonts w:ascii="Times New Roman" w:hAnsi="Times New Roman" w:cs="Times New Roman"/>
          <w:bCs/>
          <w:sz w:val="24"/>
          <w:szCs w:val="24"/>
        </w:rPr>
        <w:t>, 3(2), 120–135.</w:t>
      </w:r>
    </w:p>
    <w:p w14:paraId="24409943" w14:textId="77777777" w:rsidR="005647E6" w:rsidRDefault="005647E6" w:rsidP="007E0270">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D44707C" w14:textId="77777777" w:rsidR="00B80DFD" w:rsidRPr="00B80DFD" w:rsidRDefault="00B80DFD" w:rsidP="007E0270">
      <w:pPr>
        <w:spacing w:line="240" w:lineRule="auto"/>
        <w:contextualSpacing/>
        <w:jc w:val="both"/>
        <w:rPr>
          <w:rFonts w:ascii="Times New Roman" w:hAnsi="Times New Roman" w:cs="Times New Roman"/>
          <w:b/>
          <w:bCs/>
          <w:sz w:val="24"/>
          <w:szCs w:val="24"/>
        </w:rPr>
      </w:pPr>
      <w:r w:rsidRPr="00B80DFD">
        <w:rPr>
          <w:rFonts w:ascii="Times New Roman" w:hAnsi="Times New Roman" w:cs="Times New Roman"/>
          <w:b/>
          <w:bCs/>
          <w:sz w:val="24"/>
          <w:szCs w:val="24"/>
        </w:rPr>
        <w:lastRenderedPageBreak/>
        <w:t xml:space="preserve">Appendix A. Research Instrument </w:t>
      </w:r>
    </w:p>
    <w:tbl>
      <w:tblPr>
        <w:tblW w:w="10237" w:type="dxa"/>
        <w:tblCellSpacing w:w="15" w:type="dxa"/>
        <w:tblCellMar>
          <w:top w:w="15" w:type="dxa"/>
          <w:left w:w="15" w:type="dxa"/>
          <w:bottom w:w="15" w:type="dxa"/>
          <w:right w:w="15" w:type="dxa"/>
        </w:tblCellMar>
        <w:tblLook w:val="04A0" w:firstRow="1" w:lastRow="0" w:firstColumn="1" w:lastColumn="0" w:noHBand="0" w:noVBand="1"/>
      </w:tblPr>
      <w:tblGrid>
        <w:gridCol w:w="2268"/>
        <w:gridCol w:w="3577"/>
        <w:gridCol w:w="2067"/>
        <w:gridCol w:w="2325"/>
      </w:tblGrid>
      <w:tr w:rsidR="00A546B2" w:rsidRPr="0023568E" w14:paraId="3BAB9B72" w14:textId="77777777" w:rsidTr="00C07500">
        <w:trPr>
          <w:tblHeader/>
          <w:tblCellSpacing w:w="15" w:type="dxa"/>
        </w:trPr>
        <w:tc>
          <w:tcPr>
            <w:tcW w:w="2223" w:type="dxa"/>
            <w:tcBorders>
              <w:top w:val="single" w:sz="4" w:space="0" w:color="auto"/>
              <w:left w:val="single" w:sz="4" w:space="0" w:color="auto"/>
              <w:bottom w:val="single" w:sz="4" w:space="0" w:color="auto"/>
            </w:tcBorders>
            <w:vAlign w:val="center"/>
            <w:hideMark/>
          </w:tcPr>
          <w:p w14:paraId="259C3A63" w14:textId="77777777" w:rsidR="00B80DFD" w:rsidRPr="0023568E" w:rsidRDefault="00B80DFD" w:rsidP="007E0270">
            <w:pPr>
              <w:spacing w:line="240" w:lineRule="auto"/>
              <w:contextualSpacing/>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568E">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Focus</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578ACAC" w14:textId="77777777" w:rsidR="00B80DFD" w:rsidRPr="0023568E" w:rsidRDefault="00B80DFD" w:rsidP="007E0270">
            <w:pPr>
              <w:spacing w:line="240" w:lineRule="auto"/>
              <w:contextualSpacing/>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568E">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Analytical Indicators</w:t>
            </w:r>
          </w:p>
        </w:tc>
        <w:tc>
          <w:tcPr>
            <w:tcW w:w="2037" w:type="dxa"/>
            <w:tcBorders>
              <w:top w:val="single" w:sz="4" w:space="0" w:color="auto"/>
              <w:bottom w:val="single" w:sz="4" w:space="0" w:color="auto"/>
              <w:right w:val="single" w:sz="4" w:space="0" w:color="auto"/>
            </w:tcBorders>
            <w:vAlign w:val="center"/>
            <w:hideMark/>
          </w:tcPr>
          <w:p w14:paraId="318531FB" w14:textId="77777777" w:rsidR="00B80DFD" w:rsidRPr="0023568E" w:rsidRDefault="00B80DFD" w:rsidP="007E0270">
            <w:pPr>
              <w:spacing w:line="240" w:lineRule="auto"/>
              <w:contextualSpacing/>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568E">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Sources of Data</w:t>
            </w:r>
          </w:p>
        </w:tc>
        <w:tc>
          <w:tcPr>
            <w:tcW w:w="2280" w:type="dxa"/>
            <w:tcBorders>
              <w:top w:val="single" w:sz="4" w:space="0" w:color="auto"/>
              <w:bottom w:val="single" w:sz="4" w:space="0" w:color="auto"/>
              <w:right w:val="single" w:sz="4" w:space="0" w:color="auto"/>
            </w:tcBorders>
            <w:vAlign w:val="center"/>
            <w:hideMark/>
          </w:tcPr>
          <w:p w14:paraId="5DDB2873" w14:textId="77777777" w:rsidR="00B80DFD" w:rsidRPr="0023568E" w:rsidRDefault="00B80DFD" w:rsidP="007E0270">
            <w:pPr>
              <w:spacing w:line="240" w:lineRule="auto"/>
              <w:contextualSpacing/>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568E">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Analytical Method</w:t>
            </w:r>
          </w:p>
        </w:tc>
      </w:tr>
      <w:tr w:rsidR="00B80DFD" w:rsidRPr="0023568E" w14:paraId="2ECB53FE" w14:textId="77777777" w:rsidTr="00C07500">
        <w:trPr>
          <w:tblCellSpacing w:w="15" w:type="dxa"/>
        </w:trPr>
        <w:tc>
          <w:tcPr>
            <w:tcW w:w="2223" w:type="dxa"/>
            <w:tcBorders>
              <w:top w:val="single" w:sz="4" w:space="0" w:color="auto"/>
              <w:left w:val="single" w:sz="4" w:space="0" w:color="auto"/>
            </w:tcBorders>
            <w:vAlign w:val="center"/>
            <w:hideMark/>
          </w:tcPr>
          <w:p w14:paraId="41772BD2"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b/>
                <w:bCs/>
                <w:sz w:val="24"/>
                <w:szCs w:val="24"/>
              </w:rPr>
              <w:t>Philosophical &amp; historical basis</w:t>
            </w:r>
          </w:p>
        </w:tc>
        <w:tc>
          <w:tcPr>
            <w:tcW w:w="3547" w:type="dxa"/>
            <w:tcBorders>
              <w:top w:val="single" w:sz="4" w:space="0" w:color="auto"/>
              <w:left w:val="single" w:sz="4" w:space="0" w:color="auto"/>
              <w:right w:val="single" w:sz="4" w:space="0" w:color="auto"/>
            </w:tcBorders>
            <w:vAlign w:val="center"/>
            <w:hideMark/>
          </w:tcPr>
          <w:p w14:paraId="13D8F51A"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Alignment with pluralism theories</w:t>
            </w:r>
            <w:r w:rsidRPr="0023568E">
              <w:rPr>
                <w:rFonts w:ascii="Times New Roman" w:hAnsi="Times New Roman" w:cs="Times New Roman"/>
                <w:sz w:val="24"/>
                <w:szCs w:val="24"/>
              </w:rPr>
              <w:br/>
              <w:t xml:space="preserve">- Evolution of </w:t>
            </w:r>
            <w:proofErr w:type="spellStart"/>
            <w:r w:rsidRPr="0023568E">
              <w:rPr>
                <w:rFonts w:ascii="Times New Roman" w:hAnsi="Times New Roman" w:cs="Times New Roman"/>
                <w:sz w:val="24"/>
                <w:szCs w:val="24"/>
              </w:rPr>
              <w:t>adat</w:t>
            </w:r>
            <w:proofErr w:type="spellEnd"/>
            <w:r w:rsidRPr="0023568E">
              <w:rPr>
                <w:rFonts w:ascii="Times New Roman" w:hAnsi="Times New Roman" w:cs="Times New Roman"/>
                <w:sz w:val="24"/>
                <w:szCs w:val="24"/>
              </w:rPr>
              <w:t xml:space="preserve"> recognition</w:t>
            </w:r>
            <w:r w:rsidRPr="0023568E">
              <w:rPr>
                <w:rFonts w:ascii="Times New Roman" w:hAnsi="Times New Roman" w:cs="Times New Roman"/>
                <w:sz w:val="24"/>
                <w:szCs w:val="24"/>
              </w:rPr>
              <w:br/>
              <w:t>- Constitutional legitimacy</w:t>
            </w:r>
          </w:p>
        </w:tc>
        <w:tc>
          <w:tcPr>
            <w:tcW w:w="2037" w:type="dxa"/>
            <w:tcBorders>
              <w:top w:val="single" w:sz="4" w:space="0" w:color="auto"/>
              <w:right w:val="single" w:sz="4" w:space="0" w:color="auto"/>
            </w:tcBorders>
            <w:vAlign w:val="center"/>
            <w:hideMark/>
          </w:tcPr>
          <w:p w14:paraId="053FA9CF"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Constitution</w:t>
            </w:r>
            <w:r w:rsidRPr="0023568E">
              <w:rPr>
                <w:rFonts w:ascii="Times New Roman" w:hAnsi="Times New Roman" w:cs="Times New Roman"/>
                <w:sz w:val="24"/>
                <w:szCs w:val="24"/>
              </w:rPr>
              <w:br/>
              <w:t>- Scholarly texts</w:t>
            </w:r>
            <w:r w:rsidRPr="0023568E">
              <w:rPr>
                <w:rFonts w:ascii="Times New Roman" w:hAnsi="Times New Roman" w:cs="Times New Roman"/>
                <w:sz w:val="24"/>
                <w:szCs w:val="24"/>
              </w:rPr>
              <w:br/>
              <w:t>- Legislative history</w:t>
            </w:r>
          </w:p>
        </w:tc>
        <w:tc>
          <w:tcPr>
            <w:tcW w:w="2280" w:type="dxa"/>
            <w:tcBorders>
              <w:top w:val="single" w:sz="4" w:space="0" w:color="auto"/>
              <w:right w:val="single" w:sz="4" w:space="0" w:color="auto"/>
            </w:tcBorders>
            <w:vAlign w:val="center"/>
            <w:hideMark/>
          </w:tcPr>
          <w:p w14:paraId="766228FC"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Content analysis</w:t>
            </w:r>
            <w:r w:rsidRPr="0023568E">
              <w:rPr>
                <w:rFonts w:ascii="Times New Roman" w:hAnsi="Times New Roman" w:cs="Times New Roman"/>
                <w:sz w:val="24"/>
                <w:szCs w:val="24"/>
              </w:rPr>
              <w:br/>
              <w:t>- Conceptual interpretation</w:t>
            </w:r>
          </w:p>
        </w:tc>
      </w:tr>
      <w:tr w:rsidR="00B80DFD" w:rsidRPr="0023568E" w14:paraId="5A43ACD5" w14:textId="77777777" w:rsidTr="00C07500">
        <w:trPr>
          <w:tblCellSpacing w:w="15" w:type="dxa"/>
        </w:trPr>
        <w:tc>
          <w:tcPr>
            <w:tcW w:w="2223" w:type="dxa"/>
            <w:tcBorders>
              <w:left w:val="single" w:sz="4" w:space="0" w:color="auto"/>
            </w:tcBorders>
            <w:vAlign w:val="center"/>
            <w:hideMark/>
          </w:tcPr>
          <w:p w14:paraId="49620845"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b/>
                <w:bCs/>
                <w:sz w:val="24"/>
                <w:szCs w:val="24"/>
              </w:rPr>
              <w:t>Material vs. formal legality</w:t>
            </w:r>
          </w:p>
        </w:tc>
        <w:tc>
          <w:tcPr>
            <w:tcW w:w="3547" w:type="dxa"/>
            <w:tcBorders>
              <w:left w:val="single" w:sz="4" w:space="0" w:color="auto"/>
              <w:right w:val="single" w:sz="4" w:space="0" w:color="auto"/>
            </w:tcBorders>
            <w:vAlign w:val="center"/>
            <w:hideMark/>
          </w:tcPr>
          <w:p w14:paraId="50E42677"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Doctrinal coherence</w:t>
            </w:r>
            <w:r w:rsidRPr="0023568E">
              <w:rPr>
                <w:rFonts w:ascii="Times New Roman" w:hAnsi="Times New Roman" w:cs="Times New Roman"/>
                <w:sz w:val="24"/>
                <w:szCs w:val="24"/>
              </w:rPr>
              <w:br/>
              <w:t>- Compatibility with legality principles</w:t>
            </w:r>
            <w:r w:rsidRPr="0023568E">
              <w:rPr>
                <w:rFonts w:ascii="Times New Roman" w:hAnsi="Times New Roman" w:cs="Times New Roman"/>
                <w:sz w:val="24"/>
                <w:szCs w:val="24"/>
              </w:rPr>
              <w:br/>
              <w:t>- Retroactivity risks</w:t>
            </w:r>
          </w:p>
        </w:tc>
        <w:tc>
          <w:tcPr>
            <w:tcW w:w="2037" w:type="dxa"/>
            <w:tcBorders>
              <w:right w:val="single" w:sz="4" w:space="0" w:color="auto"/>
            </w:tcBorders>
            <w:vAlign w:val="center"/>
            <w:hideMark/>
          </w:tcPr>
          <w:p w14:paraId="5BA4968B"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Article 2 KUHP</w:t>
            </w:r>
            <w:r w:rsidRPr="0023568E">
              <w:rPr>
                <w:rFonts w:ascii="Times New Roman" w:hAnsi="Times New Roman" w:cs="Times New Roman"/>
                <w:sz w:val="24"/>
                <w:szCs w:val="24"/>
              </w:rPr>
              <w:br/>
              <w:t>- Judicial decisions</w:t>
            </w:r>
            <w:r w:rsidRPr="0023568E">
              <w:rPr>
                <w:rFonts w:ascii="Times New Roman" w:hAnsi="Times New Roman" w:cs="Times New Roman"/>
                <w:sz w:val="24"/>
                <w:szCs w:val="24"/>
              </w:rPr>
              <w:br/>
              <w:t>- Doctrinal literature</w:t>
            </w:r>
          </w:p>
        </w:tc>
        <w:tc>
          <w:tcPr>
            <w:tcW w:w="2280" w:type="dxa"/>
            <w:tcBorders>
              <w:right w:val="single" w:sz="4" w:space="0" w:color="auto"/>
            </w:tcBorders>
            <w:vAlign w:val="center"/>
            <w:hideMark/>
          </w:tcPr>
          <w:p w14:paraId="5430413D"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Normative reasoning</w:t>
            </w:r>
            <w:r w:rsidRPr="0023568E">
              <w:rPr>
                <w:rFonts w:ascii="Times New Roman" w:hAnsi="Times New Roman" w:cs="Times New Roman"/>
                <w:sz w:val="24"/>
                <w:szCs w:val="24"/>
              </w:rPr>
              <w:br/>
              <w:t>- Legal construction</w:t>
            </w:r>
          </w:p>
        </w:tc>
      </w:tr>
      <w:tr w:rsidR="00B80DFD" w:rsidRPr="0023568E" w14:paraId="2B1F11A1" w14:textId="77777777" w:rsidTr="00C07500">
        <w:trPr>
          <w:tblCellSpacing w:w="15" w:type="dxa"/>
        </w:trPr>
        <w:tc>
          <w:tcPr>
            <w:tcW w:w="2223" w:type="dxa"/>
            <w:tcBorders>
              <w:left w:val="single" w:sz="4" w:space="0" w:color="auto"/>
            </w:tcBorders>
            <w:vAlign w:val="center"/>
            <w:hideMark/>
          </w:tcPr>
          <w:p w14:paraId="714A41E4"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b/>
                <w:bCs/>
                <w:sz w:val="24"/>
                <w:szCs w:val="24"/>
              </w:rPr>
              <w:t>Human rights implications</w:t>
            </w:r>
          </w:p>
        </w:tc>
        <w:tc>
          <w:tcPr>
            <w:tcW w:w="3547" w:type="dxa"/>
            <w:tcBorders>
              <w:left w:val="single" w:sz="4" w:space="0" w:color="auto"/>
              <w:right w:val="single" w:sz="4" w:space="0" w:color="auto"/>
            </w:tcBorders>
            <w:vAlign w:val="center"/>
            <w:hideMark/>
          </w:tcPr>
          <w:p w14:paraId="48CEB1DA"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Anti-discrimination protections</w:t>
            </w:r>
            <w:r w:rsidRPr="0023568E">
              <w:rPr>
                <w:rFonts w:ascii="Times New Roman" w:hAnsi="Times New Roman" w:cs="Times New Roman"/>
                <w:sz w:val="24"/>
                <w:szCs w:val="24"/>
              </w:rPr>
              <w:br/>
              <w:t>- Judicial discretion limits</w:t>
            </w:r>
            <w:r w:rsidRPr="0023568E">
              <w:rPr>
                <w:rFonts w:ascii="Times New Roman" w:hAnsi="Times New Roman" w:cs="Times New Roman"/>
                <w:sz w:val="24"/>
                <w:szCs w:val="24"/>
              </w:rPr>
              <w:br/>
              <w:t>- Compatibility with international norms</w:t>
            </w:r>
          </w:p>
        </w:tc>
        <w:tc>
          <w:tcPr>
            <w:tcW w:w="2037" w:type="dxa"/>
            <w:tcBorders>
              <w:right w:val="single" w:sz="4" w:space="0" w:color="auto"/>
            </w:tcBorders>
            <w:vAlign w:val="center"/>
            <w:hideMark/>
          </w:tcPr>
          <w:p w14:paraId="3C89D2EF"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Constitution</w:t>
            </w:r>
            <w:r w:rsidRPr="0023568E">
              <w:rPr>
                <w:rFonts w:ascii="Times New Roman" w:hAnsi="Times New Roman" w:cs="Times New Roman"/>
                <w:sz w:val="24"/>
                <w:szCs w:val="24"/>
              </w:rPr>
              <w:br/>
              <w:t>- ICCPR, UNDRIP</w:t>
            </w:r>
            <w:r w:rsidRPr="0023568E">
              <w:rPr>
                <w:rFonts w:ascii="Times New Roman" w:hAnsi="Times New Roman" w:cs="Times New Roman"/>
                <w:sz w:val="24"/>
                <w:szCs w:val="24"/>
              </w:rPr>
              <w:br/>
              <w:t>- Case law</w:t>
            </w:r>
          </w:p>
        </w:tc>
        <w:tc>
          <w:tcPr>
            <w:tcW w:w="2280" w:type="dxa"/>
            <w:tcBorders>
              <w:right w:val="single" w:sz="4" w:space="0" w:color="auto"/>
            </w:tcBorders>
            <w:vAlign w:val="center"/>
            <w:hideMark/>
          </w:tcPr>
          <w:p w14:paraId="0E6DF365"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Normative analysis</w:t>
            </w:r>
            <w:r w:rsidRPr="0023568E">
              <w:rPr>
                <w:rFonts w:ascii="Times New Roman" w:hAnsi="Times New Roman" w:cs="Times New Roman"/>
                <w:sz w:val="24"/>
                <w:szCs w:val="24"/>
              </w:rPr>
              <w:br/>
              <w:t>- Comparative method</w:t>
            </w:r>
          </w:p>
        </w:tc>
      </w:tr>
      <w:tr w:rsidR="00B80DFD" w:rsidRPr="0023568E" w14:paraId="535109F6" w14:textId="77777777" w:rsidTr="00C07500">
        <w:trPr>
          <w:tblCellSpacing w:w="15" w:type="dxa"/>
        </w:trPr>
        <w:tc>
          <w:tcPr>
            <w:tcW w:w="2223" w:type="dxa"/>
            <w:tcBorders>
              <w:left w:val="single" w:sz="4" w:space="0" w:color="auto"/>
            </w:tcBorders>
            <w:vAlign w:val="center"/>
            <w:hideMark/>
          </w:tcPr>
          <w:p w14:paraId="61F42035"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b/>
                <w:bCs/>
                <w:sz w:val="24"/>
                <w:szCs w:val="24"/>
              </w:rPr>
              <w:t>Institutional mechanisms</w:t>
            </w:r>
          </w:p>
        </w:tc>
        <w:tc>
          <w:tcPr>
            <w:tcW w:w="3547" w:type="dxa"/>
            <w:tcBorders>
              <w:left w:val="single" w:sz="4" w:space="0" w:color="auto"/>
              <w:right w:val="single" w:sz="4" w:space="0" w:color="auto"/>
            </w:tcBorders>
            <w:vAlign w:val="center"/>
            <w:hideMark/>
          </w:tcPr>
          <w:p w14:paraId="6D847F79"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Regulatory requirements</w:t>
            </w:r>
            <w:r w:rsidRPr="0023568E">
              <w:rPr>
                <w:rFonts w:ascii="Times New Roman" w:hAnsi="Times New Roman" w:cs="Times New Roman"/>
                <w:sz w:val="24"/>
                <w:szCs w:val="24"/>
              </w:rPr>
              <w:br/>
              <w:t>- Verification procedures</w:t>
            </w:r>
            <w:r w:rsidRPr="0023568E">
              <w:rPr>
                <w:rFonts w:ascii="Times New Roman" w:hAnsi="Times New Roman" w:cs="Times New Roman"/>
                <w:sz w:val="24"/>
                <w:szCs w:val="24"/>
              </w:rPr>
              <w:br/>
              <w:t>- Roles of judicial and executive bodies</w:t>
            </w:r>
          </w:p>
        </w:tc>
        <w:tc>
          <w:tcPr>
            <w:tcW w:w="2037" w:type="dxa"/>
            <w:tcBorders>
              <w:right w:val="single" w:sz="4" w:space="0" w:color="auto"/>
            </w:tcBorders>
            <w:vAlign w:val="center"/>
            <w:hideMark/>
          </w:tcPr>
          <w:p w14:paraId="0F1B2638"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Draft PP/</w:t>
            </w:r>
            <w:proofErr w:type="spellStart"/>
            <w:r w:rsidRPr="0023568E">
              <w:rPr>
                <w:rFonts w:ascii="Times New Roman" w:hAnsi="Times New Roman" w:cs="Times New Roman"/>
                <w:sz w:val="24"/>
                <w:szCs w:val="24"/>
              </w:rPr>
              <w:t>Perda</w:t>
            </w:r>
            <w:proofErr w:type="spellEnd"/>
            <w:r w:rsidRPr="0023568E">
              <w:rPr>
                <w:rFonts w:ascii="Times New Roman" w:hAnsi="Times New Roman" w:cs="Times New Roman"/>
                <w:sz w:val="24"/>
                <w:szCs w:val="24"/>
              </w:rPr>
              <w:br/>
              <w:t>- Reports &amp; studies</w:t>
            </w:r>
            <w:r w:rsidRPr="0023568E">
              <w:rPr>
                <w:rFonts w:ascii="Times New Roman" w:hAnsi="Times New Roman" w:cs="Times New Roman"/>
                <w:sz w:val="24"/>
                <w:szCs w:val="24"/>
              </w:rPr>
              <w:br/>
              <w:t>- Comparative models</w:t>
            </w:r>
          </w:p>
        </w:tc>
        <w:tc>
          <w:tcPr>
            <w:tcW w:w="2280" w:type="dxa"/>
            <w:tcBorders>
              <w:right w:val="single" w:sz="4" w:space="0" w:color="auto"/>
            </w:tcBorders>
            <w:vAlign w:val="center"/>
            <w:hideMark/>
          </w:tcPr>
          <w:p w14:paraId="1F95DD21"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Legal construction</w:t>
            </w:r>
            <w:r w:rsidRPr="0023568E">
              <w:rPr>
                <w:rFonts w:ascii="Times New Roman" w:hAnsi="Times New Roman" w:cs="Times New Roman"/>
                <w:sz w:val="24"/>
                <w:szCs w:val="24"/>
              </w:rPr>
              <w:br/>
              <w:t>- Gap analysis</w:t>
            </w:r>
          </w:p>
        </w:tc>
      </w:tr>
      <w:tr w:rsidR="00B80DFD" w:rsidRPr="0023568E" w14:paraId="04E407D7" w14:textId="77777777" w:rsidTr="00C07500">
        <w:trPr>
          <w:tblCellSpacing w:w="15" w:type="dxa"/>
        </w:trPr>
        <w:tc>
          <w:tcPr>
            <w:tcW w:w="2223" w:type="dxa"/>
            <w:tcBorders>
              <w:left w:val="single" w:sz="4" w:space="0" w:color="auto"/>
              <w:bottom w:val="single" w:sz="4" w:space="0" w:color="auto"/>
            </w:tcBorders>
            <w:vAlign w:val="center"/>
            <w:hideMark/>
          </w:tcPr>
          <w:p w14:paraId="66F80D70"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b/>
                <w:bCs/>
                <w:sz w:val="24"/>
                <w:szCs w:val="24"/>
              </w:rPr>
              <w:t>Integrated model for implementation</w:t>
            </w:r>
          </w:p>
        </w:tc>
        <w:tc>
          <w:tcPr>
            <w:tcW w:w="3547" w:type="dxa"/>
            <w:tcBorders>
              <w:left w:val="single" w:sz="4" w:space="0" w:color="auto"/>
              <w:bottom w:val="single" w:sz="4" w:space="0" w:color="auto"/>
              <w:right w:val="single" w:sz="4" w:space="0" w:color="auto"/>
            </w:tcBorders>
            <w:vAlign w:val="center"/>
            <w:hideMark/>
          </w:tcPr>
          <w:p w14:paraId="5528712E"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Normative hierarchy</w:t>
            </w:r>
            <w:r w:rsidRPr="0023568E">
              <w:rPr>
                <w:rFonts w:ascii="Times New Roman" w:hAnsi="Times New Roman" w:cs="Times New Roman"/>
                <w:sz w:val="24"/>
                <w:szCs w:val="24"/>
              </w:rPr>
              <w:br/>
              <w:t>- Safeguards &amp; constraints</w:t>
            </w:r>
            <w:r w:rsidRPr="0023568E">
              <w:rPr>
                <w:rFonts w:ascii="Times New Roman" w:hAnsi="Times New Roman" w:cs="Times New Roman"/>
                <w:sz w:val="24"/>
                <w:szCs w:val="24"/>
              </w:rPr>
              <w:br/>
              <w:t>- Practical applicability</w:t>
            </w:r>
          </w:p>
        </w:tc>
        <w:tc>
          <w:tcPr>
            <w:tcW w:w="2037" w:type="dxa"/>
            <w:tcBorders>
              <w:bottom w:val="single" w:sz="4" w:space="0" w:color="auto"/>
              <w:right w:val="single" w:sz="4" w:space="0" w:color="auto"/>
            </w:tcBorders>
            <w:vAlign w:val="center"/>
            <w:hideMark/>
          </w:tcPr>
          <w:p w14:paraId="0B8AD658"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All legal materials</w:t>
            </w:r>
          </w:p>
        </w:tc>
        <w:tc>
          <w:tcPr>
            <w:tcW w:w="2280" w:type="dxa"/>
            <w:tcBorders>
              <w:bottom w:val="single" w:sz="4" w:space="0" w:color="auto"/>
              <w:right w:val="single" w:sz="4" w:space="0" w:color="auto"/>
            </w:tcBorders>
            <w:vAlign w:val="center"/>
            <w:hideMark/>
          </w:tcPr>
          <w:p w14:paraId="684D9F45" w14:textId="77777777" w:rsidR="00B80DFD" w:rsidRPr="0023568E" w:rsidRDefault="00B80DFD" w:rsidP="007E0270">
            <w:pPr>
              <w:spacing w:line="240" w:lineRule="auto"/>
              <w:contextualSpacing/>
              <w:rPr>
                <w:rFonts w:ascii="Times New Roman" w:hAnsi="Times New Roman" w:cs="Times New Roman"/>
                <w:sz w:val="24"/>
                <w:szCs w:val="24"/>
              </w:rPr>
            </w:pPr>
            <w:r w:rsidRPr="0023568E">
              <w:rPr>
                <w:rFonts w:ascii="Times New Roman" w:hAnsi="Times New Roman" w:cs="Times New Roman"/>
                <w:sz w:val="24"/>
                <w:szCs w:val="24"/>
              </w:rPr>
              <w:t>- Synthesis</w:t>
            </w:r>
            <w:r w:rsidRPr="0023568E">
              <w:rPr>
                <w:rFonts w:ascii="Times New Roman" w:hAnsi="Times New Roman" w:cs="Times New Roman"/>
                <w:sz w:val="24"/>
                <w:szCs w:val="24"/>
              </w:rPr>
              <w:br/>
              <w:t>- Prescriptive analysis</w:t>
            </w:r>
          </w:p>
        </w:tc>
      </w:tr>
    </w:tbl>
    <w:p w14:paraId="3B0D7A8E" w14:textId="77777777" w:rsidR="00B80DFD" w:rsidRPr="00F90BEE" w:rsidRDefault="00B80DFD" w:rsidP="007E0270">
      <w:pPr>
        <w:spacing w:line="240" w:lineRule="auto"/>
        <w:contextualSpacing/>
        <w:jc w:val="both"/>
        <w:rPr>
          <w:rFonts w:ascii="Times New Roman" w:hAnsi="Times New Roman" w:cs="Times New Roman"/>
          <w:sz w:val="24"/>
          <w:szCs w:val="24"/>
        </w:rPr>
      </w:pPr>
    </w:p>
    <w:sectPr w:rsidR="00B80DFD" w:rsidRPr="00F90BEE" w:rsidSect="00194D38">
      <w:pgSz w:w="11906" w:h="16838" w:code="9"/>
      <w:pgMar w:top="1094" w:right="605" w:bottom="605" w:left="605" w:header="87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81A5" w14:textId="77777777" w:rsidR="0074597C" w:rsidRDefault="0074597C" w:rsidP="00194D38">
      <w:pPr>
        <w:spacing w:after="0" w:line="240" w:lineRule="auto"/>
      </w:pPr>
      <w:r>
        <w:separator/>
      </w:r>
    </w:p>
  </w:endnote>
  <w:endnote w:type="continuationSeparator" w:id="0">
    <w:p w14:paraId="1091B022" w14:textId="77777777" w:rsidR="0074597C" w:rsidRDefault="0074597C" w:rsidP="0019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5331" w14:textId="77777777" w:rsidR="0074597C" w:rsidRDefault="0074597C" w:rsidP="00194D38">
      <w:pPr>
        <w:spacing w:after="0" w:line="240" w:lineRule="auto"/>
      </w:pPr>
      <w:r>
        <w:separator/>
      </w:r>
    </w:p>
  </w:footnote>
  <w:footnote w:type="continuationSeparator" w:id="0">
    <w:p w14:paraId="07671392" w14:textId="77777777" w:rsidR="0074597C" w:rsidRDefault="0074597C" w:rsidP="00194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A8F"/>
    <w:multiLevelType w:val="hybridMultilevel"/>
    <w:tmpl w:val="437EC858"/>
    <w:lvl w:ilvl="0" w:tplc="607CD0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42ACD"/>
    <w:multiLevelType w:val="hybridMultilevel"/>
    <w:tmpl w:val="9F76097C"/>
    <w:lvl w:ilvl="0" w:tplc="4B240CFC">
      <w:start w:val="1"/>
      <w:numFmt w:val="decimal"/>
      <w:lvlText w:val="2.%1"/>
      <w:lvlJc w:val="left"/>
      <w:pPr>
        <w:ind w:left="720" w:hanging="360"/>
      </w:pPr>
      <w:rPr>
        <w:rFonts w:ascii="Times New Roman" w:eastAsia="Arial MT" w:hAnsi="Times New Roman" w:cs="Times New Roman" w:hint="default"/>
        <w:b/>
        <w:bCs/>
        <w:i w:val="0"/>
        <w:iCs w:val="0"/>
        <w:spacing w:val="0"/>
        <w:w w:val="83"/>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4FDC"/>
    <w:multiLevelType w:val="hybridMultilevel"/>
    <w:tmpl w:val="F20683C6"/>
    <w:lvl w:ilvl="0" w:tplc="CC9C34D8">
      <w:start w:val="1"/>
      <w:numFmt w:val="lowerLetter"/>
      <w:lvlText w:val="%1."/>
      <w:lvlJc w:val="left"/>
      <w:pPr>
        <w:ind w:left="720" w:hanging="360"/>
      </w:pPr>
      <w:rPr>
        <w:rFonts w:ascii="Times New Roman" w:eastAsia="Arial MT" w:hAnsi="Times New Roman" w:cs="Times New Roman" w:hint="default"/>
        <w:b/>
        <w:bCs/>
        <w:i w:val="0"/>
        <w:iCs w:val="0"/>
        <w:spacing w:val="0"/>
        <w:w w:val="83"/>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21C5A"/>
    <w:multiLevelType w:val="hybridMultilevel"/>
    <w:tmpl w:val="F5344E32"/>
    <w:lvl w:ilvl="0" w:tplc="2C4821D2">
      <w:start w:val="1"/>
      <w:numFmt w:val="decimal"/>
      <w:lvlText w:val="1.%1"/>
      <w:lvlJc w:val="left"/>
      <w:pPr>
        <w:ind w:left="720" w:hanging="360"/>
      </w:pPr>
      <w:rPr>
        <w:rFonts w:ascii="Times New Roman" w:eastAsia="Arial MT" w:hAnsi="Times New Roman" w:cs="Times New Roman" w:hint="default"/>
        <w:b/>
        <w:bCs/>
        <w:i w:val="0"/>
        <w:iCs w:val="0"/>
        <w:spacing w:val="0"/>
        <w:w w:val="83"/>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80426"/>
    <w:multiLevelType w:val="multilevel"/>
    <w:tmpl w:val="C59C76BE"/>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B3C5067"/>
    <w:multiLevelType w:val="multilevel"/>
    <w:tmpl w:val="769E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123EA"/>
    <w:multiLevelType w:val="hybridMultilevel"/>
    <w:tmpl w:val="19EA7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BE2B68"/>
    <w:multiLevelType w:val="hybridMultilevel"/>
    <w:tmpl w:val="F1F4CE36"/>
    <w:lvl w:ilvl="0" w:tplc="9014E32E">
      <w:start w:val="1"/>
      <w:numFmt w:val="decimal"/>
      <w:lvlText w:val="%1."/>
      <w:lvlJc w:val="left"/>
      <w:pPr>
        <w:ind w:left="720" w:hanging="360"/>
      </w:pPr>
      <w:rPr>
        <w:rFonts w:ascii="Times New Roman" w:eastAsia="Arial MT" w:hAnsi="Times New Roman" w:cs="Times New Roman" w:hint="default"/>
        <w:b/>
        <w:bCs/>
        <w:i w:val="0"/>
        <w:iCs w:val="0"/>
        <w:spacing w:val="0"/>
        <w:w w:val="83"/>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B7CA5"/>
    <w:multiLevelType w:val="hybridMultilevel"/>
    <w:tmpl w:val="4C6052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2E1869"/>
    <w:multiLevelType w:val="hybridMultilevel"/>
    <w:tmpl w:val="3126CE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DD437B"/>
    <w:multiLevelType w:val="hybridMultilevel"/>
    <w:tmpl w:val="D120711E"/>
    <w:lvl w:ilvl="0" w:tplc="201C38E8">
      <w:start w:val="1"/>
      <w:numFmt w:val="decimal"/>
      <w:lvlText w:val="3.%1"/>
      <w:lvlJc w:val="left"/>
      <w:pPr>
        <w:ind w:left="720" w:hanging="360"/>
      </w:pPr>
      <w:rPr>
        <w:rFonts w:ascii="Times New Roman" w:eastAsia="Arial MT" w:hAnsi="Times New Roman" w:cs="Times New Roman" w:hint="default"/>
        <w:b/>
        <w:bCs/>
        <w:i w:val="0"/>
        <w:iCs w:val="0"/>
        <w:spacing w:val="0"/>
        <w:w w:val="83"/>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E4666"/>
    <w:multiLevelType w:val="hybridMultilevel"/>
    <w:tmpl w:val="E1783CD4"/>
    <w:lvl w:ilvl="0" w:tplc="82C8B4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8A0546"/>
    <w:multiLevelType w:val="hybridMultilevel"/>
    <w:tmpl w:val="6B04E1EE"/>
    <w:lvl w:ilvl="0" w:tplc="EAB0F698">
      <w:start w:val="1"/>
      <w:numFmt w:val="decimal"/>
      <w:lvlText w:val="4.%1"/>
      <w:lvlJc w:val="left"/>
      <w:pPr>
        <w:ind w:left="720" w:hanging="360"/>
      </w:pPr>
      <w:rPr>
        <w:rFonts w:ascii="Times New Roman" w:eastAsia="Arial MT" w:hAnsi="Times New Roman" w:cs="Times New Roman" w:hint="default"/>
        <w:b/>
        <w:bCs/>
        <w:i w:val="0"/>
        <w:iCs w:val="0"/>
        <w:spacing w:val="0"/>
        <w:w w:val="83"/>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02F12"/>
    <w:multiLevelType w:val="multilevel"/>
    <w:tmpl w:val="20CC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454251">
    <w:abstractNumId w:val="5"/>
  </w:num>
  <w:num w:numId="2" w16cid:durableId="136649319">
    <w:abstractNumId w:val="13"/>
  </w:num>
  <w:num w:numId="3" w16cid:durableId="97911028">
    <w:abstractNumId w:val="4"/>
  </w:num>
  <w:num w:numId="4" w16cid:durableId="244607552">
    <w:abstractNumId w:val="6"/>
  </w:num>
  <w:num w:numId="5" w16cid:durableId="1298071850">
    <w:abstractNumId w:val="11"/>
  </w:num>
  <w:num w:numId="6" w16cid:durableId="589779072">
    <w:abstractNumId w:val="8"/>
  </w:num>
  <w:num w:numId="7" w16cid:durableId="1021928999">
    <w:abstractNumId w:val="0"/>
  </w:num>
  <w:num w:numId="8" w16cid:durableId="823739970">
    <w:abstractNumId w:val="9"/>
  </w:num>
  <w:num w:numId="9" w16cid:durableId="2021808658">
    <w:abstractNumId w:val="7"/>
  </w:num>
  <w:num w:numId="10" w16cid:durableId="594047804">
    <w:abstractNumId w:val="3"/>
  </w:num>
  <w:num w:numId="11" w16cid:durableId="194850825">
    <w:abstractNumId w:val="1"/>
  </w:num>
  <w:num w:numId="12" w16cid:durableId="610624104">
    <w:abstractNumId w:val="2"/>
  </w:num>
  <w:num w:numId="13" w16cid:durableId="591134821">
    <w:abstractNumId w:val="10"/>
  </w:num>
  <w:num w:numId="14" w16cid:durableId="1057706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EE"/>
    <w:rsid w:val="00037871"/>
    <w:rsid w:val="000864A0"/>
    <w:rsid w:val="000C5A31"/>
    <w:rsid w:val="000E05FA"/>
    <w:rsid w:val="000F4C8D"/>
    <w:rsid w:val="001207CA"/>
    <w:rsid w:val="001236DA"/>
    <w:rsid w:val="0016548E"/>
    <w:rsid w:val="00187C35"/>
    <w:rsid w:val="00194D38"/>
    <w:rsid w:val="001A4DA4"/>
    <w:rsid w:val="001C3C0D"/>
    <w:rsid w:val="00212478"/>
    <w:rsid w:val="0023568E"/>
    <w:rsid w:val="00261630"/>
    <w:rsid w:val="002636B7"/>
    <w:rsid w:val="00297F89"/>
    <w:rsid w:val="002A2EE9"/>
    <w:rsid w:val="002D3401"/>
    <w:rsid w:val="002F6F61"/>
    <w:rsid w:val="00384FD3"/>
    <w:rsid w:val="004504C3"/>
    <w:rsid w:val="004668AD"/>
    <w:rsid w:val="004913D4"/>
    <w:rsid w:val="004B24DA"/>
    <w:rsid w:val="00531074"/>
    <w:rsid w:val="005647E6"/>
    <w:rsid w:val="00576CB4"/>
    <w:rsid w:val="005C6775"/>
    <w:rsid w:val="00702240"/>
    <w:rsid w:val="00726FBA"/>
    <w:rsid w:val="0074597C"/>
    <w:rsid w:val="00781092"/>
    <w:rsid w:val="007B2444"/>
    <w:rsid w:val="007D1262"/>
    <w:rsid w:val="007E0270"/>
    <w:rsid w:val="00813C28"/>
    <w:rsid w:val="00880FA4"/>
    <w:rsid w:val="008D1BBE"/>
    <w:rsid w:val="008F40AE"/>
    <w:rsid w:val="00902F42"/>
    <w:rsid w:val="00906D4D"/>
    <w:rsid w:val="00913DB0"/>
    <w:rsid w:val="00977570"/>
    <w:rsid w:val="00985AAF"/>
    <w:rsid w:val="009B7938"/>
    <w:rsid w:val="009C642F"/>
    <w:rsid w:val="00A517A4"/>
    <w:rsid w:val="00A546B2"/>
    <w:rsid w:val="00A86651"/>
    <w:rsid w:val="00A95EFF"/>
    <w:rsid w:val="00AD1C70"/>
    <w:rsid w:val="00AF728B"/>
    <w:rsid w:val="00B80DFD"/>
    <w:rsid w:val="00BC4FF2"/>
    <w:rsid w:val="00C07500"/>
    <w:rsid w:val="00C2127A"/>
    <w:rsid w:val="00C37FE1"/>
    <w:rsid w:val="00C528B4"/>
    <w:rsid w:val="00C56275"/>
    <w:rsid w:val="00C970EF"/>
    <w:rsid w:val="00CA4B38"/>
    <w:rsid w:val="00CF4EBE"/>
    <w:rsid w:val="00D70D9B"/>
    <w:rsid w:val="00DB3AB2"/>
    <w:rsid w:val="00DF28A2"/>
    <w:rsid w:val="00E02758"/>
    <w:rsid w:val="00ED3AB8"/>
    <w:rsid w:val="00ED4EA8"/>
    <w:rsid w:val="00F24A19"/>
    <w:rsid w:val="00F466B1"/>
    <w:rsid w:val="00F57EF5"/>
    <w:rsid w:val="00F60870"/>
    <w:rsid w:val="00F817C0"/>
    <w:rsid w:val="00F90BEE"/>
    <w:rsid w:val="00FC29AE"/>
    <w:rsid w:val="00FF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02FC"/>
  <w15:chartTrackingRefBased/>
  <w15:docId w15:val="{6BD09440-A480-454A-B572-D111EDB0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BEE"/>
    <w:pPr>
      <w:ind w:left="720"/>
      <w:contextualSpacing/>
    </w:pPr>
  </w:style>
  <w:style w:type="character" w:styleId="Hyperlink">
    <w:name w:val="Hyperlink"/>
    <w:basedOn w:val="DefaultParagraphFont"/>
    <w:uiPriority w:val="99"/>
    <w:unhideWhenUsed/>
    <w:rsid w:val="007D1262"/>
    <w:rPr>
      <w:color w:val="0563C1" w:themeColor="hyperlink"/>
      <w:u w:val="single"/>
    </w:rPr>
  </w:style>
  <w:style w:type="character" w:styleId="UnresolvedMention">
    <w:name w:val="Unresolved Mention"/>
    <w:basedOn w:val="DefaultParagraphFont"/>
    <w:uiPriority w:val="99"/>
    <w:semiHidden/>
    <w:unhideWhenUsed/>
    <w:rsid w:val="007D1262"/>
    <w:rPr>
      <w:color w:val="605E5C"/>
      <w:shd w:val="clear" w:color="auto" w:fill="E1DFDD"/>
    </w:rPr>
  </w:style>
  <w:style w:type="paragraph" w:styleId="Header">
    <w:name w:val="header"/>
    <w:basedOn w:val="Normal"/>
    <w:link w:val="HeaderChar"/>
    <w:uiPriority w:val="99"/>
    <w:unhideWhenUsed/>
    <w:rsid w:val="0019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D38"/>
  </w:style>
  <w:style w:type="paragraph" w:styleId="Footer">
    <w:name w:val="footer"/>
    <w:basedOn w:val="Normal"/>
    <w:link w:val="FooterChar"/>
    <w:uiPriority w:val="99"/>
    <w:unhideWhenUsed/>
    <w:rsid w:val="00194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2436">
      <w:bodyDiv w:val="1"/>
      <w:marLeft w:val="0"/>
      <w:marRight w:val="0"/>
      <w:marTop w:val="0"/>
      <w:marBottom w:val="0"/>
      <w:divBdr>
        <w:top w:val="none" w:sz="0" w:space="0" w:color="auto"/>
        <w:left w:val="none" w:sz="0" w:space="0" w:color="auto"/>
        <w:bottom w:val="none" w:sz="0" w:space="0" w:color="auto"/>
        <w:right w:val="none" w:sz="0" w:space="0" w:color="auto"/>
      </w:divBdr>
      <w:divsChild>
        <w:div w:id="2051176220">
          <w:marLeft w:val="0"/>
          <w:marRight w:val="0"/>
          <w:marTop w:val="0"/>
          <w:marBottom w:val="0"/>
          <w:divBdr>
            <w:top w:val="none" w:sz="0" w:space="0" w:color="auto"/>
            <w:left w:val="none" w:sz="0" w:space="0" w:color="auto"/>
            <w:bottom w:val="none" w:sz="0" w:space="0" w:color="auto"/>
            <w:right w:val="none" w:sz="0" w:space="0" w:color="auto"/>
          </w:divBdr>
          <w:divsChild>
            <w:div w:id="128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8987">
      <w:bodyDiv w:val="1"/>
      <w:marLeft w:val="0"/>
      <w:marRight w:val="0"/>
      <w:marTop w:val="0"/>
      <w:marBottom w:val="0"/>
      <w:divBdr>
        <w:top w:val="none" w:sz="0" w:space="0" w:color="auto"/>
        <w:left w:val="none" w:sz="0" w:space="0" w:color="auto"/>
        <w:bottom w:val="none" w:sz="0" w:space="0" w:color="auto"/>
        <w:right w:val="none" w:sz="0" w:space="0" w:color="auto"/>
      </w:divBdr>
    </w:div>
    <w:div w:id="483349836">
      <w:bodyDiv w:val="1"/>
      <w:marLeft w:val="0"/>
      <w:marRight w:val="0"/>
      <w:marTop w:val="0"/>
      <w:marBottom w:val="0"/>
      <w:divBdr>
        <w:top w:val="none" w:sz="0" w:space="0" w:color="auto"/>
        <w:left w:val="none" w:sz="0" w:space="0" w:color="auto"/>
        <w:bottom w:val="none" w:sz="0" w:space="0" w:color="auto"/>
        <w:right w:val="none" w:sz="0" w:space="0" w:color="auto"/>
      </w:divBdr>
    </w:div>
    <w:div w:id="642659788">
      <w:bodyDiv w:val="1"/>
      <w:marLeft w:val="0"/>
      <w:marRight w:val="0"/>
      <w:marTop w:val="0"/>
      <w:marBottom w:val="0"/>
      <w:divBdr>
        <w:top w:val="none" w:sz="0" w:space="0" w:color="auto"/>
        <w:left w:val="none" w:sz="0" w:space="0" w:color="auto"/>
        <w:bottom w:val="none" w:sz="0" w:space="0" w:color="auto"/>
        <w:right w:val="none" w:sz="0" w:space="0" w:color="auto"/>
      </w:divBdr>
    </w:div>
    <w:div w:id="700515611">
      <w:bodyDiv w:val="1"/>
      <w:marLeft w:val="0"/>
      <w:marRight w:val="0"/>
      <w:marTop w:val="0"/>
      <w:marBottom w:val="0"/>
      <w:divBdr>
        <w:top w:val="none" w:sz="0" w:space="0" w:color="auto"/>
        <w:left w:val="none" w:sz="0" w:space="0" w:color="auto"/>
        <w:bottom w:val="none" w:sz="0" w:space="0" w:color="auto"/>
        <w:right w:val="none" w:sz="0" w:space="0" w:color="auto"/>
      </w:divBdr>
    </w:div>
    <w:div w:id="1266692592">
      <w:bodyDiv w:val="1"/>
      <w:marLeft w:val="0"/>
      <w:marRight w:val="0"/>
      <w:marTop w:val="0"/>
      <w:marBottom w:val="0"/>
      <w:divBdr>
        <w:top w:val="none" w:sz="0" w:space="0" w:color="auto"/>
        <w:left w:val="none" w:sz="0" w:space="0" w:color="auto"/>
        <w:bottom w:val="none" w:sz="0" w:space="0" w:color="auto"/>
        <w:right w:val="none" w:sz="0" w:space="0" w:color="auto"/>
      </w:divBdr>
    </w:div>
    <w:div w:id="1835611441">
      <w:bodyDiv w:val="1"/>
      <w:marLeft w:val="0"/>
      <w:marRight w:val="0"/>
      <w:marTop w:val="0"/>
      <w:marBottom w:val="0"/>
      <w:divBdr>
        <w:top w:val="none" w:sz="0" w:space="0" w:color="auto"/>
        <w:left w:val="none" w:sz="0" w:space="0" w:color="auto"/>
        <w:bottom w:val="none" w:sz="0" w:space="0" w:color="auto"/>
        <w:right w:val="none" w:sz="0" w:space="0" w:color="auto"/>
      </w:divBdr>
    </w:div>
    <w:div w:id="1860005466">
      <w:bodyDiv w:val="1"/>
      <w:marLeft w:val="0"/>
      <w:marRight w:val="0"/>
      <w:marTop w:val="0"/>
      <w:marBottom w:val="0"/>
      <w:divBdr>
        <w:top w:val="none" w:sz="0" w:space="0" w:color="auto"/>
        <w:left w:val="none" w:sz="0" w:space="0" w:color="auto"/>
        <w:bottom w:val="none" w:sz="0" w:space="0" w:color="auto"/>
        <w:right w:val="none" w:sz="0" w:space="0" w:color="auto"/>
      </w:divBdr>
    </w:div>
    <w:div w:id="21451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yamta_fe@staff.un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11</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payamta@outlook.com</dc:creator>
  <cp:keywords/>
  <dc:description/>
  <cp:lastModifiedBy>Hapsari Endras Ayu Novita</cp:lastModifiedBy>
  <cp:revision>81</cp:revision>
  <dcterms:created xsi:type="dcterms:W3CDTF">2026-03-06T06:11:00Z</dcterms:created>
  <dcterms:modified xsi:type="dcterms:W3CDTF">2026-06-12T06:29:00Z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33f946ea-57eb-4466-bbc9-5864bf231a27</vt:lpwstr>
  </property>
</Properties>
</file>