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C0D6A" w14:textId="21609777" w:rsidR="004916C1" w:rsidRPr="000270C0" w:rsidRDefault="004916C1" w:rsidP="004916C1">
      <w:pPr>
        <w:spacing w:after="0" w:line="240" w:lineRule="auto"/>
        <w:jc w:val="center"/>
        <w:rPr>
          <w:rFonts w:ascii="Times New Roman" w:eastAsia="Times New Roman" w:hAnsi="Times New Roman" w:cs="Times New Roman"/>
          <w:b/>
          <w:sz w:val="24"/>
          <w:szCs w:val="24"/>
        </w:rPr>
      </w:pPr>
      <w:bookmarkStart w:id="0" w:name="_Hlk208331817"/>
    </w:p>
    <w:p w14:paraId="7E83C2A0" w14:textId="77777777" w:rsidR="009456AF" w:rsidRPr="000270C0" w:rsidRDefault="009456AF" w:rsidP="009456AF">
      <w:pPr>
        <w:spacing w:after="0" w:line="240" w:lineRule="auto"/>
        <w:jc w:val="center"/>
        <w:rPr>
          <w:rFonts w:ascii="Times New Roman" w:eastAsia="Times New Roman" w:hAnsi="Times New Roman" w:cs="Times New Roman"/>
          <w:b/>
          <w:sz w:val="24"/>
          <w:szCs w:val="24"/>
        </w:rPr>
      </w:pPr>
      <w:r w:rsidRPr="000270C0">
        <w:rPr>
          <w:rFonts w:ascii="Times New Roman" w:eastAsia="Times New Roman" w:hAnsi="Times New Roman" w:cs="Times New Roman"/>
          <w:b/>
          <w:sz w:val="24"/>
          <w:szCs w:val="24"/>
        </w:rPr>
        <w:t>ABSTRACT</w:t>
      </w:r>
    </w:p>
    <w:p w14:paraId="1FCE6DF6" w14:textId="77777777" w:rsidR="009456AF" w:rsidRPr="000270C0" w:rsidRDefault="009456AF" w:rsidP="009456AF">
      <w:pPr>
        <w:spacing w:after="0" w:line="240" w:lineRule="auto"/>
        <w:jc w:val="center"/>
        <w:rPr>
          <w:rFonts w:ascii="Times New Roman" w:eastAsia="Times New Roman" w:hAnsi="Times New Roman" w:cs="Times New Roman"/>
          <w:b/>
          <w:sz w:val="24"/>
          <w:szCs w:val="24"/>
        </w:rPr>
      </w:pPr>
      <w:r w:rsidRPr="000270C0">
        <w:rPr>
          <w:rFonts w:ascii="Times New Roman" w:eastAsia="SimSun" w:hAnsi="Times New Roman" w:cs="Times New Roman"/>
          <w:noProof/>
          <w:sz w:val="21"/>
          <w:szCs w:val="20"/>
        </w:rPr>
        <mc:AlternateContent>
          <mc:Choice Requires="wps">
            <w:drawing>
              <wp:anchor distT="0" distB="0" distL="0" distR="0" simplePos="0" relativeHeight="251661312" behindDoc="0" locked="0" layoutInCell="1" allowOverlap="1" wp14:anchorId="0760846D" wp14:editId="1CC4FB21">
                <wp:simplePos x="0" y="0"/>
                <wp:positionH relativeFrom="margin">
                  <wp:align>left</wp:align>
                </wp:positionH>
                <wp:positionV relativeFrom="paragraph">
                  <wp:posOffset>137795</wp:posOffset>
                </wp:positionV>
                <wp:extent cx="5902325" cy="0"/>
                <wp:effectExtent l="0" t="0" r="0" b="0"/>
                <wp:wrapNone/>
                <wp:docPr id="148621641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1690" cy="0"/>
                        </a:xfrm>
                        <a:prstGeom prst="line">
                          <a:avLst/>
                        </a:prstGeom>
                        <a:ln w="12700" cap="flat" cmpd="sng">
                          <a:solidFill>
                            <a:srgbClr val="000000"/>
                          </a:solidFill>
                          <a:prstDash val="solid"/>
                          <a:miter/>
                          <a:headEnd/>
                          <a:tailEnd/>
                        </a:ln>
                      </wps:spPr>
                      <wps:bodyPr/>
                    </wps:wsp>
                  </a:graphicData>
                </a:graphic>
                <wp14:sizeRelH relativeFrom="page">
                  <wp14:pctWidth>0</wp14:pctWidth>
                </wp14:sizeRelH>
                <wp14:sizeRelV relativeFrom="page">
                  <wp14:pctHeight>0</wp14:pctHeight>
                </wp14:sizeRelV>
              </wp:anchor>
            </w:drawing>
          </mc:Choice>
          <mc:Fallback>
            <w:pict>
              <v:line w14:anchorId="06937E61" id="Straight Connector 4" o:spid="_x0000_s1026" style="position:absolute;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0.85pt" to="464.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" strokeweight="1pt">
                <v:stroke joinstyle="miter"/>
                <o:lock v:ext="edit" shapetype="f"/>
                <w10:wrap anchorx="margin"/>
              </v:line>
            </w:pict>
          </mc:Fallback>
        </mc:AlternateContent>
      </w:r>
    </w:p>
    <w:p w14:paraId="4D5D3754" w14:textId="06A0BBBC" w:rsidR="009456AF" w:rsidRPr="000270C0" w:rsidRDefault="0091292B" w:rsidP="009456AF">
      <w:pPr>
        <w:spacing w:after="0" w:line="240" w:lineRule="auto"/>
        <w:jc w:val="both"/>
        <w:rPr>
          <w:rFonts w:ascii="Times New Roman" w:eastAsia="Times New Roman" w:hAnsi="Times New Roman" w:cs="Times New Roman"/>
          <w:sz w:val="24"/>
          <w:szCs w:val="24"/>
        </w:rPr>
      </w:pPr>
      <w:r w:rsidRPr="000270C0">
        <w:rPr>
          <w:rFonts w:ascii="Times New Roman" w:hAnsi="Times New Roman" w:cs="Times New Roman"/>
          <w:sz w:val="24"/>
          <w:szCs w:val="24"/>
        </w:rPr>
        <w:t xml:space="preserve">This paper explored how sustainability index impacts foreign direct investment (FDI) inflows in Nigeria between 1981 and 2024. In particular, the paper examined the impact of environmental sustainability index (ESI), social sustainability index (SSI) and governance sustainability index (GSI) on FDI inflows in Nigeria. The research design was ex- post facto and used secondary time series data (annual) on Nigeria based on Central Bank of Nigeria Statistical Bulletin, National Bureau of Statistics, and World Bank data indicators, and sustainability indicators based on Nigeria-specific environmental, social, and governance series in these sources. Descriptive statistics, Levin-Lin-Chu (LLC) unit root test, Engle-Granger cointegration test, correlation matrix, ordinary least squares regression, normality test, and heteroscedasticity test were used to analyze data with the help of E-Views 10.0. The findings revealed that environmental sustainability index has a positive and statistically significant effect on FDI inflows in Nigeria (Coeff. = 3.439382; p = 0.0085), social sustainability index has a negative but statistically insignificant effect on FDI inflows in Nigeria (Coeff. = -3.086913; p = 0.1488), while governance sustainability index has a positive and highly significant effect on FDI inflows in Nigeria (Coeff. = 2.401381; p = 0.0000). The regression model was jointly significant (F-prob. = 0.0000) and showed strong explanatory power, with an adjusted R-squared of 0.979571, indicating that the explanatory variables accounted for about 98.1% of the variations in FDI inflows in Nigeria. The regression model was significant in joint (F-prob. = 0.0000) and explained the variations of FDI inflows in Nigeria (adjusted R-squared = 0.979571) meaning that the regression explanatory variables explained approximately 98.1 percent of the variations in FDI inflows in Nigeria. The research found that the environmental and governance sustainability are significant factors that contribute to foreign direct investment inflows in Nigeria, but social sustainability does not have a strong explanatory power in the study period. </w:t>
      </w:r>
      <w:r w:rsidR="00AB2640" w:rsidRPr="000270C0">
        <w:rPr>
          <w:rFonts w:ascii="Times New Roman" w:hAnsi="Times New Roman" w:cs="Times New Roman"/>
          <w:sz w:val="24"/>
          <w:szCs w:val="24"/>
        </w:rPr>
        <w:t>It was recommended that</w:t>
      </w:r>
      <w:r w:rsidRPr="000270C0">
        <w:rPr>
          <w:rFonts w:ascii="Times New Roman" w:hAnsi="Times New Roman" w:cs="Times New Roman"/>
          <w:sz w:val="24"/>
          <w:szCs w:val="24"/>
        </w:rPr>
        <w:t xml:space="preserve"> more effective governance reforms, improved environmental sustainability policy, and better social sustainability measurement and coordination of policy to make Nigeria more attractive to foreign investors</w:t>
      </w:r>
      <w:r w:rsidR="009456AF" w:rsidRPr="000270C0">
        <w:rPr>
          <w:rFonts w:ascii="Times New Roman" w:eastAsia="SimSun" w:hAnsi="Times New Roman" w:cs="Times New Roman"/>
          <w:bCs/>
          <w:sz w:val="24"/>
          <w:szCs w:val="24"/>
          <w:lang w:eastAsia="zh-CN"/>
        </w:rPr>
        <w:t xml:space="preserve">. </w:t>
      </w:r>
    </w:p>
    <w:p w14:paraId="0C207DDE" w14:textId="77777777" w:rsidR="009456AF" w:rsidRPr="000270C0" w:rsidRDefault="009456AF" w:rsidP="009456AF">
      <w:pPr>
        <w:autoSpaceDE w:val="0"/>
        <w:autoSpaceDN w:val="0"/>
        <w:adjustRightInd w:val="0"/>
        <w:spacing w:after="0" w:line="240" w:lineRule="auto"/>
        <w:jc w:val="both"/>
        <w:rPr>
          <w:rFonts w:ascii="Times New Roman" w:eastAsia="SimSun" w:hAnsi="Times New Roman" w:cs="Times New Roman"/>
          <w:sz w:val="24"/>
          <w:szCs w:val="24"/>
        </w:rPr>
      </w:pPr>
      <w:r w:rsidRPr="000270C0">
        <w:rPr>
          <w:rFonts w:ascii="Times New Roman" w:eastAsia="SimSun" w:hAnsi="Times New Roman" w:cs="Times New Roman"/>
          <w:noProof/>
          <w:sz w:val="21"/>
          <w:szCs w:val="20"/>
        </w:rPr>
        <mc:AlternateContent>
          <mc:Choice Requires="wps">
            <w:drawing>
              <wp:anchor distT="0" distB="0" distL="0" distR="0" simplePos="0" relativeHeight="251659264" behindDoc="0" locked="0" layoutInCell="1" allowOverlap="1" wp14:anchorId="4BE2D6F0" wp14:editId="585C86A2">
                <wp:simplePos x="0" y="0"/>
                <wp:positionH relativeFrom="margin">
                  <wp:posOffset>-41275</wp:posOffset>
                </wp:positionH>
                <wp:positionV relativeFrom="paragraph">
                  <wp:posOffset>126365</wp:posOffset>
                </wp:positionV>
                <wp:extent cx="5860415" cy="13970"/>
                <wp:effectExtent l="0" t="0" r="26035" b="24130"/>
                <wp:wrapNone/>
                <wp:docPr id="176094108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60415" cy="13335"/>
                        </a:xfrm>
                        <a:prstGeom prst="line">
                          <a:avLst/>
                        </a:prstGeom>
                        <a:ln w="12700" cap="flat" cmpd="sng">
                          <a:solidFill>
                            <a:srgbClr val="000000"/>
                          </a:solidFill>
                          <a:prstDash val="solid"/>
                          <a:miter/>
                          <a:headEnd/>
                          <a:tailEnd/>
                        </a:ln>
                      </wps:spPr>
                      <wps:bodyPr/>
                    </wps:wsp>
                  </a:graphicData>
                </a:graphic>
                <wp14:sizeRelH relativeFrom="page">
                  <wp14:pctWidth>0</wp14:pctWidth>
                </wp14:sizeRelH>
                <wp14:sizeRelV relativeFrom="page">
                  <wp14:pctHeight>0</wp14:pctHeight>
                </wp14:sizeRelV>
              </wp:anchor>
            </w:drawing>
          </mc:Choice>
          <mc:Fallback>
            <w:pict>
              <v:line w14:anchorId="2929D93C" id="Straight Connector 4"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3.25pt,9.95pt" to="458.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" strokeweight="1pt">
                <v:stroke joinstyle="miter"/>
                <o:lock v:ext="edit" shapetype="f"/>
                <w10:wrap anchorx="margin"/>
              </v:line>
            </w:pict>
          </mc:Fallback>
        </mc:AlternateContent>
      </w:r>
    </w:p>
    <w:p w14:paraId="558953C9" w14:textId="77777777" w:rsidR="009456AF" w:rsidRPr="000270C0" w:rsidRDefault="009456AF" w:rsidP="008659FD">
      <w:pPr>
        <w:spacing w:after="0" w:line="240" w:lineRule="auto"/>
        <w:jc w:val="both"/>
        <w:rPr>
          <w:rFonts w:ascii="Times New Roman" w:hAnsi="Times New Roman" w:cs="Times New Roman"/>
          <w:i/>
          <w:iCs/>
          <w:sz w:val="24"/>
          <w:szCs w:val="24"/>
        </w:rPr>
      </w:pPr>
      <w:r w:rsidRPr="000270C0">
        <w:rPr>
          <w:rFonts w:ascii="Times New Roman" w:eastAsia="Times New Roman" w:hAnsi="Times New Roman" w:cs="Times New Roman"/>
          <w:b/>
          <w:sz w:val="24"/>
          <w:szCs w:val="24"/>
        </w:rPr>
        <w:t>Keywords:</w:t>
      </w:r>
      <w:r w:rsidRPr="000270C0">
        <w:rPr>
          <w:rFonts w:ascii="Times New Roman" w:eastAsia="Times New Roman" w:hAnsi="Times New Roman" w:cs="Times New Roman"/>
          <w:bCs/>
          <w:sz w:val="24"/>
          <w:szCs w:val="24"/>
        </w:rPr>
        <w:t xml:space="preserve"> </w:t>
      </w:r>
      <w:r w:rsidR="008659FD" w:rsidRPr="000270C0">
        <w:rPr>
          <w:rFonts w:ascii="Times New Roman" w:hAnsi="Times New Roman" w:cs="Times New Roman"/>
          <w:i/>
          <w:iCs/>
          <w:sz w:val="24"/>
          <w:szCs w:val="24"/>
        </w:rPr>
        <w:t>Sustainability Index, Environmental Sustainability Index, Social Sustainability Index, Governance Sustainability Index, Foreign Direct Investment (FDI) Inflows</w:t>
      </w:r>
      <w:r w:rsidRPr="000270C0">
        <w:rPr>
          <w:rFonts w:ascii="Times New Roman" w:eastAsia="Times New Roman" w:hAnsi="Times New Roman" w:cs="Times New Roman"/>
          <w:bCs/>
          <w:i/>
          <w:iCs/>
          <w:sz w:val="24"/>
          <w:szCs w:val="24"/>
        </w:rPr>
        <w:t>.</w:t>
      </w:r>
    </w:p>
    <w:p w14:paraId="10603152" w14:textId="77777777" w:rsidR="009456AF" w:rsidRPr="000270C0" w:rsidRDefault="009456AF" w:rsidP="009456AF">
      <w:pPr>
        <w:spacing w:after="0" w:line="240" w:lineRule="auto"/>
        <w:jc w:val="center"/>
        <w:rPr>
          <w:rFonts w:ascii="Times New Roman" w:eastAsia="Times New Roman" w:hAnsi="Times New Roman" w:cs="Times New Roman"/>
          <w:b/>
          <w:sz w:val="24"/>
          <w:szCs w:val="24"/>
        </w:rPr>
      </w:pPr>
      <w:r w:rsidRPr="000270C0">
        <w:rPr>
          <w:rFonts w:ascii="Times New Roman" w:eastAsia="SimSun" w:hAnsi="Times New Roman" w:cs="Times New Roman"/>
          <w:noProof/>
          <w:sz w:val="21"/>
          <w:szCs w:val="20"/>
        </w:rPr>
        <mc:AlternateContent>
          <mc:Choice Requires="wps">
            <w:drawing>
              <wp:anchor distT="0" distB="0" distL="0" distR="0" simplePos="0" relativeHeight="251660288" behindDoc="0" locked="0" layoutInCell="1" allowOverlap="1" wp14:anchorId="70A5DFB2" wp14:editId="2683B09E">
                <wp:simplePos x="0" y="0"/>
                <wp:positionH relativeFrom="margin">
                  <wp:align>left</wp:align>
                </wp:positionH>
                <wp:positionV relativeFrom="paragraph">
                  <wp:posOffset>62230</wp:posOffset>
                </wp:positionV>
                <wp:extent cx="5832475" cy="0"/>
                <wp:effectExtent l="0" t="0" r="0" b="0"/>
                <wp:wrapNone/>
                <wp:docPr id="136755011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2475" cy="0"/>
                        </a:xfrm>
                        <a:prstGeom prst="line">
                          <a:avLst/>
                        </a:prstGeom>
                        <a:ln w="12700" cap="flat" cmpd="sng">
                          <a:solidFill>
                            <a:srgbClr val="000000"/>
                          </a:solidFill>
                          <a:prstDash val="solid"/>
                          <a:miter/>
                          <a:headEnd/>
                          <a:tailEnd/>
                        </a:ln>
                      </wps:spPr>
                      <wps:bodyPr/>
                    </wps:wsp>
                  </a:graphicData>
                </a:graphic>
                <wp14:sizeRelH relativeFrom="page">
                  <wp14:pctWidth>0</wp14:pctWidth>
                </wp14:sizeRelH>
                <wp14:sizeRelV relativeFrom="page">
                  <wp14:pctHeight>0</wp14:pctHeight>
                </wp14:sizeRelV>
              </wp:anchor>
            </w:drawing>
          </mc:Choice>
          <mc:Fallback>
            <w:pict>
              <v:line w14:anchorId="61F7C5BD" id="Straight Connector 4" o:spid="_x0000_s1026" style="position:absolute;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4.9pt" to="45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" strokeweight="1pt">
                <v:stroke joinstyle="miter"/>
                <o:lock v:ext="edit" shapetype="f"/>
                <w10:wrap anchorx="margin"/>
              </v:line>
            </w:pict>
          </mc:Fallback>
        </mc:AlternateContent>
      </w:r>
    </w:p>
    <w:p w14:paraId="5550CE76" w14:textId="69B6E537" w:rsidR="009456AF" w:rsidRPr="000270C0" w:rsidRDefault="00861B0E" w:rsidP="008659FD">
      <w:pPr>
        <w:spacing w:after="0" w:line="240" w:lineRule="auto"/>
        <w:jc w:val="both"/>
        <w:rPr>
          <w:rFonts w:ascii="Times New Roman" w:hAnsi="Times New Roman" w:cs="Times New Roman"/>
          <w:b/>
          <w:bCs/>
          <w:sz w:val="24"/>
          <w:szCs w:val="24"/>
        </w:rPr>
      </w:pPr>
      <w:r w:rsidRPr="000270C0">
        <w:rPr>
          <w:rFonts w:ascii="Times New Roman" w:hAnsi="Times New Roman" w:cs="Times New Roman"/>
          <w:b/>
          <w:bCs/>
          <w:sz w:val="24"/>
          <w:szCs w:val="24"/>
        </w:rPr>
        <w:t>1.0</w:t>
      </w:r>
      <w:r w:rsidRPr="000270C0">
        <w:rPr>
          <w:rFonts w:ascii="Times New Roman" w:hAnsi="Times New Roman" w:cs="Times New Roman"/>
          <w:b/>
          <w:bCs/>
          <w:sz w:val="24"/>
          <w:szCs w:val="24"/>
        </w:rPr>
        <w:tab/>
      </w:r>
      <w:r w:rsidR="009456AF" w:rsidRPr="000270C0">
        <w:rPr>
          <w:rFonts w:ascii="Times New Roman" w:hAnsi="Times New Roman" w:cs="Times New Roman"/>
          <w:b/>
          <w:bCs/>
          <w:sz w:val="24"/>
          <w:szCs w:val="24"/>
        </w:rPr>
        <w:t>INTRODUCTION</w:t>
      </w:r>
    </w:p>
    <w:p w14:paraId="52633F7E" w14:textId="0EDFE619" w:rsidR="00326579" w:rsidRPr="000270C0" w:rsidRDefault="00326579" w:rsidP="00326579">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 xml:space="preserve">Sustainability indices have emerged as a convenient means of summarizing the long run investment attractiveness of a country since they give signals to investors that are </w:t>
      </w:r>
      <w:r w:rsidR="001A4171" w:rsidRPr="000270C0">
        <w:rPr>
          <w:rFonts w:ascii="Times New Roman" w:hAnsi="Times New Roman" w:cs="Times New Roman"/>
          <w:sz w:val="24"/>
          <w:szCs w:val="24"/>
        </w:rPr>
        <w:t>priceable</w:t>
      </w:r>
      <w:r w:rsidRPr="000270C0">
        <w:rPr>
          <w:rFonts w:ascii="Times New Roman" w:hAnsi="Times New Roman" w:cs="Times New Roman"/>
          <w:sz w:val="24"/>
          <w:szCs w:val="24"/>
        </w:rPr>
        <w:t xml:space="preserve">, given the environmental risk, social stability, and quality of governance. Inward investors are viewing sustainability performance more as a form of location advantage, as it influences regulatory uncertainty, supply-chain reliability, reputational exposure, and the likelihood of disruptive shocks that can eliminate project cash flows. Cross-country capital competition evidence indicates that ESG positioning is more likely to enhance the relative pull of a country in terms of foreign direct investment when the benefits of higher standards in terms of productivity and innovation exceed compliance costs (Chow &amp; Fung, 2025). Chipalkatti, et al. (2021) proposed credible sustainability performance can reduce perceived risk and promote more stable and longer-horizon FDI whereas weak sustainability signals may cause inflows to be concentrated to short-term or extractive projects. </w:t>
      </w:r>
    </w:p>
    <w:p w14:paraId="448796D2" w14:textId="77777777" w:rsidR="00326579" w:rsidRPr="000270C0" w:rsidRDefault="00326579" w:rsidP="00326579">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lastRenderedPageBreak/>
        <w:t>Analytically, the sustainability index is widely broken down into environmental sustainability, social sustainability, and governance sustainability to capture three avenues by which a host economy can impact investment risk and opportunity. Environmental sustainability index measures climate transition risk exposure, pollution intensity, resource efficiency, and resiliency of environmental management tools, which influence compliance costs and risk of sanctions or shutdowns. The social sustainability index is a measure of human development, labour standards, community relations, inequality pressures, and social cohesion that determine workforce productivity, and the likelihood of operational disruptions. The governance sustainability index summarizes the rule of law, corruption control, regulatory quality, and institutional reliability variables that identify contract enforcement and predictability of policies. Nevertheless, the comparability of ESG-style sustainability indices across countries can vary due to differences in the scope of scoring, the aggregation decisions, and lacking data since these pillars are constructed based on multiple indicators (Senadheera, et al., 2021). This is an important measurement issue to Nigeria-specific FDI analysis since investors are not only responsive to the actual sustainability performance but also to the credibility and transparency of what gets reported by indices and disclosures, and lack of complete or unstable ESG information may undermine confidence in sustainability signals (Sahin et al., 2022).</w:t>
      </w:r>
    </w:p>
    <w:p w14:paraId="20B1CC29" w14:textId="77777777" w:rsidR="00326579" w:rsidRPr="000270C0" w:rsidRDefault="00326579" w:rsidP="00326579">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The sustainability-FDI relationship in Nigeria can be interpreted as a risk-pricing mechanism: as the sustainability profile of the country deteriorates, the investors might insist on higher returns, slow down entry, or resort to more footloose types of investments; as the sustainability performance increases, more diversified and long-term inflows can be attracted into Nigeria. The environmental sustainability is especially relevant since carbon intensity, pollution cost, and energy-transition pressures may determine the feasibility of the capital initiatives and the reputational feasibility of the functioning in the host economy. Nigeria evidence shows that the dynamics of environmental quality (such as pressure due to emissions) also interplay with foreign investment conditions, which suggests that poor environmental sustainability can be a disincentive to sustained inflows despite market size attraction (Ogunjobi, et al., 2025). Socially, the sustainability of the conditions of human development and the institutional capacity determine the productivity of investment and the stability of the operating conditions, which contribute to understanding why the effects of FDI and incentives should be considered, as well as the sustainability objectives of development, in the policy space in Nigeria (Fagbemi and Osinubi, 2020). Collectively, these channels aid the study rationale that an improved sustainability index that indicates enhanced ESG conditions is supposed to be linked with the robust and more robust FDI inflows in Nigeria.</w:t>
      </w:r>
    </w:p>
    <w:p w14:paraId="5FF1FA83" w14:textId="77777777" w:rsidR="00326579" w:rsidRPr="000270C0" w:rsidRDefault="00326579" w:rsidP="00326579">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 xml:space="preserve">Foreign direct investment (FDI) inflows are types of cross-border investment which create a permanent interest and a major impact in a host economy, generally captured in balance-of-payments data as equity capital, reinvested earnings and intra-company debt. Inflows are not only important in financing but also in the transfer of technology, management skills, export potential and productivity spillovers which is why the development policy of Nigeria tends to consider FDI as a growth and structural change tool. The connection between FDI inflows and more general development goals, as suggested by Giwa, et al. (2020), supports the argument that stable inflows are more probable when the investment environment promotes production that can be sustained and long-term planning. Governance sustainability in particular is found to be decisive in the volatility of inflows due to corruption risk and political uncertainty, which increase transaction costs, diminish a contractual credibility, and heighten the expropriation-like fears or ad-hoc </w:t>
      </w:r>
      <w:r w:rsidRPr="000270C0">
        <w:rPr>
          <w:rFonts w:ascii="Times New Roman" w:hAnsi="Times New Roman" w:cs="Times New Roman"/>
          <w:sz w:val="24"/>
          <w:szCs w:val="24"/>
        </w:rPr>
        <w:lastRenderedPageBreak/>
        <w:t>enforcement. Osuma, et al. (2024) demonstrated that corruption and political risk are capable of strongly affecting the outcome of FDI, and as a central route, governance sustainability by which the overall sustainability index of a country impacts the choice to enter and grow investments. This puts the issue of governance reform, ESG transparency, and credible sustainability performance at the heart of the explanation (and enhancement) of the trend of FDI inflows into Nigeria.</w:t>
      </w:r>
    </w:p>
    <w:p w14:paraId="4247C8B8" w14:textId="4FA309A4" w:rsidR="008659FD" w:rsidRDefault="00326579" w:rsidP="00326579">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 xml:space="preserve">Although Nigeria has a large market potential and is rich in natural resources, the inflows of foreign direct investments have been fluctuating and quite low in the past decades and this has put into question the capacity of Nigeria to attract sustainable </w:t>
      </w:r>
      <w:r w:rsidR="00610E93" w:rsidRPr="000270C0">
        <w:rPr>
          <w:rFonts w:ascii="Times New Roman" w:hAnsi="Times New Roman" w:cs="Times New Roman"/>
          <w:sz w:val="24"/>
          <w:szCs w:val="24"/>
        </w:rPr>
        <w:t>long-term</w:t>
      </w:r>
      <w:r w:rsidRPr="000270C0">
        <w:rPr>
          <w:rFonts w:ascii="Times New Roman" w:hAnsi="Times New Roman" w:cs="Times New Roman"/>
          <w:sz w:val="24"/>
          <w:szCs w:val="24"/>
        </w:rPr>
        <w:t xml:space="preserve"> capital. As the international investors continue to give more concern on environmental responsibility, social stability and good governance in making their investments, Nigeria is still struggling with environmental degradation, social inequality and poor governance issues. Such shortcomings related to sustainability can increase the perceived risk of investment, deter foreign investment and restrict the flow of productivity-enhancing capital. This may limit the diversification of the economy, creation of employment and transfer of technology in the Nigerian economy because of the persistence of weak sustainability performance. Furthermore, the uneven development of the country in the areas of the environment, society, and governance raises doubts regarding the prospects of the long-term development of the country. To this end, this research uses annual Nigeria sustainability data 1981 to 2024, which is based mainly on the World Bank data, supplemented by the Central Bank of Nigeria Statistical Bulletin and publications of the National Bureau of statistics. It is a strange era as it covers both the oil boom-and-bust cycles of the 1980s, the Structural Adjustment Programme era, the democratic transition of the 1999, the oil-majority banking and telecommunications reforms, the global financial crisis and the oil-price meltdown and recession of the 20142016, the COVID-19 shock, and the </w:t>
      </w:r>
      <w:proofErr w:type="spellStart"/>
      <w:r w:rsidRPr="000270C0">
        <w:rPr>
          <w:rFonts w:ascii="Times New Roman" w:hAnsi="Times New Roman" w:cs="Times New Roman"/>
          <w:sz w:val="24"/>
          <w:szCs w:val="24"/>
        </w:rPr>
        <w:t>The</w:t>
      </w:r>
      <w:proofErr w:type="spellEnd"/>
      <w:r w:rsidRPr="000270C0">
        <w:rPr>
          <w:rFonts w:ascii="Times New Roman" w:hAnsi="Times New Roman" w:cs="Times New Roman"/>
          <w:sz w:val="24"/>
          <w:szCs w:val="24"/>
        </w:rPr>
        <w:t xml:space="preserve"> comparison of Nigeria under these two opposite regimes makes it feasible to trace the effects of environmental, social, and governance environment on FDI inflows during stable and turbulent regimes. Lack of empirical evidence on the effect of sustainability performance on FDI inflows in Nigeria also makes it difficult to formulate good policies. In this way, it aims to study the impact of sustainability index on the foreign direct investment (FDI) inflows in Nigeria</w:t>
      </w:r>
      <w:r w:rsidR="009456AF" w:rsidRPr="000270C0">
        <w:rPr>
          <w:rFonts w:ascii="Times New Roman" w:hAnsi="Times New Roman" w:cs="Times New Roman"/>
          <w:sz w:val="24"/>
          <w:szCs w:val="24"/>
        </w:rPr>
        <w:t>.</w:t>
      </w:r>
    </w:p>
    <w:p w14:paraId="20C14D99" w14:textId="77777777" w:rsidR="00610E93" w:rsidRDefault="00610E93" w:rsidP="00326579">
      <w:pPr>
        <w:spacing w:line="240" w:lineRule="auto"/>
        <w:ind w:firstLine="720"/>
        <w:jc w:val="both"/>
        <w:rPr>
          <w:rFonts w:ascii="Times New Roman" w:hAnsi="Times New Roman" w:cs="Times New Roman"/>
          <w:sz w:val="24"/>
          <w:szCs w:val="24"/>
        </w:rPr>
      </w:pPr>
    </w:p>
    <w:p w14:paraId="24706180" w14:textId="77777777" w:rsidR="00610E93" w:rsidRDefault="00610E93" w:rsidP="00326579">
      <w:pPr>
        <w:spacing w:line="240" w:lineRule="auto"/>
        <w:ind w:firstLine="720"/>
        <w:jc w:val="both"/>
        <w:rPr>
          <w:rFonts w:ascii="Times New Roman" w:hAnsi="Times New Roman" w:cs="Times New Roman"/>
          <w:sz w:val="24"/>
          <w:szCs w:val="24"/>
        </w:rPr>
      </w:pPr>
    </w:p>
    <w:p w14:paraId="245C6A9D" w14:textId="77777777" w:rsidR="00610E93" w:rsidRPr="000270C0" w:rsidRDefault="00610E93" w:rsidP="00326579">
      <w:pPr>
        <w:spacing w:line="240" w:lineRule="auto"/>
        <w:ind w:firstLine="720"/>
        <w:jc w:val="both"/>
        <w:rPr>
          <w:rFonts w:ascii="Times New Roman" w:hAnsi="Times New Roman" w:cs="Times New Roman"/>
          <w:sz w:val="24"/>
          <w:szCs w:val="24"/>
        </w:rPr>
      </w:pPr>
    </w:p>
    <w:p w14:paraId="56EC1189" w14:textId="77777777" w:rsidR="009456AF" w:rsidRPr="000270C0" w:rsidRDefault="008659FD" w:rsidP="008659FD">
      <w:pPr>
        <w:spacing w:after="0" w:line="240" w:lineRule="auto"/>
        <w:jc w:val="both"/>
        <w:rPr>
          <w:rFonts w:ascii="Times New Roman" w:hAnsi="Times New Roman" w:cs="Times New Roman"/>
          <w:sz w:val="24"/>
          <w:szCs w:val="24"/>
        </w:rPr>
      </w:pPr>
      <w:r w:rsidRPr="000270C0">
        <w:rPr>
          <w:rFonts w:ascii="Times New Roman" w:hAnsi="Times New Roman" w:cs="Times New Roman"/>
          <w:b/>
          <w:bCs/>
          <w:sz w:val="24"/>
          <w:szCs w:val="24"/>
        </w:rPr>
        <w:t>2.0</w:t>
      </w:r>
      <w:r w:rsidRPr="000270C0">
        <w:rPr>
          <w:rFonts w:ascii="Times New Roman" w:hAnsi="Times New Roman" w:cs="Times New Roman"/>
          <w:sz w:val="24"/>
          <w:szCs w:val="24"/>
        </w:rPr>
        <w:tab/>
      </w:r>
      <w:r w:rsidR="009456AF" w:rsidRPr="000270C0">
        <w:rPr>
          <w:rFonts w:ascii="Times New Roman" w:eastAsia="Calibri" w:hAnsi="Times New Roman" w:cs="Times New Roman"/>
          <w:b/>
          <w:bCs/>
          <w:sz w:val="24"/>
          <w:szCs w:val="24"/>
        </w:rPr>
        <w:t>REVIEW OF RELATED LITERATURE</w:t>
      </w:r>
    </w:p>
    <w:p w14:paraId="396994AE" w14:textId="77777777" w:rsidR="009456AF" w:rsidRPr="000270C0" w:rsidRDefault="009456AF" w:rsidP="005F0790">
      <w:pPr>
        <w:spacing w:after="0" w:line="240" w:lineRule="auto"/>
        <w:jc w:val="both"/>
        <w:rPr>
          <w:rFonts w:ascii="Times New Roman" w:hAnsi="Times New Roman" w:cs="Times New Roman"/>
          <w:b/>
          <w:sz w:val="24"/>
          <w:szCs w:val="24"/>
        </w:rPr>
      </w:pPr>
      <w:r w:rsidRPr="000270C0">
        <w:rPr>
          <w:rFonts w:ascii="Times New Roman" w:hAnsi="Times New Roman" w:cs="Times New Roman"/>
          <w:b/>
          <w:sz w:val="24"/>
          <w:szCs w:val="24"/>
        </w:rPr>
        <w:t>Conceptual Review</w:t>
      </w:r>
    </w:p>
    <w:p w14:paraId="22799DDF" w14:textId="77777777" w:rsidR="009456AF" w:rsidRPr="000270C0" w:rsidRDefault="009456AF" w:rsidP="005F0790">
      <w:pPr>
        <w:spacing w:after="0" w:line="240" w:lineRule="auto"/>
        <w:jc w:val="both"/>
        <w:rPr>
          <w:rFonts w:ascii="Times New Roman" w:hAnsi="Times New Roman" w:cs="Times New Roman"/>
          <w:b/>
          <w:bCs/>
          <w:sz w:val="24"/>
          <w:szCs w:val="24"/>
        </w:rPr>
      </w:pPr>
      <w:r w:rsidRPr="000270C0">
        <w:rPr>
          <w:rFonts w:ascii="Times New Roman" w:hAnsi="Times New Roman" w:cs="Times New Roman"/>
          <w:b/>
          <w:bCs/>
          <w:sz w:val="24"/>
          <w:szCs w:val="24"/>
        </w:rPr>
        <w:t xml:space="preserve">Sustainability Index </w:t>
      </w:r>
    </w:p>
    <w:p w14:paraId="2F998519" w14:textId="77777777" w:rsidR="00233701" w:rsidRPr="000270C0" w:rsidRDefault="00233701" w:rsidP="00233701">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 xml:space="preserve">An integrated sustainability index is typically discussed as a composite score that combines various indicators to summarise the responsibly of performance of an organisation (or economy) in key sustainability pillars and to be able to compare across time, firms or countries. Since sustainability is a multidimensional concept, index construction is usually initiated by a definite conceptual framework, followed by indicator selection, scaling/normalisation, weighting, and aggregation to ensure that the final score can be interpreted and replicated (Fernandez-Hernandez et al., 2025). Practically, ESG ratings and sustainability benchmarks proxy many of the sustainability indices of capital markets, which are appealing to empirical research as they encode the complex disclosures into numeric signals to investors and regulators (Tehrani, et al., 2024). One methodological issue is that given varying data sources, materiality decisions, and weighting </w:t>
      </w:r>
      <w:r w:rsidRPr="000270C0">
        <w:rPr>
          <w:rFonts w:ascii="Times New Roman" w:hAnsi="Times New Roman" w:cs="Times New Roman"/>
          <w:sz w:val="24"/>
          <w:szCs w:val="24"/>
        </w:rPr>
        <w:lastRenderedPageBreak/>
        <w:t>schemes, various providers may yield materially different sustainability scores of the same firm, and thus the same label of sustainability index may not reflect the underlying construct across studies (Berg, et al., 2022). This explains why recent literature is more and more focused on transparency of index design, sensitivity tests of weights, and close attention to the interpretation of index movements because changes in measurement might be taken to be changes on sustainability. When applied appropriately, however, a sustainability index can be a useful benchmarking, target setting, and performance-sustainability linking tool, with risk, cost of capital, and long-run competitiveness being the outcomes of sustainability performance.</w:t>
      </w:r>
    </w:p>
    <w:p w14:paraId="2F93CBE0" w14:textId="77777777" w:rsidR="00233701" w:rsidRPr="000270C0" w:rsidRDefault="00233701" w:rsidP="000677F5">
      <w:pPr>
        <w:spacing w:after="0" w:line="240" w:lineRule="auto"/>
        <w:jc w:val="both"/>
        <w:rPr>
          <w:rFonts w:ascii="Times New Roman" w:hAnsi="Times New Roman" w:cs="Times New Roman"/>
          <w:b/>
          <w:bCs/>
          <w:sz w:val="24"/>
          <w:szCs w:val="24"/>
        </w:rPr>
      </w:pPr>
      <w:r w:rsidRPr="000270C0">
        <w:rPr>
          <w:rFonts w:ascii="Times New Roman" w:hAnsi="Times New Roman" w:cs="Times New Roman"/>
          <w:b/>
          <w:bCs/>
          <w:sz w:val="24"/>
          <w:szCs w:val="24"/>
        </w:rPr>
        <w:t xml:space="preserve">Environmental Sustainability Index </w:t>
      </w:r>
    </w:p>
    <w:p w14:paraId="54012844" w14:textId="77777777" w:rsidR="00233701" w:rsidRPr="000270C0" w:rsidRDefault="00233701" w:rsidP="00233701">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The environmental sustainability index has a limited outlook on ecological pressures and resilience usually encompassing emissions intensity, air and water quality, energy structure, resource productivity, waste burdens, ecosystem condition to ensure that production and consumption patterns do not exceed environmental limits. More recent index design frequently divides the current performance distinction and the distance to sustainability, to assist analysts differentiate between those improvements that could reduce harm and those that are merely a structural benefit as in geography or income (Usubiaga-Liaño and Ekins, 2021). However, composite environmental rankings are delicate: the presence of the indicators of human welfare can move countries up and down the list, the redundancy of indicators can change the rankings dramatically, and the uncertainty is also an issue that should be communicated by index builders (Stevens, et al., 2023). In practice, composite indicator methods (normalisation and aggregation) are often used to operationalise environmental indices to aid the comparison of environmental performance across countries at a point in time, and environmental performance may be slow to react to policy shifts and investment cycles (Ikram, 2025). Consequently, the best environmental sustainability indices are those that are parsimonious, grounded on quantifiable biophysical measures, and have soundness checks in terms of weighting and aggregation principles. This makes them even more useful in policy assessment, screening of green investments, and study of the influence of environmental quality on trade, competitiveness and investment attractiveness.</w:t>
      </w:r>
    </w:p>
    <w:p w14:paraId="4B729504" w14:textId="77777777" w:rsidR="00233701" w:rsidRPr="000270C0" w:rsidRDefault="00233701" w:rsidP="000677F5">
      <w:pPr>
        <w:spacing w:after="0" w:line="240" w:lineRule="auto"/>
        <w:jc w:val="both"/>
        <w:rPr>
          <w:rFonts w:ascii="Times New Roman" w:hAnsi="Times New Roman" w:cs="Times New Roman"/>
          <w:b/>
          <w:bCs/>
          <w:sz w:val="24"/>
          <w:szCs w:val="24"/>
        </w:rPr>
      </w:pPr>
      <w:r w:rsidRPr="000270C0">
        <w:rPr>
          <w:rFonts w:ascii="Times New Roman" w:hAnsi="Times New Roman" w:cs="Times New Roman"/>
          <w:b/>
          <w:bCs/>
          <w:sz w:val="24"/>
          <w:szCs w:val="24"/>
        </w:rPr>
        <w:t xml:space="preserve">Social Sustainability Index </w:t>
      </w:r>
    </w:p>
    <w:p w14:paraId="05CB8BE7" w14:textId="555E8076" w:rsidR="00233701" w:rsidRPr="000270C0" w:rsidRDefault="00233701" w:rsidP="00233701">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 xml:space="preserve">A social sustainability index is the way economic activity is transformed into human wellbeing, fairness and social cohesion, and usually includes labour standards, occupational safety, equity and inclusion, access to essential services, community impacts and human rights protections. Since social outcomes are context-dependent, social indices tend to include both globally comparable variables and locally relevant variables that capture institutional facts and developmental limitations (Denu, et al., 2023). Recent research also highlights that social sustainability is dynamic: structural economic change can enhance jobs and inclusion in some places and increase inequality or informality in others, and index interpretation must take into account sectoral transformation and distributional impacts (Jankiewicz and Meyer, 2024). Social sustainability indices, when used in urban and community settings, are often constructed around dimensions that are defined by stakeholders like housing, safety, participation, and livelihood stability such that the index is decision-relevant to planning and governance instead of a purely scholarly score (Chan, 2025). Strong social indices are methodologically explicit in defining indicators, preventing the count of times, and validating dimension indicators by either reliability tests or by expert scrutiny to guarantee that the score is a true reflection of social conditions and not merely because of data availability. Social sustainability indices can be used to facilitate </w:t>
      </w:r>
      <w:r w:rsidRPr="000270C0">
        <w:rPr>
          <w:rFonts w:ascii="Times New Roman" w:hAnsi="Times New Roman" w:cs="Times New Roman"/>
          <w:sz w:val="24"/>
          <w:szCs w:val="24"/>
        </w:rPr>
        <w:lastRenderedPageBreak/>
        <w:t xml:space="preserve">targeted social investment and track inclusive growth and corporate or public-sector policies when </w:t>
      </w:r>
      <w:r w:rsidR="000677F5" w:rsidRPr="000270C0">
        <w:rPr>
          <w:rFonts w:ascii="Times New Roman" w:hAnsi="Times New Roman" w:cs="Times New Roman"/>
          <w:sz w:val="24"/>
          <w:szCs w:val="24"/>
        </w:rPr>
        <w:t>well-structured</w:t>
      </w:r>
      <w:r w:rsidRPr="000270C0">
        <w:rPr>
          <w:rFonts w:ascii="Times New Roman" w:hAnsi="Times New Roman" w:cs="Times New Roman"/>
          <w:sz w:val="24"/>
          <w:szCs w:val="24"/>
        </w:rPr>
        <w:t xml:space="preserve"> to enhance quality of life.</w:t>
      </w:r>
    </w:p>
    <w:p w14:paraId="6CC2E166" w14:textId="77777777" w:rsidR="00233701" w:rsidRPr="000270C0" w:rsidRDefault="00233701" w:rsidP="000677F5">
      <w:pPr>
        <w:spacing w:after="0" w:line="240" w:lineRule="auto"/>
        <w:jc w:val="both"/>
        <w:rPr>
          <w:rFonts w:ascii="Times New Roman" w:hAnsi="Times New Roman" w:cs="Times New Roman"/>
          <w:b/>
          <w:bCs/>
          <w:sz w:val="24"/>
          <w:szCs w:val="24"/>
        </w:rPr>
      </w:pPr>
      <w:r w:rsidRPr="000270C0">
        <w:rPr>
          <w:rFonts w:ascii="Times New Roman" w:hAnsi="Times New Roman" w:cs="Times New Roman"/>
          <w:b/>
          <w:bCs/>
          <w:sz w:val="24"/>
          <w:szCs w:val="24"/>
        </w:rPr>
        <w:t>Governance Sustainability Index</w:t>
      </w:r>
    </w:p>
    <w:p w14:paraId="0B4E0703" w14:textId="348511A5" w:rsidR="00233701" w:rsidRPr="000270C0" w:rsidRDefault="00233701" w:rsidP="00233701">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 xml:space="preserve">The sustainability index of governance evaluates the extent to which </w:t>
      </w:r>
      <w:r w:rsidR="00610E93" w:rsidRPr="000270C0">
        <w:rPr>
          <w:rFonts w:ascii="Times New Roman" w:hAnsi="Times New Roman" w:cs="Times New Roman"/>
          <w:sz w:val="24"/>
          <w:szCs w:val="24"/>
        </w:rPr>
        <w:t>decision-making</w:t>
      </w:r>
      <w:r w:rsidRPr="000270C0">
        <w:rPr>
          <w:rFonts w:ascii="Times New Roman" w:hAnsi="Times New Roman" w:cs="Times New Roman"/>
          <w:sz w:val="24"/>
          <w:szCs w:val="24"/>
        </w:rPr>
        <w:t xml:space="preserve"> frameworks and control systems contribute to ethical behavior, accountability, transparency and </w:t>
      </w:r>
      <w:r w:rsidR="00610E93" w:rsidRPr="000270C0">
        <w:rPr>
          <w:rFonts w:ascii="Times New Roman" w:hAnsi="Times New Roman" w:cs="Times New Roman"/>
          <w:sz w:val="24"/>
          <w:szCs w:val="24"/>
        </w:rPr>
        <w:t>long-term</w:t>
      </w:r>
      <w:r w:rsidRPr="000270C0">
        <w:rPr>
          <w:rFonts w:ascii="Times New Roman" w:hAnsi="Times New Roman" w:cs="Times New Roman"/>
          <w:sz w:val="24"/>
          <w:szCs w:val="24"/>
        </w:rPr>
        <w:t xml:space="preserve"> stakeholder value creation. Board effectiveness and independence, shareholder rights, audit and disclosure quality, executive incentives, anti-corruption controls, and risk management systems are common governance indices in ESG-oriented measurement since through these mechanisms, whether environmental and social commitments are fulfilled or symbolic (Tehrani, et al., 2024). Nevertheless, the comparability issue in governance measurement is similar to the issue of comparability in ESG ratings: various data providers can code controversies, disclosure practices and governance structures differently, which leads to a lack of consensus over what good governance is and undermines cross-study comparability when researchers use all governance indices interchangeably (Berg, et al., 2022). Governance is also operationalised at the macro level by institutional-quality composites (rule of law, regulatory quality, control of corruption, government effectiveness), in many cases being considered as governance indices that mediate investment trust and sustainable development performance (Khan, et al., 2023). Theoretically, governance sustainability indices are important since governance is a pillar of enforcement that enhances the plausibility of sustainability assertions, better monitoring, and the minimization of opportunism in business companies and government agencies. Thus, strong governance indices are identified by clear definition of indicators, distinction between policies and outcomes and consistency tests to ensure that the index is an indicator of lasting governance capacity rather than a short-term public-relations indicator.</w:t>
      </w:r>
    </w:p>
    <w:p w14:paraId="4B6FA26E" w14:textId="77777777" w:rsidR="00233701" w:rsidRPr="000270C0" w:rsidRDefault="00233701" w:rsidP="000677F5">
      <w:pPr>
        <w:spacing w:after="0" w:line="240" w:lineRule="auto"/>
        <w:jc w:val="both"/>
        <w:rPr>
          <w:rFonts w:ascii="Times New Roman" w:hAnsi="Times New Roman" w:cs="Times New Roman"/>
          <w:b/>
          <w:bCs/>
          <w:sz w:val="24"/>
          <w:szCs w:val="24"/>
        </w:rPr>
      </w:pPr>
      <w:r w:rsidRPr="000270C0">
        <w:rPr>
          <w:rFonts w:ascii="Times New Roman" w:hAnsi="Times New Roman" w:cs="Times New Roman"/>
          <w:b/>
          <w:bCs/>
          <w:sz w:val="24"/>
          <w:szCs w:val="24"/>
        </w:rPr>
        <w:t>Foreign Direct Investment (FDI) Inflows</w:t>
      </w:r>
    </w:p>
    <w:p w14:paraId="39C4A6BA" w14:textId="0B204E2A" w:rsidR="009456AF" w:rsidRPr="000270C0" w:rsidRDefault="00233701" w:rsidP="00233701">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 xml:space="preserve">The inflows of foreign direct investment (FDI) are the net inward investment that creates an enduring interest and a significant presence of a foreign investor in a home enterprise, which is normally gauged by the balance of payments concepts and expressed in absolute values or as proportions of GDP to allow comparisons across economies. The perceived value of FDI inflows is that they may convey capital, technology, managerial skills and access to other markets but the realised gains require absorptive capacity, credibility in regulatory regimes and the stability of the host environment. Recent findings are starting to correlate FDI decisions with so-called country signals that go beyond the conventional market size and costs determinants, such as sovereign ESG performance and sustainability reputation, which can mitigate perceived risk and ensure that investments are made that are consistent with responsible-finance requirements (Bannour </w:t>
      </w:r>
      <w:r w:rsidR="008F3E19">
        <w:rPr>
          <w:rFonts w:ascii="Times New Roman" w:hAnsi="Times New Roman" w:cs="Times New Roman"/>
          <w:sz w:val="24"/>
          <w:szCs w:val="24"/>
        </w:rPr>
        <w:t>&amp;</w:t>
      </w:r>
      <w:r w:rsidRPr="000270C0">
        <w:rPr>
          <w:rFonts w:ascii="Times New Roman" w:hAnsi="Times New Roman" w:cs="Times New Roman"/>
          <w:sz w:val="24"/>
          <w:szCs w:val="24"/>
        </w:rPr>
        <w:t xml:space="preserve"> Abdelkawy, 2024). The quality of institutions continues to focus on the core: better governance frameworks reduce policy risk and contract risk, which enhances the capacity of a country to attract and retain long-horizon foreign investors (Khan, et al., 2023). Meanwhile, at firm and market levels, the structure of FDI is informed by channels like ESG disclosure regimes, investor preferences, and screening standards to support the creation of FDI directed to sectors and firms that are capable of credibly reporting sustainability and transparency and not just delivering short-term returns (Guan, et al., 2025). FDI inflows can therefore be most appropriately viewed as not merely about the amount of capital flowing into countries but as an indication of trust in the rules, sustainability path, and long-term investability of the host economy</w:t>
      </w:r>
      <w:r w:rsidR="009456AF" w:rsidRPr="000270C0">
        <w:rPr>
          <w:rFonts w:ascii="Times New Roman" w:eastAsia="SimSun" w:hAnsi="Times New Roman" w:cs="Times New Roman"/>
          <w:sz w:val="24"/>
          <w:szCs w:val="24"/>
          <w:lang w:eastAsia="zh-CN"/>
        </w:rPr>
        <w:t xml:space="preserve">. </w:t>
      </w:r>
    </w:p>
    <w:p w14:paraId="483CED56" w14:textId="77777777" w:rsidR="00873347" w:rsidRPr="000270C0" w:rsidRDefault="009456AF" w:rsidP="00873347">
      <w:pPr>
        <w:spacing w:after="0" w:line="240" w:lineRule="auto"/>
        <w:jc w:val="both"/>
        <w:rPr>
          <w:rFonts w:ascii="Times New Roman" w:hAnsi="Times New Roman" w:cs="Times New Roman"/>
          <w:b/>
          <w:bCs/>
          <w:sz w:val="24"/>
          <w:szCs w:val="24"/>
        </w:rPr>
      </w:pPr>
      <w:r w:rsidRPr="000270C0">
        <w:rPr>
          <w:rFonts w:ascii="Times New Roman" w:hAnsi="Times New Roman" w:cs="Times New Roman"/>
          <w:b/>
          <w:bCs/>
          <w:sz w:val="24"/>
          <w:szCs w:val="24"/>
        </w:rPr>
        <w:t>Theoretical Framework</w:t>
      </w:r>
    </w:p>
    <w:p w14:paraId="6469C5D2" w14:textId="77777777" w:rsidR="00873347" w:rsidRPr="000270C0" w:rsidRDefault="009456AF" w:rsidP="00873347">
      <w:pPr>
        <w:spacing w:after="0" w:line="240" w:lineRule="auto"/>
        <w:jc w:val="both"/>
        <w:rPr>
          <w:rFonts w:ascii="Times New Roman" w:hAnsi="Times New Roman" w:cs="Times New Roman"/>
          <w:b/>
          <w:bCs/>
          <w:sz w:val="24"/>
          <w:szCs w:val="24"/>
        </w:rPr>
      </w:pPr>
      <w:r w:rsidRPr="000270C0">
        <w:rPr>
          <w:rFonts w:ascii="Times New Roman" w:hAnsi="Times New Roman" w:cs="Times New Roman"/>
          <w:b/>
          <w:bCs/>
          <w:sz w:val="24"/>
          <w:szCs w:val="24"/>
        </w:rPr>
        <w:t>Signaling Theory</w:t>
      </w:r>
      <w:bookmarkStart w:id="1" w:name="_Hlk216813647"/>
      <w:r w:rsidR="00873347" w:rsidRPr="000270C0">
        <w:rPr>
          <w:rFonts w:ascii="Times New Roman" w:hAnsi="Times New Roman" w:cs="Times New Roman"/>
          <w:b/>
          <w:bCs/>
          <w:sz w:val="24"/>
          <w:szCs w:val="24"/>
        </w:rPr>
        <w:t xml:space="preserve"> by Michael Spence (1973).</w:t>
      </w:r>
    </w:p>
    <w:p w14:paraId="367DD785" w14:textId="77777777" w:rsidR="000677F5" w:rsidRPr="000270C0" w:rsidRDefault="000677F5" w:rsidP="000677F5">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lastRenderedPageBreak/>
        <w:t>Michael Spence (1973) is generally credited with the Signaling Theory. The theorist proposed that in situations where one of the parties had superior information than the other, the informed party could lower the uncertainty by giving credible and expensive-to-forge signals which would enable the uninformed party to deduce what is behind the quality and make superior choices. Applied to the investment environment in Nigeria, the sustainability index (and its E-S-G pillars) serves as a country-level indicator regarding regulatory orientation, environmental risk management, social stability, and institutional credibility that foreign investors are unable to observe in ex ante. Firm sustainability performance can be an indicator of reduced non-financial risk and more predictable operating climate, higher investor confidence and the probability of longer-horizon, higher-quality FDI inflows since anticipated project cash flows will be less susceptible to sudden policy changes, social shocks, or reputational shocks. In this respect, sustainability index is not just a score; it is an information tool that assists foreign companies filtering locations in the case of uncertainty and contrasting Nigeria to other host nations on risk-adjusted attractiveness.</w:t>
      </w:r>
    </w:p>
    <w:p w14:paraId="14C1C915" w14:textId="77777777" w:rsidR="000677F5" w:rsidRPr="000270C0" w:rsidRDefault="000677F5" w:rsidP="000677F5">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Critics observe that signaling may break down as long as the signals become noisy, manipulable, or inconsistently recognized, i.e., a receiver may not be able to pick out the true quality versus strategic impression management. As an example, Connelly, et al. (2011) pointed out that signals might not be an effective way of communicating quality when signal costs are not separating sufficiently, receivers are unable to read signals in the right way, or the signaling environment favors mimicking over honesty. Delmas and Burbano (2011) demonstrated in the sustainability contexts that the concept of greenwashing can misrepresent sustainability claims, undermining trust in the sustainability-related signals and raising doubts among the external stakeholders. In a broader sense, ESG measurement has the potential to produce mixed signals: Brandon, et al. (2021) reported ESG rating variance, indicating that various assessors might give different sustainability ratings, thereby decreasing the clarity of the signal and potentially increasing information asymmetry instead of decreasing it. These criticisms are important to Nigeria since in case sustainability indices are viewed to be inconsistent, politicized, or poorly implemented, foreign investors will discount them and will turn to conventional risk heuristics.</w:t>
      </w:r>
    </w:p>
    <w:p w14:paraId="1F1DD603" w14:textId="21E47D55" w:rsidR="00D07AE3" w:rsidRPr="000270C0" w:rsidRDefault="000677F5" w:rsidP="000677F5">
      <w:pPr>
        <w:spacing w:line="240" w:lineRule="auto"/>
        <w:ind w:firstLine="720"/>
        <w:jc w:val="both"/>
        <w:rPr>
          <w:rFonts w:ascii="Times New Roman" w:hAnsi="Times New Roman" w:cs="Times New Roman"/>
          <w:b/>
          <w:bCs/>
          <w:sz w:val="24"/>
          <w:szCs w:val="24"/>
        </w:rPr>
      </w:pPr>
      <w:r w:rsidRPr="000270C0">
        <w:rPr>
          <w:rFonts w:ascii="Times New Roman" w:hAnsi="Times New Roman" w:cs="Times New Roman"/>
          <w:sz w:val="24"/>
          <w:szCs w:val="24"/>
        </w:rPr>
        <w:t>This paper is based on Signaling Theory since it provides a clear, testable account of how a sustainability index in Nigeria correlates with FDI inflows due to information asymmetry, credibility, and social license to operate: better sustainability signals can reduce uncertainty about policy continuity, compliance risk, and social license to operate, and make Nigeria more attractive to capital that is hard to undo once invested</w:t>
      </w:r>
      <w:r w:rsidR="009456AF" w:rsidRPr="000270C0">
        <w:rPr>
          <w:rFonts w:ascii="Times New Roman" w:hAnsi="Times New Roman" w:cs="Times New Roman"/>
          <w:sz w:val="24"/>
          <w:szCs w:val="24"/>
        </w:rPr>
        <w:t xml:space="preserve">. </w:t>
      </w:r>
    </w:p>
    <w:p w14:paraId="56A7F9D8" w14:textId="77777777" w:rsidR="007A6545" w:rsidRPr="000270C0" w:rsidRDefault="009456AF" w:rsidP="007A6545">
      <w:pPr>
        <w:spacing w:after="0" w:line="240" w:lineRule="auto"/>
        <w:jc w:val="both"/>
        <w:rPr>
          <w:rFonts w:ascii="Times New Roman" w:hAnsi="Times New Roman" w:cs="Times New Roman"/>
          <w:b/>
          <w:bCs/>
          <w:sz w:val="24"/>
          <w:szCs w:val="24"/>
        </w:rPr>
      </w:pPr>
      <w:r w:rsidRPr="000270C0">
        <w:rPr>
          <w:rFonts w:ascii="Times New Roman" w:hAnsi="Times New Roman" w:cs="Times New Roman"/>
          <w:b/>
          <w:bCs/>
          <w:sz w:val="24"/>
          <w:szCs w:val="24"/>
        </w:rPr>
        <w:t>Empirical Review</w:t>
      </w:r>
    </w:p>
    <w:p w14:paraId="36C42FDB" w14:textId="77777777" w:rsidR="00572458" w:rsidRPr="000270C0" w:rsidRDefault="00572458" w:rsidP="00572458">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 xml:space="preserve">Yuan and Ji (2025) used the OLS, PPML and GMM methods to estimate the motives of Chinese foreign direct investment (FDI) in Africa and the effects of the institutional quality of the host country on the period between 2003 and 2022 both in the static and dynamic perspective. The results show that: China has obvious market-, and efficiency-seeking motives, but weak resource- and strategic asset-seeking motives. There is a tipping point for market- and efficiency-seeking motives. FDI is supported by good institutional quality of the host country (region). Investment inertia and factor endowments affect long-term FDI. We also consider the moderating influence of institutional quality and the Belt and Road Initiative (BRI) and discovered that: optimizing the institutional environment of the host country (region) makes the market size more appealing and labour costs less appealing. </w:t>
      </w:r>
    </w:p>
    <w:p w14:paraId="1F6CACF1" w14:textId="77777777" w:rsidR="00572458" w:rsidRPr="000270C0" w:rsidRDefault="00572458" w:rsidP="00572458">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lastRenderedPageBreak/>
        <w:t>Immurana, et al. (2023) examined the effect of population health that accounts the S channel by human capability and workforce productivity on net FDI inflows in Africa by instrumentally estimating using fixed effects system GMM to ensure robustness. They imply that their panel model involves the use of life expectancy and death rates as health proxies and FDI inflows as the dependent variable, which directly correlates the state of social sustainability with investor performance. The researchers conclude that an improved population health (higher life expectancy) correlates with increased net FDI inflows and the reverse is true, meaning that investors attach importance to the productivity, stability, and continuity of operations that healthy societies offer. The authors conclude that social sustainability investments in health systems, sanitation and disease prevention should be considered by countries aiming at attracting more FDI as competitiveness policies, as human-capital quality has a significant influence on the expectations of future operational performance of the country by foreign investors.</w:t>
      </w:r>
      <w:r w:rsidRPr="000270C0">
        <w:rPr>
          <w:rFonts w:ascii="Times New Roman" w:hAnsi="Times New Roman" w:cs="Times New Roman"/>
          <w:sz w:val="24"/>
          <w:szCs w:val="24"/>
        </w:rPr>
        <w:tab/>
      </w:r>
    </w:p>
    <w:p w14:paraId="27335EDC" w14:textId="77777777" w:rsidR="00572458" w:rsidRPr="000270C0" w:rsidRDefault="00572458" w:rsidP="00572458">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Saha, et al. (2022) tested the institutional-quality elements (considered sustainability-governance signals) and FDI inflows by two-step system GMM estimator and threshold analysis. They explicitly test the endogeneity characteristics with regard to their design and investigate the possibility of difference in governance effects when countries cross income thresholds, which is pertinent to the interpretation of how sustainability reforms translate into quantifiable investment payoffs. The results indicate that corruption and regulatory quality control is likely to increase FDI inflows, whereas other governance aspects may exhibit weaker or even counterintuitive relationships, and the threshold findings indicate that governance improvements have stronger FDI reactions at the income levels beyond a certain threshold. The authors conclude that sustainability-index effects are conditional: regulatory credibility and corruption control are always highly appreciated by foreign investors, whereas other institutional dimensions can be of significance at different development stages, influencing the way reforms can be converted into inflow results.</w:t>
      </w:r>
    </w:p>
    <w:p w14:paraId="78CAF86F" w14:textId="77777777" w:rsidR="00572458" w:rsidRPr="000270C0" w:rsidRDefault="00572458" w:rsidP="00572458">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 xml:space="preserve">Zangina &amp; Hassan (2020) examined the nonlinear ARDL model of corruption-FDI in Nigeria, to reveal asymmetries (i.e. whether the positive and negative improvements and deteriorations in governance impact inflows with different marginal effects). Their design of a research was based on time-series data and they decomposed corruption dynamics into positive and negative changes and estimated both short-run and long-run responses of FDI inflows. The main point is that corruption dynamics have a non-linear effect on FDI attraction, i.e., the reduction of governance can be harmful disproportionately as compared to incremental benefits. The authors conclude that the quality of governance is a fundamental sustainability-index channel: as corruption risks go up, uncertainty and informal costs go up, foreign investors will be scared away; as corruption control goes up, investment confidence goes up and inflows react more positively over time. </w:t>
      </w:r>
    </w:p>
    <w:p w14:paraId="1DA9A45A" w14:textId="77777777" w:rsidR="00572458" w:rsidRPr="000270C0" w:rsidRDefault="00572458" w:rsidP="00572458">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 xml:space="preserve">Sakanko, et al. (2020) developed or borrowed an aggregate institutional-quality measure and estimated the impact of this measure on the FDI inflows in Nigeria under a nonlinear ARDL (NARDL) plan. The design of the study is time-series and the main objective is the dynamic adjustment, which enables the authors to estimate the extent to which institutional-quality improvements lead to sustained gains in inflows, and whether negative institutional shocks elicit greater negative returns. Their findings suggest that aggregate institutional quality is a strong predictor of FDI in Nigeria, which supports the notion that, in Nigeria, sustainability of governance is a composite indicator, and not a single policy instrument. The research arrives at the conclusion that enhancing the institutional environment in Nigeria by enhancing its stability, accountability, </w:t>
      </w:r>
      <w:r w:rsidRPr="000270C0">
        <w:rPr>
          <w:rFonts w:ascii="Times New Roman" w:hAnsi="Times New Roman" w:cs="Times New Roman"/>
          <w:sz w:val="24"/>
          <w:szCs w:val="24"/>
        </w:rPr>
        <w:lastRenderedPageBreak/>
        <w:t>and effective enforcement decreases the perceived sovereign and contractual risk, which increases the probability of foreign firms to invest in long-term capital.</w:t>
      </w:r>
    </w:p>
    <w:p w14:paraId="1012C513" w14:textId="77777777" w:rsidR="00572458" w:rsidRPr="000270C0" w:rsidRDefault="00572458" w:rsidP="00572458">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 xml:space="preserve">Olaoye, et al. (2020) estimated the energy-FDI nexus of Nigeria with macro time-series that determines long-run relationships and dynamic short-run adjustments. The research design uses energy conditions as an environmental-sustainability proxy that affects the cost of production, structural stability, and the feasibility of the factors of industrial operations that are factored into location choice by foreign investors. Their analysis finds that energy related variables significantly correlate with FDI inflows, which is in line with the opinion that the more stable or </w:t>
      </w:r>
      <w:proofErr w:type="spellStart"/>
      <w:r w:rsidRPr="000270C0">
        <w:rPr>
          <w:rFonts w:ascii="Times New Roman" w:hAnsi="Times New Roman" w:cs="Times New Roman"/>
          <w:sz w:val="24"/>
          <w:szCs w:val="24"/>
        </w:rPr>
        <w:t>scaleable</w:t>
      </w:r>
      <w:proofErr w:type="spellEnd"/>
      <w:r w:rsidRPr="000270C0">
        <w:rPr>
          <w:rFonts w:ascii="Times New Roman" w:hAnsi="Times New Roman" w:cs="Times New Roman"/>
          <w:sz w:val="24"/>
          <w:szCs w:val="24"/>
        </w:rPr>
        <w:t xml:space="preserve"> energy factors are, the more attractive the host economy is to foreign investment. The authors deduce that the energy systems have environmental sustainability limitations which can serve as an implicit environmental sustainability index channel: the increase in energy reliability leads to a decrease in operational risk and an increase in the inflows of foreign investors.</w:t>
      </w:r>
    </w:p>
    <w:p w14:paraId="3B1F1C1B" w14:textId="77777777" w:rsidR="00572458" w:rsidRPr="000270C0" w:rsidRDefault="00572458" w:rsidP="00572458">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Sabir, et al. (2019) used panel data by income groups and applied system GMM to overcome persistence in FDI inflows and reverse-causality issues that are typical of investment-institution models in a broad cross-country study that focuses on governance as an anchor of sustainability. The analysis measured institutional quality as a combination of dimensions of governance and confirmed whether changes in these indicators predictably increase inward FDI within country groups. Their results indicate that there is a strong positive correlation between the institutional quality and the inward FDI, and the governance effect remains strong after the macroeconomic conditions and country heterogeneity are accounted. The authors conclude that institutional credibility has a strong reaction among investors due to its ability to reduce transaction costs and increase enforcement, that is, the quality of governance is a sustainability-index element that moderates the attractiveness of a host economy to foreign capital.</w:t>
      </w:r>
    </w:p>
    <w:p w14:paraId="3386061C" w14:textId="77777777" w:rsidR="00572458" w:rsidRPr="000270C0" w:rsidRDefault="00572458" w:rsidP="00572458">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Ayomitunde (2019) explored the effects of regulatory conditions as a governance-sustainability mechanism on FDI inflows through an ex-post facto time-series model and macro time-trend econometric estimation. The design of the study was based on secondary national indicators and modeled FDI inflows as the outcome variable in which the variables of regulations were used to indicate the stability of the investment climate and predictability of the administrative environment. The evidence mentioned above indicates that the quality of regulations and the coherence of rules matter in attracting FDI, since foreign investors consider the likelihood of making arbitrary policy changes in making long-horizon commitments. The paper concludes that the sustainability signalling to foreign investors in Nigeria is enhanced by the presence of a transparent and enforceable regulation as this will lower the perceived institutional risk and enhance the dependability of the expected returns.</w:t>
      </w:r>
    </w:p>
    <w:p w14:paraId="7DA0DE7D" w14:textId="0B06E98B" w:rsidR="007A6545" w:rsidRPr="000270C0" w:rsidRDefault="00572458" w:rsidP="00572458">
      <w:pPr>
        <w:spacing w:line="240" w:lineRule="auto"/>
        <w:ind w:firstLine="720"/>
        <w:jc w:val="both"/>
        <w:rPr>
          <w:rFonts w:ascii="Times New Roman" w:hAnsi="Times New Roman" w:cs="Times New Roman"/>
          <w:b/>
          <w:bCs/>
          <w:sz w:val="24"/>
          <w:szCs w:val="24"/>
        </w:rPr>
      </w:pPr>
      <w:r w:rsidRPr="000270C0">
        <w:rPr>
          <w:rFonts w:ascii="Times New Roman" w:hAnsi="Times New Roman" w:cs="Times New Roman"/>
          <w:sz w:val="24"/>
          <w:szCs w:val="24"/>
        </w:rPr>
        <w:t>Peres, et al. (2018) estimated the impacts of sustainability-relevant institutional strength by proxying the institutional strength by corruption-control and rule-of-law measures and estimating their effects on inward FDI with panel estimators to address heterogeneity and endogeneity. Results provided by the authors show that higher institutional quality has a positive significant impact on the FDI inflows, and these effects vary across development groups, suggesting that sustainability-consistent institutions act as a risk-alleviating signal to foreign investors. They conclude that institutional credibility is not just background context, but part of the essence of a sustainability governance channel whereby countries enhance the predictability of contract and expropriation fears, and thus attract more FDI</w:t>
      </w:r>
      <w:r w:rsidR="009456AF" w:rsidRPr="000270C0">
        <w:rPr>
          <w:rFonts w:ascii="Times New Roman" w:hAnsi="Times New Roman" w:cs="Times New Roman"/>
          <w:sz w:val="24"/>
          <w:szCs w:val="24"/>
        </w:rPr>
        <w:t>.</w:t>
      </w:r>
      <w:bookmarkEnd w:id="0"/>
      <w:bookmarkEnd w:id="1"/>
    </w:p>
    <w:p w14:paraId="1F846B0E" w14:textId="77777777" w:rsidR="007A6545" w:rsidRPr="000270C0" w:rsidRDefault="007A6545" w:rsidP="007A6545">
      <w:pPr>
        <w:spacing w:after="0" w:line="240" w:lineRule="auto"/>
        <w:jc w:val="both"/>
        <w:rPr>
          <w:rFonts w:ascii="Times New Roman" w:hAnsi="Times New Roman" w:cs="Times New Roman"/>
          <w:b/>
          <w:bCs/>
          <w:sz w:val="24"/>
          <w:szCs w:val="24"/>
        </w:rPr>
      </w:pPr>
      <w:r w:rsidRPr="000270C0">
        <w:rPr>
          <w:rFonts w:ascii="Times New Roman" w:hAnsi="Times New Roman" w:cs="Times New Roman"/>
          <w:b/>
          <w:bCs/>
          <w:sz w:val="24"/>
          <w:szCs w:val="24"/>
        </w:rPr>
        <w:t>3.0</w:t>
      </w:r>
      <w:r w:rsidRPr="000270C0">
        <w:rPr>
          <w:rFonts w:ascii="Times New Roman" w:hAnsi="Times New Roman" w:cs="Times New Roman"/>
          <w:b/>
          <w:bCs/>
          <w:sz w:val="24"/>
          <w:szCs w:val="24"/>
        </w:rPr>
        <w:tab/>
      </w:r>
      <w:r w:rsidR="009456AF" w:rsidRPr="000270C0">
        <w:rPr>
          <w:rFonts w:ascii="Times New Roman" w:hAnsi="Times New Roman" w:cs="Times New Roman"/>
          <w:b/>
          <w:bCs/>
          <w:sz w:val="24"/>
          <w:szCs w:val="24"/>
        </w:rPr>
        <w:t>METHODOLOGY</w:t>
      </w:r>
    </w:p>
    <w:p w14:paraId="360BC57D" w14:textId="18FF2BAF" w:rsidR="009456AF" w:rsidRPr="000270C0" w:rsidRDefault="00CD466C" w:rsidP="00D2779A">
      <w:pPr>
        <w:spacing w:line="240" w:lineRule="auto"/>
        <w:ind w:firstLine="720"/>
        <w:jc w:val="both"/>
        <w:rPr>
          <w:rFonts w:ascii="Times New Roman" w:eastAsia="Times New Roman" w:hAnsi="Times New Roman" w:cs="Times New Roman"/>
          <w:sz w:val="24"/>
          <w:szCs w:val="24"/>
        </w:rPr>
      </w:pPr>
      <w:r w:rsidRPr="000270C0">
        <w:rPr>
          <w:rFonts w:ascii="Times New Roman" w:hAnsi="Times New Roman" w:cs="Times New Roman"/>
          <w:sz w:val="24"/>
          <w:szCs w:val="24"/>
        </w:rPr>
        <w:lastRenderedPageBreak/>
        <w:t>In this research, an ex-post facto research design is adopted. This research design was appropriate since it makes use of existing data, which minimized the chances of manipulation or biasness. The research used secondary time series data per annum on Nigeria over a span of forty-four (44) years (1981-2024), thus giving 44 observations. Data on the inflows of foreign direct investment were obtained at the Central Bank of Nigeria Statistical Bulletin and the World Bank database, whereas sustainability data of Nigeria were obtained at the World Bank database and supplemented with the help of the relevant publications of the National Bureau of Statistics where it was required. The selection of 19812024 is intentional, as it is an odd phase in the economic and institutional history of Nigeria: it includes both the years of oil-price booms and declines, the switch to the rule of law to military rule and vice versa, and the external and internal macroeconomic shocks and the post-COVID adjustment phase. Such long-term horizon fits well in the study since it will enable the sustainability FDI relationship to be studied under varying policy regimes and under varying economic conditions as opposed to one short-run cycle</w:t>
      </w:r>
      <w:r w:rsidR="009456AF" w:rsidRPr="000270C0">
        <w:rPr>
          <w:rFonts w:ascii="Times New Roman" w:eastAsia="Times New Roman" w:hAnsi="Times New Roman" w:cs="Times New Roman"/>
          <w:sz w:val="24"/>
          <w:szCs w:val="24"/>
        </w:rPr>
        <w:t>.</w:t>
      </w:r>
    </w:p>
    <w:p w14:paraId="7CA4183C" w14:textId="77777777" w:rsidR="009456AF" w:rsidRPr="000270C0" w:rsidRDefault="009456AF" w:rsidP="009456AF">
      <w:pPr>
        <w:spacing w:after="0" w:line="240" w:lineRule="auto"/>
        <w:jc w:val="both"/>
        <w:rPr>
          <w:rFonts w:ascii="Times New Roman" w:eastAsia="Times New Roman" w:hAnsi="Times New Roman" w:cs="Times New Roman"/>
          <w:b/>
          <w:sz w:val="24"/>
          <w:szCs w:val="24"/>
        </w:rPr>
      </w:pPr>
      <w:r w:rsidRPr="000270C0">
        <w:rPr>
          <w:rFonts w:ascii="Times New Roman" w:eastAsia="Times New Roman" w:hAnsi="Times New Roman" w:cs="Times New Roman"/>
          <w:b/>
          <w:bCs/>
          <w:sz w:val="24"/>
          <w:szCs w:val="24"/>
        </w:rPr>
        <w:t xml:space="preserve">Table 3.1: </w:t>
      </w:r>
      <w:r w:rsidRPr="000270C0">
        <w:rPr>
          <w:rFonts w:ascii="Times New Roman" w:eastAsia="Times New Roman" w:hAnsi="Times New Roman" w:cs="Times New Roman"/>
          <w:bCs/>
          <w:sz w:val="24"/>
          <w:szCs w:val="24"/>
        </w:rPr>
        <w:t>Operationalization of Variables</w:t>
      </w:r>
      <w:r w:rsidRPr="000270C0">
        <w:rPr>
          <w:rFonts w:ascii="Times New Roman" w:eastAsia="Times New Roman" w:hAnsi="Times New Roman" w:cs="Times New Roman"/>
          <w:b/>
          <w:sz w:val="24"/>
          <w:szCs w:val="24"/>
        </w:rPr>
        <w:t xml:space="preserve"> </w:t>
      </w:r>
    </w:p>
    <w:tbl>
      <w:tblPr>
        <w:tblStyle w:val="PlainTable2"/>
        <w:tblW w:w="9027" w:type="dxa"/>
        <w:tblBorders>
          <w:top w:val="single" w:sz="4" w:space="0" w:color="auto"/>
          <w:bottom w:val="single" w:sz="4" w:space="0" w:color="auto"/>
        </w:tblBorders>
        <w:tblLayout w:type="fixed"/>
        <w:tblLook w:val="04A0" w:firstRow="1" w:lastRow="0" w:firstColumn="1" w:lastColumn="0" w:noHBand="0" w:noVBand="1"/>
      </w:tblPr>
      <w:tblGrid>
        <w:gridCol w:w="1573"/>
        <w:gridCol w:w="2382"/>
        <w:gridCol w:w="3495"/>
        <w:gridCol w:w="1577"/>
      </w:tblGrid>
      <w:tr w:rsidR="000270C0" w:rsidRPr="000270C0" w14:paraId="2D83CEF4" w14:textId="77777777" w:rsidTr="00611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 w:type="dxa"/>
            <w:tcBorders>
              <w:top w:val="single" w:sz="4" w:space="0" w:color="auto"/>
              <w:bottom w:val="nil"/>
            </w:tcBorders>
            <w:hideMark/>
          </w:tcPr>
          <w:p w14:paraId="3E42AF1B" w14:textId="77777777" w:rsidR="009456AF" w:rsidRPr="000270C0" w:rsidRDefault="009456AF" w:rsidP="00611FC3">
            <w:pPr>
              <w:spacing w:line="240" w:lineRule="auto"/>
              <w:rPr>
                <w:rFonts w:ascii="Times New Roman" w:eastAsia="Times New Roman" w:hAnsi="Times New Roman" w:cs="Times New Roman"/>
                <w:sz w:val="24"/>
                <w:szCs w:val="24"/>
              </w:rPr>
            </w:pPr>
            <w:r w:rsidRPr="000270C0">
              <w:rPr>
                <w:rFonts w:ascii="Times New Roman" w:eastAsia="Times New Roman" w:hAnsi="Times New Roman" w:cs="Times New Roman"/>
                <w:sz w:val="24"/>
                <w:szCs w:val="24"/>
              </w:rPr>
              <w:t>Concept</w:t>
            </w:r>
          </w:p>
        </w:tc>
        <w:tc>
          <w:tcPr>
            <w:tcW w:w="2382" w:type="dxa"/>
            <w:tcBorders>
              <w:top w:val="single" w:sz="4" w:space="0" w:color="auto"/>
              <w:bottom w:val="nil"/>
            </w:tcBorders>
            <w:hideMark/>
          </w:tcPr>
          <w:p w14:paraId="1F447BA6" w14:textId="77777777" w:rsidR="009456AF" w:rsidRPr="000270C0" w:rsidRDefault="009456AF" w:rsidP="00611FC3">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270C0">
              <w:rPr>
                <w:rFonts w:ascii="Times New Roman" w:eastAsia="Times New Roman" w:hAnsi="Times New Roman" w:cs="Times New Roman"/>
                <w:sz w:val="24"/>
                <w:szCs w:val="24"/>
              </w:rPr>
              <w:t>Proxy</w:t>
            </w:r>
          </w:p>
        </w:tc>
        <w:tc>
          <w:tcPr>
            <w:tcW w:w="3495" w:type="dxa"/>
            <w:tcBorders>
              <w:top w:val="single" w:sz="4" w:space="0" w:color="auto"/>
              <w:bottom w:val="nil"/>
            </w:tcBorders>
            <w:hideMark/>
          </w:tcPr>
          <w:p w14:paraId="214844CE" w14:textId="77777777" w:rsidR="009456AF" w:rsidRPr="000270C0" w:rsidRDefault="009456AF" w:rsidP="00611FC3">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270C0">
              <w:rPr>
                <w:rFonts w:ascii="Times New Roman" w:eastAsia="Times New Roman" w:hAnsi="Times New Roman" w:cs="Times New Roman"/>
                <w:sz w:val="24"/>
                <w:szCs w:val="24"/>
              </w:rPr>
              <w:t xml:space="preserve">       Measurement</w:t>
            </w:r>
          </w:p>
        </w:tc>
        <w:tc>
          <w:tcPr>
            <w:tcW w:w="1577" w:type="dxa"/>
            <w:tcBorders>
              <w:top w:val="single" w:sz="4" w:space="0" w:color="auto"/>
              <w:bottom w:val="nil"/>
            </w:tcBorders>
          </w:tcPr>
          <w:p w14:paraId="6C8460D5" w14:textId="71636285" w:rsidR="009456AF" w:rsidRPr="000270C0" w:rsidRDefault="009456AF" w:rsidP="00611FC3">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270C0">
              <w:rPr>
                <w:rFonts w:ascii="Times New Roman" w:eastAsia="Times New Roman" w:hAnsi="Times New Roman" w:cs="Times New Roman"/>
                <w:i/>
                <w:iCs/>
                <w:sz w:val="24"/>
                <w:szCs w:val="24"/>
              </w:rPr>
              <w:t>Aprior</w:t>
            </w:r>
            <w:r w:rsidR="008F3E19">
              <w:rPr>
                <w:rFonts w:ascii="Times New Roman" w:eastAsia="Times New Roman" w:hAnsi="Times New Roman" w:cs="Times New Roman"/>
                <w:i/>
                <w:iCs/>
                <w:sz w:val="24"/>
                <w:szCs w:val="24"/>
              </w:rPr>
              <w:t>i</w:t>
            </w:r>
            <w:r w:rsidRPr="000270C0">
              <w:rPr>
                <w:rFonts w:ascii="Times New Roman" w:eastAsia="Times New Roman" w:hAnsi="Times New Roman" w:cs="Times New Roman"/>
                <w:sz w:val="24"/>
                <w:szCs w:val="24"/>
              </w:rPr>
              <w:t xml:space="preserve"> Expectations</w:t>
            </w:r>
          </w:p>
        </w:tc>
      </w:tr>
      <w:tr w:rsidR="000270C0" w:rsidRPr="000270C0" w14:paraId="38209CBD" w14:textId="77777777" w:rsidTr="00611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 w:type="dxa"/>
            <w:vMerge w:val="restart"/>
            <w:tcBorders>
              <w:top w:val="nil"/>
              <w:bottom w:val="nil"/>
            </w:tcBorders>
            <w:hideMark/>
          </w:tcPr>
          <w:p w14:paraId="34A73EFB" w14:textId="77777777" w:rsidR="009456AF" w:rsidRPr="000270C0" w:rsidRDefault="009456AF" w:rsidP="00611FC3">
            <w:pPr>
              <w:spacing w:line="240" w:lineRule="auto"/>
              <w:jc w:val="both"/>
              <w:rPr>
                <w:rFonts w:ascii="Times New Roman" w:eastAsia="Times New Roman" w:hAnsi="Times New Roman" w:cs="Times New Roman"/>
                <w:b w:val="0"/>
                <w:bCs w:val="0"/>
                <w:i/>
                <w:sz w:val="24"/>
                <w:szCs w:val="24"/>
              </w:rPr>
            </w:pPr>
            <w:r w:rsidRPr="000270C0">
              <w:rPr>
                <w:rFonts w:ascii="Times New Roman" w:hAnsi="Times New Roman" w:cs="Times New Roman"/>
                <w:b w:val="0"/>
                <w:bCs w:val="0"/>
                <w:sz w:val="24"/>
                <w:szCs w:val="24"/>
              </w:rPr>
              <w:t xml:space="preserve">Sustainability Index </w:t>
            </w:r>
            <w:r w:rsidRPr="000270C0">
              <w:rPr>
                <w:rFonts w:ascii="Times New Roman" w:eastAsia="Times New Roman" w:hAnsi="Times New Roman" w:cs="Times New Roman"/>
                <w:b w:val="0"/>
                <w:bCs w:val="0"/>
                <w:i/>
                <w:sz w:val="24"/>
                <w:szCs w:val="24"/>
              </w:rPr>
              <w:t>(independent variable)</w:t>
            </w:r>
          </w:p>
        </w:tc>
        <w:tc>
          <w:tcPr>
            <w:tcW w:w="2382" w:type="dxa"/>
            <w:tcBorders>
              <w:top w:val="nil"/>
              <w:bottom w:val="nil"/>
            </w:tcBorders>
          </w:tcPr>
          <w:p w14:paraId="0F2802F2" w14:textId="77777777" w:rsidR="009456AF" w:rsidRPr="000270C0" w:rsidRDefault="009456AF" w:rsidP="00611F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270C0">
              <w:rPr>
                <w:rFonts w:ascii="Times New Roman" w:hAnsi="Times New Roman" w:cs="Times New Roman"/>
                <w:sz w:val="24"/>
                <w:szCs w:val="24"/>
              </w:rPr>
              <w:t>Environmental sustainability index</w:t>
            </w:r>
          </w:p>
        </w:tc>
        <w:tc>
          <w:tcPr>
            <w:tcW w:w="3495" w:type="dxa"/>
            <w:tcBorders>
              <w:top w:val="nil"/>
              <w:bottom w:val="nil"/>
            </w:tcBorders>
          </w:tcPr>
          <w:p w14:paraId="0D05B6A3" w14:textId="77777777" w:rsidR="009456AF" w:rsidRPr="000270C0" w:rsidRDefault="009456AF" w:rsidP="00611F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270C0">
              <w:rPr>
                <w:rFonts w:ascii="Times New Roman" w:hAnsi="Times New Roman" w:cs="Times New Roman"/>
                <w:sz w:val="24"/>
                <w:szCs w:val="24"/>
              </w:rPr>
              <w:t>Environmental sustainability index</w:t>
            </w:r>
          </w:p>
        </w:tc>
        <w:tc>
          <w:tcPr>
            <w:tcW w:w="1577" w:type="dxa"/>
            <w:tcBorders>
              <w:top w:val="nil"/>
              <w:bottom w:val="nil"/>
            </w:tcBorders>
          </w:tcPr>
          <w:p w14:paraId="2F3C51F3" w14:textId="77777777" w:rsidR="009456AF" w:rsidRPr="000270C0" w:rsidRDefault="009456AF" w:rsidP="00611F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270C0">
              <w:rPr>
                <w:rFonts w:ascii="Times New Roman" w:eastAsia="Times New Roman" w:hAnsi="Times New Roman" w:cs="Times New Roman"/>
                <w:sz w:val="24"/>
                <w:szCs w:val="24"/>
              </w:rPr>
              <w:t>-</w:t>
            </w:r>
          </w:p>
        </w:tc>
      </w:tr>
      <w:tr w:rsidR="000270C0" w:rsidRPr="000270C0" w14:paraId="696EDF39" w14:textId="77777777" w:rsidTr="00611FC3">
        <w:tc>
          <w:tcPr>
            <w:cnfStyle w:val="001000000000" w:firstRow="0" w:lastRow="0" w:firstColumn="1" w:lastColumn="0" w:oddVBand="0" w:evenVBand="0" w:oddHBand="0" w:evenHBand="0" w:firstRowFirstColumn="0" w:firstRowLastColumn="0" w:lastRowFirstColumn="0" w:lastRowLastColumn="0"/>
            <w:tcW w:w="1573" w:type="dxa"/>
            <w:vMerge/>
            <w:tcBorders>
              <w:top w:val="nil"/>
              <w:bottom w:val="nil"/>
            </w:tcBorders>
            <w:hideMark/>
          </w:tcPr>
          <w:p w14:paraId="5629C0BF" w14:textId="77777777" w:rsidR="009456AF" w:rsidRPr="000270C0" w:rsidRDefault="009456AF" w:rsidP="00611FC3">
            <w:pPr>
              <w:spacing w:line="240" w:lineRule="auto"/>
              <w:rPr>
                <w:rFonts w:ascii="Times New Roman" w:eastAsia="Times New Roman" w:hAnsi="Times New Roman" w:cs="Times New Roman"/>
                <w:b w:val="0"/>
                <w:bCs w:val="0"/>
                <w:i/>
                <w:sz w:val="24"/>
                <w:szCs w:val="24"/>
              </w:rPr>
            </w:pPr>
          </w:p>
        </w:tc>
        <w:tc>
          <w:tcPr>
            <w:tcW w:w="2382" w:type="dxa"/>
            <w:tcBorders>
              <w:top w:val="nil"/>
              <w:bottom w:val="nil"/>
            </w:tcBorders>
          </w:tcPr>
          <w:p w14:paraId="1AD4412C" w14:textId="77777777" w:rsidR="009456AF" w:rsidRPr="000270C0" w:rsidRDefault="009456AF" w:rsidP="00611F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270C0">
              <w:rPr>
                <w:rFonts w:ascii="Times New Roman" w:hAnsi="Times New Roman" w:cs="Times New Roman"/>
                <w:sz w:val="24"/>
                <w:szCs w:val="24"/>
              </w:rPr>
              <w:t>Social sustainability index</w:t>
            </w:r>
          </w:p>
        </w:tc>
        <w:tc>
          <w:tcPr>
            <w:tcW w:w="3495" w:type="dxa"/>
            <w:tcBorders>
              <w:top w:val="nil"/>
              <w:bottom w:val="nil"/>
            </w:tcBorders>
          </w:tcPr>
          <w:p w14:paraId="5BD4EA08" w14:textId="77777777" w:rsidR="009456AF" w:rsidRPr="000270C0" w:rsidRDefault="009456AF" w:rsidP="00611F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270C0">
              <w:rPr>
                <w:rFonts w:ascii="Times New Roman" w:hAnsi="Times New Roman" w:cs="Times New Roman"/>
                <w:sz w:val="24"/>
                <w:szCs w:val="24"/>
              </w:rPr>
              <w:t>Social sustainability index</w:t>
            </w:r>
          </w:p>
        </w:tc>
        <w:tc>
          <w:tcPr>
            <w:tcW w:w="1577" w:type="dxa"/>
            <w:tcBorders>
              <w:top w:val="nil"/>
              <w:bottom w:val="nil"/>
            </w:tcBorders>
          </w:tcPr>
          <w:p w14:paraId="122325D4" w14:textId="77777777" w:rsidR="009456AF" w:rsidRPr="000270C0" w:rsidRDefault="009456AF" w:rsidP="00611FC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270C0">
              <w:rPr>
                <w:rFonts w:ascii="Times New Roman" w:eastAsia="Times New Roman" w:hAnsi="Times New Roman" w:cs="Times New Roman"/>
                <w:sz w:val="24"/>
                <w:szCs w:val="24"/>
              </w:rPr>
              <w:t>-</w:t>
            </w:r>
          </w:p>
        </w:tc>
      </w:tr>
      <w:tr w:rsidR="000270C0" w:rsidRPr="000270C0" w14:paraId="5F6CD878" w14:textId="77777777" w:rsidTr="00611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3" w:type="dxa"/>
            <w:vMerge/>
            <w:tcBorders>
              <w:top w:val="nil"/>
              <w:bottom w:val="nil"/>
            </w:tcBorders>
            <w:hideMark/>
          </w:tcPr>
          <w:p w14:paraId="5D768A29" w14:textId="77777777" w:rsidR="009456AF" w:rsidRPr="000270C0" w:rsidRDefault="009456AF" w:rsidP="00611FC3">
            <w:pPr>
              <w:spacing w:line="240" w:lineRule="auto"/>
              <w:rPr>
                <w:rFonts w:ascii="Times New Roman" w:eastAsia="Times New Roman" w:hAnsi="Times New Roman" w:cs="Times New Roman"/>
                <w:b w:val="0"/>
                <w:bCs w:val="0"/>
                <w:i/>
                <w:sz w:val="24"/>
                <w:szCs w:val="24"/>
              </w:rPr>
            </w:pPr>
          </w:p>
        </w:tc>
        <w:tc>
          <w:tcPr>
            <w:tcW w:w="2382" w:type="dxa"/>
            <w:tcBorders>
              <w:top w:val="nil"/>
              <w:bottom w:val="nil"/>
            </w:tcBorders>
          </w:tcPr>
          <w:p w14:paraId="279F3BC9" w14:textId="77777777" w:rsidR="009456AF" w:rsidRPr="000270C0" w:rsidRDefault="009456AF" w:rsidP="00611F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270C0">
              <w:rPr>
                <w:rFonts w:ascii="Times New Roman" w:hAnsi="Times New Roman" w:cs="Times New Roman"/>
                <w:sz w:val="24"/>
                <w:szCs w:val="24"/>
              </w:rPr>
              <w:t>Governance sustainability index</w:t>
            </w:r>
          </w:p>
        </w:tc>
        <w:tc>
          <w:tcPr>
            <w:tcW w:w="3495" w:type="dxa"/>
            <w:tcBorders>
              <w:top w:val="nil"/>
              <w:bottom w:val="nil"/>
            </w:tcBorders>
          </w:tcPr>
          <w:p w14:paraId="22C54F49" w14:textId="77777777" w:rsidR="009456AF" w:rsidRPr="000270C0" w:rsidRDefault="009456AF" w:rsidP="00611FC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270C0">
              <w:rPr>
                <w:rFonts w:ascii="Times New Roman" w:hAnsi="Times New Roman" w:cs="Times New Roman"/>
                <w:sz w:val="24"/>
                <w:szCs w:val="24"/>
              </w:rPr>
              <w:t>Governance sustainability index</w:t>
            </w:r>
          </w:p>
        </w:tc>
        <w:tc>
          <w:tcPr>
            <w:tcW w:w="1577" w:type="dxa"/>
            <w:tcBorders>
              <w:top w:val="nil"/>
              <w:bottom w:val="nil"/>
            </w:tcBorders>
          </w:tcPr>
          <w:p w14:paraId="067F5F04" w14:textId="77777777" w:rsidR="009456AF" w:rsidRPr="000270C0" w:rsidRDefault="009456AF" w:rsidP="00611F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0270C0">
              <w:rPr>
                <w:rFonts w:ascii="Times New Roman" w:hAnsi="Times New Roman" w:cs="Times New Roman"/>
                <w:sz w:val="24"/>
                <w:szCs w:val="24"/>
                <w:lang w:val="en-GB"/>
              </w:rPr>
              <w:t>-</w:t>
            </w:r>
          </w:p>
        </w:tc>
      </w:tr>
      <w:tr w:rsidR="000270C0" w:rsidRPr="000270C0" w14:paraId="0B625171" w14:textId="77777777" w:rsidTr="00611FC3">
        <w:trPr>
          <w:trHeight w:val="116"/>
        </w:trPr>
        <w:tc>
          <w:tcPr>
            <w:cnfStyle w:val="001000000000" w:firstRow="0" w:lastRow="0" w:firstColumn="1" w:lastColumn="0" w:oddVBand="0" w:evenVBand="0" w:oddHBand="0" w:evenHBand="0" w:firstRowFirstColumn="0" w:firstRowLastColumn="0" w:lastRowFirstColumn="0" w:lastRowLastColumn="0"/>
            <w:tcW w:w="1573" w:type="dxa"/>
            <w:tcBorders>
              <w:top w:val="nil"/>
              <w:bottom w:val="single" w:sz="4" w:space="0" w:color="auto"/>
            </w:tcBorders>
            <w:hideMark/>
          </w:tcPr>
          <w:p w14:paraId="6DB96063" w14:textId="77777777" w:rsidR="009456AF" w:rsidRPr="000270C0" w:rsidRDefault="009456AF" w:rsidP="00611FC3">
            <w:pPr>
              <w:spacing w:line="240" w:lineRule="auto"/>
              <w:jc w:val="both"/>
              <w:rPr>
                <w:rFonts w:ascii="Times New Roman" w:eastAsia="Times New Roman" w:hAnsi="Times New Roman" w:cs="Times New Roman"/>
                <w:b w:val="0"/>
                <w:bCs w:val="0"/>
                <w:i/>
                <w:sz w:val="24"/>
                <w:szCs w:val="24"/>
              </w:rPr>
            </w:pPr>
            <w:r w:rsidRPr="000270C0">
              <w:rPr>
                <w:rFonts w:ascii="Times New Roman" w:hAnsi="Times New Roman" w:cs="Times New Roman"/>
                <w:b w:val="0"/>
                <w:bCs w:val="0"/>
                <w:sz w:val="24"/>
                <w:szCs w:val="24"/>
              </w:rPr>
              <w:t>FDI Inflows</w:t>
            </w:r>
            <w:r w:rsidRPr="000270C0">
              <w:rPr>
                <w:rFonts w:ascii="Times New Roman" w:eastAsia="Times New Roman" w:hAnsi="Times New Roman" w:cs="Times New Roman"/>
                <w:b w:val="0"/>
                <w:bCs w:val="0"/>
                <w:i/>
                <w:sz w:val="24"/>
                <w:szCs w:val="24"/>
              </w:rPr>
              <w:t xml:space="preserve"> (dependent variable)</w:t>
            </w:r>
          </w:p>
        </w:tc>
        <w:tc>
          <w:tcPr>
            <w:tcW w:w="2382" w:type="dxa"/>
            <w:tcBorders>
              <w:top w:val="nil"/>
              <w:bottom w:val="single" w:sz="4" w:space="0" w:color="auto"/>
            </w:tcBorders>
            <w:hideMark/>
          </w:tcPr>
          <w:p w14:paraId="7BB3AC46" w14:textId="77777777" w:rsidR="009456AF" w:rsidRPr="000270C0" w:rsidRDefault="009456AF" w:rsidP="00611F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270C0">
              <w:rPr>
                <w:rFonts w:ascii="Times New Roman" w:hAnsi="Times New Roman" w:cs="Times New Roman"/>
                <w:sz w:val="24"/>
                <w:szCs w:val="24"/>
              </w:rPr>
              <w:t>Foreign Direct Investment (FDI) Inflows</w:t>
            </w:r>
          </w:p>
        </w:tc>
        <w:tc>
          <w:tcPr>
            <w:tcW w:w="3495" w:type="dxa"/>
            <w:tcBorders>
              <w:top w:val="nil"/>
              <w:bottom w:val="single" w:sz="4" w:space="0" w:color="auto"/>
            </w:tcBorders>
          </w:tcPr>
          <w:p w14:paraId="36E4F271" w14:textId="77777777" w:rsidR="009456AF" w:rsidRPr="000270C0" w:rsidRDefault="009456AF" w:rsidP="00611FC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270C0">
              <w:rPr>
                <w:rFonts w:ascii="Times New Roman" w:hAnsi="Times New Roman" w:cs="Times New Roman"/>
                <w:sz w:val="24"/>
                <w:szCs w:val="24"/>
              </w:rPr>
              <w:t>Foreign Direct Investment (FDI) Inflows</w:t>
            </w:r>
          </w:p>
        </w:tc>
        <w:tc>
          <w:tcPr>
            <w:tcW w:w="1577" w:type="dxa"/>
            <w:tcBorders>
              <w:top w:val="nil"/>
              <w:bottom w:val="single" w:sz="4" w:space="0" w:color="auto"/>
            </w:tcBorders>
          </w:tcPr>
          <w:p w14:paraId="08359A04" w14:textId="77777777" w:rsidR="009456AF" w:rsidRPr="000270C0" w:rsidRDefault="009456AF" w:rsidP="00611FC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bl>
    <w:p w14:paraId="55DB0230" w14:textId="77777777" w:rsidR="009456AF" w:rsidRPr="000270C0" w:rsidRDefault="009456AF" w:rsidP="009456AF">
      <w:pPr>
        <w:spacing w:after="0" w:line="480" w:lineRule="auto"/>
        <w:jc w:val="both"/>
        <w:rPr>
          <w:rFonts w:ascii="Times New Roman" w:eastAsia="Times New Roman" w:hAnsi="Times New Roman" w:cs="Times New Roman"/>
          <w:sz w:val="24"/>
          <w:szCs w:val="24"/>
        </w:rPr>
      </w:pPr>
      <w:r w:rsidRPr="000270C0">
        <w:rPr>
          <w:rFonts w:ascii="Times New Roman" w:eastAsia="Times New Roman" w:hAnsi="Times New Roman" w:cs="Times New Roman"/>
          <w:b/>
          <w:bCs/>
          <w:sz w:val="24"/>
          <w:szCs w:val="24"/>
        </w:rPr>
        <w:t>Source:</w:t>
      </w:r>
      <w:r w:rsidRPr="000270C0">
        <w:rPr>
          <w:rFonts w:ascii="Times New Roman" w:eastAsia="Times New Roman" w:hAnsi="Times New Roman" w:cs="Times New Roman"/>
          <w:sz w:val="24"/>
          <w:szCs w:val="24"/>
        </w:rPr>
        <w:t xml:space="preserve"> Author’s Compilation, 202</w:t>
      </w:r>
      <w:r w:rsidR="00611FC3" w:rsidRPr="000270C0">
        <w:rPr>
          <w:rFonts w:ascii="Times New Roman" w:eastAsia="Times New Roman" w:hAnsi="Times New Roman" w:cs="Times New Roman"/>
          <w:sz w:val="24"/>
          <w:szCs w:val="24"/>
        </w:rPr>
        <w:t>6</w:t>
      </w:r>
    </w:p>
    <w:p w14:paraId="4DEFD6BC" w14:textId="77777777" w:rsidR="009456AF" w:rsidRPr="000270C0" w:rsidRDefault="009456AF" w:rsidP="00611FC3">
      <w:pPr>
        <w:spacing w:after="0" w:line="240" w:lineRule="auto"/>
        <w:jc w:val="both"/>
        <w:rPr>
          <w:rFonts w:ascii="Times New Roman" w:eastAsia="Times New Roman" w:hAnsi="Times New Roman" w:cs="Times New Roman"/>
          <w:bCs/>
          <w:sz w:val="24"/>
          <w:szCs w:val="24"/>
        </w:rPr>
      </w:pPr>
      <w:r w:rsidRPr="000270C0">
        <w:rPr>
          <w:rFonts w:ascii="Times New Roman" w:eastAsia="Times New Roman" w:hAnsi="Times New Roman" w:cs="Times New Roman"/>
          <w:b/>
          <w:sz w:val="24"/>
          <w:szCs w:val="24"/>
        </w:rPr>
        <w:tab/>
      </w:r>
      <w:r w:rsidRPr="000270C0">
        <w:rPr>
          <w:rFonts w:ascii="Times New Roman" w:eastAsia="Times New Roman" w:hAnsi="Times New Roman" w:cs="Times New Roman"/>
          <w:bCs/>
          <w:sz w:val="24"/>
          <w:szCs w:val="24"/>
        </w:rPr>
        <w:t>The functional model is given:</w:t>
      </w:r>
    </w:p>
    <w:p w14:paraId="050DC856" w14:textId="77777777" w:rsidR="009456AF" w:rsidRPr="000270C0" w:rsidRDefault="009456AF" w:rsidP="00611FC3">
      <w:pPr>
        <w:spacing w:after="0" w:line="240" w:lineRule="auto"/>
        <w:jc w:val="both"/>
        <w:rPr>
          <w:rFonts w:ascii="Times New Roman" w:eastAsia="Times New Roman" w:hAnsi="Times New Roman" w:cs="Times New Roman"/>
          <w:bCs/>
          <w:sz w:val="24"/>
          <w:szCs w:val="24"/>
        </w:rPr>
      </w:pPr>
      <w:r w:rsidRPr="000270C0">
        <w:rPr>
          <w:rFonts w:ascii="Times New Roman" w:eastAsia="Times New Roman" w:hAnsi="Times New Roman" w:cs="Times New Roman"/>
          <w:bCs/>
          <w:sz w:val="24"/>
          <w:szCs w:val="24"/>
        </w:rPr>
        <w:t>FDI</w:t>
      </w:r>
      <w:r w:rsidRPr="000270C0">
        <w:rPr>
          <w:rFonts w:ascii="Times New Roman" w:eastAsia="Times New Roman" w:hAnsi="Times New Roman" w:cs="Times New Roman"/>
          <w:bCs/>
          <w:sz w:val="24"/>
          <w:szCs w:val="24"/>
        </w:rPr>
        <w:tab/>
        <w:t>=</w:t>
      </w:r>
      <w:r w:rsidRPr="000270C0">
        <w:rPr>
          <w:rFonts w:ascii="Times New Roman" w:eastAsia="Times New Roman" w:hAnsi="Times New Roman" w:cs="Times New Roman"/>
          <w:bCs/>
          <w:sz w:val="24"/>
          <w:szCs w:val="24"/>
        </w:rPr>
        <w:tab/>
        <w:t>f(ESI, SSI, GSI)</w:t>
      </w:r>
      <w:r w:rsidRPr="000270C0">
        <w:rPr>
          <w:rFonts w:ascii="Times New Roman" w:eastAsia="Times New Roman" w:hAnsi="Times New Roman" w:cs="Times New Roman"/>
          <w:bCs/>
          <w:sz w:val="24"/>
          <w:szCs w:val="24"/>
        </w:rPr>
        <w:tab/>
      </w:r>
      <w:r w:rsidRPr="000270C0">
        <w:rPr>
          <w:rFonts w:ascii="Times New Roman" w:eastAsia="Times New Roman" w:hAnsi="Times New Roman" w:cs="Times New Roman"/>
          <w:bCs/>
          <w:sz w:val="24"/>
          <w:szCs w:val="24"/>
        </w:rPr>
        <w:tab/>
      </w:r>
      <w:r w:rsidRPr="000270C0">
        <w:rPr>
          <w:rFonts w:ascii="Times New Roman" w:eastAsia="Times New Roman" w:hAnsi="Times New Roman" w:cs="Times New Roman"/>
          <w:bCs/>
          <w:sz w:val="24"/>
          <w:szCs w:val="24"/>
        </w:rPr>
        <w:tab/>
      </w:r>
      <w:r w:rsidRPr="000270C0">
        <w:rPr>
          <w:rFonts w:ascii="Times New Roman" w:eastAsia="Times New Roman" w:hAnsi="Times New Roman" w:cs="Times New Roman"/>
          <w:bCs/>
          <w:sz w:val="24"/>
          <w:szCs w:val="24"/>
        </w:rPr>
        <w:tab/>
      </w:r>
      <w:r w:rsidRPr="000270C0">
        <w:rPr>
          <w:rFonts w:ascii="Times New Roman" w:eastAsia="Times New Roman" w:hAnsi="Times New Roman" w:cs="Times New Roman"/>
          <w:bCs/>
          <w:sz w:val="24"/>
          <w:szCs w:val="24"/>
        </w:rPr>
        <w:tab/>
      </w:r>
      <w:r w:rsidRPr="000270C0">
        <w:rPr>
          <w:rFonts w:ascii="Times New Roman" w:eastAsia="Times New Roman" w:hAnsi="Times New Roman" w:cs="Times New Roman"/>
          <w:bCs/>
          <w:sz w:val="24"/>
          <w:szCs w:val="24"/>
        </w:rPr>
        <w:tab/>
        <w:t>Model 3.1</w:t>
      </w:r>
    </w:p>
    <w:p w14:paraId="7CCB3D24" w14:textId="77777777" w:rsidR="009456AF" w:rsidRPr="000270C0" w:rsidRDefault="009456AF" w:rsidP="00611FC3">
      <w:pPr>
        <w:spacing w:after="0"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Econometrically, the multiple linear regression models were employed, to put it another way. It is stated as:</w:t>
      </w:r>
    </w:p>
    <w:p w14:paraId="1BF58D3C" w14:textId="77777777" w:rsidR="009456AF" w:rsidRPr="000270C0" w:rsidRDefault="009456AF" w:rsidP="00611FC3">
      <w:pPr>
        <w:spacing w:after="0" w:line="240" w:lineRule="auto"/>
        <w:jc w:val="both"/>
        <w:rPr>
          <w:rFonts w:ascii="Times New Roman" w:eastAsia="Times New Roman" w:hAnsi="Times New Roman" w:cs="Times New Roman"/>
          <w:bCs/>
          <w:sz w:val="24"/>
          <w:szCs w:val="24"/>
        </w:rPr>
      </w:pPr>
      <w:bookmarkStart w:id="2" w:name="_Hlk217564664"/>
      <w:r w:rsidRPr="000270C0">
        <w:rPr>
          <w:rFonts w:ascii="Times New Roman" w:eastAsia="Times New Roman" w:hAnsi="Times New Roman" w:cs="Times New Roman"/>
          <w:bCs/>
          <w:sz w:val="24"/>
          <w:szCs w:val="24"/>
        </w:rPr>
        <w:t>FDI</w:t>
      </w:r>
      <w:r w:rsidRPr="000270C0">
        <w:rPr>
          <w:rFonts w:ascii="Times New Roman" w:eastAsia="Times New Roman" w:hAnsi="Times New Roman" w:cs="Times New Roman"/>
          <w:bCs/>
          <w:iCs/>
          <w:sz w:val="24"/>
          <w:szCs w:val="24"/>
          <w:vertAlign w:val="subscript"/>
        </w:rPr>
        <w:t xml:space="preserve"> t</w:t>
      </w:r>
      <w:r w:rsidRPr="000270C0">
        <w:rPr>
          <w:rFonts w:ascii="Times New Roman" w:eastAsia="Times New Roman" w:hAnsi="Times New Roman" w:cs="Times New Roman"/>
          <w:bCs/>
          <w:sz w:val="24"/>
          <w:szCs w:val="24"/>
        </w:rPr>
        <w:tab/>
      </w:r>
      <w:r w:rsidRPr="000270C0">
        <w:rPr>
          <w:rFonts w:ascii="Times New Roman" w:eastAsia="Times New Roman" w:hAnsi="Times New Roman" w:cs="Times New Roman"/>
          <w:bCs/>
          <w:sz w:val="24"/>
          <w:szCs w:val="24"/>
        </w:rPr>
        <w:tab/>
        <w:t>=</w:t>
      </w:r>
      <w:r w:rsidRPr="000270C0">
        <w:rPr>
          <w:rFonts w:ascii="Times New Roman" w:eastAsia="Times New Roman" w:hAnsi="Times New Roman" w:cs="Times New Roman"/>
          <w:bCs/>
          <w:sz w:val="24"/>
          <w:szCs w:val="24"/>
        </w:rPr>
        <w:tab/>
      </w:r>
      <w:r w:rsidRPr="000270C0">
        <w:rPr>
          <w:rFonts w:ascii="Times New Roman" w:eastAsia="Times New Roman" w:hAnsi="Times New Roman" w:cs="Times New Roman"/>
          <w:sz w:val="24"/>
          <w:szCs w:val="24"/>
        </w:rPr>
        <w:t>β</w:t>
      </w:r>
      <w:r w:rsidRPr="000270C0">
        <w:rPr>
          <w:rFonts w:ascii="Times New Roman" w:eastAsia="Times New Roman" w:hAnsi="Times New Roman" w:cs="Times New Roman"/>
          <w:sz w:val="24"/>
          <w:szCs w:val="24"/>
          <w:vertAlign w:val="subscript"/>
        </w:rPr>
        <w:t>0</w:t>
      </w:r>
      <w:r w:rsidRPr="000270C0">
        <w:rPr>
          <w:rFonts w:ascii="Times New Roman" w:eastAsia="Times New Roman" w:hAnsi="Times New Roman" w:cs="Times New Roman"/>
          <w:bCs/>
          <w:sz w:val="24"/>
          <w:szCs w:val="24"/>
        </w:rPr>
        <w:t xml:space="preserve"> + </w:t>
      </w:r>
      <w:r w:rsidRPr="000270C0">
        <w:rPr>
          <w:rFonts w:ascii="Times New Roman" w:eastAsia="Times New Roman" w:hAnsi="Times New Roman" w:cs="Times New Roman"/>
          <w:sz w:val="24"/>
          <w:szCs w:val="24"/>
        </w:rPr>
        <w:t>β</w:t>
      </w:r>
      <w:r w:rsidRPr="000270C0">
        <w:rPr>
          <w:rFonts w:ascii="Times New Roman" w:eastAsia="Times New Roman" w:hAnsi="Times New Roman" w:cs="Times New Roman"/>
          <w:sz w:val="24"/>
          <w:szCs w:val="24"/>
          <w:vertAlign w:val="subscript"/>
        </w:rPr>
        <w:t>1</w:t>
      </w:r>
      <w:r w:rsidRPr="000270C0">
        <w:rPr>
          <w:rFonts w:ascii="Times New Roman" w:eastAsia="Times New Roman" w:hAnsi="Times New Roman" w:cs="Times New Roman"/>
          <w:bCs/>
          <w:sz w:val="24"/>
          <w:szCs w:val="24"/>
          <w:vertAlign w:val="subscript"/>
        </w:rPr>
        <w:t xml:space="preserve"> </w:t>
      </w:r>
      <w:bookmarkStart w:id="3" w:name="_Hlk217485161"/>
      <w:r w:rsidRPr="000270C0">
        <w:rPr>
          <w:rFonts w:ascii="Times New Roman" w:eastAsia="Times New Roman" w:hAnsi="Times New Roman" w:cs="Times New Roman"/>
          <w:bCs/>
          <w:sz w:val="24"/>
          <w:szCs w:val="24"/>
        </w:rPr>
        <w:t xml:space="preserve">ESI </w:t>
      </w:r>
      <w:r w:rsidRPr="000270C0">
        <w:rPr>
          <w:rFonts w:ascii="Times New Roman" w:eastAsia="Times New Roman" w:hAnsi="Times New Roman" w:cs="Times New Roman"/>
          <w:bCs/>
          <w:iCs/>
          <w:sz w:val="24"/>
          <w:szCs w:val="24"/>
          <w:vertAlign w:val="subscript"/>
        </w:rPr>
        <w:t>t</w:t>
      </w:r>
      <w:r w:rsidRPr="000270C0">
        <w:rPr>
          <w:rFonts w:ascii="Times New Roman" w:eastAsia="Times New Roman" w:hAnsi="Times New Roman" w:cs="Times New Roman"/>
          <w:bCs/>
          <w:sz w:val="24"/>
          <w:szCs w:val="24"/>
        </w:rPr>
        <w:t xml:space="preserve"> </w:t>
      </w:r>
      <w:bookmarkEnd w:id="3"/>
      <w:r w:rsidRPr="000270C0">
        <w:rPr>
          <w:rFonts w:ascii="Times New Roman" w:eastAsia="Times New Roman" w:hAnsi="Times New Roman" w:cs="Times New Roman"/>
          <w:bCs/>
          <w:sz w:val="24"/>
          <w:szCs w:val="24"/>
        </w:rPr>
        <w:t xml:space="preserve">+ </w:t>
      </w:r>
      <w:r w:rsidRPr="000270C0">
        <w:rPr>
          <w:rFonts w:ascii="Times New Roman" w:eastAsia="Times New Roman" w:hAnsi="Times New Roman" w:cs="Times New Roman"/>
          <w:sz w:val="24"/>
          <w:szCs w:val="24"/>
        </w:rPr>
        <w:t>β</w:t>
      </w:r>
      <w:r w:rsidRPr="000270C0">
        <w:rPr>
          <w:rFonts w:ascii="Times New Roman" w:eastAsia="Times New Roman" w:hAnsi="Times New Roman" w:cs="Times New Roman"/>
          <w:sz w:val="24"/>
          <w:szCs w:val="24"/>
          <w:vertAlign w:val="subscript"/>
        </w:rPr>
        <w:t>2</w:t>
      </w:r>
      <w:r w:rsidRPr="000270C0">
        <w:rPr>
          <w:rFonts w:ascii="Times New Roman" w:eastAsia="Times New Roman" w:hAnsi="Times New Roman" w:cs="Times New Roman"/>
          <w:bCs/>
          <w:sz w:val="24"/>
          <w:szCs w:val="24"/>
          <w:vertAlign w:val="subscript"/>
        </w:rPr>
        <w:t xml:space="preserve"> </w:t>
      </w:r>
      <w:r w:rsidRPr="000270C0">
        <w:rPr>
          <w:rFonts w:ascii="Times New Roman" w:eastAsia="Times New Roman" w:hAnsi="Times New Roman" w:cs="Times New Roman"/>
          <w:bCs/>
          <w:sz w:val="24"/>
          <w:szCs w:val="24"/>
        </w:rPr>
        <w:t xml:space="preserve">SSI </w:t>
      </w:r>
      <w:r w:rsidRPr="000270C0">
        <w:rPr>
          <w:rFonts w:ascii="Times New Roman" w:eastAsia="Times New Roman" w:hAnsi="Times New Roman" w:cs="Times New Roman"/>
          <w:bCs/>
          <w:iCs/>
          <w:sz w:val="24"/>
          <w:szCs w:val="24"/>
          <w:vertAlign w:val="subscript"/>
        </w:rPr>
        <w:t>t</w:t>
      </w:r>
      <w:r w:rsidRPr="000270C0">
        <w:rPr>
          <w:rFonts w:ascii="Times New Roman" w:eastAsia="Times New Roman" w:hAnsi="Times New Roman" w:cs="Times New Roman"/>
          <w:bCs/>
          <w:sz w:val="24"/>
          <w:szCs w:val="24"/>
        </w:rPr>
        <w:t xml:space="preserve"> + </w:t>
      </w:r>
      <w:r w:rsidRPr="000270C0">
        <w:rPr>
          <w:rFonts w:ascii="Times New Roman" w:eastAsia="Times New Roman" w:hAnsi="Times New Roman" w:cs="Times New Roman"/>
          <w:sz w:val="24"/>
          <w:szCs w:val="24"/>
        </w:rPr>
        <w:t>β</w:t>
      </w:r>
      <w:r w:rsidRPr="000270C0">
        <w:rPr>
          <w:rFonts w:ascii="Times New Roman" w:eastAsia="Times New Roman" w:hAnsi="Times New Roman" w:cs="Times New Roman"/>
          <w:sz w:val="24"/>
          <w:szCs w:val="24"/>
          <w:vertAlign w:val="subscript"/>
        </w:rPr>
        <w:t>3</w:t>
      </w:r>
      <w:r w:rsidRPr="000270C0">
        <w:rPr>
          <w:rFonts w:ascii="Times New Roman" w:eastAsia="Times New Roman" w:hAnsi="Times New Roman" w:cs="Times New Roman"/>
          <w:bCs/>
          <w:sz w:val="24"/>
          <w:szCs w:val="24"/>
          <w:vertAlign w:val="subscript"/>
        </w:rPr>
        <w:t xml:space="preserve"> </w:t>
      </w:r>
      <w:r w:rsidRPr="000270C0">
        <w:rPr>
          <w:rFonts w:ascii="Times New Roman" w:eastAsia="Times New Roman" w:hAnsi="Times New Roman" w:cs="Times New Roman"/>
          <w:bCs/>
          <w:sz w:val="24"/>
          <w:szCs w:val="24"/>
        </w:rPr>
        <w:t xml:space="preserve">GSI </w:t>
      </w:r>
      <w:r w:rsidRPr="000270C0">
        <w:rPr>
          <w:rFonts w:ascii="Times New Roman" w:eastAsia="Times New Roman" w:hAnsi="Times New Roman" w:cs="Times New Roman"/>
          <w:bCs/>
          <w:iCs/>
          <w:sz w:val="24"/>
          <w:szCs w:val="24"/>
          <w:vertAlign w:val="subscript"/>
        </w:rPr>
        <w:t>t</w:t>
      </w:r>
      <w:r w:rsidRPr="000270C0">
        <w:rPr>
          <w:rFonts w:ascii="Times New Roman" w:eastAsia="Times New Roman" w:hAnsi="Times New Roman" w:cs="Times New Roman"/>
          <w:bCs/>
          <w:sz w:val="24"/>
          <w:szCs w:val="24"/>
        </w:rPr>
        <w:t xml:space="preserve"> + </w:t>
      </w:r>
      <w:r w:rsidRPr="000270C0">
        <w:rPr>
          <w:rFonts w:ascii="Times New Roman" w:eastAsia="Times New Roman" w:hAnsi="Times New Roman" w:cs="Times New Roman"/>
          <w:i/>
          <w:sz w:val="24"/>
          <w:szCs w:val="24"/>
        </w:rPr>
        <w:t>µ</w:t>
      </w:r>
      <w:bookmarkEnd w:id="2"/>
      <w:r w:rsidRPr="000270C0">
        <w:rPr>
          <w:rFonts w:ascii="Times New Roman" w:eastAsia="Times New Roman" w:hAnsi="Times New Roman" w:cs="Times New Roman"/>
          <w:bCs/>
          <w:sz w:val="24"/>
          <w:szCs w:val="24"/>
        </w:rPr>
        <w:tab/>
      </w:r>
      <w:r w:rsidRPr="000270C0">
        <w:rPr>
          <w:rFonts w:ascii="Times New Roman" w:eastAsia="Times New Roman" w:hAnsi="Times New Roman" w:cs="Times New Roman"/>
          <w:bCs/>
          <w:sz w:val="24"/>
          <w:szCs w:val="24"/>
        </w:rPr>
        <w:tab/>
      </w:r>
      <w:r w:rsidRPr="000270C0">
        <w:rPr>
          <w:rFonts w:ascii="Times New Roman" w:eastAsia="Times New Roman" w:hAnsi="Times New Roman" w:cs="Times New Roman"/>
          <w:bCs/>
          <w:sz w:val="24"/>
          <w:szCs w:val="24"/>
        </w:rPr>
        <w:tab/>
        <w:t>Equation 3.1</w:t>
      </w:r>
    </w:p>
    <w:p w14:paraId="3637F3B7" w14:textId="77777777" w:rsidR="009456AF" w:rsidRPr="000270C0" w:rsidRDefault="009456AF" w:rsidP="00611FC3">
      <w:pPr>
        <w:spacing w:after="0" w:line="240" w:lineRule="auto"/>
        <w:jc w:val="both"/>
        <w:rPr>
          <w:rFonts w:ascii="Times New Roman" w:eastAsia="Times New Roman" w:hAnsi="Times New Roman" w:cs="Times New Roman"/>
          <w:i/>
          <w:sz w:val="24"/>
          <w:szCs w:val="24"/>
        </w:rPr>
      </w:pPr>
      <w:r w:rsidRPr="000270C0">
        <w:rPr>
          <w:rFonts w:ascii="Times New Roman" w:eastAsia="Times New Roman" w:hAnsi="Times New Roman" w:cs="Times New Roman"/>
          <w:i/>
          <w:sz w:val="24"/>
          <w:szCs w:val="24"/>
        </w:rPr>
        <w:t xml:space="preserve">Where; </w:t>
      </w:r>
    </w:p>
    <w:p w14:paraId="1B8D80CF" w14:textId="77777777" w:rsidR="009456AF" w:rsidRPr="000270C0" w:rsidRDefault="009456AF" w:rsidP="00611FC3">
      <w:pPr>
        <w:spacing w:after="0" w:line="240" w:lineRule="auto"/>
        <w:jc w:val="both"/>
        <w:rPr>
          <w:rFonts w:ascii="Times New Roman" w:eastAsia="Times New Roman" w:hAnsi="Times New Roman" w:cs="Times New Roman"/>
          <w:bCs/>
          <w:sz w:val="24"/>
          <w:szCs w:val="24"/>
          <w:vertAlign w:val="subscript"/>
        </w:rPr>
      </w:pPr>
      <w:r w:rsidRPr="000270C0">
        <w:rPr>
          <w:rFonts w:ascii="Times New Roman" w:eastAsia="Times New Roman" w:hAnsi="Times New Roman" w:cs="Times New Roman"/>
          <w:bCs/>
          <w:sz w:val="24"/>
          <w:szCs w:val="24"/>
        </w:rPr>
        <w:t>FDI</w:t>
      </w:r>
      <w:r w:rsidRPr="000270C0">
        <w:rPr>
          <w:rFonts w:ascii="Times New Roman" w:eastAsia="Times New Roman" w:hAnsi="Times New Roman" w:cs="Times New Roman"/>
          <w:bCs/>
          <w:iCs/>
          <w:sz w:val="24"/>
          <w:szCs w:val="24"/>
          <w:vertAlign w:val="subscript"/>
        </w:rPr>
        <w:t xml:space="preserve"> t</w:t>
      </w:r>
      <w:r w:rsidRPr="000270C0">
        <w:rPr>
          <w:rFonts w:ascii="Times New Roman" w:eastAsia="Times New Roman" w:hAnsi="Times New Roman" w:cs="Times New Roman"/>
          <w:sz w:val="24"/>
          <w:szCs w:val="24"/>
        </w:rPr>
        <w:tab/>
      </w:r>
      <w:r w:rsidRPr="000270C0">
        <w:rPr>
          <w:rFonts w:ascii="Times New Roman" w:eastAsia="Times New Roman" w:hAnsi="Times New Roman" w:cs="Times New Roman"/>
          <w:sz w:val="24"/>
          <w:szCs w:val="24"/>
        </w:rPr>
        <w:tab/>
        <w:t>=</w:t>
      </w:r>
      <w:r w:rsidRPr="000270C0">
        <w:rPr>
          <w:rFonts w:ascii="Times New Roman" w:eastAsia="Times New Roman" w:hAnsi="Times New Roman" w:cs="Times New Roman"/>
          <w:sz w:val="24"/>
          <w:szCs w:val="24"/>
        </w:rPr>
        <w:tab/>
      </w:r>
      <w:bookmarkStart w:id="4" w:name="_Hlk217485130"/>
      <w:r w:rsidRPr="000270C0">
        <w:rPr>
          <w:rFonts w:ascii="Times New Roman" w:hAnsi="Times New Roman" w:cs="Times New Roman"/>
          <w:sz w:val="24"/>
          <w:szCs w:val="24"/>
        </w:rPr>
        <w:t>Foreign Direct Investment Inflows</w:t>
      </w:r>
      <w:r w:rsidRPr="000270C0">
        <w:rPr>
          <w:rFonts w:ascii="Times New Roman" w:eastAsia="Times New Roman" w:hAnsi="Times New Roman" w:cs="Times New Roman"/>
          <w:bCs/>
          <w:sz w:val="24"/>
          <w:szCs w:val="24"/>
        </w:rPr>
        <w:t xml:space="preserve"> in period </w:t>
      </w:r>
      <w:r w:rsidRPr="000270C0">
        <w:rPr>
          <w:rFonts w:ascii="Times New Roman" w:eastAsia="Times New Roman" w:hAnsi="Times New Roman" w:cs="Times New Roman"/>
          <w:bCs/>
          <w:i/>
          <w:sz w:val="24"/>
          <w:szCs w:val="24"/>
        </w:rPr>
        <w:t>t</w:t>
      </w:r>
    </w:p>
    <w:bookmarkEnd w:id="4"/>
    <w:p w14:paraId="1E934A10" w14:textId="77777777" w:rsidR="009456AF" w:rsidRPr="000270C0" w:rsidRDefault="009456AF" w:rsidP="00611FC3">
      <w:pPr>
        <w:spacing w:after="0" w:line="240" w:lineRule="auto"/>
        <w:jc w:val="both"/>
        <w:rPr>
          <w:rFonts w:ascii="Times New Roman" w:eastAsia="Times New Roman" w:hAnsi="Times New Roman" w:cs="Times New Roman"/>
          <w:bCs/>
          <w:sz w:val="24"/>
          <w:szCs w:val="24"/>
          <w:vertAlign w:val="subscript"/>
        </w:rPr>
      </w:pPr>
      <w:r w:rsidRPr="000270C0">
        <w:rPr>
          <w:rFonts w:ascii="Times New Roman" w:eastAsia="Times New Roman" w:hAnsi="Times New Roman" w:cs="Times New Roman"/>
          <w:bCs/>
          <w:iCs/>
          <w:sz w:val="24"/>
          <w:szCs w:val="24"/>
        </w:rPr>
        <w:t>ESI</w:t>
      </w:r>
      <w:r w:rsidRPr="000270C0">
        <w:rPr>
          <w:rFonts w:ascii="Times New Roman" w:eastAsia="Times New Roman" w:hAnsi="Times New Roman" w:cs="Times New Roman"/>
          <w:bCs/>
          <w:iCs/>
          <w:sz w:val="24"/>
          <w:szCs w:val="24"/>
          <w:vertAlign w:val="subscript"/>
        </w:rPr>
        <w:t xml:space="preserve"> t</w:t>
      </w:r>
      <w:r w:rsidRPr="000270C0">
        <w:rPr>
          <w:rFonts w:ascii="Times New Roman" w:eastAsia="Times New Roman" w:hAnsi="Times New Roman" w:cs="Times New Roman"/>
          <w:bCs/>
          <w:iCs/>
          <w:sz w:val="24"/>
          <w:szCs w:val="24"/>
        </w:rPr>
        <w:tab/>
      </w:r>
      <w:r w:rsidRPr="000270C0">
        <w:rPr>
          <w:rFonts w:ascii="Times New Roman" w:eastAsia="Times New Roman" w:hAnsi="Times New Roman" w:cs="Times New Roman"/>
          <w:bCs/>
          <w:iCs/>
          <w:sz w:val="24"/>
          <w:szCs w:val="24"/>
        </w:rPr>
        <w:tab/>
        <w:t>=</w:t>
      </w:r>
      <w:r w:rsidRPr="000270C0">
        <w:rPr>
          <w:rFonts w:ascii="Times New Roman" w:eastAsia="Times New Roman" w:hAnsi="Times New Roman" w:cs="Times New Roman"/>
          <w:bCs/>
          <w:iCs/>
          <w:sz w:val="24"/>
          <w:szCs w:val="24"/>
        </w:rPr>
        <w:tab/>
      </w:r>
      <w:r w:rsidRPr="000270C0">
        <w:rPr>
          <w:rFonts w:ascii="Times New Roman" w:hAnsi="Times New Roman" w:cs="Times New Roman"/>
          <w:sz w:val="24"/>
          <w:szCs w:val="24"/>
        </w:rPr>
        <w:t>Environmental Sustainability Index</w:t>
      </w:r>
      <w:r w:rsidRPr="000270C0">
        <w:rPr>
          <w:rFonts w:ascii="Times New Roman" w:eastAsia="Times New Roman" w:hAnsi="Times New Roman" w:cs="Times New Roman"/>
          <w:bCs/>
          <w:sz w:val="24"/>
          <w:szCs w:val="24"/>
        </w:rPr>
        <w:t xml:space="preserve"> in period </w:t>
      </w:r>
      <w:r w:rsidRPr="000270C0">
        <w:rPr>
          <w:rFonts w:ascii="Times New Roman" w:eastAsia="Times New Roman" w:hAnsi="Times New Roman" w:cs="Times New Roman"/>
          <w:bCs/>
          <w:i/>
          <w:sz w:val="24"/>
          <w:szCs w:val="24"/>
        </w:rPr>
        <w:t>t</w:t>
      </w:r>
    </w:p>
    <w:p w14:paraId="138CF885" w14:textId="77777777" w:rsidR="009456AF" w:rsidRPr="000270C0" w:rsidRDefault="009456AF" w:rsidP="00611FC3">
      <w:pPr>
        <w:spacing w:after="0" w:line="240" w:lineRule="auto"/>
        <w:jc w:val="both"/>
        <w:rPr>
          <w:rFonts w:ascii="Times New Roman" w:eastAsia="Times New Roman" w:hAnsi="Times New Roman" w:cs="Times New Roman"/>
          <w:bCs/>
          <w:sz w:val="24"/>
          <w:szCs w:val="24"/>
          <w:vertAlign w:val="subscript"/>
        </w:rPr>
      </w:pPr>
      <w:r w:rsidRPr="000270C0">
        <w:rPr>
          <w:rFonts w:ascii="Times New Roman" w:eastAsia="Times New Roman" w:hAnsi="Times New Roman" w:cs="Times New Roman"/>
          <w:bCs/>
          <w:iCs/>
          <w:sz w:val="24"/>
          <w:szCs w:val="24"/>
        </w:rPr>
        <w:t>SSI</w:t>
      </w:r>
      <w:r w:rsidRPr="000270C0">
        <w:rPr>
          <w:rFonts w:ascii="Times New Roman" w:eastAsia="Times New Roman" w:hAnsi="Times New Roman" w:cs="Times New Roman"/>
          <w:bCs/>
          <w:iCs/>
          <w:sz w:val="24"/>
          <w:szCs w:val="24"/>
          <w:vertAlign w:val="subscript"/>
        </w:rPr>
        <w:t xml:space="preserve"> t</w:t>
      </w:r>
      <w:r w:rsidRPr="000270C0">
        <w:rPr>
          <w:rFonts w:ascii="Times New Roman" w:eastAsia="Times New Roman" w:hAnsi="Times New Roman" w:cs="Times New Roman"/>
          <w:bCs/>
          <w:iCs/>
          <w:sz w:val="24"/>
          <w:szCs w:val="24"/>
        </w:rPr>
        <w:tab/>
      </w:r>
      <w:r w:rsidRPr="000270C0">
        <w:rPr>
          <w:rFonts w:ascii="Times New Roman" w:eastAsia="Times New Roman" w:hAnsi="Times New Roman" w:cs="Times New Roman"/>
          <w:bCs/>
          <w:iCs/>
          <w:sz w:val="24"/>
          <w:szCs w:val="24"/>
        </w:rPr>
        <w:tab/>
        <w:t>=</w:t>
      </w:r>
      <w:r w:rsidRPr="000270C0">
        <w:rPr>
          <w:rFonts w:ascii="Times New Roman" w:eastAsia="Times New Roman" w:hAnsi="Times New Roman" w:cs="Times New Roman"/>
          <w:bCs/>
          <w:iCs/>
          <w:sz w:val="24"/>
          <w:szCs w:val="24"/>
        </w:rPr>
        <w:tab/>
      </w:r>
      <w:r w:rsidRPr="000270C0">
        <w:rPr>
          <w:rFonts w:ascii="Times New Roman" w:hAnsi="Times New Roman" w:cs="Times New Roman"/>
          <w:sz w:val="24"/>
          <w:szCs w:val="24"/>
        </w:rPr>
        <w:t xml:space="preserve">Social Sustainability Index </w:t>
      </w:r>
      <w:r w:rsidRPr="000270C0">
        <w:rPr>
          <w:rFonts w:ascii="Times New Roman" w:eastAsia="Times New Roman" w:hAnsi="Times New Roman" w:cs="Times New Roman"/>
          <w:bCs/>
          <w:sz w:val="24"/>
          <w:szCs w:val="24"/>
        </w:rPr>
        <w:t xml:space="preserve">in period </w:t>
      </w:r>
      <w:r w:rsidRPr="000270C0">
        <w:rPr>
          <w:rFonts w:ascii="Times New Roman" w:eastAsia="Times New Roman" w:hAnsi="Times New Roman" w:cs="Times New Roman"/>
          <w:bCs/>
          <w:i/>
          <w:sz w:val="24"/>
          <w:szCs w:val="24"/>
        </w:rPr>
        <w:t>t</w:t>
      </w:r>
    </w:p>
    <w:p w14:paraId="2226BC58" w14:textId="77777777" w:rsidR="009456AF" w:rsidRPr="000270C0" w:rsidRDefault="009456AF" w:rsidP="00611FC3">
      <w:pPr>
        <w:spacing w:after="0" w:line="240" w:lineRule="auto"/>
        <w:jc w:val="both"/>
        <w:rPr>
          <w:rFonts w:ascii="Times New Roman" w:eastAsia="Times New Roman" w:hAnsi="Times New Roman" w:cs="Times New Roman"/>
          <w:bCs/>
          <w:sz w:val="24"/>
          <w:szCs w:val="24"/>
          <w:vertAlign w:val="subscript"/>
        </w:rPr>
      </w:pPr>
      <w:r w:rsidRPr="000270C0">
        <w:rPr>
          <w:rFonts w:ascii="Times New Roman" w:hAnsi="Times New Roman" w:cs="Times New Roman"/>
          <w:sz w:val="24"/>
          <w:szCs w:val="24"/>
        </w:rPr>
        <w:t>GSI</w:t>
      </w:r>
      <w:r w:rsidRPr="000270C0">
        <w:rPr>
          <w:rFonts w:ascii="Times New Roman" w:eastAsia="Times New Roman" w:hAnsi="Times New Roman" w:cs="Times New Roman"/>
          <w:bCs/>
          <w:iCs/>
          <w:sz w:val="24"/>
          <w:szCs w:val="24"/>
          <w:vertAlign w:val="subscript"/>
        </w:rPr>
        <w:t xml:space="preserve"> t</w:t>
      </w:r>
      <w:r w:rsidRPr="000270C0">
        <w:rPr>
          <w:rFonts w:ascii="Times New Roman" w:hAnsi="Times New Roman" w:cs="Times New Roman"/>
          <w:sz w:val="24"/>
          <w:szCs w:val="24"/>
        </w:rPr>
        <w:tab/>
      </w:r>
      <w:r w:rsidRPr="000270C0">
        <w:rPr>
          <w:rFonts w:ascii="Times New Roman" w:hAnsi="Times New Roman" w:cs="Times New Roman"/>
          <w:sz w:val="24"/>
          <w:szCs w:val="24"/>
        </w:rPr>
        <w:tab/>
        <w:t>=</w:t>
      </w:r>
      <w:r w:rsidRPr="000270C0">
        <w:rPr>
          <w:rFonts w:ascii="Times New Roman" w:hAnsi="Times New Roman" w:cs="Times New Roman"/>
          <w:sz w:val="24"/>
          <w:szCs w:val="24"/>
        </w:rPr>
        <w:tab/>
        <w:t xml:space="preserve">Governance Sustainability Index </w:t>
      </w:r>
      <w:r w:rsidRPr="000270C0">
        <w:rPr>
          <w:rFonts w:ascii="Times New Roman" w:eastAsia="Times New Roman" w:hAnsi="Times New Roman" w:cs="Times New Roman"/>
          <w:bCs/>
          <w:sz w:val="24"/>
          <w:szCs w:val="24"/>
        </w:rPr>
        <w:t xml:space="preserve">in period </w:t>
      </w:r>
      <w:r w:rsidRPr="000270C0">
        <w:rPr>
          <w:rFonts w:ascii="Times New Roman" w:eastAsia="Times New Roman" w:hAnsi="Times New Roman" w:cs="Times New Roman"/>
          <w:bCs/>
          <w:i/>
          <w:sz w:val="24"/>
          <w:szCs w:val="24"/>
        </w:rPr>
        <w:t>t</w:t>
      </w:r>
    </w:p>
    <w:p w14:paraId="43142E05" w14:textId="77777777" w:rsidR="009456AF" w:rsidRPr="000270C0" w:rsidRDefault="009456AF" w:rsidP="00611FC3">
      <w:pPr>
        <w:spacing w:after="0" w:line="240" w:lineRule="auto"/>
        <w:jc w:val="both"/>
        <w:rPr>
          <w:rFonts w:ascii="Times New Roman" w:eastAsia="Times New Roman" w:hAnsi="Times New Roman" w:cs="Times New Roman"/>
          <w:bCs/>
          <w:sz w:val="24"/>
          <w:szCs w:val="24"/>
          <w:vertAlign w:val="subscript"/>
        </w:rPr>
      </w:pPr>
      <w:r w:rsidRPr="000270C0">
        <w:rPr>
          <w:rFonts w:ascii="Times New Roman" w:eastAsia="Times New Roman" w:hAnsi="Times New Roman" w:cs="Times New Roman"/>
          <w:sz w:val="24"/>
          <w:szCs w:val="24"/>
        </w:rPr>
        <w:t>β</w:t>
      </w:r>
      <w:r w:rsidRPr="000270C0">
        <w:rPr>
          <w:rFonts w:ascii="Times New Roman" w:eastAsia="Times New Roman" w:hAnsi="Times New Roman" w:cs="Times New Roman"/>
          <w:sz w:val="24"/>
          <w:szCs w:val="24"/>
          <w:vertAlign w:val="subscript"/>
        </w:rPr>
        <w:t>0</w:t>
      </w:r>
      <w:r w:rsidRPr="000270C0">
        <w:rPr>
          <w:rFonts w:ascii="Times New Roman" w:eastAsia="Times New Roman" w:hAnsi="Times New Roman" w:cs="Times New Roman"/>
          <w:sz w:val="24"/>
          <w:szCs w:val="24"/>
        </w:rPr>
        <w:tab/>
      </w:r>
      <w:r w:rsidRPr="000270C0">
        <w:rPr>
          <w:rFonts w:ascii="Times New Roman" w:eastAsia="Times New Roman" w:hAnsi="Times New Roman" w:cs="Times New Roman"/>
          <w:sz w:val="24"/>
          <w:szCs w:val="24"/>
        </w:rPr>
        <w:tab/>
        <w:t>=</w:t>
      </w:r>
      <w:r w:rsidRPr="000270C0">
        <w:rPr>
          <w:rFonts w:ascii="Times New Roman" w:eastAsia="Times New Roman" w:hAnsi="Times New Roman" w:cs="Times New Roman"/>
          <w:sz w:val="24"/>
          <w:szCs w:val="24"/>
        </w:rPr>
        <w:tab/>
        <w:t xml:space="preserve">Intercept or regression constant </w:t>
      </w:r>
      <w:r w:rsidRPr="000270C0">
        <w:rPr>
          <w:rFonts w:ascii="Times New Roman" w:eastAsia="Times New Roman" w:hAnsi="Times New Roman" w:cs="Times New Roman"/>
          <w:bCs/>
          <w:sz w:val="24"/>
          <w:szCs w:val="24"/>
        </w:rPr>
        <w:t xml:space="preserve">in period </w:t>
      </w:r>
      <w:r w:rsidRPr="000270C0">
        <w:rPr>
          <w:rFonts w:ascii="Times New Roman" w:eastAsia="Times New Roman" w:hAnsi="Times New Roman" w:cs="Times New Roman"/>
          <w:bCs/>
          <w:i/>
          <w:sz w:val="24"/>
          <w:szCs w:val="24"/>
        </w:rPr>
        <w:t>t</w:t>
      </w:r>
    </w:p>
    <w:p w14:paraId="78365C8A" w14:textId="77777777" w:rsidR="009456AF" w:rsidRPr="000270C0" w:rsidRDefault="009456AF" w:rsidP="00611FC3">
      <w:pPr>
        <w:spacing w:after="0" w:line="240" w:lineRule="auto"/>
        <w:jc w:val="both"/>
        <w:rPr>
          <w:rFonts w:ascii="Times New Roman" w:eastAsia="Times New Roman" w:hAnsi="Times New Roman" w:cs="Times New Roman"/>
          <w:sz w:val="24"/>
          <w:szCs w:val="24"/>
        </w:rPr>
      </w:pPr>
      <w:r w:rsidRPr="000270C0">
        <w:rPr>
          <w:rFonts w:ascii="Times New Roman" w:eastAsia="Times New Roman" w:hAnsi="Times New Roman" w:cs="Times New Roman"/>
          <w:sz w:val="24"/>
          <w:szCs w:val="24"/>
        </w:rPr>
        <w:t>β</w:t>
      </w:r>
      <w:r w:rsidRPr="000270C0">
        <w:rPr>
          <w:rFonts w:ascii="Times New Roman" w:eastAsia="Times New Roman" w:hAnsi="Times New Roman" w:cs="Times New Roman"/>
          <w:sz w:val="24"/>
          <w:szCs w:val="24"/>
          <w:vertAlign w:val="subscript"/>
        </w:rPr>
        <w:t xml:space="preserve">1 </w:t>
      </w:r>
      <w:r w:rsidRPr="000270C0">
        <w:rPr>
          <w:rFonts w:ascii="Times New Roman" w:eastAsia="Times New Roman" w:hAnsi="Times New Roman" w:cs="Times New Roman"/>
          <w:sz w:val="24"/>
          <w:szCs w:val="24"/>
        </w:rPr>
        <w:t>– β</w:t>
      </w:r>
      <w:r w:rsidRPr="000270C0">
        <w:rPr>
          <w:rFonts w:ascii="Times New Roman" w:eastAsia="Times New Roman" w:hAnsi="Times New Roman" w:cs="Times New Roman"/>
          <w:sz w:val="24"/>
          <w:szCs w:val="24"/>
          <w:vertAlign w:val="subscript"/>
        </w:rPr>
        <w:t>3</w:t>
      </w:r>
      <w:r w:rsidRPr="000270C0">
        <w:rPr>
          <w:rFonts w:ascii="Times New Roman" w:eastAsia="Times New Roman" w:hAnsi="Times New Roman" w:cs="Times New Roman"/>
          <w:sz w:val="24"/>
          <w:szCs w:val="24"/>
        </w:rPr>
        <w:tab/>
      </w:r>
      <w:r w:rsidRPr="000270C0">
        <w:rPr>
          <w:rFonts w:ascii="Times New Roman" w:eastAsia="Times New Roman" w:hAnsi="Times New Roman" w:cs="Times New Roman"/>
          <w:sz w:val="24"/>
          <w:szCs w:val="24"/>
        </w:rPr>
        <w:tab/>
        <w:t>=</w:t>
      </w:r>
      <w:r w:rsidRPr="000270C0">
        <w:rPr>
          <w:rFonts w:ascii="Times New Roman" w:eastAsia="Times New Roman" w:hAnsi="Times New Roman" w:cs="Times New Roman"/>
          <w:sz w:val="24"/>
          <w:szCs w:val="24"/>
        </w:rPr>
        <w:tab/>
        <w:t xml:space="preserve">Regression coefficients to be estimated </w:t>
      </w:r>
    </w:p>
    <w:p w14:paraId="58891B75" w14:textId="77777777" w:rsidR="009456AF" w:rsidRPr="000270C0" w:rsidRDefault="009456AF" w:rsidP="00CD466C">
      <w:pPr>
        <w:spacing w:line="240" w:lineRule="auto"/>
        <w:jc w:val="both"/>
        <w:rPr>
          <w:rFonts w:ascii="Times New Roman" w:eastAsia="Times New Roman" w:hAnsi="Times New Roman" w:cs="Times New Roman"/>
          <w:sz w:val="24"/>
          <w:szCs w:val="24"/>
        </w:rPr>
      </w:pPr>
      <w:r w:rsidRPr="000270C0">
        <w:rPr>
          <w:rFonts w:ascii="Times New Roman" w:eastAsia="Times New Roman" w:hAnsi="Times New Roman" w:cs="Times New Roman"/>
          <w:i/>
          <w:sz w:val="24"/>
          <w:szCs w:val="24"/>
        </w:rPr>
        <w:t>µ</w:t>
      </w:r>
      <w:r w:rsidRPr="000270C0">
        <w:rPr>
          <w:rFonts w:ascii="Times New Roman" w:eastAsia="Times New Roman" w:hAnsi="Times New Roman" w:cs="Times New Roman"/>
          <w:i/>
          <w:sz w:val="24"/>
          <w:szCs w:val="24"/>
        </w:rPr>
        <w:tab/>
      </w:r>
      <w:r w:rsidRPr="000270C0">
        <w:rPr>
          <w:rFonts w:ascii="Times New Roman" w:eastAsia="Times New Roman" w:hAnsi="Times New Roman" w:cs="Times New Roman"/>
          <w:i/>
          <w:sz w:val="24"/>
          <w:szCs w:val="24"/>
        </w:rPr>
        <w:tab/>
      </w:r>
      <w:r w:rsidRPr="000270C0">
        <w:rPr>
          <w:rFonts w:ascii="Times New Roman" w:eastAsia="Times New Roman" w:hAnsi="Times New Roman" w:cs="Times New Roman"/>
          <w:sz w:val="24"/>
          <w:szCs w:val="24"/>
        </w:rPr>
        <w:t xml:space="preserve">= </w:t>
      </w:r>
      <w:r w:rsidRPr="000270C0">
        <w:rPr>
          <w:rFonts w:ascii="Times New Roman" w:eastAsia="Times New Roman" w:hAnsi="Times New Roman" w:cs="Times New Roman"/>
          <w:sz w:val="24"/>
          <w:szCs w:val="24"/>
        </w:rPr>
        <w:tab/>
        <w:t>Stochastic error term.</w:t>
      </w:r>
    </w:p>
    <w:p w14:paraId="1EEF4520" w14:textId="62C3B040" w:rsidR="009456AF" w:rsidRPr="000270C0" w:rsidRDefault="003612EA" w:rsidP="00611FC3">
      <w:pPr>
        <w:spacing w:line="240" w:lineRule="auto"/>
        <w:ind w:firstLine="720"/>
        <w:jc w:val="both"/>
        <w:rPr>
          <w:rFonts w:ascii="Times New Roman" w:hAnsi="Times New Roman" w:cs="Times New Roman"/>
          <w:sz w:val="24"/>
          <w:szCs w:val="24"/>
        </w:rPr>
      </w:pPr>
      <w:r w:rsidRPr="000270C0">
        <w:rPr>
          <w:rFonts w:ascii="Times New Roman" w:hAnsi="Times New Roman" w:cs="Times New Roman"/>
          <w:sz w:val="24"/>
          <w:szCs w:val="24"/>
        </w:rPr>
        <w:t xml:space="preserve">The approach to data analysis followed in this research is the analysis of time series data to investigate short-run and long-run dynamics among the variables. The analysis will start with the descriptive statistics, which will be presented in the form of tables and discussed to explain the data central tendency and dispersion and then correlation analysis will be completed to determine the strength and direction of relationships between variables. Unit root test would be followed to </w:t>
      </w:r>
      <w:r w:rsidRPr="000270C0">
        <w:rPr>
          <w:rFonts w:ascii="Times New Roman" w:hAnsi="Times New Roman" w:cs="Times New Roman"/>
          <w:sz w:val="24"/>
          <w:szCs w:val="24"/>
        </w:rPr>
        <w:lastRenderedPageBreak/>
        <w:t>identify the stationarity properties of the series and inform selection of appropriate model. Given the integration order, a co-integration test was conducted in order to determine the presence of long-run equilibrium relationships, and then the primary regression analysis. The heteroskedasticity test and the normality test on the residual were done to ensure the reliability of the model and the distributional assumption. All the analyses were conducted through E-Views statistical software which guaranteed consistency, accuracy and strength of the empirical findings. In statistical hypothesis testing, a level of significance was set at 5% to test the hypotheses of the study. Such a standard of statistical significance of results is commonly referred to as (alpha = 0.05) and is a accepted standard in research. This study has used hinge on the comparison of the probability value (p-value) where the t-statistic of the test lies. Under the decision rule; when the p-value exceeds 0.05, the null hypothesis is not rejected</w:t>
      </w:r>
      <w:r w:rsidR="009456AF" w:rsidRPr="000270C0">
        <w:rPr>
          <w:rFonts w:ascii="Times New Roman" w:hAnsi="Times New Roman" w:cs="Times New Roman"/>
          <w:sz w:val="24"/>
          <w:szCs w:val="24"/>
        </w:rPr>
        <w:t>.</w:t>
      </w:r>
    </w:p>
    <w:p w14:paraId="5C3BAC7F" w14:textId="77777777" w:rsidR="009456AF" w:rsidRPr="000270C0" w:rsidRDefault="00611FC3" w:rsidP="00FE001E">
      <w:pPr>
        <w:spacing w:after="0" w:line="240" w:lineRule="auto"/>
        <w:rPr>
          <w:rFonts w:ascii="Times New Roman" w:eastAsia="SimSun" w:hAnsi="Times New Roman" w:cs="Times New Roman"/>
          <w:sz w:val="24"/>
          <w:szCs w:val="24"/>
        </w:rPr>
      </w:pPr>
      <w:r w:rsidRPr="000270C0">
        <w:rPr>
          <w:rFonts w:ascii="Times New Roman" w:hAnsi="Times New Roman" w:cs="Times New Roman"/>
          <w:b/>
          <w:bCs/>
          <w:sz w:val="24"/>
          <w:szCs w:val="24"/>
        </w:rPr>
        <w:t>4.0</w:t>
      </w:r>
      <w:r w:rsidRPr="000270C0">
        <w:rPr>
          <w:rFonts w:ascii="Times New Roman" w:hAnsi="Times New Roman" w:cs="Times New Roman"/>
          <w:sz w:val="24"/>
          <w:szCs w:val="24"/>
        </w:rPr>
        <w:tab/>
      </w:r>
      <w:r w:rsidRPr="000270C0">
        <w:rPr>
          <w:rFonts w:ascii="Times New Roman" w:eastAsia="SimSun" w:hAnsi="Times New Roman" w:cs="Times New Roman"/>
          <w:b/>
          <w:sz w:val="24"/>
          <w:szCs w:val="24"/>
        </w:rPr>
        <w:t xml:space="preserve">RESULTS AND </w:t>
      </w:r>
      <w:r w:rsidR="009456AF" w:rsidRPr="000270C0">
        <w:rPr>
          <w:rFonts w:ascii="Times New Roman" w:eastAsia="SimSun" w:hAnsi="Times New Roman" w:cs="Times New Roman"/>
          <w:b/>
          <w:sz w:val="24"/>
          <w:szCs w:val="24"/>
        </w:rPr>
        <w:t>FINDINGS</w:t>
      </w:r>
    </w:p>
    <w:p w14:paraId="78557619" w14:textId="77777777" w:rsidR="009456AF" w:rsidRPr="000270C0" w:rsidRDefault="009456AF" w:rsidP="00FE001E">
      <w:pPr>
        <w:spacing w:after="0" w:line="240" w:lineRule="auto"/>
        <w:ind w:firstLine="720"/>
        <w:jc w:val="both"/>
        <w:rPr>
          <w:rFonts w:ascii="Times New Roman" w:hAnsi="Times New Roman" w:cs="Times New Roman"/>
          <w:sz w:val="24"/>
          <w:szCs w:val="24"/>
        </w:rPr>
      </w:pPr>
      <w:r w:rsidRPr="000270C0">
        <w:rPr>
          <w:rFonts w:ascii="Times New Roman" w:eastAsia="SimSun" w:hAnsi="Times New Roman" w:cs="Times New Roman"/>
          <w:bCs/>
          <w:sz w:val="24"/>
          <w:szCs w:val="24"/>
        </w:rPr>
        <w:t>The results, presented in Table 4.</w:t>
      </w:r>
      <w:r w:rsidR="00FE001E" w:rsidRPr="000270C0">
        <w:rPr>
          <w:rFonts w:ascii="Times New Roman" w:eastAsia="SimSun" w:hAnsi="Times New Roman" w:cs="Times New Roman"/>
          <w:bCs/>
          <w:sz w:val="24"/>
          <w:szCs w:val="24"/>
        </w:rPr>
        <w:t>1</w:t>
      </w:r>
      <w:r w:rsidRPr="000270C0">
        <w:rPr>
          <w:rFonts w:ascii="Times New Roman" w:eastAsia="SimSun" w:hAnsi="Times New Roman" w:cs="Times New Roman"/>
          <w:bCs/>
          <w:sz w:val="24"/>
          <w:szCs w:val="24"/>
        </w:rPr>
        <w:t>, offer a snapshot of the data's characteristics, laying the groundwork for further analysis.</w:t>
      </w:r>
    </w:p>
    <w:p w14:paraId="01A0A7DA" w14:textId="77777777" w:rsidR="009456AF" w:rsidRPr="000270C0" w:rsidRDefault="009456AF" w:rsidP="009456AF">
      <w:pPr>
        <w:spacing w:after="0" w:line="240" w:lineRule="auto"/>
        <w:rPr>
          <w:rFonts w:ascii="Times New Roman" w:hAnsi="Times New Roman" w:cs="Times New Roman"/>
          <w:b/>
          <w:bCs/>
          <w:sz w:val="24"/>
          <w:szCs w:val="24"/>
        </w:rPr>
      </w:pPr>
      <w:r w:rsidRPr="000270C0">
        <w:rPr>
          <w:rFonts w:ascii="Times New Roman" w:hAnsi="Times New Roman" w:cs="Times New Roman"/>
          <w:b/>
          <w:bCs/>
          <w:sz w:val="24"/>
          <w:szCs w:val="24"/>
        </w:rPr>
        <w:t>Table 4.</w:t>
      </w:r>
      <w:r w:rsidR="00FE001E" w:rsidRPr="000270C0">
        <w:rPr>
          <w:rFonts w:ascii="Times New Roman" w:hAnsi="Times New Roman" w:cs="Times New Roman"/>
          <w:b/>
          <w:bCs/>
          <w:sz w:val="24"/>
          <w:szCs w:val="24"/>
        </w:rPr>
        <w:t>1</w:t>
      </w:r>
      <w:r w:rsidRPr="000270C0">
        <w:rPr>
          <w:rFonts w:ascii="Times New Roman" w:hAnsi="Times New Roman" w:cs="Times New Roman"/>
          <w:b/>
          <w:bCs/>
          <w:sz w:val="24"/>
          <w:szCs w:val="24"/>
        </w:rPr>
        <w:t xml:space="preserve">: </w:t>
      </w:r>
      <w:r w:rsidRPr="000270C0">
        <w:rPr>
          <w:rFonts w:ascii="Times New Roman" w:hAnsi="Times New Roman" w:cs="Times New Roman"/>
          <w:sz w:val="24"/>
          <w:szCs w:val="24"/>
        </w:rPr>
        <w:t>Descriptive Statistics of the variables</w:t>
      </w:r>
    </w:p>
    <w:tbl>
      <w:tblPr>
        <w:tblW w:w="9330" w:type="dxa"/>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500"/>
        <w:gridCol w:w="1620"/>
        <w:gridCol w:w="2070"/>
        <w:gridCol w:w="2070"/>
        <w:gridCol w:w="2070"/>
      </w:tblGrid>
      <w:tr w:rsidR="000270C0" w:rsidRPr="000270C0" w14:paraId="3BE93158" w14:textId="77777777" w:rsidTr="0045270A">
        <w:trPr>
          <w:trHeight w:val="188"/>
        </w:trPr>
        <w:tc>
          <w:tcPr>
            <w:tcW w:w="1500" w:type="dxa"/>
            <w:tcBorders>
              <w:bottom w:val="nil"/>
            </w:tcBorders>
            <w:vAlign w:val="bottom"/>
          </w:tcPr>
          <w:p w14:paraId="0B5418F6" w14:textId="77777777" w:rsidR="009E7090" w:rsidRPr="000270C0" w:rsidRDefault="009E7090" w:rsidP="0055107D">
            <w:pPr>
              <w:autoSpaceDE w:val="0"/>
              <w:autoSpaceDN w:val="0"/>
              <w:adjustRightInd w:val="0"/>
              <w:spacing w:after="0" w:line="240" w:lineRule="auto"/>
              <w:rPr>
                <w:rFonts w:ascii="Times New Roman" w:hAnsi="Times New Roman" w:cs="Times New Roman"/>
                <w:b/>
                <w:bCs/>
              </w:rPr>
            </w:pPr>
            <w:r w:rsidRPr="000270C0">
              <w:rPr>
                <w:rFonts w:ascii="Times New Roman" w:hAnsi="Times New Roman" w:cs="Times New Roman"/>
                <w:b/>
                <w:bCs/>
              </w:rPr>
              <w:t>Variables</w:t>
            </w:r>
          </w:p>
        </w:tc>
        <w:tc>
          <w:tcPr>
            <w:tcW w:w="1620" w:type="dxa"/>
            <w:tcBorders>
              <w:bottom w:val="nil"/>
            </w:tcBorders>
            <w:vAlign w:val="center"/>
          </w:tcPr>
          <w:p w14:paraId="344E42C7"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b/>
                <w:bCs/>
              </w:rPr>
              <w:t>FDI</w:t>
            </w:r>
          </w:p>
        </w:tc>
        <w:tc>
          <w:tcPr>
            <w:tcW w:w="2070" w:type="dxa"/>
            <w:tcBorders>
              <w:bottom w:val="nil"/>
            </w:tcBorders>
            <w:vAlign w:val="center"/>
          </w:tcPr>
          <w:p w14:paraId="39648E1E"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b/>
                <w:bCs/>
              </w:rPr>
              <w:t>ESI</w:t>
            </w:r>
          </w:p>
        </w:tc>
        <w:tc>
          <w:tcPr>
            <w:tcW w:w="2070" w:type="dxa"/>
            <w:tcBorders>
              <w:bottom w:val="nil"/>
            </w:tcBorders>
            <w:vAlign w:val="center"/>
          </w:tcPr>
          <w:p w14:paraId="61ACF178"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b/>
                <w:bCs/>
              </w:rPr>
              <w:t>SSI</w:t>
            </w:r>
          </w:p>
        </w:tc>
        <w:tc>
          <w:tcPr>
            <w:tcW w:w="2070" w:type="dxa"/>
            <w:tcBorders>
              <w:bottom w:val="nil"/>
            </w:tcBorders>
            <w:vAlign w:val="center"/>
          </w:tcPr>
          <w:p w14:paraId="42B88593"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b/>
                <w:bCs/>
              </w:rPr>
              <w:t>GSI</w:t>
            </w:r>
          </w:p>
        </w:tc>
      </w:tr>
      <w:tr w:rsidR="000270C0" w:rsidRPr="000270C0" w14:paraId="3EF49EA6" w14:textId="77777777" w:rsidTr="0045270A">
        <w:trPr>
          <w:trHeight w:val="161"/>
        </w:trPr>
        <w:tc>
          <w:tcPr>
            <w:tcW w:w="1500" w:type="dxa"/>
            <w:tcBorders>
              <w:top w:val="nil"/>
              <w:bottom w:val="nil"/>
            </w:tcBorders>
            <w:vAlign w:val="bottom"/>
          </w:tcPr>
          <w:p w14:paraId="7C16C7BE" w14:textId="77777777" w:rsidR="009E7090" w:rsidRPr="000270C0" w:rsidRDefault="009E7090" w:rsidP="0055107D">
            <w:pPr>
              <w:autoSpaceDE w:val="0"/>
              <w:autoSpaceDN w:val="0"/>
              <w:adjustRightInd w:val="0"/>
              <w:spacing w:after="0" w:line="240" w:lineRule="auto"/>
              <w:rPr>
                <w:rFonts w:ascii="Times New Roman" w:hAnsi="Times New Roman" w:cs="Times New Roman"/>
              </w:rPr>
            </w:pPr>
            <w:r w:rsidRPr="000270C0">
              <w:rPr>
                <w:rFonts w:ascii="Times New Roman" w:hAnsi="Times New Roman" w:cs="Times New Roman"/>
              </w:rPr>
              <w:t>Mean</w:t>
            </w:r>
          </w:p>
        </w:tc>
        <w:tc>
          <w:tcPr>
            <w:tcW w:w="1620" w:type="dxa"/>
            <w:tcBorders>
              <w:top w:val="nil"/>
              <w:bottom w:val="nil"/>
            </w:tcBorders>
            <w:vAlign w:val="center"/>
          </w:tcPr>
          <w:p w14:paraId="10F9CEDE"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17,678.50</w:t>
            </w:r>
          </w:p>
        </w:tc>
        <w:tc>
          <w:tcPr>
            <w:tcW w:w="2070" w:type="dxa"/>
            <w:tcBorders>
              <w:top w:val="nil"/>
              <w:bottom w:val="nil"/>
            </w:tcBorders>
            <w:vAlign w:val="center"/>
          </w:tcPr>
          <w:p w14:paraId="5A81E474"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1,308.08</w:t>
            </w:r>
          </w:p>
        </w:tc>
        <w:tc>
          <w:tcPr>
            <w:tcW w:w="2070" w:type="dxa"/>
            <w:tcBorders>
              <w:top w:val="nil"/>
              <w:bottom w:val="nil"/>
            </w:tcBorders>
            <w:vAlign w:val="center"/>
          </w:tcPr>
          <w:p w14:paraId="44260CC2"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236.90</w:t>
            </w:r>
            <w:r w:rsidR="0045270A" w:rsidRPr="000270C0">
              <w:rPr>
                <w:rFonts w:ascii="Times New Roman" w:eastAsia="Times New Roman" w:hAnsi="Times New Roman" w:cs="Times New Roman"/>
              </w:rPr>
              <w:t>00</w:t>
            </w:r>
          </w:p>
        </w:tc>
        <w:tc>
          <w:tcPr>
            <w:tcW w:w="2070" w:type="dxa"/>
            <w:tcBorders>
              <w:top w:val="nil"/>
              <w:bottom w:val="nil"/>
            </w:tcBorders>
            <w:vAlign w:val="center"/>
          </w:tcPr>
          <w:p w14:paraId="02C4476C"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6,538.20</w:t>
            </w:r>
            <w:r w:rsidR="0045270A" w:rsidRPr="000270C0">
              <w:rPr>
                <w:rFonts w:ascii="Times New Roman" w:eastAsia="Times New Roman" w:hAnsi="Times New Roman" w:cs="Times New Roman"/>
              </w:rPr>
              <w:t>0</w:t>
            </w:r>
          </w:p>
        </w:tc>
      </w:tr>
      <w:tr w:rsidR="000270C0" w:rsidRPr="000270C0" w14:paraId="128E1A0A" w14:textId="77777777" w:rsidTr="00DC464E">
        <w:trPr>
          <w:trHeight w:val="225"/>
        </w:trPr>
        <w:tc>
          <w:tcPr>
            <w:tcW w:w="1500" w:type="dxa"/>
            <w:tcBorders>
              <w:top w:val="nil"/>
              <w:bottom w:val="nil"/>
            </w:tcBorders>
            <w:vAlign w:val="bottom"/>
          </w:tcPr>
          <w:p w14:paraId="49772AC9" w14:textId="77777777" w:rsidR="009E7090" w:rsidRPr="000270C0" w:rsidRDefault="009E7090" w:rsidP="0055107D">
            <w:pPr>
              <w:autoSpaceDE w:val="0"/>
              <w:autoSpaceDN w:val="0"/>
              <w:adjustRightInd w:val="0"/>
              <w:spacing w:after="0" w:line="240" w:lineRule="auto"/>
              <w:rPr>
                <w:rFonts w:ascii="Times New Roman" w:hAnsi="Times New Roman" w:cs="Times New Roman"/>
              </w:rPr>
            </w:pPr>
            <w:r w:rsidRPr="000270C0">
              <w:rPr>
                <w:rFonts w:ascii="Times New Roman" w:hAnsi="Times New Roman" w:cs="Times New Roman"/>
              </w:rPr>
              <w:t>Median</w:t>
            </w:r>
          </w:p>
        </w:tc>
        <w:tc>
          <w:tcPr>
            <w:tcW w:w="1620" w:type="dxa"/>
            <w:tcBorders>
              <w:top w:val="nil"/>
              <w:bottom w:val="nil"/>
            </w:tcBorders>
            <w:vAlign w:val="center"/>
          </w:tcPr>
          <w:p w14:paraId="7BB141C0"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2,907.37</w:t>
            </w:r>
          </w:p>
        </w:tc>
        <w:tc>
          <w:tcPr>
            <w:tcW w:w="2070" w:type="dxa"/>
            <w:tcBorders>
              <w:top w:val="nil"/>
              <w:bottom w:val="nil"/>
            </w:tcBorders>
            <w:vAlign w:val="center"/>
          </w:tcPr>
          <w:p w14:paraId="5A344FB2"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579.74</w:t>
            </w:r>
          </w:p>
        </w:tc>
        <w:tc>
          <w:tcPr>
            <w:tcW w:w="2070" w:type="dxa"/>
            <w:tcBorders>
              <w:top w:val="nil"/>
              <w:bottom w:val="nil"/>
            </w:tcBorders>
            <w:vAlign w:val="center"/>
          </w:tcPr>
          <w:p w14:paraId="23E23DB3"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4.9500</w:t>
            </w:r>
            <w:r w:rsidR="0045270A" w:rsidRPr="000270C0">
              <w:rPr>
                <w:rFonts w:ascii="Times New Roman" w:eastAsia="Times New Roman" w:hAnsi="Times New Roman" w:cs="Times New Roman"/>
              </w:rPr>
              <w:t>00</w:t>
            </w:r>
          </w:p>
        </w:tc>
        <w:tc>
          <w:tcPr>
            <w:tcW w:w="2070" w:type="dxa"/>
            <w:tcBorders>
              <w:top w:val="nil"/>
              <w:bottom w:val="nil"/>
            </w:tcBorders>
            <w:vAlign w:val="center"/>
          </w:tcPr>
          <w:p w14:paraId="3965D44B"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1,037.20</w:t>
            </w:r>
            <w:r w:rsidR="0045270A" w:rsidRPr="000270C0">
              <w:rPr>
                <w:rFonts w:ascii="Times New Roman" w:eastAsia="Times New Roman" w:hAnsi="Times New Roman" w:cs="Times New Roman"/>
              </w:rPr>
              <w:t>0</w:t>
            </w:r>
          </w:p>
        </w:tc>
      </w:tr>
      <w:tr w:rsidR="000270C0" w:rsidRPr="000270C0" w14:paraId="4293C553" w14:textId="77777777" w:rsidTr="00DC464E">
        <w:trPr>
          <w:trHeight w:val="225"/>
        </w:trPr>
        <w:tc>
          <w:tcPr>
            <w:tcW w:w="1500" w:type="dxa"/>
            <w:tcBorders>
              <w:top w:val="nil"/>
              <w:bottom w:val="nil"/>
            </w:tcBorders>
            <w:vAlign w:val="bottom"/>
          </w:tcPr>
          <w:p w14:paraId="7089AE79" w14:textId="77777777" w:rsidR="009E7090" w:rsidRPr="000270C0" w:rsidRDefault="009E7090" w:rsidP="0055107D">
            <w:pPr>
              <w:autoSpaceDE w:val="0"/>
              <w:autoSpaceDN w:val="0"/>
              <w:adjustRightInd w:val="0"/>
              <w:spacing w:after="0" w:line="240" w:lineRule="auto"/>
              <w:rPr>
                <w:rFonts w:ascii="Times New Roman" w:hAnsi="Times New Roman" w:cs="Times New Roman"/>
              </w:rPr>
            </w:pPr>
            <w:r w:rsidRPr="000270C0">
              <w:rPr>
                <w:rFonts w:ascii="Times New Roman" w:hAnsi="Times New Roman" w:cs="Times New Roman"/>
              </w:rPr>
              <w:t>Maximum</w:t>
            </w:r>
          </w:p>
        </w:tc>
        <w:tc>
          <w:tcPr>
            <w:tcW w:w="1620" w:type="dxa"/>
            <w:tcBorders>
              <w:top w:val="nil"/>
              <w:bottom w:val="nil"/>
            </w:tcBorders>
            <w:vAlign w:val="center"/>
          </w:tcPr>
          <w:p w14:paraId="6CF744AD"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121,850.00</w:t>
            </w:r>
          </w:p>
        </w:tc>
        <w:tc>
          <w:tcPr>
            <w:tcW w:w="2070" w:type="dxa"/>
            <w:tcBorders>
              <w:top w:val="nil"/>
              <w:bottom w:val="nil"/>
            </w:tcBorders>
            <w:vAlign w:val="center"/>
          </w:tcPr>
          <w:p w14:paraId="65129044"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6,522.00</w:t>
            </w:r>
          </w:p>
        </w:tc>
        <w:tc>
          <w:tcPr>
            <w:tcW w:w="2070" w:type="dxa"/>
            <w:tcBorders>
              <w:top w:val="nil"/>
              <w:bottom w:val="nil"/>
            </w:tcBorders>
            <w:vAlign w:val="center"/>
          </w:tcPr>
          <w:p w14:paraId="14355E71"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1,400.43</w:t>
            </w:r>
            <w:r w:rsidR="0045270A" w:rsidRPr="000270C0">
              <w:rPr>
                <w:rFonts w:ascii="Times New Roman" w:eastAsia="Times New Roman" w:hAnsi="Times New Roman" w:cs="Times New Roman"/>
              </w:rPr>
              <w:t>0</w:t>
            </w:r>
          </w:p>
        </w:tc>
        <w:tc>
          <w:tcPr>
            <w:tcW w:w="2070" w:type="dxa"/>
            <w:tcBorders>
              <w:top w:val="nil"/>
              <w:bottom w:val="nil"/>
            </w:tcBorders>
            <w:vAlign w:val="center"/>
          </w:tcPr>
          <w:p w14:paraId="5E74D171"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40,923.88</w:t>
            </w:r>
          </w:p>
        </w:tc>
      </w:tr>
      <w:tr w:rsidR="000270C0" w:rsidRPr="000270C0" w14:paraId="6A2FAB54" w14:textId="77777777" w:rsidTr="00DC464E">
        <w:trPr>
          <w:trHeight w:val="207"/>
        </w:trPr>
        <w:tc>
          <w:tcPr>
            <w:tcW w:w="1500" w:type="dxa"/>
            <w:tcBorders>
              <w:top w:val="nil"/>
              <w:bottom w:val="nil"/>
            </w:tcBorders>
            <w:vAlign w:val="bottom"/>
          </w:tcPr>
          <w:p w14:paraId="3A05E2DC" w14:textId="77777777" w:rsidR="009E7090" w:rsidRPr="000270C0" w:rsidRDefault="009E7090" w:rsidP="0055107D">
            <w:pPr>
              <w:autoSpaceDE w:val="0"/>
              <w:autoSpaceDN w:val="0"/>
              <w:adjustRightInd w:val="0"/>
              <w:spacing w:after="0" w:line="240" w:lineRule="auto"/>
              <w:rPr>
                <w:rFonts w:ascii="Times New Roman" w:hAnsi="Times New Roman" w:cs="Times New Roman"/>
              </w:rPr>
            </w:pPr>
            <w:r w:rsidRPr="000270C0">
              <w:rPr>
                <w:rFonts w:ascii="Times New Roman" w:hAnsi="Times New Roman" w:cs="Times New Roman"/>
              </w:rPr>
              <w:t>Minimum</w:t>
            </w:r>
          </w:p>
        </w:tc>
        <w:tc>
          <w:tcPr>
            <w:tcW w:w="1620" w:type="dxa"/>
            <w:tcBorders>
              <w:top w:val="nil"/>
              <w:bottom w:val="nil"/>
            </w:tcBorders>
            <w:vAlign w:val="center"/>
          </w:tcPr>
          <w:p w14:paraId="0EDCE65F"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19.48000</w:t>
            </w:r>
          </w:p>
        </w:tc>
        <w:tc>
          <w:tcPr>
            <w:tcW w:w="2070" w:type="dxa"/>
            <w:tcBorders>
              <w:top w:val="nil"/>
              <w:bottom w:val="nil"/>
            </w:tcBorders>
            <w:vAlign w:val="center"/>
          </w:tcPr>
          <w:p w14:paraId="4B7E72D3"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5.780000</w:t>
            </w:r>
          </w:p>
        </w:tc>
        <w:tc>
          <w:tcPr>
            <w:tcW w:w="2070" w:type="dxa"/>
            <w:tcBorders>
              <w:top w:val="nil"/>
              <w:bottom w:val="nil"/>
            </w:tcBorders>
            <w:vAlign w:val="center"/>
          </w:tcPr>
          <w:p w14:paraId="4D07D7DA"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0.000000</w:t>
            </w:r>
          </w:p>
        </w:tc>
        <w:tc>
          <w:tcPr>
            <w:tcW w:w="2070" w:type="dxa"/>
            <w:tcBorders>
              <w:top w:val="nil"/>
              <w:bottom w:val="nil"/>
            </w:tcBorders>
            <w:vAlign w:val="center"/>
          </w:tcPr>
          <w:p w14:paraId="40F09FCF"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1.000000</w:t>
            </w:r>
          </w:p>
        </w:tc>
      </w:tr>
      <w:tr w:rsidR="000270C0" w:rsidRPr="000270C0" w14:paraId="03610E61" w14:textId="77777777" w:rsidTr="00DC464E">
        <w:trPr>
          <w:trHeight w:val="225"/>
        </w:trPr>
        <w:tc>
          <w:tcPr>
            <w:tcW w:w="1500" w:type="dxa"/>
            <w:tcBorders>
              <w:top w:val="nil"/>
              <w:bottom w:val="nil"/>
            </w:tcBorders>
            <w:vAlign w:val="bottom"/>
          </w:tcPr>
          <w:p w14:paraId="41CC9B45" w14:textId="77777777" w:rsidR="009E7090" w:rsidRPr="000270C0" w:rsidRDefault="009E7090" w:rsidP="0055107D">
            <w:pPr>
              <w:autoSpaceDE w:val="0"/>
              <w:autoSpaceDN w:val="0"/>
              <w:adjustRightInd w:val="0"/>
              <w:spacing w:after="0" w:line="240" w:lineRule="auto"/>
              <w:rPr>
                <w:rFonts w:ascii="Times New Roman" w:hAnsi="Times New Roman" w:cs="Times New Roman"/>
              </w:rPr>
            </w:pPr>
            <w:r w:rsidRPr="000270C0">
              <w:rPr>
                <w:rFonts w:ascii="Times New Roman" w:hAnsi="Times New Roman" w:cs="Times New Roman"/>
              </w:rPr>
              <w:t>Std. Dev.</w:t>
            </w:r>
          </w:p>
        </w:tc>
        <w:tc>
          <w:tcPr>
            <w:tcW w:w="1620" w:type="dxa"/>
            <w:tcBorders>
              <w:top w:val="nil"/>
              <w:bottom w:val="nil"/>
            </w:tcBorders>
            <w:vAlign w:val="center"/>
          </w:tcPr>
          <w:p w14:paraId="616D732A"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28,033.65</w:t>
            </w:r>
          </w:p>
        </w:tc>
        <w:tc>
          <w:tcPr>
            <w:tcW w:w="2070" w:type="dxa"/>
            <w:tcBorders>
              <w:top w:val="nil"/>
              <w:bottom w:val="nil"/>
            </w:tcBorders>
            <w:vAlign w:val="center"/>
          </w:tcPr>
          <w:p w14:paraId="3EE80EF0"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1,624.58</w:t>
            </w:r>
          </w:p>
        </w:tc>
        <w:tc>
          <w:tcPr>
            <w:tcW w:w="2070" w:type="dxa"/>
            <w:tcBorders>
              <w:top w:val="nil"/>
              <w:bottom w:val="nil"/>
            </w:tcBorders>
            <w:vAlign w:val="center"/>
          </w:tcPr>
          <w:p w14:paraId="6791F09E"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437.2839</w:t>
            </w:r>
          </w:p>
        </w:tc>
        <w:tc>
          <w:tcPr>
            <w:tcW w:w="2070" w:type="dxa"/>
            <w:tcBorders>
              <w:top w:val="nil"/>
              <w:bottom w:val="nil"/>
            </w:tcBorders>
            <w:vAlign w:val="center"/>
          </w:tcPr>
          <w:p w14:paraId="64C8B8A9"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9,737.47</w:t>
            </w:r>
            <w:r w:rsidR="0045270A" w:rsidRPr="000270C0">
              <w:rPr>
                <w:rFonts w:ascii="Times New Roman" w:eastAsia="Times New Roman" w:hAnsi="Times New Roman" w:cs="Times New Roman"/>
              </w:rPr>
              <w:t>0</w:t>
            </w:r>
          </w:p>
        </w:tc>
      </w:tr>
      <w:tr w:rsidR="000270C0" w:rsidRPr="000270C0" w14:paraId="049CDDF4" w14:textId="77777777" w:rsidTr="00DC464E">
        <w:trPr>
          <w:trHeight w:val="225"/>
        </w:trPr>
        <w:tc>
          <w:tcPr>
            <w:tcW w:w="1500" w:type="dxa"/>
            <w:tcBorders>
              <w:top w:val="nil"/>
              <w:bottom w:val="nil"/>
            </w:tcBorders>
            <w:vAlign w:val="bottom"/>
          </w:tcPr>
          <w:p w14:paraId="3D7150B1" w14:textId="77777777" w:rsidR="009E7090" w:rsidRPr="000270C0" w:rsidRDefault="009E7090" w:rsidP="0055107D">
            <w:pPr>
              <w:autoSpaceDE w:val="0"/>
              <w:autoSpaceDN w:val="0"/>
              <w:adjustRightInd w:val="0"/>
              <w:spacing w:after="0" w:line="240" w:lineRule="auto"/>
              <w:rPr>
                <w:rFonts w:ascii="Times New Roman" w:hAnsi="Times New Roman" w:cs="Times New Roman"/>
              </w:rPr>
            </w:pPr>
            <w:r w:rsidRPr="000270C0">
              <w:rPr>
                <w:rFonts w:ascii="Times New Roman" w:hAnsi="Times New Roman" w:cs="Times New Roman"/>
              </w:rPr>
              <w:t>Skewness</w:t>
            </w:r>
          </w:p>
        </w:tc>
        <w:tc>
          <w:tcPr>
            <w:tcW w:w="1620" w:type="dxa"/>
            <w:tcBorders>
              <w:top w:val="nil"/>
              <w:bottom w:val="nil"/>
            </w:tcBorders>
            <w:vAlign w:val="center"/>
          </w:tcPr>
          <w:p w14:paraId="3F316BA5"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2.098382</w:t>
            </w:r>
          </w:p>
        </w:tc>
        <w:tc>
          <w:tcPr>
            <w:tcW w:w="2070" w:type="dxa"/>
            <w:tcBorders>
              <w:top w:val="nil"/>
              <w:bottom w:val="nil"/>
            </w:tcBorders>
            <w:vAlign w:val="center"/>
          </w:tcPr>
          <w:p w14:paraId="65FB6E82"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1.427058</w:t>
            </w:r>
          </w:p>
        </w:tc>
        <w:tc>
          <w:tcPr>
            <w:tcW w:w="2070" w:type="dxa"/>
            <w:tcBorders>
              <w:top w:val="nil"/>
              <w:bottom w:val="nil"/>
            </w:tcBorders>
            <w:vAlign w:val="center"/>
          </w:tcPr>
          <w:p w14:paraId="79CB5BB2"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1.785774</w:t>
            </w:r>
          </w:p>
        </w:tc>
        <w:tc>
          <w:tcPr>
            <w:tcW w:w="2070" w:type="dxa"/>
            <w:tcBorders>
              <w:top w:val="nil"/>
              <w:bottom w:val="nil"/>
            </w:tcBorders>
            <w:vAlign w:val="center"/>
          </w:tcPr>
          <w:p w14:paraId="0989C024"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1.896550</w:t>
            </w:r>
          </w:p>
        </w:tc>
      </w:tr>
      <w:tr w:rsidR="000270C0" w:rsidRPr="000270C0" w14:paraId="56B3993C" w14:textId="77777777" w:rsidTr="00DC464E">
        <w:trPr>
          <w:trHeight w:val="225"/>
        </w:trPr>
        <w:tc>
          <w:tcPr>
            <w:tcW w:w="1500" w:type="dxa"/>
            <w:tcBorders>
              <w:top w:val="nil"/>
              <w:bottom w:val="nil"/>
            </w:tcBorders>
            <w:vAlign w:val="bottom"/>
          </w:tcPr>
          <w:p w14:paraId="10FB87F3" w14:textId="77777777" w:rsidR="009E7090" w:rsidRPr="000270C0" w:rsidRDefault="009E7090" w:rsidP="0055107D">
            <w:pPr>
              <w:autoSpaceDE w:val="0"/>
              <w:autoSpaceDN w:val="0"/>
              <w:adjustRightInd w:val="0"/>
              <w:spacing w:after="0" w:line="240" w:lineRule="auto"/>
              <w:rPr>
                <w:rFonts w:ascii="Times New Roman" w:hAnsi="Times New Roman" w:cs="Times New Roman"/>
              </w:rPr>
            </w:pPr>
            <w:r w:rsidRPr="000270C0">
              <w:rPr>
                <w:rFonts w:ascii="Times New Roman" w:hAnsi="Times New Roman" w:cs="Times New Roman"/>
              </w:rPr>
              <w:t>Kurtosis</w:t>
            </w:r>
          </w:p>
        </w:tc>
        <w:tc>
          <w:tcPr>
            <w:tcW w:w="1620" w:type="dxa"/>
            <w:tcBorders>
              <w:top w:val="nil"/>
              <w:bottom w:val="nil"/>
            </w:tcBorders>
            <w:vAlign w:val="center"/>
          </w:tcPr>
          <w:p w14:paraId="1C9B327F"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7.156380</w:t>
            </w:r>
          </w:p>
        </w:tc>
        <w:tc>
          <w:tcPr>
            <w:tcW w:w="2070" w:type="dxa"/>
            <w:tcBorders>
              <w:top w:val="nil"/>
              <w:bottom w:val="nil"/>
            </w:tcBorders>
            <w:vAlign w:val="center"/>
          </w:tcPr>
          <w:p w14:paraId="08ECF4FA"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4.374019</w:t>
            </w:r>
          </w:p>
        </w:tc>
        <w:tc>
          <w:tcPr>
            <w:tcW w:w="2070" w:type="dxa"/>
            <w:tcBorders>
              <w:top w:val="nil"/>
              <w:bottom w:val="nil"/>
            </w:tcBorders>
            <w:vAlign w:val="center"/>
          </w:tcPr>
          <w:p w14:paraId="057ECF33"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4.658027</w:t>
            </w:r>
          </w:p>
        </w:tc>
        <w:tc>
          <w:tcPr>
            <w:tcW w:w="2070" w:type="dxa"/>
            <w:tcBorders>
              <w:top w:val="nil"/>
              <w:bottom w:val="nil"/>
            </w:tcBorders>
            <w:vAlign w:val="center"/>
          </w:tcPr>
          <w:p w14:paraId="6CDF89BA"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6.267129</w:t>
            </w:r>
          </w:p>
        </w:tc>
      </w:tr>
      <w:tr w:rsidR="000270C0" w:rsidRPr="000270C0" w14:paraId="3BBF76EA" w14:textId="77777777" w:rsidTr="00DC464E">
        <w:trPr>
          <w:trHeight w:val="225"/>
        </w:trPr>
        <w:tc>
          <w:tcPr>
            <w:tcW w:w="1500" w:type="dxa"/>
            <w:tcBorders>
              <w:top w:val="nil"/>
              <w:bottom w:val="nil"/>
            </w:tcBorders>
            <w:vAlign w:val="bottom"/>
          </w:tcPr>
          <w:p w14:paraId="430A6598" w14:textId="77777777" w:rsidR="009E7090" w:rsidRPr="000270C0" w:rsidRDefault="009E7090" w:rsidP="0055107D">
            <w:pPr>
              <w:autoSpaceDE w:val="0"/>
              <w:autoSpaceDN w:val="0"/>
              <w:adjustRightInd w:val="0"/>
              <w:spacing w:after="0" w:line="240" w:lineRule="auto"/>
              <w:rPr>
                <w:rFonts w:ascii="Times New Roman" w:hAnsi="Times New Roman" w:cs="Times New Roman"/>
              </w:rPr>
            </w:pPr>
            <w:r w:rsidRPr="000270C0">
              <w:rPr>
                <w:rFonts w:ascii="Times New Roman" w:hAnsi="Times New Roman" w:cs="Times New Roman"/>
              </w:rPr>
              <w:t>Jarque-Bera</w:t>
            </w:r>
          </w:p>
        </w:tc>
        <w:tc>
          <w:tcPr>
            <w:tcW w:w="1620" w:type="dxa"/>
            <w:tcBorders>
              <w:top w:val="nil"/>
              <w:bottom w:val="nil"/>
            </w:tcBorders>
            <w:vAlign w:val="center"/>
          </w:tcPr>
          <w:p w14:paraId="00E8470C"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63.96191</w:t>
            </w:r>
          </w:p>
        </w:tc>
        <w:tc>
          <w:tcPr>
            <w:tcW w:w="2070" w:type="dxa"/>
            <w:tcBorders>
              <w:top w:val="nil"/>
              <w:bottom w:val="nil"/>
            </w:tcBorders>
            <w:vAlign w:val="center"/>
          </w:tcPr>
          <w:p w14:paraId="69FA4E21"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18.39550</w:t>
            </w:r>
          </w:p>
        </w:tc>
        <w:tc>
          <w:tcPr>
            <w:tcW w:w="2070" w:type="dxa"/>
            <w:tcBorders>
              <w:top w:val="nil"/>
              <w:bottom w:val="nil"/>
            </w:tcBorders>
            <w:vAlign w:val="center"/>
          </w:tcPr>
          <w:p w14:paraId="42943FBA"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28.42584</w:t>
            </w:r>
          </w:p>
        </w:tc>
        <w:tc>
          <w:tcPr>
            <w:tcW w:w="2070" w:type="dxa"/>
            <w:tcBorders>
              <w:top w:val="nil"/>
              <w:bottom w:val="nil"/>
            </w:tcBorders>
            <w:vAlign w:val="center"/>
          </w:tcPr>
          <w:p w14:paraId="4C5D8B8D"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45.94654</w:t>
            </w:r>
          </w:p>
        </w:tc>
      </w:tr>
      <w:tr w:rsidR="000270C0" w:rsidRPr="000270C0" w14:paraId="0D9B6D53" w14:textId="77777777" w:rsidTr="00DC464E">
        <w:trPr>
          <w:trHeight w:val="225"/>
        </w:trPr>
        <w:tc>
          <w:tcPr>
            <w:tcW w:w="1500" w:type="dxa"/>
            <w:tcBorders>
              <w:top w:val="nil"/>
              <w:bottom w:val="nil"/>
            </w:tcBorders>
            <w:vAlign w:val="bottom"/>
          </w:tcPr>
          <w:p w14:paraId="3B41CEEB" w14:textId="77777777" w:rsidR="009E7090" w:rsidRPr="000270C0" w:rsidRDefault="009E7090" w:rsidP="0055107D">
            <w:pPr>
              <w:autoSpaceDE w:val="0"/>
              <w:autoSpaceDN w:val="0"/>
              <w:adjustRightInd w:val="0"/>
              <w:spacing w:after="0" w:line="240" w:lineRule="auto"/>
              <w:rPr>
                <w:rFonts w:ascii="Times New Roman" w:hAnsi="Times New Roman" w:cs="Times New Roman"/>
              </w:rPr>
            </w:pPr>
            <w:r w:rsidRPr="000270C0">
              <w:rPr>
                <w:rFonts w:ascii="Times New Roman" w:hAnsi="Times New Roman" w:cs="Times New Roman"/>
              </w:rPr>
              <w:t>Probability</w:t>
            </w:r>
          </w:p>
        </w:tc>
        <w:tc>
          <w:tcPr>
            <w:tcW w:w="1620" w:type="dxa"/>
            <w:tcBorders>
              <w:top w:val="nil"/>
              <w:bottom w:val="nil"/>
            </w:tcBorders>
            <w:vAlign w:val="center"/>
          </w:tcPr>
          <w:p w14:paraId="66ABD407"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0.000000</w:t>
            </w:r>
          </w:p>
        </w:tc>
        <w:tc>
          <w:tcPr>
            <w:tcW w:w="2070" w:type="dxa"/>
            <w:tcBorders>
              <w:top w:val="nil"/>
              <w:bottom w:val="nil"/>
            </w:tcBorders>
            <w:vAlign w:val="center"/>
          </w:tcPr>
          <w:p w14:paraId="68F1F565"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0.000101</w:t>
            </w:r>
          </w:p>
        </w:tc>
        <w:tc>
          <w:tcPr>
            <w:tcW w:w="2070" w:type="dxa"/>
            <w:tcBorders>
              <w:top w:val="nil"/>
              <w:bottom w:val="nil"/>
            </w:tcBorders>
            <w:vAlign w:val="center"/>
          </w:tcPr>
          <w:p w14:paraId="25601044"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0.000001</w:t>
            </w:r>
          </w:p>
        </w:tc>
        <w:tc>
          <w:tcPr>
            <w:tcW w:w="2070" w:type="dxa"/>
            <w:tcBorders>
              <w:top w:val="nil"/>
              <w:bottom w:val="nil"/>
            </w:tcBorders>
            <w:vAlign w:val="center"/>
          </w:tcPr>
          <w:p w14:paraId="715CBBBE"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0.000000</w:t>
            </w:r>
          </w:p>
        </w:tc>
      </w:tr>
      <w:tr w:rsidR="000270C0" w:rsidRPr="000270C0" w14:paraId="0B03ED16" w14:textId="77777777" w:rsidTr="00DC464E">
        <w:trPr>
          <w:trHeight w:val="225"/>
        </w:trPr>
        <w:tc>
          <w:tcPr>
            <w:tcW w:w="1500" w:type="dxa"/>
            <w:tcBorders>
              <w:top w:val="nil"/>
              <w:bottom w:val="nil"/>
            </w:tcBorders>
            <w:vAlign w:val="bottom"/>
          </w:tcPr>
          <w:p w14:paraId="1EBDC206" w14:textId="77777777" w:rsidR="009E7090" w:rsidRPr="000270C0" w:rsidRDefault="009E7090" w:rsidP="0055107D">
            <w:pPr>
              <w:autoSpaceDE w:val="0"/>
              <w:autoSpaceDN w:val="0"/>
              <w:adjustRightInd w:val="0"/>
              <w:spacing w:after="0" w:line="240" w:lineRule="auto"/>
              <w:rPr>
                <w:rFonts w:ascii="Times New Roman" w:hAnsi="Times New Roman" w:cs="Times New Roman"/>
              </w:rPr>
            </w:pPr>
            <w:r w:rsidRPr="000270C0">
              <w:rPr>
                <w:rFonts w:ascii="Times New Roman" w:hAnsi="Times New Roman" w:cs="Times New Roman"/>
              </w:rPr>
              <w:t>Sum</w:t>
            </w:r>
          </w:p>
        </w:tc>
        <w:tc>
          <w:tcPr>
            <w:tcW w:w="1620" w:type="dxa"/>
            <w:tcBorders>
              <w:top w:val="nil"/>
              <w:bottom w:val="nil"/>
            </w:tcBorders>
            <w:vAlign w:val="center"/>
          </w:tcPr>
          <w:p w14:paraId="70C934D9"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777,854.2</w:t>
            </w:r>
          </w:p>
        </w:tc>
        <w:tc>
          <w:tcPr>
            <w:tcW w:w="2070" w:type="dxa"/>
            <w:tcBorders>
              <w:top w:val="nil"/>
              <w:bottom w:val="nil"/>
            </w:tcBorders>
            <w:vAlign w:val="center"/>
          </w:tcPr>
          <w:p w14:paraId="71FD4C69"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57,555.72</w:t>
            </w:r>
          </w:p>
        </w:tc>
        <w:tc>
          <w:tcPr>
            <w:tcW w:w="2070" w:type="dxa"/>
            <w:tcBorders>
              <w:top w:val="nil"/>
              <w:bottom w:val="nil"/>
            </w:tcBorders>
            <w:vAlign w:val="center"/>
          </w:tcPr>
          <w:p w14:paraId="1D69416C"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10,423.46</w:t>
            </w:r>
          </w:p>
        </w:tc>
        <w:tc>
          <w:tcPr>
            <w:tcW w:w="2070" w:type="dxa"/>
            <w:tcBorders>
              <w:top w:val="nil"/>
              <w:bottom w:val="nil"/>
            </w:tcBorders>
            <w:vAlign w:val="center"/>
          </w:tcPr>
          <w:p w14:paraId="69FF87A6"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287,680.9</w:t>
            </w:r>
          </w:p>
        </w:tc>
      </w:tr>
      <w:tr w:rsidR="000270C0" w:rsidRPr="000270C0" w14:paraId="79CC6B2E" w14:textId="77777777" w:rsidTr="0045270A">
        <w:trPr>
          <w:trHeight w:val="225"/>
        </w:trPr>
        <w:tc>
          <w:tcPr>
            <w:tcW w:w="1500" w:type="dxa"/>
            <w:tcBorders>
              <w:top w:val="nil"/>
              <w:bottom w:val="nil"/>
            </w:tcBorders>
            <w:vAlign w:val="bottom"/>
          </w:tcPr>
          <w:p w14:paraId="30AB092F" w14:textId="77777777" w:rsidR="009E7090" w:rsidRPr="000270C0" w:rsidRDefault="009E7090" w:rsidP="0055107D">
            <w:pPr>
              <w:autoSpaceDE w:val="0"/>
              <w:autoSpaceDN w:val="0"/>
              <w:adjustRightInd w:val="0"/>
              <w:spacing w:after="0" w:line="240" w:lineRule="auto"/>
              <w:rPr>
                <w:rFonts w:ascii="Times New Roman" w:hAnsi="Times New Roman" w:cs="Times New Roman"/>
              </w:rPr>
            </w:pPr>
            <w:r w:rsidRPr="000270C0">
              <w:rPr>
                <w:rFonts w:ascii="Times New Roman" w:hAnsi="Times New Roman" w:cs="Times New Roman"/>
              </w:rPr>
              <w:t>Sum Sq. Dev.</w:t>
            </w:r>
          </w:p>
        </w:tc>
        <w:tc>
          <w:tcPr>
            <w:tcW w:w="1620" w:type="dxa"/>
            <w:tcBorders>
              <w:top w:val="nil"/>
              <w:bottom w:val="nil"/>
            </w:tcBorders>
            <w:vAlign w:val="center"/>
          </w:tcPr>
          <w:p w14:paraId="2C8C1FA6"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3.38E+10</w:t>
            </w:r>
          </w:p>
        </w:tc>
        <w:tc>
          <w:tcPr>
            <w:tcW w:w="2070" w:type="dxa"/>
            <w:tcBorders>
              <w:top w:val="nil"/>
              <w:bottom w:val="nil"/>
            </w:tcBorders>
            <w:vAlign w:val="center"/>
          </w:tcPr>
          <w:p w14:paraId="16A6F966"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1.13E+08</w:t>
            </w:r>
          </w:p>
        </w:tc>
        <w:tc>
          <w:tcPr>
            <w:tcW w:w="2070" w:type="dxa"/>
            <w:tcBorders>
              <w:top w:val="nil"/>
              <w:bottom w:val="nil"/>
            </w:tcBorders>
            <w:vAlign w:val="center"/>
          </w:tcPr>
          <w:p w14:paraId="1EBA8C95"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8,222,340</w:t>
            </w:r>
          </w:p>
        </w:tc>
        <w:tc>
          <w:tcPr>
            <w:tcW w:w="2070" w:type="dxa"/>
            <w:tcBorders>
              <w:top w:val="nil"/>
              <w:bottom w:val="nil"/>
            </w:tcBorders>
            <w:vAlign w:val="center"/>
          </w:tcPr>
          <w:p w14:paraId="75AFF163"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4.08E+09</w:t>
            </w:r>
          </w:p>
        </w:tc>
      </w:tr>
      <w:tr w:rsidR="000270C0" w:rsidRPr="000270C0" w14:paraId="73CC5527" w14:textId="77777777" w:rsidTr="0045270A">
        <w:trPr>
          <w:trHeight w:val="225"/>
        </w:trPr>
        <w:tc>
          <w:tcPr>
            <w:tcW w:w="1500" w:type="dxa"/>
            <w:tcBorders>
              <w:top w:val="nil"/>
              <w:bottom w:val="single" w:sz="4" w:space="0" w:color="auto"/>
            </w:tcBorders>
            <w:vAlign w:val="bottom"/>
          </w:tcPr>
          <w:p w14:paraId="3238CC9B" w14:textId="77777777" w:rsidR="009E7090" w:rsidRPr="000270C0" w:rsidRDefault="009E7090" w:rsidP="0055107D">
            <w:pPr>
              <w:autoSpaceDE w:val="0"/>
              <w:autoSpaceDN w:val="0"/>
              <w:adjustRightInd w:val="0"/>
              <w:spacing w:after="0" w:line="240" w:lineRule="auto"/>
              <w:rPr>
                <w:rFonts w:ascii="Times New Roman" w:hAnsi="Times New Roman" w:cs="Times New Roman"/>
              </w:rPr>
            </w:pPr>
            <w:r w:rsidRPr="000270C0">
              <w:rPr>
                <w:rFonts w:ascii="Times New Roman" w:hAnsi="Times New Roman" w:cs="Times New Roman"/>
              </w:rPr>
              <w:t>Observations</w:t>
            </w:r>
          </w:p>
        </w:tc>
        <w:tc>
          <w:tcPr>
            <w:tcW w:w="1620" w:type="dxa"/>
            <w:tcBorders>
              <w:top w:val="nil"/>
              <w:bottom w:val="single" w:sz="4" w:space="0" w:color="auto"/>
            </w:tcBorders>
            <w:vAlign w:val="center"/>
          </w:tcPr>
          <w:p w14:paraId="480E2AC1"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44</w:t>
            </w:r>
          </w:p>
        </w:tc>
        <w:tc>
          <w:tcPr>
            <w:tcW w:w="2070" w:type="dxa"/>
            <w:tcBorders>
              <w:top w:val="nil"/>
              <w:bottom w:val="single" w:sz="4" w:space="0" w:color="auto"/>
            </w:tcBorders>
            <w:vAlign w:val="center"/>
          </w:tcPr>
          <w:p w14:paraId="628AFCC9"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44</w:t>
            </w:r>
          </w:p>
        </w:tc>
        <w:tc>
          <w:tcPr>
            <w:tcW w:w="2070" w:type="dxa"/>
            <w:tcBorders>
              <w:top w:val="nil"/>
              <w:bottom w:val="single" w:sz="4" w:space="0" w:color="auto"/>
            </w:tcBorders>
            <w:vAlign w:val="center"/>
          </w:tcPr>
          <w:p w14:paraId="0910A096"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44</w:t>
            </w:r>
          </w:p>
        </w:tc>
        <w:tc>
          <w:tcPr>
            <w:tcW w:w="2070" w:type="dxa"/>
            <w:tcBorders>
              <w:top w:val="nil"/>
              <w:bottom w:val="single" w:sz="4" w:space="0" w:color="auto"/>
            </w:tcBorders>
            <w:vAlign w:val="center"/>
          </w:tcPr>
          <w:p w14:paraId="5DED4DBE" w14:textId="77777777" w:rsidR="009E7090" w:rsidRPr="000270C0" w:rsidRDefault="009E7090" w:rsidP="0055107D">
            <w:pPr>
              <w:spacing w:after="0" w:line="240" w:lineRule="auto"/>
              <w:jc w:val="center"/>
              <w:rPr>
                <w:rFonts w:ascii="Times New Roman" w:hAnsi="Times New Roman" w:cs="Times New Roman"/>
              </w:rPr>
            </w:pPr>
            <w:r w:rsidRPr="000270C0">
              <w:rPr>
                <w:rFonts w:ascii="Times New Roman" w:eastAsia="Times New Roman" w:hAnsi="Times New Roman" w:cs="Times New Roman"/>
              </w:rPr>
              <w:t>44</w:t>
            </w:r>
          </w:p>
        </w:tc>
      </w:tr>
    </w:tbl>
    <w:p w14:paraId="00EB9EED" w14:textId="77777777" w:rsidR="009456AF" w:rsidRPr="000270C0" w:rsidRDefault="009456AF" w:rsidP="0055107D">
      <w:pPr>
        <w:spacing w:line="240" w:lineRule="auto"/>
        <w:jc w:val="both"/>
        <w:rPr>
          <w:rFonts w:ascii="Times New Roman" w:hAnsi="Times New Roman" w:cs="Times New Roman"/>
          <w:sz w:val="24"/>
          <w:szCs w:val="24"/>
        </w:rPr>
      </w:pPr>
      <w:r w:rsidRPr="000270C0">
        <w:rPr>
          <w:rFonts w:ascii="Times New Roman" w:hAnsi="Times New Roman" w:cs="Times New Roman"/>
          <w:b/>
          <w:bCs/>
          <w:sz w:val="24"/>
          <w:szCs w:val="24"/>
        </w:rPr>
        <w:t xml:space="preserve">Source: </w:t>
      </w:r>
      <w:r w:rsidRPr="000270C0">
        <w:rPr>
          <w:rFonts w:ascii="Times New Roman" w:hAnsi="Times New Roman" w:cs="Times New Roman"/>
          <w:sz w:val="24"/>
          <w:szCs w:val="24"/>
        </w:rPr>
        <w:t>Researcher’s Computation (202</w:t>
      </w:r>
      <w:r w:rsidR="002B678A" w:rsidRPr="000270C0">
        <w:rPr>
          <w:rFonts w:ascii="Times New Roman" w:hAnsi="Times New Roman" w:cs="Times New Roman"/>
          <w:sz w:val="24"/>
          <w:szCs w:val="24"/>
        </w:rPr>
        <w:t>6</w:t>
      </w:r>
      <w:r w:rsidRPr="000270C0">
        <w:rPr>
          <w:rFonts w:ascii="Times New Roman" w:hAnsi="Times New Roman" w:cs="Times New Roman"/>
          <w:sz w:val="24"/>
          <w:szCs w:val="24"/>
        </w:rPr>
        <w:t>)</w:t>
      </w:r>
    </w:p>
    <w:p w14:paraId="6A3C90FC" w14:textId="49C1FCA8" w:rsidR="009456AF" w:rsidRPr="000270C0" w:rsidRDefault="006E7233" w:rsidP="00785BD5">
      <w:pPr>
        <w:spacing w:before="80" w:after="80"/>
        <w:ind w:firstLine="720"/>
        <w:jc w:val="both"/>
        <w:rPr>
          <w:rFonts w:ascii="Times New Roman" w:hAnsi="Times New Roman" w:cs="Times New Roman"/>
          <w:sz w:val="24"/>
          <w:szCs w:val="24"/>
        </w:rPr>
      </w:pPr>
      <w:r w:rsidRPr="000270C0">
        <w:rPr>
          <w:rFonts w:ascii="Times New Roman" w:eastAsia="Times New Roman" w:hAnsi="Times New Roman" w:cs="Times New Roman"/>
          <w:sz w:val="24"/>
          <w:szCs w:val="24"/>
        </w:rPr>
        <w:t>Table 4.1 results show that the mean value of the dependent variable, Foreign Direct Investment (FDI) and the independent variables Environmental Sustainability Index (ESI), Social Sustainability Index (SSI) and Governance Sustainability Index (GSI) during the study period (19812024) was about 17,678.50, 1,308.08, 2 The median values for FDI, ESI, SSI, and GSI were approximately 2,907.37, 579.74, 4.95, and 1,037.20 respectively. The large standard deviations especially of FDI (28,033.65) and GSI (9,737.47) are indicative of the variable nature of foreign investment and governance indicators as they vary significantly across time. The skewness of FDI (2.098), ESI (1.427), SSI (1.786) and GSI (1.897) are positive, which implies skewness is right-skewed (positively skewed) meaning that most of the values are concentrated at the low end, with few being extremely large. All variables have kurtosis values exceeding 3, which implies that their distributions are leptokurtic with heavier tails, and a higher peak than that of a normal distribution</w:t>
      </w:r>
      <w:r w:rsidR="0045270A" w:rsidRPr="000270C0">
        <w:rPr>
          <w:rFonts w:ascii="Times New Roman" w:eastAsia="Times New Roman" w:hAnsi="Times New Roman" w:cs="Times New Roman"/>
          <w:sz w:val="24"/>
          <w:szCs w:val="24"/>
        </w:rPr>
        <w:t xml:space="preserve">. </w:t>
      </w:r>
    </w:p>
    <w:p w14:paraId="3092F7CE" w14:textId="77777777" w:rsidR="00B474F3" w:rsidRPr="000270C0" w:rsidRDefault="009456AF" w:rsidP="00B474F3">
      <w:pPr>
        <w:spacing w:after="0" w:line="240" w:lineRule="auto"/>
        <w:jc w:val="both"/>
        <w:rPr>
          <w:rFonts w:ascii="Times New Roman" w:hAnsi="Times New Roman" w:cs="Times New Roman"/>
          <w:b/>
          <w:bCs/>
          <w:sz w:val="24"/>
          <w:szCs w:val="24"/>
        </w:rPr>
      </w:pPr>
      <w:r w:rsidRPr="000270C0">
        <w:rPr>
          <w:rFonts w:ascii="Times New Roman" w:hAnsi="Times New Roman" w:cs="Times New Roman"/>
          <w:b/>
          <w:bCs/>
          <w:sz w:val="24"/>
          <w:szCs w:val="24"/>
        </w:rPr>
        <w:t>Correlation Analysis</w:t>
      </w:r>
    </w:p>
    <w:p w14:paraId="11395A21" w14:textId="77777777" w:rsidR="00785BD5" w:rsidRPr="000270C0" w:rsidRDefault="00785BD5" w:rsidP="00B474F3">
      <w:pPr>
        <w:spacing w:after="0" w:line="240" w:lineRule="auto"/>
        <w:ind w:firstLine="720"/>
        <w:jc w:val="both"/>
        <w:rPr>
          <w:rFonts w:ascii="Times New Roman" w:hAnsi="Times New Roman" w:cs="Times New Roman"/>
          <w:b/>
          <w:bCs/>
          <w:sz w:val="24"/>
          <w:szCs w:val="24"/>
        </w:rPr>
      </w:pPr>
      <w:r w:rsidRPr="000270C0">
        <w:rPr>
          <w:rFonts w:ascii="Times New Roman" w:eastAsia="Times New Roman" w:hAnsi="Times New Roman" w:cs="Times New Roman"/>
          <w:sz w:val="24"/>
          <w:szCs w:val="24"/>
        </w:rPr>
        <w:t>The correlation matrix is presented in Table 4.</w:t>
      </w:r>
      <w:r w:rsidR="00B474F3" w:rsidRPr="000270C0">
        <w:rPr>
          <w:rFonts w:ascii="Times New Roman" w:eastAsia="Times New Roman" w:hAnsi="Times New Roman" w:cs="Times New Roman"/>
          <w:sz w:val="24"/>
          <w:szCs w:val="24"/>
        </w:rPr>
        <w:t>2</w:t>
      </w:r>
      <w:r w:rsidRPr="000270C0">
        <w:rPr>
          <w:rFonts w:ascii="Times New Roman" w:eastAsia="Times New Roman" w:hAnsi="Times New Roman" w:cs="Times New Roman"/>
          <w:sz w:val="24"/>
          <w:szCs w:val="24"/>
        </w:rPr>
        <w:t>.</w:t>
      </w:r>
    </w:p>
    <w:p w14:paraId="6043519E" w14:textId="77777777" w:rsidR="009456AF" w:rsidRPr="000270C0" w:rsidRDefault="009456AF" w:rsidP="009456AF">
      <w:pPr>
        <w:spacing w:after="0" w:line="240" w:lineRule="auto"/>
        <w:rPr>
          <w:rFonts w:ascii="Times New Roman" w:eastAsia="Times New Roman" w:hAnsi="Times New Roman" w:cs="Times New Roman"/>
          <w:sz w:val="24"/>
          <w:szCs w:val="24"/>
        </w:rPr>
      </w:pPr>
      <w:r w:rsidRPr="000270C0">
        <w:rPr>
          <w:rFonts w:ascii="Times New Roman" w:eastAsia="Times New Roman" w:hAnsi="Times New Roman" w:cs="Times New Roman"/>
          <w:b/>
          <w:bCs/>
          <w:sz w:val="24"/>
          <w:szCs w:val="24"/>
        </w:rPr>
        <w:t>Table 4.</w:t>
      </w:r>
      <w:r w:rsidR="00785BD5" w:rsidRPr="000270C0">
        <w:rPr>
          <w:rFonts w:ascii="Times New Roman" w:eastAsia="Times New Roman" w:hAnsi="Times New Roman" w:cs="Times New Roman"/>
          <w:b/>
          <w:bCs/>
          <w:sz w:val="24"/>
          <w:szCs w:val="24"/>
        </w:rPr>
        <w:t>2</w:t>
      </w:r>
      <w:r w:rsidRPr="000270C0">
        <w:rPr>
          <w:rFonts w:ascii="Times New Roman" w:eastAsia="Times New Roman" w:hAnsi="Times New Roman" w:cs="Times New Roman"/>
          <w:b/>
          <w:bCs/>
          <w:sz w:val="24"/>
          <w:szCs w:val="24"/>
        </w:rPr>
        <w:t xml:space="preserve">: </w:t>
      </w:r>
      <w:r w:rsidRPr="000270C0">
        <w:rPr>
          <w:rFonts w:ascii="Times New Roman" w:eastAsia="Times New Roman" w:hAnsi="Times New Roman" w:cs="Times New Roman"/>
          <w:sz w:val="24"/>
          <w:szCs w:val="24"/>
        </w:rPr>
        <w:t>Correlation Analysis Result</w:t>
      </w:r>
    </w:p>
    <w:tbl>
      <w:tblPr>
        <w:tblW w:w="0" w:type="auto"/>
        <w:tblInd w:w="30" w:type="dxa"/>
        <w:tblLayout w:type="fixed"/>
        <w:tblCellMar>
          <w:left w:w="0" w:type="dxa"/>
          <w:right w:w="0" w:type="dxa"/>
        </w:tblCellMar>
        <w:tblLook w:val="0000" w:firstRow="0" w:lastRow="0" w:firstColumn="0" w:lastColumn="0" w:noHBand="0" w:noVBand="0"/>
      </w:tblPr>
      <w:tblGrid>
        <w:gridCol w:w="1282"/>
        <w:gridCol w:w="1313"/>
        <w:gridCol w:w="1312"/>
        <w:gridCol w:w="1313"/>
        <w:gridCol w:w="1312"/>
      </w:tblGrid>
      <w:tr w:rsidR="000270C0" w:rsidRPr="000270C0" w14:paraId="0DFA96B1" w14:textId="77777777" w:rsidTr="00B56FF0">
        <w:trPr>
          <w:trHeight w:val="225"/>
        </w:trPr>
        <w:tc>
          <w:tcPr>
            <w:tcW w:w="1282" w:type="dxa"/>
            <w:tcBorders>
              <w:top w:val="single" w:sz="4" w:space="0" w:color="auto"/>
              <w:left w:val="nil"/>
              <w:bottom w:val="single" w:sz="4" w:space="0" w:color="auto"/>
              <w:right w:val="nil"/>
            </w:tcBorders>
            <w:vAlign w:val="center"/>
          </w:tcPr>
          <w:p w14:paraId="119F0BFE" w14:textId="77777777" w:rsidR="00785BD5" w:rsidRPr="000270C0" w:rsidRDefault="00785BD5" w:rsidP="00785BD5">
            <w:pPr>
              <w:spacing w:after="0" w:line="240" w:lineRule="auto"/>
              <w:jc w:val="center"/>
              <w:rPr>
                <w:rFonts w:ascii="Times New Roman" w:hAnsi="Times New Roman" w:cs="Times New Roman"/>
              </w:rPr>
            </w:pPr>
          </w:p>
        </w:tc>
        <w:tc>
          <w:tcPr>
            <w:tcW w:w="1313" w:type="dxa"/>
            <w:tcBorders>
              <w:top w:val="single" w:sz="4" w:space="0" w:color="auto"/>
              <w:left w:val="nil"/>
              <w:bottom w:val="single" w:sz="4" w:space="0" w:color="auto"/>
              <w:right w:val="nil"/>
            </w:tcBorders>
            <w:vAlign w:val="center"/>
          </w:tcPr>
          <w:p w14:paraId="1D9BD0D7" w14:textId="77777777" w:rsidR="00785BD5" w:rsidRPr="000270C0" w:rsidRDefault="00785BD5" w:rsidP="00785BD5">
            <w:pPr>
              <w:spacing w:after="0" w:line="240" w:lineRule="auto"/>
              <w:jc w:val="center"/>
              <w:rPr>
                <w:rFonts w:ascii="Times New Roman" w:hAnsi="Times New Roman" w:cs="Times New Roman"/>
              </w:rPr>
            </w:pPr>
            <w:r w:rsidRPr="000270C0">
              <w:rPr>
                <w:rFonts w:ascii="Times New Roman" w:eastAsia="Times New Roman" w:hAnsi="Times New Roman" w:cs="Times New Roman"/>
                <w:b/>
                <w:bCs/>
              </w:rPr>
              <w:t>FDI</w:t>
            </w:r>
          </w:p>
        </w:tc>
        <w:tc>
          <w:tcPr>
            <w:tcW w:w="1312" w:type="dxa"/>
            <w:tcBorders>
              <w:top w:val="single" w:sz="4" w:space="0" w:color="auto"/>
              <w:left w:val="nil"/>
              <w:bottom w:val="single" w:sz="4" w:space="0" w:color="auto"/>
              <w:right w:val="nil"/>
            </w:tcBorders>
            <w:vAlign w:val="center"/>
          </w:tcPr>
          <w:p w14:paraId="7DA7791B" w14:textId="77777777" w:rsidR="00785BD5" w:rsidRPr="000270C0" w:rsidRDefault="00785BD5" w:rsidP="00785BD5">
            <w:pPr>
              <w:spacing w:after="0" w:line="240" w:lineRule="auto"/>
              <w:jc w:val="center"/>
              <w:rPr>
                <w:rFonts w:ascii="Times New Roman" w:hAnsi="Times New Roman" w:cs="Times New Roman"/>
              </w:rPr>
            </w:pPr>
            <w:r w:rsidRPr="000270C0">
              <w:rPr>
                <w:rFonts w:ascii="Times New Roman" w:eastAsia="Times New Roman" w:hAnsi="Times New Roman" w:cs="Times New Roman"/>
                <w:b/>
                <w:bCs/>
              </w:rPr>
              <w:t>ESI</w:t>
            </w:r>
          </w:p>
        </w:tc>
        <w:tc>
          <w:tcPr>
            <w:tcW w:w="1313" w:type="dxa"/>
            <w:tcBorders>
              <w:top w:val="single" w:sz="4" w:space="0" w:color="auto"/>
              <w:left w:val="nil"/>
              <w:bottom w:val="single" w:sz="4" w:space="0" w:color="auto"/>
              <w:right w:val="nil"/>
            </w:tcBorders>
            <w:vAlign w:val="center"/>
          </w:tcPr>
          <w:p w14:paraId="1CDDF912" w14:textId="77777777" w:rsidR="00785BD5" w:rsidRPr="000270C0" w:rsidRDefault="00785BD5" w:rsidP="00785BD5">
            <w:pPr>
              <w:spacing w:after="0" w:line="240" w:lineRule="auto"/>
              <w:jc w:val="center"/>
              <w:rPr>
                <w:rFonts w:ascii="Times New Roman" w:hAnsi="Times New Roman" w:cs="Times New Roman"/>
              </w:rPr>
            </w:pPr>
            <w:r w:rsidRPr="000270C0">
              <w:rPr>
                <w:rFonts w:ascii="Times New Roman" w:eastAsia="Times New Roman" w:hAnsi="Times New Roman" w:cs="Times New Roman"/>
                <w:b/>
                <w:bCs/>
              </w:rPr>
              <w:t>SSI</w:t>
            </w:r>
          </w:p>
        </w:tc>
        <w:tc>
          <w:tcPr>
            <w:tcW w:w="1312" w:type="dxa"/>
            <w:tcBorders>
              <w:top w:val="single" w:sz="4" w:space="0" w:color="auto"/>
              <w:left w:val="nil"/>
              <w:bottom w:val="single" w:sz="4" w:space="0" w:color="auto"/>
              <w:right w:val="nil"/>
            </w:tcBorders>
            <w:vAlign w:val="center"/>
          </w:tcPr>
          <w:p w14:paraId="0AA8EF8C" w14:textId="77777777" w:rsidR="00785BD5" w:rsidRPr="000270C0" w:rsidRDefault="00785BD5" w:rsidP="00785BD5">
            <w:pPr>
              <w:spacing w:after="0" w:line="240" w:lineRule="auto"/>
              <w:jc w:val="center"/>
              <w:rPr>
                <w:rFonts w:ascii="Times New Roman" w:hAnsi="Times New Roman" w:cs="Times New Roman"/>
              </w:rPr>
            </w:pPr>
            <w:r w:rsidRPr="000270C0">
              <w:rPr>
                <w:rFonts w:ascii="Times New Roman" w:eastAsia="Times New Roman" w:hAnsi="Times New Roman" w:cs="Times New Roman"/>
                <w:b/>
                <w:bCs/>
              </w:rPr>
              <w:t>GSI</w:t>
            </w:r>
          </w:p>
        </w:tc>
      </w:tr>
      <w:tr w:rsidR="000270C0" w:rsidRPr="000270C0" w14:paraId="522775AA" w14:textId="77777777" w:rsidTr="00B56FF0">
        <w:trPr>
          <w:trHeight w:val="225"/>
        </w:trPr>
        <w:tc>
          <w:tcPr>
            <w:tcW w:w="1282" w:type="dxa"/>
            <w:tcBorders>
              <w:top w:val="single" w:sz="4" w:space="0" w:color="auto"/>
              <w:left w:val="nil"/>
              <w:bottom w:val="nil"/>
              <w:right w:val="nil"/>
            </w:tcBorders>
            <w:vAlign w:val="center"/>
          </w:tcPr>
          <w:p w14:paraId="6173CD0E" w14:textId="77777777" w:rsidR="00785BD5" w:rsidRPr="000270C0" w:rsidRDefault="00785BD5" w:rsidP="00785BD5">
            <w:pPr>
              <w:spacing w:after="0" w:line="240" w:lineRule="auto"/>
              <w:rPr>
                <w:rFonts w:ascii="Times New Roman" w:hAnsi="Times New Roman" w:cs="Times New Roman"/>
              </w:rPr>
            </w:pPr>
            <w:r w:rsidRPr="000270C0">
              <w:rPr>
                <w:rFonts w:ascii="Times New Roman" w:eastAsia="Times New Roman" w:hAnsi="Times New Roman" w:cs="Times New Roman"/>
              </w:rPr>
              <w:t>FDI</w:t>
            </w:r>
          </w:p>
        </w:tc>
        <w:tc>
          <w:tcPr>
            <w:tcW w:w="1313" w:type="dxa"/>
            <w:tcBorders>
              <w:top w:val="single" w:sz="4" w:space="0" w:color="auto"/>
              <w:left w:val="nil"/>
              <w:bottom w:val="nil"/>
              <w:right w:val="nil"/>
            </w:tcBorders>
            <w:vAlign w:val="center"/>
          </w:tcPr>
          <w:p w14:paraId="328E7A3D" w14:textId="77777777" w:rsidR="00785BD5" w:rsidRPr="000270C0" w:rsidRDefault="00785BD5" w:rsidP="00785BD5">
            <w:pPr>
              <w:spacing w:after="0" w:line="240" w:lineRule="auto"/>
              <w:jc w:val="center"/>
              <w:rPr>
                <w:rFonts w:ascii="Times New Roman" w:hAnsi="Times New Roman" w:cs="Times New Roman"/>
              </w:rPr>
            </w:pPr>
            <w:r w:rsidRPr="000270C0">
              <w:rPr>
                <w:rFonts w:ascii="Times New Roman" w:eastAsia="Times New Roman" w:hAnsi="Times New Roman" w:cs="Times New Roman"/>
              </w:rPr>
              <w:t>1.000000</w:t>
            </w:r>
          </w:p>
        </w:tc>
        <w:tc>
          <w:tcPr>
            <w:tcW w:w="1312" w:type="dxa"/>
            <w:tcBorders>
              <w:top w:val="single" w:sz="4" w:space="0" w:color="auto"/>
              <w:left w:val="nil"/>
              <w:bottom w:val="nil"/>
              <w:right w:val="nil"/>
            </w:tcBorders>
            <w:vAlign w:val="center"/>
          </w:tcPr>
          <w:p w14:paraId="1EF43C12" w14:textId="77777777" w:rsidR="00785BD5" w:rsidRPr="000270C0" w:rsidRDefault="00785BD5" w:rsidP="00785BD5">
            <w:pPr>
              <w:spacing w:after="0" w:line="240" w:lineRule="auto"/>
              <w:jc w:val="center"/>
              <w:rPr>
                <w:rFonts w:ascii="Times New Roman" w:hAnsi="Times New Roman" w:cs="Times New Roman"/>
              </w:rPr>
            </w:pPr>
          </w:p>
        </w:tc>
        <w:tc>
          <w:tcPr>
            <w:tcW w:w="1313" w:type="dxa"/>
            <w:tcBorders>
              <w:top w:val="single" w:sz="4" w:space="0" w:color="auto"/>
              <w:left w:val="nil"/>
              <w:bottom w:val="nil"/>
              <w:right w:val="nil"/>
            </w:tcBorders>
            <w:vAlign w:val="center"/>
          </w:tcPr>
          <w:p w14:paraId="1AB14413" w14:textId="77777777" w:rsidR="00785BD5" w:rsidRPr="000270C0" w:rsidRDefault="00785BD5" w:rsidP="00785BD5">
            <w:pPr>
              <w:spacing w:after="0" w:line="240" w:lineRule="auto"/>
              <w:jc w:val="center"/>
              <w:rPr>
                <w:rFonts w:ascii="Times New Roman" w:hAnsi="Times New Roman" w:cs="Times New Roman"/>
              </w:rPr>
            </w:pPr>
          </w:p>
        </w:tc>
        <w:tc>
          <w:tcPr>
            <w:tcW w:w="1312" w:type="dxa"/>
            <w:tcBorders>
              <w:top w:val="single" w:sz="4" w:space="0" w:color="auto"/>
              <w:left w:val="nil"/>
              <w:bottom w:val="nil"/>
              <w:right w:val="nil"/>
            </w:tcBorders>
            <w:vAlign w:val="center"/>
          </w:tcPr>
          <w:p w14:paraId="1D8D55F6" w14:textId="77777777" w:rsidR="00785BD5" w:rsidRPr="000270C0" w:rsidRDefault="00785BD5" w:rsidP="00785BD5">
            <w:pPr>
              <w:spacing w:after="0" w:line="240" w:lineRule="auto"/>
              <w:jc w:val="center"/>
              <w:rPr>
                <w:rFonts w:ascii="Times New Roman" w:hAnsi="Times New Roman" w:cs="Times New Roman"/>
              </w:rPr>
            </w:pPr>
          </w:p>
        </w:tc>
      </w:tr>
      <w:tr w:rsidR="000270C0" w:rsidRPr="000270C0" w14:paraId="0886EE38" w14:textId="77777777" w:rsidTr="00B56FF0">
        <w:trPr>
          <w:trHeight w:val="225"/>
        </w:trPr>
        <w:tc>
          <w:tcPr>
            <w:tcW w:w="1282" w:type="dxa"/>
            <w:tcBorders>
              <w:top w:val="nil"/>
              <w:left w:val="nil"/>
              <w:right w:val="nil"/>
            </w:tcBorders>
            <w:vAlign w:val="center"/>
          </w:tcPr>
          <w:p w14:paraId="4ED9D68B" w14:textId="77777777" w:rsidR="00785BD5" w:rsidRPr="000270C0" w:rsidRDefault="00785BD5" w:rsidP="00785BD5">
            <w:pPr>
              <w:spacing w:after="0" w:line="240" w:lineRule="auto"/>
              <w:rPr>
                <w:rFonts w:ascii="Times New Roman" w:hAnsi="Times New Roman" w:cs="Times New Roman"/>
              </w:rPr>
            </w:pPr>
            <w:r w:rsidRPr="000270C0">
              <w:rPr>
                <w:rFonts w:ascii="Times New Roman" w:eastAsia="Times New Roman" w:hAnsi="Times New Roman" w:cs="Times New Roman"/>
              </w:rPr>
              <w:lastRenderedPageBreak/>
              <w:t>ESI</w:t>
            </w:r>
          </w:p>
        </w:tc>
        <w:tc>
          <w:tcPr>
            <w:tcW w:w="1313" w:type="dxa"/>
            <w:tcBorders>
              <w:top w:val="nil"/>
              <w:left w:val="nil"/>
              <w:right w:val="nil"/>
            </w:tcBorders>
            <w:vAlign w:val="center"/>
          </w:tcPr>
          <w:p w14:paraId="16087FE5" w14:textId="77777777" w:rsidR="00785BD5" w:rsidRPr="000270C0" w:rsidRDefault="00785BD5" w:rsidP="00785BD5">
            <w:pPr>
              <w:spacing w:after="0" w:line="240" w:lineRule="auto"/>
              <w:jc w:val="center"/>
              <w:rPr>
                <w:rFonts w:ascii="Times New Roman" w:hAnsi="Times New Roman" w:cs="Times New Roman"/>
              </w:rPr>
            </w:pPr>
            <w:r w:rsidRPr="000270C0">
              <w:rPr>
                <w:rFonts w:ascii="Times New Roman" w:eastAsia="Times New Roman" w:hAnsi="Times New Roman" w:cs="Times New Roman"/>
              </w:rPr>
              <w:t>0.956726</w:t>
            </w:r>
          </w:p>
        </w:tc>
        <w:tc>
          <w:tcPr>
            <w:tcW w:w="1312" w:type="dxa"/>
            <w:tcBorders>
              <w:top w:val="nil"/>
              <w:left w:val="nil"/>
              <w:right w:val="nil"/>
            </w:tcBorders>
            <w:vAlign w:val="center"/>
          </w:tcPr>
          <w:p w14:paraId="5F1F2F29" w14:textId="77777777" w:rsidR="00785BD5" w:rsidRPr="000270C0" w:rsidRDefault="00785BD5" w:rsidP="00785BD5">
            <w:pPr>
              <w:spacing w:after="0" w:line="240" w:lineRule="auto"/>
              <w:jc w:val="center"/>
              <w:rPr>
                <w:rFonts w:ascii="Times New Roman" w:hAnsi="Times New Roman" w:cs="Times New Roman"/>
              </w:rPr>
            </w:pPr>
            <w:r w:rsidRPr="000270C0">
              <w:rPr>
                <w:rFonts w:ascii="Times New Roman" w:eastAsia="Times New Roman" w:hAnsi="Times New Roman" w:cs="Times New Roman"/>
              </w:rPr>
              <w:t>1.000000</w:t>
            </w:r>
          </w:p>
        </w:tc>
        <w:tc>
          <w:tcPr>
            <w:tcW w:w="1313" w:type="dxa"/>
            <w:tcBorders>
              <w:top w:val="nil"/>
              <w:left w:val="nil"/>
              <w:right w:val="nil"/>
            </w:tcBorders>
            <w:vAlign w:val="center"/>
          </w:tcPr>
          <w:p w14:paraId="4A610FDC" w14:textId="77777777" w:rsidR="00785BD5" w:rsidRPr="000270C0" w:rsidRDefault="00785BD5" w:rsidP="00785BD5">
            <w:pPr>
              <w:spacing w:after="0" w:line="240" w:lineRule="auto"/>
              <w:jc w:val="center"/>
              <w:rPr>
                <w:rFonts w:ascii="Times New Roman" w:hAnsi="Times New Roman" w:cs="Times New Roman"/>
              </w:rPr>
            </w:pPr>
          </w:p>
        </w:tc>
        <w:tc>
          <w:tcPr>
            <w:tcW w:w="1312" w:type="dxa"/>
            <w:tcBorders>
              <w:top w:val="nil"/>
              <w:left w:val="nil"/>
              <w:right w:val="nil"/>
            </w:tcBorders>
            <w:vAlign w:val="center"/>
          </w:tcPr>
          <w:p w14:paraId="08AA4E35" w14:textId="77777777" w:rsidR="00785BD5" w:rsidRPr="000270C0" w:rsidRDefault="00785BD5" w:rsidP="00785BD5">
            <w:pPr>
              <w:spacing w:after="0" w:line="240" w:lineRule="auto"/>
              <w:jc w:val="center"/>
              <w:rPr>
                <w:rFonts w:ascii="Times New Roman" w:hAnsi="Times New Roman" w:cs="Times New Roman"/>
              </w:rPr>
            </w:pPr>
          </w:p>
        </w:tc>
      </w:tr>
      <w:tr w:rsidR="000270C0" w:rsidRPr="000270C0" w14:paraId="179D849B" w14:textId="77777777" w:rsidTr="00B56FF0">
        <w:trPr>
          <w:trHeight w:val="225"/>
        </w:trPr>
        <w:tc>
          <w:tcPr>
            <w:tcW w:w="1282" w:type="dxa"/>
            <w:tcBorders>
              <w:top w:val="nil"/>
              <w:left w:val="nil"/>
              <w:bottom w:val="nil"/>
              <w:right w:val="nil"/>
            </w:tcBorders>
            <w:vAlign w:val="center"/>
          </w:tcPr>
          <w:p w14:paraId="3B6D9F34" w14:textId="77777777" w:rsidR="00785BD5" w:rsidRPr="000270C0" w:rsidRDefault="00785BD5" w:rsidP="00785BD5">
            <w:pPr>
              <w:spacing w:after="0" w:line="240" w:lineRule="auto"/>
              <w:rPr>
                <w:rFonts w:ascii="Times New Roman" w:hAnsi="Times New Roman" w:cs="Times New Roman"/>
              </w:rPr>
            </w:pPr>
            <w:r w:rsidRPr="000270C0">
              <w:rPr>
                <w:rFonts w:ascii="Times New Roman" w:eastAsia="Times New Roman" w:hAnsi="Times New Roman" w:cs="Times New Roman"/>
              </w:rPr>
              <w:t>SSI</w:t>
            </w:r>
          </w:p>
        </w:tc>
        <w:tc>
          <w:tcPr>
            <w:tcW w:w="1313" w:type="dxa"/>
            <w:tcBorders>
              <w:top w:val="nil"/>
              <w:left w:val="nil"/>
              <w:bottom w:val="nil"/>
              <w:right w:val="nil"/>
            </w:tcBorders>
            <w:vAlign w:val="center"/>
          </w:tcPr>
          <w:p w14:paraId="778164F4" w14:textId="77777777" w:rsidR="00785BD5" w:rsidRPr="000270C0" w:rsidRDefault="00785BD5" w:rsidP="00785BD5">
            <w:pPr>
              <w:spacing w:after="0" w:line="240" w:lineRule="auto"/>
              <w:jc w:val="center"/>
              <w:rPr>
                <w:rFonts w:ascii="Times New Roman" w:hAnsi="Times New Roman" w:cs="Times New Roman"/>
              </w:rPr>
            </w:pPr>
            <w:r w:rsidRPr="000270C0">
              <w:rPr>
                <w:rFonts w:ascii="Times New Roman" w:eastAsia="Times New Roman" w:hAnsi="Times New Roman" w:cs="Times New Roman"/>
              </w:rPr>
              <w:t>0.709270</w:t>
            </w:r>
          </w:p>
        </w:tc>
        <w:tc>
          <w:tcPr>
            <w:tcW w:w="1312" w:type="dxa"/>
            <w:tcBorders>
              <w:top w:val="nil"/>
              <w:left w:val="nil"/>
              <w:bottom w:val="nil"/>
              <w:right w:val="nil"/>
            </w:tcBorders>
            <w:vAlign w:val="center"/>
          </w:tcPr>
          <w:p w14:paraId="3A0AE764" w14:textId="77777777" w:rsidR="00785BD5" w:rsidRPr="000270C0" w:rsidRDefault="00785BD5" w:rsidP="00785BD5">
            <w:pPr>
              <w:spacing w:after="0" w:line="240" w:lineRule="auto"/>
              <w:jc w:val="center"/>
              <w:rPr>
                <w:rFonts w:ascii="Times New Roman" w:hAnsi="Times New Roman" w:cs="Times New Roman"/>
              </w:rPr>
            </w:pPr>
            <w:r w:rsidRPr="000270C0">
              <w:rPr>
                <w:rFonts w:ascii="Times New Roman" w:eastAsia="Times New Roman" w:hAnsi="Times New Roman" w:cs="Times New Roman"/>
              </w:rPr>
              <w:t>0.740447</w:t>
            </w:r>
          </w:p>
        </w:tc>
        <w:tc>
          <w:tcPr>
            <w:tcW w:w="1313" w:type="dxa"/>
            <w:tcBorders>
              <w:top w:val="nil"/>
              <w:left w:val="nil"/>
              <w:bottom w:val="nil"/>
              <w:right w:val="nil"/>
            </w:tcBorders>
            <w:vAlign w:val="center"/>
          </w:tcPr>
          <w:p w14:paraId="4F5BBFD1" w14:textId="77777777" w:rsidR="00785BD5" w:rsidRPr="000270C0" w:rsidRDefault="00785BD5" w:rsidP="00785BD5">
            <w:pPr>
              <w:spacing w:after="0" w:line="240" w:lineRule="auto"/>
              <w:jc w:val="center"/>
              <w:rPr>
                <w:rFonts w:ascii="Times New Roman" w:hAnsi="Times New Roman" w:cs="Times New Roman"/>
              </w:rPr>
            </w:pPr>
            <w:r w:rsidRPr="000270C0">
              <w:rPr>
                <w:rFonts w:ascii="Times New Roman" w:eastAsia="Times New Roman" w:hAnsi="Times New Roman" w:cs="Times New Roman"/>
              </w:rPr>
              <w:t>1.000000</w:t>
            </w:r>
          </w:p>
        </w:tc>
        <w:tc>
          <w:tcPr>
            <w:tcW w:w="1312" w:type="dxa"/>
            <w:tcBorders>
              <w:top w:val="nil"/>
              <w:left w:val="nil"/>
              <w:bottom w:val="nil"/>
              <w:right w:val="nil"/>
            </w:tcBorders>
            <w:vAlign w:val="center"/>
          </w:tcPr>
          <w:p w14:paraId="0DDAA2A0" w14:textId="77777777" w:rsidR="00785BD5" w:rsidRPr="000270C0" w:rsidRDefault="00785BD5" w:rsidP="00785BD5">
            <w:pPr>
              <w:spacing w:after="0" w:line="240" w:lineRule="auto"/>
              <w:jc w:val="center"/>
              <w:rPr>
                <w:rFonts w:ascii="Times New Roman" w:hAnsi="Times New Roman" w:cs="Times New Roman"/>
              </w:rPr>
            </w:pPr>
          </w:p>
        </w:tc>
      </w:tr>
      <w:tr w:rsidR="000270C0" w:rsidRPr="000270C0" w14:paraId="68266041" w14:textId="77777777" w:rsidTr="00B56FF0">
        <w:trPr>
          <w:trHeight w:val="225"/>
        </w:trPr>
        <w:tc>
          <w:tcPr>
            <w:tcW w:w="1282" w:type="dxa"/>
            <w:tcBorders>
              <w:top w:val="nil"/>
              <w:left w:val="nil"/>
              <w:bottom w:val="single" w:sz="4" w:space="0" w:color="auto"/>
              <w:right w:val="nil"/>
            </w:tcBorders>
            <w:vAlign w:val="center"/>
          </w:tcPr>
          <w:p w14:paraId="10F4F5CB" w14:textId="77777777" w:rsidR="00785BD5" w:rsidRPr="000270C0" w:rsidRDefault="00785BD5" w:rsidP="00785BD5">
            <w:pPr>
              <w:spacing w:after="0" w:line="240" w:lineRule="auto"/>
              <w:rPr>
                <w:rFonts w:ascii="Times New Roman" w:hAnsi="Times New Roman" w:cs="Times New Roman"/>
              </w:rPr>
            </w:pPr>
            <w:r w:rsidRPr="000270C0">
              <w:rPr>
                <w:rFonts w:ascii="Times New Roman" w:eastAsia="Times New Roman" w:hAnsi="Times New Roman" w:cs="Times New Roman"/>
              </w:rPr>
              <w:t>GSI</w:t>
            </w:r>
          </w:p>
        </w:tc>
        <w:tc>
          <w:tcPr>
            <w:tcW w:w="1313" w:type="dxa"/>
            <w:tcBorders>
              <w:top w:val="nil"/>
              <w:left w:val="nil"/>
              <w:bottom w:val="single" w:sz="4" w:space="0" w:color="auto"/>
              <w:right w:val="nil"/>
            </w:tcBorders>
            <w:vAlign w:val="center"/>
          </w:tcPr>
          <w:p w14:paraId="20862B2A" w14:textId="77777777" w:rsidR="00785BD5" w:rsidRPr="000270C0" w:rsidRDefault="00785BD5" w:rsidP="00785BD5">
            <w:pPr>
              <w:spacing w:after="0" w:line="240" w:lineRule="auto"/>
              <w:jc w:val="center"/>
              <w:rPr>
                <w:rFonts w:ascii="Times New Roman" w:hAnsi="Times New Roman" w:cs="Times New Roman"/>
              </w:rPr>
            </w:pPr>
            <w:r w:rsidRPr="000270C0">
              <w:rPr>
                <w:rFonts w:ascii="Times New Roman" w:eastAsia="Times New Roman" w:hAnsi="Times New Roman" w:cs="Times New Roman"/>
              </w:rPr>
              <w:t>0.988419</w:t>
            </w:r>
          </w:p>
        </w:tc>
        <w:tc>
          <w:tcPr>
            <w:tcW w:w="1312" w:type="dxa"/>
            <w:tcBorders>
              <w:top w:val="nil"/>
              <w:left w:val="nil"/>
              <w:bottom w:val="single" w:sz="4" w:space="0" w:color="auto"/>
              <w:right w:val="nil"/>
            </w:tcBorders>
            <w:vAlign w:val="center"/>
          </w:tcPr>
          <w:p w14:paraId="5632A97F" w14:textId="77777777" w:rsidR="00785BD5" w:rsidRPr="000270C0" w:rsidRDefault="00785BD5" w:rsidP="00785BD5">
            <w:pPr>
              <w:spacing w:after="0" w:line="240" w:lineRule="auto"/>
              <w:jc w:val="center"/>
              <w:rPr>
                <w:rFonts w:ascii="Times New Roman" w:hAnsi="Times New Roman" w:cs="Times New Roman"/>
              </w:rPr>
            </w:pPr>
            <w:r w:rsidRPr="000270C0">
              <w:rPr>
                <w:rFonts w:ascii="Times New Roman" w:eastAsia="Times New Roman" w:hAnsi="Times New Roman" w:cs="Times New Roman"/>
              </w:rPr>
              <w:t>0.950781</w:t>
            </w:r>
          </w:p>
        </w:tc>
        <w:tc>
          <w:tcPr>
            <w:tcW w:w="1313" w:type="dxa"/>
            <w:tcBorders>
              <w:top w:val="nil"/>
              <w:left w:val="nil"/>
              <w:bottom w:val="single" w:sz="4" w:space="0" w:color="auto"/>
              <w:right w:val="nil"/>
            </w:tcBorders>
            <w:vAlign w:val="center"/>
          </w:tcPr>
          <w:p w14:paraId="709D52A9" w14:textId="77777777" w:rsidR="00785BD5" w:rsidRPr="000270C0" w:rsidRDefault="00785BD5" w:rsidP="00785BD5">
            <w:pPr>
              <w:spacing w:after="0" w:line="240" w:lineRule="auto"/>
              <w:jc w:val="center"/>
              <w:rPr>
                <w:rFonts w:ascii="Times New Roman" w:hAnsi="Times New Roman" w:cs="Times New Roman"/>
              </w:rPr>
            </w:pPr>
            <w:r w:rsidRPr="000270C0">
              <w:rPr>
                <w:rFonts w:ascii="Times New Roman" w:eastAsia="Times New Roman" w:hAnsi="Times New Roman" w:cs="Times New Roman"/>
              </w:rPr>
              <w:t>0.731118</w:t>
            </w:r>
          </w:p>
        </w:tc>
        <w:tc>
          <w:tcPr>
            <w:tcW w:w="1312" w:type="dxa"/>
            <w:tcBorders>
              <w:top w:val="nil"/>
              <w:left w:val="nil"/>
              <w:bottom w:val="single" w:sz="4" w:space="0" w:color="auto"/>
              <w:right w:val="nil"/>
            </w:tcBorders>
            <w:vAlign w:val="center"/>
          </w:tcPr>
          <w:p w14:paraId="5E792251" w14:textId="77777777" w:rsidR="00785BD5" w:rsidRPr="000270C0" w:rsidRDefault="00785BD5" w:rsidP="00785BD5">
            <w:pPr>
              <w:spacing w:after="0" w:line="240" w:lineRule="auto"/>
              <w:jc w:val="center"/>
              <w:rPr>
                <w:rFonts w:ascii="Times New Roman" w:hAnsi="Times New Roman" w:cs="Times New Roman"/>
              </w:rPr>
            </w:pPr>
            <w:r w:rsidRPr="000270C0">
              <w:rPr>
                <w:rFonts w:ascii="Times New Roman" w:eastAsia="Times New Roman" w:hAnsi="Times New Roman" w:cs="Times New Roman"/>
              </w:rPr>
              <w:t>1.000000</w:t>
            </w:r>
          </w:p>
        </w:tc>
      </w:tr>
    </w:tbl>
    <w:p w14:paraId="23478DDC" w14:textId="77777777" w:rsidR="009456AF" w:rsidRPr="000270C0" w:rsidRDefault="009456AF" w:rsidP="006E7233">
      <w:pPr>
        <w:spacing w:line="240" w:lineRule="auto"/>
        <w:jc w:val="both"/>
        <w:rPr>
          <w:rFonts w:ascii="Times New Roman" w:eastAsia="Times New Roman" w:hAnsi="Times New Roman" w:cs="Times New Roman"/>
          <w:sz w:val="24"/>
          <w:szCs w:val="24"/>
        </w:rPr>
      </w:pPr>
      <w:r w:rsidRPr="000270C0">
        <w:rPr>
          <w:rFonts w:ascii="Times New Roman" w:eastAsia="Times New Roman" w:hAnsi="Times New Roman" w:cs="Times New Roman"/>
          <w:b/>
          <w:bCs/>
          <w:sz w:val="24"/>
          <w:szCs w:val="24"/>
        </w:rPr>
        <w:t>Source:</w:t>
      </w:r>
      <w:r w:rsidRPr="000270C0">
        <w:rPr>
          <w:rFonts w:ascii="Times New Roman" w:eastAsia="Times New Roman" w:hAnsi="Times New Roman" w:cs="Times New Roman"/>
          <w:sz w:val="24"/>
          <w:szCs w:val="24"/>
        </w:rPr>
        <w:t xml:space="preserve"> Researcher’s computation (202</w:t>
      </w:r>
      <w:r w:rsidR="00785BD5" w:rsidRPr="000270C0">
        <w:rPr>
          <w:rFonts w:ascii="Times New Roman" w:eastAsia="Times New Roman" w:hAnsi="Times New Roman" w:cs="Times New Roman"/>
          <w:sz w:val="24"/>
          <w:szCs w:val="24"/>
        </w:rPr>
        <w:t>6</w:t>
      </w:r>
      <w:r w:rsidRPr="000270C0">
        <w:rPr>
          <w:rFonts w:ascii="Times New Roman" w:eastAsia="Times New Roman" w:hAnsi="Times New Roman" w:cs="Times New Roman"/>
          <w:sz w:val="24"/>
          <w:szCs w:val="24"/>
        </w:rPr>
        <w:t>) using E-views 10.0</w:t>
      </w:r>
    </w:p>
    <w:p w14:paraId="0B19E826" w14:textId="0CB2F668" w:rsidR="00785BD5" w:rsidRPr="000270C0" w:rsidRDefault="007B120F" w:rsidP="00785BD5">
      <w:pPr>
        <w:spacing w:line="240" w:lineRule="auto"/>
        <w:ind w:firstLine="720"/>
        <w:jc w:val="both"/>
        <w:rPr>
          <w:rFonts w:ascii="Times New Roman" w:hAnsi="Times New Roman" w:cs="Times New Roman"/>
          <w:sz w:val="24"/>
          <w:szCs w:val="24"/>
        </w:rPr>
      </w:pPr>
      <w:r w:rsidRPr="000270C0">
        <w:rPr>
          <w:rFonts w:ascii="Times New Roman" w:eastAsia="Times New Roman" w:hAnsi="Times New Roman" w:cs="Times New Roman"/>
          <w:sz w:val="24"/>
          <w:szCs w:val="24"/>
        </w:rPr>
        <w:t>Table 4.2 shows the pair-wise correlation coefficients of the variables. The positive relation of FDI to GSI (0.9884) and ESI (0.9567) is very strong, which means that better levels of governance and environmental sustainability are positively related to increased foreign direct investment inflows. The relationship between FDI and SSI (0.7093) is positive and moderately high as well. ESI and GSI have the biggest correlation (0.9508), and SSI has a reasonably lower correlation with both ESI (0.7404) and GSI (0.7311). All the correlation coefficients between the independent variables, although high, are indicative of the existence of multicollinearity that is characteristic of macroeconomic sustainability indices and that should be taken with care when conducting a regression analysis</w:t>
      </w:r>
      <w:r w:rsidR="009456AF" w:rsidRPr="000270C0">
        <w:rPr>
          <w:rFonts w:ascii="Times New Roman" w:hAnsi="Times New Roman" w:cs="Times New Roman"/>
          <w:sz w:val="24"/>
          <w:szCs w:val="24"/>
        </w:rPr>
        <w:t>.</w:t>
      </w:r>
    </w:p>
    <w:p w14:paraId="7BEBA842" w14:textId="77777777" w:rsidR="00785BD5" w:rsidRPr="000270C0" w:rsidRDefault="00785BD5" w:rsidP="00785BD5">
      <w:pPr>
        <w:spacing w:after="0" w:line="240" w:lineRule="auto"/>
        <w:jc w:val="both"/>
        <w:rPr>
          <w:rFonts w:ascii="Times New Roman" w:hAnsi="Times New Roman" w:cs="Times New Roman"/>
          <w:sz w:val="24"/>
          <w:szCs w:val="24"/>
        </w:rPr>
      </w:pPr>
      <w:r w:rsidRPr="000270C0">
        <w:rPr>
          <w:rFonts w:ascii="Times New Roman" w:eastAsia="Times New Roman" w:hAnsi="Times New Roman" w:cs="Times New Roman"/>
          <w:b/>
          <w:bCs/>
          <w:sz w:val="24"/>
          <w:szCs w:val="24"/>
        </w:rPr>
        <w:t>Test for Stationarity: Levin-Lin-Chu (LLC) Unit Root Test</w:t>
      </w:r>
    </w:p>
    <w:p w14:paraId="1AA2DD7F" w14:textId="77777777" w:rsidR="00A40A7B" w:rsidRPr="000270C0" w:rsidRDefault="00785BD5" w:rsidP="00A40A7B">
      <w:pPr>
        <w:spacing w:after="0" w:line="240" w:lineRule="auto"/>
        <w:ind w:firstLine="720"/>
        <w:jc w:val="both"/>
        <w:rPr>
          <w:rFonts w:ascii="Times New Roman" w:eastAsia="Times New Roman" w:hAnsi="Times New Roman" w:cs="Times New Roman"/>
          <w:sz w:val="24"/>
          <w:szCs w:val="24"/>
        </w:rPr>
      </w:pPr>
      <w:r w:rsidRPr="000270C0">
        <w:rPr>
          <w:rFonts w:ascii="Times New Roman" w:eastAsia="Times New Roman" w:hAnsi="Times New Roman" w:cs="Times New Roman"/>
          <w:sz w:val="24"/>
          <w:szCs w:val="24"/>
        </w:rPr>
        <w:t>The Levin, Lin and Chu (2002) unit root test was utilized in this study, and the results are presented in Table 4.3.</w:t>
      </w:r>
    </w:p>
    <w:p w14:paraId="75180BCD" w14:textId="77777777" w:rsidR="00A40A7B" w:rsidRPr="000270C0" w:rsidRDefault="00A40A7B" w:rsidP="00A40A7B">
      <w:pPr>
        <w:spacing w:after="0" w:line="240" w:lineRule="auto"/>
        <w:jc w:val="both"/>
        <w:rPr>
          <w:rFonts w:ascii="Times New Roman" w:eastAsia="Times New Roman" w:hAnsi="Times New Roman" w:cs="Times New Roman"/>
          <w:sz w:val="24"/>
          <w:szCs w:val="24"/>
        </w:rPr>
      </w:pPr>
      <w:r w:rsidRPr="000270C0">
        <w:rPr>
          <w:rFonts w:ascii="Times New Roman" w:eastAsia="Times New Roman" w:hAnsi="Times New Roman" w:cs="Times New Roman"/>
          <w:b/>
          <w:bCs/>
          <w:sz w:val="24"/>
          <w:szCs w:val="24"/>
        </w:rPr>
        <w:t xml:space="preserve">Table 4.3: </w:t>
      </w:r>
      <w:r w:rsidRPr="000270C0">
        <w:rPr>
          <w:rFonts w:ascii="Times New Roman" w:eastAsia="Times New Roman" w:hAnsi="Times New Roman" w:cs="Times New Roman"/>
          <w:sz w:val="24"/>
          <w:szCs w:val="24"/>
        </w:rPr>
        <w:t>LLC Unit Root Test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610"/>
        <w:gridCol w:w="2692"/>
        <w:gridCol w:w="2338"/>
      </w:tblGrid>
      <w:tr w:rsidR="000270C0" w:rsidRPr="000270C0" w14:paraId="14A33DC7" w14:textId="77777777" w:rsidTr="00A40A7B">
        <w:tc>
          <w:tcPr>
            <w:tcW w:w="1710" w:type="dxa"/>
            <w:vAlign w:val="center"/>
          </w:tcPr>
          <w:p w14:paraId="3689C04B" w14:textId="77777777" w:rsidR="00A40A7B" w:rsidRPr="000270C0" w:rsidRDefault="00A40A7B" w:rsidP="00A40A7B">
            <w:pPr>
              <w:spacing w:line="240" w:lineRule="auto"/>
              <w:rPr>
                <w:rFonts w:ascii="Times New Roman" w:hAnsi="Times New Roman" w:cs="Times New Roman"/>
              </w:rPr>
            </w:pPr>
            <w:r w:rsidRPr="000270C0">
              <w:rPr>
                <w:rFonts w:ascii="Times New Roman" w:eastAsia="Times New Roman" w:hAnsi="Times New Roman" w:cs="Times New Roman"/>
                <w:b/>
                <w:bCs/>
              </w:rPr>
              <w:t>Variables</w:t>
            </w:r>
          </w:p>
        </w:tc>
        <w:tc>
          <w:tcPr>
            <w:tcW w:w="2610" w:type="dxa"/>
            <w:vAlign w:val="center"/>
          </w:tcPr>
          <w:p w14:paraId="5DA2CACC"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b/>
                <w:bCs/>
              </w:rPr>
              <w:t>LLC t*-Statistic (Level)</w:t>
            </w:r>
          </w:p>
        </w:tc>
        <w:tc>
          <w:tcPr>
            <w:tcW w:w="2692" w:type="dxa"/>
            <w:vAlign w:val="center"/>
          </w:tcPr>
          <w:p w14:paraId="494ACDE0"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b/>
                <w:bCs/>
              </w:rPr>
              <w:t>LLC t*-Statistic (1st Diff.)</w:t>
            </w:r>
          </w:p>
        </w:tc>
        <w:tc>
          <w:tcPr>
            <w:tcW w:w="2338" w:type="dxa"/>
            <w:vAlign w:val="center"/>
          </w:tcPr>
          <w:p w14:paraId="55C8D514"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b/>
                <w:bCs/>
              </w:rPr>
              <w:t>Order of Integration</w:t>
            </w:r>
          </w:p>
        </w:tc>
      </w:tr>
      <w:tr w:rsidR="000270C0" w:rsidRPr="000270C0" w14:paraId="0C11626B" w14:textId="77777777" w:rsidTr="00A40A7B">
        <w:tc>
          <w:tcPr>
            <w:tcW w:w="1710" w:type="dxa"/>
            <w:vAlign w:val="center"/>
          </w:tcPr>
          <w:p w14:paraId="5585C924" w14:textId="77777777" w:rsidR="00A40A7B" w:rsidRPr="000270C0" w:rsidRDefault="00A40A7B" w:rsidP="00A40A7B">
            <w:pPr>
              <w:spacing w:line="240" w:lineRule="auto"/>
              <w:rPr>
                <w:rFonts w:ascii="Times New Roman" w:hAnsi="Times New Roman" w:cs="Times New Roman"/>
              </w:rPr>
            </w:pPr>
            <w:r w:rsidRPr="000270C0">
              <w:rPr>
                <w:rFonts w:ascii="Times New Roman" w:eastAsia="Times New Roman" w:hAnsi="Times New Roman" w:cs="Times New Roman"/>
              </w:rPr>
              <w:t>FDI</w:t>
            </w:r>
          </w:p>
        </w:tc>
        <w:tc>
          <w:tcPr>
            <w:tcW w:w="2610" w:type="dxa"/>
            <w:vAlign w:val="center"/>
          </w:tcPr>
          <w:p w14:paraId="08825FB8"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rPr>
              <w:t>1.4906</w:t>
            </w:r>
          </w:p>
        </w:tc>
        <w:tc>
          <w:tcPr>
            <w:tcW w:w="2692" w:type="dxa"/>
            <w:vAlign w:val="center"/>
          </w:tcPr>
          <w:p w14:paraId="0C9ED011"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rPr>
              <w:t>-6.1645*</w:t>
            </w:r>
          </w:p>
        </w:tc>
        <w:tc>
          <w:tcPr>
            <w:tcW w:w="2338" w:type="dxa"/>
            <w:vAlign w:val="center"/>
          </w:tcPr>
          <w:p w14:paraId="43A0D4D2"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rPr>
              <w:t>I(1)</w:t>
            </w:r>
          </w:p>
        </w:tc>
      </w:tr>
      <w:tr w:rsidR="000270C0" w:rsidRPr="000270C0" w14:paraId="1199CA37" w14:textId="77777777" w:rsidTr="00A40A7B">
        <w:tc>
          <w:tcPr>
            <w:tcW w:w="1710" w:type="dxa"/>
            <w:vAlign w:val="center"/>
          </w:tcPr>
          <w:p w14:paraId="11F96C74" w14:textId="77777777" w:rsidR="00A40A7B" w:rsidRPr="000270C0" w:rsidRDefault="00A40A7B" w:rsidP="00A40A7B">
            <w:pPr>
              <w:spacing w:line="240" w:lineRule="auto"/>
              <w:rPr>
                <w:rFonts w:ascii="Times New Roman" w:hAnsi="Times New Roman" w:cs="Times New Roman"/>
              </w:rPr>
            </w:pPr>
            <w:r w:rsidRPr="000270C0">
              <w:rPr>
                <w:rFonts w:ascii="Times New Roman" w:eastAsia="Times New Roman" w:hAnsi="Times New Roman" w:cs="Times New Roman"/>
              </w:rPr>
              <w:t>ESI</w:t>
            </w:r>
          </w:p>
        </w:tc>
        <w:tc>
          <w:tcPr>
            <w:tcW w:w="2610" w:type="dxa"/>
            <w:vAlign w:val="center"/>
          </w:tcPr>
          <w:p w14:paraId="28C25FDB"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rPr>
              <w:t>0.8404</w:t>
            </w:r>
          </w:p>
        </w:tc>
        <w:tc>
          <w:tcPr>
            <w:tcW w:w="2692" w:type="dxa"/>
            <w:vAlign w:val="center"/>
          </w:tcPr>
          <w:p w14:paraId="43E41380"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rPr>
              <w:t>-5.9172*</w:t>
            </w:r>
          </w:p>
        </w:tc>
        <w:tc>
          <w:tcPr>
            <w:tcW w:w="2338" w:type="dxa"/>
            <w:vAlign w:val="center"/>
          </w:tcPr>
          <w:p w14:paraId="1FCCDF28"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rPr>
              <w:t>I(1)</w:t>
            </w:r>
          </w:p>
        </w:tc>
      </w:tr>
      <w:tr w:rsidR="000270C0" w:rsidRPr="000270C0" w14:paraId="1BFDF662" w14:textId="77777777" w:rsidTr="00A40A7B">
        <w:tc>
          <w:tcPr>
            <w:tcW w:w="1710" w:type="dxa"/>
            <w:vAlign w:val="center"/>
          </w:tcPr>
          <w:p w14:paraId="53EF5ACC" w14:textId="77777777" w:rsidR="00A40A7B" w:rsidRPr="000270C0" w:rsidRDefault="00A40A7B" w:rsidP="00A40A7B">
            <w:pPr>
              <w:spacing w:line="240" w:lineRule="auto"/>
              <w:rPr>
                <w:rFonts w:ascii="Times New Roman" w:hAnsi="Times New Roman" w:cs="Times New Roman"/>
              </w:rPr>
            </w:pPr>
            <w:r w:rsidRPr="000270C0">
              <w:rPr>
                <w:rFonts w:ascii="Times New Roman" w:eastAsia="Times New Roman" w:hAnsi="Times New Roman" w:cs="Times New Roman"/>
              </w:rPr>
              <w:t>SSI</w:t>
            </w:r>
          </w:p>
        </w:tc>
        <w:tc>
          <w:tcPr>
            <w:tcW w:w="2610" w:type="dxa"/>
            <w:vAlign w:val="center"/>
          </w:tcPr>
          <w:p w14:paraId="207B3481"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rPr>
              <w:t>-1.7584</w:t>
            </w:r>
          </w:p>
        </w:tc>
        <w:tc>
          <w:tcPr>
            <w:tcW w:w="2692" w:type="dxa"/>
            <w:vAlign w:val="center"/>
          </w:tcPr>
          <w:p w14:paraId="3199FE06"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rPr>
              <w:t>-5.9706*</w:t>
            </w:r>
          </w:p>
        </w:tc>
        <w:tc>
          <w:tcPr>
            <w:tcW w:w="2338" w:type="dxa"/>
            <w:vAlign w:val="center"/>
          </w:tcPr>
          <w:p w14:paraId="7BB2F8C1"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rPr>
              <w:t>I(1)</w:t>
            </w:r>
          </w:p>
        </w:tc>
      </w:tr>
      <w:tr w:rsidR="000270C0" w:rsidRPr="000270C0" w14:paraId="3F13AAC4" w14:textId="77777777" w:rsidTr="00A40A7B">
        <w:tc>
          <w:tcPr>
            <w:tcW w:w="1710" w:type="dxa"/>
            <w:vAlign w:val="center"/>
          </w:tcPr>
          <w:p w14:paraId="78E1C139" w14:textId="77777777" w:rsidR="00A40A7B" w:rsidRPr="000270C0" w:rsidRDefault="00A40A7B" w:rsidP="00A40A7B">
            <w:pPr>
              <w:spacing w:line="240" w:lineRule="auto"/>
              <w:rPr>
                <w:rFonts w:ascii="Times New Roman" w:hAnsi="Times New Roman" w:cs="Times New Roman"/>
              </w:rPr>
            </w:pPr>
            <w:r w:rsidRPr="000270C0">
              <w:rPr>
                <w:rFonts w:ascii="Times New Roman" w:eastAsia="Times New Roman" w:hAnsi="Times New Roman" w:cs="Times New Roman"/>
              </w:rPr>
              <w:t>GSI</w:t>
            </w:r>
          </w:p>
        </w:tc>
        <w:tc>
          <w:tcPr>
            <w:tcW w:w="2610" w:type="dxa"/>
            <w:vAlign w:val="center"/>
          </w:tcPr>
          <w:p w14:paraId="07BEADAF"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rPr>
              <w:t>0.9998</w:t>
            </w:r>
          </w:p>
        </w:tc>
        <w:tc>
          <w:tcPr>
            <w:tcW w:w="2692" w:type="dxa"/>
            <w:vAlign w:val="center"/>
          </w:tcPr>
          <w:p w14:paraId="3919BD5C"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rPr>
              <w:t>-6.5545*</w:t>
            </w:r>
          </w:p>
        </w:tc>
        <w:tc>
          <w:tcPr>
            <w:tcW w:w="2338" w:type="dxa"/>
            <w:vAlign w:val="center"/>
          </w:tcPr>
          <w:p w14:paraId="2B824166"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rPr>
              <w:t>I(1)</w:t>
            </w:r>
          </w:p>
        </w:tc>
      </w:tr>
      <w:tr w:rsidR="000270C0" w:rsidRPr="000270C0" w14:paraId="03D77E49" w14:textId="77777777" w:rsidTr="00A40A7B">
        <w:tc>
          <w:tcPr>
            <w:tcW w:w="1710" w:type="dxa"/>
            <w:vAlign w:val="center"/>
          </w:tcPr>
          <w:p w14:paraId="708AEA55" w14:textId="77777777" w:rsidR="00A40A7B" w:rsidRPr="000270C0" w:rsidRDefault="00A40A7B" w:rsidP="00A40A7B">
            <w:pPr>
              <w:spacing w:line="240" w:lineRule="auto"/>
              <w:rPr>
                <w:rFonts w:ascii="Times New Roman" w:hAnsi="Times New Roman" w:cs="Times New Roman"/>
              </w:rPr>
            </w:pPr>
            <w:r w:rsidRPr="000270C0">
              <w:rPr>
                <w:rFonts w:ascii="Times New Roman" w:eastAsia="Times New Roman" w:hAnsi="Times New Roman" w:cs="Times New Roman"/>
              </w:rPr>
              <w:t>LLC Pooled t*</w:t>
            </w:r>
          </w:p>
        </w:tc>
        <w:tc>
          <w:tcPr>
            <w:tcW w:w="2610" w:type="dxa"/>
            <w:vAlign w:val="center"/>
          </w:tcPr>
          <w:p w14:paraId="1C4CA383"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rPr>
              <w:t>4.2621 (p=1.000)</w:t>
            </w:r>
          </w:p>
        </w:tc>
        <w:tc>
          <w:tcPr>
            <w:tcW w:w="2692" w:type="dxa"/>
            <w:vAlign w:val="center"/>
          </w:tcPr>
          <w:p w14:paraId="432989F8"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rPr>
              <w:t>-0.1011 (p=0.460)</w:t>
            </w:r>
          </w:p>
        </w:tc>
        <w:tc>
          <w:tcPr>
            <w:tcW w:w="2338" w:type="dxa"/>
            <w:vAlign w:val="center"/>
          </w:tcPr>
          <w:p w14:paraId="2B9EBD78" w14:textId="77777777" w:rsidR="00A40A7B" w:rsidRPr="000270C0" w:rsidRDefault="00A40A7B" w:rsidP="00A40A7B">
            <w:pPr>
              <w:spacing w:line="240" w:lineRule="auto"/>
              <w:jc w:val="center"/>
              <w:rPr>
                <w:rFonts w:ascii="Times New Roman" w:hAnsi="Times New Roman" w:cs="Times New Roman"/>
              </w:rPr>
            </w:pPr>
            <w:r w:rsidRPr="000270C0">
              <w:rPr>
                <w:rFonts w:ascii="Times New Roman" w:eastAsia="Times New Roman" w:hAnsi="Times New Roman" w:cs="Times New Roman"/>
              </w:rPr>
              <w:t>—</w:t>
            </w:r>
          </w:p>
        </w:tc>
      </w:tr>
    </w:tbl>
    <w:p w14:paraId="7D147A40" w14:textId="77777777" w:rsidR="00A40A7B" w:rsidRPr="000270C0" w:rsidRDefault="00A40A7B" w:rsidP="00A40A7B">
      <w:pPr>
        <w:spacing w:after="0" w:line="240" w:lineRule="auto"/>
        <w:jc w:val="both"/>
        <w:rPr>
          <w:rFonts w:ascii="Times New Roman" w:hAnsi="Times New Roman" w:cs="Times New Roman"/>
          <w:sz w:val="24"/>
          <w:szCs w:val="24"/>
        </w:rPr>
      </w:pPr>
      <w:r w:rsidRPr="000270C0">
        <w:rPr>
          <w:rFonts w:ascii="Times New Roman" w:eastAsia="Times New Roman" w:hAnsi="Times New Roman" w:cs="Times New Roman"/>
          <w:sz w:val="24"/>
          <w:szCs w:val="24"/>
        </w:rPr>
        <w:t>Note: * indicates stationarity after first differencing (at 5% significance level). Critical value at 5% ≈ -1.645.</w:t>
      </w:r>
    </w:p>
    <w:p w14:paraId="15A2F13F" w14:textId="77777777" w:rsidR="00A40A7B" w:rsidRPr="000270C0" w:rsidRDefault="00A40A7B" w:rsidP="00A40A7B">
      <w:pPr>
        <w:spacing w:before="60" w:after="120"/>
        <w:rPr>
          <w:rFonts w:ascii="Times New Roman" w:hAnsi="Times New Roman" w:cs="Times New Roman"/>
          <w:sz w:val="24"/>
          <w:szCs w:val="24"/>
        </w:rPr>
      </w:pPr>
      <w:r w:rsidRPr="000270C0">
        <w:rPr>
          <w:rFonts w:ascii="Times New Roman" w:eastAsia="Times New Roman" w:hAnsi="Times New Roman" w:cs="Times New Roman"/>
          <w:b/>
          <w:bCs/>
          <w:sz w:val="24"/>
          <w:szCs w:val="24"/>
        </w:rPr>
        <w:t>Source:</w:t>
      </w:r>
      <w:r w:rsidRPr="000270C0">
        <w:rPr>
          <w:rFonts w:ascii="Times New Roman" w:eastAsia="Times New Roman" w:hAnsi="Times New Roman" w:cs="Times New Roman"/>
          <w:sz w:val="24"/>
          <w:szCs w:val="24"/>
        </w:rPr>
        <w:t xml:space="preserve"> Researcher's computation (202</w:t>
      </w:r>
      <w:r w:rsidR="00B474F3" w:rsidRPr="000270C0">
        <w:rPr>
          <w:rFonts w:ascii="Times New Roman" w:eastAsia="Times New Roman" w:hAnsi="Times New Roman" w:cs="Times New Roman"/>
          <w:sz w:val="24"/>
          <w:szCs w:val="24"/>
        </w:rPr>
        <w:t>6</w:t>
      </w:r>
      <w:r w:rsidRPr="000270C0">
        <w:rPr>
          <w:rFonts w:ascii="Times New Roman" w:eastAsia="Times New Roman" w:hAnsi="Times New Roman" w:cs="Times New Roman"/>
          <w:sz w:val="24"/>
          <w:szCs w:val="24"/>
        </w:rPr>
        <w:t>) using E-views 10.0</w:t>
      </w:r>
    </w:p>
    <w:p w14:paraId="270DCB70" w14:textId="0807ED24" w:rsidR="00F7044B" w:rsidRPr="000270C0" w:rsidRDefault="00F01477" w:rsidP="00F7044B">
      <w:pPr>
        <w:ind w:firstLine="720"/>
        <w:jc w:val="both"/>
        <w:rPr>
          <w:rFonts w:ascii="Times New Roman" w:hAnsi="Times New Roman" w:cs="Times New Roman"/>
          <w:sz w:val="24"/>
          <w:szCs w:val="24"/>
        </w:rPr>
      </w:pPr>
      <w:r w:rsidRPr="000270C0">
        <w:rPr>
          <w:rFonts w:ascii="Times New Roman" w:eastAsia="Times New Roman" w:hAnsi="Times New Roman" w:cs="Times New Roman"/>
          <w:sz w:val="24"/>
          <w:szCs w:val="24"/>
        </w:rPr>
        <w:t>The decision rule of the LLC unit root test is to reject the null hypothesis of a unit root (non-stationarity) when the t -statistic falls below the critical value of the selected significance level (p &lt; 0.05). Table 4.3 shows that the four variables, FDI, ESI, SSI, and GSI are not at their non-stationary levels (the t-statistic of the variables at the levels are positive or too negative to reject the null hypothesis about the unit root). But, following first difference, the t-values of all variables are strongly negative and statistically significant, which implies that all variables are of order one, I(1). This result requires one to conduct a cointegration test to determine whether there is a long-run equilibrium relationship between the variables</w:t>
      </w:r>
      <w:r w:rsidR="007B120F" w:rsidRPr="000270C0">
        <w:rPr>
          <w:rFonts w:ascii="Times New Roman" w:eastAsia="Times New Roman" w:hAnsi="Times New Roman" w:cs="Times New Roman"/>
          <w:sz w:val="24"/>
          <w:szCs w:val="24"/>
        </w:rPr>
        <w:t>.</w:t>
      </w:r>
    </w:p>
    <w:p w14:paraId="57426173" w14:textId="77777777" w:rsidR="00F7044B" w:rsidRPr="000270C0" w:rsidRDefault="00F7044B" w:rsidP="00F7044B">
      <w:pPr>
        <w:spacing w:after="0"/>
        <w:jc w:val="both"/>
        <w:rPr>
          <w:rFonts w:ascii="Times New Roman" w:hAnsi="Times New Roman" w:cs="Times New Roman"/>
          <w:sz w:val="24"/>
          <w:szCs w:val="24"/>
        </w:rPr>
      </w:pPr>
      <w:r w:rsidRPr="000270C0">
        <w:rPr>
          <w:rFonts w:ascii="Times New Roman" w:eastAsia="Times New Roman" w:hAnsi="Times New Roman" w:cs="Times New Roman"/>
          <w:b/>
          <w:bCs/>
          <w:sz w:val="24"/>
          <w:szCs w:val="24"/>
        </w:rPr>
        <w:t>Cointegration Test</w:t>
      </w:r>
    </w:p>
    <w:p w14:paraId="28A169D9" w14:textId="3162E7C2" w:rsidR="00F7044B" w:rsidRPr="000270C0" w:rsidRDefault="00F01477" w:rsidP="00F01477">
      <w:pPr>
        <w:ind w:firstLine="720"/>
        <w:jc w:val="both"/>
        <w:rPr>
          <w:rFonts w:ascii="Times New Roman" w:hAnsi="Times New Roman" w:cs="Times New Roman"/>
          <w:sz w:val="24"/>
          <w:szCs w:val="24"/>
        </w:rPr>
      </w:pPr>
      <w:r w:rsidRPr="000270C0">
        <w:rPr>
          <w:rFonts w:ascii="Times New Roman" w:eastAsia="Times New Roman" w:hAnsi="Times New Roman" w:cs="Times New Roman"/>
          <w:sz w:val="24"/>
          <w:szCs w:val="24"/>
        </w:rPr>
        <w:t>Because the unit root test showed that all the variables are integrated of order one [I(1)], the Engle-Granger cointegration test was conducted to look into the long-run relationship between the variables. Cointegration analysis assists in answering if two or more non-stationary time series vary in the long run, and have a common stochastic trend. Table 4.4 shows the result of the test</w:t>
      </w:r>
      <w:r w:rsidR="00F7044B" w:rsidRPr="000270C0">
        <w:rPr>
          <w:rFonts w:ascii="Times New Roman" w:eastAsia="Times New Roman" w:hAnsi="Times New Roman" w:cs="Times New Roman"/>
          <w:sz w:val="24"/>
          <w:szCs w:val="24"/>
        </w:rPr>
        <w:t>.</w:t>
      </w:r>
    </w:p>
    <w:p w14:paraId="536660FA" w14:textId="77777777" w:rsidR="00F7044B" w:rsidRPr="000270C0" w:rsidRDefault="00F7044B" w:rsidP="001F2837">
      <w:pPr>
        <w:spacing w:after="0" w:line="240" w:lineRule="auto"/>
        <w:jc w:val="both"/>
        <w:rPr>
          <w:rFonts w:ascii="Times New Roman" w:eastAsia="Times New Roman" w:hAnsi="Times New Roman" w:cs="Times New Roman"/>
          <w:sz w:val="24"/>
          <w:szCs w:val="24"/>
        </w:rPr>
      </w:pPr>
      <w:r w:rsidRPr="000270C0">
        <w:rPr>
          <w:rFonts w:ascii="Times New Roman" w:eastAsia="Times New Roman" w:hAnsi="Times New Roman" w:cs="Times New Roman"/>
          <w:b/>
          <w:bCs/>
          <w:sz w:val="24"/>
          <w:szCs w:val="24"/>
        </w:rPr>
        <w:t>Table 4.</w:t>
      </w:r>
      <w:r w:rsidR="001F2837" w:rsidRPr="000270C0">
        <w:rPr>
          <w:rFonts w:ascii="Times New Roman" w:eastAsia="Times New Roman" w:hAnsi="Times New Roman" w:cs="Times New Roman"/>
          <w:b/>
          <w:bCs/>
          <w:sz w:val="24"/>
          <w:szCs w:val="24"/>
        </w:rPr>
        <w:t>4</w:t>
      </w:r>
      <w:r w:rsidRPr="000270C0">
        <w:rPr>
          <w:rFonts w:ascii="Times New Roman" w:eastAsia="Times New Roman" w:hAnsi="Times New Roman" w:cs="Times New Roman"/>
          <w:b/>
          <w:bCs/>
          <w:sz w:val="24"/>
          <w:szCs w:val="24"/>
        </w:rPr>
        <w:t xml:space="preserve">: </w:t>
      </w:r>
      <w:r w:rsidRPr="000270C0">
        <w:rPr>
          <w:rFonts w:ascii="Times New Roman" w:eastAsia="Times New Roman" w:hAnsi="Times New Roman" w:cs="Times New Roman"/>
          <w:sz w:val="24"/>
          <w:szCs w:val="24"/>
        </w:rPr>
        <w:t>Engle-Granger Cointegration Test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0270C0" w:rsidRPr="000270C0" w14:paraId="649A7E46" w14:textId="77777777" w:rsidTr="0015595E">
        <w:tc>
          <w:tcPr>
            <w:tcW w:w="3116" w:type="dxa"/>
          </w:tcPr>
          <w:p w14:paraId="19A34B09" w14:textId="77777777" w:rsidR="0015595E" w:rsidRPr="000270C0" w:rsidRDefault="0015595E" w:rsidP="0015595E">
            <w:pPr>
              <w:spacing w:line="240" w:lineRule="auto"/>
              <w:jc w:val="both"/>
              <w:rPr>
                <w:rFonts w:ascii="Times New Roman" w:hAnsi="Times New Roman" w:cs="Times New Roman"/>
              </w:rPr>
            </w:pPr>
          </w:p>
        </w:tc>
        <w:tc>
          <w:tcPr>
            <w:tcW w:w="3117" w:type="dxa"/>
            <w:vAlign w:val="center"/>
          </w:tcPr>
          <w:p w14:paraId="2882678C" w14:textId="77777777" w:rsidR="0015595E" w:rsidRPr="000270C0" w:rsidRDefault="0015595E" w:rsidP="0015595E">
            <w:pPr>
              <w:spacing w:before="40" w:after="40" w:line="240" w:lineRule="auto"/>
              <w:jc w:val="center"/>
              <w:rPr>
                <w:rFonts w:ascii="Times New Roman" w:hAnsi="Times New Roman" w:cs="Times New Roman"/>
              </w:rPr>
            </w:pPr>
            <w:r w:rsidRPr="000270C0">
              <w:rPr>
                <w:rFonts w:ascii="Times New Roman" w:eastAsia="Times New Roman" w:hAnsi="Times New Roman" w:cs="Times New Roman"/>
                <w:b/>
                <w:bCs/>
              </w:rPr>
              <w:t>Value</w:t>
            </w:r>
          </w:p>
        </w:tc>
        <w:tc>
          <w:tcPr>
            <w:tcW w:w="3117" w:type="dxa"/>
            <w:vAlign w:val="center"/>
          </w:tcPr>
          <w:p w14:paraId="2DCB2015" w14:textId="77777777" w:rsidR="0015595E" w:rsidRPr="000270C0" w:rsidRDefault="0015595E" w:rsidP="0015595E">
            <w:pPr>
              <w:spacing w:before="40" w:after="40" w:line="240" w:lineRule="auto"/>
              <w:jc w:val="center"/>
              <w:rPr>
                <w:rFonts w:ascii="Times New Roman" w:hAnsi="Times New Roman" w:cs="Times New Roman"/>
              </w:rPr>
            </w:pPr>
            <w:r w:rsidRPr="000270C0">
              <w:rPr>
                <w:rFonts w:ascii="Times New Roman" w:eastAsia="Times New Roman" w:hAnsi="Times New Roman" w:cs="Times New Roman"/>
                <w:b/>
                <w:bCs/>
              </w:rPr>
              <w:t>Prob.*</w:t>
            </w:r>
          </w:p>
        </w:tc>
      </w:tr>
      <w:tr w:rsidR="000270C0" w:rsidRPr="000270C0" w14:paraId="6B651746" w14:textId="77777777" w:rsidTr="0015595E">
        <w:tc>
          <w:tcPr>
            <w:tcW w:w="3116" w:type="dxa"/>
            <w:vAlign w:val="center"/>
          </w:tcPr>
          <w:p w14:paraId="15EB298F" w14:textId="77777777" w:rsidR="0015595E" w:rsidRPr="000270C0" w:rsidRDefault="0015595E" w:rsidP="0015595E">
            <w:pPr>
              <w:spacing w:line="240" w:lineRule="auto"/>
              <w:rPr>
                <w:rFonts w:ascii="Times New Roman" w:hAnsi="Times New Roman" w:cs="Times New Roman"/>
              </w:rPr>
            </w:pPr>
            <w:r w:rsidRPr="000270C0">
              <w:rPr>
                <w:rFonts w:ascii="Times New Roman" w:eastAsia="Times New Roman" w:hAnsi="Times New Roman" w:cs="Times New Roman"/>
              </w:rPr>
              <w:t>Engle-Granger tau-statistic</w:t>
            </w:r>
          </w:p>
        </w:tc>
        <w:tc>
          <w:tcPr>
            <w:tcW w:w="3117" w:type="dxa"/>
            <w:vAlign w:val="center"/>
          </w:tcPr>
          <w:p w14:paraId="79A61C87" w14:textId="77777777" w:rsidR="0015595E" w:rsidRPr="000270C0" w:rsidRDefault="0015595E" w:rsidP="0015595E">
            <w:pPr>
              <w:spacing w:before="40" w:after="40" w:line="240" w:lineRule="auto"/>
              <w:jc w:val="center"/>
              <w:rPr>
                <w:rFonts w:ascii="Times New Roman" w:hAnsi="Times New Roman" w:cs="Times New Roman"/>
              </w:rPr>
            </w:pPr>
            <w:r w:rsidRPr="000270C0">
              <w:rPr>
                <w:rFonts w:ascii="Times New Roman" w:eastAsia="Times New Roman" w:hAnsi="Times New Roman" w:cs="Times New Roman"/>
              </w:rPr>
              <w:t>-4.730263</w:t>
            </w:r>
          </w:p>
        </w:tc>
        <w:tc>
          <w:tcPr>
            <w:tcW w:w="3117" w:type="dxa"/>
            <w:vAlign w:val="center"/>
          </w:tcPr>
          <w:p w14:paraId="74A14F1E" w14:textId="77777777" w:rsidR="0015595E" w:rsidRPr="000270C0" w:rsidRDefault="0015595E" w:rsidP="0015595E">
            <w:pPr>
              <w:spacing w:before="40" w:after="40" w:line="240" w:lineRule="auto"/>
              <w:jc w:val="center"/>
              <w:rPr>
                <w:rFonts w:ascii="Times New Roman" w:hAnsi="Times New Roman" w:cs="Times New Roman"/>
              </w:rPr>
            </w:pPr>
            <w:r w:rsidRPr="000270C0">
              <w:rPr>
                <w:rFonts w:ascii="Times New Roman" w:eastAsia="Times New Roman" w:hAnsi="Times New Roman" w:cs="Times New Roman"/>
              </w:rPr>
              <w:t>0.0422</w:t>
            </w:r>
          </w:p>
        </w:tc>
      </w:tr>
      <w:tr w:rsidR="000270C0" w:rsidRPr="000270C0" w14:paraId="720037EA" w14:textId="77777777" w:rsidTr="0015595E">
        <w:tc>
          <w:tcPr>
            <w:tcW w:w="3116" w:type="dxa"/>
            <w:vAlign w:val="center"/>
          </w:tcPr>
          <w:p w14:paraId="203ACF7E" w14:textId="77777777" w:rsidR="0015595E" w:rsidRPr="000270C0" w:rsidRDefault="0015595E" w:rsidP="0015595E">
            <w:pPr>
              <w:spacing w:line="240" w:lineRule="auto"/>
              <w:rPr>
                <w:rFonts w:ascii="Times New Roman" w:hAnsi="Times New Roman" w:cs="Times New Roman"/>
              </w:rPr>
            </w:pPr>
            <w:r w:rsidRPr="000270C0">
              <w:rPr>
                <w:rFonts w:ascii="Times New Roman" w:eastAsia="Times New Roman" w:hAnsi="Times New Roman" w:cs="Times New Roman"/>
              </w:rPr>
              <w:lastRenderedPageBreak/>
              <w:t>Engle-Granger z-statistic</w:t>
            </w:r>
          </w:p>
        </w:tc>
        <w:tc>
          <w:tcPr>
            <w:tcW w:w="3117" w:type="dxa"/>
            <w:vAlign w:val="center"/>
          </w:tcPr>
          <w:p w14:paraId="0B36E061" w14:textId="77777777" w:rsidR="0015595E" w:rsidRPr="000270C0" w:rsidRDefault="0015595E" w:rsidP="0015595E">
            <w:pPr>
              <w:spacing w:before="40" w:after="40" w:line="240" w:lineRule="auto"/>
              <w:jc w:val="center"/>
              <w:rPr>
                <w:rFonts w:ascii="Times New Roman" w:hAnsi="Times New Roman" w:cs="Times New Roman"/>
              </w:rPr>
            </w:pPr>
            <w:r w:rsidRPr="000270C0">
              <w:rPr>
                <w:rFonts w:ascii="Times New Roman" w:eastAsia="Times New Roman" w:hAnsi="Times New Roman" w:cs="Times New Roman"/>
              </w:rPr>
              <w:t>-30.23840</w:t>
            </w:r>
          </w:p>
        </w:tc>
        <w:tc>
          <w:tcPr>
            <w:tcW w:w="3117" w:type="dxa"/>
            <w:vAlign w:val="center"/>
          </w:tcPr>
          <w:p w14:paraId="534AA747" w14:textId="77777777" w:rsidR="0015595E" w:rsidRPr="000270C0" w:rsidRDefault="0015595E" w:rsidP="0015595E">
            <w:pPr>
              <w:spacing w:before="40" w:after="40" w:line="240" w:lineRule="auto"/>
              <w:jc w:val="center"/>
              <w:rPr>
                <w:rFonts w:ascii="Times New Roman" w:hAnsi="Times New Roman" w:cs="Times New Roman"/>
              </w:rPr>
            </w:pPr>
            <w:r w:rsidRPr="000270C0">
              <w:rPr>
                <w:rFonts w:ascii="Times New Roman" w:eastAsia="Times New Roman" w:hAnsi="Times New Roman" w:cs="Times New Roman"/>
              </w:rPr>
              <w:t>0.0318</w:t>
            </w:r>
          </w:p>
        </w:tc>
      </w:tr>
      <w:tr w:rsidR="000270C0" w:rsidRPr="000270C0" w14:paraId="7CC71C02" w14:textId="77777777" w:rsidTr="0015595E">
        <w:tc>
          <w:tcPr>
            <w:tcW w:w="3116" w:type="dxa"/>
            <w:vAlign w:val="center"/>
          </w:tcPr>
          <w:p w14:paraId="0D6E0625" w14:textId="77777777" w:rsidR="0015595E" w:rsidRPr="000270C0" w:rsidRDefault="0015595E" w:rsidP="0015595E">
            <w:pPr>
              <w:spacing w:line="240" w:lineRule="auto"/>
              <w:jc w:val="both"/>
              <w:rPr>
                <w:rFonts w:ascii="Times New Roman" w:hAnsi="Times New Roman" w:cs="Times New Roman"/>
              </w:rPr>
            </w:pPr>
            <w:r w:rsidRPr="000270C0">
              <w:rPr>
                <w:rFonts w:ascii="Times New Roman" w:eastAsia="Times New Roman" w:hAnsi="Times New Roman" w:cs="Times New Roman"/>
              </w:rPr>
              <w:t>*MacKinnon (1996) p-values.</w:t>
            </w:r>
          </w:p>
        </w:tc>
        <w:tc>
          <w:tcPr>
            <w:tcW w:w="3117" w:type="dxa"/>
          </w:tcPr>
          <w:p w14:paraId="50EE6FEA" w14:textId="77777777" w:rsidR="0015595E" w:rsidRPr="000270C0" w:rsidRDefault="0015595E" w:rsidP="0015595E">
            <w:pPr>
              <w:spacing w:line="240" w:lineRule="auto"/>
              <w:jc w:val="both"/>
              <w:rPr>
                <w:rFonts w:ascii="Times New Roman" w:hAnsi="Times New Roman" w:cs="Times New Roman"/>
              </w:rPr>
            </w:pPr>
          </w:p>
        </w:tc>
        <w:tc>
          <w:tcPr>
            <w:tcW w:w="3117" w:type="dxa"/>
          </w:tcPr>
          <w:p w14:paraId="66483FDE" w14:textId="77777777" w:rsidR="0015595E" w:rsidRPr="000270C0" w:rsidRDefault="0015595E" w:rsidP="0015595E">
            <w:pPr>
              <w:spacing w:line="240" w:lineRule="auto"/>
              <w:jc w:val="both"/>
              <w:rPr>
                <w:rFonts w:ascii="Times New Roman" w:hAnsi="Times New Roman" w:cs="Times New Roman"/>
              </w:rPr>
            </w:pPr>
          </w:p>
        </w:tc>
      </w:tr>
      <w:tr w:rsidR="000270C0" w:rsidRPr="000270C0" w14:paraId="60F2813E" w14:textId="77777777" w:rsidTr="0015595E">
        <w:tc>
          <w:tcPr>
            <w:tcW w:w="3116" w:type="dxa"/>
          </w:tcPr>
          <w:p w14:paraId="7D8A7C4C" w14:textId="77777777" w:rsidR="0015595E" w:rsidRPr="000270C0" w:rsidRDefault="0015595E" w:rsidP="0015595E">
            <w:pPr>
              <w:spacing w:line="240" w:lineRule="auto"/>
              <w:jc w:val="both"/>
              <w:rPr>
                <w:rFonts w:ascii="Times New Roman" w:hAnsi="Times New Roman" w:cs="Times New Roman"/>
              </w:rPr>
            </w:pPr>
            <w:r w:rsidRPr="000270C0">
              <w:rPr>
                <w:rFonts w:ascii="Times New Roman" w:eastAsia="Times New Roman" w:hAnsi="Times New Roman" w:cs="Times New Roman"/>
                <w:b/>
                <w:bCs/>
              </w:rPr>
              <w:t>Intermediate Results:</w:t>
            </w:r>
          </w:p>
        </w:tc>
        <w:tc>
          <w:tcPr>
            <w:tcW w:w="3117" w:type="dxa"/>
          </w:tcPr>
          <w:p w14:paraId="44CF6E50" w14:textId="77777777" w:rsidR="0015595E" w:rsidRPr="000270C0" w:rsidRDefault="0015595E" w:rsidP="0015595E">
            <w:pPr>
              <w:spacing w:line="240" w:lineRule="auto"/>
              <w:jc w:val="both"/>
              <w:rPr>
                <w:rFonts w:ascii="Times New Roman" w:hAnsi="Times New Roman" w:cs="Times New Roman"/>
              </w:rPr>
            </w:pPr>
          </w:p>
        </w:tc>
        <w:tc>
          <w:tcPr>
            <w:tcW w:w="3117" w:type="dxa"/>
          </w:tcPr>
          <w:p w14:paraId="64C7D2E5" w14:textId="77777777" w:rsidR="0015595E" w:rsidRPr="000270C0" w:rsidRDefault="0015595E" w:rsidP="0015595E">
            <w:pPr>
              <w:spacing w:line="240" w:lineRule="auto"/>
              <w:jc w:val="both"/>
              <w:rPr>
                <w:rFonts w:ascii="Times New Roman" w:hAnsi="Times New Roman" w:cs="Times New Roman"/>
              </w:rPr>
            </w:pPr>
          </w:p>
        </w:tc>
      </w:tr>
      <w:tr w:rsidR="000270C0" w:rsidRPr="000270C0" w14:paraId="70C5335F" w14:textId="77777777" w:rsidTr="0015595E">
        <w:tc>
          <w:tcPr>
            <w:tcW w:w="3116" w:type="dxa"/>
            <w:vAlign w:val="center"/>
          </w:tcPr>
          <w:p w14:paraId="5255107F" w14:textId="77777777" w:rsidR="0015595E" w:rsidRPr="000270C0" w:rsidRDefault="0015595E" w:rsidP="0015595E">
            <w:pPr>
              <w:spacing w:line="240" w:lineRule="auto"/>
              <w:rPr>
                <w:rFonts w:ascii="Times New Roman" w:hAnsi="Times New Roman" w:cs="Times New Roman"/>
              </w:rPr>
            </w:pPr>
            <w:r w:rsidRPr="000270C0">
              <w:rPr>
                <w:rFonts w:ascii="Times New Roman" w:eastAsia="Times New Roman" w:hAnsi="Times New Roman" w:cs="Times New Roman"/>
              </w:rPr>
              <w:t>Rho – 1</w:t>
            </w:r>
          </w:p>
        </w:tc>
        <w:tc>
          <w:tcPr>
            <w:tcW w:w="3117" w:type="dxa"/>
            <w:vAlign w:val="center"/>
          </w:tcPr>
          <w:p w14:paraId="2466C456" w14:textId="77777777" w:rsidR="0015595E" w:rsidRPr="000270C0" w:rsidRDefault="0015595E" w:rsidP="0015595E">
            <w:pPr>
              <w:spacing w:line="240" w:lineRule="auto"/>
              <w:jc w:val="center"/>
              <w:rPr>
                <w:rFonts w:ascii="Times New Roman" w:hAnsi="Times New Roman" w:cs="Times New Roman"/>
              </w:rPr>
            </w:pPr>
            <w:r w:rsidRPr="000270C0">
              <w:rPr>
                <w:rFonts w:ascii="Times New Roman" w:eastAsia="Times New Roman" w:hAnsi="Times New Roman" w:cs="Times New Roman"/>
              </w:rPr>
              <w:t>-0.703219</w:t>
            </w:r>
          </w:p>
        </w:tc>
        <w:tc>
          <w:tcPr>
            <w:tcW w:w="3117" w:type="dxa"/>
          </w:tcPr>
          <w:p w14:paraId="1586D5CF" w14:textId="77777777" w:rsidR="0015595E" w:rsidRPr="000270C0" w:rsidRDefault="0015595E" w:rsidP="0015595E">
            <w:pPr>
              <w:spacing w:line="240" w:lineRule="auto"/>
              <w:jc w:val="both"/>
              <w:rPr>
                <w:rFonts w:ascii="Times New Roman" w:hAnsi="Times New Roman" w:cs="Times New Roman"/>
              </w:rPr>
            </w:pPr>
          </w:p>
        </w:tc>
      </w:tr>
      <w:tr w:rsidR="000270C0" w:rsidRPr="000270C0" w14:paraId="1279D965" w14:textId="77777777" w:rsidTr="0015595E">
        <w:tc>
          <w:tcPr>
            <w:tcW w:w="3116" w:type="dxa"/>
            <w:vAlign w:val="center"/>
          </w:tcPr>
          <w:p w14:paraId="5850C729" w14:textId="77777777" w:rsidR="0015595E" w:rsidRPr="000270C0" w:rsidRDefault="0015595E" w:rsidP="0015595E">
            <w:pPr>
              <w:spacing w:line="240" w:lineRule="auto"/>
              <w:rPr>
                <w:rFonts w:ascii="Times New Roman" w:hAnsi="Times New Roman" w:cs="Times New Roman"/>
              </w:rPr>
            </w:pPr>
            <w:r w:rsidRPr="000270C0">
              <w:rPr>
                <w:rFonts w:ascii="Times New Roman" w:eastAsia="Times New Roman" w:hAnsi="Times New Roman" w:cs="Times New Roman"/>
              </w:rPr>
              <w:t>Rho S.E.</w:t>
            </w:r>
          </w:p>
        </w:tc>
        <w:tc>
          <w:tcPr>
            <w:tcW w:w="3117" w:type="dxa"/>
            <w:vAlign w:val="center"/>
          </w:tcPr>
          <w:p w14:paraId="2DF54F48" w14:textId="77777777" w:rsidR="0015595E" w:rsidRPr="000270C0" w:rsidRDefault="0015595E" w:rsidP="0015595E">
            <w:pPr>
              <w:spacing w:line="240" w:lineRule="auto"/>
              <w:jc w:val="center"/>
              <w:rPr>
                <w:rFonts w:ascii="Times New Roman" w:hAnsi="Times New Roman" w:cs="Times New Roman"/>
              </w:rPr>
            </w:pPr>
            <w:r w:rsidRPr="000270C0">
              <w:rPr>
                <w:rFonts w:ascii="Times New Roman" w:eastAsia="Times New Roman" w:hAnsi="Times New Roman" w:cs="Times New Roman"/>
              </w:rPr>
              <w:t>0.148664</w:t>
            </w:r>
          </w:p>
        </w:tc>
        <w:tc>
          <w:tcPr>
            <w:tcW w:w="3117" w:type="dxa"/>
          </w:tcPr>
          <w:p w14:paraId="36EF3966" w14:textId="77777777" w:rsidR="0015595E" w:rsidRPr="000270C0" w:rsidRDefault="0015595E" w:rsidP="0015595E">
            <w:pPr>
              <w:spacing w:line="240" w:lineRule="auto"/>
              <w:jc w:val="both"/>
              <w:rPr>
                <w:rFonts w:ascii="Times New Roman" w:hAnsi="Times New Roman" w:cs="Times New Roman"/>
              </w:rPr>
            </w:pPr>
          </w:p>
        </w:tc>
      </w:tr>
      <w:tr w:rsidR="000270C0" w:rsidRPr="000270C0" w14:paraId="275B8709" w14:textId="77777777" w:rsidTr="0015595E">
        <w:tc>
          <w:tcPr>
            <w:tcW w:w="3116" w:type="dxa"/>
            <w:vAlign w:val="center"/>
          </w:tcPr>
          <w:p w14:paraId="6795BB46" w14:textId="77777777" w:rsidR="0015595E" w:rsidRPr="000270C0" w:rsidRDefault="0015595E" w:rsidP="0015595E">
            <w:pPr>
              <w:spacing w:line="240" w:lineRule="auto"/>
              <w:rPr>
                <w:rFonts w:ascii="Times New Roman" w:hAnsi="Times New Roman" w:cs="Times New Roman"/>
              </w:rPr>
            </w:pPr>
            <w:r w:rsidRPr="000270C0">
              <w:rPr>
                <w:rFonts w:ascii="Times New Roman" w:eastAsia="Times New Roman" w:hAnsi="Times New Roman" w:cs="Times New Roman"/>
              </w:rPr>
              <w:t>Residual variance</w:t>
            </w:r>
          </w:p>
        </w:tc>
        <w:tc>
          <w:tcPr>
            <w:tcW w:w="3117" w:type="dxa"/>
            <w:vAlign w:val="center"/>
          </w:tcPr>
          <w:p w14:paraId="763E667C" w14:textId="77777777" w:rsidR="0015595E" w:rsidRPr="000270C0" w:rsidRDefault="0015595E" w:rsidP="0015595E">
            <w:pPr>
              <w:spacing w:line="240" w:lineRule="auto"/>
              <w:jc w:val="center"/>
              <w:rPr>
                <w:rFonts w:ascii="Times New Roman" w:hAnsi="Times New Roman" w:cs="Times New Roman"/>
              </w:rPr>
            </w:pPr>
            <w:r w:rsidRPr="000270C0">
              <w:rPr>
                <w:rFonts w:ascii="Times New Roman" w:eastAsia="Times New Roman" w:hAnsi="Times New Roman" w:cs="Times New Roman"/>
              </w:rPr>
              <w:t>13,895,891</w:t>
            </w:r>
          </w:p>
        </w:tc>
        <w:tc>
          <w:tcPr>
            <w:tcW w:w="3117" w:type="dxa"/>
          </w:tcPr>
          <w:p w14:paraId="52EE9F21" w14:textId="77777777" w:rsidR="0015595E" w:rsidRPr="000270C0" w:rsidRDefault="0015595E" w:rsidP="0015595E">
            <w:pPr>
              <w:spacing w:line="240" w:lineRule="auto"/>
              <w:jc w:val="both"/>
              <w:rPr>
                <w:rFonts w:ascii="Times New Roman" w:hAnsi="Times New Roman" w:cs="Times New Roman"/>
              </w:rPr>
            </w:pPr>
          </w:p>
        </w:tc>
      </w:tr>
      <w:tr w:rsidR="000270C0" w:rsidRPr="000270C0" w14:paraId="0BB69746" w14:textId="77777777" w:rsidTr="0015595E">
        <w:tc>
          <w:tcPr>
            <w:tcW w:w="3116" w:type="dxa"/>
            <w:vAlign w:val="center"/>
          </w:tcPr>
          <w:p w14:paraId="7D583A22" w14:textId="77777777" w:rsidR="0015595E" w:rsidRPr="000270C0" w:rsidRDefault="0015595E" w:rsidP="0015595E">
            <w:pPr>
              <w:spacing w:line="240" w:lineRule="auto"/>
              <w:rPr>
                <w:rFonts w:ascii="Times New Roman" w:hAnsi="Times New Roman" w:cs="Times New Roman"/>
              </w:rPr>
            </w:pPr>
            <w:r w:rsidRPr="000270C0">
              <w:rPr>
                <w:rFonts w:ascii="Times New Roman" w:eastAsia="Times New Roman" w:hAnsi="Times New Roman" w:cs="Times New Roman"/>
              </w:rPr>
              <w:t>Long-run residual variance</w:t>
            </w:r>
          </w:p>
        </w:tc>
        <w:tc>
          <w:tcPr>
            <w:tcW w:w="3117" w:type="dxa"/>
            <w:vAlign w:val="center"/>
          </w:tcPr>
          <w:p w14:paraId="3CBB30B3" w14:textId="77777777" w:rsidR="0015595E" w:rsidRPr="000270C0" w:rsidRDefault="0015595E" w:rsidP="0015595E">
            <w:pPr>
              <w:spacing w:line="240" w:lineRule="auto"/>
              <w:jc w:val="center"/>
              <w:rPr>
                <w:rFonts w:ascii="Times New Roman" w:hAnsi="Times New Roman" w:cs="Times New Roman"/>
              </w:rPr>
            </w:pPr>
            <w:r w:rsidRPr="000270C0">
              <w:rPr>
                <w:rFonts w:ascii="Times New Roman" w:eastAsia="Times New Roman" w:hAnsi="Times New Roman" w:cs="Times New Roman"/>
              </w:rPr>
              <w:t>13,895,622</w:t>
            </w:r>
          </w:p>
        </w:tc>
        <w:tc>
          <w:tcPr>
            <w:tcW w:w="3117" w:type="dxa"/>
          </w:tcPr>
          <w:p w14:paraId="744810BA" w14:textId="77777777" w:rsidR="0015595E" w:rsidRPr="000270C0" w:rsidRDefault="0015595E" w:rsidP="0015595E">
            <w:pPr>
              <w:spacing w:line="240" w:lineRule="auto"/>
              <w:jc w:val="both"/>
              <w:rPr>
                <w:rFonts w:ascii="Times New Roman" w:hAnsi="Times New Roman" w:cs="Times New Roman"/>
              </w:rPr>
            </w:pPr>
          </w:p>
        </w:tc>
      </w:tr>
      <w:tr w:rsidR="000270C0" w:rsidRPr="000270C0" w14:paraId="25851F6E" w14:textId="77777777" w:rsidTr="0015595E">
        <w:tc>
          <w:tcPr>
            <w:tcW w:w="3116" w:type="dxa"/>
            <w:vAlign w:val="center"/>
          </w:tcPr>
          <w:p w14:paraId="76D61AE3" w14:textId="77777777" w:rsidR="0015595E" w:rsidRPr="000270C0" w:rsidRDefault="0015595E" w:rsidP="0015595E">
            <w:pPr>
              <w:spacing w:line="240" w:lineRule="auto"/>
              <w:rPr>
                <w:rFonts w:ascii="Times New Roman" w:hAnsi="Times New Roman" w:cs="Times New Roman"/>
              </w:rPr>
            </w:pPr>
            <w:r w:rsidRPr="000270C0">
              <w:rPr>
                <w:rFonts w:ascii="Times New Roman" w:eastAsia="Times New Roman" w:hAnsi="Times New Roman" w:cs="Times New Roman"/>
              </w:rPr>
              <w:t>Number of lags</w:t>
            </w:r>
          </w:p>
        </w:tc>
        <w:tc>
          <w:tcPr>
            <w:tcW w:w="3117" w:type="dxa"/>
            <w:vAlign w:val="center"/>
          </w:tcPr>
          <w:p w14:paraId="0ED27B17" w14:textId="77777777" w:rsidR="0015595E" w:rsidRPr="000270C0" w:rsidRDefault="0015595E" w:rsidP="0015595E">
            <w:pPr>
              <w:spacing w:line="240" w:lineRule="auto"/>
              <w:jc w:val="center"/>
              <w:rPr>
                <w:rFonts w:ascii="Times New Roman" w:hAnsi="Times New Roman" w:cs="Times New Roman"/>
              </w:rPr>
            </w:pPr>
            <w:r w:rsidRPr="000270C0">
              <w:rPr>
                <w:rFonts w:ascii="Times New Roman" w:eastAsia="Times New Roman" w:hAnsi="Times New Roman" w:cs="Times New Roman"/>
              </w:rPr>
              <w:t>0</w:t>
            </w:r>
          </w:p>
        </w:tc>
        <w:tc>
          <w:tcPr>
            <w:tcW w:w="3117" w:type="dxa"/>
          </w:tcPr>
          <w:p w14:paraId="3BC8E850" w14:textId="77777777" w:rsidR="0015595E" w:rsidRPr="000270C0" w:rsidRDefault="0015595E" w:rsidP="0015595E">
            <w:pPr>
              <w:spacing w:line="240" w:lineRule="auto"/>
              <w:jc w:val="both"/>
              <w:rPr>
                <w:rFonts w:ascii="Times New Roman" w:hAnsi="Times New Roman" w:cs="Times New Roman"/>
              </w:rPr>
            </w:pPr>
          </w:p>
        </w:tc>
      </w:tr>
      <w:tr w:rsidR="000270C0" w:rsidRPr="000270C0" w14:paraId="78375DDE" w14:textId="77777777" w:rsidTr="0015595E">
        <w:tc>
          <w:tcPr>
            <w:tcW w:w="3116" w:type="dxa"/>
            <w:vAlign w:val="center"/>
          </w:tcPr>
          <w:p w14:paraId="7F1374AE" w14:textId="77777777" w:rsidR="0015595E" w:rsidRPr="000270C0" w:rsidRDefault="0015595E" w:rsidP="0015595E">
            <w:pPr>
              <w:spacing w:line="240" w:lineRule="auto"/>
              <w:rPr>
                <w:rFonts w:ascii="Times New Roman" w:hAnsi="Times New Roman" w:cs="Times New Roman"/>
              </w:rPr>
            </w:pPr>
            <w:r w:rsidRPr="000270C0">
              <w:rPr>
                <w:rFonts w:ascii="Times New Roman" w:eastAsia="Times New Roman" w:hAnsi="Times New Roman" w:cs="Times New Roman"/>
              </w:rPr>
              <w:t>Number of observations</w:t>
            </w:r>
          </w:p>
        </w:tc>
        <w:tc>
          <w:tcPr>
            <w:tcW w:w="3117" w:type="dxa"/>
            <w:vAlign w:val="center"/>
          </w:tcPr>
          <w:p w14:paraId="2870407B" w14:textId="77777777" w:rsidR="0015595E" w:rsidRPr="000270C0" w:rsidRDefault="0015595E" w:rsidP="0015595E">
            <w:pPr>
              <w:spacing w:line="240" w:lineRule="auto"/>
              <w:jc w:val="center"/>
              <w:rPr>
                <w:rFonts w:ascii="Times New Roman" w:hAnsi="Times New Roman" w:cs="Times New Roman"/>
              </w:rPr>
            </w:pPr>
            <w:r w:rsidRPr="000270C0">
              <w:rPr>
                <w:rFonts w:ascii="Times New Roman" w:eastAsia="Times New Roman" w:hAnsi="Times New Roman" w:cs="Times New Roman"/>
              </w:rPr>
              <w:t>43</w:t>
            </w:r>
          </w:p>
        </w:tc>
        <w:tc>
          <w:tcPr>
            <w:tcW w:w="3117" w:type="dxa"/>
          </w:tcPr>
          <w:p w14:paraId="75667F87" w14:textId="77777777" w:rsidR="0015595E" w:rsidRPr="000270C0" w:rsidRDefault="0015595E" w:rsidP="0015595E">
            <w:pPr>
              <w:spacing w:line="240" w:lineRule="auto"/>
              <w:jc w:val="both"/>
              <w:rPr>
                <w:rFonts w:ascii="Times New Roman" w:hAnsi="Times New Roman" w:cs="Times New Roman"/>
              </w:rPr>
            </w:pPr>
          </w:p>
        </w:tc>
      </w:tr>
      <w:tr w:rsidR="000270C0" w:rsidRPr="000270C0" w14:paraId="2F914E88" w14:textId="77777777" w:rsidTr="0015595E">
        <w:tc>
          <w:tcPr>
            <w:tcW w:w="3116" w:type="dxa"/>
            <w:vAlign w:val="center"/>
          </w:tcPr>
          <w:p w14:paraId="7F19095A" w14:textId="77777777" w:rsidR="0015595E" w:rsidRPr="000270C0" w:rsidRDefault="0015595E" w:rsidP="0015595E">
            <w:pPr>
              <w:spacing w:line="240" w:lineRule="auto"/>
              <w:rPr>
                <w:rFonts w:ascii="Times New Roman" w:hAnsi="Times New Roman" w:cs="Times New Roman"/>
              </w:rPr>
            </w:pPr>
            <w:r w:rsidRPr="000270C0">
              <w:rPr>
                <w:rFonts w:ascii="Times New Roman" w:eastAsia="Times New Roman" w:hAnsi="Times New Roman" w:cs="Times New Roman"/>
              </w:rPr>
              <w:t>Number of stochastic trends**</w:t>
            </w:r>
          </w:p>
        </w:tc>
        <w:tc>
          <w:tcPr>
            <w:tcW w:w="3117" w:type="dxa"/>
            <w:vAlign w:val="center"/>
          </w:tcPr>
          <w:p w14:paraId="7E88BDB3" w14:textId="77777777" w:rsidR="0015595E" w:rsidRPr="000270C0" w:rsidRDefault="0015595E" w:rsidP="0015595E">
            <w:pPr>
              <w:spacing w:line="240" w:lineRule="auto"/>
              <w:jc w:val="center"/>
              <w:rPr>
                <w:rFonts w:ascii="Times New Roman" w:hAnsi="Times New Roman" w:cs="Times New Roman"/>
              </w:rPr>
            </w:pPr>
            <w:r w:rsidRPr="000270C0">
              <w:rPr>
                <w:rFonts w:ascii="Times New Roman" w:eastAsia="Times New Roman" w:hAnsi="Times New Roman" w:cs="Times New Roman"/>
              </w:rPr>
              <w:t>4</w:t>
            </w:r>
          </w:p>
        </w:tc>
        <w:tc>
          <w:tcPr>
            <w:tcW w:w="3117" w:type="dxa"/>
          </w:tcPr>
          <w:p w14:paraId="5EE26D8B" w14:textId="77777777" w:rsidR="0015595E" w:rsidRPr="000270C0" w:rsidRDefault="0015595E" w:rsidP="0015595E">
            <w:pPr>
              <w:spacing w:line="240" w:lineRule="auto"/>
              <w:jc w:val="both"/>
              <w:rPr>
                <w:rFonts w:ascii="Times New Roman" w:hAnsi="Times New Roman" w:cs="Times New Roman"/>
              </w:rPr>
            </w:pPr>
          </w:p>
        </w:tc>
      </w:tr>
    </w:tbl>
    <w:p w14:paraId="747E737F" w14:textId="77777777" w:rsidR="0015595E" w:rsidRPr="000270C0" w:rsidRDefault="0015595E" w:rsidP="0015595E">
      <w:pPr>
        <w:spacing w:after="0" w:line="240" w:lineRule="auto"/>
        <w:jc w:val="both"/>
        <w:rPr>
          <w:rFonts w:ascii="Times New Roman" w:hAnsi="Times New Roman" w:cs="Times New Roman"/>
          <w:sz w:val="24"/>
          <w:szCs w:val="24"/>
        </w:rPr>
      </w:pPr>
      <w:r w:rsidRPr="000270C0">
        <w:rPr>
          <w:rFonts w:ascii="Times New Roman" w:eastAsia="Times New Roman" w:hAnsi="Times New Roman" w:cs="Times New Roman"/>
          <w:sz w:val="24"/>
          <w:szCs w:val="24"/>
        </w:rPr>
        <w:t>**Number of stochastic trends in asymptotic distribution.</w:t>
      </w:r>
    </w:p>
    <w:p w14:paraId="3221C2E7" w14:textId="77777777" w:rsidR="0015595E" w:rsidRPr="000270C0" w:rsidRDefault="0015595E" w:rsidP="0055107D">
      <w:pPr>
        <w:spacing w:line="240" w:lineRule="auto"/>
        <w:jc w:val="both"/>
        <w:rPr>
          <w:rFonts w:ascii="Times New Roman" w:hAnsi="Times New Roman" w:cs="Times New Roman"/>
          <w:sz w:val="24"/>
          <w:szCs w:val="24"/>
        </w:rPr>
      </w:pPr>
      <w:r w:rsidRPr="000270C0">
        <w:rPr>
          <w:rFonts w:ascii="Times New Roman" w:eastAsia="Times New Roman" w:hAnsi="Times New Roman" w:cs="Times New Roman"/>
          <w:sz w:val="24"/>
          <w:szCs w:val="24"/>
        </w:rPr>
        <w:t>Source: Researcher's computation (2026) using E-views 10.0</w:t>
      </w:r>
    </w:p>
    <w:p w14:paraId="543EE3D2" w14:textId="1143C9E4" w:rsidR="00FB1135" w:rsidRPr="000270C0" w:rsidRDefault="00AD627F" w:rsidP="00FB1135">
      <w:pPr>
        <w:spacing w:line="240" w:lineRule="auto"/>
        <w:ind w:firstLine="720"/>
        <w:jc w:val="both"/>
        <w:rPr>
          <w:rFonts w:ascii="Times New Roman" w:hAnsi="Times New Roman" w:cs="Times New Roman"/>
          <w:sz w:val="24"/>
          <w:szCs w:val="24"/>
        </w:rPr>
      </w:pPr>
      <w:r w:rsidRPr="000270C0">
        <w:rPr>
          <w:rFonts w:ascii="Times New Roman" w:eastAsia="Times New Roman" w:hAnsi="Times New Roman" w:cs="Times New Roman"/>
          <w:sz w:val="24"/>
          <w:szCs w:val="24"/>
        </w:rPr>
        <w:t>The null hypothesis that there is no cointegration between the variables can be rejected at the 5% level based on the Engle-Granger test statistics (tau-statistic = -4.730263, p = 0.0422; z-statistic = -30.23840, p = 0.0318). This result supports the idea that FDI, ESI, SSI, and GSI are cointegrated in the sense that, although they fluctuate in the short run, they stick together in the long run</w:t>
      </w:r>
      <w:r w:rsidR="00F7044B" w:rsidRPr="000270C0">
        <w:rPr>
          <w:rFonts w:ascii="Times New Roman" w:eastAsia="Times New Roman" w:hAnsi="Times New Roman" w:cs="Times New Roman"/>
          <w:sz w:val="24"/>
          <w:szCs w:val="24"/>
        </w:rPr>
        <w:t>.</w:t>
      </w:r>
    </w:p>
    <w:p w14:paraId="0BB6C935" w14:textId="77777777" w:rsidR="00FB1135" w:rsidRPr="000270C0" w:rsidRDefault="00FB1135" w:rsidP="00FB1135">
      <w:pPr>
        <w:spacing w:after="0" w:line="240" w:lineRule="auto"/>
        <w:jc w:val="both"/>
        <w:rPr>
          <w:rFonts w:ascii="Times New Roman" w:hAnsi="Times New Roman" w:cs="Times New Roman"/>
          <w:sz w:val="24"/>
          <w:szCs w:val="24"/>
        </w:rPr>
      </w:pPr>
      <w:r w:rsidRPr="000270C0">
        <w:rPr>
          <w:rFonts w:ascii="Times New Roman" w:eastAsia="Times New Roman" w:hAnsi="Times New Roman" w:cs="Times New Roman"/>
          <w:b/>
          <w:bCs/>
          <w:sz w:val="24"/>
          <w:szCs w:val="24"/>
        </w:rPr>
        <w:t>Normality Test</w:t>
      </w:r>
    </w:p>
    <w:p w14:paraId="7E51A887" w14:textId="44036BC2" w:rsidR="009C4C4F" w:rsidRPr="000270C0" w:rsidRDefault="000A6151" w:rsidP="00AD627F">
      <w:pPr>
        <w:spacing w:line="240" w:lineRule="auto"/>
        <w:ind w:firstLine="720"/>
        <w:jc w:val="both"/>
        <w:rPr>
          <w:rFonts w:ascii="Times New Roman" w:hAnsi="Times New Roman" w:cs="Times New Roman"/>
          <w:sz w:val="24"/>
          <w:szCs w:val="24"/>
        </w:rPr>
      </w:pPr>
      <w:r w:rsidRPr="000270C0">
        <w:rPr>
          <w:rFonts w:ascii="Times New Roman" w:eastAsia="Times New Roman" w:hAnsi="Times New Roman" w:cs="Times New Roman"/>
          <w:sz w:val="24"/>
          <w:szCs w:val="24"/>
        </w:rPr>
        <w:t>Jarque-</w:t>
      </w:r>
      <w:proofErr w:type="spellStart"/>
      <w:r w:rsidRPr="000270C0">
        <w:rPr>
          <w:rFonts w:ascii="Times New Roman" w:eastAsia="Times New Roman" w:hAnsi="Times New Roman" w:cs="Times New Roman"/>
          <w:sz w:val="24"/>
          <w:szCs w:val="24"/>
        </w:rPr>
        <w:t>bera</w:t>
      </w:r>
      <w:proofErr w:type="spellEnd"/>
      <w:r w:rsidRPr="000270C0">
        <w:rPr>
          <w:rFonts w:ascii="Times New Roman" w:eastAsia="Times New Roman" w:hAnsi="Times New Roman" w:cs="Times New Roman"/>
          <w:sz w:val="24"/>
          <w:szCs w:val="24"/>
        </w:rPr>
        <w:t xml:space="preserve"> normality test was used on the OLS regression errors to determine whether the errors are normally distributed. The null hypothesis is on the assumption that the residuals follow a normal distribution. Table 4.6 shows the results</w:t>
      </w:r>
      <w:r w:rsidR="00FB1135" w:rsidRPr="000270C0">
        <w:rPr>
          <w:rFonts w:ascii="Times New Roman" w:eastAsia="Times New Roman" w:hAnsi="Times New Roman" w:cs="Times New Roman"/>
          <w:sz w:val="24"/>
          <w:szCs w:val="24"/>
        </w:rPr>
        <w:t>.</w:t>
      </w:r>
    </w:p>
    <w:p w14:paraId="1DBB3EAD" w14:textId="77777777" w:rsidR="00B474F3" w:rsidRPr="000270C0" w:rsidRDefault="00B474F3" w:rsidP="00B474F3">
      <w:pPr>
        <w:spacing w:after="0"/>
        <w:jc w:val="both"/>
        <w:rPr>
          <w:rFonts w:ascii="Times New Roman" w:eastAsia="Times New Roman" w:hAnsi="Times New Roman" w:cs="Times New Roman"/>
          <w:sz w:val="24"/>
          <w:szCs w:val="24"/>
        </w:rPr>
      </w:pPr>
      <w:r w:rsidRPr="000270C0">
        <w:rPr>
          <w:rFonts w:ascii="Times New Roman" w:eastAsia="Times New Roman" w:hAnsi="Times New Roman" w:cs="Times New Roman"/>
          <w:b/>
          <w:bCs/>
          <w:sz w:val="24"/>
          <w:szCs w:val="24"/>
        </w:rPr>
        <w:t xml:space="preserve">Table 4.5: </w:t>
      </w:r>
      <w:r w:rsidRPr="000270C0">
        <w:rPr>
          <w:rFonts w:ascii="Times New Roman" w:eastAsia="Times New Roman" w:hAnsi="Times New Roman" w:cs="Times New Roman"/>
          <w:sz w:val="24"/>
          <w:szCs w:val="24"/>
        </w:rPr>
        <w:t>Normality Test (Jarque-Bera) on OLS Residuals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270C0" w:rsidRPr="000270C0" w14:paraId="2BA97B3F" w14:textId="77777777" w:rsidTr="00B474F3">
        <w:tc>
          <w:tcPr>
            <w:tcW w:w="4675" w:type="dxa"/>
            <w:vAlign w:val="center"/>
          </w:tcPr>
          <w:p w14:paraId="33604199" w14:textId="77777777" w:rsidR="00B474F3" w:rsidRPr="000270C0" w:rsidRDefault="00B474F3" w:rsidP="00B474F3">
            <w:pPr>
              <w:spacing w:line="240" w:lineRule="auto"/>
              <w:jc w:val="center"/>
              <w:rPr>
                <w:rFonts w:ascii="Times New Roman" w:hAnsi="Times New Roman" w:cs="Times New Roman"/>
              </w:rPr>
            </w:pPr>
            <w:r w:rsidRPr="000270C0">
              <w:rPr>
                <w:rFonts w:ascii="Times New Roman" w:eastAsia="Times New Roman" w:hAnsi="Times New Roman" w:cs="Times New Roman"/>
                <w:b/>
                <w:bCs/>
              </w:rPr>
              <w:t>Statistic</w:t>
            </w:r>
          </w:p>
        </w:tc>
        <w:tc>
          <w:tcPr>
            <w:tcW w:w="4675" w:type="dxa"/>
            <w:vAlign w:val="center"/>
          </w:tcPr>
          <w:p w14:paraId="0EC160C1" w14:textId="77777777" w:rsidR="00B474F3" w:rsidRPr="000270C0" w:rsidRDefault="00B474F3" w:rsidP="00B474F3">
            <w:pPr>
              <w:spacing w:line="240" w:lineRule="auto"/>
              <w:jc w:val="center"/>
              <w:rPr>
                <w:rFonts w:ascii="Times New Roman" w:hAnsi="Times New Roman" w:cs="Times New Roman"/>
              </w:rPr>
            </w:pPr>
            <w:r w:rsidRPr="000270C0">
              <w:rPr>
                <w:rFonts w:ascii="Times New Roman" w:eastAsia="Times New Roman" w:hAnsi="Times New Roman" w:cs="Times New Roman"/>
                <w:b/>
                <w:bCs/>
              </w:rPr>
              <w:t>Value</w:t>
            </w:r>
          </w:p>
        </w:tc>
      </w:tr>
      <w:tr w:rsidR="000270C0" w:rsidRPr="000270C0" w14:paraId="1A5585CB" w14:textId="77777777" w:rsidTr="00B474F3">
        <w:tc>
          <w:tcPr>
            <w:tcW w:w="4675" w:type="dxa"/>
            <w:vAlign w:val="center"/>
          </w:tcPr>
          <w:p w14:paraId="1FE9DD08" w14:textId="77777777" w:rsidR="00B474F3" w:rsidRPr="000270C0" w:rsidRDefault="00B474F3" w:rsidP="00B474F3">
            <w:pPr>
              <w:spacing w:line="240" w:lineRule="auto"/>
              <w:rPr>
                <w:rFonts w:ascii="Times New Roman" w:hAnsi="Times New Roman" w:cs="Times New Roman"/>
              </w:rPr>
            </w:pPr>
            <w:r w:rsidRPr="000270C0">
              <w:rPr>
                <w:rFonts w:ascii="Times New Roman" w:eastAsia="Times New Roman" w:hAnsi="Times New Roman" w:cs="Times New Roman"/>
              </w:rPr>
              <w:t>Jarque-Bera Statistic</w:t>
            </w:r>
          </w:p>
        </w:tc>
        <w:tc>
          <w:tcPr>
            <w:tcW w:w="4675" w:type="dxa"/>
            <w:vAlign w:val="center"/>
          </w:tcPr>
          <w:p w14:paraId="69D137C6" w14:textId="77777777" w:rsidR="00B474F3" w:rsidRPr="000270C0" w:rsidRDefault="00B474F3" w:rsidP="00B474F3">
            <w:pPr>
              <w:spacing w:line="240" w:lineRule="auto"/>
              <w:jc w:val="center"/>
              <w:rPr>
                <w:rFonts w:ascii="Times New Roman" w:hAnsi="Times New Roman" w:cs="Times New Roman"/>
              </w:rPr>
            </w:pPr>
            <w:r w:rsidRPr="000270C0">
              <w:rPr>
                <w:rFonts w:ascii="Times New Roman" w:eastAsia="Times New Roman" w:hAnsi="Times New Roman" w:cs="Times New Roman"/>
              </w:rPr>
              <w:t>35.05218</w:t>
            </w:r>
          </w:p>
        </w:tc>
      </w:tr>
      <w:tr w:rsidR="000270C0" w:rsidRPr="000270C0" w14:paraId="61CAA508" w14:textId="77777777" w:rsidTr="00B474F3">
        <w:tc>
          <w:tcPr>
            <w:tcW w:w="4675" w:type="dxa"/>
            <w:vAlign w:val="center"/>
          </w:tcPr>
          <w:p w14:paraId="5DFA6E92" w14:textId="77777777" w:rsidR="00B474F3" w:rsidRPr="000270C0" w:rsidRDefault="00B474F3" w:rsidP="00B474F3">
            <w:pPr>
              <w:spacing w:line="240" w:lineRule="auto"/>
              <w:rPr>
                <w:rFonts w:ascii="Times New Roman" w:hAnsi="Times New Roman" w:cs="Times New Roman"/>
              </w:rPr>
            </w:pPr>
            <w:r w:rsidRPr="000270C0">
              <w:rPr>
                <w:rFonts w:ascii="Times New Roman" w:eastAsia="Times New Roman" w:hAnsi="Times New Roman" w:cs="Times New Roman"/>
              </w:rPr>
              <w:t>Probability</w:t>
            </w:r>
          </w:p>
        </w:tc>
        <w:tc>
          <w:tcPr>
            <w:tcW w:w="4675" w:type="dxa"/>
            <w:vAlign w:val="center"/>
          </w:tcPr>
          <w:p w14:paraId="6B70CF39" w14:textId="77777777" w:rsidR="00B474F3" w:rsidRPr="000270C0" w:rsidRDefault="00B474F3" w:rsidP="00B474F3">
            <w:pPr>
              <w:spacing w:line="240" w:lineRule="auto"/>
              <w:jc w:val="center"/>
              <w:rPr>
                <w:rFonts w:ascii="Times New Roman" w:hAnsi="Times New Roman" w:cs="Times New Roman"/>
              </w:rPr>
            </w:pPr>
            <w:r w:rsidRPr="000270C0">
              <w:rPr>
                <w:rFonts w:ascii="Times New Roman" w:eastAsia="Times New Roman" w:hAnsi="Times New Roman" w:cs="Times New Roman"/>
              </w:rPr>
              <w:t>0.000000</w:t>
            </w:r>
          </w:p>
        </w:tc>
      </w:tr>
      <w:tr w:rsidR="000270C0" w:rsidRPr="000270C0" w14:paraId="3DDA5FB9" w14:textId="77777777" w:rsidTr="00B474F3">
        <w:tc>
          <w:tcPr>
            <w:tcW w:w="4675" w:type="dxa"/>
            <w:vAlign w:val="center"/>
          </w:tcPr>
          <w:p w14:paraId="362A1054" w14:textId="77777777" w:rsidR="00B474F3" w:rsidRPr="000270C0" w:rsidRDefault="00B474F3" w:rsidP="00B474F3">
            <w:pPr>
              <w:spacing w:line="240" w:lineRule="auto"/>
              <w:rPr>
                <w:rFonts w:ascii="Times New Roman" w:hAnsi="Times New Roman" w:cs="Times New Roman"/>
              </w:rPr>
            </w:pPr>
            <w:r w:rsidRPr="000270C0">
              <w:rPr>
                <w:rFonts w:ascii="Times New Roman" w:eastAsia="Times New Roman" w:hAnsi="Times New Roman" w:cs="Times New Roman"/>
              </w:rPr>
              <w:t>Skewness (Residuals)</w:t>
            </w:r>
          </w:p>
        </w:tc>
        <w:tc>
          <w:tcPr>
            <w:tcW w:w="4675" w:type="dxa"/>
            <w:vAlign w:val="center"/>
          </w:tcPr>
          <w:p w14:paraId="06C139FD" w14:textId="77777777" w:rsidR="00B474F3" w:rsidRPr="000270C0" w:rsidRDefault="00B474F3" w:rsidP="00B474F3">
            <w:pPr>
              <w:spacing w:line="240" w:lineRule="auto"/>
              <w:jc w:val="center"/>
              <w:rPr>
                <w:rFonts w:ascii="Times New Roman" w:hAnsi="Times New Roman" w:cs="Times New Roman"/>
              </w:rPr>
            </w:pPr>
            <w:r w:rsidRPr="000270C0">
              <w:rPr>
                <w:rFonts w:ascii="Times New Roman" w:eastAsia="Times New Roman" w:hAnsi="Times New Roman" w:cs="Times New Roman"/>
              </w:rPr>
              <w:t>-1.545662</w:t>
            </w:r>
          </w:p>
        </w:tc>
      </w:tr>
      <w:tr w:rsidR="000270C0" w:rsidRPr="000270C0" w14:paraId="7276F3B3" w14:textId="77777777" w:rsidTr="00B474F3">
        <w:tc>
          <w:tcPr>
            <w:tcW w:w="4675" w:type="dxa"/>
            <w:vAlign w:val="center"/>
          </w:tcPr>
          <w:p w14:paraId="7D971A9D" w14:textId="77777777" w:rsidR="00B474F3" w:rsidRPr="000270C0" w:rsidRDefault="00B474F3" w:rsidP="00B474F3">
            <w:pPr>
              <w:spacing w:line="240" w:lineRule="auto"/>
              <w:rPr>
                <w:rFonts w:ascii="Times New Roman" w:hAnsi="Times New Roman" w:cs="Times New Roman"/>
              </w:rPr>
            </w:pPr>
            <w:r w:rsidRPr="000270C0">
              <w:rPr>
                <w:rFonts w:ascii="Times New Roman" w:eastAsia="Times New Roman" w:hAnsi="Times New Roman" w:cs="Times New Roman"/>
              </w:rPr>
              <w:t>Kurtosis (Residuals)</w:t>
            </w:r>
          </w:p>
        </w:tc>
        <w:tc>
          <w:tcPr>
            <w:tcW w:w="4675" w:type="dxa"/>
            <w:vAlign w:val="center"/>
          </w:tcPr>
          <w:p w14:paraId="28E4F425" w14:textId="77777777" w:rsidR="00B474F3" w:rsidRPr="000270C0" w:rsidRDefault="00B474F3" w:rsidP="00B474F3">
            <w:pPr>
              <w:spacing w:line="240" w:lineRule="auto"/>
              <w:jc w:val="center"/>
              <w:rPr>
                <w:rFonts w:ascii="Times New Roman" w:hAnsi="Times New Roman" w:cs="Times New Roman"/>
              </w:rPr>
            </w:pPr>
            <w:r w:rsidRPr="000270C0">
              <w:rPr>
                <w:rFonts w:ascii="Times New Roman" w:eastAsia="Times New Roman" w:hAnsi="Times New Roman" w:cs="Times New Roman"/>
              </w:rPr>
              <w:t>6.092424</w:t>
            </w:r>
          </w:p>
        </w:tc>
      </w:tr>
      <w:tr w:rsidR="000270C0" w:rsidRPr="000270C0" w14:paraId="62442F59" w14:textId="77777777" w:rsidTr="00B474F3">
        <w:tc>
          <w:tcPr>
            <w:tcW w:w="4675" w:type="dxa"/>
            <w:vAlign w:val="center"/>
          </w:tcPr>
          <w:p w14:paraId="58700613" w14:textId="77777777" w:rsidR="00B474F3" w:rsidRPr="000270C0" w:rsidRDefault="00B474F3" w:rsidP="00B474F3">
            <w:pPr>
              <w:spacing w:line="240" w:lineRule="auto"/>
              <w:rPr>
                <w:rFonts w:ascii="Times New Roman" w:hAnsi="Times New Roman" w:cs="Times New Roman"/>
              </w:rPr>
            </w:pPr>
            <w:r w:rsidRPr="000270C0">
              <w:rPr>
                <w:rFonts w:ascii="Times New Roman" w:eastAsia="Times New Roman" w:hAnsi="Times New Roman" w:cs="Times New Roman"/>
              </w:rPr>
              <w:t>Observations</w:t>
            </w:r>
          </w:p>
        </w:tc>
        <w:tc>
          <w:tcPr>
            <w:tcW w:w="4675" w:type="dxa"/>
            <w:vAlign w:val="center"/>
          </w:tcPr>
          <w:p w14:paraId="5CA5DE0B" w14:textId="77777777" w:rsidR="00B474F3" w:rsidRPr="000270C0" w:rsidRDefault="00B474F3" w:rsidP="00B474F3">
            <w:pPr>
              <w:spacing w:line="240" w:lineRule="auto"/>
              <w:jc w:val="center"/>
              <w:rPr>
                <w:rFonts w:ascii="Times New Roman" w:hAnsi="Times New Roman" w:cs="Times New Roman"/>
              </w:rPr>
            </w:pPr>
            <w:r w:rsidRPr="000270C0">
              <w:rPr>
                <w:rFonts w:ascii="Times New Roman" w:eastAsia="Times New Roman" w:hAnsi="Times New Roman" w:cs="Times New Roman"/>
              </w:rPr>
              <w:t>44</w:t>
            </w:r>
          </w:p>
        </w:tc>
      </w:tr>
    </w:tbl>
    <w:p w14:paraId="6CD963FD" w14:textId="77777777" w:rsidR="00B474F3" w:rsidRPr="000270C0" w:rsidRDefault="00B474F3" w:rsidP="0055107D">
      <w:pPr>
        <w:jc w:val="both"/>
        <w:rPr>
          <w:rFonts w:ascii="Times New Roman" w:eastAsia="Times New Roman" w:hAnsi="Times New Roman" w:cs="Times New Roman"/>
          <w:sz w:val="24"/>
          <w:szCs w:val="24"/>
        </w:rPr>
      </w:pPr>
      <w:r w:rsidRPr="000270C0">
        <w:rPr>
          <w:rFonts w:ascii="Times New Roman" w:eastAsia="Times New Roman" w:hAnsi="Times New Roman" w:cs="Times New Roman"/>
          <w:b/>
          <w:bCs/>
          <w:sz w:val="24"/>
          <w:szCs w:val="24"/>
        </w:rPr>
        <w:t>Source:</w:t>
      </w:r>
      <w:r w:rsidRPr="000270C0">
        <w:rPr>
          <w:rFonts w:ascii="Times New Roman" w:eastAsia="Times New Roman" w:hAnsi="Times New Roman" w:cs="Times New Roman"/>
          <w:sz w:val="24"/>
          <w:szCs w:val="24"/>
        </w:rPr>
        <w:t xml:space="preserve"> Researcher's computation (2026) using E-views 10.0</w:t>
      </w:r>
    </w:p>
    <w:p w14:paraId="6ADDC802" w14:textId="1A0310F6" w:rsidR="00B474F3" w:rsidRPr="000270C0" w:rsidRDefault="000A6151" w:rsidP="00B474F3">
      <w:pPr>
        <w:ind w:firstLine="720"/>
        <w:jc w:val="both"/>
        <w:rPr>
          <w:rFonts w:ascii="Times New Roman" w:hAnsi="Times New Roman" w:cs="Times New Roman"/>
          <w:sz w:val="24"/>
          <w:szCs w:val="24"/>
        </w:rPr>
      </w:pPr>
      <w:r w:rsidRPr="000270C0">
        <w:rPr>
          <w:rFonts w:ascii="Times New Roman" w:eastAsia="Times New Roman" w:hAnsi="Times New Roman" w:cs="Times New Roman"/>
          <w:sz w:val="24"/>
          <w:szCs w:val="24"/>
        </w:rPr>
        <w:t>Jarque-Bra statistic (35.052) p-value (0.0000) means that the null hypothesis of normally distributed residuals is rejected at the 1% level of significance. The skewness of the residuals (-1.546) and kurtosis excess (6.092), are additional indicators of violation of normality. This observation is not unique to macroeconomic time series data with structural shifts, policy changes, and extreme events during the study period (19812024). Although non-normality of residuals do not compromise OLS estimates with large samples because of the Central Limit Theorem, it causes one to be cautious when making inferences with small samples.</w:t>
      </w:r>
    </w:p>
    <w:p w14:paraId="594EF288" w14:textId="77777777" w:rsidR="00B474F3" w:rsidRPr="000270C0" w:rsidRDefault="00B474F3" w:rsidP="00B474F3">
      <w:pPr>
        <w:spacing w:after="0"/>
        <w:jc w:val="both"/>
        <w:rPr>
          <w:rFonts w:ascii="Times New Roman" w:hAnsi="Times New Roman" w:cs="Times New Roman"/>
          <w:sz w:val="24"/>
          <w:szCs w:val="24"/>
        </w:rPr>
      </w:pPr>
      <w:r w:rsidRPr="000270C0">
        <w:rPr>
          <w:rFonts w:ascii="Times New Roman" w:eastAsia="Times New Roman" w:hAnsi="Times New Roman" w:cs="Times New Roman"/>
          <w:b/>
          <w:bCs/>
          <w:sz w:val="24"/>
          <w:szCs w:val="24"/>
        </w:rPr>
        <w:t>Heteroscedasticity Test</w:t>
      </w:r>
    </w:p>
    <w:p w14:paraId="44BB2459" w14:textId="330BD6FB" w:rsidR="009C4C4F" w:rsidRPr="000270C0" w:rsidRDefault="000A6151" w:rsidP="00B474F3">
      <w:pPr>
        <w:spacing w:after="0"/>
        <w:ind w:firstLine="720"/>
        <w:jc w:val="both"/>
        <w:rPr>
          <w:rFonts w:ascii="Times New Roman" w:eastAsia="Times New Roman" w:hAnsi="Times New Roman" w:cs="Times New Roman"/>
          <w:sz w:val="24"/>
          <w:szCs w:val="24"/>
        </w:rPr>
      </w:pPr>
      <w:r w:rsidRPr="000270C0">
        <w:rPr>
          <w:rFonts w:ascii="Times New Roman" w:eastAsia="Times New Roman" w:hAnsi="Times New Roman" w:cs="Times New Roman"/>
          <w:sz w:val="24"/>
          <w:szCs w:val="24"/>
        </w:rPr>
        <w:t>The Breusch-Pagan and the heteroscedasticity tests of White were used to confirm or disconfirm the assumption of the equality of the variances of the error terms (homoscedasticity). The null hypothesis presumes the homoscedasticity (equal variance of residuals). These findings are in Table 4.7</w:t>
      </w:r>
      <w:r w:rsidR="00B474F3" w:rsidRPr="000270C0">
        <w:rPr>
          <w:rFonts w:ascii="Times New Roman" w:eastAsia="Times New Roman" w:hAnsi="Times New Roman" w:cs="Times New Roman"/>
          <w:sz w:val="24"/>
          <w:szCs w:val="24"/>
        </w:rPr>
        <w:t>.</w:t>
      </w:r>
    </w:p>
    <w:p w14:paraId="5A6E351C" w14:textId="77777777" w:rsidR="00293B53" w:rsidRPr="000270C0" w:rsidRDefault="00293B53" w:rsidP="00293B53">
      <w:pPr>
        <w:spacing w:after="0" w:line="240" w:lineRule="auto"/>
        <w:jc w:val="both"/>
        <w:rPr>
          <w:rFonts w:ascii="Times New Roman" w:hAnsi="Times New Roman" w:cs="Times New Roman"/>
          <w:sz w:val="24"/>
          <w:szCs w:val="24"/>
        </w:rPr>
      </w:pPr>
      <w:r w:rsidRPr="000270C0">
        <w:rPr>
          <w:rFonts w:ascii="Times New Roman" w:eastAsia="Times New Roman" w:hAnsi="Times New Roman" w:cs="Times New Roman"/>
          <w:b/>
          <w:bCs/>
          <w:sz w:val="24"/>
          <w:szCs w:val="24"/>
        </w:rPr>
        <w:t xml:space="preserve">Table 4.6: </w:t>
      </w:r>
      <w:r w:rsidRPr="000270C0">
        <w:rPr>
          <w:rFonts w:ascii="Times New Roman" w:eastAsia="Times New Roman" w:hAnsi="Times New Roman" w:cs="Times New Roman"/>
          <w:sz w:val="24"/>
          <w:szCs w:val="24"/>
        </w:rPr>
        <w:t>Heteroscedasticity Test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0270C0" w:rsidRPr="000270C0" w14:paraId="58FE9173" w14:textId="77777777" w:rsidTr="00293B53">
        <w:tc>
          <w:tcPr>
            <w:tcW w:w="3116" w:type="dxa"/>
            <w:vAlign w:val="center"/>
          </w:tcPr>
          <w:p w14:paraId="50F857A6" w14:textId="77777777" w:rsidR="00293B53" w:rsidRPr="000270C0" w:rsidRDefault="00293B53" w:rsidP="00293B53">
            <w:pPr>
              <w:spacing w:line="240" w:lineRule="auto"/>
              <w:jc w:val="center"/>
              <w:rPr>
                <w:rFonts w:ascii="Times New Roman" w:hAnsi="Times New Roman" w:cs="Times New Roman"/>
              </w:rPr>
            </w:pPr>
            <w:r w:rsidRPr="000270C0">
              <w:rPr>
                <w:rFonts w:ascii="Times New Roman" w:eastAsia="Times New Roman" w:hAnsi="Times New Roman" w:cs="Times New Roman"/>
                <w:b/>
                <w:bCs/>
              </w:rPr>
              <w:t>Test</w:t>
            </w:r>
          </w:p>
        </w:tc>
        <w:tc>
          <w:tcPr>
            <w:tcW w:w="3117" w:type="dxa"/>
            <w:vAlign w:val="center"/>
          </w:tcPr>
          <w:p w14:paraId="62476B65" w14:textId="77777777" w:rsidR="00293B53" w:rsidRPr="000270C0" w:rsidRDefault="00293B53" w:rsidP="00293B53">
            <w:pPr>
              <w:spacing w:line="240" w:lineRule="auto"/>
              <w:jc w:val="center"/>
              <w:rPr>
                <w:rFonts w:ascii="Times New Roman" w:hAnsi="Times New Roman" w:cs="Times New Roman"/>
              </w:rPr>
            </w:pPr>
            <w:r w:rsidRPr="000270C0">
              <w:rPr>
                <w:rFonts w:ascii="Times New Roman" w:eastAsia="Times New Roman" w:hAnsi="Times New Roman" w:cs="Times New Roman"/>
                <w:b/>
                <w:bCs/>
              </w:rPr>
              <w:t>Statistic</w:t>
            </w:r>
          </w:p>
        </w:tc>
        <w:tc>
          <w:tcPr>
            <w:tcW w:w="3117" w:type="dxa"/>
            <w:vAlign w:val="center"/>
          </w:tcPr>
          <w:p w14:paraId="68EFF7B4" w14:textId="77777777" w:rsidR="00293B53" w:rsidRPr="000270C0" w:rsidRDefault="00293B53" w:rsidP="00293B53">
            <w:pPr>
              <w:spacing w:line="240" w:lineRule="auto"/>
              <w:jc w:val="center"/>
              <w:rPr>
                <w:rFonts w:ascii="Times New Roman" w:hAnsi="Times New Roman" w:cs="Times New Roman"/>
              </w:rPr>
            </w:pPr>
            <w:r w:rsidRPr="000270C0">
              <w:rPr>
                <w:rFonts w:ascii="Times New Roman" w:eastAsia="Times New Roman" w:hAnsi="Times New Roman" w:cs="Times New Roman"/>
                <w:b/>
                <w:bCs/>
              </w:rPr>
              <w:t>Chi-</w:t>
            </w:r>
            <w:proofErr w:type="spellStart"/>
            <w:r w:rsidRPr="000270C0">
              <w:rPr>
                <w:rFonts w:ascii="Times New Roman" w:eastAsia="Times New Roman" w:hAnsi="Times New Roman" w:cs="Times New Roman"/>
                <w:b/>
                <w:bCs/>
              </w:rPr>
              <w:t>sq</w:t>
            </w:r>
            <w:proofErr w:type="spellEnd"/>
            <w:r w:rsidRPr="000270C0">
              <w:rPr>
                <w:rFonts w:ascii="Times New Roman" w:eastAsia="Times New Roman" w:hAnsi="Times New Roman" w:cs="Times New Roman"/>
                <w:b/>
                <w:bCs/>
              </w:rPr>
              <w:t xml:space="preserve"> </w:t>
            </w:r>
            <w:proofErr w:type="spellStart"/>
            <w:r w:rsidRPr="000270C0">
              <w:rPr>
                <w:rFonts w:ascii="Times New Roman" w:eastAsia="Times New Roman" w:hAnsi="Times New Roman" w:cs="Times New Roman"/>
                <w:b/>
                <w:bCs/>
              </w:rPr>
              <w:t>df</w:t>
            </w:r>
            <w:proofErr w:type="spellEnd"/>
          </w:p>
        </w:tc>
      </w:tr>
      <w:tr w:rsidR="000270C0" w:rsidRPr="000270C0" w14:paraId="3D4456CF" w14:textId="77777777" w:rsidTr="00293B53">
        <w:tc>
          <w:tcPr>
            <w:tcW w:w="3116" w:type="dxa"/>
            <w:vAlign w:val="center"/>
          </w:tcPr>
          <w:p w14:paraId="391ED98C" w14:textId="77777777" w:rsidR="00293B53" w:rsidRPr="000270C0" w:rsidRDefault="00293B53" w:rsidP="00293B53">
            <w:pPr>
              <w:spacing w:line="240" w:lineRule="auto"/>
              <w:rPr>
                <w:rFonts w:ascii="Times New Roman" w:hAnsi="Times New Roman" w:cs="Times New Roman"/>
              </w:rPr>
            </w:pPr>
            <w:r w:rsidRPr="000270C0">
              <w:rPr>
                <w:rFonts w:ascii="Times New Roman" w:eastAsia="Times New Roman" w:hAnsi="Times New Roman" w:cs="Times New Roman"/>
              </w:rPr>
              <w:lastRenderedPageBreak/>
              <w:t>Breusch-Pagan LM Test</w:t>
            </w:r>
          </w:p>
        </w:tc>
        <w:tc>
          <w:tcPr>
            <w:tcW w:w="3117" w:type="dxa"/>
            <w:vAlign w:val="center"/>
          </w:tcPr>
          <w:p w14:paraId="6F8C917E" w14:textId="77777777" w:rsidR="00293B53" w:rsidRPr="000270C0" w:rsidRDefault="00293B53" w:rsidP="00293B53">
            <w:pPr>
              <w:spacing w:line="240" w:lineRule="auto"/>
              <w:jc w:val="center"/>
              <w:rPr>
                <w:rFonts w:ascii="Times New Roman" w:hAnsi="Times New Roman" w:cs="Times New Roman"/>
              </w:rPr>
            </w:pPr>
            <w:r w:rsidRPr="000270C0">
              <w:rPr>
                <w:rFonts w:ascii="Times New Roman" w:eastAsia="Times New Roman" w:hAnsi="Times New Roman" w:cs="Times New Roman"/>
              </w:rPr>
              <w:t>4.9011</w:t>
            </w:r>
          </w:p>
        </w:tc>
        <w:tc>
          <w:tcPr>
            <w:tcW w:w="3117" w:type="dxa"/>
            <w:vAlign w:val="center"/>
          </w:tcPr>
          <w:p w14:paraId="7EB69378" w14:textId="77777777" w:rsidR="00293B53" w:rsidRPr="000270C0" w:rsidRDefault="00293B53" w:rsidP="00293B53">
            <w:pPr>
              <w:spacing w:line="240" w:lineRule="auto"/>
              <w:jc w:val="center"/>
              <w:rPr>
                <w:rFonts w:ascii="Times New Roman" w:hAnsi="Times New Roman" w:cs="Times New Roman"/>
              </w:rPr>
            </w:pPr>
            <w:r w:rsidRPr="000270C0">
              <w:rPr>
                <w:rFonts w:ascii="Times New Roman" w:eastAsia="Times New Roman" w:hAnsi="Times New Roman" w:cs="Times New Roman"/>
              </w:rPr>
              <w:t>3</w:t>
            </w:r>
          </w:p>
        </w:tc>
      </w:tr>
      <w:tr w:rsidR="000270C0" w:rsidRPr="000270C0" w14:paraId="672ED769" w14:textId="77777777" w:rsidTr="00293B53">
        <w:tc>
          <w:tcPr>
            <w:tcW w:w="3116" w:type="dxa"/>
            <w:vAlign w:val="center"/>
          </w:tcPr>
          <w:p w14:paraId="01C3128D" w14:textId="77777777" w:rsidR="00293B53" w:rsidRPr="000270C0" w:rsidRDefault="00293B53" w:rsidP="00293B53">
            <w:pPr>
              <w:spacing w:line="240" w:lineRule="auto"/>
              <w:rPr>
                <w:rFonts w:ascii="Times New Roman" w:hAnsi="Times New Roman" w:cs="Times New Roman"/>
              </w:rPr>
            </w:pPr>
            <w:r w:rsidRPr="000270C0">
              <w:rPr>
                <w:rFonts w:ascii="Times New Roman" w:eastAsia="Times New Roman" w:hAnsi="Times New Roman" w:cs="Times New Roman"/>
              </w:rPr>
              <w:t>White's Test (nR²)</w:t>
            </w:r>
          </w:p>
        </w:tc>
        <w:tc>
          <w:tcPr>
            <w:tcW w:w="3117" w:type="dxa"/>
            <w:vAlign w:val="center"/>
          </w:tcPr>
          <w:p w14:paraId="33AB6C69" w14:textId="77777777" w:rsidR="00293B53" w:rsidRPr="000270C0" w:rsidRDefault="00293B53" w:rsidP="00293B53">
            <w:pPr>
              <w:spacing w:line="240" w:lineRule="auto"/>
              <w:jc w:val="center"/>
              <w:rPr>
                <w:rFonts w:ascii="Times New Roman" w:hAnsi="Times New Roman" w:cs="Times New Roman"/>
              </w:rPr>
            </w:pPr>
            <w:r w:rsidRPr="000270C0">
              <w:rPr>
                <w:rFonts w:ascii="Times New Roman" w:eastAsia="Times New Roman" w:hAnsi="Times New Roman" w:cs="Times New Roman"/>
              </w:rPr>
              <w:t>25.5996</w:t>
            </w:r>
          </w:p>
        </w:tc>
        <w:tc>
          <w:tcPr>
            <w:tcW w:w="3117" w:type="dxa"/>
            <w:vAlign w:val="center"/>
          </w:tcPr>
          <w:p w14:paraId="526AD309" w14:textId="77777777" w:rsidR="00293B53" w:rsidRPr="000270C0" w:rsidRDefault="00293B53" w:rsidP="00293B53">
            <w:pPr>
              <w:spacing w:line="240" w:lineRule="auto"/>
              <w:jc w:val="center"/>
              <w:rPr>
                <w:rFonts w:ascii="Times New Roman" w:hAnsi="Times New Roman" w:cs="Times New Roman"/>
              </w:rPr>
            </w:pPr>
            <w:r w:rsidRPr="000270C0">
              <w:rPr>
                <w:rFonts w:ascii="Times New Roman" w:eastAsia="Times New Roman" w:hAnsi="Times New Roman" w:cs="Times New Roman"/>
              </w:rPr>
              <w:t>9</w:t>
            </w:r>
          </w:p>
        </w:tc>
      </w:tr>
      <w:tr w:rsidR="000270C0" w:rsidRPr="000270C0" w14:paraId="3A375A46" w14:textId="77777777" w:rsidTr="00293B53">
        <w:tc>
          <w:tcPr>
            <w:tcW w:w="3116" w:type="dxa"/>
            <w:vAlign w:val="center"/>
          </w:tcPr>
          <w:p w14:paraId="0B0ABA81" w14:textId="77777777" w:rsidR="00293B53" w:rsidRPr="000270C0" w:rsidRDefault="00293B53" w:rsidP="00293B53">
            <w:pPr>
              <w:spacing w:line="240" w:lineRule="auto"/>
              <w:rPr>
                <w:rFonts w:ascii="Times New Roman" w:hAnsi="Times New Roman" w:cs="Times New Roman"/>
              </w:rPr>
            </w:pPr>
            <w:r w:rsidRPr="000270C0">
              <w:rPr>
                <w:rFonts w:ascii="Times New Roman" w:eastAsia="Times New Roman" w:hAnsi="Times New Roman" w:cs="Times New Roman"/>
              </w:rPr>
              <w:t>White's F-statistic</w:t>
            </w:r>
          </w:p>
        </w:tc>
        <w:tc>
          <w:tcPr>
            <w:tcW w:w="3117" w:type="dxa"/>
            <w:vAlign w:val="center"/>
          </w:tcPr>
          <w:p w14:paraId="35A194CC" w14:textId="77777777" w:rsidR="00293B53" w:rsidRPr="000270C0" w:rsidRDefault="00293B53" w:rsidP="00293B53">
            <w:pPr>
              <w:spacing w:line="240" w:lineRule="auto"/>
              <w:jc w:val="center"/>
              <w:rPr>
                <w:rFonts w:ascii="Times New Roman" w:hAnsi="Times New Roman" w:cs="Times New Roman"/>
              </w:rPr>
            </w:pPr>
            <w:r w:rsidRPr="000270C0">
              <w:rPr>
                <w:rFonts w:ascii="Times New Roman" w:eastAsia="Times New Roman" w:hAnsi="Times New Roman" w:cs="Times New Roman"/>
              </w:rPr>
              <w:t>5.2558</w:t>
            </w:r>
          </w:p>
        </w:tc>
        <w:tc>
          <w:tcPr>
            <w:tcW w:w="3117" w:type="dxa"/>
            <w:vAlign w:val="center"/>
          </w:tcPr>
          <w:p w14:paraId="12D616DA" w14:textId="77777777" w:rsidR="00293B53" w:rsidRPr="000270C0" w:rsidRDefault="00293B53" w:rsidP="00293B53">
            <w:pPr>
              <w:spacing w:line="240" w:lineRule="auto"/>
              <w:jc w:val="center"/>
              <w:rPr>
                <w:rFonts w:ascii="Times New Roman" w:hAnsi="Times New Roman" w:cs="Times New Roman"/>
              </w:rPr>
            </w:pPr>
            <w:r w:rsidRPr="000270C0">
              <w:rPr>
                <w:rFonts w:ascii="Times New Roman" w:eastAsia="Times New Roman" w:hAnsi="Times New Roman" w:cs="Times New Roman"/>
              </w:rPr>
              <w:t>—</w:t>
            </w:r>
          </w:p>
        </w:tc>
      </w:tr>
    </w:tbl>
    <w:p w14:paraId="788F084B" w14:textId="77777777" w:rsidR="00293B53" w:rsidRPr="000270C0" w:rsidRDefault="00293B53" w:rsidP="0055107D">
      <w:pPr>
        <w:spacing w:line="240" w:lineRule="auto"/>
        <w:jc w:val="both"/>
        <w:rPr>
          <w:rFonts w:ascii="Times New Roman" w:hAnsi="Times New Roman" w:cs="Times New Roman"/>
          <w:sz w:val="24"/>
          <w:szCs w:val="24"/>
        </w:rPr>
      </w:pPr>
      <w:r w:rsidRPr="000270C0">
        <w:rPr>
          <w:rFonts w:ascii="Times New Roman" w:eastAsia="Times New Roman" w:hAnsi="Times New Roman" w:cs="Times New Roman"/>
          <w:b/>
          <w:bCs/>
          <w:sz w:val="24"/>
          <w:szCs w:val="24"/>
        </w:rPr>
        <w:t>Source:</w:t>
      </w:r>
      <w:r w:rsidRPr="000270C0">
        <w:rPr>
          <w:rFonts w:ascii="Times New Roman" w:eastAsia="Times New Roman" w:hAnsi="Times New Roman" w:cs="Times New Roman"/>
          <w:sz w:val="24"/>
          <w:szCs w:val="24"/>
        </w:rPr>
        <w:t xml:space="preserve"> Researcher's computation (2026) using E-views 10.0</w:t>
      </w:r>
    </w:p>
    <w:p w14:paraId="223E0F6C" w14:textId="76BF6118" w:rsidR="00293B53" w:rsidRPr="000270C0" w:rsidRDefault="004F00EB" w:rsidP="00293B53">
      <w:pPr>
        <w:spacing w:after="80"/>
        <w:ind w:firstLine="720"/>
        <w:jc w:val="both"/>
        <w:rPr>
          <w:rFonts w:ascii="Times New Roman" w:hAnsi="Times New Roman" w:cs="Times New Roman"/>
          <w:sz w:val="24"/>
          <w:szCs w:val="24"/>
        </w:rPr>
      </w:pPr>
      <w:r w:rsidRPr="000270C0">
        <w:rPr>
          <w:rFonts w:ascii="Times New Roman" w:eastAsia="Times New Roman" w:hAnsi="Times New Roman" w:cs="Times New Roman"/>
          <w:sz w:val="24"/>
          <w:szCs w:val="24"/>
        </w:rPr>
        <w:t>Breusch-Pagan LM test has a statistic value of 4.901 with a p-value of 0.1792 that is not below 0.05 and hence the null hypothesis of homoscedasticity is not rejected at 5% level. Nevertheless, White general heteroscedasticity test, which is a test that also considers terms of the cross-products, gives the statistics of 25.600 (p = 0.0024) and F-statistic of 5.256 (p = 0.0002), neither of which rejects the null hypothesis of homoscedasticity. The conflicting findings are that a simple linear form of heteroscedasticity could be non-existent, but there are signs of non-linear heteroscedasticity in the residuals. This is in line with the broad range of variation in economic activity throughout the study period and supports the necessity of high standard errors in inference</w:t>
      </w:r>
      <w:r w:rsidR="00293B53" w:rsidRPr="000270C0">
        <w:rPr>
          <w:rFonts w:ascii="Times New Roman" w:eastAsia="Times New Roman" w:hAnsi="Times New Roman" w:cs="Times New Roman"/>
          <w:sz w:val="24"/>
          <w:szCs w:val="24"/>
        </w:rPr>
        <w:t>.</w:t>
      </w:r>
    </w:p>
    <w:p w14:paraId="41E2648C" w14:textId="77777777" w:rsidR="00293B53" w:rsidRPr="000270C0" w:rsidRDefault="009456AF" w:rsidP="00293B53">
      <w:pPr>
        <w:spacing w:after="0" w:line="240" w:lineRule="auto"/>
        <w:jc w:val="both"/>
        <w:rPr>
          <w:rFonts w:ascii="Times New Roman" w:hAnsi="Times New Roman" w:cs="Times New Roman"/>
          <w:b/>
          <w:bCs/>
          <w:sz w:val="24"/>
          <w:szCs w:val="24"/>
        </w:rPr>
      </w:pPr>
      <w:r w:rsidRPr="000270C0">
        <w:rPr>
          <w:rFonts w:ascii="Times New Roman" w:hAnsi="Times New Roman" w:cs="Times New Roman"/>
          <w:b/>
          <w:bCs/>
          <w:sz w:val="24"/>
          <w:szCs w:val="24"/>
        </w:rPr>
        <w:t>Regression Analysis</w:t>
      </w:r>
    </w:p>
    <w:p w14:paraId="25381F2F" w14:textId="77777777" w:rsidR="009456AF" w:rsidRPr="000270C0" w:rsidRDefault="009456AF" w:rsidP="0029713D">
      <w:pPr>
        <w:spacing w:after="0" w:line="240" w:lineRule="auto"/>
        <w:ind w:firstLine="720"/>
        <w:jc w:val="both"/>
        <w:rPr>
          <w:rFonts w:ascii="Times New Roman" w:hAnsi="Times New Roman" w:cs="Times New Roman"/>
          <w:b/>
          <w:bCs/>
          <w:sz w:val="24"/>
          <w:szCs w:val="24"/>
        </w:rPr>
      </w:pPr>
      <w:r w:rsidRPr="000270C0">
        <w:rPr>
          <w:rFonts w:ascii="Times New Roman" w:eastAsia="Times New Roman" w:hAnsi="Times New Roman" w:cs="Times New Roman"/>
          <w:sz w:val="24"/>
          <w:szCs w:val="24"/>
        </w:rPr>
        <w:t>The multiple regression result is shown in Table 4.</w:t>
      </w:r>
      <w:r w:rsidR="00793F06" w:rsidRPr="000270C0">
        <w:rPr>
          <w:rFonts w:ascii="Times New Roman" w:eastAsia="Times New Roman" w:hAnsi="Times New Roman" w:cs="Times New Roman"/>
          <w:sz w:val="24"/>
          <w:szCs w:val="24"/>
        </w:rPr>
        <w:t>7</w:t>
      </w:r>
      <w:r w:rsidRPr="000270C0">
        <w:rPr>
          <w:rFonts w:ascii="Times New Roman" w:eastAsia="Times New Roman" w:hAnsi="Times New Roman" w:cs="Times New Roman"/>
          <w:sz w:val="24"/>
          <w:szCs w:val="24"/>
        </w:rPr>
        <w:t>:</w:t>
      </w:r>
    </w:p>
    <w:p w14:paraId="75111D1F" w14:textId="77777777" w:rsidR="009456AF" w:rsidRPr="000270C0" w:rsidRDefault="009456AF" w:rsidP="009456AF">
      <w:pPr>
        <w:spacing w:after="0" w:line="240" w:lineRule="auto"/>
        <w:jc w:val="both"/>
        <w:rPr>
          <w:rFonts w:ascii="Times New Roman" w:eastAsia="Times New Roman" w:hAnsi="Times New Roman" w:cs="Times New Roman"/>
        </w:rPr>
      </w:pPr>
      <w:r w:rsidRPr="000270C0">
        <w:rPr>
          <w:rFonts w:ascii="Times New Roman" w:eastAsia="Times New Roman" w:hAnsi="Times New Roman" w:cs="Times New Roman"/>
          <w:b/>
          <w:bCs/>
          <w:sz w:val="24"/>
          <w:szCs w:val="24"/>
        </w:rPr>
        <w:t>Table 4.</w:t>
      </w:r>
      <w:r w:rsidR="0029713D" w:rsidRPr="000270C0">
        <w:rPr>
          <w:rFonts w:ascii="Times New Roman" w:eastAsia="Times New Roman" w:hAnsi="Times New Roman" w:cs="Times New Roman"/>
          <w:b/>
          <w:bCs/>
        </w:rPr>
        <w:t>7</w:t>
      </w:r>
      <w:r w:rsidRPr="000270C0">
        <w:rPr>
          <w:rFonts w:ascii="Times New Roman" w:eastAsia="Times New Roman" w:hAnsi="Times New Roman" w:cs="Times New Roman"/>
          <w:b/>
          <w:bCs/>
          <w:sz w:val="24"/>
          <w:szCs w:val="24"/>
        </w:rPr>
        <w:t>:</w:t>
      </w:r>
      <w:r w:rsidRPr="000270C0">
        <w:rPr>
          <w:rFonts w:ascii="Times New Roman" w:eastAsia="Times New Roman" w:hAnsi="Times New Roman" w:cs="Times New Roman"/>
          <w:sz w:val="24"/>
          <w:szCs w:val="24"/>
        </w:rPr>
        <w:t xml:space="preserve"> Multiple </w:t>
      </w:r>
      <w:r w:rsidRPr="000270C0">
        <w:rPr>
          <w:rFonts w:ascii="Times New Roman" w:eastAsia="Times New Roman" w:hAnsi="Times New Roman" w:cs="Times New Roman"/>
        </w:rPr>
        <w:t>Regression</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0270C0" w:rsidRPr="000270C0" w14:paraId="1115A699" w14:textId="77777777" w:rsidTr="002427E0">
        <w:trPr>
          <w:trHeight w:val="225"/>
        </w:trPr>
        <w:tc>
          <w:tcPr>
            <w:tcW w:w="2017" w:type="dxa"/>
            <w:tcBorders>
              <w:top w:val="single" w:sz="4" w:space="0" w:color="auto"/>
              <w:left w:val="nil"/>
              <w:bottom w:val="single" w:sz="4" w:space="0" w:color="auto"/>
              <w:right w:val="nil"/>
            </w:tcBorders>
            <w:vAlign w:val="bottom"/>
          </w:tcPr>
          <w:p w14:paraId="2C97204E" w14:textId="77777777" w:rsidR="009456AF" w:rsidRPr="000270C0" w:rsidRDefault="009456AF" w:rsidP="00547D5F">
            <w:pPr>
              <w:autoSpaceDE w:val="0"/>
              <w:autoSpaceDN w:val="0"/>
              <w:adjustRightInd w:val="0"/>
              <w:spacing w:after="0" w:line="240" w:lineRule="auto"/>
              <w:rPr>
                <w:rFonts w:ascii="Times New Roman" w:hAnsi="Times New Roman" w:cs="Times New Roman"/>
              </w:rPr>
            </w:pPr>
            <w:r w:rsidRPr="000270C0">
              <w:rPr>
                <w:rFonts w:ascii="Times New Roman" w:hAnsi="Times New Roman" w:cs="Times New Roman"/>
              </w:rPr>
              <w:t>Variable</w:t>
            </w:r>
          </w:p>
        </w:tc>
        <w:tc>
          <w:tcPr>
            <w:tcW w:w="1103" w:type="dxa"/>
            <w:tcBorders>
              <w:top w:val="single" w:sz="4" w:space="0" w:color="auto"/>
              <w:left w:val="nil"/>
              <w:bottom w:val="single" w:sz="4" w:space="0" w:color="auto"/>
              <w:right w:val="nil"/>
            </w:tcBorders>
            <w:vAlign w:val="bottom"/>
          </w:tcPr>
          <w:p w14:paraId="3CBF157F" w14:textId="77777777" w:rsidR="009456AF" w:rsidRPr="000270C0" w:rsidRDefault="009456AF" w:rsidP="002427E0">
            <w:pPr>
              <w:autoSpaceDE w:val="0"/>
              <w:autoSpaceDN w:val="0"/>
              <w:adjustRightInd w:val="0"/>
              <w:spacing w:after="0" w:line="240" w:lineRule="auto"/>
              <w:ind w:right="10"/>
              <w:jc w:val="right"/>
              <w:rPr>
                <w:rFonts w:ascii="Times New Roman" w:hAnsi="Times New Roman" w:cs="Times New Roman"/>
              </w:rPr>
            </w:pPr>
            <w:r w:rsidRPr="000270C0">
              <w:rPr>
                <w:rFonts w:ascii="Times New Roman" w:hAnsi="Times New Roman" w:cs="Times New Roman"/>
              </w:rPr>
              <w:t>Coefficient</w:t>
            </w:r>
          </w:p>
        </w:tc>
        <w:tc>
          <w:tcPr>
            <w:tcW w:w="1207" w:type="dxa"/>
            <w:tcBorders>
              <w:top w:val="single" w:sz="4" w:space="0" w:color="auto"/>
              <w:left w:val="nil"/>
              <w:bottom w:val="single" w:sz="4" w:space="0" w:color="auto"/>
              <w:right w:val="nil"/>
            </w:tcBorders>
            <w:vAlign w:val="bottom"/>
          </w:tcPr>
          <w:p w14:paraId="09A875B8" w14:textId="77777777" w:rsidR="009456AF" w:rsidRPr="000270C0" w:rsidRDefault="009456AF" w:rsidP="002427E0">
            <w:pPr>
              <w:autoSpaceDE w:val="0"/>
              <w:autoSpaceDN w:val="0"/>
              <w:adjustRightInd w:val="0"/>
              <w:spacing w:after="0" w:line="240" w:lineRule="auto"/>
              <w:ind w:right="10"/>
              <w:jc w:val="right"/>
              <w:rPr>
                <w:rFonts w:ascii="Times New Roman" w:hAnsi="Times New Roman" w:cs="Times New Roman"/>
              </w:rPr>
            </w:pPr>
            <w:r w:rsidRPr="000270C0">
              <w:rPr>
                <w:rFonts w:ascii="Times New Roman" w:hAnsi="Times New Roman" w:cs="Times New Roman"/>
              </w:rPr>
              <w:t>Std. Error</w:t>
            </w:r>
          </w:p>
        </w:tc>
        <w:tc>
          <w:tcPr>
            <w:tcW w:w="1208" w:type="dxa"/>
            <w:tcBorders>
              <w:top w:val="single" w:sz="4" w:space="0" w:color="auto"/>
              <w:left w:val="nil"/>
              <w:bottom w:val="single" w:sz="4" w:space="0" w:color="auto"/>
              <w:right w:val="nil"/>
            </w:tcBorders>
            <w:vAlign w:val="bottom"/>
          </w:tcPr>
          <w:p w14:paraId="1EB8B963" w14:textId="77777777" w:rsidR="009456AF" w:rsidRPr="000270C0" w:rsidRDefault="009456AF" w:rsidP="002427E0">
            <w:pPr>
              <w:autoSpaceDE w:val="0"/>
              <w:autoSpaceDN w:val="0"/>
              <w:adjustRightInd w:val="0"/>
              <w:spacing w:after="0" w:line="240" w:lineRule="auto"/>
              <w:ind w:right="10"/>
              <w:jc w:val="right"/>
              <w:rPr>
                <w:rFonts w:ascii="Times New Roman" w:hAnsi="Times New Roman" w:cs="Times New Roman"/>
              </w:rPr>
            </w:pPr>
            <w:r w:rsidRPr="000270C0">
              <w:rPr>
                <w:rFonts w:ascii="Times New Roman" w:hAnsi="Times New Roman" w:cs="Times New Roman"/>
              </w:rPr>
              <w:t>t-Statistic</w:t>
            </w:r>
          </w:p>
        </w:tc>
        <w:tc>
          <w:tcPr>
            <w:tcW w:w="997" w:type="dxa"/>
            <w:tcBorders>
              <w:top w:val="single" w:sz="4" w:space="0" w:color="auto"/>
              <w:left w:val="nil"/>
              <w:bottom w:val="single" w:sz="4" w:space="0" w:color="auto"/>
              <w:right w:val="nil"/>
            </w:tcBorders>
            <w:vAlign w:val="bottom"/>
          </w:tcPr>
          <w:p w14:paraId="2FACBE84" w14:textId="77777777" w:rsidR="009456AF" w:rsidRPr="000270C0" w:rsidRDefault="009456AF" w:rsidP="002427E0">
            <w:pPr>
              <w:autoSpaceDE w:val="0"/>
              <w:autoSpaceDN w:val="0"/>
              <w:adjustRightInd w:val="0"/>
              <w:spacing w:after="0" w:line="240" w:lineRule="auto"/>
              <w:ind w:right="10"/>
              <w:jc w:val="right"/>
              <w:rPr>
                <w:rFonts w:ascii="Times New Roman" w:hAnsi="Times New Roman" w:cs="Times New Roman"/>
              </w:rPr>
            </w:pPr>
            <w:r w:rsidRPr="000270C0">
              <w:rPr>
                <w:rFonts w:ascii="Times New Roman" w:hAnsi="Times New Roman" w:cs="Times New Roman"/>
              </w:rPr>
              <w:t>Prob.  </w:t>
            </w:r>
          </w:p>
        </w:tc>
      </w:tr>
      <w:tr w:rsidR="000270C0" w:rsidRPr="000270C0" w14:paraId="2E70589A" w14:textId="77777777" w:rsidTr="001A3625">
        <w:trPr>
          <w:trHeight w:val="225"/>
        </w:trPr>
        <w:tc>
          <w:tcPr>
            <w:tcW w:w="2017" w:type="dxa"/>
            <w:tcBorders>
              <w:top w:val="single" w:sz="4" w:space="0" w:color="auto"/>
              <w:left w:val="nil"/>
              <w:bottom w:val="nil"/>
              <w:right w:val="nil"/>
            </w:tcBorders>
            <w:vAlign w:val="center"/>
          </w:tcPr>
          <w:p w14:paraId="06A4EA7E" w14:textId="77777777" w:rsidR="00547D5F" w:rsidRPr="000270C0" w:rsidRDefault="00547D5F" w:rsidP="00547D5F">
            <w:pPr>
              <w:spacing w:after="0" w:line="240" w:lineRule="auto"/>
              <w:rPr>
                <w:rFonts w:ascii="Times New Roman" w:hAnsi="Times New Roman" w:cs="Times New Roman"/>
              </w:rPr>
            </w:pPr>
            <w:r w:rsidRPr="000270C0">
              <w:rPr>
                <w:rFonts w:ascii="Times New Roman" w:eastAsia="Times New Roman" w:hAnsi="Times New Roman" w:cs="Times New Roman"/>
              </w:rPr>
              <w:t>ESI</w:t>
            </w:r>
          </w:p>
        </w:tc>
        <w:tc>
          <w:tcPr>
            <w:tcW w:w="1103" w:type="dxa"/>
            <w:tcBorders>
              <w:top w:val="single" w:sz="4" w:space="0" w:color="auto"/>
              <w:left w:val="nil"/>
              <w:bottom w:val="nil"/>
              <w:right w:val="nil"/>
            </w:tcBorders>
            <w:vAlign w:val="center"/>
          </w:tcPr>
          <w:p w14:paraId="7FC48C02"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3.439382</w:t>
            </w:r>
          </w:p>
        </w:tc>
        <w:tc>
          <w:tcPr>
            <w:tcW w:w="1207" w:type="dxa"/>
            <w:tcBorders>
              <w:top w:val="single" w:sz="4" w:space="0" w:color="auto"/>
              <w:left w:val="nil"/>
              <w:bottom w:val="nil"/>
              <w:right w:val="nil"/>
            </w:tcBorders>
            <w:vAlign w:val="center"/>
          </w:tcPr>
          <w:p w14:paraId="323C1752"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1.242718</w:t>
            </w:r>
          </w:p>
        </w:tc>
        <w:tc>
          <w:tcPr>
            <w:tcW w:w="1208" w:type="dxa"/>
            <w:tcBorders>
              <w:top w:val="single" w:sz="4" w:space="0" w:color="auto"/>
              <w:left w:val="nil"/>
              <w:bottom w:val="nil"/>
              <w:right w:val="nil"/>
            </w:tcBorders>
            <w:vAlign w:val="center"/>
          </w:tcPr>
          <w:p w14:paraId="46578286"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2.767629</w:t>
            </w:r>
          </w:p>
        </w:tc>
        <w:tc>
          <w:tcPr>
            <w:tcW w:w="997" w:type="dxa"/>
            <w:tcBorders>
              <w:top w:val="single" w:sz="4" w:space="0" w:color="auto"/>
              <w:left w:val="nil"/>
              <w:bottom w:val="nil"/>
              <w:right w:val="nil"/>
            </w:tcBorders>
            <w:vAlign w:val="center"/>
          </w:tcPr>
          <w:p w14:paraId="26373170"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0.0085</w:t>
            </w:r>
          </w:p>
        </w:tc>
      </w:tr>
      <w:tr w:rsidR="000270C0" w:rsidRPr="000270C0" w14:paraId="75C0ED2A" w14:textId="77777777" w:rsidTr="001A3625">
        <w:trPr>
          <w:trHeight w:val="225"/>
        </w:trPr>
        <w:tc>
          <w:tcPr>
            <w:tcW w:w="2017" w:type="dxa"/>
            <w:tcBorders>
              <w:top w:val="nil"/>
              <w:left w:val="nil"/>
              <w:bottom w:val="nil"/>
              <w:right w:val="nil"/>
            </w:tcBorders>
            <w:vAlign w:val="center"/>
          </w:tcPr>
          <w:p w14:paraId="2703C74A" w14:textId="77777777" w:rsidR="00547D5F" w:rsidRPr="000270C0" w:rsidRDefault="00547D5F" w:rsidP="00547D5F">
            <w:pPr>
              <w:spacing w:after="0" w:line="240" w:lineRule="auto"/>
              <w:rPr>
                <w:rFonts w:ascii="Times New Roman" w:hAnsi="Times New Roman" w:cs="Times New Roman"/>
              </w:rPr>
            </w:pPr>
            <w:r w:rsidRPr="000270C0">
              <w:rPr>
                <w:rFonts w:ascii="Times New Roman" w:eastAsia="Times New Roman" w:hAnsi="Times New Roman" w:cs="Times New Roman"/>
              </w:rPr>
              <w:t>SSI</w:t>
            </w:r>
          </w:p>
        </w:tc>
        <w:tc>
          <w:tcPr>
            <w:tcW w:w="1103" w:type="dxa"/>
            <w:tcBorders>
              <w:top w:val="nil"/>
              <w:left w:val="nil"/>
              <w:bottom w:val="nil"/>
              <w:right w:val="nil"/>
            </w:tcBorders>
            <w:vAlign w:val="center"/>
          </w:tcPr>
          <w:p w14:paraId="57013653"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-3.086913</w:t>
            </w:r>
          </w:p>
        </w:tc>
        <w:tc>
          <w:tcPr>
            <w:tcW w:w="1207" w:type="dxa"/>
            <w:tcBorders>
              <w:top w:val="nil"/>
              <w:left w:val="nil"/>
              <w:bottom w:val="nil"/>
              <w:right w:val="nil"/>
            </w:tcBorders>
            <w:vAlign w:val="center"/>
          </w:tcPr>
          <w:p w14:paraId="648E0330"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2.096883</w:t>
            </w:r>
          </w:p>
        </w:tc>
        <w:tc>
          <w:tcPr>
            <w:tcW w:w="1208" w:type="dxa"/>
            <w:tcBorders>
              <w:top w:val="nil"/>
              <w:left w:val="nil"/>
              <w:bottom w:val="nil"/>
              <w:right w:val="nil"/>
            </w:tcBorders>
            <w:vAlign w:val="center"/>
          </w:tcPr>
          <w:p w14:paraId="371D3E00"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-1.472144</w:t>
            </w:r>
          </w:p>
        </w:tc>
        <w:tc>
          <w:tcPr>
            <w:tcW w:w="997" w:type="dxa"/>
            <w:tcBorders>
              <w:top w:val="nil"/>
              <w:left w:val="nil"/>
              <w:bottom w:val="nil"/>
              <w:right w:val="nil"/>
            </w:tcBorders>
            <w:vAlign w:val="center"/>
          </w:tcPr>
          <w:p w14:paraId="77E05F9C"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0.1488</w:t>
            </w:r>
          </w:p>
        </w:tc>
      </w:tr>
      <w:tr w:rsidR="000270C0" w:rsidRPr="000270C0" w14:paraId="36FCB2BC" w14:textId="77777777" w:rsidTr="001A3625">
        <w:trPr>
          <w:trHeight w:val="225"/>
        </w:trPr>
        <w:tc>
          <w:tcPr>
            <w:tcW w:w="2017" w:type="dxa"/>
            <w:tcBorders>
              <w:top w:val="nil"/>
              <w:left w:val="nil"/>
              <w:bottom w:val="nil"/>
              <w:right w:val="nil"/>
            </w:tcBorders>
            <w:vAlign w:val="center"/>
          </w:tcPr>
          <w:p w14:paraId="05574A17" w14:textId="77777777" w:rsidR="00547D5F" w:rsidRPr="000270C0" w:rsidRDefault="00547D5F" w:rsidP="00547D5F">
            <w:pPr>
              <w:spacing w:after="0" w:line="240" w:lineRule="auto"/>
              <w:rPr>
                <w:rFonts w:ascii="Times New Roman" w:hAnsi="Times New Roman" w:cs="Times New Roman"/>
              </w:rPr>
            </w:pPr>
            <w:r w:rsidRPr="000270C0">
              <w:rPr>
                <w:rFonts w:ascii="Times New Roman" w:eastAsia="Times New Roman" w:hAnsi="Times New Roman" w:cs="Times New Roman"/>
              </w:rPr>
              <w:t>GSI</w:t>
            </w:r>
          </w:p>
        </w:tc>
        <w:tc>
          <w:tcPr>
            <w:tcW w:w="1103" w:type="dxa"/>
            <w:tcBorders>
              <w:top w:val="nil"/>
              <w:left w:val="nil"/>
              <w:bottom w:val="nil"/>
              <w:right w:val="nil"/>
            </w:tcBorders>
            <w:vAlign w:val="center"/>
          </w:tcPr>
          <w:p w14:paraId="00C20224"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2.401381</w:t>
            </w:r>
          </w:p>
        </w:tc>
        <w:tc>
          <w:tcPr>
            <w:tcW w:w="1207" w:type="dxa"/>
            <w:tcBorders>
              <w:top w:val="nil"/>
              <w:left w:val="nil"/>
              <w:bottom w:val="nil"/>
              <w:right w:val="nil"/>
            </w:tcBorders>
            <w:vAlign w:val="center"/>
          </w:tcPr>
          <w:p w14:paraId="2DD8D1E2"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0.204252</w:t>
            </w:r>
          </w:p>
        </w:tc>
        <w:tc>
          <w:tcPr>
            <w:tcW w:w="1208" w:type="dxa"/>
            <w:tcBorders>
              <w:top w:val="nil"/>
              <w:left w:val="nil"/>
              <w:bottom w:val="nil"/>
              <w:right w:val="nil"/>
            </w:tcBorders>
            <w:vAlign w:val="center"/>
          </w:tcPr>
          <w:p w14:paraId="71F8846C"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11.75695</w:t>
            </w:r>
          </w:p>
        </w:tc>
        <w:tc>
          <w:tcPr>
            <w:tcW w:w="997" w:type="dxa"/>
            <w:tcBorders>
              <w:top w:val="nil"/>
              <w:left w:val="nil"/>
              <w:bottom w:val="nil"/>
              <w:right w:val="nil"/>
            </w:tcBorders>
            <w:vAlign w:val="center"/>
          </w:tcPr>
          <w:p w14:paraId="65FD06D9"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0.0000</w:t>
            </w:r>
          </w:p>
        </w:tc>
      </w:tr>
      <w:tr w:rsidR="000270C0" w:rsidRPr="000270C0" w14:paraId="1F51D382" w14:textId="77777777" w:rsidTr="001A3625">
        <w:trPr>
          <w:trHeight w:val="225"/>
        </w:trPr>
        <w:tc>
          <w:tcPr>
            <w:tcW w:w="2017" w:type="dxa"/>
            <w:tcBorders>
              <w:top w:val="nil"/>
              <w:left w:val="nil"/>
              <w:bottom w:val="single" w:sz="4" w:space="0" w:color="auto"/>
              <w:right w:val="nil"/>
            </w:tcBorders>
            <w:vAlign w:val="center"/>
          </w:tcPr>
          <w:p w14:paraId="1761B276" w14:textId="77777777" w:rsidR="00547D5F" w:rsidRPr="000270C0" w:rsidRDefault="00547D5F" w:rsidP="00547D5F">
            <w:pPr>
              <w:spacing w:after="0" w:line="240" w:lineRule="auto"/>
              <w:rPr>
                <w:rFonts w:ascii="Times New Roman" w:hAnsi="Times New Roman" w:cs="Times New Roman"/>
              </w:rPr>
            </w:pPr>
            <w:r w:rsidRPr="000270C0">
              <w:rPr>
                <w:rFonts w:ascii="Times New Roman" w:eastAsia="Times New Roman" w:hAnsi="Times New Roman" w:cs="Times New Roman"/>
              </w:rPr>
              <w:t>C</w:t>
            </w:r>
          </w:p>
        </w:tc>
        <w:tc>
          <w:tcPr>
            <w:tcW w:w="1103" w:type="dxa"/>
            <w:tcBorders>
              <w:top w:val="nil"/>
              <w:left w:val="nil"/>
              <w:bottom w:val="single" w:sz="4" w:space="0" w:color="auto"/>
              <w:right w:val="nil"/>
            </w:tcBorders>
            <w:vAlign w:val="center"/>
          </w:tcPr>
          <w:p w14:paraId="1A081C61"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-1789.929</w:t>
            </w:r>
          </w:p>
        </w:tc>
        <w:tc>
          <w:tcPr>
            <w:tcW w:w="1207" w:type="dxa"/>
            <w:tcBorders>
              <w:top w:val="nil"/>
              <w:left w:val="nil"/>
              <w:bottom w:val="single" w:sz="4" w:space="0" w:color="auto"/>
              <w:right w:val="nil"/>
            </w:tcBorders>
            <w:vAlign w:val="center"/>
          </w:tcPr>
          <w:p w14:paraId="443581F7"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801.2720</w:t>
            </w:r>
          </w:p>
        </w:tc>
        <w:tc>
          <w:tcPr>
            <w:tcW w:w="1208" w:type="dxa"/>
            <w:tcBorders>
              <w:top w:val="nil"/>
              <w:left w:val="nil"/>
              <w:bottom w:val="single" w:sz="4" w:space="0" w:color="auto"/>
              <w:right w:val="nil"/>
            </w:tcBorders>
            <w:vAlign w:val="center"/>
          </w:tcPr>
          <w:p w14:paraId="53C7BA92"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-2.233860</w:t>
            </w:r>
          </w:p>
        </w:tc>
        <w:tc>
          <w:tcPr>
            <w:tcW w:w="997" w:type="dxa"/>
            <w:tcBorders>
              <w:top w:val="nil"/>
              <w:left w:val="nil"/>
              <w:bottom w:val="single" w:sz="4" w:space="0" w:color="auto"/>
              <w:right w:val="nil"/>
            </w:tcBorders>
            <w:vAlign w:val="center"/>
          </w:tcPr>
          <w:p w14:paraId="304D44B6"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0.0311</w:t>
            </w:r>
          </w:p>
        </w:tc>
      </w:tr>
      <w:tr w:rsidR="000270C0" w:rsidRPr="000270C0" w14:paraId="06E58976" w14:textId="77777777" w:rsidTr="00682062">
        <w:trPr>
          <w:trHeight w:val="225"/>
        </w:trPr>
        <w:tc>
          <w:tcPr>
            <w:tcW w:w="2017" w:type="dxa"/>
            <w:tcBorders>
              <w:top w:val="single" w:sz="4" w:space="0" w:color="auto"/>
              <w:left w:val="nil"/>
              <w:bottom w:val="nil"/>
              <w:right w:val="nil"/>
            </w:tcBorders>
            <w:vAlign w:val="center"/>
          </w:tcPr>
          <w:p w14:paraId="212BF074" w14:textId="77777777" w:rsidR="00547D5F" w:rsidRPr="000270C0" w:rsidRDefault="00547D5F" w:rsidP="00547D5F">
            <w:pPr>
              <w:spacing w:after="0" w:line="240" w:lineRule="auto"/>
              <w:rPr>
                <w:rFonts w:ascii="Times New Roman" w:hAnsi="Times New Roman" w:cs="Times New Roman"/>
              </w:rPr>
            </w:pPr>
            <w:r w:rsidRPr="000270C0">
              <w:rPr>
                <w:rFonts w:ascii="Times New Roman" w:eastAsia="Times New Roman" w:hAnsi="Times New Roman" w:cs="Times New Roman"/>
              </w:rPr>
              <w:t>R-squared</w:t>
            </w:r>
          </w:p>
        </w:tc>
        <w:tc>
          <w:tcPr>
            <w:tcW w:w="1103" w:type="dxa"/>
            <w:tcBorders>
              <w:top w:val="single" w:sz="4" w:space="0" w:color="auto"/>
              <w:left w:val="nil"/>
              <w:bottom w:val="nil"/>
              <w:right w:val="nil"/>
            </w:tcBorders>
            <w:vAlign w:val="center"/>
          </w:tcPr>
          <w:p w14:paraId="2DB45DE5"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0.980996</w:t>
            </w:r>
          </w:p>
        </w:tc>
        <w:tc>
          <w:tcPr>
            <w:tcW w:w="2415" w:type="dxa"/>
            <w:gridSpan w:val="2"/>
            <w:tcBorders>
              <w:top w:val="single" w:sz="4" w:space="0" w:color="auto"/>
              <w:left w:val="nil"/>
              <w:bottom w:val="nil"/>
              <w:right w:val="nil"/>
            </w:tcBorders>
            <w:vAlign w:val="bottom"/>
          </w:tcPr>
          <w:p w14:paraId="7B82E62A" w14:textId="77777777" w:rsidR="00547D5F" w:rsidRPr="000270C0" w:rsidRDefault="00547D5F" w:rsidP="00547D5F">
            <w:pPr>
              <w:autoSpaceDE w:val="0"/>
              <w:autoSpaceDN w:val="0"/>
              <w:adjustRightInd w:val="0"/>
              <w:spacing w:after="0" w:line="240" w:lineRule="auto"/>
              <w:ind w:right="10"/>
              <w:rPr>
                <w:rFonts w:ascii="Times New Roman" w:hAnsi="Times New Roman" w:cs="Times New Roman"/>
              </w:rPr>
            </w:pPr>
            <w:r w:rsidRPr="000270C0">
              <w:rPr>
                <w:rFonts w:ascii="Times New Roman" w:hAnsi="Times New Roman" w:cs="Times New Roman"/>
              </w:rPr>
              <w:t>    Mean dependent var</w:t>
            </w:r>
          </w:p>
        </w:tc>
        <w:tc>
          <w:tcPr>
            <w:tcW w:w="997" w:type="dxa"/>
            <w:tcBorders>
              <w:top w:val="single" w:sz="4" w:space="0" w:color="auto"/>
              <w:left w:val="nil"/>
              <w:bottom w:val="nil"/>
              <w:right w:val="nil"/>
            </w:tcBorders>
            <w:vAlign w:val="bottom"/>
          </w:tcPr>
          <w:p w14:paraId="67C4E080" w14:textId="77777777" w:rsidR="00547D5F" w:rsidRPr="000270C0" w:rsidRDefault="00547D5F" w:rsidP="00547D5F">
            <w:pPr>
              <w:autoSpaceDE w:val="0"/>
              <w:autoSpaceDN w:val="0"/>
              <w:adjustRightInd w:val="0"/>
              <w:spacing w:after="0" w:line="240" w:lineRule="auto"/>
              <w:ind w:right="10"/>
              <w:jc w:val="right"/>
              <w:rPr>
                <w:rFonts w:ascii="Times New Roman" w:hAnsi="Times New Roman" w:cs="Times New Roman"/>
              </w:rPr>
            </w:pPr>
            <w:r w:rsidRPr="000270C0">
              <w:rPr>
                <w:rFonts w:ascii="Times New Roman" w:eastAsia="Times New Roman" w:hAnsi="Times New Roman" w:cs="Times New Roman"/>
              </w:rPr>
              <w:t>17,678.50</w:t>
            </w:r>
          </w:p>
        </w:tc>
      </w:tr>
      <w:tr w:rsidR="000270C0" w:rsidRPr="000270C0" w14:paraId="3B0EF645" w14:textId="77777777" w:rsidTr="00682062">
        <w:trPr>
          <w:trHeight w:val="225"/>
        </w:trPr>
        <w:tc>
          <w:tcPr>
            <w:tcW w:w="2017" w:type="dxa"/>
            <w:tcBorders>
              <w:top w:val="nil"/>
              <w:left w:val="nil"/>
              <w:bottom w:val="nil"/>
              <w:right w:val="nil"/>
            </w:tcBorders>
            <w:vAlign w:val="center"/>
          </w:tcPr>
          <w:p w14:paraId="2ED72A1E" w14:textId="77777777" w:rsidR="00547D5F" w:rsidRPr="000270C0" w:rsidRDefault="00547D5F" w:rsidP="00547D5F">
            <w:pPr>
              <w:spacing w:after="0" w:line="240" w:lineRule="auto"/>
              <w:rPr>
                <w:rFonts w:ascii="Times New Roman" w:hAnsi="Times New Roman" w:cs="Times New Roman"/>
              </w:rPr>
            </w:pPr>
            <w:r w:rsidRPr="000270C0">
              <w:rPr>
                <w:rFonts w:ascii="Times New Roman" w:eastAsia="Times New Roman" w:hAnsi="Times New Roman" w:cs="Times New Roman"/>
              </w:rPr>
              <w:t>Adjusted R-squared</w:t>
            </w:r>
          </w:p>
        </w:tc>
        <w:tc>
          <w:tcPr>
            <w:tcW w:w="1103" w:type="dxa"/>
            <w:tcBorders>
              <w:top w:val="nil"/>
              <w:left w:val="nil"/>
              <w:bottom w:val="nil"/>
              <w:right w:val="nil"/>
            </w:tcBorders>
            <w:vAlign w:val="center"/>
          </w:tcPr>
          <w:p w14:paraId="0F7787DC"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0.979571</w:t>
            </w:r>
          </w:p>
        </w:tc>
        <w:tc>
          <w:tcPr>
            <w:tcW w:w="2415" w:type="dxa"/>
            <w:gridSpan w:val="2"/>
            <w:tcBorders>
              <w:top w:val="nil"/>
              <w:left w:val="nil"/>
              <w:bottom w:val="nil"/>
              <w:right w:val="nil"/>
            </w:tcBorders>
            <w:vAlign w:val="bottom"/>
          </w:tcPr>
          <w:p w14:paraId="77A3B6EB" w14:textId="77777777" w:rsidR="00547D5F" w:rsidRPr="000270C0" w:rsidRDefault="00547D5F" w:rsidP="00547D5F">
            <w:pPr>
              <w:autoSpaceDE w:val="0"/>
              <w:autoSpaceDN w:val="0"/>
              <w:adjustRightInd w:val="0"/>
              <w:spacing w:after="0" w:line="240" w:lineRule="auto"/>
              <w:ind w:right="10"/>
              <w:rPr>
                <w:rFonts w:ascii="Times New Roman" w:hAnsi="Times New Roman" w:cs="Times New Roman"/>
              </w:rPr>
            </w:pPr>
            <w:r w:rsidRPr="000270C0">
              <w:rPr>
                <w:rFonts w:ascii="Times New Roman" w:hAnsi="Times New Roman" w:cs="Times New Roman"/>
              </w:rPr>
              <w:t>    S.D. dependent var</w:t>
            </w:r>
          </w:p>
        </w:tc>
        <w:tc>
          <w:tcPr>
            <w:tcW w:w="997" w:type="dxa"/>
            <w:tcBorders>
              <w:top w:val="nil"/>
              <w:left w:val="nil"/>
              <w:bottom w:val="nil"/>
              <w:right w:val="nil"/>
            </w:tcBorders>
            <w:vAlign w:val="bottom"/>
          </w:tcPr>
          <w:p w14:paraId="5EAD57D2" w14:textId="77777777" w:rsidR="00547D5F" w:rsidRPr="000270C0" w:rsidRDefault="00547D5F" w:rsidP="00547D5F">
            <w:pPr>
              <w:autoSpaceDE w:val="0"/>
              <w:autoSpaceDN w:val="0"/>
              <w:adjustRightInd w:val="0"/>
              <w:spacing w:after="0" w:line="240" w:lineRule="auto"/>
              <w:ind w:right="10"/>
              <w:jc w:val="right"/>
              <w:rPr>
                <w:rFonts w:ascii="Times New Roman" w:hAnsi="Times New Roman" w:cs="Times New Roman"/>
              </w:rPr>
            </w:pPr>
            <w:r w:rsidRPr="000270C0">
              <w:rPr>
                <w:rFonts w:ascii="Times New Roman" w:eastAsia="Times New Roman" w:hAnsi="Times New Roman" w:cs="Times New Roman"/>
              </w:rPr>
              <w:t>27,713.25</w:t>
            </w:r>
          </w:p>
        </w:tc>
      </w:tr>
      <w:tr w:rsidR="000270C0" w:rsidRPr="000270C0" w14:paraId="0E7B9B25" w14:textId="77777777" w:rsidTr="00682062">
        <w:trPr>
          <w:trHeight w:val="225"/>
        </w:trPr>
        <w:tc>
          <w:tcPr>
            <w:tcW w:w="2017" w:type="dxa"/>
            <w:tcBorders>
              <w:top w:val="nil"/>
              <w:left w:val="nil"/>
              <w:bottom w:val="nil"/>
              <w:right w:val="nil"/>
            </w:tcBorders>
            <w:vAlign w:val="center"/>
          </w:tcPr>
          <w:p w14:paraId="480A8CE2" w14:textId="77777777" w:rsidR="00547D5F" w:rsidRPr="000270C0" w:rsidRDefault="00547D5F" w:rsidP="00547D5F">
            <w:pPr>
              <w:spacing w:after="0" w:line="240" w:lineRule="auto"/>
              <w:rPr>
                <w:rFonts w:ascii="Times New Roman" w:hAnsi="Times New Roman" w:cs="Times New Roman"/>
              </w:rPr>
            </w:pPr>
            <w:r w:rsidRPr="000270C0">
              <w:rPr>
                <w:rFonts w:ascii="Times New Roman" w:eastAsia="Times New Roman" w:hAnsi="Times New Roman" w:cs="Times New Roman"/>
              </w:rPr>
              <w:t>S.E. of regression</w:t>
            </w:r>
          </w:p>
        </w:tc>
        <w:tc>
          <w:tcPr>
            <w:tcW w:w="1103" w:type="dxa"/>
            <w:tcBorders>
              <w:top w:val="nil"/>
              <w:left w:val="nil"/>
              <w:bottom w:val="nil"/>
              <w:right w:val="nil"/>
            </w:tcBorders>
            <w:vAlign w:val="center"/>
          </w:tcPr>
          <w:p w14:paraId="57CB8F72"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4,006.848</w:t>
            </w:r>
          </w:p>
        </w:tc>
        <w:tc>
          <w:tcPr>
            <w:tcW w:w="2415" w:type="dxa"/>
            <w:gridSpan w:val="2"/>
            <w:tcBorders>
              <w:top w:val="nil"/>
              <w:left w:val="nil"/>
              <w:bottom w:val="nil"/>
              <w:right w:val="nil"/>
            </w:tcBorders>
            <w:vAlign w:val="bottom"/>
          </w:tcPr>
          <w:p w14:paraId="374ADDFC" w14:textId="77777777" w:rsidR="00547D5F" w:rsidRPr="000270C0" w:rsidRDefault="00547D5F" w:rsidP="00547D5F">
            <w:pPr>
              <w:autoSpaceDE w:val="0"/>
              <w:autoSpaceDN w:val="0"/>
              <w:adjustRightInd w:val="0"/>
              <w:spacing w:after="0" w:line="240" w:lineRule="auto"/>
              <w:ind w:right="10"/>
              <w:rPr>
                <w:rFonts w:ascii="Times New Roman" w:hAnsi="Times New Roman" w:cs="Times New Roman"/>
              </w:rPr>
            </w:pPr>
            <w:r w:rsidRPr="000270C0">
              <w:rPr>
                <w:rFonts w:ascii="Times New Roman" w:hAnsi="Times New Roman" w:cs="Times New Roman"/>
              </w:rPr>
              <w:t>    </w:t>
            </w:r>
            <w:r w:rsidRPr="000270C0">
              <w:rPr>
                <w:rFonts w:ascii="Times New Roman" w:eastAsia="Times New Roman" w:hAnsi="Times New Roman" w:cs="Times New Roman"/>
              </w:rPr>
              <w:t>Sum sq. resid</w:t>
            </w:r>
          </w:p>
        </w:tc>
        <w:tc>
          <w:tcPr>
            <w:tcW w:w="997" w:type="dxa"/>
            <w:tcBorders>
              <w:top w:val="nil"/>
              <w:left w:val="nil"/>
              <w:bottom w:val="nil"/>
              <w:right w:val="nil"/>
            </w:tcBorders>
            <w:vAlign w:val="bottom"/>
          </w:tcPr>
          <w:p w14:paraId="4E32D0A8" w14:textId="77777777" w:rsidR="00547D5F" w:rsidRPr="000270C0" w:rsidRDefault="00547D5F" w:rsidP="00547D5F">
            <w:pPr>
              <w:autoSpaceDE w:val="0"/>
              <w:autoSpaceDN w:val="0"/>
              <w:adjustRightInd w:val="0"/>
              <w:spacing w:after="0" w:line="240" w:lineRule="auto"/>
              <w:ind w:right="10"/>
              <w:jc w:val="right"/>
              <w:rPr>
                <w:rFonts w:ascii="Times New Roman" w:hAnsi="Times New Roman" w:cs="Times New Roman"/>
              </w:rPr>
            </w:pPr>
            <w:r w:rsidRPr="000270C0">
              <w:rPr>
                <w:rFonts w:ascii="Times New Roman" w:eastAsia="Times New Roman" w:hAnsi="Times New Roman" w:cs="Times New Roman"/>
              </w:rPr>
              <w:t>642,193</w:t>
            </w:r>
          </w:p>
        </w:tc>
      </w:tr>
      <w:tr w:rsidR="000270C0" w:rsidRPr="000270C0" w14:paraId="51EC2AFE" w14:textId="77777777" w:rsidTr="00682062">
        <w:trPr>
          <w:trHeight w:val="225"/>
        </w:trPr>
        <w:tc>
          <w:tcPr>
            <w:tcW w:w="2017" w:type="dxa"/>
            <w:tcBorders>
              <w:top w:val="nil"/>
              <w:left w:val="nil"/>
              <w:bottom w:val="nil"/>
              <w:right w:val="nil"/>
            </w:tcBorders>
            <w:vAlign w:val="center"/>
          </w:tcPr>
          <w:p w14:paraId="36FB9350" w14:textId="77777777" w:rsidR="00547D5F" w:rsidRPr="000270C0" w:rsidRDefault="00547D5F" w:rsidP="00547D5F">
            <w:pPr>
              <w:spacing w:after="0" w:line="240" w:lineRule="auto"/>
              <w:rPr>
                <w:rFonts w:ascii="Times New Roman" w:hAnsi="Times New Roman" w:cs="Times New Roman"/>
              </w:rPr>
            </w:pPr>
            <w:r w:rsidRPr="000270C0">
              <w:rPr>
                <w:rFonts w:ascii="Times New Roman" w:eastAsia="Times New Roman" w:hAnsi="Times New Roman" w:cs="Times New Roman"/>
              </w:rPr>
              <w:t>F-statistic</w:t>
            </w:r>
          </w:p>
        </w:tc>
        <w:tc>
          <w:tcPr>
            <w:tcW w:w="1103" w:type="dxa"/>
            <w:tcBorders>
              <w:top w:val="nil"/>
              <w:left w:val="nil"/>
              <w:bottom w:val="nil"/>
              <w:right w:val="nil"/>
            </w:tcBorders>
            <w:vAlign w:val="center"/>
          </w:tcPr>
          <w:p w14:paraId="6C4F38BB"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688.2848</w:t>
            </w:r>
          </w:p>
        </w:tc>
        <w:tc>
          <w:tcPr>
            <w:tcW w:w="2415" w:type="dxa"/>
            <w:gridSpan w:val="2"/>
            <w:tcBorders>
              <w:top w:val="nil"/>
              <w:left w:val="nil"/>
              <w:bottom w:val="nil"/>
              <w:right w:val="nil"/>
            </w:tcBorders>
            <w:vAlign w:val="bottom"/>
          </w:tcPr>
          <w:p w14:paraId="36404184" w14:textId="77777777" w:rsidR="00547D5F" w:rsidRPr="000270C0" w:rsidRDefault="00547D5F" w:rsidP="00547D5F">
            <w:pPr>
              <w:autoSpaceDE w:val="0"/>
              <w:autoSpaceDN w:val="0"/>
              <w:adjustRightInd w:val="0"/>
              <w:spacing w:after="0" w:line="240" w:lineRule="auto"/>
              <w:ind w:right="10"/>
              <w:rPr>
                <w:rFonts w:ascii="Times New Roman" w:hAnsi="Times New Roman" w:cs="Times New Roman"/>
              </w:rPr>
            </w:pPr>
          </w:p>
        </w:tc>
        <w:tc>
          <w:tcPr>
            <w:tcW w:w="997" w:type="dxa"/>
            <w:tcBorders>
              <w:top w:val="nil"/>
              <w:left w:val="nil"/>
              <w:bottom w:val="nil"/>
              <w:right w:val="nil"/>
            </w:tcBorders>
            <w:vAlign w:val="bottom"/>
          </w:tcPr>
          <w:p w14:paraId="5A1E27DD" w14:textId="77777777" w:rsidR="00547D5F" w:rsidRPr="000270C0" w:rsidRDefault="00547D5F" w:rsidP="00547D5F">
            <w:pPr>
              <w:autoSpaceDE w:val="0"/>
              <w:autoSpaceDN w:val="0"/>
              <w:adjustRightInd w:val="0"/>
              <w:spacing w:after="0" w:line="240" w:lineRule="auto"/>
              <w:ind w:right="10"/>
              <w:jc w:val="right"/>
              <w:rPr>
                <w:rFonts w:ascii="Times New Roman" w:hAnsi="Times New Roman" w:cs="Times New Roman"/>
              </w:rPr>
            </w:pPr>
          </w:p>
        </w:tc>
      </w:tr>
      <w:tr w:rsidR="000270C0" w:rsidRPr="000270C0" w14:paraId="2D023E97" w14:textId="77777777" w:rsidTr="00682062">
        <w:trPr>
          <w:trHeight w:val="225"/>
        </w:trPr>
        <w:tc>
          <w:tcPr>
            <w:tcW w:w="2017" w:type="dxa"/>
            <w:tcBorders>
              <w:top w:val="nil"/>
              <w:left w:val="nil"/>
              <w:bottom w:val="nil"/>
              <w:right w:val="nil"/>
            </w:tcBorders>
            <w:vAlign w:val="center"/>
          </w:tcPr>
          <w:p w14:paraId="6C3A26B7" w14:textId="77777777" w:rsidR="00547D5F" w:rsidRPr="000270C0" w:rsidRDefault="00547D5F" w:rsidP="00547D5F">
            <w:pPr>
              <w:spacing w:after="0" w:line="240" w:lineRule="auto"/>
              <w:rPr>
                <w:rFonts w:ascii="Times New Roman" w:hAnsi="Times New Roman" w:cs="Times New Roman"/>
              </w:rPr>
            </w:pPr>
            <w:r w:rsidRPr="000270C0">
              <w:rPr>
                <w:rFonts w:ascii="Times New Roman" w:eastAsia="Times New Roman" w:hAnsi="Times New Roman" w:cs="Times New Roman"/>
              </w:rPr>
              <w:t>Durbin-Watson stat</w:t>
            </w:r>
          </w:p>
        </w:tc>
        <w:tc>
          <w:tcPr>
            <w:tcW w:w="1103" w:type="dxa"/>
            <w:tcBorders>
              <w:top w:val="nil"/>
              <w:left w:val="nil"/>
              <w:bottom w:val="nil"/>
              <w:right w:val="nil"/>
            </w:tcBorders>
            <w:vAlign w:val="center"/>
          </w:tcPr>
          <w:p w14:paraId="0DEC2F86" w14:textId="77777777" w:rsidR="00547D5F" w:rsidRPr="000270C0" w:rsidRDefault="00547D5F" w:rsidP="00547D5F">
            <w:pPr>
              <w:spacing w:after="0" w:line="240" w:lineRule="auto"/>
              <w:jc w:val="center"/>
              <w:rPr>
                <w:rFonts w:ascii="Times New Roman" w:hAnsi="Times New Roman" w:cs="Times New Roman"/>
              </w:rPr>
            </w:pPr>
            <w:r w:rsidRPr="000270C0">
              <w:rPr>
                <w:rFonts w:ascii="Times New Roman" w:eastAsia="Times New Roman" w:hAnsi="Times New Roman" w:cs="Times New Roman"/>
              </w:rPr>
              <w:t>1.392966</w:t>
            </w:r>
          </w:p>
        </w:tc>
        <w:tc>
          <w:tcPr>
            <w:tcW w:w="2415" w:type="dxa"/>
            <w:gridSpan w:val="2"/>
            <w:tcBorders>
              <w:top w:val="nil"/>
              <w:left w:val="nil"/>
              <w:bottom w:val="nil"/>
              <w:right w:val="nil"/>
            </w:tcBorders>
            <w:vAlign w:val="bottom"/>
          </w:tcPr>
          <w:p w14:paraId="38E7D0AB" w14:textId="77777777" w:rsidR="00547D5F" w:rsidRPr="000270C0" w:rsidRDefault="00547D5F" w:rsidP="00547D5F">
            <w:pPr>
              <w:autoSpaceDE w:val="0"/>
              <w:autoSpaceDN w:val="0"/>
              <w:adjustRightInd w:val="0"/>
              <w:spacing w:after="0" w:line="240" w:lineRule="auto"/>
              <w:ind w:right="10"/>
              <w:rPr>
                <w:rFonts w:ascii="Times New Roman" w:hAnsi="Times New Roman" w:cs="Times New Roman"/>
              </w:rPr>
            </w:pPr>
          </w:p>
        </w:tc>
        <w:tc>
          <w:tcPr>
            <w:tcW w:w="997" w:type="dxa"/>
            <w:tcBorders>
              <w:top w:val="nil"/>
              <w:left w:val="nil"/>
              <w:bottom w:val="nil"/>
              <w:right w:val="nil"/>
            </w:tcBorders>
            <w:vAlign w:val="bottom"/>
          </w:tcPr>
          <w:p w14:paraId="303CF14F" w14:textId="77777777" w:rsidR="00547D5F" w:rsidRPr="000270C0" w:rsidRDefault="00547D5F" w:rsidP="00547D5F">
            <w:pPr>
              <w:autoSpaceDE w:val="0"/>
              <w:autoSpaceDN w:val="0"/>
              <w:adjustRightInd w:val="0"/>
              <w:spacing w:after="0" w:line="240" w:lineRule="auto"/>
              <w:ind w:right="10"/>
              <w:jc w:val="right"/>
              <w:rPr>
                <w:rFonts w:ascii="Times New Roman" w:hAnsi="Times New Roman" w:cs="Times New Roman"/>
              </w:rPr>
            </w:pPr>
          </w:p>
        </w:tc>
      </w:tr>
      <w:tr w:rsidR="000270C0" w:rsidRPr="000270C0" w14:paraId="6B6C80AA" w14:textId="77777777" w:rsidTr="002427E0">
        <w:trPr>
          <w:trHeight w:val="225"/>
        </w:trPr>
        <w:tc>
          <w:tcPr>
            <w:tcW w:w="2017" w:type="dxa"/>
            <w:tcBorders>
              <w:top w:val="nil"/>
              <w:left w:val="nil"/>
              <w:bottom w:val="single" w:sz="4" w:space="0" w:color="auto"/>
              <w:right w:val="nil"/>
            </w:tcBorders>
            <w:vAlign w:val="bottom"/>
          </w:tcPr>
          <w:p w14:paraId="4A27E6FE" w14:textId="77777777" w:rsidR="009456AF" w:rsidRPr="000270C0" w:rsidRDefault="009456AF" w:rsidP="002427E0">
            <w:pPr>
              <w:autoSpaceDE w:val="0"/>
              <w:autoSpaceDN w:val="0"/>
              <w:adjustRightInd w:val="0"/>
              <w:spacing w:after="0" w:line="240" w:lineRule="auto"/>
              <w:rPr>
                <w:rFonts w:ascii="Times New Roman" w:hAnsi="Times New Roman" w:cs="Times New Roman"/>
              </w:rPr>
            </w:pPr>
            <w:r w:rsidRPr="000270C0">
              <w:rPr>
                <w:rFonts w:ascii="Times New Roman" w:hAnsi="Times New Roman" w:cs="Times New Roman"/>
              </w:rPr>
              <w:t>Prob(F-statistic)</w:t>
            </w:r>
          </w:p>
        </w:tc>
        <w:tc>
          <w:tcPr>
            <w:tcW w:w="1103" w:type="dxa"/>
            <w:tcBorders>
              <w:top w:val="nil"/>
              <w:left w:val="nil"/>
              <w:bottom w:val="single" w:sz="4" w:space="0" w:color="auto"/>
              <w:right w:val="nil"/>
            </w:tcBorders>
            <w:vAlign w:val="bottom"/>
          </w:tcPr>
          <w:p w14:paraId="77D58AB1" w14:textId="77777777" w:rsidR="009456AF" w:rsidRPr="000270C0" w:rsidRDefault="009456AF" w:rsidP="00855F6D">
            <w:pPr>
              <w:autoSpaceDE w:val="0"/>
              <w:autoSpaceDN w:val="0"/>
              <w:adjustRightInd w:val="0"/>
              <w:spacing w:after="0" w:line="240" w:lineRule="auto"/>
              <w:ind w:right="10"/>
              <w:jc w:val="center"/>
              <w:rPr>
                <w:rFonts w:ascii="Times New Roman" w:hAnsi="Times New Roman" w:cs="Times New Roman"/>
              </w:rPr>
            </w:pPr>
            <w:r w:rsidRPr="000270C0">
              <w:rPr>
                <w:rFonts w:ascii="Times New Roman" w:hAnsi="Times New Roman" w:cs="Times New Roman"/>
              </w:rPr>
              <w:t>0.000000</w:t>
            </w:r>
          </w:p>
        </w:tc>
        <w:tc>
          <w:tcPr>
            <w:tcW w:w="1207" w:type="dxa"/>
            <w:tcBorders>
              <w:top w:val="nil"/>
              <w:left w:val="nil"/>
              <w:bottom w:val="single" w:sz="4" w:space="0" w:color="auto"/>
              <w:right w:val="nil"/>
            </w:tcBorders>
            <w:vAlign w:val="bottom"/>
          </w:tcPr>
          <w:p w14:paraId="5636A222" w14:textId="77777777" w:rsidR="009456AF" w:rsidRPr="000270C0" w:rsidRDefault="009456AF" w:rsidP="002427E0">
            <w:pPr>
              <w:autoSpaceDE w:val="0"/>
              <w:autoSpaceDN w:val="0"/>
              <w:adjustRightInd w:val="0"/>
              <w:spacing w:after="0" w:line="240" w:lineRule="auto"/>
              <w:ind w:right="10"/>
              <w:jc w:val="center"/>
              <w:rPr>
                <w:rFonts w:ascii="Times New Roman" w:hAnsi="Times New Roman" w:cs="Times New Roman"/>
              </w:rPr>
            </w:pPr>
          </w:p>
        </w:tc>
        <w:tc>
          <w:tcPr>
            <w:tcW w:w="1208" w:type="dxa"/>
            <w:tcBorders>
              <w:top w:val="nil"/>
              <w:left w:val="nil"/>
              <w:bottom w:val="single" w:sz="4" w:space="0" w:color="auto"/>
              <w:right w:val="nil"/>
            </w:tcBorders>
            <w:vAlign w:val="bottom"/>
          </w:tcPr>
          <w:p w14:paraId="08F6D9AE" w14:textId="77777777" w:rsidR="009456AF" w:rsidRPr="000270C0" w:rsidRDefault="009456AF" w:rsidP="002427E0">
            <w:pPr>
              <w:autoSpaceDE w:val="0"/>
              <w:autoSpaceDN w:val="0"/>
              <w:adjustRightInd w:val="0"/>
              <w:spacing w:after="0" w:line="240" w:lineRule="auto"/>
              <w:ind w:right="10"/>
              <w:jc w:val="center"/>
              <w:rPr>
                <w:rFonts w:ascii="Times New Roman" w:hAnsi="Times New Roman" w:cs="Times New Roman"/>
              </w:rPr>
            </w:pPr>
          </w:p>
        </w:tc>
        <w:tc>
          <w:tcPr>
            <w:tcW w:w="997" w:type="dxa"/>
            <w:tcBorders>
              <w:top w:val="nil"/>
              <w:left w:val="nil"/>
              <w:bottom w:val="single" w:sz="4" w:space="0" w:color="auto"/>
              <w:right w:val="nil"/>
            </w:tcBorders>
            <w:vAlign w:val="bottom"/>
          </w:tcPr>
          <w:p w14:paraId="0109AE33" w14:textId="77777777" w:rsidR="009456AF" w:rsidRPr="000270C0" w:rsidRDefault="009456AF" w:rsidP="002427E0">
            <w:pPr>
              <w:autoSpaceDE w:val="0"/>
              <w:autoSpaceDN w:val="0"/>
              <w:adjustRightInd w:val="0"/>
              <w:spacing w:after="0" w:line="240" w:lineRule="auto"/>
              <w:ind w:right="10"/>
              <w:jc w:val="center"/>
              <w:rPr>
                <w:rFonts w:ascii="Times New Roman" w:hAnsi="Times New Roman" w:cs="Times New Roman"/>
              </w:rPr>
            </w:pPr>
          </w:p>
        </w:tc>
      </w:tr>
    </w:tbl>
    <w:p w14:paraId="3C90E50F" w14:textId="77777777" w:rsidR="009456AF" w:rsidRPr="000270C0" w:rsidRDefault="009456AF" w:rsidP="0055107D">
      <w:pPr>
        <w:spacing w:line="240" w:lineRule="auto"/>
        <w:jc w:val="both"/>
        <w:rPr>
          <w:rFonts w:ascii="Times New Roman" w:eastAsia="Times New Roman" w:hAnsi="Times New Roman" w:cs="Times New Roman"/>
          <w:sz w:val="24"/>
          <w:szCs w:val="24"/>
        </w:rPr>
      </w:pPr>
      <w:r w:rsidRPr="000270C0">
        <w:rPr>
          <w:rFonts w:ascii="Times New Roman" w:eastAsia="Times New Roman" w:hAnsi="Times New Roman" w:cs="Times New Roman"/>
          <w:sz w:val="24"/>
          <w:szCs w:val="24"/>
        </w:rPr>
        <w:t>Source: Researcher’s Computation (202</w:t>
      </w:r>
      <w:r w:rsidR="00855F6D" w:rsidRPr="000270C0">
        <w:rPr>
          <w:rFonts w:ascii="Times New Roman" w:eastAsia="Times New Roman" w:hAnsi="Times New Roman" w:cs="Times New Roman"/>
          <w:sz w:val="24"/>
          <w:szCs w:val="24"/>
        </w:rPr>
        <w:t>6</w:t>
      </w:r>
      <w:r w:rsidRPr="000270C0">
        <w:rPr>
          <w:rFonts w:ascii="Times New Roman" w:eastAsia="Times New Roman" w:hAnsi="Times New Roman" w:cs="Times New Roman"/>
          <w:sz w:val="24"/>
          <w:szCs w:val="24"/>
        </w:rPr>
        <w:t>) using E-views 10</w:t>
      </w:r>
    </w:p>
    <w:p w14:paraId="1DB033AA" w14:textId="77777777" w:rsidR="007E0C76" w:rsidRPr="000270C0" w:rsidRDefault="007E0C76" w:rsidP="007E0C76">
      <w:pPr>
        <w:spacing w:after="0" w:line="240" w:lineRule="auto"/>
        <w:ind w:firstLine="720"/>
        <w:jc w:val="both"/>
        <w:rPr>
          <w:rFonts w:ascii="Times New Roman" w:hAnsi="Times New Roman" w:cs="Times New Roman"/>
          <w:sz w:val="24"/>
        </w:rPr>
      </w:pPr>
      <w:r w:rsidRPr="000270C0">
        <w:rPr>
          <w:rFonts w:ascii="Times New Roman" w:hAnsi="Times New Roman" w:cs="Times New Roman"/>
          <w:sz w:val="24"/>
        </w:rPr>
        <w:t xml:space="preserve">The estimated regression line is stated as follows: </w:t>
      </w:r>
    </w:p>
    <w:p w14:paraId="0BBAB19D" w14:textId="77777777" w:rsidR="007E0C76" w:rsidRPr="000270C0" w:rsidRDefault="007E0C76" w:rsidP="004F00EB">
      <w:pPr>
        <w:spacing w:line="240" w:lineRule="auto"/>
        <w:jc w:val="both"/>
        <w:rPr>
          <w:rFonts w:ascii="Times New Roman" w:hAnsi="Times New Roman" w:cs="Times New Roman"/>
        </w:rPr>
      </w:pPr>
      <w:r w:rsidRPr="000270C0">
        <w:rPr>
          <w:rFonts w:ascii="Times New Roman" w:hAnsi="Times New Roman" w:cs="Times New Roman"/>
          <w:sz w:val="24"/>
        </w:rPr>
        <w:t>FDI</w:t>
      </w:r>
      <w:r w:rsidRPr="000270C0">
        <w:rPr>
          <w:rFonts w:ascii="Times New Roman" w:hAnsi="Times New Roman" w:cs="Times New Roman"/>
          <w:sz w:val="24"/>
          <w:vertAlign w:val="subscript"/>
        </w:rPr>
        <w:t>t</w:t>
      </w:r>
      <w:r w:rsidRPr="000270C0">
        <w:rPr>
          <w:rFonts w:ascii="Times New Roman" w:hAnsi="Times New Roman" w:cs="Times New Roman"/>
          <w:sz w:val="24"/>
        </w:rPr>
        <w:t xml:space="preserve"> = -1789.929 + 3.439(ESI)</w:t>
      </w:r>
      <w:r w:rsidRPr="000270C0">
        <w:rPr>
          <w:rFonts w:ascii="Times New Roman" w:hAnsi="Times New Roman" w:cs="Times New Roman"/>
          <w:sz w:val="24"/>
          <w:vertAlign w:val="subscript"/>
        </w:rPr>
        <w:t>t</w:t>
      </w:r>
      <w:r w:rsidRPr="000270C0">
        <w:rPr>
          <w:rFonts w:ascii="Times New Roman" w:hAnsi="Times New Roman" w:cs="Times New Roman"/>
          <w:sz w:val="24"/>
        </w:rPr>
        <w:t xml:space="preserve"> - 3.087(SSI)</w:t>
      </w:r>
      <w:r w:rsidRPr="000270C0">
        <w:rPr>
          <w:rFonts w:ascii="Times New Roman" w:hAnsi="Times New Roman" w:cs="Times New Roman"/>
          <w:sz w:val="24"/>
          <w:vertAlign w:val="subscript"/>
        </w:rPr>
        <w:t>t</w:t>
      </w:r>
      <w:r w:rsidRPr="000270C0">
        <w:rPr>
          <w:rFonts w:ascii="Times New Roman" w:hAnsi="Times New Roman" w:cs="Times New Roman"/>
          <w:sz w:val="24"/>
        </w:rPr>
        <w:t xml:space="preserve"> + 2.401(GSI)</w:t>
      </w:r>
      <w:r w:rsidRPr="000270C0">
        <w:rPr>
          <w:rFonts w:ascii="Times New Roman" w:hAnsi="Times New Roman" w:cs="Times New Roman"/>
          <w:sz w:val="24"/>
          <w:vertAlign w:val="subscript"/>
        </w:rPr>
        <w:t xml:space="preserve">t </w:t>
      </w:r>
      <w:r w:rsidRPr="000270C0">
        <w:rPr>
          <w:rFonts w:ascii="Times New Roman" w:hAnsi="Times New Roman" w:cs="Times New Roman"/>
          <w:sz w:val="24"/>
        </w:rPr>
        <w:t>+ μ.</w:t>
      </w:r>
    </w:p>
    <w:p w14:paraId="143C9800" w14:textId="67BFDA85" w:rsidR="007E0C76" w:rsidRPr="000270C0" w:rsidRDefault="00E93BB6" w:rsidP="00FD21B7">
      <w:pPr>
        <w:spacing w:line="240" w:lineRule="auto"/>
        <w:ind w:firstLine="720"/>
        <w:jc w:val="both"/>
        <w:rPr>
          <w:rFonts w:ascii="Times New Roman" w:hAnsi="Times New Roman" w:cs="Times New Roman"/>
        </w:rPr>
      </w:pPr>
      <w:r w:rsidRPr="000270C0">
        <w:rPr>
          <w:rFonts w:ascii="Times New Roman" w:hAnsi="Times New Roman" w:cs="Times New Roman"/>
          <w:sz w:val="24"/>
        </w:rPr>
        <w:t>The constant value is negative (-1789.929), and it is statistically significant at the 5 per cent level (p = 0.0311) indicating that without an improvement in the sustainability indicators, the base foreign direct investment inflows would be low. The coefficient of determination (R-squared) of 0.980996 means that about 98.10 per cent of changes in FDI inflows are explained by a combination of ESI, SSI and GSI. The strong explanatory power of the model is further supported by the adjusted R-squared of 0.979571. Furthermore, the F-</w:t>
      </w:r>
      <w:proofErr w:type="spellStart"/>
      <w:r w:rsidRPr="000270C0">
        <w:rPr>
          <w:rFonts w:ascii="Times New Roman" w:hAnsi="Times New Roman" w:cs="Times New Roman"/>
          <w:sz w:val="24"/>
        </w:rPr>
        <w:t>statistic</w:t>
      </w:r>
      <w:proofErr w:type="spellEnd"/>
      <w:r w:rsidRPr="000270C0">
        <w:rPr>
          <w:rFonts w:ascii="Times New Roman" w:hAnsi="Times New Roman" w:cs="Times New Roman"/>
          <w:sz w:val="24"/>
        </w:rPr>
        <w:t xml:space="preserve"> probability is 0.0000 meaning that the explanatory variables have a combined significant effect in explaining the inflows of foreign direct investment in Nigeria</w:t>
      </w:r>
      <w:r w:rsidR="007E0C76" w:rsidRPr="000270C0">
        <w:rPr>
          <w:rFonts w:ascii="Times New Roman" w:hAnsi="Times New Roman" w:cs="Times New Roman"/>
          <w:sz w:val="24"/>
        </w:rPr>
        <w:t>.</w:t>
      </w:r>
    </w:p>
    <w:p w14:paraId="739FE1CF" w14:textId="77777777" w:rsidR="007E0C76" w:rsidRPr="000270C0" w:rsidRDefault="007E0C76" w:rsidP="007E0C76">
      <w:pPr>
        <w:spacing w:after="0" w:line="240" w:lineRule="auto"/>
        <w:jc w:val="both"/>
        <w:rPr>
          <w:rFonts w:ascii="Times New Roman" w:hAnsi="Times New Roman" w:cs="Times New Roman"/>
        </w:rPr>
      </w:pPr>
      <w:r w:rsidRPr="000270C0">
        <w:rPr>
          <w:rFonts w:ascii="Times New Roman" w:hAnsi="Times New Roman" w:cs="Times New Roman"/>
          <w:b/>
          <w:sz w:val="24"/>
        </w:rPr>
        <w:t>Test of Hypotheses</w:t>
      </w:r>
    </w:p>
    <w:p w14:paraId="57A6A9AD" w14:textId="37AADD5D" w:rsidR="007E0C76" w:rsidRPr="000270C0" w:rsidRDefault="00E93BB6" w:rsidP="00FD21B7">
      <w:pPr>
        <w:spacing w:line="240" w:lineRule="auto"/>
        <w:ind w:firstLine="720"/>
        <w:jc w:val="both"/>
        <w:rPr>
          <w:rFonts w:ascii="Times New Roman" w:hAnsi="Times New Roman" w:cs="Times New Roman"/>
        </w:rPr>
      </w:pPr>
      <w:r w:rsidRPr="000270C0">
        <w:rPr>
          <w:rFonts w:ascii="Times New Roman" w:hAnsi="Times New Roman" w:cs="Times New Roman"/>
          <w:sz w:val="24"/>
        </w:rPr>
        <w:t>The t-statistics and probability values of the research were compared with the t-statistics and probability values of the multiple regression output of Table 4.7. The rejection criterion is to reject the null hypothesis when the probability value is less than 0.05 or the absolute value of the t-statistic calculated is greater than the tabulated t-value of 2.015368 at the 5 per cent level of significance</w:t>
      </w:r>
      <w:r w:rsidR="007E0C76" w:rsidRPr="000270C0">
        <w:rPr>
          <w:rFonts w:ascii="Times New Roman" w:hAnsi="Times New Roman" w:cs="Times New Roman"/>
          <w:sz w:val="24"/>
        </w:rPr>
        <w:t>.</w:t>
      </w:r>
    </w:p>
    <w:p w14:paraId="2FC825D8" w14:textId="77777777" w:rsidR="00266E06" w:rsidRPr="000270C0" w:rsidRDefault="007E0C76" w:rsidP="00266E06">
      <w:pPr>
        <w:spacing w:after="0" w:line="240" w:lineRule="auto"/>
        <w:jc w:val="both"/>
        <w:rPr>
          <w:rFonts w:ascii="Times New Roman" w:hAnsi="Times New Roman" w:cs="Times New Roman"/>
        </w:rPr>
      </w:pPr>
      <w:r w:rsidRPr="000270C0">
        <w:rPr>
          <w:rFonts w:ascii="Times New Roman" w:hAnsi="Times New Roman" w:cs="Times New Roman"/>
          <w:b/>
          <w:sz w:val="24"/>
        </w:rPr>
        <w:t>Hypothesis One</w:t>
      </w:r>
    </w:p>
    <w:p w14:paraId="2C609AB3" w14:textId="77777777" w:rsidR="007E0C76" w:rsidRPr="000270C0" w:rsidRDefault="007E0C76" w:rsidP="00266E06">
      <w:pPr>
        <w:spacing w:after="0" w:line="240" w:lineRule="auto"/>
        <w:ind w:left="720" w:hanging="720"/>
        <w:jc w:val="both"/>
        <w:rPr>
          <w:rFonts w:ascii="Times New Roman" w:hAnsi="Times New Roman" w:cs="Times New Roman"/>
        </w:rPr>
      </w:pPr>
      <w:r w:rsidRPr="000270C0">
        <w:rPr>
          <w:rFonts w:ascii="Times New Roman" w:hAnsi="Times New Roman" w:cs="Times New Roman"/>
          <w:b/>
          <w:bCs/>
          <w:sz w:val="24"/>
        </w:rPr>
        <w:lastRenderedPageBreak/>
        <w:t>H</w:t>
      </w:r>
      <w:r w:rsidR="00266E06" w:rsidRPr="000270C0">
        <w:rPr>
          <w:rFonts w:ascii="Times New Roman" w:hAnsi="Times New Roman" w:cs="Times New Roman"/>
          <w:b/>
          <w:bCs/>
          <w:sz w:val="24"/>
        </w:rPr>
        <w:t>o1:</w:t>
      </w:r>
      <w:r w:rsidRPr="000270C0">
        <w:rPr>
          <w:rFonts w:ascii="Times New Roman" w:hAnsi="Times New Roman" w:cs="Times New Roman"/>
          <w:b/>
          <w:bCs/>
          <w:sz w:val="24"/>
        </w:rPr>
        <w:tab/>
      </w:r>
      <w:r w:rsidRPr="000270C0">
        <w:rPr>
          <w:rFonts w:ascii="Times New Roman" w:hAnsi="Times New Roman" w:cs="Times New Roman"/>
          <w:sz w:val="24"/>
        </w:rPr>
        <w:t>Environmental sustainability index has no significant effect on foreign direct investment (FDI) inflows in Nigeria.</w:t>
      </w:r>
    </w:p>
    <w:p w14:paraId="111B8698" w14:textId="590874A0" w:rsidR="00266E06" w:rsidRPr="000270C0" w:rsidRDefault="00363073" w:rsidP="00FD21B7">
      <w:pPr>
        <w:spacing w:line="240" w:lineRule="auto"/>
        <w:ind w:firstLine="720"/>
        <w:jc w:val="both"/>
        <w:rPr>
          <w:rFonts w:ascii="Times New Roman" w:hAnsi="Times New Roman" w:cs="Times New Roman"/>
        </w:rPr>
      </w:pPr>
      <w:r w:rsidRPr="000270C0">
        <w:rPr>
          <w:rFonts w:ascii="Times New Roman" w:hAnsi="Times New Roman" w:cs="Times New Roman"/>
          <w:sz w:val="24"/>
        </w:rPr>
        <w:t>In order to determine whether variation in the Environmental Sustainability Index (ESI) has a significant influence on foreign direct investment inflows in Nigeria, the t-test was done at 0.05 level of significance with Ttab = 2.015368. From Table 4.7, the calculated t-statistic for ESI is 2.767629, which is greater than the tabulated value (2.767629 &gt; 2.015368). Thus, the null hypothesis is rejected and the alternative hypothesis is accepted. The probability value of 0.0085 which is below 0.05 supports this decision even more. Therefore, the foreign direct investment inflows in Nigeria are positively and statistically impacted by environmental sustainability index</w:t>
      </w:r>
      <w:r w:rsidR="007E0C76" w:rsidRPr="000270C0">
        <w:rPr>
          <w:rFonts w:ascii="Times New Roman" w:hAnsi="Times New Roman" w:cs="Times New Roman"/>
          <w:sz w:val="24"/>
        </w:rPr>
        <w:t>.</w:t>
      </w:r>
    </w:p>
    <w:p w14:paraId="68072638" w14:textId="77777777" w:rsidR="007E0C76" w:rsidRPr="000270C0" w:rsidRDefault="007E0C76" w:rsidP="00266E06">
      <w:pPr>
        <w:spacing w:after="0" w:line="240" w:lineRule="auto"/>
        <w:jc w:val="both"/>
        <w:rPr>
          <w:rFonts w:ascii="Times New Roman" w:hAnsi="Times New Roman" w:cs="Times New Roman"/>
        </w:rPr>
      </w:pPr>
      <w:r w:rsidRPr="000270C0">
        <w:rPr>
          <w:rFonts w:ascii="Times New Roman" w:hAnsi="Times New Roman" w:cs="Times New Roman"/>
          <w:b/>
          <w:sz w:val="24"/>
        </w:rPr>
        <w:t>Hypothesis Two</w:t>
      </w:r>
    </w:p>
    <w:p w14:paraId="75522A9A" w14:textId="77777777" w:rsidR="007E0C76" w:rsidRPr="000270C0" w:rsidRDefault="007E0C76" w:rsidP="00266E06">
      <w:pPr>
        <w:spacing w:after="0" w:line="240" w:lineRule="auto"/>
        <w:ind w:left="720" w:hanging="720"/>
        <w:jc w:val="both"/>
        <w:rPr>
          <w:rFonts w:ascii="Times New Roman" w:hAnsi="Times New Roman" w:cs="Times New Roman"/>
        </w:rPr>
      </w:pPr>
      <w:r w:rsidRPr="000270C0">
        <w:rPr>
          <w:rFonts w:ascii="Times New Roman" w:hAnsi="Times New Roman" w:cs="Times New Roman"/>
          <w:b/>
          <w:bCs/>
          <w:sz w:val="24"/>
        </w:rPr>
        <w:t>Ho2:</w:t>
      </w:r>
      <w:r w:rsidRPr="000270C0">
        <w:rPr>
          <w:rFonts w:ascii="Times New Roman" w:hAnsi="Times New Roman" w:cs="Times New Roman"/>
          <w:sz w:val="24"/>
        </w:rPr>
        <w:tab/>
        <w:t>Social sustainability index has no significant effect on foreign direct investment (FDI) inflows in Nigeria.</w:t>
      </w:r>
    </w:p>
    <w:p w14:paraId="6C39443D" w14:textId="2F350C08" w:rsidR="007E0C76" w:rsidRPr="000270C0" w:rsidRDefault="00363073" w:rsidP="00FD21B7">
      <w:pPr>
        <w:spacing w:line="240" w:lineRule="auto"/>
        <w:ind w:firstLine="720"/>
        <w:jc w:val="both"/>
        <w:rPr>
          <w:rFonts w:ascii="Times New Roman" w:hAnsi="Times New Roman" w:cs="Times New Roman"/>
        </w:rPr>
      </w:pPr>
      <w:r w:rsidRPr="000270C0">
        <w:rPr>
          <w:rFonts w:ascii="Times New Roman" w:hAnsi="Times New Roman" w:cs="Times New Roman"/>
          <w:sz w:val="24"/>
        </w:rPr>
        <w:t>A t-test was done at the level of significance = 0.05 since it is important to determine whether the changes in the Social Sustainability Index (SSI) have significant effects on the foreign direct investment inflows in Nigeria at the level of significance = 0.05 with the Ttab = 2.015368. From Table 4.7, the calculated t-statistic for SSI is -1.472144; in absolute terms, |Tcal| = 1.472144, which is less than the tabulated value (1.472144 &lt; 2.015368). Thus, the null hypothesis is accepted and the alternative hypothesis is rejected. The probability value of 0.1488 confirms this conclusion as well since it is larger than 0.05. Therefore, social sustainability index negatively but insignificantly influences inflows of foreign direct investment in Nigeria</w:t>
      </w:r>
      <w:r w:rsidR="007E0C76" w:rsidRPr="000270C0">
        <w:rPr>
          <w:rFonts w:ascii="Times New Roman" w:hAnsi="Times New Roman" w:cs="Times New Roman"/>
          <w:sz w:val="24"/>
        </w:rPr>
        <w:t>.</w:t>
      </w:r>
    </w:p>
    <w:p w14:paraId="6BFBC062" w14:textId="77777777" w:rsidR="007E0C76" w:rsidRPr="000270C0" w:rsidRDefault="007E0C76" w:rsidP="007E0C76">
      <w:pPr>
        <w:spacing w:after="0" w:line="240" w:lineRule="auto"/>
        <w:jc w:val="both"/>
        <w:rPr>
          <w:rFonts w:ascii="Times New Roman" w:hAnsi="Times New Roman" w:cs="Times New Roman"/>
        </w:rPr>
      </w:pPr>
      <w:r w:rsidRPr="000270C0">
        <w:rPr>
          <w:rFonts w:ascii="Times New Roman" w:hAnsi="Times New Roman" w:cs="Times New Roman"/>
          <w:b/>
          <w:sz w:val="24"/>
        </w:rPr>
        <w:t>Hypothesis Three</w:t>
      </w:r>
    </w:p>
    <w:p w14:paraId="341062EB" w14:textId="77777777" w:rsidR="007E0C76" w:rsidRPr="000270C0" w:rsidRDefault="007E0C76" w:rsidP="00266E06">
      <w:pPr>
        <w:spacing w:after="0" w:line="240" w:lineRule="auto"/>
        <w:ind w:left="720" w:hanging="720"/>
        <w:jc w:val="both"/>
        <w:rPr>
          <w:rFonts w:ascii="Times New Roman" w:hAnsi="Times New Roman" w:cs="Times New Roman"/>
        </w:rPr>
      </w:pPr>
      <w:r w:rsidRPr="000270C0">
        <w:rPr>
          <w:rFonts w:ascii="Times New Roman" w:hAnsi="Times New Roman" w:cs="Times New Roman"/>
          <w:b/>
          <w:bCs/>
          <w:sz w:val="24"/>
        </w:rPr>
        <w:t>Ho3:</w:t>
      </w:r>
      <w:r w:rsidRPr="000270C0">
        <w:rPr>
          <w:rFonts w:ascii="Times New Roman" w:hAnsi="Times New Roman" w:cs="Times New Roman"/>
          <w:sz w:val="24"/>
        </w:rPr>
        <w:tab/>
        <w:t>Governance sustainability index has no significant effect on foreign direct investment (FDI) inflows in Nigeria.</w:t>
      </w:r>
    </w:p>
    <w:p w14:paraId="73AF99D3" w14:textId="428ECF56" w:rsidR="00266E06" w:rsidRPr="000270C0" w:rsidRDefault="005F571C" w:rsidP="00FD21B7">
      <w:pPr>
        <w:spacing w:line="240" w:lineRule="auto"/>
        <w:ind w:firstLine="720"/>
        <w:jc w:val="both"/>
        <w:rPr>
          <w:rFonts w:ascii="Times New Roman" w:hAnsi="Times New Roman" w:cs="Times New Roman"/>
        </w:rPr>
      </w:pPr>
      <w:r w:rsidRPr="000270C0">
        <w:rPr>
          <w:rFonts w:ascii="Times New Roman" w:hAnsi="Times New Roman" w:cs="Times New Roman"/>
          <w:sz w:val="24"/>
        </w:rPr>
        <w:t>The t-test was performed to determine the significance of change in the Governance Sustainability Index (GSI) in relation to foreign direct investment inflows in Nigeria at the 0.05 level of significance with Ttab = 2.015368. From Table 4.7, the calculated t-statistic for GSI is 11.75695, which is greater than the tabulated value (11.75695 &gt; 2.015368). Based on this, the null hypothesis is rejected and the alternative hypothesis accepted. The probability value of 0.0000, which is less than 0.05, further supports this decision. Thus, the effect of the sustainability index of governance is a positive and significant one on the inflows of foreign direct investment in Nigeria</w:t>
      </w:r>
      <w:r w:rsidR="007E0C76" w:rsidRPr="000270C0">
        <w:rPr>
          <w:rFonts w:ascii="Times New Roman" w:hAnsi="Times New Roman" w:cs="Times New Roman"/>
          <w:sz w:val="24"/>
        </w:rPr>
        <w:t>.</w:t>
      </w:r>
    </w:p>
    <w:p w14:paraId="32AD264B" w14:textId="77777777" w:rsidR="007E0C76" w:rsidRPr="000270C0" w:rsidRDefault="007E0C76" w:rsidP="00266E06">
      <w:pPr>
        <w:spacing w:after="0" w:line="240" w:lineRule="auto"/>
        <w:jc w:val="both"/>
        <w:rPr>
          <w:rFonts w:ascii="Times New Roman" w:hAnsi="Times New Roman" w:cs="Times New Roman"/>
        </w:rPr>
      </w:pPr>
      <w:r w:rsidRPr="000270C0">
        <w:rPr>
          <w:rFonts w:ascii="Times New Roman" w:hAnsi="Times New Roman" w:cs="Times New Roman"/>
          <w:b/>
          <w:sz w:val="24"/>
        </w:rPr>
        <w:t>Discussion of Findings</w:t>
      </w:r>
    </w:p>
    <w:p w14:paraId="37A2E1CA" w14:textId="78FAF3C6" w:rsidR="007E0C76" w:rsidRPr="000270C0" w:rsidRDefault="005F571C" w:rsidP="00FD21B7">
      <w:pPr>
        <w:spacing w:line="240" w:lineRule="auto"/>
        <w:ind w:firstLine="720"/>
        <w:jc w:val="both"/>
        <w:rPr>
          <w:rFonts w:ascii="Times New Roman" w:hAnsi="Times New Roman" w:cs="Times New Roman"/>
        </w:rPr>
      </w:pPr>
      <w:r w:rsidRPr="000270C0">
        <w:rPr>
          <w:rFonts w:ascii="Times New Roman" w:hAnsi="Times New Roman" w:cs="Times New Roman"/>
          <w:sz w:val="24"/>
        </w:rPr>
        <w:t>In the present study, the authors examined the impact sustainability index on foreign direct investment inflows in Nigeria with environmental, social, and governance sustainability indexes as explanatory variables. Results are discussed below according to the objectives of the study in particular</w:t>
      </w:r>
      <w:r w:rsidR="007E0C76" w:rsidRPr="000270C0">
        <w:rPr>
          <w:rFonts w:ascii="Times New Roman" w:hAnsi="Times New Roman" w:cs="Times New Roman"/>
          <w:sz w:val="24"/>
        </w:rPr>
        <w:t>.</w:t>
      </w:r>
    </w:p>
    <w:p w14:paraId="7EBCD45A" w14:textId="77777777" w:rsidR="007E0C76" w:rsidRPr="000270C0" w:rsidRDefault="007E0C76" w:rsidP="007E0C76">
      <w:pPr>
        <w:spacing w:after="0" w:line="240" w:lineRule="auto"/>
        <w:jc w:val="both"/>
        <w:rPr>
          <w:rFonts w:ascii="Times New Roman" w:hAnsi="Times New Roman" w:cs="Times New Roman"/>
        </w:rPr>
      </w:pPr>
      <w:r w:rsidRPr="000270C0">
        <w:rPr>
          <w:rFonts w:ascii="Times New Roman" w:hAnsi="Times New Roman" w:cs="Times New Roman"/>
          <w:b/>
          <w:sz w:val="24"/>
        </w:rPr>
        <w:t>Environmental Sustainability Index and FDI Inflows</w:t>
      </w:r>
    </w:p>
    <w:p w14:paraId="2D2B75F6" w14:textId="3C27C939" w:rsidR="007E0C76" w:rsidRPr="000270C0" w:rsidRDefault="00577F68" w:rsidP="00FD21B7">
      <w:pPr>
        <w:spacing w:line="240" w:lineRule="auto"/>
        <w:ind w:firstLine="720"/>
        <w:jc w:val="both"/>
        <w:rPr>
          <w:rFonts w:ascii="Times New Roman" w:hAnsi="Times New Roman" w:cs="Times New Roman"/>
        </w:rPr>
      </w:pPr>
      <w:r w:rsidRPr="000270C0">
        <w:rPr>
          <w:rFonts w:ascii="Times New Roman" w:hAnsi="Times New Roman" w:cs="Times New Roman"/>
          <w:sz w:val="24"/>
        </w:rPr>
        <w:t xml:space="preserve">The study found that environmental sustainability index (ESI) has a positive and statistically significant effect on foreign direct investment inflows in Nigeria (Coeff. = 3.439382; p = 0.0085). This implies that, the better the performance of environmental sustainability in Nigeria, the more the FDI inflows. The implication of the result is that foreign investors are increasingly considering the environmental conditions, such as climate-transition risk, level of pollution, and resource utilization, in their long-term capital allocation decisions. The enhanced environmental sustainability profile can help lessen regulatory risks and reputation risk, thus </w:t>
      </w:r>
      <w:r w:rsidRPr="000270C0">
        <w:rPr>
          <w:rFonts w:ascii="Times New Roman" w:hAnsi="Times New Roman" w:cs="Times New Roman"/>
          <w:sz w:val="24"/>
        </w:rPr>
        <w:lastRenderedPageBreak/>
        <w:t>making Nigeria more appealing as a foreign investment destination. This observation is in line with Chow and Fung (2025), who demonstrated that a robust ESG positioning could help a country to attract foreign direct investment by increasing productivity and innovation, and minimizing investor uncertainty</w:t>
      </w:r>
      <w:r w:rsidR="007E0C76" w:rsidRPr="000270C0">
        <w:rPr>
          <w:rFonts w:ascii="Times New Roman" w:hAnsi="Times New Roman" w:cs="Times New Roman"/>
          <w:sz w:val="24"/>
        </w:rPr>
        <w:t>.</w:t>
      </w:r>
    </w:p>
    <w:p w14:paraId="77591C2E" w14:textId="77777777" w:rsidR="007E0C76" w:rsidRPr="000270C0" w:rsidRDefault="007E0C76" w:rsidP="007E0C76">
      <w:pPr>
        <w:spacing w:after="0" w:line="240" w:lineRule="auto"/>
        <w:jc w:val="both"/>
        <w:rPr>
          <w:rFonts w:ascii="Times New Roman" w:hAnsi="Times New Roman" w:cs="Times New Roman"/>
        </w:rPr>
      </w:pPr>
      <w:r w:rsidRPr="000270C0">
        <w:rPr>
          <w:rFonts w:ascii="Times New Roman" w:hAnsi="Times New Roman" w:cs="Times New Roman"/>
          <w:b/>
          <w:sz w:val="24"/>
        </w:rPr>
        <w:t>Social Sustainability Index and FDI Inflows</w:t>
      </w:r>
    </w:p>
    <w:p w14:paraId="309B0B4B" w14:textId="3A834BD7" w:rsidR="007E0C76" w:rsidRPr="000270C0" w:rsidRDefault="00577F68" w:rsidP="00FD21B7">
      <w:pPr>
        <w:spacing w:line="240" w:lineRule="auto"/>
        <w:ind w:firstLine="720"/>
        <w:jc w:val="both"/>
        <w:rPr>
          <w:rFonts w:ascii="Times New Roman" w:hAnsi="Times New Roman" w:cs="Times New Roman"/>
        </w:rPr>
      </w:pPr>
      <w:r w:rsidRPr="000270C0">
        <w:rPr>
          <w:rFonts w:ascii="Times New Roman" w:hAnsi="Times New Roman" w:cs="Times New Roman"/>
          <w:sz w:val="24"/>
        </w:rPr>
        <w:t>The research has established that the foreign direct investment inflows in Nigeria are negatively influenced by the social sustainability index (SSI) but not significantly ( Coeff. = -3.086913; p = 0.1488). This implies that fluctuations in the social sustainability situation in Nigeria did not substantially justify any differences in FDI inflows in the time period considered. The triviality of the outcome might indicate challenges in measuring social sustainability using general aggregate measures or it might indicate that foreign investors measure social conditions differently in sectors and types of investments. The coefficient is negative, but without statistical significance, it means that the relationship is weak and should be taken with a grain of salt. This result is in contrast to Immurana, et al. (2023) who have established that the measures of social sustainability have a positive effect on the FDI inflows in Africa as the better population health is used as a proxy variable. The difference indicates that the impact of social sustainability on FDI could be context-specific and could be contingent on the specific social indicators used</w:t>
      </w:r>
      <w:r w:rsidR="007E0C76" w:rsidRPr="000270C0">
        <w:rPr>
          <w:rFonts w:ascii="Times New Roman" w:hAnsi="Times New Roman" w:cs="Times New Roman"/>
          <w:sz w:val="24"/>
        </w:rPr>
        <w:t>.</w:t>
      </w:r>
    </w:p>
    <w:p w14:paraId="470D1C61" w14:textId="77777777" w:rsidR="007E0C76" w:rsidRPr="000270C0" w:rsidRDefault="007E0C76" w:rsidP="007E0C76">
      <w:pPr>
        <w:spacing w:after="0" w:line="240" w:lineRule="auto"/>
        <w:jc w:val="both"/>
        <w:rPr>
          <w:rFonts w:ascii="Times New Roman" w:hAnsi="Times New Roman" w:cs="Times New Roman"/>
        </w:rPr>
      </w:pPr>
      <w:r w:rsidRPr="000270C0">
        <w:rPr>
          <w:rFonts w:ascii="Times New Roman" w:hAnsi="Times New Roman" w:cs="Times New Roman"/>
          <w:b/>
          <w:sz w:val="24"/>
        </w:rPr>
        <w:t>Governance Sustainability Index and FDI Inflows</w:t>
      </w:r>
    </w:p>
    <w:p w14:paraId="5D0690CD" w14:textId="1E451E74" w:rsidR="007E0C76" w:rsidRDefault="00577F68" w:rsidP="00FD21B7">
      <w:pPr>
        <w:spacing w:line="240" w:lineRule="auto"/>
        <w:ind w:firstLine="720"/>
        <w:jc w:val="both"/>
        <w:rPr>
          <w:rFonts w:ascii="Times New Roman" w:hAnsi="Times New Roman" w:cs="Times New Roman"/>
          <w:sz w:val="24"/>
        </w:rPr>
      </w:pPr>
      <w:r w:rsidRPr="000270C0">
        <w:rPr>
          <w:rFonts w:ascii="Times New Roman" w:hAnsi="Times New Roman" w:cs="Times New Roman"/>
          <w:sz w:val="24"/>
        </w:rPr>
        <w:t>The authors concluded that there is a positive and significant impact of the governance sustainability index (GSI) on the foreign direct investment inflows in Nigeria (Coeff. = 2.401381; p = 0.0000). This means that, higher levels of foreign direct investment inflow are closely linked to better governance sustainability, especially in such fronts like rule of law, quality regulations, control of corruption, and dependability of institutions. The finding highlights the focal position of governance credibility in minimizing the policy uncertainty, enhancing the contract enforcement and minimizing the transaction costs that are part of the location decisions and risk assessment of foreign investors. The high positive coefficient also indicates that governing sustainability is the major enforcement pillar that lends credibility to the wider sustainability commitments and prevents the fear of arbitrary reverse decisions and poor institutional enforcement. This result aligns with that of Sabir, et al. (2019) who indicated that a stronger institutional quality boosts FDI inflows by approximately boosting investor confidence, and lowering the risk of transactions and enforcement</w:t>
      </w:r>
      <w:r w:rsidR="007E0C76" w:rsidRPr="000270C0">
        <w:rPr>
          <w:rFonts w:ascii="Times New Roman" w:hAnsi="Times New Roman" w:cs="Times New Roman"/>
          <w:sz w:val="24"/>
        </w:rPr>
        <w:t>.</w:t>
      </w:r>
    </w:p>
    <w:p w14:paraId="3DFB1A10" w14:textId="77777777" w:rsidR="00002A4E" w:rsidRDefault="00002A4E" w:rsidP="00FD21B7">
      <w:pPr>
        <w:spacing w:line="240" w:lineRule="auto"/>
        <w:ind w:firstLine="720"/>
        <w:jc w:val="both"/>
        <w:rPr>
          <w:rFonts w:ascii="Times New Roman" w:hAnsi="Times New Roman" w:cs="Times New Roman"/>
          <w:sz w:val="24"/>
        </w:rPr>
      </w:pPr>
    </w:p>
    <w:p w14:paraId="269F571E" w14:textId="77777777" w:rsidR="00002A4E" w:rsidRPr="000270C0" w:rsidRDefault="00002A4E" w:rsidP="00FD21B7">
      <w:pPr>
        <w:spacing w:line="240" w:lineRule="auto"/>
        <w:ind w:firstLine="720"/>
        <w:jc w:val="both"/>
        <w:rPr>
          <w:rFonts w:ascii="Times New Roman" w:hAnsi="Times New Roman" w:cs="Times New Roman"/>
        </w:rPr>
      </w:pPr>
    </w:p>
    <w:p w14:paraId="5FEDE0F6" w14:textId="77777777" w:rsidR="007E0C76" w:rsidRPr="000270C0" w:rsidRDefault="00266E06" w:rsidP="00266E06">
      <w:pPr>
        <w:spacing w:after="0" w:line="240" w:lineRule="auto"/>
        <w:rPr>
          <w:rFonts w:ascii="Times New Roman" w:hAnsi="Times New Roman" w:cs="Times New Roman"/>
        </w:rPr>
      </w:pPr>
      <w:r w:rsidRPr="000270C0">
        <w:rPr>
          <w:rFonts w:ascii="Times New Roman" w:hAnsi="Times New Roman" w:cs="Times New Roman"/>
          <w:b/>
          <w:sz w:val="24"/>
        </w:rPr>
        <w:t>5.0</w:t>
      </w:r>
      <w:r w:rsidRPr="000270C0">
        <w:rPr>
          <w:rFonts w:ascii="Times New Roman" w:hAnsi="Times New Roman" w:cs="Times New Roman"/>
          <w:b/>
          <w:sz w:val="24"/>
        </w:rPr>
        <w:tab/>
      </w:r>
      <w:r w:rsidR="007E0C76" w:rsidRPr="000270C0">
        <w:rPr>
          <w:rFonts w:ascii="Times New Roman" w:hAnsi="Times New Roman" w:cs="Times New Roman"/>
          <w:b/>
          <w:sz w:val="24"/>
        </w:rPr>
        <w:t>CONCLUSION AND RECOMMENDATIONS</w:t>
      </w:r>
    </w:p>
    <w:p w14:paraId="43DC2B10" w14:textId="77777777" w:rsidR="007E0C76" w:rsidRPr="000270C0" w:rsidRDefault="007E0C76" w:rsidP="007E0C76">
      <w:pPr>
        <w:spacing w:after="0" w:line="240" w:lineRule="auto"/>
        <w:jc w:val="both"/>
        <w:rPr>
          <w:rFonts w:ascii="Times New Roman" w:hAnsi="Times New Roman" w:cs="Times New Roman"/>
        </w:rPr>
      </w:pPr>
      <w:r w:rsidRPr="000270C0">
        <w:rPr>
          <w:rFonts w:ascii="Times New Roman" w:hAnsi="Times New Roman" w:cs="Times New Roman"/>
          <w:b/>
          <w:sz w:val="24"/>
        </w:rPr>
        <w:t>Conclusion</w:t>
      </w:r>
    </w:p>
    <w:p w14:paraId="706CDBA7" w14:textId="682B571D" w:rsidR="007E0C76" w:rsidRPr="000270C0" w:rsidRDefault="00577F68" w:rsidP="00FD21B7">
      <w:pPr>
        <w:spacing w:line="240" w:lineRule="auto"/>
        <w:ind w:firstLine="720"/>
        <w:jc w:val="both"/>
        <w:rPr>
          <w:rFonts w:ascii="Times New Roman" w:hAnsi="Times New Roman" w:cs="Times New Roman"/>
        </w:rPr>
      </w:pPr>
      <w:r w:rsidRPr="000270C0">
        <w:rPr>
          <w:rFonts w:ascii="Times New Roman" w:hAnsi="Times New Roman" w:cs="Times New Roman"/>
          <w:sz w:val="24"/>
        </w:rPr>
        <w:t xml:space="preserve">The analysis concludes that the elements of the sustainability index have </w:t>
      </w:r>
      <w:proofErr w:type="spellStart"/>
      <w:r w:rsidRPr="000270C0">
        <w:rPr>
          <w:rFonts w:ascii="Times New Roman" w:hAnsi="Times New Roman" w:cs="Times New Roman"/>
          <w:sz w:val="24"/>
        </w:rPr>
        <w:t>variousiated</w:t>
      </w:r>
      <w:proofErr w:type="spellEnd"/>
      <w:r w:rsidRPr="000270C0">
        <w:rPr>
          <w:rFonts w:ascii="Times New Roman" w:hAnsi="Times New Roman" w:cs="Times New Roman"/>
          <w:sz w:val="24"/>
        </w:rPr>
        <w:t xml:space="preserve"> influences on inflows of foreign direct investment in Nigeria. The environment and governance sustainability became significant forces of FDI inflows meaning that foreign investors are positive to improvement in environmental performance as well as institutional quality. Specifically, the sustainability of governance turned out to be the most solid factor of FDI inflows, and it is evident that the rule of law, quality of regulations, corruption control, and institutional reliability are critical in determining the investor confidence. Despite the negative coefficient of social sustainability, its impact was not significant, which implies that aggregate social sustainability indicators might not effectively reflect the aspects of labour productivity, human capital quality, </w:t>
      </w:r>
      <w:r w:rsidRPr="000270C0">
        <w:rPr>
          <w:rFonts w:ascii="Times New Roman" w:hAnsi="Times New Roman" w:cs="Times New Roman"/>
          <w:sz w:val="24"/>
        </w:rPr>
        <w:lastRenderedPageBreak/>
        <w:t>and social stability that the foreign investors are most concerned about. In general, the results indicate that the enhancement of sustainability performance, in particular, the environmental and governance aspects, is needed to enhance the long-run appeal of Nigeria to foreign capital</w:t>
      </w:r>
      <w:r w:rsidR="007E0C76" w:rsidRPr="000270C0">
        <w:rPr>
          <w:rFonts w:ascii="Times New Roman" w:hAnsi="Times New Roman" w:cs="Times New Roman"/>
          <w:sz w:val="24"/>
        </w:rPr>
        <w:t>.</w:t>
      </w:r>
    </w:p>
    <w:p w14:paraId="1B338384" w14:textId="77777777" w:rsidR="007E0C76" w:rsidRPr="000270C0" w:rsidRDefault="007E0C76" w:rsidP="007E0C76">
      <w:pPr>
        <w:spacing w:after="0" w:line="240" w:lineRule="auto"/>
        <w:jc w:val="both"/>
        <w:rPr>
          <w:rFonts w:ascii="Times New Roman" w:hAnsi="Times New Roman" w:cs="Times New Roman"/>
        </w:rPr>
      </w:pPr>
      <w:r w:rsidRPr="000270C0">
        <w:rPr>
          <w:rFonts w:ascii="Times New Roman" w:hAnsi="Times New Roman" w:cs="Times New Roman"/>
          <w:b/>
          <w:sz w:val="24"/>
        </w:rPr>
        <w:t>Recommendations</w:t>
      </w:r>
    </w:p>
    <w:p w14:paraId="22491D85" w14:textId="77777777" w:rsidR="00266E06" w:rsidRPr="000270C0" w:rsidRDefault="007E0C76" w:rsidP="00266E06">
      <w:pPr>
        <w:spacing w:after="0" w:line="240" w:lineRule="auto"/>
        <w:ind w:firstLine="720"/>
        <w:jc w:val="both"/>
        <w:rPr>
          <w:rFonts w:ascii="Times New Roman" w:hAnsi="Times New Roman" w:cs="Times New Roman"/>
        </w:rPr>
      </w:pPr>
      <w:r w:rsidRPr="000270C0">
        <w:rPr>
          <w:rFonts w:ascii="Times New Roman" w:hAnsi="Times New Roman" w:cs="Times New Roman"/>
          <w:sz w:val="24"/>
        </w:rPr>
        <w:t>Based on the findings and conclusion of the study, the following recommendations are made:</w:t>
      </w:r>
    </w:p>
    <w:p w14:paraId="69FE447E" w14:textId="77777777" w:rsidR="00FD21B7" w:rsidRPr="000270C0" w:rsidRDefault="007E0C76" w:rsidP="007E0C76">
      <w:pPr>
        <w:pStyle w:val="ListParagraph"/>
        <w:numPr>
          <w:ilvl w:val="0"/>
          <w:numId w:val="23"/>
        </w:numPr>
        <w:spacing w:after="0" w:line="240" w:lineRule="auto"/>
        <w:jc w:val="both"/>
        <w:rPr>
          <w:rFonts w:ascii="Times New Roman" w:hAnsi="Times New Roman" w:cs="Times New Roman"/>
        </w:rPr>
      </w:pPr>
      <w:r w:rsidRPr="000270C0">
        <w:rPr>
          <w:rFonts w:ascii="Times New Roman" w:hAnsi="Times New Roman" w:cs="Times New Roman"/>
          <w:sz w:val="24"/>
        </w:rPr>
        <w:t>The Federal Government and relevant regulatory authorities should prioritize governance reforms that strengthen the rule of law, improve regulatory transparency, curb corruption, and enhance institutional effectiveness in contract enforcement and property-rights protection.</w:t>
      </w:r>
    </w:p>
    <w:p w14:paraId="5A96730F" w14:textId="77777777" w:rsidR="00FD21B7" w:rsidRPr="000270C0" w:rsidRDefault="007E0C76" w:rsidP="007E0C76">
      <w:pPr>
        <w:pStyle w:val="ListParagraph"/>
        <w:numPr>
          <w:ilvl w:val="0"/>
          <w:numId w:val="23"/>
        </w:numPr>
        <w:spacing w:after="0" w:line="240" w:lineRule="auto"/>
        <w:jc w:val="both"/>
        <w:rPr>
          <w:rFonts w:ascii="Times New Roman" w:hAnsi="Times New Roman" w:cs="Times New Roman"/>
        </w:rPr>
      </w:pPr>
      <w:r w:rsidRPr="000270C0">
        <w:rPr>
          <w:rFonts w:ascii="Times New Roman" w:hAnsi="Times New Roman" w:cs="Times New Roman"/>
          <w:sz w:val="24"/>
        </w:rPr>
        <w:t>Environmental protection agencies and policy makers should develop and implement credible environmental sustainability frameworks, including climate-transition plans, pollution-control standards, energy-efficiency regulations, and transparent environmental monitoring systems that align with international best practices.</w:t>
      </w:r>
    </w:p>
    <w:p w14:paraId="58C8E5C2" w14:textId="77777777" w:rsidR="007E0C76" w:rsidRPr="000270C0" w:rsidRDefault="007E0C76" w:rsidP="00001A8E">
      <w:pPr>
        <w:pStyle w:val="ListParagraph"/>
        <w:numPr>
          <w:ilvl w:val="0"/>
          <w:numId w:val="23"/>
        </w:numPr>
        <w:spacing w:line="240" w:lineRule="auto"/>
        <w:jc w:val="both"/>
        <w:rPr>
          <w:rFonts w:ascii="Times New Roman" w:hAnsi="Times New Roman" w:cs="Times New Roman"/>
        </w:rPr>
      </w:pPr>
      <w:r w:rsidRPr="000270C0">
        <w:rPr>
          <w:rFonts w:ascii="Times New Roman" w:hAnsi="Times New Roman" w:cs="Times New Roman"/>
          <w:sz w:val="24"/>
        </w:rPr>
        <w:t>The National Bureau of Statistics, planning authorities, and development agencies should refine the measurement of social sustainability by developing context-specific indicators that better capture workforce quality, human capital development, labour productivity, and community stability relevant to foreign investors.</w:t>
      </w:r>
    </w:p>
    <w:p w14:paraId="2E231F1E" w14:textId="77777777" w:rsidR="009456AF" w:rsidRPr="000270C0" w:rsidRDefault="00001A8E" w:rsidP="00001A8E">
      <w:pPr>
        <w:spacing w:line="240" w:lineRule="auto"/>
        <w:rPr>
          <w:rFonts w:ascii="Times New Roman" w:hAnsi="Times New Roman" w:cs="Times New Roman"/>
          <w:b/>
          <w:bCs/>
          <w:sz w:val="24"/>
          <w:szCs w:val="24"/>
        </w:rPr>
      </w:pPr>
      <w:r w:rsidRPr="000270C0">
        <w:rPr>
          <w:rFonts w:ascii="Times New Roman" w:hAnsi="Times New Roman" w:cs="Times New Roman"/>
          <w:b/>
          <w:bCs/>
          <w:sz w:val="24"/>
          <w:szCs w:val="24"/>
        </w:rPr>
        <w:t>6.0</w:t>
      </w:r>
      <w:r w:rsidRPr="000270C0">
        <w:rPr>
          <w:rFonts w:ascii="Times New Roman" w:hAnsi="Times New Roman" w:cs="Times New Roman"/>
          <w:b/>
          <w:bCs/>
          <w:sz w:val="24"/>
          <w:szCs w:val="24"/>
        </w:rPr>
        <w:tab/>
      </w:r>
      <w:r w:rsidR="009456AF" w:rsidRPr="000270C0">
        <w:rPr>
          <w:rFonts w:ascii="Times New Roman" w:hAnsi="Times New Roman" w:cs="Times New Roman"/>
          <w:b/>
          <w:bCs/>
          <w:sz w:val="24"/>
          <w:szCs w:val="24"/>
        </w:rPr>
        <w:t>REFERENCES</w:t>
      </w:r>
    </w:p>
    <w:p w14:paraId="146D7AFF" w14:textId="77777777"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Ayomitunde, T. A. (2019). Foreign direct investment inflows and regulation in Nigeria: An empirical perspective. </w:t>
      </w:r>
      <w:r w:rsidRPr="000270C0">
        <w:rPr>
          <w:rFonts w:ascii="Times New Roman" w:hAnsi="Times New Roman" w:cs="Times New Roman"/>
          <w:i/>
          <w:iCs/>
          <w:sz w:val="24"/>
          <w:szCs w:val="24"/>
        </w:rPr>
        <w:t>International Journal of New Economics and Social Sciences, 9</w:t>
      </w:r>
      <w:r w:rsidRPr="000270C0">
        <w:rPr>
          <w:rFonts w:ascii="Times New Roman" w:hAnsi="Times New Roman" w:cs="Times New Roman"/>
          <w:sz w:val="24"/>
          <w:szCs w:val="24"/>
        </w:rPr>
        <w:t>(1), 155–166.</w:t>
      </w:r>
    </w:p>
    <w:p w14:paraId="47144BD9" w14:textId="3DE80655"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Bannour, F.</w:t>
      </w:r>
      <w:r w:rsidR="004E117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Abdelkawy, H. (2024). Sovereign ESG and foreign direct investment: Evidence from GCC countries. </w:t>
      </w:r>
      <w:r w:rsidRPr="000270C0">
        <w:rPr>
          <w:rFonts w:ascii="Times New Roman" w:hAnsi="Times New Roman" w:cs="Times New Roman"/>
          <w:i/>
          <w:iCs/>
          <w:sz w:val="24"/>
          <w:szCs w:val="24"/>
        </w:rPr>
        <w:t>Sustainability, 16</w:t>
      </w:r>
      <w:r w:rsidRPr="000270C0">
        <w:rPr>
          <w:rFonts w:ascii="Times New Roman" w:hAnsi="Times New Roman" w:cs="Times New Roman"/>
          <w:sz w:val="24"/>
          <w:szCs w:val="24"/>
        </w:rPr>
        <w:t xml:space="preserve">(21), 9326. </w:t>
      </w:r>
      <w:hyperlink r:id="rId5" w:history="1">
        <w:r w:rsidRPr="000270C0">
          <w:rPr>
            <w:rStyle w:val="Hyperlink"/>
            <w:rFonts w:ascii="Times New Roman" w:hAnsi="Times New Roman" w:cs="Times New Roman"/>
            <w:color w:val="auto"/>
            <w:sz w:val="24"/>
            <w:szCs w:val="24"/>
          </w:rPr>
          <w:t>https://doi.org/10.3390/su16219326</w:t>
        </w:r>
      </w:hyperlink>
    </w:p>
    <w:p w14:paraId="70AE9B0C" w14:textId="26BC7B7A"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Berg, F., Kölbel, J. </w:t>
      </w:r>
      <w:r w:rsidR="004E117A" w:rsidRPr="000270C0">
        <w:rPr>
          <w:rFonts w:ascii="Times New Roman" w:hAnsi="Times New Roman" w:cs="Times New Roman"/>
          <w:sz w:val="24"/>
          <w:szCs w:val="24"/>
        </w:rPr>
        <w:t>&amp;</w:t>
      </w:r>
      <w:r w:rsidRPr="000270C0">
        <w:rPr>
          <w:rFonts w:ascii="Times New Roman" w:hAnsi="Times New Roman" w:cs="Times New Roman"/>
          <w:sz w:val="24"/>
          <w:szCs w:val="24"/>
        </w:rPr>
        <w:t xml:space="preserve"> </w:t>
      </w:r>
      <w:proofErr w:type="spellStart"/>
      <w:r w:rsidRPr="000270C0">
        <w:rPr>
          <w:rFonts w:ascii="Times New Roman" w:hAnsi="Times New Roman" w:cs="Times New Roman"/>
          <w:sz w:val="24"/>
          <w:szCs w:val="24"/>
        </w:rPr>
        <w:t>Rigobon</w:t>
      </w:r>
      <w:proofErr w:type="spellEnd"/>
      <w:r w:rsidRPr="000270C0">
        <w:rPr>
          <w:rFonts w:ascii="Times New Roman" w:hAnsi="Times New Roman" w:cs="Times New Roman"/>
          <w:sz w:val="24"/>
          <w:szCs w:val="24"/>
        </w:rPr>
        <w:t xml:space="preserve">, R. (2022). Aggregate confusion: The divergence of ESG ratings. </w:t>
      </w:r>
      <w:r w:rsidRPr="000270C0">
        <w:rPr>
          <w:rFonts w:ascii="Times New Roman" w:hAnsi="Times New Roman" w:cs="Times New Roman"/>
          <w:i/>
          <w:iCs/>
          <w:sz w:val="24"/>
          <w:szCs w:val="24"/>
        </w:rPr>
        <w:t>Review of Finance, 26</w:t>
      </w:r>
      <w:r w:rsidRPr="000270C0">
        <w:rPr>
          <w:rFonts w:ascii="Times New Roman" w:hAnsi="Times New Roman" w:cs="Times New Roman"/>
          <w:sz w:val="24"/>
          <w:szCs w:val="24"/>
        </w:rPr>
        <w:t xml:space="preserve">(6), 1315–1344. </w:t>
      </w:r>
      <w:hyperlink r:id="rId6" w:history="1">
        <w:r w:rsidRPr="000270C0">
          <w:rPr>
            <w:rStyle w:val="Hyperlink"/>
            <w:rFonts w:ascii="Times New Roman" w:hAnsi="Times New Roman" w:cs="Times New Roman"/>
            <w:color w:val="auto"/>
            <w:sz w:val="24"/>
            <w:szCs w:val="24"/>
          </w:rPr>
          <w:t>https://doi.org/10.1093/rof/rfac033</w:t>
        </w:r>
      </w:hyperlink>
    </w:p>
    <w:p w14:paraId="757F05AE" w14:textId="77777777"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Chan, K. Y. (2025). Development and application of an urban social sustainability index: Case study in Phnom Penh, Cambodia. </w:t>
      </w:r>
      <w:r w:rsidRPr="000270C0">
        <w:rPr>
          <w:rFonts w:ascii="Times New Roman" w:hAnsi="Times New Roman" w:cs="Times New Roman"/>
          <w:i/>
          <w:iCs/>
          <w:sz w:val="24"/>
          <w:szCs w:val="24"/>
        </w:rPr>
        <w:t>Social Sciences, 6</w:t>
      </w:r>
      <w:r w:rsidRPr="000270C0">
        <w:rPr>
          <w:rFonts w:ascii="Times New Roman" w:hAnsi="Times New Roman" w:cs="Times New Roman"/>
          <w:sz w:val="24"/>
          <w:szCs w:val="24"/>
        </w:rPr>
        <w:t xml:space="preserve">(4), 167. </w:t>
      </w:r>
      <w:hyperlink r:id="rId7" w:history="1">
        <w:r w:rsidRPr="000270C0">
          <w:rPr>
            <w:rStyle w:val="Hyperlink"/>
            <w:rFonts w:ascii="Times New Roman" w:hAnsi="Times New Roman" w:cs="Times New Roman"/>
            <w:color w:val="auto"/>
            <w:sz w:val="24"/>
            <w:szCs w:val="24"/>
          </w:rPr>
          <w:t>https://doi.org/10.3390/socsci6040167</w:t>
        </w:r>
      </w:hyperlink>
    </w:p>
    <w:p w14:paraId="2509DAD3" w14:textId="4F499375"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Chipalkatti, N., Le, H</w:t>
      </w:r>
      <w:r w:rsidR="004E117A" w:rsidRPr="000270C0">
        <w:rPr>
          <w:rFonts w:ascii="Times New Roman" w:hAnsi="Times New Roman" w:cs="Times New Roman"/>
          <w:sz w:val="24"/>
          <w:szCs w:val="24"/>
        </w:rPr>
        <w:t>. &amp;</w:t>
      </w:r>
      <w:r w:rsidRPr="000270C0">
        <w:rPr>
          <w:rFonts w:ascii="Times New Roman" w:hAnsi="Times New Roman" w:cs="Times New Roman"/>
          <w:sz w:val="24"/>
          <w:szCs w:val="24"/>
        </w:rPr>
        <w:t xml:space="preserve"> Rishi, M. (2021). Sustainability and Society: Do environmental, social, and governance factors matter for foreign direct investment? </w:t>
      </w:r>
      <w:r w:rsidRPr="000270C0">
        <w:rPr>
          <w:rFonts w:ascii="Times New Roman" w:hAnsi="Times New Roman" w:cs="Times New Roman"/>
          <w:i/>
          <w:iCs/>
          <w:sz w:val="24"/>
          <w:szCs w:val="24"/>
        </w:rPr>
        <w:t>Energies, 14</w:t>
      </w:r>
      <w:r w:rsidRPr="000270C0">
        <w:rPr>
          <w:rFonts w:ascii="Times New Roman" w:hAnsi="Times New Roman" w:cs="Times New Roman"/>
          <w:sz w:val="24"/>
          <w:szCs w:val="24"/>
        </w:rPr>
        <w:t xml:space="preserve">(19), 6039. </w:t>
      </w:r>
      <w:hyperlink r:id="rId8" w:history="1">
        <w:r w:rsidRPr="000270C0">
          <w:rPr>
            <w:rStyle w:val="Hyperlink"/>
            <w:rFonts w:ascii="Times New Roman" w:hAnsi="Times New Roman" w:cs="Times New Roman"/>
            <w:color w:val="auto"/>
            <w:sz w:val="24"/>
            <w:szCs w:val="24"/>
          </w:rPr>
          <w:t>https://doi.org/10.3390/en14196039</w:t>
        </w:r>
      </w:hyperlink>
    </w:p>
    <w:p w14:paraId="061C98D0" w14:textId="6C24A842"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Chow, W. </w:t>
      </w:r>
      <w:r w:rsidR="004E117A" w:rsidRPr="000270C0">
        <w:rPr>
          <w:rFonts w:ascii="Times New Roman" w:hAnsi="Times New Roman" w:cs="Times New Roman"/>
          <w:sz w:val="24"/>
          <w:szCs w:val="24"/>
        </w:rPr>
        <w:t>&amp;</w:t>
      </w:r>
      <w:r w:rsidRPr="000270C0">
        <w:rPr>
          <w:rFonts w:ascii="Times New Roman" w:hAnsi="Times New Roman" w:cs="Times New Roman"/>
          <w:sz w:val="24"/>
          <w:szCs w:val="24"/>
        </w:rPr>
        <w:t xml:space="preserve"> Fung, M. K. (2025). Relative ESG positions among OECD countries in the presence of international competition for FDI inflow: A gravity model perspective. </w:t>
      </w:r>
      <w:r w:rsidRPr="000270C0">
        <w:rPr>
          <w:rFonts w:ascii="Times New Roman" w:hAnsi="Times New Roman" w:cs="Times New Roman"/>
          <w:i/>
          <w:iCs/>
          <w:sz w:val="24"/>
          <w:szCs w:val="24"/>
        </w:rPr>
        <w:t>Research in International Business and Finance, 76</w:t>
      </w:r>
      <w:r w:rsidRPr="000270C0">
        <w:rPr>
          <w:rFonts w:ascii="Times New Roman" w:hAnsi="Times New Roman" w:cs="Times New Roman"/>
          <w:sz w:val="24"/>
          <w:szCs w:val="24"/>
        </w:rPr>
        <w:t xml:space="preserve">, 102851. </w:t>
      </w:r>
      <w:hyperlink r:id="rId9" w:history="1">
        <w:r w:rsidRPr="000270C0">
          <w:rPr>
            <w:rStyle w:val="Hyperlink"/>
            <w:rFonts w:ascii="Times New Roman" w:hAnsi="Times New Roman" w:cs="Times New Roman"/>
            <w:color w:val="auto"/>
            <w:sz w:val="24"/>
            <w:szCs w:val="24"/>
          </w:rPr>
          <w:t>https://doi.org/10.1016/j.ribaf.2025.102851</w:t>
        </w:r>
      </w:hyperlink>
    </w:p>
    <w:p w14:paraId="121F13F8" w14:textId="15ABD80B"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Connelly, B. L., Certo, S. T., Ireland, R. </w:t>
      </w:r>
      <w:r w:rsidR="004E117A" w:rsidRPr="000270C0">
        <w:rPr>
          <w:rFonts w:ascii="Times New Roman" w:hAnsi="Times New Roman" w:cs="Times New Roman"/>
          <w:sz w:val="24"/>
          <w:szCs w:val="24"/>
        </w:rPr>
        <w:t>&amp;</w:t>
      </w:r>
      <w:r w:rsidRPr="000270C0">
        <w:rPr>
          <w:rFonts w:ascii="Times New Roman" w:hAnsi="Times New Roman" w:cs="Times New Roman"/>
          <w:sz w:val="24"/>
          <w:szCs w:val="24"/>
        </w:rPr>
        <w:t xml:space="preserve"> Reutzel, C. R. (2011). Signaling theory: A review and assessment. </w:t>
      </w:r>
      <w:r w:rsidRPr="000270C0">
        <w:rPr>
          <w:rFonts w:ascii="Times New Roman" w:hAnsi="Times New Roman" w:cs="Times New Roman"/>
          <w:i/>
          <w:iCs/>
          <w:sz w:val="24"/>
          <w:szCs w:val="24"/>
        </w:rPr>
        <w:t>Journal of Management, 37</w:t>
      </w:r>
      <w:r w:rsidRPr="000270C0">
        <w:rPr>
          <w:rFonts w:ascii="Times New Roman" w:hAnsi="Times New Roman" w:cs="Times New Roman"/>
          <w:sz w:val="24"/>
          <w:szCs w:val="24"/>
        </w:rPr>
        <w:t xml:space="preserve">(1), 39–67. </w:t>
      </w:r>
      <w:hyperlink r:id="rId10" w:history="1">
        <w:r w:rsidRPr="000270C0">
          <w:rPr>
            <w:rStyle w:val="Hyperlink"/>
            <w:rFonts w:ascii="Times New Roman" w:hAnsi="Times New Roman" w:cs="Times New Roman"/>
            <w:color w:val="auto"/>
            <w:sz w:val="24"/>
            <w:szCs w:val="24"/>
          </w:rPr>
          <w:t>https://doi.org/10.1177/0149206310388419</w:t>
        </w:r>
      </w:hyperlink>
    </w:p>
    <w:p w14:paraId="4D4DD19B" w14:textId="485D6FCD"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Delmas, M. </w:t>
      </w:r>
      <w:r w:rsidR="004E117A" w:rsidRPr="000270C0">
        <w:rPr>
          <w:rFonts w:ascii="Times New Roman" w:hAnsi="Times New Roman" w:cs="Times New Roman"/>
          <w:sz w:val="24"/>
          <w:szCs w:val="24"/>
        </w:rPr>
        <w:t>&amp;</w:t>
      </w:r>
      <w:r w:rsidRPr="000270C0">
        <w:rPr>
          <w:rFonts w:ascii="Times New Roman" w:hAnsi="Times New Roman" w:cs="Times New Roman"/>
          <w:sz w:val="24"/>
          <w:szCs w:val="24"/>
        </w:rPr>
        <w:t xml:space="preserve"> Burbano, V. C. (2011). The drivers of greenwashing. </w:t>
      </w:r>
      <w:r w:rsidRPr="000270C0">
        <w:rPr>
          <w:rFonts w:ascii="Times New Roman" w:hAnsi="Times New Roman" w:cs="Times New Roman"/>
          <w:i/>
          <w:iCs/>
          <w:sz w:val="24"/>
          <w:szCs w:val="24"/>
        </w:rPr>
        <w:t>California Management Review, 54</w:t>
      </w:r>
      <w:r w:rsidRPr="000270C0">
        <w:rPr>
          <w:rFonts w:ascii="Times New Roman" w:hAnsi="Times New Roman" w:cs="Times New Roman"/>
          <w:sz w:val="24"/>
          <w:szCs w:val="24"/>
        </w:rPr>
        <w:t xml:space="preserve">(1), 64–87. </w:t>
      </w:r>
      <w:hyperlink r:id="rId11" w:history="1">
        <w:r w:rsidRPr="000270C0">
          <w:rPr>
            <w:rStyle w:val="Hyperlink"/>
            <w:rFonts w:ascii="Times New Roman" w:hAnsi="Times New Roman" w:cs="Times New Roman"/>
            <w:color w:val="auto"/>
            <w:sz w:val="24"/>
            <w:szCs w:val="24"/>
          </w:rPr>
          <w:t>https://doi.org/10.1525/cmr.2011.54.1.64</w:t>
        </w:r>
      </w:hyperlink>
    </w:p>
    <w:p w14:paraId="3D6F1035" w14:textId="70A1DC15"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Denu, M. K., Bentley, Y.</w:t>
      </w:r>
      <w:r w:rsidR="004E117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Duan, Y. (2023). Social sustainability performance: Developing and validating measures in the context of emerging African economies. </w:t>
      </w:r>
      <w:r w:rsidRPr="000270C0">
        <w:rPr>
          <w:rFonts w:ascii="Times New Roman" w:hAnsi="Times New Roman" w:cs="Times New Roman"/>
          <w:i/>
          <w:iCs/>
          <w:sz w:val="24"/>
          <w:szCs w:val="24"/>
        </w:rPr>
        <w:t>Journal of Cleaner Production, 412</w:t>
      </w:r>
      <w:r w:rsidRPr="000270C0">
        <w:rPr>
          <w:rFonts w:ascii="Times New Roman" w:hAnsi="Times New Roman" w:cs="Times New Roman"/>
          <w:sz w:val="24"/>
          <w:szCs w:val="24"/>
        </w:rPr>
        <w:t xml:space="preserve">, 137391. </w:t>
      </w:r>
      <w:hyperlink r:id="rId12" w:history="1">
        <w:r w:rsidRPr="000270C0">
          <w:rPr>
            <w:rStyle w:val="Hyperlink"/>
            <w:rFonts w:ascii="Times New Roman" w:hAnsi="Times New Roman" w:cs="Times New Roman"/>
            <w:color w:val="auto"/>
            <w:sz w:val="24"/>
            <w:szCs w:val="24"/>
          </w:rPr>
          <w:t>https://doi.org/10.1016/j.jclepro.2023.137391</w:t>
        </w:r>
      </w:hyperlink>
    </w:p>
    <w:p w14:paraId="68CDA67B" w14:textId="18E6981A"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lastRenderedPageBreak/>
        <w:t>Fagbemi, F.</w:t>
      </w:r>
      <w:r w:rsidR="004E117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w:t>
      </w:r>
      <w:proofErr w:type="spellStart"/>
      <w:r w:rsidRPr="000270C0">
        <w:rPr>
          <w:rFonts w:ascii="Times New Roman" w:hAnsi="Times New Roman" w:cs="Times New Roman"/>
          <w:sz w:val="24"/>
          <w:szCs w:val="24"/>
        </w:rPr>
        <w:t>Osinubi</w:t>
      </w:r>
      <w:proofErr w:type="spellEnd"/>
      <w:r w:rsidRPr="000270C0">
        <w:rPr>
          <w:rFonts w:ascii="Times New Roman" w:hAnsi="Times New Roman" w:cs="Times New Roman"/>
          <w:sz w:val="24"/>
          <w:szCs w:val="24"/>
        </w:rPr>
        <w:t xml:space="preserve">, T. (2020). Does foreign direct investment support human development in Nigeria? Evidence from a Toda–Yamamoto causality approach. </w:t>
      </w:r>
      <w:r w:rsidRPr="000270C0">
        <w:rPr>
          <w:rFonts w:ascii="Times New Roman" w:hAnsi="Times New Roman" w:cs="Times New Roman"/>
          <w:i/>
          <w:iCs/>
          <w:sz w:val="24"/>
          <w:szCs w:val="24"/>
        </w:rPr>
        <w:t>Resources, Environment and Sustainability, 2</w:t>
      </w:r>
      <w:r w:rsidRPr="000270C0">
        <w:rPr>
          <w:rFonts w:ascii="Times New Roman" w:hAnsi="Times New Roman" w:cs="Times New Roman"/>
          <w:sz w:val="24"/>
          <w:szCs w:val="24"/>
        </w:rPr>
        <w:t xml:space="preserve">, 100005. </w:t>
      </w:r>
      <w:hyperlink r:id="rId13" w:history="1">
        <w:r w:rsidRPr="000270C0">
          <w:rPr>
            <w:rStyle w:val="Hyperlink"/>
            <w:rFonts w:ascii="Times New Roman" w:hAnsi="Times New Roman" w:cs="Times New Roman"/>
            <w:color w:val="auto"/>
            <w:sz w:val="24"/>
            <w:szCs w:val="24"/>
          </w:rPr>
          <w:t>https://doi.org/10.1016/j.resenv.2020.100005</w:t>
        </w:r>
      </w:hyperlink>
    </w:p>
    <w:p w14:paraId="3478A5BC" w14:textId="3B1DB247"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Fernández-Hernández, R., Mora, O., Ortega, M.</w:t>
      </w:r>
      <w:r w:rsidR="004E117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Pous Cabello, J. (2025). Towards a sustainability index for large-scale mining investments: A case study. </w:t>
      </w:r>
      <w:proofErr w:type="spellStart"/>
      <w:r w:rsidRPr="000270C0">
        <w:rPr>
          <w:rFonts w:ascii="Times New Roman" w:hAnsi="Times New Roman" w:cs="Times New Roman"/>
          <w:i/>
          <w:iCs/>
          <w:sz w:val="24"/>
          <w:szCs w:val="24"/>
        </w:rPr>
        <w:t>Heliyon</w:t>
      </w:r>
      <w:proofErr w:type="spellEnd"/>
      <w:r w:rsidRPr="000270C0">
        <w:rPr>
          <w:rFonts w:ascii="Times New Roman" w:hAnsi="Times New Roman" w:cs="Times New Roman"/>
          <w:i/>
          <w:iCs/>
          <w:sz w:val="24"/>
          <w:szCs w:val="24"/>
        </w:rPr>
        <w:t>, 11</w:t>
      </w:r>
      <w:r w:rsidRPr="000270C0">
        <w:rPr>
          <w:rFonts w:ascii="Times New Roman" w:hAnsi="Times New Roman" w:cs="Times New Roman"/>
          <w:sz w:val="24"/>
          <w:szCs w:val="24"/>
        </w:rPr>
        <w:t xml:space="preserve">(1), e41975. </w:t>
      </w:r>
      <w:hyperlink r:id="rId14" w:history="1">
        <w:r w:rsidRPr="000270C0">
          <w:rPr>
            <w:rStyle w:val="Hyperlink"/>
            <w:rFonts w:ascii="Times New Roman" w:hAnsi="Times New Roman" w:cs="Times New Roman"/>
            <w:color w:val="auto"/>
            <w:sz w:val="24"/>
            <w:szCs w:val="24"/>
          </w:rPr>
          <w:t>https://doi.org/10.1016/j.heliyon.2025.e41975</w:t>
        </w:r>
      </w:hyperlink>
    </w:p>
    <w:p w14:paraId="137AEA1A" w14:textId="42D09B79"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Gibson Brandon, R., Krueger, P.</w:t>
      </w:r>
      <w:r w:rsidR="004E117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Schmidt, P. S. (2021). ESG rating disagreement and stock returns. </w:t>
      </w:r>
      <w:r w:rsidRPr="000270C0">
        <w:rPr>
          <w:rFonts w:ascii="Times New Roman" w:hAnsi="Times New Roman" w:cs="Times New Roman"/>
          <w:i/>
          <w:iCs/>
          <w:sz w:val="24"/>
          <w:szCs w:val="24"/>
        </w:rPr>
        <w:t>Financial Analysts Journal, 77</w:t>
      </w:r>
      <w:r w:rsidRPr="000270C0">
        <w:rPr>
          <w:rFonts w:ascii="Times New Roman" w:hAnsi="Times New Roman" w:cs="Times New Roman"/>
          <w:sz w:val="24"/>
          <w:szCs w:val="24"/>
        </w:rPr>
        <w:t xml:space="preserve">(4), 104–127. </w:t>
      </w:r>
      <w:hyperlink r:id="rId15" w:history="1">
        <w:r w:rsidRPr="000270C0">
          <w:rPr>
            <w:rStyle w:val="Hyperlink"/>
            <w:rFonts w:ascii="Times New Roman" w:hAnsi="Times New Roman" w:cs="Times New Roman"/>
            <w:color w:val="auto"/>
            <w:sz w:val="24"/>
            <w:szCs w:val="24"/>
          </w:rPr>
          <w:t>https://doi.org/10.1080/0015198X.2021.1963186</w:t>
        </w:r>
      </w:hyperlink>
    </w:p>
    <w:p w14:paraId="6D73A1E3" w14:textId="07492F62"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Giwa, B. A., George, E. O., Okodua, H.</w:t>
      </w:r>
      <w:r w:rsidR="004E117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Adediran, O. S. (2020). Empirical analysis of the effects of foreign direct investment inflows on Nigerian real economic growth: Implications for sustainable development goal-17. </w:t>
      </w:r>
      <w:r w:rsidRPr="000270C0">
        <w:rPr>
          <w:rFonts w:ascii="Times New Roman" w:hAnsi="Times New Roman" w:cs="Times New Roman"/>
          <w:i/>
          <w:iCs/>
          <w:sz w:val="24"/>
          <w:szCs w:val="24"/>
        </w:rPr>
        <w:t>Cogent Social Sciences, 6</w:t>
      </w:r>
      <w:r w:rsidRPr="000270C0">
        <w:rPr>
          <w:rFonts w:ascii="Times New Roman" w:hAnsi="Times New Roman" w:cs="Times New Roman"/>
          <w:sz w:val="24"/>
          <w:szCs w:val="24"/>
        </w:rPr>
        <w:t xml:space="preserve">(1), 1727621. </w:t>
      </w:r>
      <w:hyperlink r:id="rId16" w:history="1">
        <w:r w:rsidRPr="000270C0">
          <w:rPr>
            <w:rStyle w:val="Hyperlink"/>
            <w:rFonts w:ascii="Times New Roman" w:hAnsi="Times New Roman" w:cs="Times New Roman"/>
            <w:color w:val="auto"/>
            <w:sz w:val="24"/>
            <w:szCs w:val="24"/>
          </w:rPr>
          <w:t>https://doi.org/10.1080/23311886.2020.1727621</w:t>
        </w:r>
      </w:hyperlink>
    </w:p>
    <w:p w14:paraId="08167562" w14:textId="6F3C9427"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Guan, J., Wang, M.</w:t>
      </w:r>
      <w:r w:rsidR="004E117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Wang, J. (2025). Corporate ESG performance and outward foreign direct investment: Evidence from China. </w:t>
      </w:r>
      <w:r w:rsidRPr="000270C0">
        <w:rPr>
          <w:rFonts w:ascii="Times New Roman" w:hAnsi="Times New Roman" w:cs="Times New Roman"/>
          <w:i/>
          <w:iCs/>
          <w:sz w:val="24"/>
          <w:szCs w:val="24"/>
        </w:rPr>
        <w:t>Emerging Markets Finance and Trade, 61</w:t>
      </w:r>
      <w:r w:rsidRPr="000270C0">
        <w:rPr>
          <w:rFonts w:ascii="Times New Roman" w:hAnsi="Times New Roman" w:cs="Times New Roman"/>
          <w:sz w:val="24"/>
          <w:szCs w:val="24"/>
        </w:rPr>
        <w:t xml:space="preserve">(4), 1–17. </w:t>
      </w:r>
      <w:hyperlink r:id="rId17" w:history="1">
        <w:r w:rsidRPr="000270C0">
          <w:rPr>
            <w:rStyle w:val="Hyperlink"/>
            <w:rFonts w:ascii="Times New Roman" w:hAnsi="Times New Roman" w:cs="Times New Roman"/>
            <w:color w:val="auto"/>
            <w:sz w:val="24"/>
            <w:szCs w:val="24"/>
          </w:rPr>
          <w:t>https://doi.org/10.1080/1540496X.2025.2481177</w:t>
        </w:r>
      </w:hyperlink>
    </w:p>
    <w:p w14:paraId="60A1E413" w14:textId="77777777"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Ikram, M. (2025). Assessing food security and environmental sustainability in North Africa: A composite indicator approach using data envelopment analysis. </w:t>
      </w:r>
      <w:r w:rsidRPr="000270C0">
        <w:rPr>
          <w:rFonts w:ascii="Times New Roman" w:hAnsi="Times New Roman" w:cs="Times New Roman"/>
          <w:i/>
          <w:iCs/>
          <w:sz w:val="24"/>
          <w:szCs w:val="24"/>
        </w:rPr>
        <w:t>Sustainability, 17</w:t>
      </w:r>
      <w:r w:rsidRPr="000270C0">
        <w:rPr>
          <w:rFonts w:ascii="Times New Roman" w:hAnsi="Times New Roman" w:cs="Times New Roman"/>
          <w:sz w:val="24"/>
          <w:szCs w:val="24"/>
        </w:rPr>
        <w:t xml:space="preserve">(13), 6017. </w:t>
      </w:r>
      <w:hyperlink r:id="rId18" w:history="1">
        <w:r w:rsidRPr="000270C0">
          <w:rPr>
            <w:rStyle w:val="Hyperlink"/>
            <w:rFonts w:ascii="Times New Roman" w:hAnsi="Times New Roman" w:cs="Times New Roman"/>
            <w:color w:val="auto"/>
            <w:sz w:val="24"/>
            <w:szCs w:val="24"/>
          </w:rPr>
          <w:t>https://doi.org/10.3390/su17136017</w:t>
        </w:r>
      </w:hyperlink>
    </w:p>
    <w:p w14:paraId="3DB7A4F0" w14:textId="7816D066"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Immurana, M., Iddrisu, A.</w:t>
      </w:r>
      <w:r w:rsidR="004E117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Mohammed, A. (2023). The effect of population health on the inflows of foreign direct investment in Africa. </w:t>
      </w:r>
      <w:r w:rsidRPr="000270C0">
        <w:rPr>
          <w:rFonts w:ascii="Times New Roman" w:hAnsi="Times New Roman" w:cs="Times New Roman"/>
          <w:i/>
          <w:iCs/>
          <w:sz w:val="24"/>
          <w:szCs w:val="24"/>
        </w:rPr>
        <w:t>Research in Globalization, 6</w:t>
      </w:r>
      <w:r w:rsidRPr="000270C0">
        <w:rPr>
          <w:rFonts w:ascii="Times New Roman" w:hAnsi="Times New Roman" w:cs="Times New Roman"/>
          <w:sz w:val="24"/>
          <w:szCs w:val="24"/>
        </w:rPr>
        <w:t xml:space="preserve">, 100114. </w:t>
      </w:r>
      <w:hyperlink r:id="rId19" w:history="1">
        <w:r w:rsidRPr="000270C0">
          <w:rPr>
            <w:rStyle w:val="Hyperlink"/>
            <w:rFonts w:ascii="Times New Roman" w:hAnsi="Times New Roman" w:cs="Times New Roman"/>
            <w:color w:val="auto"/>
            <w:sz w:val="24"/>
            <w:szCs w:val="24"/>
          </w:rPr>
          <w:t>https://doi.org/10.1016/j.resglo.2023.100114</w:t>
        </w:r>
      </w:hyperlink>
    </w:p>
    <w:p w14:paraId="493F6494" w14:textId="20F77C7F"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Jankiewicz, M. </w:t>
      </w:r>
      <w:r w:rsidR="004E117A" w:rsidRPr="000270C0">
        <w:rPr>
          <w:rFonts w:ascii="Times New Roman" w:hAnsi="Times New Roman" w:cs="Times New Roman"/>
          <w:sz w:val="24"/>
          <w:szCs w:val="24"/>
        </w:rPr>
        <w:t>&amp;</w:t>
      </w:r>
      <w:r w:rsidRPr="000270C0">
        <w:rPr>
          <w:rFonts w:ascii="Times New Roman" w:hAnsi="Times New Roman" w:cs="Times New Roman"/>
          <w:sz w:val="24"/>
          <w:szCs w:val="24"/>
        </w:rPr>
        <w:t xml:space="preserve"> Meyer, D. F. (2024). Influence of changes in the economy structure on social sustainability in developing countries. </w:t>
      </w:r>
      <w:r w:rsidRPr="000270C0">
        <w:rPr>
          <w:rFonts w:ascii="Times New Roman" w:hAnsi="Times New Roman" w:cs="Times New Roman"/>
          <w:i/>
          <w:iCs/>
          <w:sz w:val="24"/>
          <w:szCs w:val="24"/>
        </w:rPr>
        <w:t>Sustainable Development, 33</w:t>
      </w:r>
      <w:r w:rsidRPr="000270C0">
        <w:rPr>
          <w:rFonts w:ascii="Times New Roman" w:hAnsi="Times New Roman" w:cs="Times New Roman"/>
          <w:sz w:val="24"/>
          <w:szCs w:val="24"/>
        </w:rPr>
        <w:t xml:space="preserve">(2), 2203–2215. </w:t>
      </w:r>
      <w:hyperlink r:id="rId20" w:history="1">
        <w:r w:rsidRPr="000270C0">
          <w:rPr>
            <w:rStyle w:val="Hyperlink"/>
            <w:rFonts w:ascii="Times New Roman" w:hAnsi="Times New Roman" w:cs="Times New Roman"/>
            <w:color w:val="auto"/>
            <w:sz w:val="24"/>
            <w:szCs w:val="24"/>
          </w:rPr>
          <w:t>https://doi.org/10.1002/sd.3205</w:t>
        </w:r>
      </w:hyperlink>
    </w:p>
    <w:p w14:paraId="20024FFE" w14:textId="77777777"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Jin, M. (2025). Mechanism of attracting foreign direct investment from ESG funds in the new energy vehicle industry—Evidence from Chinese corporations. </w:t>
      </w:r>
      <w:r w:rsidRPr="000270C0">
        <w:rPr>
          <w:rFonts w:ascii="Times New Roman" w:hAnsi="Times New Roman" w:cs="Times New Roman"/>
          <w:i/>
          <w:iCs/>
          <w:sz w:val="24"/>
          <w:szCs w:val="24"/>
        </w:rPr>
        <w:t>SAGE Open, 15</w:t>
      </w:r>
      <w:r w:rsidRPr="000270C0">
        <w:rPr>
          <w:rFonts w:ascii="Times New Roman" w:hAnsi="Times New Roman" w:cs="Times New Roman"/>
          <w:sz w:val="24"/>
          <w:szCs w:val="24"/>
        </w:rPr>
        <w:t xml:space="preserve">(4), 21582440251386207. </w:t>
      </w:r>
      <w:hyperlink r:id="rId21" w:history="1">
        <w:r w:rsidRPr="000270C0">
          <w:rPr>
            <w:rStyle w:val="Hyperlink"/>
            <w:rFonts w:ascii="Times New Roman" w:hAnsi="Times New Roman" w:cs="Times New Roman"/>
            <w:color w:val="auto"/>
            <w:sz w:val="24"/>
            <w:szCs w:val="24"/>
          </w:rPr>
          <w:t>https://doi.org/10.1177/21582440251386207</w:t>
        </w:r>
      </w:hyperlink>
    </w:p>
    <w:p w14:paraId="13C38F07" w14:textId="4883B05F"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Khan, Z., Dong, D., Bibi, S., </w:t>
      </w:r>
      <w:r w:rsidR="004E117A" w:rsidRPr="000270C0">
        <w:rPr>
          <w:rFonts w:ascii="Times New Roman" w:hAnsi="Times New Roman" w:cs="Times New Roman"/>
          <w:sz w:val="24"/>
          <w:szCs w:val="24"/>
        </w:rPr>
        <w:t>&amp;</w:t>
      </w:r>
      <w:r w:rsidRPr="000270C0">
        <w:rPr>
          <w:rFonts w:ascii="Times New Roman" w:hAnsi="Times New Roman" w:cs="Times New Roman"/>
          <w:sz w:val="24"/>
          <w:szCs w:val="24"/>
        </w:rPr>
        <w:t xml:space="preserve"> Khan, N. H. (2023). Institutional quality and foreign direct investment: Global evidence. </w:t>
      </w:r>
      <w:r w:rsidRPr="000270C0">
        <w:rPr>
          <w:rFonts w:ascii="Times New Roman" w:hAnsi="Times New Roman" w:cs="Times New Roman"/>
          <w:i/>
          <w:iCs/>
          <w:sz w:val="24"/>
          <w:szCs w:val="24"/>
        </w:rPr>
        <w:t>Journal of the Knowledge Economy, 15</w:t>
      </w:r>
      <w:r w:rsidRPr="000270C0">
        <w:rPr>
          <w:rFonts w:ascii="Times New Roman" w:hAnsi="Times New Roman" w:cs="Times New Roman"/>
          <w:sz w:val="24"/>
          <w:szCs w:val="24"/>
        </w:rPr>
        <w:t xml:space="preserve">(3), 10547–10591. </w:t>
      </w:r>
      <w:hyperlink r:id="rId22" w:history="1">
        <w:r w:rsidRPr="000270C0">
          <w:rPr>
            <w:rStyle w:val="Hyperlink"/>
            <w:rFonts w:ascii="Times New Roman" w:hAnsi="Times New Roman" w:cs="Times New Roman"/>
            <w:color w:val="auto"/>
            <w:sz w:val="24"/>
            <w:szCs w:val="24"/>
          </w:rPr>
          <w:t>https://doi.org/10.1007/s13132-023-01508-1</w:t>
        </w:r>
      </w:hyperlink>
    </w:p>
    <w:p w14:paraId="5052CB85" w14:textId="77777777"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Lannutti, L. (2024). The role of environmental, social and governance (ESG) regulations in attracting foreign direct investment (FDI). In </w:t>
      </w:r>
      <w:r w:rsidRPr="000270C0">
        <w:rPr>
          <w:rFonts w:ascii="Times New Roman" w:hAnsi="Times New Roman" w:cs="Times New Roman"/>
          <w:i/>
          <w:iCs/>
          <w:sz w:val="24"/>
          <w:szCs w:val="24"/>
        </w:rPr>
        <w:t>IISES International Academic Conference, Vienna Proceedings</w:t>
      </w:r>
      <w:r w:rsidRPr="000270C0">
        <w:rPr>
          <w:rFonts w:ascii="Times New Roman" w:hAnsi="Times New Roman" w:cs="Times New Roman"/>
          <w:sz w:val="24"/>
          <w:szCs w:val="24"/>
        </w:rPr>
        <w:t xml:space="preserve"> (pp. 541–573). </w:t>
      </w:r>
      <w:hyperlink r:id="rId23" w:history="1">
        <w:r w:rsidRPr="000270C0">
          <w:rPr>
            <w:rStyle w:val="Hyperlink"/>
            <w:rFonts w:ascii="Times New Roman" w:hAnsi="Times New Roman" w:cs="Times New Roman"/>
            <w:color w:val="auto"/>
            <w:sz w:val="24"/>
            <w:szCs w:val="24"/>
          </w:rPr>
          <w:t>https://doi.org/10.20472/IAC.2024.062.005</w:t>
        </w:r>
      </w:hyperlink>
    </w:p>
    <w:p w14:paraId="13568E34" w14:textId="071C282A"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Ogunjobi, J. O., Adebayo, T. </w:t>
      </w:r>
      <w:r w:rsidR="004E117A" w:rsidRPr="000270C0">
        <w:rPr>
          <w:rFonts w:ascii="Times New Roman" w:hAnsi="Times New Roman" w:cs="Times New Roman"/>
          <w:sz w:val="24"/>
          <w:szCs w:val="24"/>
        </w:rPr>
        <w:t>&amp;</w:t>
      </w:r>
      <w:r w:rsidRPr="000270C0">
        <w:rPr>
          <w:rFonts w:ascii="Times New Roman" w:hAnsi="Times New Roman" w:cs="Times New Roman"/>
          <w:sz w:val="24"/>
          <w:szCs w:val="24"/>
        </w:rPr>
        <w:t xml:space="preserve"> Hassan, A. S. (2025). CO₂ emissions, green investment and foreign direct investment in Nigeria: Evidence from an ARDL approach. </w:t>
      </w:r>
      <w:r w:rsidRPr="000270C0">
        <w:rPr>
          <w:rFonts w:ascii="Times New Roman" w:hAnsi="Times New Roman" w:cs="Times New Roman"/>
          <w:i/>
          <w:iCs/>
          <w:sz w:val="24"/>
          <w:szCs w:val="24"/>
        </w:rPr>
        <w:t>International Journal of Energy Economics and Policy, 15</w:t>
      </w:r>
      <w:r w:rsidRPr="000270C0">
        <w:rPr>
          <w:rFonts w:ascii="Times New Roman" w:hAnsi="Times New Roman" w:cs="Times New Roman"/>
          <w:sz w:val="24"/>
          <w:szCs w:val="24"/>
        </w:rPr>
        <w:t xml:space="preserve">(1), 513–518. </w:t>
      </w:r>
      <w:hyperlink r:id="rId24" w:history="1">
        <w:r w:rsidRPr="000270C0">
          <w:rPr>
            <w:rStyle w:val="Hyperlink"/>
            <w:rFonts w:ascii="Times New Roman" w:hAnsi="Times New Roman" w:cs="Times New Roman"/>
            <w:color w:val="auto"/>
            <w:sz w:val="24"/>
            <w:szCs w:val="24"/>
          </w:rPr>
          <w:t>https://doi.org/10.32479/ijeep.18118</w:t>
        </w:r>
      </w:hyperlink>
    </w:p>
    <w:p w14:paraId="7A9A0F0B" w14:textId="007EB4C5"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Olaoye, O. O., Afolabi, B., Abiodun, O., Olagunju, O. </w:t>
      </w:r>
      <w:r w:rsidR="004E117A" w:rsidRPr="000270C0">
        <w:rPr>
          <w:rFonts w:ascii="Times New Roman" w:hAnsi="Times New Roman" w:cs="Times New Roman"/>
          <w:sz w:val="24"/>
          <w:szCs w:val="24"/>
        </w:rPr>
        <w:t>&amp;</w:t>
      </w:r>
      <w:r w:rsidRPr="000270C0">
        <w:rPr>
          <w:rFonts w:ascii="Times New Roman" w:hAnsi="Times New Roman" w:cs="Times New Roman"/>
          <w:sz w:val="24"/>
          <w:szCs w:val="24"/>
        </w:rPr>
        <w:t xml:space="preserve"> Adekoya, A. (2020). Energy consumption and foreign direct investment inflows in Nigeria: An empirical perspective. </w:t>
      </w:r>
      <w:r w:rsidRPr="000270C0">
        <w:rPr>
          <w:rFonts w:ascii="Times New Roman" w:hAnsi="Times New Roman" w:cs="Times New Roman"/>
          <w:i/>
          <w:iCs/>
          <w:sz w:val="24"/>
          <w:szCs w:val="24"/>
        </w:rPr>
        <w:t>International Journal of Energy Economics and Policy, 10</w:t>
      </w:r>
      <w:r w:rsidRPr="000270C0">
        <w:rPr>
          <w:rFonts w:ascii="Times New Roman" w:hAnsi="Times New Roman" w:cs="Times New Roman"/>
          <w:sz w:val="24"/>
          <w:szCs w:val="24"/>
        </w:rPr>
        <w:t xml:space="preserve">(2), 491–496. </w:t>
      </w:r>
      <w:hyperlink r:id="rId25" w:history="1">
        <w:r w:rsidRPr="000270C0">
          <w:rPr>
            <w:rStyle w:val="Hyperlink"/>
            <w:rFonts w:ascii="Times New Roman" w:hAnsi="Times New Roman" w:cs="Times New Roman"/>
            <w:color w:val="auto"/>
            <w:sz w:val="24"/>
            <w:szCs w:val="24"/>
          </w:rPr>
          <w:t>https://doi.org/10.32479/ijeep.8489</w:t>
        </w:r>
      </w:hyperlink>
    </w:p>
    <w:p w14:paraId="03401502" w14:textId="5203EB15"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Osuma, G. O., </w:t>
      </w:r>
      <w:proofErr w:type="spellStart"/>
      <w:r w:rsidRPr="000270C0">
        <w:rPr>
          <w:rFonts w:ascii="Times New Roman" w:hAnsi="Times New Roman" w:cs="Times New Roman"/>
          <w:sz w:val="24"/>
          <w:szCs w:val="24"/>
        </w:rPr>
        <w:t>Ikpefan</w:t>
      </w:r>
      <w:proofErr w:type="spellEnd"/>
      <w:r w:rsidRPr="000270C0">
        <w:rPr>
          <w:rFonts w:ascii="Times New Roman" w:hAnsi="Times New Roman" w:cs="Times New Roman"/>
          <w:sz w:val="24"/>
          <w:szCs w:val="24"/>
        </w:rPr>
        <w:t xml:space="preserve">, O. A., </w:t>
      </w:r>
      <w:proofErr w:type="spellStart"/>
      <w:r w:rsidRPr="000270C0">
        <w:rPr>
          <w:rFonts w:ascii="Times New Roman" w:hAnsi="Times New Roman" w:cs="Times New Roman"/>
          <w:sz w:val="24"/>
          <w:szCs w:val="24"/>
        </w:rPr>
        <w:t>Nwuba</w:t>
      </w:r>
      <w:proofErr w:type="spellEnd"/>
      <w:r w:rsidRPr="000270C0">
        <w:rPr>
          <w:rFonts w:ascii="Times New Roman" w:hAnsi="Times New Roman" w:cs="Times New Roman"/>
          <w:sz w:val="24"/>
          <w:szCs w:val="24"/>
        </w:rPr>
        <w:t>, B. N.</w:t>
      </w:r>
      <w:r w:rsidR="004E117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w:t>
      </w:r>
      <w:proofErr w:type="spellStart"/>
      <w:r w:rsidRPr="000270C0">
        <w:rPr>
          <w:rFonts w:ascii="Times New Roman" w:hAnsi="Times New Roman" w:cs="Times New Roman"/>
          <w:sz w:val="24"/>
          <w:szCs w:val="24"/>
        </w:rPr>
        <w:t>Nwuba</w:t>
      </w:r>
      <w:proofErr w:type="spellEnd"/>
      <w:r w:rsidRPr="000270C0">
        <w:rPr>
          <w:rFonts w:ascii="Times New Roman" w:hAnsi="Times New Roman" w:cs="Times New Roman"/>
          <w:sz w:val="24"/>
          <w:szCs w:val="24"/>
        </w:rPr>
        <w:t xml:space="preserve">, B. (2024). Corruption, political risk and foreign direct investment in Nigeria. </w:t>
      </w:r>
      <w:r w:rsidRPr="000270C0">
        <w:rPr>
          <w:rFonts w:ascii="Times New Roman" w:hAnsi="Times New Roman" w:cs="Times New Roman"/>
          <w:i/>
          <w:iCs/>
          <w:sz w:val="24"/>
          <w:szCs w:val="24"/>
        </w:rPr>
        <w:t>Discover Sustainability, 5</w:t>
      </w:r>
      <w:r w:rsidRPr="000270C0">
        <w:rPr>
          <w:rFonts w:ascii="Times New Roman" w:hAnsi="Times New Roman" w:cs="Times New Roman"/>
          <w:sz w:val="24"/>
          <w:szCs w:val="24"/>
        </w:rPr>
        <w:t xml:space="preserve">, 432. </w:t>
      </w:r>
      <w:hyperlink r:id="rId26" w:history="1">
        <w:r w:rsidRPr="000270C0">
          <w:rPr>
            <w:rStyle w:val="Hyperlink"/>
            <w:rFonts w:ascii="Times New Roman" w:hAnsi="Times New Roman" w:cs="Times New Roman"/>
            <w:color w:val="auto"/>
            <w:sz w:val="24"/>
            <w:szCs w:val="24"/>
          </w:rPr>
          <w:t>https://doi.org/10.1007/s43621-024-00676-7</w:t>
        </w:r>
      </w:hyperlink>
    </w:p>
    <w:p w14:paraId="4C729284" w14:textId="1F63CFF2"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Peres, M., Ameer, W.</w:t>
      </w:r>
      <w:r w:rsidR="004E117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Xu, H. (2018). The impact of institutional quality on foreign direct investment inflows: Evidence for developed and developing countries. </w:t>
      </w:r>
      <w:r w:rsidRPr="000270C0">
        <w:rPr>
          <w:rFonts w:ascii="Times New Roman" w:hAnsi="Times New Roman" w:cs="Times New Roman"/>
          <w:i/>
          <w:iCs/>
          <w:sz w:val="24"/>
          <w:szCs w:val="24"/>
        </w:rPr>
        <w:t xml:space="preserve">Economic </w:t>
      </w:r>
      <w:r w:rsidRPr="000270C0">
        <w:rPr>
          <w:rFonts w:ascii="Times New Roman" w:hAnsi="Times New Roman" w:cs="Times New Roman"/>
          <w:i/>
          <w:iCs/>
          <w:sz w:val="24"/>
          <w:szCs w:val="24"/>
        </w:rPr>
        <w:lastRenderedPageBreak/>
        <w:t>Research–</w:t>
      </w:r>
      <w:proofErr w:type="spellStart"/>
      <w:r w:rsidRPr="000270C0">
        <w:rPr>
          <w:rFonts w:ascii="Times New Roman" w:hAnsi="Times New Roman" w:cs="Times New Roman"/>
          <w:i/>
          <w:iCs/>
          <w:sz w:val="24"/>
          <w:szCs w:val="24"/>
        </w:rPr>
        <w:t>Ekonomska</w:t>
      </w:r>
      <w:proofErr w:type="spellEnd"/>
      <w:r w:rsidRPr="000270C0">
        <w:rPr>
          <w:rFonts w:ascii="Times New Roman" w:hAnsi="Times New Roman" w:cs="Times New Roman"/>
          <w:i/>
          <w:iCs/>
          <w:sz w:val="24"/>
          <w:szCs w:val="24"/>
        </w:rPr>
        <w:t xml:space="preserve"> </w:t>
      </w:r>
      <w:proofErr w:type="spellStart"/>
      <w:r w:rsidRPr="000270C0">
        <w:rPr>
          <w:rFonts w:ascii="Times New Roman" w:hAnsi="Times New Roman" w:cs="Times New Roman"/>
          <w:i/>
          <w:iCs/>
          <w:sz w:val="24"/>
          <w:szCs w:val="24"/>
        </w:rPr>
        <w:t>Istraživanja</w:t>
      </w:r>
      <w:proofErr w:type="spellEnd"/>
      <w:r w:rsidRPr="000270C0">
        <w:rPr>
          <w:rFonts w:ascii="Times New Roman" w:hAnsi="Times New Roman" w:cs="Times New Roman"/>
          <w:i/>
          <w:iCs/>
          <w:sz w:val="24"/>
          <w:szCs w:val="24"/>
        </w:rPr>
        <w:t>, 31</w:t>
      </w:r>
      <w:r w:rsidRPr="000270C0">
        <w:rPr>
          <w:rFonts w:ascii="Times New Roman" w:hAnsi="Times New Roman" w:cs="Times New Roman"/>
          <w:sz w:val="24"/>
          <w:szCs w:val="24"/>
        </w:rPr>
        <w:t xml:space="preserve">(1), 626–644. </w:t>
      </w:r>
      <w:hyperlink r:id="rId27" w:history="1">
        <w:r w:rsidRPr="000270C0">
          <w:rPr>
            <w:rStyle w:val="Hyperlink"/>
            <w:rFonts w:ascii="Times New Roman" w:hAnsi="Times New Roman" w:cs="Times New Roman"/>
            <w:color w:val="auto"/>
            <w:sz w:val="24"/>
            <w:szCs w:val="24"/>
          </w:rPr>
          <w:t>https://doi.org/10.1080/1331677X.2018.1438906</w:t>
        </w:r>
      </w:hyperlink>
    </w:p>
    <w:p w14:paraId="626BB2E9" w14:textId="453FC54D"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Saha, S., Sadekin, M. N.</w:t>
      </w:r>
      <w:r w:rsidR="004E117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Saha, S. K. (2022). Effects of institutional quality on foreign direct investment inflow in lower-middle income countries. </w:t>
      </w:r>
      <w:proofErr w:type="spellStart"/>
      <w:r w:rsidRPr="000270C0">
        <w:rPr>
          <w:rFonts w:ascii="Times New Roman" w:hAnsi="Times New Roman" w:cs="Times New Roman"/>
          <w:i/>
          <w:iCs/>
          <w:sz w:val="24"/>
          <w:szCs w:val="24"/>
        </w:rPr>
        <w:t>Heliyon</w:t>
      </w:r>
      <w:proofErr w:type="spellEnd"/>
      <w:r w:rsidRPr="000270C0">
        <w:rPr>
          <w:rFonts w:ascii="Times New Roman" w:hAnsi="Times New Roman" w:cs="Times New Roman"/>
          <w:i/>
          <w:iCs/>
          <w:sz w:val="24"/>
          <w:szCs w:val="24"/>
        </w:rPr>
        <w:t>, 8</w:t>
      </w:r>
      <w:r w:rsidRPr="000270C0">
        <w:rPr>
          <w:rFonts w:ascii="Times New Roman" w:hAnsi="Times New Roman" w:cs="Times New Roman"/>
          <w:sz w:val="24"/>
          <w:szCs w:val="24"/>
        </w:rPr>
        <w:t xml:space="preserve">(10), e10828. </w:t>
      </w:r>
      <w:hyperlink r:id="rId28" w:history="1">
        <w:r w:rsidRPr="000270C0">
          <w:rPr>
            <w:rStyle w:val="Hyperlink"/>
            <w:rFonts w:ascii="Times New Roman" w:hAnsi="Times New Roman" w:cs="Times New Roman"/>
            <w:color w:val="auto"/>
            <w:sz w:val="24"/>
            <w:szCs w:val="24"/>
          </w:rPr>
          <w:t>https://doi.org/10.1016/j.heliyon.2022.e10828</w:t>
        </w:r>
      </w:hyperlink>
    </w:p>
    <w:p w14:paraId="58BB8722" w14:textId="39DB4E60"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Sabir, S., Rafique, A.</w:t>
      </w:r>
      <w:r w:rsidR="004E117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Abbas, K. (2019). Institutions and FDI: Evidence from developed and developing countries. </w:t>
      </w:r>
      <w:r w:rsidRPr="000270C0">
        <w:rPr>
          <w:rFonts w:ascii="Times New Roman" w:hAnsi="Times New Roman" w:cs="Times New Roman"/>
          <w:i/>
          <w:iCs/>
          <w:sz w:val="24"/>
          <w:szCs w:val="24"/>
        </w:rPr>
        <w:t>Financial Innovation, 5</w:t>
      </w:r>
      <w:r w:rsidRPr="000270C0">
        <w:rPr>
          <w:rFonts w:ascii="Times New Roman" w:hAnsi="Times New Roman" w:cs="Times New Roman"/>
          <w:sz w:val="24"/>
          <w:szCs w:val="24"/>
        </w:rPr>
        <w:t xml:space="preserve">(1), 1–20. </w:t>
      </w:r>
      <w:hyperlink r:id="rId29" w:history="1">
        <w:r w:rsidRPr="000270C0">
          <w:rPr>
            <w:rStyle w:val="Hyperlink"/>
            <w:rFonts w:ascii="Times New Roman" w:hAnsi="Times New Roman" w:cs="Times New Roman"/>
            <w:color w:val="auto"/>
            <w:sz w:val="24"/>
            <w:szCs w:val="24"/>
          </w:rPr>
          <w:t>https://doi.org/10.1186/s40854-019-0123-7</w:t>
        </w:r>
      </w:hyperlink>
    </w:p>
    <w:p w14:paraId="2D3C122C" w14:textId="07B127DA"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Sahin, Ö., Bax, K., Czado, C.</w:t>
      </w:r>
      <w:r w:rsidR="00025E1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w:t>
      </w:r>
      <w:proofErr w:type="spellStart"/>
      <w:r w:rsidRPr="000270C0">
        <w:rPr>
          <w:rFonts w:ascii="Times New Roman" w:hAnsi="Times New Roman" w:cs="Times New Roman"/>
          <w:sz w:val="24"/>
          <w:szCs w:val="24"/>
        </w:rPr>
        <w:t>Paterlini</w:t>
      </w:r>
      <w:proofErr w:type="spellEnd"/>
      <w:r w:rsidRPr="000270C0">
        <w:rPr>
          <w:rFonts w:ascii="Times New Roman" w:hAnsi="Times New Roman" w:cs="Times New Roman"/>
          <w:sz w:val="24"/>
          <w:szCs w:val="24"/>
        </w:rPr>
        <w:t xml:space="preserve">, S. (2022). Environmental, Social, Governance scores and the Missing pillar—Why does missing information matter? </w:t>
      </w:r>
      <w:r w:rsidRPr="000270C0">
        <w:rPr>
          <w:rFonts w:ascii="Times New Roman" w:hAnsi="Times New Roman" w:cs="Times New Roman"/>
          <w:i/>
          <w:iCs/>
          <w:sz w:val="24"/>
          <w:szCs w:val="24"/>
        </w:rPr>
        <w:t>Corporate Social Responsibility and Environmental Management, 29</w:t>
      </w:r>
      <w:r w:rsidRPr="000270C0">
        <w:rPr>
          <w:rFonts w:ascii="Times New Roman" w:hAnsi="Times New Roman" w:cs="Times New Roman"/>
          <w:sz w:val="24"/>
          <w:szCs w:val="24"/>
        </w:rPr>
        <w:t xml:space="preserve">(5), 1782–1798. </w:t>
      </w:r>
      <w:hyperlink r:id="rId30" w:history="1">
        <w:r w:rsidRPr="000270C0">
          <w:rPr>
            <w:rStyle w:val="Hyperlink"/>
            <w:rFonts w:ascii="Times New Roman" w:hAnsi="Times New Roman" w:cs="Times New Roman"/>
            <w:color w:val="auto"/>
            <w:sz w:val="24"/>
            <w:szCs w:val="24"/>
          </w:rPr>
          <w:t>https://doi.org/10.1002/csr.2326</w:t>
        </w:r>
      </w:hyperlink>
    </w:p>
    <w:p w14:paraId="7491EE42" w14:textId="2B41C208"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Sakanko, M. A., </w:t>
      </w:r>
      <w:proofErr w:type="spellStart"/>
      <w:r w:rsidRPr="000270C0">
        <w:rPr>
          <w:rFonts w:ascii="Times New Roman" w:hAnsi="Times New Roman" w:cs="Times New Roman"/>
          <w:sz w:val="24"/>
          <w:szCs w:val="24"/>
        </w:rPr>
        <w:t>Obilikwu</w:t>
      </w:r>
      <w:proofErr w:type="spellEnd"/>
      <w:r w:rsidRPr="000270C0">
        <w:rPr>
          <w:rFonts w:ascii="Times New Roman" w:hAnsi="Times New Roman" w:cs="Times New Roman"/>
          <w:sz w:val="24"/>
          <w:szCs w:val="24"/>
        </w:rPr>
        <w:t>, J.</w:t>
      </w:r>
      <w:r w:rsidR="00025E1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David, M. A. (2020). The effect of aggregate institutional quality on foreign direct investment in Nigeria: Evidence from a nonlinear ARDL approach. </w:t>
      </w:r>
      <w:r w:rsidRPr="000270C0">
        <w:rPr>
          <w:rFonts w:ascii="Times New Roman" w:hAnsi="Times New Roman" w:cs="Times New Roman"/>
          <w:i/>
          <w:iCs/>
          <w:sz w:val="24"/>
          <w:szCs w:val="24"/>
        </w:rPr>
        <w:t>Economics and Law, 2</w:t>
      </w:r>
      <w:r w:rsidRPr="000270C0">
        <w:rPr>
          <w:rFonts w:ascii="Times New Roman" w:hAnsi="Times New Roman" w:cs="Times New Roman"/>
          <w:sz w:val="24"/>
          <w:szCs w:val="24"/>
        </w:rPr>
        <w:t xml:space="preserve">(2), 1–16. </w:t>
      </w:r>
      <w:hyperlink r:id="rId31" w:history="1">
        <w:r w:rsidRPr="000270C0">
          <w:rPr>
            <w:rStyle w:val="Hyperlink"/>
            <w:rFonts w:ascii="Times New Roman" w:hAnsi="Times New Roman" w:cs="Times New Roman"/>
            <w:color w:val="auto"/>
            <w:sz w:val="24"/>
            <w:szCs w:val="24"/>
          </w:rPr>
          <w:t>https://doi.org/10.37708/el.swu.v2i2.1</w:t>
        </w:r>
      </w:hyperlink>
    </w:p>
    <w:p w14:paraId="1D6E56BC" w14:textId="60F209FF"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Senadheera, S. S., </w:t>
      </w:r>
      <w:proofErr w:type="spellStart"/>
      <w:r w:rsidRPr="000270C0">
        <w:rPr>
          <w:rFonts w:ascii="Times New Roman" w:hAnsi="Times New Roman" w:cs="Times New Roman"/>
          <w:sz w:val="24"/>
          <w:szCs w:val="24"/>
        </w:rPr>
        <w:t>Withana</w:t>
      </w:r>
      <w:proofErr w:type="spellEnd"/>
      <w:r w:rsidRPr="000270C0">
        <w:rPr>
          <w:rFonts w:ascii="Times New Roman" w:hAnsi="Times New Roman" w:cs="Times New Roman"/>
          <w:sz w:val="24"/>
          <w:szCs w:val="24"/>
        </w:rPr>
        <w:t>, P. A., Dissanayake, P. D., Sarkar, B., Chopra, S. S., Rhee, J. H.</w:t>
      </w:r>
      <w:r w:rsidR="00025E1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Ok, Y. S. (2021). Scoring environment pillar in environmental, social, and governance (ESG) assessment. </w:t>
      </w:r>
      <w:r w:rsidRPr="000270C0">
        <w:rPr>
          <w:rFonts w:ascii="Times New Roman" w:hAnsi="Times New Roman" w:cs="Times New Roman"/>
          <w:i/>
          <w:iCs/>
          <w:sz w:val="24"/>
          <w:szCs w:val="24"/>
        </w:rPr>
        <w:t>Sustainable Environment, 7</w:t>
      </w:r>
      <w:r w:rsidRPr="000270C0">
        <w:rPr>
          <w:rFonts w:ascii="Times New Roman" w:hAnsi="Times New Roman" w:cs="Times New Roman"/>
          <w:sz w:val="24"/>
          <w:szCs w:val="24"/>
        </w:rPr>
        <w:t>(1), 1–7.</w:t>
      </w:r>
    </w:p>
    <w:p w14:paraId="2D022E68" w14:textId="77777777"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Spence, M. (1973). Job market signaling. </w:t>
      </w:r>
      <w:r w:rsidRPr="000270C0">
        <w:rPr>
          <w:rFonts w:ascii="Times New Roman" w:hAnsi="Times New Roman" w:cs="Times New Roman"/>
          <w:i/>
          <w:iCs/>
          <w:sz w:val="24"/>
          <w:szCs w:val="24"/>
        </w:rPr>
        <w:t>The Quarterly Journal of Economics, 87</w:t>
      </w:r>
      <w:r w:rsidRPr="000270C0">
        <w:rPr>
          <w:rFonts w:ascii="Times New Roman" w:hAnsi="Times New Roman" w:cs="Times New Roman"/>
          <w:sz w:val="24"/>
          <w:szCs w:val="24"/>
        </w:rPr>
        <w:t xml:space="preserve">(3), 355–374. </w:t>
      </w:r>
      <w:hyperlink r:id="rId32" w:history="1">
        <w:r w:rsidRPr="000270C0">
          <w:rPr>
            <w:rStyle w:val="Hyperlink"/>
            <w:rFonts w:ascii="Times New Roman" w:hAnsi="Times New Roman" w:cs="Times New Roman"/>
            <w:color w:val="auto"/>
            <w:sz w:val="24"/>
            <w:szCs w:val="24"/>
          </w:rPr>
          <w:t>https://doi.org/10.2307/1882010</w:t>
        </w:r>
      </w:hyperlink>
    </w:p>
    <w:p w14:paraId="47BB29E4" w14:textId="0696E259"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Stevens, S. M., Joy, M. K., Abrahamse, W., </w:t>
      </w:r>
      <w:proofErr w:type="spellStart"/>
      <w:r w:rsidRPr="000270C0">
        <w:rPr>
          <w:rFonts w:ascii="Times New Roman" w:hAnsi="Times New Roman" w:cs="Times New Roman"/>
          <w:sz w:val="24"/>
          <w:szCs w:val="24"/>
        </w:rPr>
        <w:t>Milfont</w:t>
      </w:r>
      <w:proofErr w:type="spellEnd"/>
      <w:r w:rsidRPr="000270C0">
        <w:rPr>
          <w:rFonts w:ascii="Times New Roman" w:hAnsi="Times New Roman" w:cs="Times New Roman"/>
          <w:sz w:val="24"/>
          <w:szCs w:val="24"/>
        </w:rPr>
        <w:t>, T.</w:t>
      </w:r>
      <w:r w:rsidR="00025E1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Petherick, L. M. (2023). Composite environmental indices—A case of rickety rankings. </w:t>
      </w:r>
      <w:proofErr w:type="spellStart"/>
      <w:r w:rsidRPr="000270C0">
        <w:rPr>
          <w:rFonts w:ascii="Times New Roman" w:hAnsi="Times New Roman" w:cs="Times New Roman"/>
          <w:i/>
          <w:iCs/>
          <w:sz w:val="24"/>
          <w:szCs w:val="24"/>
        </w:rPr>
        <w:t>PeerJ</w:t>
      </w:r>
      <w:proofErr w:type="spellEnd"/>
      <w:r w:rsidRPr="000270C0">
        <w:rPr>
          <w:rFonts w:ascii="Times New Roman" w:hAnsi="Times New Roman" w:cs="Times New Roman"/>
          <w:i/>
          <w:iCs/>
          <w:sz w:val="24"/>
          <w:szCs w:val="24"/>
        </w:rPr>
        <w:t>, 11</w:t>
      </w:r>
      <w:r w:rsidRPr="000270C0">
        <w:rPr>
          <w:rFonts w:ascii="Times New Roman" w:hAnsi="Times New Roman" w:cs="Times New Roman"/>
          <w:sz w:val="24"/>
          <w:szCs w:val="24"/>
        </w:rPr>
        <w:t xml:space="preserve">, e16325. </w:t>
      </w:r>
      <w:hyperlink r:id="rId33" w:history="1">
        <w:r w:rsidRPr="000270C0">
          <w:rPr>
            <w:rStyle w:val="Hyperlink"/>
            <w:rFonts w:ascii="Times New Roman" w:hAnsi="Times New Roman" w:cs="Times New Roman"/>
            <w:color w:val="auto"/>
            <w:sz w:val="24"/>
            <w:szCs w:val="24"/>
          </w:rPr>
          <w:t>https://doi.org/10.7717/peerj.16325</w:t>
        </w:r>
      </w:hyperlink>
    </w:p>
    <w:p w14:paraId="7242EF0F" w14:textId="0F4C9E01"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Tehrani, M., Rathgeber, A., Dougherty, E., Fulton, L.</w:t>
      </w:r>
      <w:r w:rsidR="00025E1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Fournier, J. (2024). Dow Jones sustainability indices and ESG scores: Do they tell the same story? </w:t>
      </w:r>
      <w:r w:rsidRPr="000270C0">
        <w:rPr>
          <w:rFonts w:ascii="Times New Roman" w:hAnsi="Times New Roman" w:cs="Times New Roman"/>
          <w:i/>
          <w:iCs/>
          <w:sz w:val="24"/>
          <w:szCs w:val="24"/>
        </w:rPr>
        <w:t>Sustainability, 16</w:t>
      </w:r>
      <w:r w:rsidRPr="000270C0">
        <w:rPr>
          <w:rFonts w:ascii="Times New Roman" w:hAnsi="Times New Roman" w:cs="Times New Roman"/>
          <w:sz w:val="24"/>
          <w:szCs w:val="24"/>
        </w:rPr>
        <w:t xml:space="preserve">(14), 6110. </w:t>
      </w:r>
      <w:hyperlink r:id="rId34" w:history="1">
        <w:r w:rsidRPr="000270C0">
          <w:rPr>
            <w:rStyle w:val="Hyperlink"/>
            <w:rFonts w:ascii="Times New Roman" w:hAnsi="Times New Roman" w:cs="Times New Roman"/>
            <w:color w:val="auto"/>
            <w:sz w:val="24"/>
            <w:szCs w:val="24"/>
          </w:rPr>
          <w:t>https://doi.org/10.3390/su16146110</w:t>
        </w:r>
      </w:hyperlink>
    </w:p>
    <w:p w14:paraId="0CDA0D7C" w14:textId="7A8FD0BB"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Usubiaga-Liaño, A.</w:t>
      </w:r>
      <w:r w:rsidR="00025E1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Ekins, P. (2021). Monitoring environmental sustainability in the European Union: The role of the Environmental Sustainability Gap. </w:t>
      </w:r>
      <w:r w:rsidRPr="000270C0">
        <w:rPr>
          <w:rFonts w:ascii="Times New Roman" w:hAnsi="Times New Roman" w:cs="Times New Roman"/>
          <w:i/>
          <w:iCs/>
          <w:sz w:val="24"/>
          <w:szCs w:val="24"/>
        </w:rPr>
        <w:t>Ecological Indicators, 132</w:t>
      </w:r>
      <w:r w:rsidRPr="000270C0">
        <w:rPr>
          <w:rFonts w:ascii="Times New Roman" w:hAnsi="Times New Roman" w:cs="Times New Roman"/>
          <w:sz w:val="24"/>
          <w:szCs w:val="24"/>
        </w:rPr>
        <w:t>, 108281.</w:t>
      </w:r>
    </w:p>
    <w:p w14:paraId="24440B6A" w14:textId="77777777"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 xml:space="preserve">Yuan, L., and Ji, P. (2025). Motives of Chinese foreign direct investment in Africa: With regulation effects of institutional quality. </w:t>
      </w:r>
      <w:r w:rsidRPr="000270C0">
        <w:rPr>
          <w:rFonts w:ascii="Times New Roman" w:hAnsi="Times New Roman" w:cs="Times New Roman"/>
          <w:i/>
          <w:iCs/>
          <w:sz w:val="24"/>
          <w:szCs w:val="24"/>
        </w:rPr>
        <w:t>PLOS ONE, 20</w:t>
      </w:r>
      <w:r w:rsidRPr="000270C0">
        <w:rPr>
          <w:rFonts w:ascii="Times New Roman" w:hAnsi="Times New Roman" w:cs="Times New Roman"/>
          <w:sz w:val="24"/>
          <w:szCs w:val="24"/>
        </w:rPr>
        <w:t>(6), e0326970.</w:t>
      </w:r>
    </w:p>
    <w:p w14:paraId="6176B247" w14:textId="264F9BB3" w:rsidR="009456AF" w:rsidRPr="000270C0" w:rsidRDefault="009456AF" w:rsidP="009456AF">
      <w:pPr>
        <w:spacing w:after="0" w:line="240" w:lineRule="auto"/>
        <w:ind w:left="900" w:hanging="900"/>
        <w:jc w:val="both"/>
        <w:rPr>
          <w:rFonts w:ascii="Times New Roman" w:hAnsi="Times New Roman" w:cs="Times New Roman"/>
          <w:sz w:val="24"/>
          <w:szCs w:val="24"/>
        </w:rPr>
      </w:pPr>
      <w:r w:rsidRPr="000270C0">
        <w:rPr>
          <w:rFonts w:ascii="Times New Roman" w:hAnsi="Times New Roman" w:cs="Times New Roman"/>
          <w:sz w:val="24"/>
          <w:szCs w:val="24"/>
        </w:rPr>
        <w:t>Zangina, S.</w:t>
      </w:r>
      <w:r w:rsidR="00025E1A" w:rsidRPr="000270C0">
        <w:rPr>
          <w:rFonts w:ascii="Times New Roman" w:hAnsi="Times New Roman" w:cs="Times New Roman"/>
          <w:sz w:val="24"/>
          <w:szCs w:val="24"/>
        </w:rPr>
        <w:t xml:space="preserve"> &amp;</w:t>
      </w:r>
      <w:r w:rsidRPr="000270C0">
        <w:rPr>
          <w:rFonts w:ascii="Times New Roman" w:hAnsi="Times New Roman" w:cs="Times New Roman"/>
          <w:sz w:val="24"/>
          <w:szCs w:val="24"/>
        </w:rPr>
        <w:t xml:space="preserve"> Hassan, S. (2020). Corruption and FDI inflow to Nigeria: A nonlinear ARDL approach. </w:t>
      </w:r>
      <w:r w:rsidRPr="000270C0">
        <w:rPr>
          <w:rFonts w:ascii="Times New Roman" w:hAnsi="Times New Roman" w:cs="Times New Roman"/>
          <w:i/>
          <w:iCs/>
          <w:sz w:val="24"/>
          <w:szCs w:val="24"/>
        </w:rPr>
        <w:t>Journal of Financial Crime, 27</w:t>
      </w:r>
      <w:r w:rsidRPr="000270C0">
        <w:rPr>
          <w:rFonts w:ascii="Times New Roman" w:hAnsi="Times New Roman" w:cs="Times New Roman"/>
          <w:sz w:val="24"/>
          <w:szCs w:val="24"/>
        </w:rPr>
        <w:t>(2), 635–650.</w:t>
      </w:r>
    </w:p>
    <w:p w14:paraId="6F954702" w14:textId="77777777" w:rsidR="009456AF" w:rsidRPr="000270C0" w:rsidRDefault="009456AF" w:rsidP="00577F68">
      <w:pPr>
        <w:spacing w:after="0" w:line="240" w:lineRule="auto"/>
        <w:rPr>
          <w:rFonts w:ascii="Times New Roman" w:hAnsi="Times New Roman" w:cs="Times New Roman"/>
          <w:sz w:val="24"/>
          <w:szCs w:val="24"/>
        </w:rPr>
      </w:pPr>
    </w:p>
    <w:p w14:paraId="35E09BBD" w14:textId="77777777" w:rsidR="002A21A2" w:rsidRPr="000270C0" w:rsidRDefault="002A21A2">
      <w:pPr>
        <w:rPr>
          <w:rFonts w:ascii="Times New Roman" w:hAnsi="Times New Roman" w:cs="Times New Roman"/>
        </w:rPr>
      </w:pPr>
    </w:p>
    <w:sectPr w:rsidR="002A21A2" w:rsidRPr="00027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A0E575E"/>
    <w:lvl w:ilvl="0" w:tplc="53C669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86393"/>
    <w:multiLevelType w:val="multilevel"/>
    <w:tmpl w:val="91B2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A35E3"/>
    <w:multiLevelType w:val="multilevel"/>
    <w:tmpl w:val="1AEE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22C0B"/>
    <w:multiLevelType w:val="hybridMultilevel"/>
    <w:tmpl w:val="3A94C9C0"/>
    <w:lvl w:ilvl="0" w:tplc="C84CB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A7E6C"/>
    <w:multiLevelType w:val="hybridMultilevel"/>
    <w:tmpl w:val="B9884EC0"/>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EB77CD"/>
    <w:multiLevelType w:val="multilevel"/>
    <w:tmpl w:val="7D14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A10F4"/>
    <w:multiLevelType w:val="multilevel"/>
    <w:tmpl w:val="80025E1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B40BD"/>
    <w:multiLevelType w:val="hybridMultilevel"/>
    <w:tmpl w:val="B36E26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D08A1"/>
    <w:multiLevelType w:val="multilevel"/>
    <w:tmpl w:val="8D8A6AA0"/>
    <w:lvl w:ilvl="0">
      <w:start w:val="1"/>
      <w:numFmt w:val="low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A76FE8"/>
    <w:multiLevelType w:val="hybridMultilevel"/>
    <w:tmpl w:val="DF30C05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2F24D3"/>
    <w:multiLevelType w:val="hybridMultilevel"/>
    <w:tmpl w:val="E7BEE4EE"/>
    <w:lvl w:ilvl="0" w:tplc="5BC6292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C413EC7"/>
    <w:multiLevelType w:val="multilevel"/>
    <w:tmpl w:val="43AE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B40F2"/>
    <w:multiLevelType w:val="multilevel"/>
    <w:tmpl w:val="87D810CA"/>
    <w:lvl w:ilvl="0">
      <w:start w:val="1"/>
      <w:numFmt w:val="decimal"/>
      <w:lvlText w:val="%1"/>
      <w:lvlJc w:val="left"/>
      <w:pPr>
        <w:ind w:left="360" w:hanging="360"/>
      </w:pPr>
      <w:rPr>
        <w:b/>
      </w:rPr>
    </w:lvl>
    <w:lvl w:ilvl="1">
      <w:start w:val="5"/>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50BE59A2"/>
    <w:multiLevelType w:val="hybridMultilevel"/>
    <w:tmpl w:val="AD867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46C26"/>
    <w:multiLevelType w:val="hybridMultilevel"/>
    <w:tmpl w:val="74D478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304C10"/>
    <w:multiLevelType w:val="hybridMultilevel"/>
    <w:tmpl w:val="7D54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D51FD"/>
    <w:multiLevelType w:val="multilevel"/>
    <w:tmpl w:val="402A21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380C54"/>
    <w:multiLevelType w:val="multilevel"/>
    <w:tmpl w:val="44AC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680093"/>
    <w:multiLevelType w:val="hybridMultilevel"/>
    <w:tmpl w:val="0130C6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05A65"/>
    <w:multiLevelType w:val="multilevel"/>
    <w:tmpl w:val="5AC6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029EB"/>
    <w:multiLevelType w:val="hybridMultilevel"/>
    <w:tmpl w:val="9EF24C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D21BF"/>
    <w:multiLevelType w:val="hybridMultilevel"/>
    <w:tmpl w:val="C542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434849">
    <w:abstractNumId w:val="13"/>
  </w:num>
  <w:num w:numId="2" w16cid:durableId="1249849496">
    <w:abstractNumId w:val="3"/>
  </w:num>
  <w:num w:numId="3" w16cid:durableId="577592819">
    <w:abstractNumId w:val="14"/>
  </w:num>
  <w:num w:numId="4" w16cid:durableId="1222863917">
    <w:abstractNumId w:val="4"/>
  </w:num>
  <w:num w:numId="5" w16cid:durableId="1683779733">
    <w:abstractNumId w:val="18"/>
  </w:num>
  <w:num w:numId="6" w16cid:durableId="1491169995">
    <w:abstractNumId w:val="8"/>
  </w:num>
  <w:num w:numId="7" w16cid:durableId="870338532">
    <w:abstractNumId w:val="21"/>
  </w:num>
  <w:num w:numId="8" w16cid:durableId="994188231">
    <w:abstractNumId w:val="15"/>
  </w:num>
  <w:num w:numId="9" w16cid:durableId="642197938">
    <w:abstractNumId w:val="17"/>
  </w:num>
  <w:num w:numId="10" w16cid:durableId="677536991">
    <w:abstractNumId w:val="11"/>
  </w:num>
  <w:num w:numId="11" w16cid:durableId="1546524284">
    <w:abstractNumId w:val="5"/>
  </w:num>
  <w:num w:numId="12" w16cid:durableId="814757726">
    <w:abstractNumId w:val="2"/>
  </w:num>
  <w:num w:numId="13" w16cid:durableId="1823962543">
    <w:abstractNumId w:val="19"/>
  </w:num>
  <w:num w:numId="14" w16cid:durableId="116341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3815181">
    <w:abstractNumId w:val="16"/>
  </w:num>
  <w:num w:numId="16" w16cid:durableId="427432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0834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9745319">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0565986">
    <w:abstractNumId w:val="0"/>
  </w:num>
  <w:num w:numId="20" w16cid:durableId="573660987">
    <w:abstractNumId w:val="1"/>
  </w:num>
  <w:num w:numId="21" w16cid:durableId="1445659877">
    <w:abstractNumId w:val="7"/>
  </w:num>
  <w:num w:numId="22" w16cid:durableId="272636632">
    <w:abstractNumId w:val="6"/>
  </w:num>
  <w:num w:numId="23" w16cid:durableId="17228279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AF"/>
    <w:rsid w:val="00001A8E"/>
    <w:rsid w:val="00002A4E"/>
    <w:rsid w:val="00025E1A"/>
    <w:rsid w:val="000270C0"/>
    <w:rsid w:val="000677F5"/>
    <w:rsid w:val="000A6151"/>
    <w:rsid w:val="000D288B"/>
    <w:rsid w:val="00132603"/>
    <w:rsid w:val="001466B4"/>
    <w:rsid w:val="0015595E"/>
    <w:rsid w:val="00193A8F"/>
    <w:rsid w:val="001A4171"/>
    <w:rsid w:val="001F2837"/>
    <w:rsid w:val="00201D3A"/>
    <w:rsid w:val="00216C9C"/>
    <w:rsid w:val="00233701"/>
    <w:rsid w:val="00266E06"/>
    <w:rsid w:val="00293B53"/>
    <w:rsid w:val="0029713D"/>
    <w:rsid w:val="002A21A2"/>
    <w:rsid w:val="002A39F9"/>
    <w:rsid w:val="002B678A"/>
    <w:rsid w:val="00326579"/>
    <w:rsid w:val="003612EA"/>
    <w:rsid w:val="00363073"/>
    <w:rsid w:val="00363380"/>
    <w:rsid w:val="003D5097"/>
    <w:rsid w:val="00426183"/>
    <w:rsid w:val="0045270A"/>
    <w:rsid w:val="004916C1"/>
    <w:rsid w:val="004E117A"/>
    <w:rsid w:val="004F00EB"/>
    <w:rsid w:val="004F160A"/>
    <w:rsid w:val="00513378"/>
    <w:rsid w:val="0053197D"/>
    <w:rsid w:val="00547D5F"/>
    <w:rsid w:val="00550297"/>
    <w:rsid w:val="0055107D"/>
    <w:rsid w:val="00572458"/>
    <w:rsid w:val="00577F68"/>
    <w:rsid w:val="005A1D33"/>
    <w:rsid w:val="005C2459"/>
    <w:rsid w:val="005C5F0A"/>
    <w:rsid w:val="005F0790"/>
    <w:rsid w:val="005F350F"/>
    <w:rsid w:val="005F571C"/>
    <w:rsid w:val="00605057"/>
    <w:rsid w:val="00610E93"/>
    <w:rsid w:val="00611FC3"/>
    <w:rsid w:val="00624F73"/>
    <w:rsid w:val="0064791B"/>
    <w:rsid w:val="00696F86"/>
    <w:rsid w:val="006E1C3D"/>
    <w:rsid w:val="006E7233"/>
    <w:rsid w:val="006F6C7C"/>
    <w:rsid w:val="006F6EA7"/>
    <w:rsid w:val="00702639"/>
    <w:rsid w:val="0074188E"/>
    <w:rsid w:val="00785BD5"/>
    <w:rsid w:val="00793F06"/>
    <w:rsid w:val="007A6545"/>
    <w:rsid w:val="007B120F"/>
    <w:rsid w:val="007E0C76"/>
    <w:rsid w:val="00855F6D"/>
    <w:rsid w:val="00861B0E"/>
    <w:rsid w:val="008659FD"/>
    <w:rsid w:val="00873347"/>
    <w:rsid w:val="008D3BE8"/>
    <w:rsid w:val="008F3E19"/>
    <w:rsid w:val="009128C7"/>
    <w:rsid w:val="0091292B"/>
    <w:rsid w:val="00935F7B"/>
    <w:rsid w:val="009368D0"/>
    <w:rsid w:val="009456AF"/>
    <w:rsid w:val="009C4C4F"/>
    <w:rsid w:val="009E7090"/>
    <w:rsid w:val="00A20CEE"/>
    <w:rsid w:val="00A40A7B"/>
    <w:rsid w:val="00A43B21"/>
    <w:rsid w:val="00AB2640"/>
    <w:rsid w:val="00AD627F"/>
    <w:rsid w:val="00B474F3"/>
    <w:rsid w:val="00B719F9"/>
    <w:rsid w:val="00BF0441"/>
    <w:rsid w:val="00BF2C1C"/>
    <w:rsid w:val="00C02290"/>
    <w:rsid w:val="00C23B78"/>
    <w:rsid w:val="00C329A7"/>
    <w:rsid w:val="00C55E63"/>
    <w:rsid w:val="00C85E46"/>
    <w:rsid w:val="00CC178E"/>
    <w:rsid w:val="00CD466C"/>
    <w:rsid w:val="00CE0A37"/>
    <w:rsid w:val="00D00057"/>
    <w:rsid w:val="00D07AE3"/>
    <w:rsid w:val="00D2779A"/>
    <w:rsid w:val="00D30FB6"/>
    <w:rsid w:val="00D47CE3"/>
    <w:rsid w:val="00DC50B0"/>
    <w:rsid w:val="00DF2906"/>
    <w:rsid w:val="00E42256"/>
    <w:rsid w:val="00E50256"/>
    <w:rsid w:val="00E505FF"/>
    <w:rsid w:val="00E93BB6"/>
    <w:rsid w:val="00EA5A9D"/>
    <w:rsid w:val="00EC1FCA"/>
    <w:rsid w:val="00F01477"/>
    <w:rsid w:val="00F11F5A"/>
    <w:rsid w:val="00F7044B"/>
    <w:rsid w:val="00FB1135"/>
    <w:rsid w:val="00FD21B7"/>
    <w:rsid w:val="00FE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F88D"/>
  <w15:chartTrackingRefBased/>
  <w15:docId w15:val="{AF7AF88E-9EF5-469D-9196-2D7AAA86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639"/>
    <w:pPr>
      <w:spacing w:line="259" w:lineRule="auto"/>
    </w:pPr>
    <w:rPr>
      <w:kern w:val="0"/>
      <w:sz w:val="22"/>
      <w:szCs w:val="22"/>
      <w14:ligatures w14:val="none"/>
    </w:rPr>
  </w:style>
  <w:style w:type="paragraph" w:styleId="Heading1">
    <w:name w:val="heading 1"/>
    <w:basedOn w:val="Normal"/>
    <w:next w:val="Normal"/>
    <w:link w:val="Heading1Char"/>
    <w:uiPriority w:val="9"/>
    <w:qFormat/>
    <w:rsid w:val="009456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56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56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56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56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5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6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56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56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56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56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5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6AF"/>
    <w:rPr>
      <w:rFonts w:eastAsiaTheme="majorEastAsia" w:cstheme="majorBidi"/>
      <w:color w:val="272727" w:themeColor="text1" w:themeTint="D8"/>
    </w:rPr>
  </w:style>
  <w:style w:type="paragraph" w:styleId="Title">
    <w:name w:val="Title"/>
    <w:basedOn w:val="Normal"/>
    <w:next w:val="Normal"/>
    <w:link w:val="TitleChar"/>
    <w:uiPriority w:val="10"/>
    <w:qFormat/>
    <w:rsid w:val="00945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6AF"/>
    <w:pPr>
      <w:spacing w:before="160"/>
      <w:jc w:val="center"/>
    </w:pPr>
    <w:rPr>
      <w:i/>
      <w:iCs/>
      <w:color w:val="404040" w:themeColor="text1" w:themeTint="BF"/>
    </w:rPr>
  </w:style>
  <w:style w:type="character" w:customStyle="1" w:styleId="QuoteChar">
    <w:name w:val="Quote Char"/>
    <w:basedOn w:val="DefaultParagraphFont"/>
    <w:link w:val="Quote"/>
    <w:uiPriority w:val="29"/>
    <w:rsid w:val="009456AF"/>
    <w:rPr>
      <w:i/>
      <w:iCs/>
      <w:color w:val="404040" w:themeColor="text1" w:themeTint="BF"/>
    </w:rPr>
  </w:style>
  <w:style w:type="paragraph" w:styleId="ListParagraph">
    <w:name w:val="List Paragraph"/>
    <w:basedOn w:val="Normal"/>
    <w:link w:val="ListParagraphChar"/>
    <w:uiPriority w:val="34"/>
    <w:qFormat/>
    <w:rsid w:val="009456AF"/>
    <w:pPr>
      <w:ind w:left="720"/>
      <w:contextualSpacing/>
    </w:pPr>
  </w:style>
  <w:style w:type="character" w:styleId="IntenseEmphasis">
    <w:name w:val="Intense Emphasis"/>
    <w:basedOn w:val="DefaultParagraphFont"/>
    <w:uiPriority w:val="21"/>
    <w:qFormat/>
    <w:rsid w:val="009456AF"/>
    <w:rPr>
      <w:i/>
      <w:iCs/>
      <w:color w:val="2F5496" w:themeColor="accent1" w:themeShade="BF"/>
    </w:rPr>
  </w:style>
  <w:style w:type="paragraph" w:styleId="IntenseQuote">
    <w:name w:val="Intense Quote"/>
    <w:basedOn w:val="Normal"/>
    <w:next w:val="Normal"/>
    <w:link w:val="IntenseQuoteChar"/>
    <w:uiPriority w:val="30"/>
    <w:qFormat/>
    <w:rsid w:val="00945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56AF"/>
    <w:rPr>
      <w:i/>
      <w:iCs/>
      <w:color w:val="2F5496" w:themeColor="accent1" w:themeShade="BF"/>
    </w:rPr>
  </w:style>
  <w:style w:type="character" w:styleId="IntenseReference">
    <w:name w:val="Intense Reference"/>
    <w:basedOn w:val="DefaultParagraphFont"/>
    <w:uiPriority w:val="32"/>
    <w:qFormat/>
    <w:rsid w:val="009456AF"/>
    <w:rPr>
      <w:b/>
      <w:bCs/>
      <w:smallCaps/>
      <w:color w:val="2F5496" w:themeColor="accent1" w:themeShade="BF"/>
      <w:spacing w:val="5"/>
    </w:rPr>
  </w:style>
  <w:style w:type="character" w:styleId="Hyperlink">
    <w:name w:val="Hyperlink"/>
    <w:basedOn w:val="DefaultParagraphFont"/>
    <w:uiPriority w:val="99"/>
    <w:rsid w:val="009456AF"/>
    <w:rPr>
      <w:color w:val="0000FF"/>
      <w:u w:val="single"/>
    </w:rPr>
  </w:style>
  <w:style w:type="table" w:styleId="TableGrid">
    <w:name w:val="Table Grid"/>
    <w:basedOn w:val="TableNormal"/>
    <w:uiPriority w:val="39"/>
    <w:qFormat/>
    <w:rsid w:val="009456AF"/>
    <w:pPr>
      <w:spacing w:after="0" w:line="240" w:lineRule="auto"/>
    </w:pPr>
    <w:rPr>
      <w:rFonts w:ascii="Calibri" w:eastAsia="Calibri" w:hAnsi="Calibri" w:cs="Arial"/>
      <w:kern w:val="0"/>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456AF"/>
    <w:pPr>
      <w:spacing w:after="0" w:line="240" w:lineRule="auto"/>
    </w:pPr>
    <w:rPr>
      <w:rFonts w:ascii="Calibri" w:eastAsia="Calibri" w:hAnsi="Calibri" w:cs="Arial"/>
      <w:kern w:val="0"/>
      <w:sz w:val="22"/>
      <w:szCs w:val="22"/>
      <w:lang w:val="en-GB"/>
      <w14:ligatures w14:val="none"/>
    </w:rPr>
  </w:style>
  <w:style w:type="paragraph" w:styleId="NormalWeb">
    <w:name w:val="Normal (Web)"/>
    <w:basedOn w:val="Normal"/>
    <w:uiPriority w:val="99"/>
    <w:semiHidden/>
    <w:unhideWhenUsed/>
    <w:rsid w:val="009456AF"/>
    <w:rPr>
      <w:rFonts w:ascii="Times New Roman" w:hAnsi="Times New Roman" w:cs="Times New Roman"/>
      <w:sz w:val="24"/>
      <w:szCs w:val="24"/>
    </w:rPr>
  </w:style>
  <w:style w:type="paragraph" w:customStyle="1" w:styleId="Default">
    <w:name w:val="Default"/>
    <w:rsid w:val="009456AF"/>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ListParagraphChar">
    <w:name w:val="List Paragraph Char"/>
    <w:link w:val="ListParagraph"/>
    <w:uiPriority w:val="34"/>
    <w:locked/>
    <w:rsid w:val="009456AF"/>
  </w:style>
  <w:style w:type="character" w:styleId="Strong">
    <w:name w:val="Strong"/>
    <w:basedOn w:val="DefaultParagraphFont"/>
    <w:uiPriority w:val="22"/>
    <w:qFormat/>
    <w:rsid w:val="009456AF"/>
    <w:rPr>
      <w:b/>
      <w:bCs/>
    </w:rPr>
  </w:style>
  <w:style w:type="character" w:customStyle="1" w:styleId="NoSpacingChar">
    <w:name w:val="No Spacing Char"/>
    <w:link w:val="NoSpacing"/>
    <w:uiPriority w:val="1"/>
    <w:locked/>
    <w:rsid w:val="009456AF"/>
    <w:rPr>
      <w:rFonts w:ascii="Calibri" w:eastAsia="Calibri" w:hAnsi="Calibri" w:cs="Arial"/>
      <w:kern w:val="0"/>
      <w:sz w:val="22"/>
      <w:szCs w:val="22"/>
      <w:lang w:val="en-GB"/>
      <w14:ligatures w14:val="none"/>
    </w:rPr>
  </w:style>
  <w:style w:type="character" w:styleId="UnresolvedMention">
    <w:name w:val="Unresolved Mention"/>
    <w:basedOn w:val="DefaultParagraphFont"/>
    <w:uiPriority w:val="99"/>
    <w:semiHidden/>
    <w:unhideWhenUsed/>
    <w:rsid w:val="009456AF"/>
    <w:rPr>
      <w:color w:val="605E5C"/>
      <w:shd w:val="clear" w:color="auto" w:fill="E1DFDD"/>
    </w:rPr>
  </w:style>
  <w:style w:type="table" w:styleId="PlainTable2">
    <w:name w:val="Plain Table 2"/>
    <w:basedOn w:val="TableNormal"/>
    <w:uiPriority w:val="42"/>
    <w:rsid w:val="009456AF"/>
    <w:pPr>
      <w:spacing w:after="0" w:line="240" w:lineRule="auto"/>
    </w:pPr>
    <w:rPr>
      <w:rFonts w:eastAsiaTheme="minorEastAsia"/>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45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6AF"/>
    <w:rPr>
      <w:kern w:val="0"/>
      <w:sz w:val="22"/>
      <w:szCs w:val="22"/>
      <w14:ligatures w14:val="none"/>
    </w:rPr>
  </w:style>
  <w:style w:type="paragraph" w:styleId="Footer">
    <w:name w:val="footer"/>
    <w:basedOn w:val="Normal"/>
    <w:link w:val="FooterChar"/>
    <w:uiPriority w:val="99"/>
    <w:unhideWhenUsed/>
    <w:rsid w:val="00945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6AF"/>
    <w:rPr>
      <w:kern w:val="0"/>
      <w:sz w:val="22"/>
      <w:szCs w:val="22"/>
      <w14:ligatures w14:val="none"/>
    </w:rPr>
  </w:style>
  <w:style w:type="paragraph" w:customStyle="1" w:styleId="font-claude-response-body">
    <w:name w:val="font-claude-response-body"/>
    <w:basedOn w:val="Normal"/>
    <w:rsid w:val="009456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5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resenv.2020.100005" TargetMode="External"/><Relationship Id="rId18" Type="http://schemas.openxmlformats.org/officeDocument/2006/relationships/hyperlink" Target="https://doi.org/10.3390/su17136017" TargetMode="External"/><Relationship Id="rId26" Type="http://schemas.openxmlformats.org/officeDocument/2006/relationships/hyperlink" Target="https://doi.org/10.1007/s43621-024-00676-7" TargetMode="External"/><Relationship Id="rId3" Type="http://schemas.openxmlformats.org/officeDocument/2006/relationships/settings" Target="settings.xml"/><Relationship Id="rId21" Type="http://schemas.openxmlformats.org/officeDocument/2006/relationships/hyperlink" Target="https://doi.org/10.1177/21582440251386207" TargetMode="External"/><Relationship Id="rId34" Type="http://schemas.openxmlformats.org/officeDocument/2006/relationships/hyperlink" Target="https://doi.org/10.3390/su16146110" TargetMode="External"/><Relationship Id="rId7" Type="http://schemas.openxmlformats.org/officeDocument/2006/relationships/hyperlink" Target="https://doi.org/10.3390/socsci6040167" TargetMode="External"/><Relationship Id="rId12" Type="http://schemas.openxmlformats.org/officeDocument/2006/relationships/hyperlink" Target="https://doi.org/10.1016/j.jclepro.2023.137391" TargetMode="External"/><Relationship Id="rId17" Type="http://schemas.openxmlformats.org/officeDocument/2006/relationships/hyperlink" Target="https://doi.org/10.1080/1540496X.2025.2481177" TargetMode="External"/><Relationship Id="rId25" Type="http://schemas.openxmlformats.org/officeDocument/2006/relationships/hyperlink" Target="https://doi.org/10.32479/ijeep.8489" TargetMode="External"/><Relationship Id="rId33" Type="http://schemas.openxmlformats.org/officeDocument/2006/relationships/hyperlink" Target="https://doi.org/10.7717/peerj.16325" TargetMode="External"/><Relationship Id="rId2" Type="http://schemas.openxmlformats.org/officeDocument/2006/relationships/styles" Target="styles.xml"/><Relationship Id="rId16" Type="http://schemas.openxmlformats.org/officeDocument/2006/relationships/hyperlink" Target="https://doi.org/10.1080/23311886.2020.1727621" TargetMode="External"/><Relationship Id="rId20" Type="http://schemas.openxmlformats.org/officeDocument/2006/relationships/hyperlink" Target="https://doi.org/10.1002/sd.3205" TargetMode="External"/><Relationship Id="rId29" Type="http://schemas.openxmlformats.org/officeDocument/2006/relationships/hyperlink" Target="https://doi.org/10.1186/s40854-019-0123-7" TargetMode="External"/><Relationship Id="rId1" Type="http://schemas.openxmlformats.org/officeDocument/2006/relationships/numbering" Target="numbering.xml"/><Relationship Id="rId6" Type="http://schemas.openxmlformats.org/officeDocument/2006/relationships/hyperlink" Target="https://doi.org/10.1093/rof/rfac033" TargetMode="External"/><Relationship Id="rId11" Type="http://schemas.openxmlformats.org/officeDocument/2006/relationships/hyperlink" Target="https://doi.org/10.1525/cmr.2011.54.1.64" TargetMode="External"/><Relationship Id="rId24" Type="http://schemas.openxmlformats.org/officeDocument/2006/relationships/hyperlink" Target="https://doi.org/10.32479/ijeep.18118" TargetMode="External"/><Relationship Id="rId32" Type="http://schemas.openxmlformats.org/officeDocument/2006/relationships/hyperlink" Target="https://doi.org/10.2307/1882010" TargetMode="External"/><Relationship Id="rId5" Type="http://schemas.openxmlformats.org/officeDocument/2006/relationships/hyperlink" Target="https://doi.org/10.3390/su16219326" TargetMode="External"/><Relationship Id="rId15" Type="http://schemas.openxmlformats.org/officeDocument/2006/relationships/hyperlink" Target="https://doi.org/10.1080/0015198X.2021.1963186" TargetMode="External"/><Relationship Id="rId23" Type="http://schemas.openxmlformats.org/officeDocument/2006/relationships/hyperlink" Target="https://doi.org/10.20472/IAC.2024.062.005" TargetMode="External"/><Relationship Id="rId28" Type="http://schemas.openxmlformats.org/officeDocument/2006/relationships/hyperlink" Target="https://doi.org/10.1016/j.heliyon.2022.e10828" TargetMode="External"/><Relationship Id="rId36" Type="http://schemas.openxmlformats.org/officeDocument/2006/relationships/theme" Target="theme/theme1.xml"/><Relationship Id="rId10" Type="http://schemas.openxmlformats.org/officeDocument/2006/relationships/hyperlink" Target="https://doi.org/10.1177/0149206310388419" TargetMode="External"/><Relationship Id="rId19" Type="http://schemas.openxmlformats.org/officeDocument/2006/relationships/hyperlink" Target="https://doi.org/10.1016/j.resglo.2023.100114" TargetMode="External"/><Relationship Id="rId31" Type="http://schemas.openxmlformats.org/officeDocument/2006/relationships/hyperlink" Target="https://doi.org/10.37708/el.swu.v2i2.1" TargetMode="External"/><Relationship Id="rId4" Type="http://schemas.openxmlformats.org/officeDocument/2006/relationships/webSettings" Target="webSettings.xml"/><Relationship Id="rId9" Type="http://schemas.openxmlformats.org/officeDocument/2006/relationships/hyperlink" Target="https://doi.org/10.1016/j.ribaf.2025.102851" TargetMode="External"/><Relationship Id="rId14" Type="http://schemas.openxmlformats.org/officeDocument/2006/relationships/hyperlink" Target="https://doi.org/10.1016/j.heliyon.2025.e41975" TargetMode="External"/><Relationship Id="rId22" Type="http://schemas.openxmlformats.org/officeDocument/2006/relationships/hyperlink" Target="https://doi.org/10.1007/s13132-023-01508-1" TargetMode="External"/><Relationship Id="rId27" Type="http://schemas.openxmlformats.org/officeDocument/2006/relationships/hyperlink" Target="https://doi.org/10.1080/1331677X.2018.1438906" TargetMode="External"/><Relationship Id="rId30" Type="http://schemas.openxmlformats.org/officeDocument/2006/relationships/hyperlink" Target="https://doi.org/10.1002/csr.2326" TargetMode="External"/><Relationship Id="rId35" Type="http://schemas.openxmlformats.org/officeDocument/2006/relationships/fontTable" Target="fontTable.xml"/><Relationship Id="rId8" Type="http://schemas.openxmlformats.org/officeDocument/2006/relationships/hyperlink" Target="https://doi.org/10.3390/en14196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9419</Words>
  <Characters>53689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DATASOFT</cp:lastModifiedBy>
  <cp:revision>4</cp:revision>
  <dcterms:created xsi:type="dcterms:W3CDTF">2026-06-25T18:23:00Z</dcterms:created>
  <dcterms:modified xsi:type="dcterms:W3CDTF">2026-06-26T08:23:00Z</dcterms:modified>
</cp:coreProperties>
</file>