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6C8" w:rsidRDefault="00D86849" w:rsidP="00D058F6">
      <w:pPr>
        <w:spacing w:after="240" w:line="240" w:lineRule="auto"/>
        <w:ind w:left="17"/>
        <w:jc w:val="center"/>
      </w:pPr>
      <w:bookmarkStart w:id="0" w:name="OLE_LINK16"/>
      <w:r>
        <w:rPr>
          <w:b/>
          <w:sz w:val="36"/>
        </w:rPr>
        <w:t xml:space="preserve">Impact </w:t>
      </w:r>
      <w:r w:rsidR="00D058F6">
        <w:rPr>
          <w:b/>
          <w:sz w:val="36"/>
        </w:rPr>
        <w:t xml:space="preserve">of </w:t>
      </w:r>
      <w:r>
        <w:rPr>
          <w:b/>
          <w:sz w:val="36"/>
        </w:rPr>
        <w:t xml:space="preserve">Assessment Formats </w:t>
      </w:r>
      <w:r w:rsidR="00D058F6">
        <w:rPr>
          <w:b/>
          <w:sz w:val="36"/>
        </w:rPr>
        <w:t xml:space="preserve">on </w:t>
      </w:r>
      <w:r>
        <w:rPr>
          <w:b/>
          <w:sz w:val="36"/>
        </w:rPr>
        <w:t xml:space="preserve">Student Performance </w:t>
      </w:r>
      <w:r w:rsidR="00D058F6">
        <w:rPr>
          <w:b/>
          <w:sz w:val="36"/>
        </w:rPr>
        <w:t xml:space="preserve">in </w:t>
      </w:r>
      <w:r>
        <w:rPr>
          <w:b/>
          <w:sz w:val="36"/>
        </w:rPr>
        <w:t>Oral Histology</w:t>
      </w:r>
      <w:r w:rsidR="00D058F6">
        <w:rPr>
          <w:b/>
          <w:sz w:val="36"/>
        </w:rPr>
        <w:t xml:space="preserve">: </w:t>
      </w:r>
      <w:r>
        <w:rPr>
          <w:b/>
          <w:sz w:val="36"/>
        </w:rPr>
        <w:t xml:space="preserve">A Comparative Analysis </w:t>
      </w:r>
      <w:r w:rsidR="00D058F6">
        <w:rPr>
          <w:b/>
          <w:sz w:val="36"/>
        </w:rPr>
        <w:t xml:space="preserve">of </w:t>
      </w:r>
      <w:r>
        <w:rPr>
          <w:b/>
          <w:sz w:val="36"/>
        </w:rPr>
        <w:t>Multiple</w:t>
      </w:r>
      <w:r w:rsidR="00D058F6">
        <w:rPr>
          <w:b/>
          <w:sz w:val="36"/>
        </w:rPr>
        <w:t>-</w:t>
      </w:r>
      <w:r>
        <w:rPr>
          <w:b/>
          <w:sz w:val="36"/>
        </w:rPr>
        <w:t xml:space="preserve">Choice </w:t>
      </w:r>
      <w:r w:rsidR="00D058F6">
        <w:rPr>
          <w:b/>
          <w:sz w:val="36"/>
        </w:rPr>
        <w:t>(</w:t>
      </w:r>
      <w:r>
        <w:rPr>
          <w:b/>
          <w:sz w:val="36"/>
        </w:rPr>
        <w:t>MCQ</w:t>
      </w:r>
      <w:r w:rsidR="00D058F6">
        <w:rPr>
          <w:b/>
          <w:sz w:val="36"/>
        </w:rPr>
        <w:t xml:space="preserve">) and </w:t>
      </w:r>
      <w:r>
        <w:rPr>
          <w:b/>
          <w:sz w:val="36"/>
        </w:rPr>
        <w:t>Very Short</w:t>
      </w:r>
      <w:r w:rsidR="00D058F6">
        <w:rPr>
          <w:b/>
          <w:sz w:val="36"/>
        </w:rPr>
        <w:t>-</w:t>
      </w:r>
      <w:r>
        <w:rPr>
          <w:b/>
          <w:sz w:val="36"/>
        </w:rPr>
        <w:t xml:space="preserve">Answer </w:t>
      </w:r>
      <w:r w:rsidR="00D058F6">
        <w:rPr>
          <w:b/>
          <w:sz w:val="36"/>
        </w:rPr>
        <w:t>(</w:t>
      </w:r>
      <w:r>
        <w:rPr>
          <w:b/>
          <w:sz w:val="36"/>
        </w:rPr>
        <w:t>VSA</w:t>
      </w:r>
      <w:r w:rsidR="00D058F6">
        <w:rPr>
          <w:b/>
          <w:sz w:val="36"/>
        </w:rPr>
        <w:t xml:space="preserve">) </w:t>
      </w:r>
      <w:r>
        <w:rPr>
          <w:b/>
          <w:sz w:val="36"/>
        </w:rPr>
        <w:t>Questions</w:t>
      </w:r>
    </w:p>
    <w:p w:rsidR="003276C8" w:rsidRPr="00D058F6" w:rsidRDefault="00D86849" w:rsidP="00D058F6">
      <w:pPr>
        <w:spacing w:after="240" w:line="240" w:lineRule="auto"/>
        <w:ind w:left="17"/>
        <w:jc w:val="center"/>
        <w:rPr>
          <w:b/>
        </w:rPr>
      </w:pPr>
      <w:bookmarkStart w:id="1" w:name="OLE_LINK17"/>
      <w:bookmarkEnd w:id="0"/>
      <w:r w:rsidRPr="00D058F6">
        <w:rPr>
          <w:b/>
        </w:rPr>
        <w:t xml:space="preserve">Zavala Walther David </w:t>
      </w:r>
      <w:bookmarkEnd w:id="1"/>
      <w:r w:rsidRPr="00D058F6">
        <w:rPr>
          <w:b/>
          <w:vertAlign w:val="superscript"/>
        </w:rPr>
        <w:t>1</w:t>
      </w:r>
      <w:r w:rsidRPr="00D058F6">
        <w:rPr>
          <w:b/>
        </w:rPr>
        <w:t xml:space="preserve">, Garas </w:t>
      </w:r>
      <w:r w:rsidRPr="00D058F6">
        <w:rPr>
          <w:b/>
        </w:rPr>
        <w:t>Silvina</w:t>
      </w:r>
      <w:r w:rsidRPr="00D058F6">
        <w:rPr>
          <w:b/>
          <w:vertAlign w:val="superscript"/>
        </w:rPr>
        <w:t>2</w:t>
      </w:r>
      <w:r w:rsidRPr="00D058F6">
        <w:rPr>
          <w:b/>
        </w:rPr>
        <w:t>, Bermejo Adriana</w:t>
      </w:r>
      <w:r w:rsidRPr="00D058F6">
        <w:rPr>
          <w:b/>
          <w:vertAlign w:val="superscript"/>
        </w:rPr>
        <w:t>3</w:t>
      </w:r>
      <w:r w:rsidRPr="00D058F6">
        <w:rPr>
          <w:b/>
        </w:rPr>
        <w:t>, Matilla Victor</w:t>
      </w:r>
      <w:r w:rsidRPr="00D058F6">
        <w:rPr>
          <w:b/>
          <w:vertAlign w:val="superscript"/>
        </w:rPr>
        <w:t>4</w:t>
      </w:r>
      <w:r w:rsidRPr="00D058F6">
        <w:rPr>
          <w:b/>
        </w:rPr>
        <w:t xml:space="preserve">, </w:t>
      </w:r>
      <w:proofErr w:type="gramStart"/>
      <w:r w:rsidRPr="00D058F6">
        <w:rPr>
          <w:b/>
        </w:rPr>
        <w:t>Stoehr  Rodrigo</w:t>
      </w:r>
      <w:r w:rsidRPr="00D058F6">
        <w:rPr>
          <w:b/>
          <w:vertAlign w:val="superscript"/>
        </w:rPr>
        <w:t>5</w:t>
      </w:r>
      <w:proofErr w:type="gramEnd"/>
      <w:r w:rsidRPr="00D058F6">
        <w:rPr>
          <w:b/>
        </w:rPr>
        <w:t xml:space="preserve">, Bricco Oscar </w:t>
      </w:r>
      <w:r w:rsidRPr="00D058F6">
        <w:rPr>
          <w:b/>
          <w:vertAlign w:val="superscript"/>
        </w:rPr>
        <w:t>6</w:t>
      </w:r>
      <w:r w:rsidRPr="00D058F6">
        <w:rPr>
          <w:b/>
        </w:rPr>
        <w:t>.</w:t>
      </w:r>
    </w:p>
    <w:p w:rsidR="00B206EF" w:rsidRDefault="00D86849" w:rsidP="00D058F6">
      <w:pPr>
        <w:spacing w:after="240" w:line="240" w:lineRule="auto"/>
        <w:ind w:left="17"/>
        <w:jc w:val="center"/>
        <w:rPr>
          <w:b/>
        </w:rPr>
      </w:pPr>
      <w:r w:rsidRPr="00D058F6">
        <w:rPr>
          <w:b/>
          <w:vertAlign w:val="superscript"/>
        </w:rPr>
        <w:t>1</w:t>
      </w:r>
      <w:r w:rsidRPr="00D058F6">
        <w:rPr>
          <w:b/>
        </w:rPr>
        <w:t xml:space="preserve">Profesor Titular de la </w:t>
      </w:r>
      <w:proofErr w:type="spellStart"/>
      <w:r w:rsidRPr="00D058F6">
        <w:rPr>
          <w:b/>
        </w:rPr>
        <w:t>Cátedra</w:t>
      </w:r>
      <w:proofErr w:type="spellEnd"/>
      <w:r w:rsidRPr="00D058F6">
        <w:rPr>
          <w:b/>
        </w:rPr>
        <w:t xml:space="preserve"> de </w:t>
      </w:r>
      <w:proofErr w:type="spellStart"/>
      <w:r w:rsidRPr="00D058F6">
        <w:rPr>
          <w:b/>
        </w:rPr>
        <w:t>Histología</w:t>
      </w:r>
      <w:proofErr w:type="spellEnd"/>
      <w:r w:rsidRPr="00D058F6">
        <w:rPr>
          <w:b/>
        </w:rPr>
        <w:t xml:space="preserve">. </w:t>
      </w:r>
      <w:proofErr w:type="spellStart"/>
      <w:proofErr w:type="gramStart"/>
      <w:r w:rsidRPr="00D058F6">
        <w:rPr>
          <w:b/>
        </w:rPr>
        <w:t>Facultad</w:t>
      </w:r>
      <w:proofErr w:type="spellEnd"/>
      <w:r w:rsidRPr="00D058F6">
        <w:rPr>
          <w:b/>
        </w:rPr>
        <w:t xml:space="preserve"> de </w:t>
      </w:r>
      <w:proofErr w:type="spellStart"/>
      <w:r w:rsidRPr="00D058F6">
        <w:rPr>
          <w:b/>
        </w:rPr>
        <w:t>Odontología</w:t>
      </w:r>
      <w:proofErr w:type="spellEnd"/>
      <w:r w:rsidRPr="00D058F6">
        <w:rPr>
          <w:b/>
        </w:rPr>
        <w:t xml:space="preserve"> de la UNCUYO, Argentina.</w:t>
      </w:r>
      <w:proofErr w:type="gramEnd"/>
      <w:r w:rsidRPr="00D058F6">
        <w:rPr>
          <w:b/>
        </w:rPr>
        <w:t xml:space="preserve"> </w:t>
      </w:r>
    </w:p>
    <w:p w:rsidR="003276C8" w:rsidRPr="00D058F6" w:rsidRDefault="00D86849" w:rsidP="00D058F6">
      <w:pPr>
        <w:spacing w:after="240" w:line="240" w:lineRule="auto"/>
        <w:ind w:left="17"/>
        <w:jc w:val="center"/>
        <w:rPr>
          <w:b/>
        </w:rPr>
      </w:pPr>
      <w:r w:rsidRPr="00D058F6">
        <w:rPr>
          <w:b/>
          <w:vertAlign w:val="superscript"/>
        </w:rPr>
        <w:t>2</w:t>
      </w:r>
      <w:proofErr w:type="gramStart"/>
      <w:r w:rsidRPr="00D058F6">
        <w:rPr>
          <w:b/>
          <w:vertAlign w:val="superscript"/>
        </w:rPr>
        <w:t>,3,4,5,6</w:t>
      </w:r>
      <w:proofErr w:type="gramEnd"/>
      <w:r w:rsidRPr="00D058F6">
        <w:rPr>
          <w:b/>
        </w:rPr>
        <w:t xml:space="preserve"> </w:t>
      </w:r>
      <w:proofErr w:type="spellStart"/>
      <w:r w:rsidRPr="00D058F6">
        <w:rPr>
          <w:b/>
        </w:rPr>
        <w:t>Cátedra</w:t>
      </w:r>
      <w:proofErr w:type="spellEnd"/>
      <w:r w:rsidRPr="00D058F6">
        <w:rPr>
          <w:b/>
        </w:rPr>
        <w:t xml:space="preserve"> de </w:t>
      </w:r>
      <w:proofErr w:type="spellStart"/>
      <w:r w:rsidRPr="00D058F6">
        <w:rPr>
          <w:b/>
        </w:rPr>
        <w:t>Histología</w:t>
      </w:r>
      <w:proofErr w:type="spellEnd"/>
      <w:r w:rsidRPr="00D058F6">
        <w:rPr>
          <w:b/>
        </w:rPr>
        <w:t xml:space="preserve">. </w:t>
      </w:r>
      <w:proofErr w:type="spellStart"/>
      <w:r w:rsidRPr="00D058F6">
        <w:rPr>
          <w:b/>
        </w:rPr>
        <w:t>Facul</w:t>
      </w:r>
      <w:r w:rsidR="00B206EF">
        <w:rPr>
          <w:b/>
        </w:rPr>
        <w:t>tad</w:t>
      </w:r>
      <w:proofErr w:type="spellEnd"/>
      <w:r w:rsidR="00B206EF">
        <w:rPr>
          <w:b/>
        </w:rPr>
        <w:t xml:space="preserve"> de </w:t>
      </w:r>
      <w:proofErr w:type="spellStart"/>
      <w:r w:rsidR="00B206EF">
        <w:rPr>
          <w:b/>
        </w:rPr>
        <w:t>Odontología</w:t>
      </w:r>
      <w:proofErr w:type="spellEnd"/>
      <w:r w:rsidR="00B206EF">
        <w:rPr>
          <w:b/>
        </w:rPr>
        <w:t xml:space="preserve"> de la UNCUYO,</w:t>
      </w:r>
      <w:r w:rsidRPr="00D058F6">
        <w:rPr>
          <w:b/>
        </w:rPr>
        <w:t xml:space="preserve"> </w:t>
      </w:r>
      <w:r w:rsidRPr="00D058F6">
        <w:rPr>
          <w:b/>
        </w:rPr>
        <w:t>Argentina</w:t>
      </w:r>
    </w:p>
    <w:p w:rsidR="00B206EF" w:rsidRPr="00750853" w:rsidRDefault="00B206EF" w:rsidP="00B206EF">
      <w:pPr>
        <w:spacing w:after="240"/>
        <w:jc w:val="center"/>
        <w:rPr>
          <w:b/>
          <w:lang w:val="en-GB"/>
        </w:rPr>
      </w:pPr>
      <w:r w:rsidRPr="00750853">
        <w:rPr>
          <w:b/>
          <w:lang w:val="en-GB"/>
        </w:rPr>
        <w:t>DOI:</w:t>
      </w:r>
      <w:r w:rsidRPr="00750853">
        <w:rPr>
          <w:b/>
        </w:rPr>
        <w:t xml:space="preserve"> </w:t>
      </w:r>
      <w:hyperlink r:id="rId7" w:history="1">
        <w:r>
          <w:rPr>
            <w:b/>
            <w:color w:val="0000FF"/>
            <w:u w:val="single"/>
            <w:lang w:val="en-GB"/>
          </w:rPr>
          <w:t>https://doi.org/10.47772/IJRISS.2026.10100449</w:t>
        </w:r>
      </w:hyperlink>
    </w:p>
    <w:p w:rsidR="00B206EF" w:rsidRPr="00750853" w:rsidRDefault="00B206EF" w:rsidP="00B206EF">
      <w:pPr>
        <w:spacing w:after="240"/>
        <w:jc w:val="center"/>
        <w:rPr>
          <w:b/>
          <w:bCs/>
        </w:rPr>
      </w:pPr>
      <w:r>
        <w:rPr>
          <w:b/>
          <w:lang w:val="en-GB" w:bidi="en-GB"/>
        </w:rPr>
        <w:t xml:space="preserve">Received: 07 January 2026; Accepted: 14 </w:t>
      </w:r>
      <w:r w:rsidR="00DA17BF">
        <w:rPr>
          <w:b/>
          <w:lang w:val="en-GB" w:bidi="en-GB"/>
        </w:rPr>
        <w:t xml:space="preserve">January </w:t>
      </w:r>
      <w:r>
        <w:rPr>
          <w:b/>
          <w:lang w:val="en-GB" w:bidi="en-GB"/>
        </w:rPr>
        <w:t>2026; Published: 12</w:t>
      </w:r>
      <w:r w:rsidRPr="00750853">
        <w:rPr>
          <w:b/>
          <w:lang w:val="en-GB" w:bidi="en-GB"/>
        </w:rPr>
        <w:t xml:space="preserve"> February 2026</w:t>
      </w:r>
    </w:p>
    <w:p w:rsidR="003276C8" w:rsidRDefault="00D86849" w:rsidP="00D058F6">
      <w:pPr>
        <w:pStyle w:val="Heading1"/>
        <w:spacing w:after="240" w:line="240" w:lineRule="auto"/>
        <w:ind w:left="17"/>
        <w:jc w:val="both"/>
      </w:pPr>
      <w:r>
        <w:t>ABSTRACT</w:t>
      </w:r>
      <w:r>
        <w:rPr>
          <w:sz w:val="24"/>
        </w:rPr>
        <w:t xml:space="preserve">  </w:t>
      </w:r>
    </w:p>
    <w:p w:rsidR="003276C8" w:rsidRDefault="00D86849" w:rsidP="00D058F6">
      <w:pPr>
        <w:spacing w:after="120" w:line="240" w:lineRule="auto"/>
        <w:ind w:left="17"/>
      </w:pPr>
      <w:r>
        <w:t xml:space="preserve">This study aimed to compare the academic performance and discriminatory power of questions on oral mucosa and dental tissue </w:t>
      </w:r>
      <w:proofErr w:type="gramStart"/>
      <w:r>
        <w:t>development  Multiple</w:t>
      </w:r>
      <w:proofErr w:type="gramEnd"/>
      <w:r>
        <w:t>-Choice Questions (MCQs; 2024 cohort) versus Very Short-answer Questions (VSAs; 2025 cohort) formats among firs</w:t>
      </w:r>
      <w:r>
        <w:t>t-year dentistry students. Ten identical questions from two cohorts (n =74 each) were analyzed for difficulty (p-index) using chi-square and t-test statistics. Results revealed higher average performance in MCQs (85.08%) than VSAs (79.48%; p=0.292), with s</w:t>
      </w:r>
      <w:r>
        <w:t>ignificant differences in 3 questions (p&lt;0.05), mostly easy ones (p value &gt;061). We conclude that both formats are suitable for assessing foundational knowledge; however, the MCQ format provides greater reliability, while the VSA format reduces guessing bi</w:t>
      </w:r>
      <w:r>
        <w:t xml:space="preserve">as  </w:t>
      </w:r>
    </w:p>
    <w:p w:rsidR="003276C8" w:rsidRDefault="00D86849" w:rsidP="00D058F6">
      <w:pPr>
        <w:spacing w:after="120" w:line="240" w:lineRule="auto"/>
        <w:ind w:left="17"/>
      </w:pPr>
      <w:r>
        <w:rPr>
          <w:b/>
        </w:rPr>
        <w:t>Keywords</w:t>
      </w:r>
      <w:r>
        <w:t xml:space="preserve">: </w:t>
      </w:r>
      <w:bookmarkStart w:id="2" w:name="OLE_LINK18"/>
      <w:r>
        <w:t xml:space="preserve">Multiple-Choice Questions (MCQ), Very short-answer Questions (VSA), Dental education, academic assessment, Bloom´s taxonomy </w:t>
      </w:r>
    </w:p>
    <w:bookmarkEnd w:id="2"/>
    <w:p w:rsidR="003276C8" w:rsidRDefault="00D86849" w:rsidP="00D058F6">
      <w:pPr>
        <w:pStyle w:val="Heading1"/>
        <w:spacing w:after="240" w:line="240" w:lineRule="auto"/>
        <w:ind w:left="17"/>
        <w:jc w:val="both"/>
      </w:pPr>
      <w:r>
        <w:t>INTRODUCTION</w:t>
      </w:r>
      <w:r>
        <w:rPr>
          <w:sz w:val="24"/>
        </w:rPr>
        <w:t xml:space="preserve">  </w:t>
      </w:r>
    </w:p>
    <w:p w:rsidR="003276C8" w:rsidRDefault="00D86849" w:rsidP="00D058F6">
      <w:pPr>
        <w:spacing w:after="240" w:line="240" w:lineRule="auto"/>
        <w:ind w:left="17"/>
      </w:pPr>
      <w:r>
        <w:t>Assessment constitutes a fundamental component of the educational process, particularly in health pro</w:t>
      </w:r>
      <w:r>
        <w:t>fessional training, as it enables the demonstration of learning objective achievement and, ultimately, ensures clinical competence (1). In medical education, evaluation not only measures knowledge but also influences students' study methods and learning st</w:t>
      </w:r>
      <w:r>
        <w:t xml:space="preserve">yles, known as the washback effect (2). Students tend to prioritize content they know will be assessed, and the examination format partly determines how and what they learn (3). </w:t>
      </w:r>
    </w:p>
    <w:p w:rsidR="003276C8" w:rsidRDefault="00D86849" w:rsidP="00D058F6">
      <w:pPr>
        <w:spacing w:after="240" w:line="240" w:lineRule="auto"/>
        <w:ind w:left="17"/>
      </w:pPr>
      <w:r>
        <w:t xml:space="preserve"> Multiple Choice Questions (MCQs) offer high reliability and straightforward </w:t>
      </w:r>
      <w:r>
        <w:t>automated grading but provide orienting cues and promote recognition-based learning (RBL). Very short-answer questions (VSAs), which are open-ended items requiring brief responses, may help overcome these limitations (4). Although the use of VSAs in medica</w:t>
      </w:r>
      <w:r>
        <w:t xml:space="preserve">l assessments is increasing, nearly all research on their reliability and validity in medical education has been conducted by a single experienced research group (5).  </w:t>
      </w:r>
    </w:p>
    <w:p w:rsidR="003276C8" w:rsidRDefault="00D86849" w:rsidP="00D058F6">
      <w:pPr>
        <w:spacing w:after="240" w:line="240" w:lineRule="auto"/>
        <w:ind w:left="17"/>
      </w:pPr>
      <w:r>
        <w:t>Generally, MCQs are preferred for assessing basic knowledge levels, whereas VSAs are of</w:t>
      </w:r>
      <w:r>
        <w:t>ten preferred for knowledge requiring greater clinical application. The primary objective of this study was to compare the academic performance and discriminatory capacity of first-year dentistry students regarding basic knowledge of two topics—oral mucosa</w:t>
      </w:r>
      <w:r>
        <w:t xml:space="preserve"> and dental tissue formation—between two consecutive cohorts who answered identical questions in MCQ format (2024 cohort) versus VSA format (2025 cohort), and to explore the relationship with the difficulty level of each question. </w:t>
      </w:r>
    </w:p>
    <w:p w:rsidR="003276C8" w:rsidRPr="00D058F6" w:rsidRDefault="00D86849" w:rsidP="00D058F6">
      <w:pPr>
        <w:spacing w:after="240" w:line="240" w:lineRule="auto"/>
        <w:ind w:left="17"/>
        <w:rPr>
          <w:sz w:val="28"/>
          <w:szCs w:val="28"/>
        </w:rPr>
      </w:pPr>
      <w:r w:rsidRPr="00D058F6">
        <w:rPr>
          <w:b/>
          <w:sz w:val="28"/>
          <w:szCs w:val="28"/>
        </w:rPr>
        <w:t xml:space="preserve">METHODOLOGY  </w:t>
      </w:r>
    </w:p>
    <w:p w:rsidR="003276C8" w:rsidRDefault="00D86849" w:rsidP="00D058F6">
      <w:pPr>
        <w:pStyle w:val="Heading2"/>
        <w:spacing w:after="240" w:line="240" w:lineRule="auto"/>
        <w:ind w:left="17" w:right="0"/>
        <w:jc w:val="both"/>
      </w:pPr>
      <w:r>
        <w:t xml:space="preserve">Study Design and Population </w:t>
      </w:r>
    </w:p>
    <w:p w:rsidR="003276C8" w:rsidRDefault="00D86849" w:rsidP="00D058F6">
      <w:pPr>
        <w:spacing w:after="240" w:line="240" w:lineRule="auto"/>
        <w:ind w:left="17"/>
      </w:pPr>
      <w:r>
        <w:t xml:space="preserve">A retrospective, comparative, quasi-experimental cohort study was designed. Ten questions exploring the topics of oral mucosa and the process of dental tissue formation were selected from 74 partial examinations </w:t>
      </w:r>
      <w:r>
        <w:lastRenderedPageBreak/>
        <w:t>(n=74) administ</w:t>
      </w:r>
      <w:r>
        <w:t xml:space="preserve">ered to two consecutive cohorts (2024 and 2025) of first-year dentistry students. The sample included 100% of the examinations from the 2025 cohort and 90% from the 2024 cohort to balance the sample sizes (n=74 per group). </w:t>
      </w:r>
    </w:p>
    <w:p w:rsidR="003276C8" w:rsidRDefault="00D86849" w:rsidP="00D058F6">
      <w:pPr>
        <w:pStyle w:val="Heading2"/>
        <w:spacing w:after="240" w:line="240" w:lineRule="auto"/>
        <w:ind w:left="17" w:right="0"/>
        <w:jc w:val="both"/>
      </w:pPr>
      <w:r>
        <w:t xml:space="preserve">Procedure </w:t>
      </w:r>
    </w:p>
    <w:p w:rsidR="003276C8" w:rsidRDefault="00D86849" w:rsidP="00D058F6">
      <w:pPr>
        <w:spacing w:after="240" w:line="240" w:lineRule="auto"/>
        <w:ind w:left="17"/>
      </w:pPr>
      <w:r>
        <w:t>The selected question</w:t>
      </w:r>
      <w:r>
        <w:t>s addressed the same topics and required the same answers; however, for the 2024 cohort, they were presented in Multiple Choice (MCQ) format, while for the 2025 cohort, they were formulated as Very Short Answer (VSA) questions. Both cohorts possessed a sim</w:t>
      </w:r>
      <w:r>
        <w:t xml:space="preserve">ilar academic profile, had the same study time, and received instruction from the same faculty. Prior academic performance, determined by an evaluation conducted in the first semester, showed comparable results between both cohorts. </w:t>
      </w:r>
    </w:p>
    <w:p w:rsidR="003276C8" w:rsidRDefault="00D86849" w:rsidP="00D058F6">
      <w:pPr>
        <w:pStyle w:val="Heading2"/>
        <w:spacing w:after="240" w:line="240" w:lineRule="auto"/>
        <w:ind w:left="17" w:right="0"/>
        <w:jc w:val="both"/>
      </w:pPr>
      <w:r>
        <w:t xml:space="preserve">Data Analysis </w:t>
      </w:r>
    </w:p>
    <w:p w:rsidR="003276C8" w:rsidRDefault="00D86849" w:rsidP="00D058F6">
      <w:pPr>
        <w:spacing w:after="240" w:line="240" w:lineRule="auto"/>
        <w:ind w:left="17"/>
      </w:pPr>
      <w:r>
        <w:t>The sel</w:t>
      </w:r>
      <w:r>
        <w:t>ected questions were grouped by difficulty level, and responses were compared between the 2024 (MCQ) and 2025 (VSA) cohorts. Difficulty was determined both qualitatively and quantitatively. Qualitatively, clarity of the prompt and the elimination of ambigu</w:t>
      </w:r>
      <w:r>
        <w:t>ity were considered. Quantitatively, the difficulty index p (proportion of correct answers) was applied to each question after the exam. This index ranges from 0 to 1, where values close to 1 indicate easy questions and values close to 0 indicate difficult</w:t>
      </w:r>
      <w:r>
        <w:t xml:space="preserve"> questions. The scale used was: 0.00–0.20 (very difficult), 0.21–0.40 (difficult), 0.41–0.60 (medium difficulty), 0.61–0.80 (easy), and 0.81–1.00 (very easy)</w:t>
      </w:r>
      <w:r>
        <w:rPr>
          <w:vertAlign w:val="superscript"/>
        </w:rPr>
        <w:t xml:space="preserve"> </w:t>
      </w:r>
      <w:r>
        <w:t xml:space="preserve">(6). </w:t>
      </w:r>
    </w:p>
    <w:p w:rsidR="003276C8" w:rsidRDefault="00D86849" w:rsidP="00D058F6">
      <w:pPr>
        <w:pStyle w:val="Heading2"/>
        <w:spacing w:after="240" w:line="240" w:lineRule="auto"/>
        <w:ind w:left="17" w:right="0"/>
        <w:jc w:val="both"/>
      </w:pPr>
      <w:r>
        <w:t xml:space="preserve">Internal Validity </w:t>
      </w:r>
    </w:p>
    <w:p w:rsidR="003276C8" w:rsidRDefault="00D86849" w:rsidP="00D058F6">
      <w:pPr>
        <w:spacing w:after="240" w:line="240" w:lineRule="auto"/>
        <w:ind w:left="17"/>
      </w:pPr>
      <w:r>
        <w:t>Evaluators were calibrated, and VSA questions were designed to have a uni</w:t>
      </w:r>
      <w:r>
        <w:t>que correct answer to reduce examiner bias. To guarantee scoring reliability for the VSAs, inter-rater agreement was calculated on a random sample of 20% of the exams (n=15) using Cohen’s Kappa coefficient, yielding a value of 0.87 (95% CI: 0.79–</w:t>
      </w:r>
    </w:p>
    <w:p w:rsidR="003276C8" w:rsidRDefault="00D86849" w:rsidP="00D058F6">
      <w:pPr>
        <w:spacing w:after="240" w:line="240" w:lineRule="auto"/>
        <w:ind w:left="17"/>
      </w:pPr>
      <w:r>
        <w:t xml:space="preserve">0.95) </w:t>
      </w:r>
    </w:p>
    <w:p w:rsidR="003276C8" w:rsidRDefault="00D86849" w:rsidP="00D058F6">
      <w:pPr>
        <w:pStyle w:val="Heading2"/>
        <w:spacing w:after="240" w:line="240" w:lineRule="auto"/>
        <w:ind w:left="17" w:right="0"/>
        <w:jc w:val="both"/>
      </w:pPr>
      <w:r>
        <w:t>St</w:t>
      </w:r>
      <w:r>
        <w:t xml:space="preserve">atistical Analysis </w:t>
      </w:r>
    </w:p>
    <w:p w:rsidR="003276C8" w:rsidRDefault="00D86849" w:rsidP="00D058F6">
      <w:pPr>
        <w:spacing w:after="240" w:line="240" w:lineRule="auto"/>
        <w:ind w:left="17"/>
      </w:pPr>
      <w:r>
        <w:t>Descriptive statistics were performed. To compare the proportions of correct answers between the two independent cohorts for each individual question, the Chi-square test was used. The Student’s t-test was used to compare the means of t</w:t>
      </w:r>
      <w:r>
        <w:t xml:space="preserve">he two groups. An N=74 was used for each cohort. The null hypothesis (H0) posited no difference in the proportion of correct answers between formats. The significance level was set at alpha=0.05. </w:t>
      </w:r>
    </w:p>
    <w:p w:rsidR="003276C8" w:rsidRDefault="00D86849" w:rsidP="00D058F6">
      <w:pPr>
        <w:pStyle w:val="Heading1"/>
        <w:spacing w:after="240" w:line="240" w:lineRule="auto"/>
        <w:ind w:left="17"/>
        <w:jc w:val="both"/>
      </w:pPr>
      <w:r>
        <w:t>RESULTS</w:t>
      </w:r>
      <w:r>
        <w:rPr>
          <w:sz w:val="24"/>
        </w:rPr>
        <w:t xml:space="preserve"> </w:t>
      </w:r>
    </w:p>
    <w:p w:rsidR="003276C8" w:rsidRDefault="00D86849" w:rsidP="00D058F6">
      <w:pPr>
        <w:spacing w:after="240" w:line="240" w:lineRule="auto"/>
        <w:ind w:left="17"/>
      </w:pPr>
      <w:r>
        <w:t>Tables 1 and 2 present the data obtained for the 5</w:t>
      </w:r>
      <w:r>
        <w:t xml:space="preserve"> questions on "oral mucosa" and the 5 questions on "dental tissues," expressed as the percentage of correct and incorrect responses (n=74), in relation to the difficulty degree established for each question. Notably, the majority of questions corresponded </w:t>
      </w:r>
      <w:r>
        <w:t xml:space="preserve">to a low level of difficulty (Easy/Very Easy), with only one question per topic corresponding to medium difficulty. </w:t>
      </w:r>
    </w:p>
    <w:p w:rsidR="003276C8" w:rsidRDefault="00D86849" w:rsidP="00D058F6">
      <w:pPr>
        <w:spacing w:after="240" w:line="240" w:lineRule="auto"/>
        <w:ind w:left="17"/>
      </w:pPr>
      <w:r>
        <w:t xml:space="preserve">Regarding the questions on </w:t>
      </w:r>
      <w:r>
        <w:rPr>
          <w:b/>
        </w:rPr>
        <w:t>oral mucosa</w:t>
      </w:r>
      <w:r>
        <w:t xml:space="preserve"> (Table 1), in Question 1, students in the MCQ cohort achieved significantly higher success rates tha</w:t>
      </w:r>
      <w:r>
        <w:t xml:space="preserve">n the VSA cohort (p &lt; 0.05). For the remaining questions (2, 3, 4, and 5), there were no significant differences between the MCQ and VSA exams (p &gt; 0.05). </w:t>
      </w:r>
    </w:p>
    <w:p w:rsidR="003276C8" w:rsidRDefault="00D86849" w:rsidP="00D058F6">
      <w:pPr>
        <w:spacing w:after="240" w:line="240" w:lineRule="auto"/>
        <w:ind w:left="17"/>
      </w:pPr>
      <w:r>
        <w:t xml:space="preserve">Regarding the questions on </w:t>
      </w:r>
      <w:r>
        <w:rPr>
          <w:b/>
        </w:rPr>
        <w:t>dental development</w:t>
      </w:r>
      <w:r>
        <w:t xml:space="preserve"> (Table 2), statistically significant differences (p &lt; </w:t>
      </w:r>
      <w:r>
        <w:t xml:space="preserve">0.05) between MCQ and VSA were found in Questions 1 and 3. Questions 2, 4, and 5 did not register significant differences (p &gt; 0.05). </w:t>
      </w:r>
    </w:p>
    <w:p w:rsidR="003276C8" w:rsidRDefault="00D86849" w:rsidP="00D058F6">
      <w:pPr>
        <w:spacing w:after="240" w:line="240" w:lineRule="auto"/>
        <w:ind w:left="17"/>
      </w:pPr>
      <w:r>
        <w:t>The comparison of the arithmetic means of the two groups (MCQ = 85.08%, SD 13.06; VSA = 79.48%, SD 9.77%) across all 10 q</w:t>
      </w:r>
      <w:r>
        <w:t xml:space="preserve">uestions using the Student’s t-test yielded a p-value of 0.292, indicating no statistically significant difference in overall performance. </w:t>
      </w:r>
    </w:p>
    <w:p w:rsidR="003276C8" w:rsidRDefault="00D86849" w:rsidP="00D058F6">
      <w:pPr>
        <w:spacing w:after="240" w:line="240" w:lineRule="auto"/>
        <w:ind w:left="17"/>
      </w:pPr>
      <w:r>
        <w:lastRenderedPageBreak/>
        <w:t xml:space="preserve">See Tables 3 and 4 for the detailed Chi-square statistical analysis. </w:t>
      </w:r>
    </w:p>
    <w:p w:rsidR="003276C8" w:rsidRDefault="00D86849" w:rsidP="00D058F6">
      <w:pPr>
        <w:pStyle w:val="Heading2"/>
        <w:spacing w:after="240" w:line="240" w:lineRule="auto"/>
        <w:ind w:left="17" w:right="0"/>
        <w:jc w:val="both"/>
      </w:pPr>
      <w:r>
        <w:t xml:space="preserve">Tables </w:t>
      </w:r>
    </w:p>
    <w:tbl>
      <w:tblPr>
        <w:tblStyle w:val="TableGrid0"/>
        <w:tblpPr w:leftFromText="141" w:rightFromText="141" w:vertAnchor="text" w:horzAnchor="margin" w:tblpY="126"/>
        <w:tblW w:w="8978" w:type="dxa"/>
        <w:tblLook w:val="04A0"/>
      </w:tblPr>
      <w:tblGrid>
        <w:gridCol w:w="2244"/>
        <w:gridCol w:w="2244"/>
        <w:gridCol w:w="2245"/>
        <w:gridCol w:w="2245"/>
      </w:tblGrid>
      <w:tr w:rsidR="00D058F6" w:rsidRPr="000366CD" w:rsidTr="00D058F6">
        <w:tc>
          <w:tcPr>
            <w:tcW w:w="8978" w:type="dxa"/>
            <w:gridSpan w:val="4"/>
          </w:tcPr>
          <w:p w:rsidR="00D058F6" w:rsidRPr="000366CD" w:rsidRDefault="00D058F6" w:rsidP="00D058F6">
            <w:pPr>
              <w:spacing w:after="0"/>
              <w:rPr>
                <w:color w:val="0A0A0A"/>
                <w:szCs w:val="24"/>
                <w:lang w:val="es-ES"/>
              </w:rPr>
            </w:pPr>
            <w:r w:rsidRPr="000366CD">
              <w:rPr>
                <w:rFonts w:eastAsia="Calibri"/>
                <w:szCs w:val="24"/>
              </w:rPr>
              <w:t>Table 1Oral Mucosa: Correct and Incorrect Responses by Difficulty Level and Test Type</w:t>
            </w:r>
          </w:p>
        </w:tc>
      </w:tr>
      <w:tr w:rsidR="00D058F6" w:rsidRPr="000366CD" w:rsidTr="00D058F6">
        <w:tc>
          <w:tcPr>
            <w:tcW w:w="2244" w:type="dxa"/>
          </w:tcPr>
          <w:p w:rsidR="00D058F6" w:rsidRPr="000366CD" w:rsidRDefault="00D058F6" w:rsidP="00D058F6">
            <w:pPr>
              <w:spacing w:after="0"/>
              <w:rPr>
                <w:color w:val="0A0A0A"/>
                <w:szCs w:val="24"/>
                <w:lang w:val="es-ES"/>
              </w:rPr>
            </w:pPr>
            <w:bookmarkStart w:id="3" w:name="OLE_LINK1"/>
            <w:r w:rsidRPr="000366CD">
              <w:rPr>
                <w:b/>
                <w:bCs/>
                <w:color w:val="0A0A0A"/>
                <w:szCs w:val="24"/>
              </w:rPr>
              <w:t>Question</w:t>
            </w:r>
          </w:p>
        </w:tc>
        <w:tc>
          <w:tcPr>
            <w:tcW w:w="2244" w:type="dxa"/>
          </w:tcPr>
          <w:p w:rsidR="00D058F6" w:rsidRPr="000366CD" w:rsidRDefault="00D058F6" w:rsidP="00D058F6">
            <w:pPr>
              <w:spacing w:after="0"/>
              <w:rPr>
                <w:color w:val="0A0A0A"/>
                <w:szCs w:val="24"/>
                <w:lang w:val="es-ES"/>
              </w:rPr>
            </w:pPr>
            <w:r w:rsidRPr="000366CD">
              <w:rPr>
                <w:b/>
                <w:bCs/>
                <w:color w:val="0A0A0A"/>
                <w:szCs w:val="24"/>
              </w:rPr>
              <w:t>Difficulty (p)</w:t>
            </w:r>
          </w:p>
        </w:tc>
        <w:tc>
          <w:tcPr>
            <w:tcW w:w="2245" w:type="dxa"/>
          </w:tcPr>
          <w:p w:rsidR="00D058F6" w:rsidRPr="000366CD" w:rsidRDefault="00D058F6" w:rsidP="00D058F6">
            <w:pPr>
              <w:spacing w:after="0"/>
              <w:rPr>
                <w:color w:val="0A0A0A"/>
                <w:szCs w:val="24"/>
                <w:lang w:val="es-ES"/>
              </w:rPr>
            </w:pPr>
            <w:r w:rsidRPr="000366CD">
              <w:rPr>
                <w:b/>
                <w:bCs/>
                <w:color w:val="0A0A0A"/>
                <w:szCs w:val="24"/>
              </w:rPr>
              <w:t>Correct Responses (N=74)</w:t>
            </w:r>
          </w:p>
        </w:tc>
        <w:tc>
          <w:tcPr>
            <w:tcW w:w="2245" w:type="dxa"/>
          </w:tcPr>
          <w:p w:rsidR="00D058F6" w:rsidRPr="000366CD" w:rsidRDefault="00D058F6" w:rsidP="00D058F6">
            <w:pPr>
              <w:spacing w:after="0"/>
              <w:rPr>
                <w:color w:val="0A0A0A"/>
                <w:szCs w:val="24"/>
                <w:lang w:val="es-ES"/>
              </w:rPr>
            </w:pPr>
            <w:r w:rsidRPr="000366CD">
              <w:rPr>
                <w:b/>
                <w:bCs/>
                <w:color w:val="0A0A0A"/>
                <w:szCs w:val="24"/>
              </w:rPr>
              <w:t>Incorrect Responses (N=74)</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1 </w:t>
            </w:r>
            <w:r w:rsidRPr="000366CD">
              <w:rPr>
                <w:b/>
                <w:bCs/>
                <w:color w:val="0A0A0A"/>
                <w:szCs w:val="24"/>
              </w:rPr>
              <w:t>MCQ</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0.96</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71 (96%)</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3 (4%)</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1 </w:t>
            </w:r>
            <w:r w:rsidRPr="000366CD">
              <w:rPr>
                <w:b/>
                <w:bCs/>
                <w:color w:val="0A0A0A"/>
                <w:szCs w:val="24"/>
              </w:rPr>
              <w:t>VSA</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0.74 </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55 (74.3 %)</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19 (25.7%)</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2 </w:t>
            </w:r>
            <w:r w:rsidRPr="000366CD">
              <w:rPr>
                <w:b/>
                <w:bCs/>
                <w:color w:val="0A0A0A"/>
                <w:szCs w:val="24"/>
              </w:rPr>
              <w:t>MCQ</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0.86</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64 (86.4%)</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10 (13.6%)</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2 </w:t>
            </w:r>
            <w:r w:rsidRPr="000366CD">
              <w:rPr>
                <w:b/>
                <w:bCs/>
                <w:color w:val="0A0A0A"/>
                <w:szCs w:val="24"/>
              </w:rPr>
              <w:t>VSA</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0.89</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66 (89.2%)</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8 (10.8%)</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3 </w:t>
            </w:r>
            <w:r w:rsidRPr="000366CD">
              <w:rPr>
                <w:b/>
                <w:bCs/>
                <w:color w:val="0A0A0A"/>
                <w:szCs w:val="24"/>
              </w:rPr>
              <w:t>MCQ</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0.91 </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 xml:space="preserve"> 68 (92%)</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6 (8%)</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3 </w:t>
            </w:r>
            <w:r w:rsidRPr="000366CD">
              <w:rPr>
                <w:b/>
                <w:bCs/>
                <w:color w:val="0A0A0A"/>
                <w:szCs w:val="24"/>
              </w:rPr>
              <w:t>VSA</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0.82</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61 (82.4 %)</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13 (17.6%)</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4 </w:t>
            </w:r>
            <w:r w:rsidRPr="000366CD">
              <w:rPr>
                <w:b/>
                <w:bCs/>
                <w:color w:val="0A0A0A"/>
                <w:szCs w:val="24"/>
              </w:rPr>
              <w:t>MCQ</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0.91  </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68 (92%)</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6 (8%)</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4 </w:t>
            </w:r>
            <w:r w:rsidRPr="000366CD">
              <w:rPr>
                <w:b/>
                <w:bCs/>
                <w:color w:val="0A0A0A"/>
                <w:szCs w:val="24"/>
              </w:rPr>
              <w:t>VSA</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0.87</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65 (87.84 %)</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9 (12.16%)</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5 </w:t>
            </w:r>
            <w:r w:rsidRPr="000366CD">
              <w:rPr>
                <w:b/>
                <w:bCs/>
                <w:color w:val="0A0A0A"/>
                <w:szCs w:val="24"/>
              </w:rPr>
              <w:t>MCQ</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0.59</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44 (60%)</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30 (40%)</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5 </w:t>
            </w:r>
            <w:r w:rsidRPr="000366CD">
              <w:rPr>
                <w:b/>
                <w:bCs/>
                <w:color w:val="0A0A0A"/>
                <w:szCs w:val="24"/>
              </w:rPr>
              <w:t>VSA</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0.60</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45 (60.81 %)</w:t>
            </w:r>
          </w:p>
        </w:tc>
        <w:tc>
          <w:tcPr>
            <w:tcW w:w="2245" w:type="dxa"/>
          </w:tcPr>
          <w:p w:rsidR="00D058F6" w:rsidRPr="000366CD" w:rsidRDefault="00D058F6" w:rsidP="00D058F6">
            <w:pPr>
              <w:spacing w:after="0"/>
              <w:rPr>
                <w:color w:val="0A0A0A"/>
                <w:szCs w:val="24"/>
                <w:lang w:val="es-ES"/>
              </w:rPr>
            </w:pPr>
            <w:r w:rsidRPr="000366CD">
              <w:rPr>
                <w:color w:val="0A0A0A"/>
                <w:szCs w:val="24"/>
                <w:lang w:val="es-ES"/>
              </w:rPr>
              <w:t>29 (39.19%)</w:t>
            </w:r>
          </w:p>
        </w:tc>
      </w:tr>
      <w:bookmarkEnd w:id="3"/>
    </w:tbl>
    <w:p w:rsidR="003276C8" w:rsidRDefault="003276C8" w:rsidP="00D058F6">
      <w:pPr>
        <w:spacing w:after="240" w:line="240" w:lineRule="auto"/>
        <w:ind w:left="17" w:right="-116"/>
        <w:rPr>
          <w:noProof/>
        </w:rPr>
      </w:pPr>
    </w:p>
    <w:p w:rsidR="00D058F6" w:rsidRDefault="00D058F6" w:rsidP="00D058F6">
      <w:pPr>
        <w:spacing w:after="240" w:line="240" w:lineRule="auto"/>
        <w:ind w:left="17" w:right="-116"/>
        <w:rPr>
          <w:noProof/>
        </w:rPr>
      </w:pPr>
    </w:p>
    <w:p w:rsidR="00D058F6" w:rsidRDefault="00D058F6" w:rsidP="00D058F6">
      <w:pPr>
        <w:spacing w:after="240" w:line="240" w:lineRule="auto"/>
        <w:ind w:left="17" w:right="-116"/>
        <w:rPr>
          <w:noProof/>
        </w:rPr>
      </w:pPr>
    </w:p>
    <w:p w:rsidR="00D058F6" w:rsidRDefault="00D058F6" w:rsidP="00D058F6">
      <w:pPr>
        <w:spacing w:after="240" w:line="240" w:lineRule="auto"/>
        <w:ind w:left="17" w:right="-116"/>
        <w:rPr>
          <w:noProof/>
        </w:rPr>
      </w:pPr>
    </w:p>
    <w:p w:rsidR="00D058F6" w:rsidRDefault="00D058F6" w:rsidP="00D058F6">
      <w:pPr>
        <w:spacing w:after="240" w:line="240" w:lineRule="auto"/>
        <w:ind w:left="17" w:right="-116"/>
        <w:rPr>
          <w:noProof/>
        </w:rPr>
      </w:pPr>
    </w:p>
    <w:p w:rsidR="00D058F6" w:rsidRDefault="00D058F6" w:rsidP="00D058F6">
      <w:pPr>
        <w:spacing w:after="240" w:line="240" w:lineRule="auto"/>
        <w:ind w:left="17" w:right="-116"/>
      </w:pPr>
    </w:p>
    <w:p w:rsidR="00D058F6" w:rsidRDefault="00D058F6" w:rsidP="00D058F6">
      <w:pPr>
        <w:pStyle w:val="Heading1"/>
        <w:spacing w:after="240" w:line="240" w:lineRule="auto"/>
        <w:ind w:left="17"/>
        <w:jc w:val="both"/>
      </w:pPr>
    </w:p>
    <w:p w:rsidR="00D058F6" w:rsidRDefault="00D058F6" w:rsidP="00D058F6">
      <w:pPr>
        <w:pStyle w:val="Heading1"/>
        <w:spacing w:after="240" w:line="240" w:lineRule="auto"/>
        <w:ind w:left="17"/>
        <w:jc w:val="both"/>
      </w:pPr>
    </w:p>
    <w:tbl>
      <w:tblPr>
        <w:tblStyle w:val="TableGrid0"/>
        <w:tblpPr w:leftFromText="141" w:rightFromText="141" w:vertAnchor="text" w:horzAnchor="margin" w:tblpY="203"/>
        <w:tblW w:w="8978" w:type="dxa"/>
        <w:tblLook w:val="04A0"/>
      </w:tblPr>
      <w:tblGrid>
        <w:gridCol w:w="2244"/>
        <w:gridCol w:w="2244"/>
        <w:gridCol w:w="2245"/>
        <w:gridCol w:w="2245"/>
      </w:tblGrid>
      <w:tr w:rsidR="00D058F6" w:rsidRPr="000366CD" w:rsidTr="00D058F6">
        <w:tc>
          <w:tcPr>
            <w:tcW w:w="8978" w:type="dxa"/>
            <w:gridSpan w:val="4"/>
          </w:tcPr>
          <w:p w:rsidR="00D058F6" w:rsidRPr="000366CD" w:rsidRDefault="00D058F6" w:rsidP="00D058F6">
            <w:pPr>
              <w:spacing w:after="0"/>
              <w:rPr>
                <w:rFonts w:eastAsia="Calibri"/>
                <w:szCs w:val="24"/>
                <w:lang w:val="es-AR"/>
              </w:rPr>
            </w:pPr>
            <w:proofErr w:type="spellStart"/>
            <w:r w:rsidRPr="000366CD">
              <w:rPr>
                <w:rFonts w:eastAsia="Calibri"/>
                <w:szCs w:val="24"/>
                <w:lang w:val="es-AR"/>
              </w:rPr>
              <w:t>Table</w:t>
            </w:r>
            <w:proofErr w:type="spellEnd"/>
            <w:r w:rsidRPr="000366CD">
              <w:rPr>
                <w:rFonts w:eastAsia="Calibri"/>
                <w:szCs w:val="24"/>
                <w:lang w:val="es-AR"/>
              </w:rPr>
              <w:t xml:space="preserve"> 2</w:t>
            </w:r>
            <w:r>
              <w:rPr>
                <w:rFonts w:eastAsia="Calibri"/>
                <w:szCs w:val="24"/>
                <w:lang w:val="es-AR"/>
              </w:rPr>
              <w:t xml:space="preserve"> </w:t>
            </w:r>
            <w:r w:rsidRPr="000366CD">
              <w:rPr>
                <w:rFonts w:eastAsia="Calibri"/>
                <w:szCs w:val="24"/>
                <w:lang w:val="es-AR"/>
              </w:rPr>
              <w:t xml:space="preserve">Dental </w:t>
            </w:r>
            <w:proofErr w:type="spellStart"/>
            <w:r w:rsidRPr="000366CD">
              <w:rPr>
                <w:rFonts w:eastAsia="Calibri"/>
                <w:szCs w:val="24"/>
                <w:lang w:val="es-AR"/>
              </w:rPr>
              <w:t>Development</w:t>
            </w:r>
            <w:proofErr w:type="spellEnd"/>
            <w:r w:rsidRPr="000366CD">
              <w:rPr>
                <w:rFonts w:eastAsia="Calibri"/>
                <w:szCs w:val="24"/>
                <w:lang w:val="es-AR"/>
              </w:rPr>
              <w:t xml:space="preserve">: </w:t>
            </w:r>
            <w:proofErr w:type="spellStart"/>
            <w:r w:rsidRPr="000366CD">
              <w:rPr>
                <w:rFonts w:eastAsia="Calibri"/>
                <w:szCs w:val="24"/>
                <w:lang w:val="es-AR"/>
              </w:rPr>
              <w:t>Correct</w:t>
            </w:r>
            <w:proofErr w:type="spellEnd"/>
            <w:r w:rsidRPr="000366CD">
              <w:rPr>
                <w:rFonts w:eastAsia="Calibri"/>
                <w:szCs w:val="24"/>
                <w:lang w:val="es-AR"/>
              </w:rPr>
              <w:t xml:space="preserve"> and </w:t>
            </w:r>
            <w:proofErr w:type="spellStart"/>
            <w:r w:rsidRPr="000366CD">
              <w:rPr>
                <w:rFonts w:eastAsia="Calibri"/>
                <w:szCs w:val="24"/>
                <w:lang w:val="es-AR"/>
              </w:rPr>
              <w:t>Incorrect</w:t>
            </w:r>
            <w:proofErr w:type="spellEnd"/>
            <w:r w:rsidRPr="000366CD">
              <w:rPr>
                <w:rFonts w:eastAsia="Calibri"/>
                <w:szCs w:val="24"/>
                <w:lang w:val="es-AR"/>
              </w:rPr>
              <w:t xml:space="preserve"> Responses </w:t>
            </w:r>
            <w:proofErr w:type="spellStart"/>
            <w:r w:rsidRPr="000366CD">
              <w:rPr>
                <w:rFonts w:eastAsia="Calibri"/>
                <w:szCs w:val="24"/>
                <w:lang w:val="es-AR"/>
              </w:rPr>
              <w:t>by</w:t>
            </w:r>
            <w:proofErr w:type="spellEnd"/>
            <w:r w:rsidRPr="000366CD">
              <w:rPr>
                <w:rFonts w:eastAsia="Calibri"/>
                <w:szCs w:val="24"/>
                <w:lang w:val="es-AR"/>
              </w:rPr>
              <w:t xml:space="preserve"> </w:t>
            </w:r>
            <w:proofErr w:type="spellStart"/>
            <w:r w:rsidRPr="000366CD">
              <w:rPr>
                <w:rFonts w:eastAsia="Calibri"/>
                <w:szCs w:val="24"/>
                <w:lang w:val="es-AR"/>
              </w:rPr>
              <w:t>Difficulty</w:t>
            </w:r>
            <w:proofErr w:type="spellEnd"/>
            <w:r w:rsidRPr="000366CD">
              <w:rPr>
                <w:rFonts w:eastAsia="Calibri"/>
                <w:szCs w:val="24"/>
                <w:lang w:val="es-AR"/>
              </w:rPr>
              <w:t xml:space="preserve"> </w:t>
            </w:r>
            <w:proofErr w:type="spellStart"/>
            <w:r w:rsidRPr="000366CD">
              <w:rPr>
                <w:rFonts w:eastAsia="Calibri"/>
                <w:szCs w:val="24"/>
                <w:lang w:val="es-AR"/>
              </w:rPr>
              <w:t>Level</w:t>
            </w:r>
            <w:proofErr w:type="spellEnd"/>
            <w:r w:rsidRPr="000366CD">
              <w:rPr>
                <w:rFonts w:eastAsia="Calibri"/>
                <w:szCs w:val="24"/>
                <w:lang w:val="es-AR"/>
              </w:rPr>
              <w:t xml:space="preserve"> and Test </w:t>
            </w:r>
            <w:proofErr w:type="spellStart"/>
            <w:r w:rsidRPr="000366CD">
              <w:rPr>
                <w:rFonts w:eastAsia="Calibri"/>
                <w:szCs w:val="24"/>
                <w:lang w:val="es-AR"/>
              </w:rPr>
              <w:t>Type</w:t>
            </w:r>
            <w:proofErr w:type="spellEnd"/>
          </w:p>
          <w:p w:rsidR="00D058F6" w:rsidRPr="000366CD" w:rsidRDefault="00D058F6" w:rsidP="00D058F6">
            <w:pPr>
              <w:spacing w:after="0"/>
              <w:rPr>
                <w:rFonts w:eastAsia="Calibri"/>
                <w:b/>
                <w:szCs w:val="24"/>
              </w:rPr>
            </w:pPr>
          </w:p>
        </w:tc>
      </w:tr>
      <w:tr w:rsidR="00D058F6" w:rsidRPr="000366CD" w:rsidTr="00D058F6">
        <w:tc>
          <w:tcPr>
            <w:tcW w:w="2244" w:type="dxa"/>
          </w:tcPr>
          <w:p w:rsidR="00D058F6" w:rsidRPr="000366CD" w:rsidRDefault="00D058F6" w:rsidP="00D058F6">
            <w:pPr>
              <w:spacing w:after="0"/>
              <w:rPr>
                <w:szCs w:val="24"/>
                <w:lang w:val="es-AR" w:eastAsia="es-AR"/>
              </w:rPr>
            </w:pPr>
            <w:proofErr w:type="spellStart"/>
            <w:r w:rsidRPr="000366CD">
              <w:rPr>
                <w:b/>
                <w:bCs/>
                <w:color w:val="1F1F1F"/>
                <w:szCs w:val="24"/>
                <w:lang w:val="es-AR" w:eastAsia="es-AR"/>
              </w:rPr>
              <w:t>Question</w:t>
            </w:r>
            <w:proofErr w:type="spellEnd"/>
          </w:p>
        </w:tc>
        <w:tc>
          <w:tcPr>
            <w:tcW w:w="2244" w:type="dxa"/>
          </w:tcPr>
          <w:p w:rsidR="00D058F6" w:rsidRPr="000366CD" w:rsidRDefault="00D058F6" w:rsidP="00D058F6">
            <w:pPr>
              <w:spacing w:after="0"/>
              <w:rPr>
                <w:szCs w:val="24"/>
                <w:lang w:val="es-AR" w:eastAsia="es-AR"/>
              </w:rPr>
            </w:pPr>
            <w:proofErr w:type="spellStart"/>
            <w:r w:rsidRPr="000366CD">
              <w:rPr>
                <w:b/>
                <w:bCs/>
                <w:color w:val="1F1F1F"/>
                <w:szCs w:val="24"/>
                <w:lang w:val="es-AR" w:eastAsia="es-AR"/>
              </w:rPr>
              <w:t>Difficulty</w:t>
            </w:r>
            <w:proofErr w:type="spellEnd"/>
            <w:r w:rsidRPr="000366CD">
              <w:rPr>
                <w:b/>
                <w:bCs/>
                <w:color w:val="1F1F1F"/>
                <w:szCs w:val="24"/>
                <w:lang w:val="es-AR" w:eastAsia="es-AR"/>
              </w:rPr>
              <w:t xml:space="preserve"> (p)</w:t>
            </w:r>
          </w:p>
        </w:tc>
        <w:tc>
          <w:tcPr>
            <w:tcW w:w="2245" w:type="dxa"/>
          </w:tcPr>
          <w:p w:rsidR="00D058F6" w:rsidRPr="000366CD" w:rsidRDefault="00D058F6" w:rsidP="00D058F6">
            <w:pPr>
              <w:spacing w:after="0"/>
              <w:rPr>
                <w:szCs w:val="24"/>
                <w:lang w:val="es-AR" w:eastAsia="es-AR"/>
              </w:rPr>
            </w:pPr>
            <w:proofErr w:type="spellStart"/>
            <w:r w:rsidRPr="000366CD">
              <w:rPr>
                <w:b/>
                <w:bCs/>
                <w:color w:val="1F1F1F"/>
                <w:szCs w:val="24"/>
                <w:lang w:val="es-AR" w:eastAsia="es-AR"/>
              </w:rPr>
              <w:t>Correct</w:t>
            </w:r>
            <w:proofErr w:type="spellEnd"/>
            <w:r w:rsidRPr="000366CD">
              <w:rPr>
                <w:b/>
                <w:bCs/>
                <w:color w:val="1F1F1F"/>
                <w:szCs w:val="24"/>
                <w:lang w:val="es-AR" w:eastAsia="es-AR"/>
              </w:rPr>
              <w:t xml:space="preserve"> Responses (N=74)</w:t>
            </w:r>
          </w:p>
        </w:tc>
        <w:tc>
          <w:tcPr>
            <w:tcW w:w="2245" w:type="dxa"/>
          </w:tcPr>
          <w:p w:rsidR="00D058F6" w:rsidRPr="000366CD" w:rsidRDefault="00D058F6" w:rsidP="00D058F6">
            <w:pPr>
              <w:spacing w:after="0"/>
              <w:rPr>
                <w:szCs w:val="24"/>
                <w:lang w:val="es-AR" w:eastAsia="es-AR"/>
              </w:rPr>
            </w:pPr>
            <w:proofErr w:type="spellStart"/>
            <w:r w:rsidRPr="000366CD">
              <w:rPr>
                <w:b/>
                <w:bCs/>
                <w:color w:val="1F1F1F"/>
                <w:szCs w:val="24"/>
                <w:lang w:val="es-AR" w:eastAsia="es-AR"/>
              </w:rPr>
              <w:t>Incorrect</w:t>
            </w:r>
            <w:proofErr w:type="spellEnd"/>
            <w:r w:rsidRPr="000366CD">
              <w:rPr>
                <w:b/>
                <w:bCs/>
                <w:color w:val="1F1F1F"/>
                <w:szCs w:val="24"/>
                <w:lang w:val="es-AR" w:eastAsia="es-AR"/>
              </w:rPr>
              <w:t xml:space="preserve"> Responses (N=74)</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1 </w:t>
            </w:r>
            <w:r w:rsidRPr="000366CD">
              <w:rPr>
                <w:b/>
                <w:bCs/>
                <w:color w:val="0A0A0A"/>
                <w:szCs w:val="24"/>
              </w:rPr>
              <w:t>MCQ</w:t>
            </w:r>
            <w:r w:rsidRPr="000366CD">
              <w:rPr>
                <w:color w:val="0A0A0A"/>
                <w:szCs w:val="24"/>
                <w:lang w:val="es-ES"/>
              </w:rPr>
              <w:t xml:space="preserve"> </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0.90  </w:t>
            </w:r>
          </w:p>
        </w:tc>
        <w:tc>
          <w:tcPr>
            <w:tcW w:w="2245" w:type="dxa"/>
          </w:tcPr>
          <w:p w:rsidR="00D058F6" w:rsidRPr="000366CD" w:rsidRDefault="00D058F6" w:rsidP="00D058F6">
            <w:pPr>
              <w:spacing w:after="0"/>
              <w:rPr>
                <w:szCs w:val="24"/>
                <w:lang w:val="es-ES"/>
              </w:rPr>
            </w:pPr>
            <w:r w:rsidRPr="000366CD">
              <w:rPr>
                <w:szCs w:val="24"/>
                <w:lang w:val="es-ES"/>
              </w:rPr>
              <w:t>67 (90.5%)</w:t>
            </w:r>
          </w:p>
        </w:tc>
        <w:tc>
          <w:tcPr>
            <w:tcW w:w="2245" w:type="dxa"/>
          </w:tcPr>
          <w:p w:rsidR="00D058F6" w:rsidRPr="000366CD" w:rsidRDefault="00D058F6" w:rsidP="00D058F6">
            <w:pPr>
              <w:spacing w:after="0"/>
              <w:rPr>
                <w:szCs w:val="24"/>
                <w:lang w:val="es-ES"/>
              </w:rPr>
            </w:pPr>
            <w:r w:rsidRPr="000366CD">
              <w:rPr>
                <w:szCs w:val="24"/>
                <w:lang w:val="es-ES"/>
              </w:rPr>
              <w:t>7 (9.5%)</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1 </w:t>
            </w:r>
            <w:r w:rsidRPr="000366CD">
              <w:rPr>
                <w:b/>
                <w:bCs/>
                <w:color w:val="0A0A0A"/>
                <w:szCs w:val="24"/>
              </w:rPr>
              <w:t>VSA</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0.74</w:t>
            </w:r>
          </w:p>
        </w:tc>
        <w:tc>
          <w:tcPr>
            <w:tcW w:w="2245" w:type="dxa"/>
          </w:tcPr>
          <w:p w:rsidR="00D058F6" w:rsidRPr="000366CD" w:rsidRDefault="00D058F6" w:rsidP="00D058F6">
            <w:pPr>
              <w:spacing w:after="0"/>
              <w:rPr>
                <w:szCs w:val="24"/>
                <w:lang w:val="es-ES"/>
              </w:rPr>
            </w:pPr>
            <w:r w:rsidRPr="000366CD">
              <w:rPr>
                <w:szCs w:val="24"/>
                <w:lang w:val="es-ES"/>
              </w:rPr>
              <w:t>55 (74.3 %)</w:t>
            </w:r>
          </w:p>
        </w:tc>
        <w:tc>
          <w:tcPr>
            <w:tcW w:w="2245" w:type="dxa"/>
          </w:tcPr>
          <w:p w:rsidR="00D058F6" w:rsidRPr="000366CD" w:rsidRDefault="00D058F6" w:rsidP="00D058F6">
            <w:pPr>
              <w:spacing w:after="0"/>
              <w:rPr>
                <w:szCs w:val="24"/>
                <w:lang w:val="es-ES"/>
              </w:rPr>
            </w:pPr>
            <w:r w:rsidRPr="000366CD">
              <w:rPr>
                <w:szCs w:val="24"/>
                <w:lang w:val="es-ES"/>
              </w:rPr>
              <w:t>19 (25.7%)</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2 </w:t>
            </w:r>
            <w:r w:rsidRPr="000366CD">
              <w:rPr>
                <w:b/>
                <w:bCs/>
                <w:color w:val="0A0A0A"/>
                <w:szCs w:val="24"/>
              </w:rPr>
              <w:t>MCQ</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0.87</w:t>
            </w:r>
          </w:p>
        </w:tc>
        <w:tc>
          <w:tcPr>
            <w:tcW w:w="2245" w:type="dxa"/>
          </w:tcPr>
          <w:p w:rsidR="00D058F6" w:rsidRPr="000366CD" w:rsidRDefault="00D058F6" w:rsidP="00D058F6">
            <w:pPr>
              <w:spacing w:after="0"/>
              <w:rPr>
                <w:szCs w:val="24"/>
                <w:lang w:val="es-ES"/>
              </w:rPr>
            </w:pPr>
            <w:r w:rsidRPr="000366CD">
              <w:rPr>
                <w:szCs w:val="24"/>
                <w:lang w:val="es-ES"/>
              </w:rPr>
              <w:t>65 (87.84%)</w:t>
            </w:r>
          </w:p>
        </w:tc>
        <w:tc>
          <w:tcPr>
            <w:tcW w:w="2245" w:type="dxa"/>
          </w:tcPr>
          <w:p w:rsidR="00D058F6" w:rsidRPr="000366CD" w:rsidRDefault="00D058F6" w:rsidP="00D058F6">
            <w:pPr>
              <w:spacing w:after="0"/>
              <w:rPr>
                <w:szCs w:val="24"/>
                <w:lang w:val="es-ES"/>
              </w:rPr>
            </w:pPr>
            <w:r w:rsidRPr="000366CD">
              <w:rPr>
                <w:szCs w:val="24"/>
                <w:lang w:val="es-ES"/>
              </w:rPr>
              <w:t>9 (12.16%)</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2 </w:t>
            </w:r>
            <w:r w:rsidRPr="000366CD">
              <w:rPr>
                <w:b/>
                <w:bCs/>
                <w:color w:val="0A0A0A"/>
                <w:szCs w:val="24"/>
              </w:rPr>
              <w:t>VSA</w:t>
            </w:r>
          </w:p>
        </w:tc>
        <w:tc>
          <w:tcPr>
            <w:tcW w:w="2244" w:type="dxa"/>
          </w:tcPr>
          <w:p w:rsidR="00D058F6" w:rsidRPr="000366CD" w:rsidRDefault="00D058F6" w:rsidP="00D058F6">
            <w:pPr>
              <w:spacing w:after="0"/>
              <w:rPr>
                <w:szCs w:val="24"/>
                <w:lang w:val="es-AR" w:eastAsia="es-AR"/>
              </w:rPr>
            </w:pPr>
            <w:r w:rsidRPr="000366CD">
              <w:rPr>
                <w:szCs w:val="24"/>
                <w:lang w:val="es-AR" w:eastAsia="es-AR"/>
              </w:rPr>
              <w:t>0.81</w:t>
            </w:r>
          </w:p>
        </w:tc>
        <w:tc>
          <w:tcPr>
            <w:tcW w:w="2245" w:type="dxa"/>
          </w:tcPr>
          <w:p w:rsidR="00D058F6" w:rsidRPr="000366CD" w:rsidRDefault="00D058F6" w:rsidP="00D058F6">
            <w:pPr>
              <w:spacing w:after="0"/>
              <w:rPr>
                <w:szCs w:val="24"/>
                <w:lang w:val="es-AR" w:eastAsia="es-AR"/>
              </w:rPr>
            </w:pPr>
            <w:r w:rsidRPr="000366CD">
              <w:rPr>
                <w:szCs w:val="24"/>
                <w:lang w:val="es-AR" w:eastAsia="es-AR"/>
              </w:rPr>
              <w:t>60 (81.08%)</w:t>
            </w:r>
          </w:p>
        </w:tc>
        <w:tc>
          <w:tcPr>
            <w:tcW w:w="2245" w:type="dxa"/>
          </w:tcPr>
          <w:p w:rsidR="00D058F6" w:rsidRPr="000366CD" w:rsidRDefault="00D058F6" w:rsidP="00D058F6">
            <w:pPr>
              <w:spacing w:after="0"/>
              <w:rPr>
                <w:szCs w:val="24"/>
                <w:lang w:val="es-ES"/>
              </w:rPr>
            </w:pPr>
            <w:r w:rsidRPr="000366CD">
              <w:rPr>
                <w:szCs w:val="24"/>
                <w:lang w:val="es-AR" w:eastAsia="es-AR"/>
              </w:rPr>
              <w:t>14 (18.91%)</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3 </w:t>
            </w:r>
            <w:r w:rsidRPr="000366CD">
              <w:rPr>
                <w:b/>
                <w:bCs/>
                <w:color w:val="0A0A0A"/>
                <w:szCs w:val="24"/>
              </w:rPr>
              <w:t>MCQ</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0.94</w:t>
            </w:r>
          </w:p>
        </w:tc>
        <w:tc>
          <w:tcPr>
            <w:tcW w:w="2245" w:type="dxa"/>
          </w:tcPr>
          <w:p w:rsidR="00D058F6" w:rsidRPr="000366CD" w:rsidRDefault="00D058F6" w:rsidP="00D058F6">
            <w:pPr>
              <w:spacing w:after="0"/>
              <w:rPr>
                <w:szCs w:val="24"/>
                <w:lang w:val="es-ES"/>
              </w:rPr>
            </w:pPr>
            <w:r w:rsidRPr="000366CD">
              <w:rPr>
                <w:szCs w:val="24"/>
                <w:lang w:val="es-ES"/>
              </w:rPr>
              <w:t>70 (94.6%)</w:t>
            </w:r>
          </w:p>
        </w:tc>
        <w:tc>
          <w:tcPr>
            <w:tcW w:w="2245" w:type="dxa"/>
          </w:tcPr>
          <w:p w:rsidR="00D058F6" w:rsidRPr="000366CD" w:rsidRDefault="00D058F6" w:rsidP="00D058F6">
            <w:pPr>
              <w:spacing w:after="0"/>
              <w:rPr>
                <w:szCs w:val="24"/>
                <w:lang w:val="es-ES"/>
              </w:rPr>
            </w:pPr>
            <w:r w:rsidRPr="000366CD">
              <w:rPr>
                <w:szCs w:val="24"/>
                <w:lang w:val="es-ES"/>
              </w:rPr>
              <w:t>4 (5.4%)</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3 </w:t>
            </w:r>
            <w:r w:rsidRPr="000366CD">
              <w:rPr>
                <w:b/>
                <w:bCs/>
                <w:color w:val="0A0A0A"/>
                <w:szCs w:val="24"/>
              </w:rPr>
              <w:t>VSA</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0.87</w:t>
            </w:r>
          </w:p>
        </w:tc>
        <w:tc>
          <w:tcPr>
            <w:tcW w:w="2245" w:type="dxa"/>
          </w:tcPr>
          <w:p w:rsidR="00D058F6" w:rsidRPr="000366CD" w:rsidRDefault="00D058F6" w:rsidP="00D058F6">
            <w:pPr>
              <w:spacing w:after="0"/>
              <w:rPr>
                <w:szCs w:val="24"/>
                <w:lang w:val="es-ES"/>
              </w:rPr>
            </w:pPr>
            <w:r w:rsidRPr="000366CD">
              <w:rPr>
                <w:szCs w:val="24"/>
                <w:lang w:val="es-ES"/>
              </w:rPr>
              <w:t>65 (87.84 %)</w:t>
            </w:r>
          </w:p>
        </w:tc>
        <w:tc>
          <w:tcPr>
            <w:tcW w:w="2245" w:type="dxa"/>
          </w:tcPr>
          <w:p w:rsidR="00D058F6" w:rsidRPr="000366CD" w:rsidRDefault="00D058F6" w:rsidP="00D058F6">
            <w:pPr>
              <w:spacing w:after="0"/>
              <w:rPr>
                <w:szCs w:val="24"/>
                <w:lang w:val="es-ES"/>
              </w:rPr>
            </w:pPr>
            <w:r w:rsidRPr="000366CD">
              <w:rPr>
                <w:szCs w:val="24"/>
                <w:lang w:val="es-ES"/>
              </w:rPr>
              <w:t>9 (12.16%)</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4 </w:t>
            </w:r>
            <w:r w:rsidRPr="000366CD">
              <w:rPr>
                <w:b/>
                <w:bCs/>
                <w:color w:val="0A0A0A"/>
                <w:szCs w:val="24"/>
              </w:rPr>
              <w:t>MCQ</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0.91 </w:t>
            </w:r>
          </w:p>
        </w:tc>
        <w:tc>
          <w:tcPr>
            <w:tcW w:w="2245" w:type="dxa"/>
          </w:tcPr>
          <w:p w:rsidR="00D058F6" w:rsidRPr="000366CD" w:rsidRDefault="00D058F6" w:rsidP="00D058F6">
            <w:pPr>
              <w:spacing w:after="0"/>
              <w:rPr>
                <w:szCs w:val="24"/>
                <w:lang w:val="es-ES"/>
              </w:rPr>
            </w:pPr>
            <w:r w:rsidRPr="000366CD">
              <w:rPr>
                <w:szCs w:val="24"/>
                <w:lang w:val="es-ES"/>
              </w:rPr>
              <w:t>68 (91.9%)</w:t>
            </w:r>
          </w:p>
        </w:tc>
        <w:tc>
          <w:tcPr>
            <w:tcW w:w="2245" w:type="dxa"/>
          </w:tcPr>
          <w:p w:rsidR="00D058F6" w:rsidRPr="000366CD" w:rsidRDefault="00D058F6" w:rsidP="00D058F6">
            <w:pPr>
              <w:spacing w:after="0"/>
              <w:rPr>
                <w:szCs w:val="24"/>
                <w:lang w:val="es-ES"/>
              </w:rPr>
            </w:pPr>
            <w:r w:rsidRPr="000366CD">
              <w:rPr>
                <w:szCs w:val="24"/>
                <w:lang w:val="es-ES"/>
              </w:rPr>
              <w:t>6 (8.1%)</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4 </w:t>
            </w:r>
            <w:r w:rsidRPr="000366CD">
              <w:rPr>
                <w:b/>
                <w:bCs/>
                <w:color w:val="0A0A0A"/>
                <w:szCs w:val="24"/>
              </w:rPr>
              <w:t>VSA</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0.87</w:t>
            </w:r>
          </w:p>
        </w:tc>
        <w:tc>
          <w:tcPr>
            <w:tcW w:w="2245" w:type="dxa"/>
          </w:tcPr>
          <w:p w:rsidR="00D058F6" w:rsidRPr="000366CD" w:rsidRDefault="00D058F6" w:rsidP="00D058F6">
            <w:pPr>
              <w:spacing w:after="0"/>
              <w:rPr>
                <w:szCs w:val="24"/>
                <w:lang w:val="es-ES"/>
              </w:rPr>
            </w:pPr>
            <w:r w:rsidRPr="000366CD">
              <w:rPr>
                <w:szCs w:val="24"/>
                <w:lang w:val="es-ES"/>
              </w:rPr>
              <w:t>65 (87.8 %)</w:t>
            </w:r>
          </w:p>
        </w:tc>
        <w:tc>
          <w:tcPr>
            <w:tcW w:w="2245" w:type="dxa"/>
          </w:tcPr>
          <w:p w:rsidR="00D058F6" w:rsidRPr="000366CD" w:rsidRDefault="00D058F6" w:rsidP="00D058F6">
            <w:pPr>
              <w:spacing w:after="0"/>
              <w:rPr>
                <w:szCs w:val="24"/>
                <w:lang w:val="es-ES"/>
              </w:rPr>
            </w:pPr>
            <w:r w:rsidRPr="000366CD">
              <w:rPr>
                <w:szCs w:val="24"/>
                <w:lang w:val="es-ES"/>
              </w:rPr>
              <w:t>9 (12.2%)</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5 </w:t>
            </w:r>
            <w:r w:rsidRPr="000366CD">
              <w:rPr>
                <w:b/>
                <w:bCs/>
                <w:color w:val="0A0A0A"/>
                <w:szCs w:val="24"/>
              </w:rPr>
              <w:t>MCQ</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0.59</w:t>
            </w:r>
          </w:p>
        </w:tc>
        <w:tc>
          <w:tcPr>
            <w:tcW w:w="2245" w:type="dxa"/>
          </w:tcPr>
          <w:p w:rsidR="00D058F6" w:rsidRPr="000366CD" w:rsidRDefault="00D058F6" w:rsidP="00D058F6">
            <w:pPr>
              <w:spacing w:after="0"/>
              <w:rPr>
                <w:szCs w:val="24"/>
                <w:lang w:val="es-ES"/>
              </w:rPr>
            </w:pPr>
            <w:r w:rsidRPr="000366CD">
              <w:rPr>
                <w:szCs w:val="24"/>
                <w:lang w:val="es-ES"/>
              </w:rPr>
              <w:t>44 (59.45%)</w:t>
            </w:r>
          </w:p>
        </w:tc>
        <w:tc>
          <w:tcPr>
            <w:tcW w:w="2245" w:type="dxa"/>
          </w:tcPr>
          <w:p w:rsidR="00D058F6" w:rsidRPr="000366CD" w:rsidRDefault="00D058F6" w:rsidP="00D058F6">
            <w:pPr>
              <w:spacing w:after="0"/>
              <w:rPr>
                <w:szCs w:val="24"/>
                <w:lang w:val="es-ES"/>
              </w:rPr>
            </w:pPr>
            <w:r w:rsidRPr="000366CD">
              <w:rPr>
                <w:szCs w:val="24"/>
                <w:lang w:val="es-ES"/>
              </w:rPr>
              <w:t>30 (40.55%)</w:t>
            </w:r>
          </w:p>
        </w:tc>
      </w:tr>
      <w:tr w:rsidR="00D058F6" w:rsidRPr="000366CD" w:rsidTr="00D058F6">
        <w:tc>
          <w:tcPr>
            <w:tcW w:w="2244" w:type="dxa"/>
          </w:tcPr>
          <w:p w:rsidR="00D058F6" w:rsidRPr="000366CD" w:rsidRDefault="00D058F6" w:rsidP="00D058F6">
            <w:pPr>
              <w:spacing w:after="0"/>
              <w:rPr>
                <w:color w:val="0A0A0A"/>
                <w:szCs w:val="24"/>
                <w:lang w:val="es-ES"/>
              </w:rPr>
            </w:pPr>
            <w:r w:rsidRPr="000366CD">
              <w:rPr>
                <w:color w:val="0A0A0A"/>
                <w:szCs w:val="24"/>
                <w:lang w:val="es-ES"/>
              </w:rPr>
              <w:t xml:space="preserve">5 </w:t>
            </w:r>
            <w:r w:rsidRPr="000366CD">
              <w:rPr>
                <w:b/>
                <w:bCs/>
                <w:color w:val="0A0A0A"/>
                <w:szCs w:val="24"/>
              </w:rPr>
              <w:t>VSA</w:t>
            </w:r>
          </w:p>
        </w:tc>
        <w:tc>
          <w:tcPr>
            <w:tcW w:w="2244" w:type="dxa"/>
          </w:tcPr>
          <w:p w:rsidR="00D058F6" w:rsidRPr="000366CD" w:rsidRDefault="00D058F6" w:rsidP="00D058F6">
            <w:pPr>
              <w:spacing w:after="0"/>
              <w:rPr>
                <w:color w:val="0A0A0A"/>
                <w:szCs w:val="24"/>
                <w:lang w:val="es-ES"/>
              </w:rPr>
            </w:pPr>
            <w:r w:rsidRPr="000366CD">
              <w:rPr>
                <w:color w:val="0A0A0A"/>
                <w:szCs w:val="24"/>
                <w:lang w:val="es-ES"/>
              </w:rPr>
              <w:t>0.69</w:t>
            </w:r>
          </w:p>
        </w:tc>
        <w:tc>
          <w:tcPr>
            <w:tcW w:w="2245" w:type="dxa"/>
          </w:tcPr>
          <w:p w:rsidR="00D058F6" w:rsidRPr="000366CD" w:rsidRDefault="00D058F6" w:rsidP="00D058F6">
            <w:pPr>
              <w:spacing w:after="0"/>
              <w:rPr>
                <w:szCs w:val="24"/>
                <w:lang w:val="es-ES"/>
              </w:rPr>
            </w:pPr>
            <w:r w:rsidRPr="000366CD">
              <w:rPr>
                <w:szCs w:val="24"/>
                <w:lang w:val="es-ES"/>
              </w:rPr>
              <w:t>51 (68.9 %)</w:t>
            </w:r>
          </w:p>
        </w:tc>
        <w:tc>
          <w:tcPr>
            <w:tcW w:w="2245" w:type="dxa"/>
          </w:tcPr>
          <w:p w:rsidR="00D058F6" w:rsidRPr="000366CD" w:rsidRDefault="00D058F6" w:rsidP="00D058F6">
            <w:pPr>
              <w:spacing w:after="0"/>
              <w:rPr>
                <w:szCs w:val="24"/>
                <w:lang w:val="es-ES"/>
              </w:rPr>
            </w:pPr>
            <w:r w:rsidRPr="000366CD">
              <w:rPr>
                <w:szCs w:val="24"/>
                <w:lang w:val="es-ES"/>
              </w:rPr>
              <w:t>23 (31.1%)</w:t>
            </w:r>
          </w:p>
        </w:tc>
      </w:tr>
    </w:tbl>
    <w:p w:rsidR="00D058F6" w:rsidRDefault="00D058F6" w:rsidP="00D058F6">
      <w:pPr>
        <w:pStyle w:val="Heading1"/>
        <w:spacing w:after="240" w:line="240" w:lineRule="auto"/>
        <w:ind w:left="17"/>
        <w:jc w:val="both"/>
      </w:pPr>
    </w:p>
    <w:p w:rsidR="00D058F6" w:rsidRDefault="00D058F6" w:rsidP="00D058F6">
      <w:pPr>
        <w:pStyle w:val="Heading1"/>
        <w:spacing w:after="240" w:line="240" w:lineRule="auto"/>
        <w:ind w:left="17"/>
        <w:jc w:val="both"/>
      </w:pPr>
    </w:p>
    <w:p w:rsidR="00D058F6" w:rsidRDefault="00D058F6" w:rsidP="00D058F6">
      <w:pPr>
        <w:pStyle w:val="Heading1"/>
        <w:spacing w:after="240" w:line="240" w:lineRule="auto"/>
        <w:ind w:left="17"/>
        <w:jc w:val="both"/>
      </w:pPr>
    </w:p>
    <w:p w:rsidR="00D058F6" w:rsidRDefault="00D058F6" w:rsidP="00D058F6">
      <w:pPr>
        <w:pStyle w:val="Heading1"/>
        <w:spacing w:after="240" w:line="240" w:lineRule="auto"/>
        <w:ind w:left="17"/>
        <w:jc w:val="both"/>
      </w:pPr>
    </w:p>
    <w:p w:rsidR="00D058F6" w:rsidRPr="00D058F6" w:rsidRDefault="00D058F6" w:rsidP="00D058F6">
      <w:pPr>
        <w:pStyle w:val="Heading1"/>
        <w:spacing w:after="240"/>
        <w:ind w:left="17"/>
        <w:jc w:val="both"/>
      </w:pPr>
    </w:p>
    <w:p w:rsidR="00D058F6" w:rsidRDefault="00D058F6" w:rsidP="00D058F6">
      <w:pPr>
        <w:pStyle w:val="Heading1"/>
        <w:spacing w:after="240"/>
        <w:ind w:left="17"/>
        <w:jc w:val="both"/>
        <w:rPr>
          <w:bCs/>
        </w:rPr>
      </w:pPr>
    </w:p>
    <w:p w:rsidR="00D058F6" w:rsidRDefault="00D058F6" w:rsidP="00D058F6">
      <w:pPr>
        <w:pStyle w:val="Heading1"/>
        <w:spacing w:after="240"/>
        <w:ind w:left="17"/>
        <w:jc w:val="both"/>
        <w:rPr>
          <w:bCs/>
        </w:rPr>
      </w:pPr>
    </w:p>
    <w:p w:rsidR="00D058F6" w:rsidRDefault="00D058F6" w:rsidP="00D058F6">
      <w:pPr>
        <w:pStyle w:val="Heading1"/>
        <w:spacing w:after="0"/>
        <w:ind w:left="17"/>
        <w:jc w:val="both"/>
        <w:rPr>
          <w:bCs/>
        </w:rPr>
      </w:pPr>
    </w:p>
    <w:p w:rsidR="00D058F6" w:rsidRPr="00D058F6" w:rsidRDefault="00D058F6" w:rsidP="00D058F6">
      <w:pPr>
        <w:pStyle w:val="Heading1"/>
        <w:spacing w:after="240"/>
        <w:ind w:left="17"/>
        <w:jc w:val="both"/>
        <w:rPr>
          <w:bCs/>
          <w:sz w:val="24"/>
        </w:rPr>
      </w:pPr>
      <w:r w:rsidRPr="00D058F6">
        <w:rPr>
          <w:bCs/>
          <w:sz w:val="24"/>
        </w:rPr>
        <w:t>Table 3. Chi-Square Test Comparing Results for the Five Oral Mucosa Questions (MCQ vs. VSA)</w:t>
      </w:r>
    </w:p>
    <w:tbl>
      <w:tblPr>
        <w:tblStyle w:val="TableGrid0"/>
        <w:tblW w:w="0" w:type="auto"/>
        <w:tblLook w:val="04A0"/>
      </w:tblPr>
      <w:tblGrid>
        <w:gridCol w:w="1090"/>
        <w:gridCol w:w="1675"/>
        <w:gridCol w:w="943"/>
        <w:gridCol w:w="3694"/>
      </w:tblGrid>
      <w:tr w:rsidR="00D058F6" w:rsidRPr="00D058F6" w:rsidTr="00D058F6">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Question</w:t>
            </w:r>
          </w:p>
        </w:tc>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χ² (Chi-square)</w:t>
            </w:r>
          </w:p>
        </w:tc>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p-value</w:t>
            </w:r>
          </w:p>
        </w:tc>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Statistical Interpretation</w:t>
            </w:r>
          </w:p>
        </w:tc>
      </w:tr>
      <w:tr w:rsidR="00D058F6" w:rsidRPr="00D058F6" w:rsidTr="00D058F6">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1</w:t>
            </w:r>
          </w:p>
        </w:tc>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13.67</w:t>
            </w:r>
          </w:p>
        </w:tc>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0.0002</w:t>
            </w:r>
          </w:p>
        </w:tc>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 xml:space="preserve">Significant (MCQ &gt; VSA), </w:t>
            </w:r>
            <w:r w:rsidRPr="00D058F6">
              <w:rPr>
                <w:b w:val="0"/>
                <w:i/>
                <w:iCs/>
                <w:sz w:val="24"/>
                <w:szCs w:val="24"/>
              </w:rPr>
              <w:t>p</w:t>
            </w:r>
            <w:r w:rsidRPr="00D058F6">
              <w:rPr>
                <w:b w:val="0"/>
                <w:sz w:val="24"/>
                <w:szCs w:val="24"/>
              </w:rPr>
              <w:t xml:space="preserve"> &lt; 0.05</w:t>
            </w:r>
          </w:p>
        </w:tc>
      </w:tr>
      <w:tr w:rsidR="00D058F6" w:rsidRPr="00D058F6" w:rsidTr="00D058F6">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2</w:t>
            </w:r>
          </w:p>
        </w:tc>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0.17</w:t>
            </w:r>
          </w:p>
        </w:tc>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0.680</w:t>
            </w:r>
          </w:p>
        </w:tc>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Not significant</w:t>
            </w:r>
          </w:p>
        </w:tc>
      </w:tr>
      <w:tr w:rsidR="00D058F6" w:rsidRPr="00D058F6" w:rsidTr="00D058F6">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3</w:t>
            </w:r>
          </w:p>
        </w:tc>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2.94</w:t>
            </w:r>
          </w:p>
        </w:tc>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0.086</w:t>
            </w:r>
          </w:p>
        </w:tc>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Not significant</w:t>
            </w:r>
          </w:p>
        </w:tc>
      </w:tr>
      <w:tr w:rsidR="00D058F6" w:rsidRPr="00D058F6" w:rsidTr="00D058F6">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4</w:t>
            </w:r>
          </w:p>
        </w:tc>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0.61</w:t>
            </w:r>
          </w:p>
        </w:tc>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0.434</w:t>
            </w:r>
          </w:p>
        </w:tc>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Not significant</w:t>
            </w:r>
          </w:p>
        </w:tc>
      </w:tr>
      <w:tr w:rsidR="00D058F6" w:rsidRPr="00D058F6" w:rsidTr="00D058F6">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5</w:t>
            </w:r>
          </w:p>
        </w:tc>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0.03</w:t>
            </w:r>
          </w:p>
        </w:tc>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0.0869</w:t>
            </w:r>
          </w:p>
        </w:tc>
        <w:tc>
          <w:tcPr>
            <w:tcW w:w="0" w:type="auto"/>
            <w:hideMark/>
          </w:tcPr>
          <w:p w:rsidR="00D058F6" w:rsidRPr="00D058F6" w:rsidRDefault="00D058F6" w:rsidP="00D058F6">
            <w:pPr>
              <w:pStyle w:val="Heading1"/>
              <w:spacing w:after="0"/>
              <w:ind w:left="17"/>
              <w:jc w:val="both"/>
              <w:outlineLvl w:val="0"/>
              <w:rPr>
                <w:b w:val="0"/>
                <w:sz w:val="24"/>
                <w:szCs w:val="24"/>
              </w:rPr>
            </w:pPr>
            <w:r w:rsidRPr="00D058F6">
              <w:rPr>
                <w:b w:val="0"/>
                <w:sz w:val="24"/>
                <w:szCs w:val="24"/>
              </w:rPr>
              <w:t>Not significant</w:t>
            </w:r>
          </w:p>
        </w:tc>
      </w:tr>
    </w:tbl>
    <w:p w:rsidR="00D058F6" w:rsidRPr="00D058F6" w:rsidRDefault="00D058F6" w:rsidP="00D058F6">
      <w:pPr>
        <w:pStyle w:val="Heading1"/>
        <w:spacing w:after="0"/>
        <w:ind w:left="17"/>
        <w:jc w:val="both"/>
      </w:pPr>
    </w:p>
    <w:p w:rsidR="003276C8" w:rsidRDefault="00D86849" w:rsidP="00D058F6">
      <w:pPr>
        <w:pStyle w:val="Heading1"/>
        <w:spacing w:after="240" w:line="240" w:lineRule="auto"/>
        <w:ind w:left="17"/>
        <w:jc w:val="both"/>
      </w:pPr>
      <w:r>
        <w:t>DISCUSSION</w:t>
      </w:r>
      <w:r>
        <w:rPr>
          <w:sz w:val="24"/>
        </w:rPr>
        <w:t xml:space="preserve">  </w:t>
      </w:r>
    </w:p>
    <w:p w:rsidR="003276C8" w:rsidRDefault="00D86849" w:rsidP="00D058F6">
      <w:pPr>
        <w:spacing w:after="240" w:line="240" w:lineRule="auto"/>
        <w:ind w:left="17"/>
      </w:pPr>
      <w:r>
        <w:t>According to Bloom's taxonomy, which classifies educational objectives from basic knowledge to higher-order skills such as analysis and synthesis, different question formats may be more suitable for</w:t>
      </w:r>
      <w:r>
        <w:t xml:space="preserve"> evaluating different cognitive levels (9). </w:t>
      </w:r>
      <w:r>
        <w:rPr>
          <w:vertAlign w:val="superscript"/>
        </w:rPr>
        <w:t xml:space="preserve"> </w:t>
      </w:r>
      <w:r>
        <w:t xml:space="preserve"> This specific study evaluated only the basic level of knowledge, such as specific data allowing the student to recognize or differentiate evolutionary stages or morphological characteristics of oral cavity tiss</w:t>
      </w:r>
      <w:r>
        <w:t xml:space="preserve">ues. </w:t>
      </w:r>
    </w:p>
    <w:p w:rsidR="003276C8" w:rsidRDefault="00D86849" w:rsidP="00D058F6">
      <w:pPr>
        <w:spacing w:after="240" w:line="240" w:lineRule="auto"/>
        <w:ind w:left="17"/>
      </w:pPr>
      <w:r>
        <w:lastRenderedPageBreak/>
        <w:t>Based on the results, we can deduce that both Multiple Choice and Very Short Answer questions are useful for this purpose. In both cases, they serve as a platform to reach the applied knowledge that dentistry students will need in the clinical learni</w:t>
      </w:r>
      <w:r>
        <w:t xml:space="preserve">ng stage. </w:t>
      </w:r>
    </w:p>
    <w:p w:rsidR="003276C8" w:rsidRDefault="00D86849" w:rsidP="00D058F6">
      <w:pPr>
        <w:spacing w:after="240" w:line="240" w:lineRule="auto"/>
        <w:ind w:left="17"/>
      </w:pPr>
      <w:proofErr w:type="spellStart"/>
      <w:r>
        <w:t>McCoubrie</w:t>
      </w:r>
      <w:proofErr w:type="spellEnd"/>
      <w:r>
        <w:t xml:space="preserve"> (2004) and </w:t>
      </w:r>
      <w:proofErr w:type="spellStart"/>
      <w:r>
        <w:t>Jabeen</w:t>
      </w:r>
      <w:proofErr w:type="spellEnd"/>
      <w:r>
        <w:t xml:space="preserve"> et al. (2023) state that MCQs are widely used due to their high reliability and efficiency in automated grading, allowing for a wide range of content coverage in a short time (4, 10). However, Guzmán-Valdivia (2016) p</w:t>
      </w:r>
      <w:r>
        <w:t>oints out limitations, such as the possibility of guessing the correct answer and the "cueing effect," where options provide hints to the student (11). Furthermore, literature suggests that MCQs often stimulate recognition-based learning and may not adequa</w:t>
      </w:r>
      <w:r>
        <w:t xml:space="preserve">tely assess higher-order thinking skills or the ability to construct a response (12). </w:t>
      </w:r>
    </w:p>
    <w:p w:rsidR="003276C8" w:rsidRDefault="00D86849" w:rsidP="00D058F6">
      <w:pPr>
        <w:spacing w:after="240" w:line="240" w:lineRule="auto"/>
        <w:ind w:left="17"/>
      </w:pPr>
      <w:r>
        <w:t>Conversely, VSAs mitigate guessing and cueing by requiring constructed responses (typically, one word/phrase) (12). Descriptive results and t-test suggest superior MCQ m</w:t>
      </w:r>
      <w:r>
        <w:t xml:space="preserve">ean performance (85.08% vs. 79.48%), aligning with the literature on lower scores in constructed-response formats (12, 13).  </w:t>
      </w:r>
    </w:p>
    <w:p w:rsidR="003276C8" w:rsidRDefault="00D86849" w:rsidP="00D058F6">
      <w:pPr>
        <w:spacing w:after="240" w:line="240" w:lineRule="auto"/>
        <w:ind w:left="17"/>
      </w:pPr>
      <w:r>
        <w:t xml:space="preserve">The only exception was the higher-difficulty item (p=0.59-0.69), with more correct VSA responses (nonsignificant). Presutti et al. (2019) reported that VSAs offer greater reliability and discrimination than MCQs, despite lower means (10,11).  </w:t>
      </w:r>
    </w:p>
    <w:p w:rsidR="00D058F6" w:rsidRDefault="00D86849" w:rsidP="00D058F6">
      <w:pPr>
        <w:spacing w:after="240" w:line="240" w:lineRule="auto"/>
        <w:ind w:left="17"/>
      </w:pPr>
      <w:r>
        <w:t>We agree wit</w:t>
      </w:r>
      <w:r>
        <w:t>h researchers who assert that VSA questions tend to better reflect real-life clinical situations and may encourage deeper preparation for clinical practice. However, their grading requires more time and may introduce examiner bias if not rigorously standar</w:t>
      </w:r>
      <w:r>
        <w:t>dized (10, 13). It is possible that MCQs are more suitable for formative assessment stages and VSAs for summative assessment, though this is not conclusive</w:t>
      </w:r>
      <w:r w:rsidR="00D058F6">
        <w:t>.</w:t>
      </w:r>
      <w:r>
        <w:t xml:space="preserve"> </w:t>
      </w:r>
    </w:p>
    <w:p w:rsidR="003276C8" w:rsidRDefault="00D86849" w:rsidP="00D058F6">
      <w:pPr>
        <w:spacing w:after="240" w:line="240" w:lineRule="auto"/>
        <w:ind w:left="17"/>
      </w:pPr>
      <w:r>
        <w:rPr>
          <w:b/>
        </w:rPr>
        <w:t xml:space="preserve">Limitations </w:t>
      </w:r>
    </w:p>
    <w:p w:rsidR="003276C8" w:rsidRDefault="00D86849" w:rsidP="00D058F6">
      <w:pPr>
        <w:spacing w:after="240" w:line="240" w:lineRule="auto"/>
        <w:ind w:left="17"/>
      </w:pPr>
      <w:r>
        <w:t>Despite identical learning environments, non-random cohort-based format assignments r</w:t>
      </w:r>
      <w:r>
        <w:t xml:space="preserve">isk unmeasured confounders (e.g., motivation). The sample size (n=74) detected large differences but limited the power for smaller effects and </w:t>
      </w:r>
      <w:proofErr w:type="spellStart"/>
      <w:r>
        <w:t>generalizability</w:t>
      </w:r>
      <w:proofErr w:type="spellEnd"/>
      <w:r>
        <w:t>; multicenter studies are needed. Scope limited to basic Bloom level in one institution's basic d</w:t>
      </w:r>
      <w:r>
        <w:t>entistry cycle, non-</w:t>
      </w:r>
      <w:proofErr w:type="spellStart"/>
      <w:r>
        <w:t>extrapolable</w:t>
      </w:r>
      <w:proofErr w:type="spellEnd"/>
      <w:r>
        <w:t xml:space="preserve"> elsewhere. Further studies in the field should consider conducting research on higher order levels of thinking and also use multi-institutional samples in order to make it generalizable </w:t>
      </w:r>
    </w:p>
    <w:p w:rsidR="003276C8" w:rsidRDefault="00D86849" w:rsidP="00D058F6">
      <w:pPr>
        <w:pStyle w:val="Heading1"/>
        <w:spacing w:after="240" w:line="240" w:lineRule="auto"/>
        <w:ind w:left="17"/>
        <w:jc w:val="both"/>
      </w:pPr>
      <w:r>
        <w:t>CONCLUSION</w:t>
      </w:r>
      <w:r>
        <w:rPr>
          <w:b w:val="0"/>
          <w:sz w:val="24"/>
        </w:rPr>
        <w:t xml:space="preserve"> </w:t>
      </w:r>
    </w:p>
    <w:p w:rsidR="003276C8" w:rsidRDefault="00D86849" w:rsidP="00D058F6">
      <w:pPr>
        <w:spacing w:after="240" w:line="240" w:lineRule="auto"/>
        <w:ind w:left="17"/>
      </w:pPr>
      <w:r>
        <w:t>This study provides rele</w:t>
      </w:r>
      <w:r>
        <w:t>vant information on the use of two common assessment methods in health sciences. While the VSA exam requires more time for correction, faculty subjectively noted the students' level of concentration and dedication to formulating precise answers. However, V</w:t>
      </w:r>
      <w:r>
        <w:t xml:space="preserve">SA requires the teaching team to carefully draft each question to avoid answer dispersion and interpretation needs. MCQs, while simpler and faster to grade, require correct diagramming of distractors to reduce guessing. </w:t>
      </w:r>
    </w:p>
    <w:p w:rsidR="003276C8" w:rsidRDefault="00D86849" w:rsidP="00D058F6">
      <w:pPr>
        <w:spacing w:after="240" w:line="240" w:lineRule="auto"/>
        <w:ind w:left="17"/>
      </w:pPr>
      <w:r>
        <w:t>This work did not address higher co</w:t>
      </w:r>
      <w:r>
        <w:t xml:space="preserve">gnitive levels (comprehension, application, analysis). We conclude that for the exploration of basic knowledge, both systems are adequate if employed with a clear understanding of their strengths and weaknesses and the teaching-learning objectives. </w:t>
      </w:r>
    </w:p>
    <w:p w:rsidR="003276C8" w:rsidRDefault="00D86849" w:rsidP="00D058F6">
      <w:pPr>
        <w:spacing w:after="240" w:line="240" w:lineRule="auto"/>
        <w:ind w:left="17"/>
      </w:pPr>
      <w:r>
        <w:rPr>
          <w:b/>
        </w:rPr>
        <w:t>Confli</w:t>
      </w:r>
      <w:r>
        <w:rPr>
          <w:b/>
        </w:rPr>
        <w:t>ct of Interest</w:t>
      </w:r>
      <w:r>
        <w:t xml:space="preserve"> The authors declare no conflicts of interest regarding the publication of this article. </w:t>
      </w:r>
    </w:p>
    <w:p w:rsidR="003276C8" w:rsidRDefault="00D86849" w:rsidP="00D058F6">
      <w:pPr>
        <w:pStyle w:val="Heading1"/>
        <w:spacing w:after="240" w:line="240" w:lineRule="auto"/>
        <w:ind w:left="17"/>
        <w:jc w:val="both"/>
      </w:pPr>
      <w:r>
        <w:t>REFERENCES</w:t>
      </w:r>
      <w:r>
        <w:rPr>
          <w:sz w:val="24"/>
        </w:rPr>
        <w:t xml:space="preserve"> </w:t>
      </w:r>
    </w:p>
    <w:p w:rsidR="003276C8" w:rsidRPr="00D058F6" w:rsidRDefault="00D86849" w:rsidP="00D058F6">
      <w:pPr>
        <w:numPr>
          <w:ilvl w:val="0"/>
          <w:numId w:val="2"/>
        </w:numPr>
        <w:spacing w:after="0" w:line="240" w:lineRule="auto"/>
        <w:ind w:left="648" w:right="-9" w:hanging="360"/>
      </w:pPr>
      <w:r w:rsidRPr="00D058F6">
        <w:rPr>
          <w:color w:val="0A0A0A"/>
        </w:rPr>
        <w:t xml:space="preserve">Norcini, J., &amp; Burch, V. (2007). Workplace-based assessment as an educational tool: AMEE Guide No. 31. Medical Teacher, 29(8), 746-762. </w:t>
      </w:r>
      <w:hyperlink r:id="rId8">
        <w:r w:rsidRPr="00D058F6">
          <w:rPr>
            <w:color w:val="0000FF"/>
          </w:rPr>
          <w:t>https://doi.org/10.1080/01421590701775453</w:t>
        </w:r>
      </w:hyperlink>
      <w:hyperlink r:id="rId9">
        <w:r w:rsidRPr="00D058F6">
          <w:rPr>
            <w:color w:val="0A0A0A"/>
          </w:rPr>
          <w:t xml:space="preserve"> </w:t>
        </w:r>
      </w:hyperlink>
    </w:p>
    <w:p w:rsidR="003276C8" w:rsidRPr="00D058F6" w:rsidRDefault="00D86849" w:rsidP="00D058F6">
      <w:pPr>
        <w:numPr>
          <w:ilvl w:val="0"/>
          <w:numId w:val="2"/>
        </w:numPr>
        <w:spacing w:after="0" w:line="240" w:lineRule="auto"/>
        <w:ind w:left="648" w:right="-9" w:hanging="360"/>
      </w:pPr>
      <w:r w:rsidRPr="00D058F6">
        <w:rPr>
          <w:color w:val="0A0A0A"/>
        </w:rPr>
        <w:t>Dudley, R. A. (2012). The washback effect: considering how we assess clinical practice. Nurse Educa</w:t>
      </w:r>
      <w:r w:rsidRPr="00D058F6">
        <w:rPr>
          <w:color w:val="0A0A0A"/>
        </w:rPr>
        <w:t xml:space="preserve">tion Today, 32(7), 727-732. </w:t>
      </w:r>
      <w:hyperlink r:id="rId10">
        <w:r w:rsidRPr="00D058F6">
          <w:rPr>
            <w:color w:val="0000FF"/>
          </w:rPr>
          <w:t>https://doi.org/10.1016/j.nedt.2012.05.012</w:t>
        </w:r>
      </w:hyperlink>
      <w:hyperlink r:id="rId11">
        <w:r w:rsidRPr="00D058F6">
          <w:rPr>
            <w:color w:val="0A0A0A"/>
          </w:rPr>
          <w:t xml:space="preserve"> </w:t>
        </w:r>
      </w:hyperlink>
    </w:p>
    <w:p w:rsidR="00B206EF" w:rsidRPr="00B206EF" w:rsidRDefault="00D86849" w:rsidP="00D058F6">
      <w:pPr>
        <w:numPr>
          <w:ilvl w:val="0"/>
          <w:numId w:val="2"/>
        </w:numPr>
        <w:spacing w:after="0" w:line="240" w:lineRule="auto"/>
        <w:ind w:left="648" w:right="-9" w:hanging="360"/>
      </w:pPr>
      <w:r w:rsidRPr="00D058F6">
        <w:rPr>
          <w:color w:val="0A0A0A"/>
        </w:rPr>
        <w:t>Newble, D. I., &amp; Jaeger, K. (1983). The effect of assessments an</w:t>
      </w:r>
      <w:r w:rsidRPr="00D058F6">
        <w:rPr>
          <w:color w:val="0A0A0A"/>
        </w:rPr>
        <w:t xml:space="preserve">d examinations on the learning of medical students. Medical Education, 17(3), 165-171. </w:t>
      </w:r>
    </w:p>
    <w:p w:rsidR="003276C8" w:rsidRPr="00D058F6" w:rsidRDefault="0047327B" w:rsidP="00B206EF">
      <w:pPr>
        <w:spacing w:after="0" w:line="240" w:lineRule="auto"/>
        <w:ind w:left="648" w:right="-9" w:firstLine="0"/>
      </w:pPr>
      <w:hyperlink r:id="rId12">
        <w:r w:rsidR="00D86849" w:rsidRPr="00D058F6">
          <w:rPr>
            <w:color w:val="0000FF"/>
          </w:rPr>
          <w:t>https://doi.org/10.1111/j.1365</w:t>
        </w:r>
      </w:hyperlink>
      <w:hyperlink r:id="rId13"/>
      <w:hyperlink r:id="rId14">
        <w:r w:rsidR="00D86849" w:rsidRPr="00D058F6">
          <w:rPr>
            <w:color w:val="0000FF"/>
          </w:rPr>
          <w:t>2923.1983.tb00657.x</w:t>
        </w:r>
      </w:hyperlink>
      <w:hyperlink r:id="rId15">
        <w:r w:rsidR="00D86849" w:rsidRPr="00D058F6">
          <w:rPr>
            <w:color w:val="0A0A0A"/>
          </w:rPr>
          <w:t xml:space="preserve"> </w:t>
        </w:r>
      </w:hyperlink>
    </w:p>
    <w:p w:rsidR="003276C8" w:rsidRPr="00D058F6" w:rsidRDefault="00D86849" w:rsidP="00D058F6">
      <w:pPr>
        <w:numPr>
          <w:ilvl w:val="0"/>
          <w:numId w:val="2"/>
        </w:numPr>
        <w:spacing w:after="0" w:line="240" w:lineRule="auto"/>
        <w:ind w:left="648" w:right="-9" w:hanging="360"/>
      </w:pPr>
      <w:r w:rsidRPr="00D058F6">
        <w:rPr>
          <w:color w:val="0A0A0A"/>
        </w:rPr>
        <w:lastRenderedPageBreak/>
        <w:t>McCoubrie, P. (2004). Improving the fairness of multiple-choice questions: a literature review. Medica</w:t>
      </w:r>
      <w:r w:rsidRPr="00D058F6">
        <w:rPr>
          <w:color w:val="0A0A0A"/>
        </w:rPr>
        <w:t xml:space="preserve">l Teacher, 26(8), 709-712. </w:t>
      </w:r>
      <w:hyperlink r:id="rId16">
        <w:r w:rsidRPr="00D058F6">
          <w:rPr>
            <w:color w:val="0000FF"/>
          </w:rPr>
          <w:t>https://doi.org/10.1080/01421590400013442</w:t>
        </w:r>
      </w:hyperlink>
      <w:hyperlink r:id="rId17">
        <w:r w:rsidRPr="00D058F6">
          <w:rPr>
            <w:color w:val="0A0A0A"/>
          </w:rPr>
          <w:t xml:space="preserve"> </w:t>
        </w:r>
      </w:hyperlink>
    </w:p>
    <w:p w:rsidR="00B206EF" w:rsidRPr="00B206EF" w:rsidRDefault="00D86849" w:rsidP="00D058F6">
      <w:pPr>
        <w:numPr>
          <w:ilvl w:val="0"/>
          <w:numId w:val="2"/>
        </w:numPr>
        <w:spacing w:after="0" w:line="240" w:lineRule="auto"/>
        <w:ind w:left="648" w:right="-9" w:hanging="360"/>
      </w:pPr>
      <w:r w:rsidRPr="00D058F6">
        <w:rPr>
          <w:color w:val="0A0A0A"/>
        </w:rPr>
        <w:t xml:space="preserve">van </w:t>
      </w:r>
      <w:r w:rsidRPr="00D058F6">
        <w:rPr>
          <w:color w:val="0A0A0A"/>
        </w:rPr>
        <w:t xml:space="preserve">Wijk, E. V., Janse, R. J., </w:t>
      </w:r>
      <w:proofErr w:type="spellStart"/>
      <w:r w:rsidRPr="00D058F6">
        <w:rPr>
          <w:color w:val="0A0A0A"/>
        </w:rPr>
        <w:t>Ruijter</w:t>
      </w:r>
      <w:proofErr w:type="spellEnd"/>
      <w:r w:rsidRPr="00D058F6">
        <w:rPr>
          <w:color w:val="0A0A0A"/>
        </w:rPr>
        <w:t xml:space="preserve">, B. N., Rohling, J. H. T., van der Kraan, J., </w:t>
      </w:r>
      <w:proofErr w:type="spellStart"/>
      <w:r w:rsidRPr="00D058F6">
        <w:rPr>
          <w:color w:val="0A0A0A"/>
        </w:rPr>
        <w:t>Crobach</w:t>
      </w:r>
      <w:proofErr w:type="spellEnd"/>
      <w:r w:rsidRPr="00D058F6">
        <w:rPr>
          <w:color w:val="0A0A0A"/>
        </w:rPr>
        <w:t>, S., et al. (2023). Use of very short answer questions compared to multiple choice questions in undergraduate medical students: An external validation study. PLoS ONE,</w:t>
      </w:r>
      <w:r w:rsidRPr="00D058F6">
        <w:rPr>
          <w:color w:val="0A0A0A"/>
        </w:rPr>
        <w:t xml:space="preserve"> 18(7), e0288558. </w:t>
      </w:r>
    </w:p>
    <w:p w:rsidR="003276C8" w:rsidRPr="00D058F6" w:rsidRDefault="0047327B" w:rsidP="00B206EF">
      <w:pPr>
        <w:spacing w:after="0" w:line="240" w:lineRule="auto"/>
        <w:ind w:left="648" w:right="-9" w:firstLine="0"/>
      </w:pPr>
      <w:hyperlink r:id="rId18">
        <w:r w:rsidR="00D86849" w:rsidRPr="00D058F6">
          <w:rPr>
            <w:color w:val="0000FF"/>
          </w:rPr>
          <w:t>https://doi.org/10.1371/journal.pone.0288558</w:t>
        </w:r>
      </w:hyperlink>
      <w:hyperlink r:id="rId19">
        <w:r w:rsidR="00D86849" w:rsidRPr="00D058F6">
          <w:rPr>
            <w:color w:val="0A0A0A"/>
          </w:rPr>
          <w:t xml:space="preserve"> </w:t>
        </w:r>
      </w:hyperlink>
    </w:p>
    <w:p w:rsidR="003276C8" w:rsidRPr="00D058F6" w:rsidRDefault="00D86849" w:rsidP="00D058F6">
      <w:pPr>
        <w:numPr>
          <w:ilvl w:val="0"/>
          <w:numId w:val="2"/>
        </w:numPr>
        <w:spacing w:after="0" w:line="240" w:lineRule="auto"/>
        <w:ind w:left="648" w:right="-9" w:hanging="360"/>
      </w:pPr>
      <w:r w:rsidRPr="00D058F6">
        <w:rPr>
          <w:color w:val="0A0A0A"/>
        </w:rPr>
        <w:t>Gupta, P., Verma, M., &amp; Sudesh, G. (2021). Item analysis of multiple</w:t>
      </w:r>
      <w:r w:rsidRPr="00D058F6">
        <w:rPr>
          <w:color w:val="0A0A0A"/>
        </w:rPr>
        <w:t xml:space="preserve"> choice questions: A quality assurance test for an assessment of medical students. Journal of Family Medicine and Primary Care, 10(1), 724-728. </w:t>
      </w:r>
      <w:hyperlink r:id="rId20">
        <w:r w:rsidRPr="00D058F6">
          <w:rPr>
            <w:color w:val="0000FF"/>
          </w:rPr>
          <w:t>https://doi.org/10.4103/jfmpc.jfmpc_1073_20</w:t>
        </w:r>
      </w:hyperlink>
      <w:hyperlink r:id="rId21">
        <w:r w:rsidRPr="00D058F6">
          <w:rPr>
            <w:color w:val="0A0A0A"/>
          </w:rPr>
          <w:t xml:space="preserve"> </w:t>
        </w:r>
      </w:hyperlink>
    </w:p>
    <w:p w:rsidR="003276C8" w:rsidRPr="00D058F6" w:rsidRDefault="00D86849" w:rsidP="00D058F6">
      <w:pPr>
        <w:numPr>
          <w:ilvl w:val="0"/>
          <w:numId w:val="2"/>
        </w:numPr>
        <w:spacing w:after="0" w:line="240" w:lineRule="auto"/>
        <w:ind w:left="648" w:right="-9" w:hanging="360"/>
      </w:pPr>
      <w:r w:rsidRPr="00D058F6">
        <w:rPr>
          <w:color w:val="0A0A0A"/>
        </w:rPr>
        <w:t>Downing, S. M. (2003). Validity: on the meaningful interpretation of assessment data. Medical Education, 37(9), 830-83</w:t>
      </w:r>
      <w:r w:rsidRPr="00D058F6">
        <w:rPr>
          <w:color w:val="0A0A0A"/>
        </w:rPr>
        <w:t xml:space="preserve">7. </w:t>
      </w:r>
      <w:hyperlink r:id="rId22">
        <w:r w:rsidRPr="00D058F6">
          <w:rPr>
            <w:color w:val="0000FF"/>
          </w:rPr>
          <w:t>https://doi.org/10.1046/j.1365</w:t>
        </w:r>
      </w:hyperlink>
      <w:hyperlink r:id="rId23">
        <w:r w:rsidRPr="00D058F6">
          <w:rPr>
            <w:color w:val="0000FF"/>
          </w:rPr>
          <w:t>-</w:t>
        </w:r>
      </w:hyperlink>
      <w:hyperlink r:id="rId24">
        <w:r w:rsidRPr="00D058F6">
          <w:rPr>
            <w:color w:val="0000FF"/>
          </w:rPr>
          <w:t>2923.2003.01594.x</w:t>
        </w:r>
      </w:hyperlink>
      <w:hyperlink r:id="rId25">
        <w:r w:rsidRPr="00D058F6">
          <w:rPr>
            <w:color w:val="0A0A0A"/>
          </w:rPr>
          <w:t xml:space="preserve"> </w:t>
        </w:r>
      </w:hyperlink>
    </w:p>
    <w:p w:rsidR="003276C8" w:rsidRPr="00D058F6" w:rsidRDefault="00D86849" w:rsidP="00D058F6">
      <w:pPr>
        <w:numPr>
          <w:ilvl w:val="0"/>
          <w:numId w:val="2"/>
        </w:numPr>
        <w:spacing w:after="0" w:line="240" w:lineRule="auto"/>
        <w:ind w:left="648" w:right="-9" w:hanging="360"/>
      </w:pPr>
      <w:r w:rsidRPr="00D058F6">
        <w:rPr>
          <w:color w:val="0A0A0A"/>
        </w:rPr>
        <w:t xml:space="preserve">Martínez-Ramos, M. (2016). </w:t>
      </w:r>
      <w:proofErr w:type="spellStart"/>
      <w:r w:rsidRPr="00D058F6">
        <w:rPr>
          <w:color w:val="0A0A0A"/>
        </w:rPr>
        <w:t>Evaluación</w:t>
      </w:r>
      <w:proofErr w:type="spellEnd"/>
      <w:r w:rsidRPr="00D058F6">
        <w:rPr>
          <w:color w:val="0A0A0A"/>
        </w:rPr>
        <w:t xml:space="preserve"> de </w:t>
      </w:r>
      <w:proofErr w:type="spellStart"/>
      <w:r w:rsidRPr="00D058F6">
        <w:rPr>
          <w:color w:val="0A0A0A"/>
        </w:rPr>
        <w:t>reactivos</w:t>
      </w:r>
      <w:proofErr w:type="spellEnd"/>
      <w:r w:rsidRPr="00D058F6">
        <w:rPr>
          <w:color w:val="0A0A0A"/>
        </w:rPr>
        <w:t xml:space="preserve"> de </w:t>
      </w:r>
      <w:proofErr w:type="spellStart"/>
      <w:r w:rsidRPr="00D058F6">
        <w:rPr>
          <w:color w:val="0A0A0A"/>
        </w:rPr>
        <w:t>opción</w:t>
      </w:r>
      <w:proofErr w:type="spellEnd"/>
      <w:r w:rsidRPr="00D058F6">
        <w:rPr>
          <w:color w:val="0A0A0A"/>
        </w:rPr>
        <w:t xml:space="preserve"> </w:t>
      </w:r>
      <w:proofErr w:type="spellStart"/>
      <w:r w:rsidRPr="00D058F6">
        <w:rPr>
          <w:color w:val="0A0A0A"/>
        </w:rPr>
        <w:t>múltiple</w:t>
      </w:r>
      <w:proofErr w:type="spellEnd"/>
      <w:r w:rsidRPr="00D058F6">
        <w:rPr>
          <w:color w:val="0A0A0A"/>
        </w:rPr>
        <w:t xml:space="preserve"> en </w:t>
      </w:r>
      <w:proofErr w:type="spellStart"/>
      <w:r w:rsidRPr="00D058F6">
        <w:rPr>
          <w:color w:val="0A0A0A"/>
        </w:rPr>
        <w:t>medicina</w:t>
      </w:r>
      <w:proofErr w:type="spellEnd"/>
      <w:r w:rsidRPr="00D058F6">
        <w:rPr>
          <w:color w:val="0A0A0A"/>
        </w:rPr>
        <w:t xml:space="preserve">: </w:t>
      </w:r>
      <w:proofErr w:type="spellStart"/>
      <w:r w:rsidRPr="00D058F6">
        <w:rPr>
          <w:color w:val="0A0A0A"/>
        </w:rPr>
        <w:t>evidencia</w:t>
      </w:r>
      <w:proofErr w:type="spellEnd"/>
      <w:r w:rsidRPr="00D058F6">
        <w:rPr>
          <w:color w:val="0A0A0A"/>
        </w:rPr>
        <w:t xml:space="preserve"> de </w:t>
      </w:r>
      <w:proofErr w:type="spellStart"/>
      <w:r w:rsidRPr="00D058F6">
        <w:rPr>
          <w:color w:val="0A0A0A"/>
        </w:rPr>
        <w:t>validez</w:t>
      </w:r>
      <w:proofErr w:type="spellEnd"/>
      <w:r w:rsidRPr="00D058F6">
        <w:rPr>
          <w:color w:val="0A0A0A"/>
        </w:rPr>
        <w:t xml:space="preserve"> de </w:t>
      </w:r>
      <w:proofErr w:type="gramStart"/>
      <w:r w:rsidRPr="00D058F6">
        <w:rPr>
          <w:color w:val="0A0A0A"/>
        </w:rPr>
        <w:t>un</w:t>
      </w:r>
      <w:proofErr w:type="gramEnd"/>
      <w:r w:rsidRPr="00D058F6">
        <w:rPr>
          <w:color w:val="0A0A0A"/>
        </w:rPr>
        <w:t xml:space="preserve"> </w:t>
      </w:r>
      <w:proofErr w:type="spellStart"/>
      <w:r w:rsidRPr="00D058F6">
        <w:rPr>
          <w:color w:val="0A0A0A"/>
        </w:rPr>
        <w:t>instrumento</w:t>
      </w:r>
      <w:proofErr w:type="spellEnd"/>
      <w:r w:rsidRPr="00D058F6">
        <w:rPr>
          <w:color w:val="0A0A0A"/>
        </w:rPr>
        <w:t xml:space="preserve"> [Evaluation of multiple choice items in medicine: evidence of validity of</w:t>
      </w:r>
      <w:r w:rsidRPr="00D058F6">
        <w:rPr>
          <w:color w:val="0A0A0A"/>
        </w:rPr>
        <w:t xml:space="preserve"> an instrument]. </w:t>
      </w:r>
      <w:r w:rsidRPr="00D058F6">
        <w:rPr>
          <w:color w:val="0A0A0A"/>
        </w:rPr>
        <w:tab/>
      </w:r>
      <w:proofErr w:type="spellStart"/>
      <w:r w:rsidRPr="00D058F6">
        <w:rPr>
          <w:color w:val="0A0A0A"/>
        </w:rPr>
        <w:t>Investigación</w:t>
      </w:r>
      <w:proofErr w:type="spellEnd"/>
      <w:r w:rsidRPr="00D058F6">
        <w:rPr>
          <w:color w:val="0A0A0A"/>
        </w:rPr>
        <w:t xml:space="preserve"> </w:t>
      </w:r>
      <w:r w:rsidRPr="00D058F6">
        <w:rPr>
          <w:color w:val="0A0A0A"/>
        </w:rPr>
        <w:tab/>
        <w:t xml:space="preserve">en </w:t>
      </w:r>
      <w:r w:rsidRPr="00D058F6">
        <w:rPr>
          <w:color w:val="0A0A0A"/>
        </w:rPr>
        <w:tab/>
      </w:r>
      <w:proofErr w:type="spellStart"/>
      <w:r w:rsidRPr="00D058F6">
        <w:rPr>
          <w:color w:val="0A0A0A"/>
        </w:rPr>
        <w:t>Educación</w:t>
      </w:r>
      <w:proofErr w:type="spellEnd"/>
      <w:r w:rsidRPr="00D058F6">
        <w:rPr>
          <w:color w:val="0A0A0A"/>
        </w:rPr>
        <w:t xml:space="preserve"> </w:t>
      </w:r>
      <w:r w:rsidRPr="00D058F6">
        <w:rPr>
          <w:color w:val="0A0A0A"/>
        </w:rPr>
        <w:tab/>
      </w:r>
      <w:proofErr w:type="spellStart"/>
      <w:r w:rsidRPr="00D058F6">
        <w:rPr>
          <w:color w:val="0A0A0A"/>
        </w:rPr>
        <w:t>Médica</w:t>
      </w:r>
      <w:proofErr w:type="spellEnd"/>
      <w:r w:rsidRPr="00D058F6">
        <w:rPr>
          <w:color w:val="0A0A0A"/>
        </w:rPr>
        <w:t xml:space="preserve">, </w:t>
      </w:r>
      <w:r w:rsidRPr="00D058F6">
        <w:rPr>
          <w:color w:val="0A0A0A"/>
        </w:rPr>
        <w:tab/>
        <w:t xml:space="preserve">5(19), </w:t>
      </w:r>
      <w:r w:rsidRPr="00D058F6">
        <w:rPr>
          <w:color w:val="0A0A0A"/>
        </w:rPr>
        <w:tab/>
        <w:t xml:space="preserve">198-206. </w:t>
      </w:r>
      <w:hyperlink r:id="rId26">
        <w:r w:rsidRPr="00D058F6">
          <w:rPr>
            <w:color w:val="0000FF"/>
          </w:rPr>
          <w:t>https://doi.org/10.1016/j.riem.2016.05.002</w:t>
        </w:r>
      </w:hyperlink>
      <w:hyperlink r:id="rId27">
        <w:r w:rsidRPr="00D058F6">
          <w:rPr>
            <w:color w:val="0A0A0A"/>
          </w:rPr>
          <w:t xml:space="preserve"> </w:t>
        </w:r>
      </w:hyperlink>
    </w:p>
    <w:p w:rsidR="003276C8" w:rsidRPr="00D058F6" w:rsidRDefault="00D86849" w:rsidP="00D058F6">
      <w:pPr>
        <w:numPr>
          <w:ilvl w:val="0"/>
          <w:numId w:val="2"/>
        </w:numPr>
        <w:spacing w:after="0" w:line="240" w:lineRule="auto"/>
        <w:ind w:left="648" w:right="-9" w:hanging="360"/>
      </w:pPr>
      <w:r w:rsidRPr="00D058F6">
        <w:rPr>
          <w:color w:val="0A0A0A"/>
        </w:rPr>
        <w:t>Bloom, B. S., Engelhart, M. D., Furst, E. J., Hill, W. H., &amp; Krathwohl, D. R. (1956). Taxonomy of educational objectives: The classification of educational goals. Handbook I: Cognitive domain. New York: David M</w:t>
      </w:r>
      <w:r w:rsidRPr="00D058F6">
        <w:rPr>
          <w:color w:val="0A0A0A"/>
        </w:rPr>
        <w:t xml:space="preserve">cKay Company. </w:t>
      </w:r>
    </w:p>
    <w:p w:rsidR="003276C8" w:rsidRPr="00D058F6" w:rsidRDefault="00D86849" w:rsidP="00D058F6">
      <w:pPr>
        <w:numPr>
          <w:ilvl w:val="0"/>
          <w:numId w:val="2"/>
        </w:numPr>
        <w:spacing w:after="0" w:line="240" w:lineRule="auto"/>
        <w:ind w:left="648" w:right="-9" w:hanging="360"/>
      </w:pPr>
      <w:r w:rsidRPr="00D058F6">
        <w:rPr>
          <w:color w:val="0A0A0A"/>
        </w:rPr>
        <w:t>Jabeen, M., Syeda, K., Akhter, R., &amp; Saeed, R. (2023). Validity of multiple choice questions for the assessment of medical post graduate students-a retrospective observational study. Journal of the Pakistan Medical Association, 73(6), 1345-1</w:t>
      </w:r>
      <w:r w:rsidRPr="00D058F6">
        <w:rPr>
          <w:color w:val="0A0A0A"/>
        </w:rPr>
        <w:t xml:space="preserve">350. </w:t>
      </w:r>
      <w:hyperlink r:id="rId28">
        <w:r w:rsidRPr="00D058F6">
          <w:rPr>
            <w:color w:val="0000FF"/>
          </w:rPr>
          <w:t>https://doi.org/10.47391/JPMA.6878</w:t>
        </w:r>
      </w:hyperlink>
      <w:hyperlink r:id="rId29">
        <w:r w:rsidRPr="00D058F6">
          <w:rPr>
            <w:color w:val="0A0A0A"/>
          </w:rPr>
          <w:t xml:space="preserve"> </w:t>
        </w:r>
      </w:hyperlink>
    </w:p>
    <w:p w:rsidR="00B206EF" w:rsidRPr="00B206EF" w:rsidRDefault="00D86849" w:rsidP="00D058F6">
      <w:pPr>
        <w:numPr>
          <w:ilvl w:val="0"/>
          <w:numId w:val="2"/>
        </w:numPr>
        <w:spacing w:after="0" w:line="240" w:lineRule="auto"/>
        <w:ind w:left="648" w:right="-9" w:hanging="360"/>
      </w:pPr>
      <w:r w:rsidRPr="00D058F6">
        <w:rPr>
          <w:color w:val="0A0A0A"/>
        </w:rPr>
        <w:t xml:space="preserve">Guzmán-Valdivia, C. H. (2016). </w:t>
      </w:r>
      <w:proofErr w:type="spellStart"/>
      <w:r w:rsidRPr="00D058F6">
        <w:rPr>
          <w:color w:val="0A0A0A"/>
        </w:rPr>
        <w:t>Reflexiones</w:t>
      </w:r>
      <w:proofErr w:type="spellEnd"/>
      <w:r w:rsidRPr="00D058F6">
        <w:rPr>
          <w:color w:val="0A0A0A"/>
        </w:rPr>
        <w:t xml:space="preserve"> </w:t>
      </w:r>
      <w:proofErr w:type="spellStart"/>
      <w:r w:rsidRPr="00D058F6">
        <w:rPr>
          <w:color w:val="0A0A0A"/>
        </w:rPr>
        <w:t>sobr</w:t>
      </w:r>
      <w:r w:rsidRPr="00D058F6">
        <w:rPr>
          <w:color w:val="0A0A0A"/>
        </w:rPr>
        <w:t>e</w:t>
      </w:r>
      <w:proofErr w:type="spellEnd"/>
      <w:r w:rsidRPr="00D058F6">
        <w:rPr>
          <w:color w:val="0A0A0A"/>
        </w:rPr>
        <w:t xml:space="preserve"> </w:t>
      </w:r>
      <w:proofErr w:type="spellStart"/>
      <w:r w:rsidRPr="00D058F6">
        <w:rPr>
          <w:color w:val="0A0A0A"/>
        </w:rPr>
        <w:t>adivinar</w:t>
      </w:r>
      <w:proofErr w:type="spellEnd"/>
      <w:r w:rsidRPr="00D058F6">
        <w:rPr>
          <w:color w:val="0A0A0A"/>
        </w:rPr>
        <w:t xml:space="preserve"> en </w:t>
      </w:r>
      <w:proofErr w:type="spellStart"/>
      <w:r w:rsidRPr="00D058F6">
        <w:rPr>
          <w:color w:val="0A0A0A"/>
        </w:rPr>
        <w:t>preguntas</w:t>
      </w:r>
      <w:proofErr w:type="spellEnd"/>
      <w:r w:rsidRPr="00D058F6">
        <w:rPr>
          <w:color w:val="0A0A0A"/>
        </w:rPr>
        <w:t xml:space="preserve"> de </w:t>
      </w:r>
      <w:proofErr w:type="spellStart"/>
      <w:r w:rsidRPr="00D058F6">
        <w:rPr>
          <w:color w:val="0A0A0A"/>
        </w:rPr>
        <w:t>opción</w:t>
      </w:r>
      <w:proofErr w:type="spellEnd"/>
      <w:r w:rsidRPr="00D058F6">
        <w:rPr>
          <w:color w:val="0A0A0A"/>
        </w:rPr>
        <w:t xml:space="preserve"> </w:t>
      </w:r>
      <w:proofErr w:type="spellStart"/>
      <w:r w:rsidRPr="00D058F6">
        <w:rPr>
          <w:color w:val="0A0A0A"/>
        </w:rPr>
        <w:t>múltiple</w:t>
      </w:r>
      <w:proofErr w:type="spellEnd"/>
      <w:r w:rsidRPr="00D058F6">
        <w:rPr>
          <w:color w:val="0A0A0A"/>
        </w:rPr>
        <w:t xml:space="preserve"> y </w:t>
      </w:r>
      <w:proofErr w:type="spellStart"/>
      <w:r w:rsidRPr="00D058F6">
        <w:rPr>
          <w:color w:val="0A0A0A"/>
        </w:rPr>
        <w:t>sus</w:t>
      </w:r>
      <w:proofErr w:type="spellEnd"/>
      <w:r w:rsidRPr="00D058F6">
        <w:rPr>
          <w:color w:val="0A0A0A"/>
        </w:rPr>
        <w:t xml:space="preserve"> </w:t>
      </w:r>
      <w:proofErr w:type="spellStart"/>
      <w:r w:rsidRPr="00D058F6">
        <w:rPr>
          <w:color w:val="0A0A0A"/>
        </w:rPr>
        <w:t>implicaciones</w:t>
      </w:r>
      <w:proofErr w:type="spellEnd"/>
      <w:r w:rsidRPr="00D058F6">
        <w:rPr>
          <w:color w:val="0A0A0A"/>
        </w:rPr>
        <w:t xml:space="preserve"> en la </w:t>
      </w:r>
      <w:proofErr w:type="spellStart"/>
      <w:r w:rsidRPr="00D058F6">
        <w:rPr>
          <w:color w:val="0A0A0A"/>
        </w:rPr>
        <w:t>evaluación</w:t>
      </w:r>
      <w:proofErr w:type="spellEnd"/>
      <w:r w:rsidRPr="00D058F6">
        <w:rPr>
          <w:color w:val="0A0A0A"/>
        </w:rPr>
        <w:t xml:space="preserve"> [Reflections on guessing in multiple choice questions and its implications in </w:t>
      </w:r>
      <w:r w:rsidRPr="00D058F6">
        <w:rPr>
          <w:color w:val="0A0A0A"/>
        </w:rPr>
        <w:tab/>
        <w:t xml:space="preserve">assessment]. </w:t>
      </w:r>
      <w:r w:rsidRPr="00D058F6">
        <w:rPr>
          <w:color w:val="0A0A0A"/>
        </w:rPr>
        <w:tab/>
      </w:r>
      <w:proofErr w:type="spellStart"/>
      <w:r w:rsidRPr="00D058F6">
        <w:rPr>
          <w:color w:val="0A0A0A"/>
        </w:rPr>
        <w:t>Investigación</w:t>
      </w:r>
      <w:proofErr w:type="spellEnd"/>
      <w:r w:rsidRPr="00D058F6">
        <w:rPr>
          <w:color w:val="0A0A0A"/>
        </w:rPr>
        <w:t xml:space="preserve"> </w:t>
      </w:r>
      <w:r w:rsidRPr="00D058F6">
        <w:rPr>
          <w:color w:val="0A0A0A"/>
        </w:rPr>
        <w:tab/>
        <w:t xml:space="preserve">en </w:t>
      </w:r>
      <w:r w:rsidRPr="00D058F6">
        <w:rPr>
          <w:color w:val="0A0A0A"/>
        </w:rPr>
        <w:tab/>
      </w:r>
      <w:proofErr w:type="spellStart"/>
      <w:r w:rsidRPr="00D058F6">
        <w:rPr>
          <w:color w:val="0A0A0A"/>
        </w:rPr>
        <w:t>Educación</w:t>
      </w:r>
      <w:proofErr w:type="spellEnd"/>
      <w:r w:rsidRPr="00D058F6">
        <w:rPr>
          <w:color w:val="0A0A0A"/>
        </w:rPr>
        <w:t xml:space="preserve"> </w:t>
      </w:r>
      <w:r w:rsidRPr="00D058F6">
        <w:rPr>
          <w:color w:val="0A0A0A"/>
        </w:rPr>
        <w:tab/>
      </w:r>
      <w:proofErr w:type="spellStart"/>
      <w:r w:rsidRPr="00D058F6">
        <w:rPr>
          <w:color w:val="0A0A0A"/>
        </w:rPr>
        <w:t>Médica</w:t>
      </w:r>
      <w:proofErr w:type="spellEnd"/>
      <w:r w:rsidRPr="00D058F6">
        <w:rPr>
          <w:color w:val="0A0A0A"/>
        </w:rPr>
        <w:t xml:space="preserve">, </w:t>
      </w:r>
      <w:r w:rsidRPr="00D058F6">
        <w:rPr>
          <w:color w:val="0A0A0A"/>
        </w:rPr>
        <w:tab/>
        <w:t xml:space="preserve">5(19), </w:t>
      </w:r>
      <w:r w:rsidRPr="00D058F6">
        <w:rPr>
          <w:color w:val="0A0A0A"/>
        </w:rPr>
        <w:tab/>
        <w:t xml:space="preserve">55-60. </w:t>
      </w:r>
    </w:p>
    <w:p w:rsidR="003276C8" w:rsidRPr="00D058F6" w:rsidRDefault="0047327B" w:rsidP="00B206EF">
      <w:pPr>
        <w:spacing w:after="0" w:line="240" w:lineRule="auto"/>
        <w:ind w:left="648" w:right="-9" w:firstLine="0"/>
      </w:pPr>
      <w:hyperlink r:id="rId30">
        <w:r w:rsidR="00D86849" w:rsidRPr="00D058F6">
          <w:rPr>
            <w:color w:val="0000FF"/>
          </w:rPr>
          <w:t>https://doi.org/10.1016/j.riem.2016.04.005</w:t>
        </w:r>
      </w:hyperlink>
      <w:hyperlink r:id="rId31">
        <w:r w:rsidR="00D86849" w:rsidRPr="00D058F6">
          <w:rPr>
            <w:color w:val="0A0A0A"/>
          </w:rPr>
          <w:t xml:space="preserve"> </w:t>
        </w:r>
      </w:hyperlink>
    </w:p>
    <w:p w:rsidR="003276C8" w:rsidRPr="00D058F6" w:rsidRDefault="00D86849" w:rsidP="00D058F6">
      <w:pPr>
        <w:numPr>
          <w:ilvl w:val="0"/>
          <w:numId w:val="2"/>
        </w:numPr>
        <w:spacing w:after="0" w:line="240" w:lineRule="auto"/>
        <w:ind w:left="648" w:right="-9" w:hanging="360"/>
      </w:pPr>
      <w:r w:rsidRPr="00D058F6">
        <w:rPr>
          <w:color w:val="0A0A0A"/>
        </w:rPr>
        <w:t xml:space="preserve">Presutti, R., Lucero, E., Garfunkel, V., Garófalo, M. E., Garzon, C., Nucifora, E., et al. (2019). </w:t>
      </w:r>
      <w:proofErr w:type="spellStart"/>
      <w:r w:rsidRPr="00D058F6">
        <w:rPr>
          <w:color w:val="0A0A0A"/>
        </w:rPr>
        <w:t>Impacto</w:t>
      </w:r>
      <w:proofErr w:type="spellEnd"/>
      <w:r w:rsidRPr="00D058F6">
        <w:rPr>
          <w:color w:val="0A0A0A"/>
        </w:rPr>
        <w:t xml:space="preserve"> de </w:t>
      </w:r>
      <w:proofErr w:type="spellStart"/>
      <w:r w:rsidRPr="00D058F6">
        <w:rPr>
          <w:color w:val="0A0A0A"/>
        </w:rPr>
        <w:t>diferentes</w:t>
      </w:r>
      <w:proofErr w:type="spellEnd"/>
      <w:r w:rsidRPr="00D058F6">
        <w:rPr>
          <w:color w:val="0A0A0A"/>
        </w:rPr>
        <w:t xml:space="preserve"> </w:t>
      </w:r>
      <w:proofErr w:type="spellStart"/>
      <w:r w:rsidRPr="00D058F6">
        <w:rPr>
          <w:color w:val="0A0A0A"/>
        </w:rPr>
        <w:t>modalidades</w:t>
      </w:r>
      <w:proofErr w:type="spellEnd"/>
      <w:r w:rsidRPr="00D058F6">
        <w:rPr>
          <w:color w:val="0A0A0A"/>
        </w:rPr>
        <w:t xml:space="preserve"> de </w:t>
      </w:r>
      <w:proofErr w:type="spellStart"/>
      <w:r w:rsidRPr="00D058F6">
        <w:rPr>
          <w:color w:val="0A0A0A"/>
        </w:rPr>
        <w:t>evaluación</w:t>
      </w:r>
      <w:proofErr w:type="spellEnd"/>
      <w:r w:rsidRPr="00D058F6">
        <w:rPr>
          <w:color w:val="0A0A0A"/>
        </w:rPr>
        <w:t xml:space="preserve"> en el </w:t>
      </w:r>
      <w:proofErr w:type="spellStart"/>
      <w:r w:rsidRPr="00D058F6">
        <w:rPr>
          <w:color w:val="0A0A0A"/>
        </w:rPr>
        <w:t>promedio</w:t>
      </w:r>
      <w:proofErr w:type="spellEnd"/>
      <w:r w:rsidRPr="00D058F6">
        <w:rPr>
          <w:color w:val="0A0A0A"/>
        </w:rPr>
        <w:t xml:space="preserve"> de </w:t>
      </w:r>
      <w:proofErr w:type="spellStart"/>
      <w:r w:rsidRPr="00D058F6">
        <w:rPr>
          <w:color w:val="0A0A0A"/>
        </w:rPr>
        <w:t>notas</w:t>
      </w:r>
      <w:proofErr w:type="spellEnd"/>
      <w:r w:rsidRPr="00D058F6">
        <w:rPr>
          <w:color w:val="0A0A0A"/>
        </w:rPr>
        <w:t xml:space="preserve"> de los </w:t>
      </w:r>
      <w:proofErr w:type="spellStart"/>
      <w:r w:rsidRPr="00D058F6">
        <w:rPr>
          <w:color w:val="0A0A0A"/>
        </w:rPr>
        <w:t>estudiantes</w:t>
      </w:r>
      <w:proofErr w:type="spellEnd"/>
      <w:r w:rsidRPr="00D058F6">
        <w:rPr>
          <w:color w:val="0A0A0A"/>
        </w:rPr>
        <w:t xml:space="preserve"> de </w:t>
      </w:r>
      <w:proofErr w:type="spellStart"/>
      <w:r w:rsidRPr="00D058F6">
        <w:rPr>
          <w:color w:val="0A0A0A"/>
        </w:rPr>
        <w:t>Farmacología</w:t>
      </w:r>
      <w:proofErr w:type="spellEnd"/>
      <w:r w:rsidRPr="00D058F6">
        <w:rPr>
          <w:color w:val="0A0A0A"/>
        </w:rPr>
        <w:t xml:space="preserve"> [Impact of different assessment modalities on the average grades of Pharmacology students]. Revista del Hospital Italiano de Buenos Aires, 39(2), 64-68. </w:t>
      </w:r>
      <w:hyperlink r:id="rId32">
        <w:r w:rsidRPr="00D058F6">
          <w:rPr>
            <w:color w:val="0000FF"/>
          </w:rPr>
          <w:t>https://doi.org/10.51952/1853</w:t>
        </w:r>
      </w:hyperlink>
      <w:hyperlink r:id="rId33">
        <w:r w:rsidRPr="00D058F6">
          <w:rPr>
            <w:color w:val="0000FF"/>
          </w:rPr>
          <w:t>-</w:t>
        </w:r>
      </w:hyperlink>
      <w:hyperlink r:id="rId34">
        <w:r w:rsidRPr="00D058F6">
          <w:rPr>
            <w:color w:val="0000FF"/>
          </w:rPr>
          <w:t>0605</w:t>
        </w:r>
      </w:hyperlink>
      <w:hyperlink r:id="rId35">
        <w:r w:rsidRPr="00D058F6">
          <w:rPr>
            <w:color w:val="0000FF"/>
          </w:rPr>
          <w:t>-</w:t>
        </w:r>
      </w:hyperlink>
      <w:hyperlink r:id="rId36">
        <w:r w:rsidRPr="00D058F6">
          <w:rPr>
            <w:color w:val="0000FF"/>
          </w:rPr>
          <w:t>39</w:t>
        </w:r>
      </w:hyperlink>
      <w:hyperlink r:id="rId37">
        <w:r w:rsidRPr="00D058F6">
          <w:rPr>
            <w:color w:val="0000FF"/>
          </w:rPr>
          <w:t>-</w:t>
        </w:r>
      </w:hyperlink>
      <w:hyperlink r:id="rId38">
        <w:r w:rsidRPr="00D058F6">
          <w:rPr>
            <w:color w:val="0000FF"/>
          </w:rPr>
          <w:t>2</w:t>
        </w:r>
      </w:hyperlink>
      <w:hyperlink r:id="rId39">
        <w:r w:rsidRPr="00D058F6">
          <w:rPr>
            <w:color w:val="0000FF"/>
          </w:rPr>
          <w:t>-</w:t>
        </w:r>
      </w:hyperlink>
      <w:hyperlink r:id="rId40">
        <w:r w:rsidRPr="00D058F6">
          <w:rPr>
            <w:color w:val="0000FF"/>
          </w:rPr>
          <w:t>64</w:t>
        </w:r>
      </w:hyperlink>
      <w:hyperlink r:id="rId41">
        <w:r w:rsidRPr="00D058F6">
          <w:rPr>
            <w:color w:val="0A0A0A"/>
          </w:rPr>
          <w:t xml:space="preserve"> </w:t>
        </w:r>
      </w:hyperlink>
    </w:p>
    <w:p w:rsidR="00B206EF" w:rsidRPr="00B206EF" w:rsidRDefault="00D86849" w:rsidP="00D058F6">
      <w:pPr>
        <w:numPr>
          <w:ilvl w:val="0"/>
          <w:numId w:val="2"/>
        </w:numPr>
        <w:spacing w:after="0" w:line="240" w:lineRule="auto"/>
        <w:ind w:left="648" w:right="-9" w:hanging="360"/>
      </w:pPr>
      <w:r w:rsidRPr="00D058F6">
        <w:rPr>
          <w:color w:val="0A0A0A"/>
        </w:rPr>
        <w:t xml:space="preserve">Leenen, I. (2014). </w:t>
      </w:r>
      <w:proofErr w:type="spellStart"/>
      <w:r w:rsidRPr="00D058F6">
        <w:rPr>
          <w:color w:val="0A0A0A"/>
        </w:rPr>
        <w:t>Virtudes</w:t>
      </w:r>
      <w:proofErr w:type="spellEnd"/>
      <w:r w:rsidRPr="00D058F6">
        <w:rPr>
          <w:color w:val="0A0A0A"/>
        </w:rPr>
        <w:t xml:space="preserve"> y </w:t>
      </w:r>
      <w:proofErr w:type="spellStart"/>
      <w:r w:rsidRPr="00D058F6">
        <w:rPr>
          <w:color w:val="0A0A0A"/>
        </w:rPr>
        <w:t>limitaciones</w:t>
      </w:r>
      <w:proofErr w:type="spellEnd"/>
      <w:r w:rsidRPr="00D058F6">
        <w:rPr>
          <w:color w:val="0A0A0A"/>
        </w:rPr>
        <w:t xml:space="preserve"> de la </w:t>
      </w:r>
      <w:proofErr w:type="spellStart"/>
      <w:r w:rsidRPr="00D058F6">
        <w:rPr>
          <w:color w:val="0A0A0A"/>
        </w:rPr>
        <w:t>teoría</w:t>
      </w:r>
      <w:proofErr w:type="spellEnd"/>
      <w:r w:rsidRPr="00D058F6">
        <w:rPr>
          <w:color w:val="0A0A0A"/>
        </w:rPr>
        <w:t xml:space="preserve"> de </w:t>
      </w:r>
      <w:proofErr w:type="spellStart"/>
      <w:r w:rsidRPr="00D058F6">
        <w:rPr>
          <w:color w:val="0A0A0A"/>
        </w:rPr>
        <w:t>respuesta</w:t>
      </w:r>
      <w:proofErr w:type="spellEnd"/>
      <w:r w:rsidRPr="00D058F6">
        <w:rPr>
          <w:color w:val="0A0A0A"/>
        </w:rPr>
        <w:t xml:space="preserve"> a</w:t>
      </w:r>
      <w:r w:rsidRPr="00D058F6">
        <w:rPr>
          <w:color w:val="0A0A0A"/>
        </w:rPr>
        <w:t xml:space="preserve">l </w:t>
      </w:r>
      <w:proofErr w:type="spellStart"/>
      <w:r w:rsidRPr="00D058F6">
        <w:rPr>
          <w:color w:val="0A0A0A"/>
        </w:rPr>
        <w:t>ítem</w:t>
      </w:r>
      <w:proofErr w:type="spellEnd"/>
      <w:r w:rsidRPr="00D058F6">
        <w:rPr>
          <w:color w:val="0A0A0A"/>
        </w:rPr>
        <w:t xml:space="preserve"> </w:t>
      </w:r>
      <w:proofErr w:type="spellStart"/>
      <w:r w:rsidRPr="00D058F6">
        <w:rPr>
          <w:color w:val="0A0A0A"/>
        </w:rPr>
        <w:t>para</w:t>
      </w:r>
      <w:proofErr w:type="spellEnd"/>
      <w:r w:rsidRPr="00D058F6">
        <w:rPr>
          <w:color w:val="0A0A0A"/>
        </w:rPr>
        <w:t xml:space="preserve"> la </w:t>
      </w:r>
      <w:proofErr w:type="spellStart"/>
      <w:r w:rsidRPr="00D058F6">
        <w:rPr>
          <w:color w:val="0A0A0A"/>
        </w:rPr>
        <w:t>evaluación</w:t>
      </w:r>
      <w:proofErr w:type="spellEnd"/>
      <w:r w:rsidRPr="00D058F6">
        <w:rPr>
          <w:color w:val="0A0A0A"/>
        </w:rPr>
        <w:t xml:space="preserve"> </w:t>
      </w:r>
      <w:proofErr w:type="spellStart"/>
      <w:r w:rsidRPr="00D058F6">
        <w:rPr>
          <w:color w:val="0A0A0A"/>
        </w:rPr>
        <w:t>educativa</w:t>
      </w:r>
      <w:proofErr w:type="spellEnd"/>
      <w:r w:rsidRPr="00D058F6">
        <w:rPr>
          <w:color w:val="0A0A0A"/>
        </w:rPr>
        <w:t xml:space="preserve"> en </w:t>
      </w:r>
      <w:proofErr w:type="spellStart"/>
      <w:r w:rsidRPr="00D058F6">
        <w:rPr>
          <w:color w:val="0A0A0A"/>
        </w:rPr>
        <w:t>las</w:t>
      </w:r>
      <w:proofErr w:type="spellEnd"/>
      <w:r w:rsidRPr="00D058F6">
        <w:rPr>
          <w:color w:val="0A0A0A"/>
        </w:rPr>
        <w:t xml:space="preserve"> </w:t>
      </w:r>
      <w:proofErr w:type="spellStart"/>
      <w:r w:rsidRPr="00D058F6">
        <w:rPr>
          <w:color w:val="0A0A0A"/>
        </w:rPr>
        <w:t>ciencias</w:t>
      </w:r>
      <w:proofErr w:type="spellEnd"/>
      <w:r w:rsidRPr="00D058F6">
        <w:rPr>
          <w:color w:val="0A0A0A"/>
        </w:rPr>
        <w:t xml:space="preserve"> </w:t>
      </w:r>
      <w:proofErr w:type="spellStart"/>
      <w:r w:rsidRPr="00D058F6">
        <w:rPr>
          <w:color w:val="0A0A0A"/>
        </w:rPr>
        <w:t>médicas</w:t>
      </w:r>
      <w:proofErr w:type="spellEnd"/>
      <w:r w:rsidRPr="00D058F6">
        <w:rPr>
          <w:color w:val="0A0A0A"/>
        </w:rPr>
        <w:t xml:space="preserve"> [Virtues and limitations of item response theory for educational assessment in medical sciences]. </w:t>
      </w:r>
      <w:proofErr w:type="spellStart"/>
      <w:r w:rsidRPr="00D058F6">
        <w:rPr>
          <w:color w:val="0A0A0A"/>
        </w:rPr>
        <w:t>Investigación</w:t>
      </w:r>
      <w:proofErr w:type="spellEnd"/>
      <w:r w:rsidRPr="00D058F6">
        <w:rPr>
          <w:color w:val="0A0A0A"/>
        </w:rPr>
        <w:t xml:space="preserve"> en </w:t>
      </w:r>
      <w:proofErr w:type="spellStart"/>
      <w:r w:rsidRPr="00D058F6">
        <w:rPr>
          <w:color w:val="0A0A0A"/>
        </w:rPr>
        <w:t>Educación</w:t>
      </w:r>
      <w:proofErr w:type="spellEnd"/>
      <w:r w:rsidRPr="00D058F6">
        <w:rPr>
          <w:color w:val="0A0A0A"/>
        </w:rPr>
        <w:t xml:space="preserve"> </w:t>
      </w:r>
      <w:proofErr w:type="spellStart"/>
      <w:r w:rsidRPr="00D058F6">
        <w:rPr>
          <w:color w:val="0A0A0A"/>
        </w:rPr>
        <w:t>Médica</w:t>
      </w:r>
      <w:proofErr w:type="spellEnd"/>
      <w:r w:rsidRPr="00D058F6">
        <w:rPr>
          <w:color w:val="0A0A0A"/>
        </w:rPr>
        <w:t xml:space="preserve">, 3(9), 40-55. </w:t>
      </w:r>
    </w:p>
    <w:p w:rsidR="003276C8" w:rsidRPr="00D058F6" w:rsidRDefault="0047327B" w:rsidP="00B206EF">
      <w:pPr>
        <w:spacing w:after="0" w:line="240" w:lineRule="auto"/>
        <w:ind w:left="648" w:right="-9" w:firstLine="0"/>
      </w:pPr>
      <w:hyperlink r:id="rId42">
        <w:r w:rsidR="00D86849" w:rsidRPr="00D058F6">
          <w:rPr>
            <w:color w:val="0000FF"/>
          </w:rPr>
          <w:t>https://doi.org/10.1016/S2007</w:t>
        </w:r>
      </w:hyperlink>
      <w:hyperlink r:id="rId43"/>
      <w:hyperlink r:id="rId44">
        <w:r w:rsidR="00D86849" w:rsidRPr="00D058F6">
          <w:rPr>
            <w:color w:val="0000FF"/>
          </w:rPr>
          <w:t>5057(14)72729</w:t>
        </w:r>
      </w:hyperlink>
      <w:hyperlink r:id="rId45">
        <w:r w:rsidR="00D86849" w:rsidRPr="00D058F6">
          <w:rPr>
            <w:color w:val="0000FF"/>
          </w:rPr>
          <w:t>-</w:t>
        </w:r>
      </w:hyperlink>
      <w:hyperlink r:id="rId46">
        <w:r w:rsidR="00D86849" w:rsidRPr="00D058F6">
          <w:rPr>
            <w:color w:val="0000FF"/>
          </w:rPr>
          <w:t>9</w:t>
        </w:r>
      </w:hyperlink>
      <w:hyperlink r:id="rId47">
        <w:r w:rsidR="00D86849" w:rsidRPr="00D058F6">
          <w:rPr>
            <w:color w:val="0A0A0A"/>
          </w:rPr>
          <w:t xml:space="preserve"> </w:t>
        </w:r>
      </w:hyperlink>
    </w:p>
    <w:sectPr w:rsidR="003276C8" w:rsidRPr="00D058F6" w:rsidSect="00B206EF">
      <w:headerReference w:type="even" r:id="rId48"/>
      <w:headerReference w:type="default" r:id="rId49"/>
      <w:footerReference w:type="even" r:id="rId50"/>
      <w:footerReference w:type="default" r:id="rId51"/>
      <w:headerReference w:type="first" r:id="rId52"/>
      <w:footerReference w:type="first" r:id="rId53"/>
      <w:pgSz w:w="11906" w:h="16838"/>
      <w:pgMar w:top="835" w:right="600" w:bottom="450" w:left="605" w:header="331" w:footer="142" w:gutter="0"/>
      <w:pgNumType w:start="578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849" w:rsidRDefault="00D86849">
      <w:pPr>
        <w:spacing w:after="0" w:line="240" w:lineRule="auto"/>
      </w:pPr>
      <w:r>
        <w:separator/>
      </w:r>
    </w:p>
  </w:endnote>
  <w:endnote w:type="continuationSeparator" w:id="0">
    <w:p w:rsidR="00D86849" w:rsidRDefault="00D868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C8" w:rsidRDefault="0047327B">
    <w:pPr>
      <w:spacing w:after="0" w:line="229" w:lineRule="auto"/>
      <w:ind w:left="0" w:right="3338" w:firstLine="0"/>
      <w:jc w:val="left"/>
    </w:pPr>
    <w:r w:rsidRPr="0047327B">
      <w:rPr>
        <w:rFonts w:ascii="Calibri" w:eastAsia="Calibri" w:hAnsi="Calibri" w:cs="Calibri"/>
        <w:noProof/>
        <w:sz w:val="22"/>
      </w:rPr>
      <w:pict>
        <v:group id="Group 14762" o:spid="_x0000_s1041" style="position:absolute;margin-left:24.85pt;margin-top:809.4pt;width:545.75pt;height:.5pt;z-index:251660288;mso-position-horizontal-relative:page;mso-position-vertical-relative:page" coordsize="69311,60">
          <v:shape id="Shape 14996" o:spid="_x0000_s1046" style="position:absolute;width:22881;height:91" coordsize="2288159,9144" path="m,l2288159,r,9144l,9144,,e" fillcolor="black" stroked="f" strokeweight="0">
            <v:stroke opacity="0" miterlimit="10" joinstyle="miter"/>
          </v:shape>
          <v:shape id="Shape 14997" o:spid="_x0000_s1045" style="position:absolute;left:22881;width:91;height:91" coordsize="9144,9144" path="m,l9144,r,9144l,9144,,e" fillcolor="black" stroked="f" strokeweight="0">
            <v:stroke opacity="0" miterlimit="10" joinstyle="miter"/>
          </v:shape>
          <v:shape id="Shape 14998" o:spid="_x0000_s1044" style="position:absolute;left:22942;width:23502;height:91" coordsize="2350262,9144" path="m,l2350262,r,9144l,9144,,e" fillcolor="black" stroked="f" strokeweight="0">
            <v:stroke opacity="0" miterlimit="10" joinstyle="miter"/>
          </v:shape>
          <v:shape id="Shape 14999" o:spid="_x0000_s1043" style="position:absolute;left:46445;width:91;height:91" coordsize="9144,9144" path="m,l9144,r,9144l,9144,,e" fillcolor="black" stroked="f" strokeweight="0">
            <v:stroke opacity="0" miterlimit="10" joinstyle="miter"/>
          </v:shape>
          <v:shape id="Shape 15000" o:spid="_x0000_s1042" style="position:absolute;left:46506;width:22805;height:91" coordsize="2280539,9144" path="m,l2280539,r,9144l,9144,,e" fillcolor="black" stroked="f" strokeweight="0">
            <v:stroke opacity="0" miterlimit="10" joinstyle="miter"/>
          </v:shape>
          <w10:wrap type="square" anchorx="page" anchory="page"/>
        </v:group>
      </w:pict>
    </w:r>
    <w:r w:rsidR="00D86849">
      <w:rPr>
        <w:sz w:val="20"/>
      </w:rPr>
      <w:t xml:space="preserve">Page </w:t>
    </w:r>
    <w:r w:rsidRPr="0047327B">
      <w:fldChar w:fldCharType="begin"/>
    </w:r>
    <w:r w:rsidR="00D86849">
      <w:instrText xml:space="preserve"> PAGE   \* MERGEFORMAT </w:instrText>
    </w:r>
    <w:r w:rsidRPr="0047327B">
      <w:fldChar w:fldCharType="separate"/>
    </w:r>
    <w:r w:rsidR="00D86849">
      <w:rPr>
        <w:sz w:val="20"/>
      </w:rPr>
      <w:t>1</w:t>
    </w:r>
    <w:r>
      <w:rPr>
        <w:sz w:val="20"/>
      </w:rPr>
      <w:fldChar w:fldCharType="end"/>
    </w:r>
    <w:r w:rsidR="00D86849">
      <w:rPr>
        <w:sz w:val="20"/>
      </w:rPr>
      <w:t xml:space="preserve"> </w:t>
    </w:r>
    <w:r w:rsidR="00D86849">
      <w:rPr>
        <w:sz w:val="20"/>
      </w:rPr>
      <w:tab/>
      <w:t xml:space="preserve">www.rsisinternational.org </w:t>
    </w:r>
    <w:r w:rsidR="00D86849">
      <w:rPr>
        <w:sz w:val="20"/>
      </w:rPr>
      <w:tab/>
      <w:t xml:space="preserve"> </w:t>
    </w:r>
    <w:r w:rsidR="00D86849">
      <w:rPr>
        <w:rFonts w:ascii="Calibri" w:eastAsia="Calibri" w:hAnsi="Calibri" w:cs="Calibri"/>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F6" w:rsidRDefault="0047327B" w:rsidP="00D058F6">
    <w:pPr>
      <w:pStyle w:val="BodyText"/>
      <w:spacing w:line="14" w:lineRule="auto"/>
    </w:pPr>
    <w:r>
      <w:rPr>
        <w:noProof/>
      </w:rPr>
      <w:pict>
        <v:shape id="Freeform: Shape 56" o:spid="_x0000_s1040" style="position:absolute;left:0;text-align:left;margin-left:35pt;margin-top:818.3pt;width:538.6pt;height:1.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" path="m6671309,l,,,45084r6671309,l6671309,xe" fillcolor="gray" stroked="f">
          <v:path arrowok="t"/>
          <w10:wrap anchorx="page" anchory="page"/>
        </v:shape>
      </w:pict>
    </w:r>
    <w:r>
      <w:rPr>
        <w:noProof/>
      </w:rPr>
      <w:pict>
        <v:shapetype id="_x0000_t202" coordsize="21600,21600" o:spt="202" path="m,l,21600r21600,l21600,xe">
          <v:stroke joinstyle="miter"/>
          <v:path gradientshapeok="t" o:connecttype="rect"/>
        </v:shapetype>
        <v:shape id="Text Box 54" o:spid="_x0000_s1039" type="#_x0000_t202" style="position:absolute;left:0;text-align:left;margin-left:27pt;margin-top:820.2pt;width:219pt;height:11.4pt;z-index:-2516592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" filled="f" stroked="f">
          <v:textbox inset="0,0,0,0">
            <w:txbxContent>
              <w:p w:rsidR="00D058F6" w:rsidRPr="00F049A7" w:rsidRDefault="00D058F6" w:rsidP="00D058F6">
                <w:pPr>
                  <w:spacing w:before="10"/>
                  <w:ind w:left="20" w:hanging="20"/>
                  <w:rPr>
                    <w:sz w:val="20"/>
                    <w:szCs w:val="20"/>
                  </w:rPr>
                </w:pPr>
                <w:r w:rsidRPr="00F049A7">
                  <w:rPr>
                    <w:sz w:val="20"/>
                    <w:szCs w:val="20"/>
                  </w:rPr>
                  <w:t>Page</w:t>
                </w:r>
                <w:r w:rsidRPr="00F049A7">
                  <w:rPr>
                    <w:spacing w:val="-2"/>
                    <w:sz w:val="20"/>
                    <w:szCs w:val="20"/>
                  </w:rPr>
                  <w:t xml:space="preserve"> </w:t>
                </w:r>
                <w:r w:rsidR="0047327B" w:rsidRPr="00F049A7">
                  <w:rPr>
                    <w:spacing w:val="-5"/>
                    <w:sz w:val="20"/>
                    <w:szCs w:val="20"/>
                  </w:rPr>
                  <w:fldChar w:fldCharType="begin"/>
                </w:r>
                <w:r w:rsidRPr="00F049A7">
                  <w:rPr>
                    <w:spacing w:val="-5"/>
                    <w:sz w:val="20"/>
                    <w:szCs w:val="20"/>
                  </w:rPr>
                  <w:instrText xml:space="preserve"> PAGE </w:instrText>
                </w:r>
                <w:r w:rsidR="0047327B" w:rsidRPr="00F049A7">
                  <w:rPr>
                    <w:spacing w:val="-5"/>
                    <w:sz w:val="20"/>
                    <w:szCs w:val="20"/>
                  </w:rPr>
                  <w:fldChar w:fldCharType="separate"/>
                </w:r>
                <w:r w:rsidR="00DA17BF">
                  <w:rPr>
                    <w:noProof/>
                    <w:spacing w:val="-5"/>
                    <w:sz w:val="20"/>
                    <w:szCs w:val="20"/>
                  </w:rPr>
                  <w:t>5785</w:t>
                </w:r>
                <w:r w:rsidR="0047327B" w:rsidRPr="00F049A7">
                  <w:rPr>
                    <w:spacing w:val="-5"/>
                    <w:sz w:val="20"/>
                    <w:szCs w:val="20"/>
                  </w:rPr>
                  <w:fldChar w:fldCharType="end"/>
                </w:r>
              </w:p>
            </w:txbxContent>
          </v:textbox>
          <w10:wrap anchorx="page" anchory="page"/>
        </v:shape>
      </w:pict>
    </w:r>
    <w:r w:rsidR="00D058F6">
      <w:t>a</w:t>
    </w:r>
    <w:r w:rsidR="00D058F6" w:rsidRPr="009D360B">
      <w:t xml:space="preserve"> </w:t>
    </w:r>
    <w:r>
      <w:rPr>
        <w:noProof/>
      </w:rPr>
      <w:pict>
        <v:shape id="Text Box 58" o:spid="_x0000_s1028" type="#_x0000_t202" style="position:absolute;left:0;text-align:left;margin-left:256.8pt;margin-top:823.8pt;width:295.8pt;height:15.45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" filled="f" stroked="f">
          <v:textbox inset="0,0,0,0">
            <w:txbxContent>
              <w:p w:rsidR="00D058F6" w:rsidRPr="00F049A7" w:rsidRDefault="0047327B" w:rsidP="00D058F6">
                <w:pPr>
                  <w:spacing w:before="10"/>
                  <w:ind w:left="20" w:hanging="20"/>
                  <w:rPr>
                    <w:sz w:val="20"/>
                    <w:szCs w:val="20"/>
                  </w:rPr>
                </w:pPr>
                <w:hyperlink r:id="rId1">
                  <w:r w:rsidR="00D058F6" w:rsidRPr="00F049A7">
                    <w:rPr>
                      <w:spacing w:val="-2"/>
                      <w:sz w:val="20"/>
                      <w:szCs w:val="20"/>
                    </w:rPr>
                    <w:t>www.rsisinternational.org</w:t>
                  </w:r>
                </w:hyperlink>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C8" w:rsidRDefault="0047327B">
    <w:pPr>
      <w:spacing w:after="0" w:line="229" w:lineRule="auto"/>
      <w:ind w:left="0" w:right="3338" w:firstLine="0"/>
      <w:jc w:val="left"/>
    </w:pPr>
    <w:r w:rsidRPr="0047327B">
      <w:rPr>
        <w:rFonts w:ascii="Calibri" w:eastAsia="Calibri" w:hAnsi="Calibri" w:cs="Calibri"/>
        <w:noProof/>
        <w:sz w:val="22"/>
      </w:rPr>
      <w:pict>
        <v:group id="Group 14672" o:spid="_x0000_s1029" style="position:absolute;margin-left:24.85pt;margin-top:809.4pt;width:545.75pt;height:.5pt;z-index:251662336;mso-position-horizontal-relative:page;mso-position-vertical-relative:page" coordsize="69311,60">
          <v:shape id="Shape 14976" o:spid="_x0000_s1034" style="position:absolute;width:22881;height:91" coordsize="2288159,9144" path="m,l2288159,r,9144l,9144,,e" fillcolor="black" stroked="f" strokeweight="0">
            <v:stroke opacity="0" miterlimit="10" joinstyle="miter"/>
          </v:shape>
          <v:shape id="Shape 14977" o:spid="_x0000_s1033" style="position:absolute;left:22881;width:91;height:91" coordsize="9144,9144" path="m,l9144,r,9144l,9144,,e" fillcolor="black" stroked="f" strokeweight="0">
            <v:stroke opacity="0" miterlimit="10" joinstyle="miter"/>
          </v:shape>
          <v:shape id="Shape 14978" o:spid="_x0000_s1032" style="position:absolute;left:22942;width:23502;height:91" coordsize="2350262,9144" path="m,l2350262,r,9144l,9144,,e" fillcolor="black" stroked="f" strokeweight="0">
            <v:stroke opacity="0" miterlimit="10" joinstyle="miter"/>
          </v:shape>
          <v:shape id="Shape 14979" o:spid="_x0000_s1031" style="position:absolute;left:46445;width:91;height:91" coordsize="9144,9144" path="m,l9144,r,9144l,9144,,e" fillcolor="black" stroked="f" strokeweight="0">
            <v:stroke opacity="0" miterlimit="10" joinstyle="miter"/>
          </v:shape>
          <v:shape id="Shape 14980" o:spid="_x0000_s1030" style="position:absolute;left:46506;width:22805;height:91" coordsize="2280539,9144" path="m,l2280539,r,9144l,9144,,e" fillcolor="black" stroked="f" strokeweight="0">
            <v:stroke opacity="0" miterlimit="10" joinstyle="miter"/>
          </v:shape>
          <w10:wrap type="square" anchorx="page" anchory="page"/>
        </v:group>
      </w:pict>
    </w:r>
    <w:r w:rsidR="00D86849">
      <w:rPr>
        <w:sz w:val="20"/>
      </w:rPr>
      <w:t xml:space="preserve">Page </w:t>
    </w:r>
    <w:r w:rsidRPr="0047327B">
      <w:fldChar w:fldCharType="begin"/>
    </w:r>
    <w:r w:rsidR="00D86849">
      <w:instrText xml:space="preserve"> PAGE</w:instrText>
    </w:r>
    <w:r w:rsidR="00D86849">
      <w:instrText xml:space="preserve">   \* MERGEFORMAT </w:instrText>
    </w:r>
    <w:r w:rsidRPr="0047327B">
      <w:fldChar w:fldCharType="separate"/>
    </w:r>
    <w:r w:rsidR="00D86849">
      <w:rPr>
        <w:sz w:val="20"/>
      </w:rPr>
      <w:t>1</w:t>
    </w:r>
    <w:r>
      <w:rPr>
        <w:sz w:val="20"/>
      </w:rPr>
      <w:fldChar w:fldCharType="end"/>
    </w:r>
    <w:r w:rsidR="00D86849">
      <w:rPr>
        <w:sz w:val="20"/>
      </w:rPr>
      <w:t xml:space="preserve"> </w:t>
    </w:r>
    <w:r w:rsidR="00D86849">
      <w:rPr>
        <w:sz w:val="20"/>
      </w:rPr>
      <w:tab/>
      <w:t xml:space="preserve">www.rsisinternational.org </w:t>
    </w:r>
    <w:r w:rsidR="00D86849">
      <w:rPr>
        <w:sz w:val="20"/>
      </w:rPr>
      <w:tab/>
      <w:t xml:space="preserve"> </w:t>
    </w:r>
    <w:r w:rsidR="00D86849">
      <w:rPr>
        <w:rFonts w:ascii="Calibri" w:eastAsia="Calibri" w:hAnsi="Calibri" w:cs="Calibri"/>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849" w:rsidRDefault="00D86849">
      <w:pPr>
        <w:spacing w:after="0" w:line="240" w:lineRule="auto"/>
      </w:pPr>
      <w:r>
        <w:separator/>
      </w:r>
    </w:p>
  </w:footnote>
  <w:footnote w:type="continuationSeparator" w:id="0">
    <w:p w:rsidR="00D86849" w:rsidRDefault="00D868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C8" w:rsidRDefault="0047327B">
    <w:pPr>
      <w:tabs>
        <w:tab w:val="right" w:pos="10702"/>
      </w:tabs>
      <w:spacing w:after="0" w:line="259" w:lineRule="auto"/>
      <w:ind w:left="0" w:firstLine="0"/>
      <w:jc w:val="left"/>
    </w:pPr>
    <w:r w:rsidRPr="0047327B">
      <w:rPr>
        <w:rFonts w:ascii="Calibri" w:eastAsia="Calibri" w:hAnsi="Calibri" w:cs="Calibri"/>
        <w:noProof/>
        <w:sz w:val="22"/>
      </w:rPr>
      <w:pict>
        <v:group id="Group 14732" o:spid="_x0000_s1048" style="position:absolute;margin-left:29.5pt;margin-top:46.8pt;width:535.7pt;height:.5pt;z-index:251659264;mso-position-horizontal-relative:page;mso-position-vertical-relative:page" coordsize="68031,60">
          <v:shape id="Shape 14968" o:spid="_x0000_s1051" style="position:absolute;width:8324;height:91" coordsize="832409,9144" path="m,l832409,r,9144l,9144,,e" fillcolor="black" stroked="f" strokeweight="0">
            <v:stroke opacity="0" miterlimit="10" joinstyle="miter"/>
          </v:shape>
          <v:shape id="Shape 14969" o:spid="_x0000_s1050" style="position:absolute;left:8232;width:91;height:91" coordsize="9144,9144" path="m,l9144,r,9144l,9144,,e" fillcolor="black" stroked="f" strokeweight="0">
            <v:stroke opacity="0" miterlimit="10" joinstyle="miter"/>
          </v:shape>
          <v:shape id="Shape 14970" o:spid="_x0000_s1049" style="position:absolute;left:8293;width:59738;height:91" coordsize="5973826,9144" path="m,l5973826,r,9144l,9144,,e" fillcolor="black" stroked="f" strokeweight="0">
            <v:stroke opacity="0" miterlimit="10" joinstyle="miter"/>
          </v:shape>
          <w10:wrap type="square" anchorx="page" anchory="page"/>
        </v:group>
      </w:pict>
    </w:r>
    <w:r w:rsidR="00D86849">
      <w:rPr>
        <w:rFonts w:ascii="Calibri" w:eastAsia="Calibri" w:hAnsi="Calibri" w:cs="Calibri"/>
        <w:sz w:val="22"/>
      </w:rPr>
      <w:t xml:space="preserve"> </w:t>
    </w:r>
    <w:r w:rsidR="00D86849">
      <w:rPr>
        <w:rFonts w:ascii="Calibri" w:eastAsia="Calibri" w:hAnsi="Calibri" w:cs="Calibri"/>
        <w:sz w:val="22"/>
      </w:rPr>
      <w:tab/>
    </w:r>
    <w:r w:rsidR="00D86849">
      <w:rPr>
        <w:b/>
        <w:sz w:val="20"/>
      </w:rPr>
      <w:t xml:space="preserve">INTERNATIONAL JOURNAL OF RESEARCH AND INNOVATION IN APPLIED SCIENCE (IJRIAS) </w:t>
    </w:r>
  </w:p>
  <w:p w:rsidR="003276C8" w:rsidRDefault="00D86849">
    <w:pPr>
      <w:spacing w:after="200" w:line="259" w:lineRule="auto"/>
      <w:ind w:left="0" w:right="9" w:firstLine="0"/>
      <w:jc w:val="right"/>
    </w:pPr>
    <w:r>
      <w:rPr>
        <w:b/>
        <w:sz w:val="20"/>
      </w:rPr>
      <w:t xml:space="preserve">ISSN No. 2454-6194 | DOI: 10.51584/IJRIAS | Volume X Issue IX September 2025 </w:t>
    </w:r>
  </w:p>
  <w:p w:rsidR="003276C8" w:rsidRDefault="00D86849">
    <w:pPr>
      <w:spacing w:after="0" w:line="259" w:lineRule="auto"/>
      <w:ind w:left="0" w:firstLine="0"/>
      <w:jc w:val="left"/>
    </w:pPr>
    <w:r>
      <w:rPr>
        <w:rFonts w:ascii="Calibri" w:eastAsia="Calibri" w:hAnsi="Calibri" w:cs="Calibri"/>
        <w:sz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F6" w:rsidRPr="00B66B13" w:rsidRDefault="0047327B" w:rsidP="00D058F6">
    <w:pPr>
      <w:widowControl w:val="0"/>
      <w:tabs>
        <w:tab w:val="center" w:pos="4513"/>
        <w:tab w:val="right" w:pos="9026"/>
      </w:tabs>
      <w:autoSpaceDE w:val="0"/>
      <w:autoSpaceDN w:val="0"/>
      <w:spacing w:after="0" w:line="240" w:lineRule="auto"/>
      <w:rPr>
        <w:rFonts w:eastAsia="Calibri" w:cs="SimSun"/>
        <w:lang w:eastAsia="en-US"/>
      </w:rPr>
    </w:pPr>
    <w:r w:rsidRPr="0047327B">
      <w:rPr>
        <w:rFonts w:ascii="Calibri" w:eastAsia="Calibri" w:hAnsi="Calibri"/>
        <w:noProof/>
      </w:rPr>
      <w:pict>
        <v:shapetype id="_x0000_t202" coordsize="21600,21600" o:spt="202" path="m,l,21600r21600,l21600,xe">
          <v:stroke joinstyle="miter"/>
          <v:path gradientshapeok="t" o:connecttype="rect"/>
        </v:shapetype>
        <v:shape id="Text Box 21" o:spid="_x0000_s1026" type="#_x0000_t202" style="position:absolute;left:0;text-align:left;margin-left:108.3pt;margin-top:8.6pt;width:457.8pt;height:34.6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" filled="f" stroked="f">
          <v:textbox inset="0,0,0,0">
            <w:txbxContent>
              <w:p w:rsidR="00D058F6" w:rsidRPr="00B66B13" w:rsidRDefault="00D058F6" w:rsidP="00D058F6">
                <w:pPr>
                  <w:spacing w:after="0"/>
                  <w:jc w:val="right"/>
                  <w:rPr>
                    <w:b/>
                    <w:sz w:val="20"/>
                  </w:rPr>
                </w:pPr>
                <w:r w:rsidRPr="00B66B13">
                  <w:rPr>
                    <w:b/>
                    <w:sz w:val="20"/>
                  </w:rPr>
                  <w:t>INTERNATIONAL JOURNAL OF RESEARCH AND INNOVATION IN SOCIAL SCIENCE (IJRISS)</w:t>
                </w:r>
              </w:p>
              <w:p w:rsidR="00D058F6" w:rsidRPr="00B66B13" w:rsidRDefault="00D058F6" w:rsidP="00D058F6">
                <w:pPr>
                  <w:spacing w:after="0"/>
                  <w:jc w:val="right"/>
                  <w:rPr>
                    <w:bCs/>
                    <w:sz w:val="20"/>
                  </w:rPr>
                </w:pPr>
                <w:r w:rsidRPr="00B66B13">
                  <w:rPr>
                    <w:sz w:val="20"/>
                  </w:rPr>
                  <w:t>ISSN</w:t>
                </w:r>
                <w:r w:rsidRPr="00B66B13">
                  <w:rPr>
                    <w:spacing w:val="-1"/>
                    <w:sz w:val="20"/>
                  </w:rPr>
                  <w:t xml:space="preserve"> </w:t>
                </w:r>
                <w:r w:rsidRPr="00B66B13">
                  <w:rPr>
                    <w:sz w:val="20"/>
                  </w:rPr>
                  <w:t>No. 2454-6186 | DOI: 10.47772/IJRISS | Volume X Issue I January 2026</w:t>
                </w:r>
              </w:p>
              <w:p w:rsidR="00D058F6" w:rsidRPr="00B66B13" w:rsidRDefault="00D058F6" w:rsidP="00D058F6">
                <w:pPr>
                  <w:spacing w:after="0"/>
                  <w:jc w:val="right"/>
                  <w:rPr>
                    <w:bCs/>
                    <w:sz w:val="12"/>
                    <w:szCs w:val="18"/>
                  </w:rPr>
                </w:pPr>
              </w:p>
            </w:txbxContent>
          </v:textbox>
          <w10:wrap anchorx="page" anchory="page"/>
        </v:shape>
      </w:pict>
    </w:r>
    <w:r w:rsidR="00D058F6" w:rsidRPr="00B66B13">
      <w:rPr>
        <w:rFonts w:eastAsia="Calibri" w:cs="SimSun"/>
        <w:noProof/>
        <w:lang w:val="en-US" w:eastAsia="en-US"/>
      </w:rPr>
      <w:drawing>
        <wp:anchor distT="0" distB="0" distL="114300" distR="114300" simplePos="0" relativeHeight="251653120" behindDoc="1" locked="0" layoutInCell="1" allowOverlap="1">
          <wp:simplePos x="0" y="0"/>
          <wp:positionH relativeFrom="margin">
            <wp:posOffset>80645</wp:posOffset>
          </wp:positionH>
          <wp:positionV relativeFrom="paragraph">
            <wp:posOffset>-201930</wp:posOffset>
          </wp:positionV>
          <wp:extent cx="533400" cy="450731"/>
          <wp:effectExtent l="0" t="0" r="0" b="6985"/>
          <wp:wrapNone/>
          <wp:docPr id="1207089586" name="Picture 1207089586"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3400" cy="450731"/>
                  </a:xfrm>
                  <a:prstGeom prst="rect">
                    <a:avLst/>
                  </a:prstGeom>
                  <a:noFill/>
                  <a:ln>
                    <a:noFill/>
                  </a:ln>
                </pic:spPr>
              </pic:pic>
            </a:graphicData>
          </a:graphic>
        </wp:anchor>
      </w:drawing>
    </w:r>
    <w:r w:rsidR="00D058F6">
      <w:rPr>
        <w:rFonts w:ascii="Calibri" w:eastAsia="Calibri" w:hAnsi="Calibri" w:cs="Calibri"/>
        <w:sz w:val="22"/>
      </w:rPr>
      <w:t xml:space="preserve"> </w:t>
    </w:r>
  </w:p>
  <w:p w:rsidR="00D058F6" w:rsidRPr="00B66B13" w:rsidRDefault="0047327B" w:rsidP="00D058F6">
    <w:pPr>
      <w:widowControl w:val="0"/>
      <w:tabs>
        <w:tab w:val="center" w:pos="4513"/>
        <w:tab w:val="right" w:pos="9026"/>
      </w:tabs>
      <w:autoSpaceDE w:val="0"/>
      <w:autoSpaceDN w:val="0"/>
      <w:spacing w:after="0" w:line="240" w:lineRule="auto"/>
      <w:rPr>
        <w:rFonts w:eastAsia="Calibri" w:cs="SimSun"/>
        <w:lang w:eastAsia="en-US"/>
      </w:rPr>
    </w:pPr>
    <w:r w:rsidRPr="0047327B">
      <w:rPr>
        <w:rFonts w:ascii="Calibri" w:eastAsia="Calibri" w:hAnsi="Calibri"/>
        <w:noProof/>
      </w:rPr>
      <w:pict>
        <v:group id="Group 18" o:spid="_x0000_s1047" style="position:absolute;left:0;text-align:left;margin-left:0;margin-top:11.5pt;width:538.6pt;height:1.5pt;z-index:-251661312;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" path="m6671309,l,,,19050r6671309,l6671309,xe" fillcolor="gray" stroked="f">
            <v:path arrowok="t"/>
          </v:shape>
        </v:group>
      </w:pict>
    </w:r>
    <w:r w:rsidR="00D058F6" w:rsidRPr="00B66B13">
      <w:rPr>
        <w:rFonts w:eastAsia="Calibri" w:cs="SimSun"/>
        <w:lang w:eastAsia="en-US"/>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C8" w:rsidRDefault="0047327B">
    <w:pPr>
      <w:tabs>
        <w:tab w:val="right" w:pos="10702"/>
      </w:tabs>
      <w:spacing w:after="0" w:line="259" w:lineRule="auto"/>
      <w:ind w:left="0" w:firstLine="0"/>
      <w:jc w:val="left"/>
    </w:pPr>
    <w:r w:rsidRPr="0047327B">
      <w:rPr>
        <w:rFonts w:ascii="Calibri" w:eastAsia="Calibri" w:hAnsi="Calibri" w:cs="Calibri"/>
        <w:noProof/>
        <w:sz w:val="22"/>
      </w:rPr>
      <w:pict>
        <v:group id="Group 14642" o:spid="_x0000_s1035" style="position:absolute;margin-left:29.5pt;margin-top:46.8pt;width:535.7pt;height:.5pt;z-index:251661312;mso-position-horizontal-relative:page;mso-position-vertical-relative:page" coordsize="68031,60">
          <v:shape id="Shape 14956" o:spid="_x0000_s1038" style="position:absolute;width:8324;height:91" coordsize="832409,9144" path="m,l832409,r,9144l,9144,,e" fillcolor="black" stroked="f" strokeweight="0">
            <v:stroke opacity="0" miterlimit="10" joinstyle="miter"/>
          </v:shape>
          <v:shape id="Shape 14957" o:spid="_x0000_s1037" style="position:absolute;left:8232;width:91;height:91" coordsize="9144,9144" path="m,l9144,r,9144l,9144,,e" fillcolor="black" stroked="f" strokeweight="0">
            <v:stroke opacity="0" miterlimit="10" joinstyle="miter"/>
          </v:shape>
          <v:shape id="Shape 14958" o:spid="_x0000_s1036" style="position:absolute;left:8293;width:59738;height:91" coordsize="5973826,9144" path="m,l5973826,r,9144l,9144,,e" fillcolor="black" stroked="f" strokeweight="0">
            <v:stroke opacity="0" miterlimit="10" joinstyle="miter"/>
          </v:shape>
          <w10:wrap type="square" anchorx="page" anchory="page"/>
        </v:group>
      </w:pict>
    </w:r>
    <w:r w:rsidR="00D86849">
      <w:rPr>
        <w:rFonts w:ascii="Calibri" w:eastAsia="Calibri" w:hAnsi="Calibri" w:cs="Calibri"/>
        <w:sz w:val="22"/>
      </w:rPr>
      <w:t xml:space="preserve"> </w:t>
    </w:r>
    <w:r w:rsidR="00D86849">
      <w:rPr>
        <w:rFonts w:ascii="Calibri" w:eastAsia="Calibri" w:hAnsi="Calibri" w:cs="Calibri"/>
        <w:sz w:val="22"/>
      </w:rPr>
      <w:tab/>
    </w:r>
    <w:r w:rsidR="00D86849">
      <w:rPr>
        <w:b/>
        <w:sz w:val="20"/>
      </w:rPr>
      <w:t xml:space="preserve">INTERNATIONAL JOURNAL OF RESEARCH AND INNOVATION IN APPLIED SCIENCE (IJRIAS) </w:t>
    </w:r>
  </w:p>
  <w:p w:rsidR="003276C8" w:rsidRDefault="00D86849">
    <w:pPr>
      <w:spacing w:after="200" w:line="259" w:lineRule="auto"/>
      <w:ind w:left="0" w:right="9" w:firstLine="0"/>
      <w:jc w:val="right"/>
    </w:pPr>
    <w:r>
      <w:rPr>
        <w:b/>
        <w:sz w:val="20"/>
      </w:rPr>
      <w:t xml:space="preserve">ISSN No. 2454-6194 | DOI: 10.51584/IJRIAS | Volume X Issue IX September 2025 </w:t>
    </w:r>
  </w:p>
  <w:p w:rsidR="003276C8" w:rsidRDefault="00D86849">
    <w:pPr>
      <w:spacing w:after="0" w:line="259" w:lineRule="auto"/>
      <w:ind w:left="0" w:firstLine="0"/>
      <w:jc w:val="left"/>
    </w:pPr>
    <w:r>
      <w:rPr>
        <w:rFonts w:ascii="Calibri" w:eastAsia="Calibri" w:hAnsi="Calibri" w:cs="Calibri"/>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632BD"/>
    <w:multiLevelType w:val="hybridMultilevel"/>
    <w:tmpl w:val="E8D03586"/>
    <w:lvl w:ilvl="0" w:tplc="4009000F">
      <w:start w:val="1"/>
      <w:numFmt w:val="decimal"/>
      <w:lvlText w:val="%1."/>
      <w:lvlJc w:val="left"/>
      <w:pPr>
        <w:ind w:left="561"/>
      </w:pPr>
      <w:rPr>
        <w:b w:val="0"/>
        <w:i w:val="0"/>
        <w:strike w:val="0"/>
        <w:dstrike w:val="0"/>
        <w:color w:val="0A0A0A"/>
        <w:sz w:val="24"/>
        <w:szCs w:val="24"/>
        <w:u w:val="none" w:color="000000"/>
        <w:bdr w:val="none" w:sz="0" w:space="0" w:color="auto"/>
        <w:shd w:val="clear" w:color="auto" w:fill="auto"/>
        <w:vertAlign w:val="baseline"/>
      </w:rPr>
    </w:lvl>
    <w:lvl w:ilvl="1" w:tplc="FFFFFFFF">
      <w:start w:val="1"/>
      <w:numFmt w:val="lowerLetter"/>
      <w:lvlText w:val="%2"/>
      <w:lvlJc w:val="left"/>
      <w:pPr>
        <w:ind w:left="1296"/>
      </w:pPr>
      <w:rPr>
        <w:rFonts w:ascii="Times New Roman" w:eastAsia="Times New Roman" w:hAnsi="Times New Roman" w:cs="Times New Roman"/>
        <w:b w:val="0"/>
        <w:i w:val="0"/>
        <w:strike w:val="0"/>
        <w:dstrike w:val="0"/>
        <w:color w:val="0A0A0A"/>
        <w:sz w:val="24"/>
        <w:szCs w:val="24"/>
        <w:u w:val="none" w:color="000000"/>
        <w:bdr w:val="none" w:sz="0" w:space="0" w:color="auto"/>
        <w:shd w:val="clear" w:color="auto" w:fill="auto"/>
        <w:vertAlign w:val="baseline"/>
      </w:rPr>
    </w:lvl>
    <w:lvl w:ilvl="2" w:tplc="FFFFFFFF">
      <w:start w:val="1"/>
      <w:numFmt w:val="lowerRoman"/>
      <w:lvlText w:val="%3"/>
      <w:lvlJc w:val="left"/>
      <w:pPr>
        <w:ind w:left="2016"/>
      </w:pPr>
      <w:rPr>
        <w:rFonts w:ascii="Times New Roman" w:eastAsia="Times New Roman" w:hAnsi="Times New Roman" w:cs="Times New Roman"/>
        <w:b w:val="0"/>
        <w:i w:val="0"/>
        <w:strike w:val="0"/>
        <w:dstrike w:val="0"/>
        <w:color w:val="0A0A0A"/>
        <w:sz w:val="24"/>
        <w:szCs w:val="24"/>
        <w:u w:val="none" w:color="000000"/>
        <w:bdr w:val="none" w:sz="0" w:space="0" w:color="auto"/>
        <w:shd w:val="clear" w:color="auto" w:fill="auto"/>
        <w:vertAlign w:val="baseline"/>
      </w:rPr>
    </w:lvl>
    <w:lvl w:ilvl="3" w:tplc="FFFFFFFF">
      <w:start w:val="1"/>
      <w:numFmt w:val="decimal"/>
      <w:lvlText w:val="%4"/>
      <w:lvlJc w:val="left"/>
      <w:pPr>
        <w:ind w:left="2736"/>
      </w:pPr>
      <w:rPr>
        <w:rFonts w:ascii="Times New Roman" w:eastAsia="Times New Roman" w:hAnsi="Times New Roman" w:cs="Times New Roman"/>
        <w:b w:val="0"/>
        <w:i w:val="0"/>
        <w:strike w:val="0"/>
        <w:dstrike w:val="0"/>
        <w:color w:val="0A0A0A"/>
        <w:sz w:val="24"/>
        <w:szCs w:val="24"/>
        <w:u w:val="none" w:color="000000"/>
        <w:bdr w:val="none" w:sz="0" w:space="0" w:color="auto"/>
        <w:shd w:val="clear" w:color="auto" w:fill="auto"/>
        <w:vertAlign w:val="baseline"/>
      </w:rPr>
    </w:lvl>
    <w:lvl w:ilvl="4" w:tplc="FFFFFFFF">
      <w:start w:val="1"/>
      <w:numFmt w:val="lowerLetter"/>
      <w:lvlText w:val="%5"/>
      <w:lvlJc w:val="left"/>
      <w:pPr>
        <w:ind w:left="3456"/>
      </w:pPr>
      <w:rPr>
        <w:rFonts w:ascii="Times New Roman" w:eastAsia="Times New Roman" w:hAnsi="Times New Roman" w:cs="Times New Roman"/>
        <w:b w:val="0"/>
        <w:i w:val="0"/>
        <w:strike w:val="0"/>
        <w:dstrike w:val="0"/>
        <w:color w:val="0A0A0A"/>
        <w:sz w:val="24"/>
        <w:szCs w:val="24"/>
        <w:u w:val="none" w:color="000000"/>
        <w:bdr w:val="none" w:sz="0" w:space="0" w:color="auto"/>
        <w:shd w:val="clear" w:color="auto" w:fill="auto"/>
        <w:vertAlign w:val="baseline"/>
      </w:rPr>
    </w:lvl>
    <w:lvl w:ilvl="5" w:tplc="FFFFFFFF">
      <w:start w:val="1"/>
      <w:numFmt w:val="lowerRoman"/>
      <w:lvlText w:val="%6"/>
      <w:lvlJc w:val="left"/>
      <w:pPr>
        <w:ind w:left="4176"/>
      </w:pPr>
      <w:rPr>
        <w:rFonts w:ascii="Times New Roman" w:eastAsia="Times New Roman" w:hAnsi="Times New Roman" w:cs="Times New Roman"/>
        <w:b w:val="0"/>
        <w:i w:val="0"/>
        <w:strike w:val="0"/>
        <w:dstrike w:val="0"/>
        <w:color w:val="0A0A0A"/>
        <w:sz w:val="24"/>
        <w:szCs w:val="24"/>
        <w:u w:val="none" w:color="000000"/>
        <w:bdr w:val="none" w:sz="0" w:space="0" w:color="auto"/>
        <w:shd w:val="clear" w:color="auto" w:fill="auto"/>
        <w:vertAlign w:val="baseline"/>
      </w:rPr>
    </w:lvl>
    <w:lvl w:ilvl="6" w:tplc="FFFFFFFF">
      <w:start w:val="1"/>
      <w:numFmt w:val="decimal"/>
      <w:lvlText w:val="%7"/>
      <w:lvlJc w:val="left"/>
      <w:pPr>
        <w:ind w:left="4896"/>
      </w:pPr>
      <w:rPr>
        <w:rFonts w:ascii="Times New Roman" w:eastAsia="Times New Roman" w:hAnsi="Times New Roman" w:cs="Times New Roman"/>
        <w:b w:val="0"/>
        <w:i w:val="0"/>
        <w:strike w:val="0"/>
        <w:dstrike w:val="0"/>
        <w:color w:val="0A0A0A"/>
        <w:sz w:val="24"/>
        <w:szCs w:val="24"/>
        <w:u w:val="none" w:color="000000"/>
        <w:bdr w:val="none" w:sz="0" w:space="0" w:color="auto"/>
        <w:shd w:val="clear" w:color="auto" w:fill="auto"/>
        <w:vertAlign w:val="baseline"/>
      </w:rPr>
    </w:lvl>
    <w:lvl w:ilvl="7" w:tplc="FFFFFFFF">
      <w:start w:val="1"/>
      <w:numFmt w:val="lowerLetter"/>
      <w:lvlText w:val="%8"/>
      <w:lvlJc w:val="left"/>
      <w:pPr>
        <w:ind w:left="5616"/>
      </w:pPr>
      <w:rPr>
        <w:rFonts w:ascii="Times New Roman" w:eastAsia="Times New Roman" w:hAnsi="Times New Roman" w:cs="Times New Roman"/>
        <w:b w:val="0"/>
        <w:i w:val="0"/>
        <w:strike w:val="0"/>
        <w:dstrike w:val="0"/>
        <w:color w:val="0A0A0A"/>
        <w:sz w:val="24"/>
        <w:szCs w:val="24"/>
        <w:u w:val="none" w:color="000000"/>
        <w:bdr w:val="none" w:sz="0" w:space="0" w:color="auto"/>
        <w:shd w:val="clear" w:color="auto" w:fill="auto"/>
        <w:vertAlign w:val="baseline"/>
      </w:rPr>
    </w:lvl>
    <w:lvl w:ilvl="8" w:tplc="FFFFFFFF">
      <w:start w:val="1"/>
      <w:numFmt w:val="lowerRoman"/>
      <w:lvlText w:val="%9"/>
      <w:lvlJc w:val="left"/>
      <w:pPr>
        <w:ind w:left="6336"/>
      </w:pPr>
      <w:rPr>
        <w:rFonts w:ascii="Times New Roman" w:eastAsia="Times New Roman" w:hAnsi="Times New Roman" w:cs="Times New Roman"/>
        <w:b w:val="0"/>
        <w:i w:val="0"/>
        <w:strike w:val="0"/>
        <w:dstrike w:val="0"/>
        <w:color w:val="0A0A0A"/>
        <w:sz w:val="24"/>
        <w:szCs w:val="24"/>
        <w:u w:val="none" w:color="000000"/>
        <w:bdr w:val="none" w:sz="0" w:space="0" w:color="auto"/>
        <w:shd w:val="clear" w:color="auto" w:fill="auto"/>
        <w:vertAlign w:val="baseline"/>
      </w:rPr>
    </w:lvl>
  </w:abstractNum>
  <w:abstractNum w:abstractNumId="1">
    <w:nsid w:val="343E6877"/>
    <w:multiLevelType w:val="multilevel"/>
    <w:tmpl w:val="BBE6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F40606"/>
    <w:multiLevelType w:val="hybridMultilevel"/>
    <w:tmpl w:val="77BA9AB0"/>
    <w:lvl w:ilvl="0" w:tplc="BE0A0DB4">
      <w:start w:val="1"/>
      <w:numFmt w:val="decimal"/>
      <w:lvlText w:val="%1."/>
      <w:lvlJc w:val="left"/>
      <w:pPr>
        <w:ind w:left="561"/>
      </w:pPr>
      <w:rPr>
        <w:rFonts w:ascii="Times New Roman" w:eastAsia="Times New Roman" w:hAnsi="Times New Roman" w:cs="Times New Roman"/>
        <w:b w:val="0"/>
        <w:i w:val="0"/>
        <w:strike w:val="0"/>
        <w:dstrike w:val="0"/>
        <w:color w:val="0A0A0A"/>
        <w:sz w:val="24"/>
        <w:szCs w:val="24"/>
        <w:u w:val="none" w:color="000000"/>
        <w:bdr w:val="none" w:sz="0" w:space="0" w:color="auto"/>
        <w:shd w:val="clear" w:color="auto" w:fill="auto"/>
        <w:vertAlign w:val="baseline"/>
      </w:rPr>
    </w:lvl>
    <w:lvl w:ilvl="1" w:tplc="ED6AC03C">
      <w:start w:val="1"/>
      <w:numFmt w:val="lowerLetter"/>
      <w:lvlText w:val="%2"/>
      <w:lvlJc w:val="left"/>
      <w:pPr>
        <w:ind w:left="1296"/>
      </w:pPr>
      <w:rPr>
        <w:rFonts w:ascii="Times New Roman" w:eastAsia="Times New Roman" w:hAnsi="Times New Roman" w:cs="Times New Roman"/>
        <w:b w:val="0"/>
        <w:i w:val="0"/>
        <w:strike w:val="0"/>
        <w:dstrike w:val="0"/>
        <w:color w:val="0A0A0A"/>
        <w:sz w:val="24"/>
        <w:szCs w:val="24"/>
        <w:u w:val="none" w:color="000000"/>
        <w:bdr w:val="none" w:sz="0" w:space="0" w:color="auto"/>
        <w:shd w:val="clear" w:color="auto" w:fill="auto"/>
        <w:vertAlign w:val="baseline"/>
      </w:rPr>
    </w:lvl>
    <w:lvl w:ilvl="2" w:tplc="4C4C8A68">
      <w:start w:val="1"/>
      <w:numFmt w:val="lowerRoman"/>
      <w:lvlText w:val="%3"/>
      <w:lvlJc w:val="left"/>
      <w:pPr>
        <w:ind w:left="2016"/>
      </w:pPr>
      <w:rPr>
        <w:rFonts w:ascii="Times New Roman" w:eastAsia="Times New Roman" w:hAnsi="Times New Roman" w:cs="Times New Roman"/>
        <w:b w:val="0"/>
        <w:i w:val="0"/>
        <w:strike w:val="0"/>
        <w:dstrike w:val="0"/>
        <w:color w:val="0A0A0A"/>
        <w:sz w:val="24"/>
        <w:szCs w:val="24"/>
        <w:u w:val="none" w:color="000000"/>
        <w:bdr w:val="none" w:sz="0" w:space="0" w:color="auto"/>
        <w:shd w:val="clear" w:color="auto" w:fill="auto"/>
        <w:vertAlign w:val="baseline"/>
      </w:rPr>
    </w:lvl>
    <w:lvl w:ilvl="3" w:tplc="2CD4482C">
      <w:start w:val="1"/>
      <w:numFmt w:val="decimal"/>
      <w:lvlText w:val="%4"/>
      <w:lvlJc w:val="left"/>
      <w:pPr>
        <w:ind w:left="2736"/>
      </w:pPr>
      <w:rPr>
        <w:rFonts w:ascii="Times New Roman" w:eastAsia="Times New Roman" w:hAnsi="Times New Roman" w:cs="Times New Roman"/>
        <w:b w:val="0"/>
        <w:i w:val="0"/>
        <w:strike w:val="0"/>
        <w:dstrike w:val="0"/>
        <w:color w:val="0A0A0A"/>
        <w:sz w:val="24"/>
        <w:szCs w:val="24"/>
        <w:u w:val="none" w:color="000000"/>
        <w:bdr w:val="none" w:sz="0" w:space="0" w:color="auto"/>
        <w:shd w:val="clear" w:color="auto" w:fill="auto"/>
        <w:vertAlign w:val="baseline"/>
      </w:rPr>
    </w:lvl>
    <w:lvl w:ilvl="4" w:tplc="3E98C8C4">
      <w:start w:val="1"/>
      <w:numFmt w:val="lowerLetter"/>
      <w:lvlText w:val="%5"/>
      <w:lvlJc w:val="left"/>
      <w:pPr>
        <w:ind w:left="3456"/>
      </w:pPr>
      <w:rPr>
        <w:rFonts w:ascii="Times New Roman" w:eastAsia="Times New Roman" w:hAnsi="Times New Roman" w:cs="Times New Roman"/>
        <w:b w:val="0"/>
        <w:i w:val="0"/>
        <w:strike w:val="0"/>
        <w:dstrike w:val="0"/>
        <w:color w:val="0A0A0A"/>
        <w:sz w:val="24"/>
        <w:szCs w:val="24"/>
        <w:u w:val="none" w:color="000000"/>
        <w:bdr w:val="none" w:sz="0" w:space="0" w:color="auto"/>
        <w:shd w:val="clear" w:color="auto" w:fill="auto"/>
        <w:vertAlign w:val="baseline"/>
      </w:rPr>
    </w:lvl>
    <w:lvl w:ilvl="5" w:tplc="A3F43B9A">
      <w:start w:val="1"/>
      <w:numFmt w:val="lowerRoman"/>
      <w:lvlText w:val="%6"/>
      <w:lvlJc w:val="left"/>
      <w:pPr>
        <w:ind w:left="4176"/>
      </w:pPr>
      <w:rPr>
        <w:rFonts w:ascii="Times New Roman" w:eastAsia="Times New Roman" w:hAnsi="Times New Roman" w:cs="Times New Roman"/>
        <w:b w:val="0"/>
        <w:i w:val="0"/>
        <w:strike w:val="0"/>
        <w:dstrike w:val="0"/>
        <w:color w:val="0A0A0A"/>
        <w:sz w:val="24"/>
        <w:szCs w:val="24"/>
        <w:u w:val="none" w:color="000000"/>
        <w:bdr w:val="none" w:sz="0" w:space="0" w:color="auto"/>
        <w:shd w:val="clear" w:color="auto" w:fill="auto"/>
        <w:vertAlign w:val="baseline"/>
      </w:rPr>
    </w:lvl>
    <w:lvl w:ilvl="6" w:tplc="D556D422">
      <w:start w:val="1"/>
      <w:numFmt w:val="decimal"/>
      <w:lvlText w:val="%7"/>
      <w:lvlJc w:val="left"/>
      <w:pPr>
        <w:ind w:left="4896"/>
      </w:pPr>
      <w:rPr>
        <w:rFonts w:ascii="Times New Roman" w:eastAsia="Times New Roman" w:hAnsi="Times New Roman" w:cs="Times New Roman"/>
        <w:b w:val="0"/>
        <w:i w:val="0"/>
        <w:strike w:val="0"/>
        <w:dstrike w:val="0"/>
        <w:color w:val="0A0A0A"/>
        <w:sz w:val="24"/>
        <w:szCs w:val="24"/>
        <w:u w:val="none" w:color="000000"/>
        <w:bdr w:val="none" w:sz="0" w:space="0" w:color="auto"/>
        <w:shd w:val="clear" w:color="auto" w:fill="auto"/>
        <w:vertAlign w:val="baseline"/>
      </w:rPr>
    </w:lvl>
    <w:lvl w:ilvl="7" w:tplc="C6961286">
      <w:start w:val="1"/>
      <w:numFmt w:val="lowerLetter"/>
      <w:lvlText w:val="%8"/>
      <w:lvlJc w:val="left"/>
      <w:pPr>
        <w:ind w:left="5616"/>
      </w:pPr>
      <w:rPr>
        <w:rFonts w:ascii="Times New Roman" w:eastAsia="Times New Roman" w:hAnsi="Times New Roman" w:cs="Times New Roman"/>
        <w:b w:val="0"/>
        <w:i w:val="0"/>
        <w:strike w:val="0"/>
        <w:dstrike w:val="0"/>
        <w:color w:val="0A0A0A"/>
        <w:sz w:val="24"/>
        <w:szCs w:val="24"/>
        <w:u w:val="none" w:color="000000"/>
        <w:bdr w:val="none" w:sz="0" w:space="0" w:color="auto"/>
        <w:shd w:val="clear" w:color="auto" w:fill="auto"/>
        <w:vertAlign w:val="baseline"/>
      </w:rPr>
    </w:lvl>
    <w:lvl w:ilvl="8" w:tplc="01A0C1BC">
      <w:start w:val="1"/>
      <w:numFmt w:val="lowerRoman"/>
      <w:lvlText w:val="%9"/>
      <w:lvlJc w:val="left"/>
      <w:pPr>
        <w:ind w:left="6336"/>
      </w:pPr>
      <w:rPr>
        <w:rFonts w:ascii="Times New Roman" w:eastAsia="Times New Roman" w:hAnsi="Times New Roman" w:cs="Times New Roman"/>
        <w:b w:val="0"/>
        <w:i w:val="0"/>
        <w:strike w:val="0"/>
        <w:dstrike w:val="0"/>
        <w:color w:val="0A0A0A"/>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3276C8"/>
    <w:rsid w:val="003276C8"/>
    <w:rsid w:val="0047327B"/>
    <w:rsid w:val="008726B5"/>
    <w:rsid w:val="008D3E10"/>
    <w:rsid w:val="00B206EF"/>
    <w:rsid w:val="00D058F6"/>
    <w:rsid w:val="00D86849"/>
    <w:rsid w:val="00DA1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27B"/>
    <w:pPr>
      <w:spacing w:after="226" w:line="249"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47327B"/>
    <w:pPr>
      <w:keepNext/>
      <w:keepLines/>
      <w:spacing w:after="173"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47327B"/>
    <w:pPr>
      <w:keepNext/>
      <w:keepLines/>
      <w:spacing w:after="216" w:line="259" w:lineRule="auto"/>
      <w:ind w:left="10" w:right="8" w:hanging="10"/>
      <w:outlineLvl w:val="1"/>
    </w:pPr>
    <w:rPr>
      <w:rFonts w:ascii="Times New Roman" w:eastAsia="Times New Roman" w:hAnsi="Times New Roman" w:cs="Times New Roman"/>
      <w:b/>
      <w:color w:val="000000"/>
    </w:rPr>
  </w:style>
  <w:style w:type="paragraph" w:styleId="Heading3">
    <w:name w:val="heading 3"/>
    <w:basedOn w:val="Normal"/>
    <w:next w:val="Normal"/>
    <w:link w:val="Heading3Char"/>
    <w:uiPriority w:val="9"/>
    <w:semiHidden/>
    <w:unhideWhenUsed/>
    <w:qFormat/>
    <w:rsid w:val="00D058F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7327B"/>
    <w:rPr>
      <w:rFonts w:ascii="Times New Roman" w:eastAsia="Times New Roman" w:hAnsi="Times New Roman" w:cs="Times New Roman"/>
      <w:b/>
      <w:color w:val="000000"/>
      <w:sz w:val="24"/>
    </w:rPr>
  </w:style>
  <w:style w:type="character" w:customStyle="1" w:styleId="Heading1Char">
    <w:name w:val="Heading 1 Char"/>
    <w:link w:val="Heading1"/>
    <w:rsid w:val="0047327B"/>
    <w:rPr>
      <w:rFonts w:ascii="Times New Roman" w:eastAsia="Times New Roman" w:hAnsi="Times New Roman" w:cs="Times New Roman"/>
      <w:b/>
      <w:color w:val="000000"/>
      <w:sz w:val="28"/>
    </w:rPr>
  </w:style>
  <w:style w:type="table" w:customStyle="1" w:styleId="TableGrid">
    <w:name w:val="TableGrid"/>
    <w:rsid w:val="0047327B"/>
    <w:pPr>
      <w:spacing w:after="0" w:line="240" w:lineRule="auto"/>
    </w:pPr>
    <w:tblPr>
      <w:tblCellMar>
        <w:top w:w="0" w:type="dxa"/>
        <w:left w:w="0" w:type="dxa"/>
        <w:bottom w:w="0" w:type="dxa"/>
        <w:right w:w="0" w:type="dxa"/>
      </w:tblCellMar>
    </w:tblPr>
  </w:style>
  <w:style w:type="paragraph" w:styleId="NoSpacing">
    <w:name w:val="No Spacing"/>
    <w:link w:val="NoSpacingChar"/>
    <w:uiPriority w:val="1"/>
    <w:qFormat/>
    <w:rsid w:val="00D058F6"/>
    <w:pPr>
      <w:spacing w:after="0" w:line="240" w:lineRule="auto"/>
    </w:pPr>
    <w:rPr>
      <w:rFonts w:eastAsiaTheme="minorHAnsi"/>
      <w:kern w:val="0"/>
      <w:sz w:val="22"/>
      <w:szCs w:val="22"/>
      <w:lang w:val="en-PH" w:eastAsia="en-US"/>
    </w:rPr>
  </w:style>
  <w:style w:type="character" w:customStyle="1" w:styleId="NoSpacingChar">
    <w:name w:val="No Spacing Char"/>
    <w:link w:val="NoSpacing"/>
    <w:uiPriority w:val="1"/>
    <w:qFormat/>
    <w:rsid w:val="00D058F6"/>
    <w:rPr>
      <w:rFonts w:eastAsiaTheme="minorHAnsi"/>
      <w:kern w:val="0"/>
      <w:sz w:val="22"/>
      <w:szCs w:val="22"/>
      <w:lang w:val="en-PH" w:eastAsia="en-US"/>
    </w:rPr>
  </w:style>
  <w:style w:type="paragraph" w:styleId="Footer">
    <w:name w:val="footer"/>
    <w:basedOn w:val="Normal"/>
    <w:link w:val="FooterChar"/>
    <w:uiPriority w:val="99"/>
    <w:unhideWhenUsed/>
    <w:rsid w:val="00D05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8F6"/>
    <w:rPr>
      <w:rFonts w:ascii="Times New Roman" w:eastAsia="Times New Roman" w:hAnsi="Times New Roman" w:cs="Times New Roman"/>
      <w:color w:val="000000"/>
    </w:rPr>
  </w:style>
  <w:style w:type="paragraph" w:styleId="BodyText">
    <w:name w:val="Body Text"/>
    <w:basedOn w:val="Normal"/>
    <w:link w:val="BodyTextChar"/>
    <w:uiPriority w:val="1"/>
    <w:qFormat/>
    <w:rsid w:val="00D058F6"/>
    <w:pPr>
      <w:widowControl w:val="0"/>
      <w:autoSpaceDE w:val="0"/>
      <w:autoSpaceDN w:val="0"/>
      <w:spacing w:after="0" w:line="240" w:lineRule="auto"/>
      <w:ind w:left="0" w:firstLine="0"/>
    </w:pPr>
    <w:rPr>
      <w:color w:val="auto"/>
      <w:kern w:val="0"/>
      <w:sz w:val="20"/>
      <w:szCs w:val="20"/>
      <w:lang w:val="en-US" w:eastAsia="en-US"/>
    </w:rPr>
  </w:style>
  <w:style w:type="character" w:customStyle="1" w:styleId="BodyTextChar">
    <w:name w:val="Body Text Char"/>
    <w:basedOn w:val="DefaultParagraphFont"/>
    <w:link w:val="BodyText"/>
    <w:uiPriority w:val="1"/>
    <w:rsid w:val="00D058F6"/>
    <w:rPr>
      <w:rFonts w:ascii="Times New Roman" w:eastAsia="Times New Roman" w:hAnsi="Times New Roman" w:cs="Times New Roman"/>
      <w:kern w:val="0"/>
      <w:sz w:val="20"/>
      <w:szCs w:val="20"/>
      <w:lang w:val="en-US" w:eastAsia="en-US"/>
    </w:rPr>
  </w:style>
  <w:style w:type="table" w:styleId="TableGrid0">
    <w:name w:val="Table Grid"/>
    <w:basedOn w:val="TableNormal"/>
    <w:uiPriority w:val="39"/>
    <w:rsid w:val="00D058F6"/>
    <w:pPr>
      <w:spacing w:after="0" w:line="240" w:lineRule="auto"/>
    </w:pPr>
    <w:rPr>
      <w:rFonts w:eastAsiaTheme="minorHAnsi"/>
      <w:kern w:val="0"/>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D058F6"/>
    <w:rPr>
      <w:rFonts w:asciiTheme="majorHAnsi" w:eastAsiaTheme="majorEastAsia" w:hAnsiTheme="majorHAnsi" w:cstheme="majorBidi"/>
      <w:color w:val="1F3763" w:themeColor="accent1"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doi.org/10.1111/j.1365-2923.1983.tb00657.x" TargetMode="External"/><Relationship Id="rId18" Type="http://schemas.openxmlformats.org/officeDocument/2006/relationships/hyperlink" Target="https://doi.org/10.1371/journal.pone.0288558" TargetMode="External"/><Relationship Id="rId26" Type="http://schemas.openxmlformats.org/officeDocument/2006/relationships/hyperlink" Target="https://www.google.com/search?q=https://doi.org/10.1016/j.riem.2016.05.002" TargetMode="External"/><Relationship Id="rId39" Type="http://schemas.openxmlformats.org/officeDocument/2006/relationships/hyperlink" Target="https://www.google.com/search?q=https://doi.org/10.51952/1853-0605-39-2-64" TargetMode="External"/><Relationship Id="rId21" Type="http://schemas.openxmlformats.org/officeDocument/2006/relationships/hyperlink" Target="https://www.google.com/search?q=https://doi.org/10.4103/jfmpc.jfmpc_1073_20" TargetMode="External"/><Relationship Id="rId34" Type="http://schemas.openxmlformats.org/officeDocument/2006/relationships/hyperlink" Target="https://www.google.com/search?q=https://doi.org/10.51952/1853-0605-39-2-64" TargetMode="External"/><Relationship Id="rId42" Type="http://schemas.openxmlformats.org/officeDocument/2006/relationships/hyperlink" Target="https://www.google.com/search?q=https://doi.org/10.1016/S2007-5057(14)72729-9" TargetMode="External"/><Relationship Id="rId47" Type="http://schemas.openxmlformats.org/officeDocument/2006/relationships/hyperlink" Target="https://www.google.com/search?q=https://doi.org/10.1016/S2007-5057(14)72729-9"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doi.org/10.47772/IJRISS.2026.10100449" TargetMode="External"/><Relationship Id="rId12" Type="http://schemas.openxmlformats.org/officeDocument/2006/relationships/hyperlink" Target="https://doi.org/10.1111/j.1365-2923.1983.tb00657.x" TargetMode="External"/><Relationship Id="rId17" Type="http://schemas.openxmlformats.org/officeDocument/2006/relationships/hyperlink" Target="https://www.google.com/search?q=https://doi.org/10.1080/01421590400013442" TargetMode="External"/><Relationship Id="rId25" Type="http://schemas.openxmlformats.org/officeDocument/2006/relationships/hyperlink" Target="https://doi.org/10.1046/j.1365-2923.2003.01594.x" TargetMode="External"/><Relationship Id="rId33" Type="http://schemas.openxmlformats.org/officeDocument/2006/relationships/hyperlink" Target="https://www.google.com/search?q=https://doi.org/10.51952/1853-0605-39-2-64" TargetMode="External"/><Relationship Id="rId38" Type="http://schemas.openxmlformats.org/officeDocument/2006/relationships/hyperlink" Target="https://www.google.com/search?q=https://doi.org/10.51952/1853-0605-39-2-64" TargetMode="External"/><Relationship Id="rId46" Type="http://schemas.openxmlformats.org/officeDocument/2006/relationships/hyperlink" Target="https://www.google.com/search?q=https://doi.org/10.1016/S2007-5057(14)72729-9" TargetMode="External"/><Relationship Id="rId2" Type="http://schemas.openxmlformats.org/officeDocument/2006/relationships/styles" Target="styles.xml"/><Relationship Id="rId16" Type="http://schemas.openxmlformats.org/officeDocument/2006/relationships/hyperlink" Target="https://www.google.com/search?q=https://doi.org/10.1080/01421590400013442" TargetMode="External"/><Relationship Id="rId20" Type="http://schemas.openxmlformats.org/officeDocument/2006/relationships/hyperlink" Target="https://www.google.com/search?q=https://doi.org/10.4103/jfmpc.jfmpc_1073_20" TargetMode="External"/><Relationship Id="rId29" Type="http://schemas.openxmlformats.org/officeDocument/2006/relationships/hyperlink" Target="https://www.google.com/search?q=https://doi.org/10.47391/JPMA.6878" TargetMode="External"/><Relationship Id="rId41" Type="http://schemas.openxmlformats.org/officeDocument/2006/relationships/hyperlink" Target="https://www.google.com/search?q=https://doi.org/10.51952/1853-0605-39-2-64"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nedt.2012.05.012" TargetMode="External"/><Relationship Id="rId24" Type="http://schemas.openxmlformats.org/officeDocument/2006/relationships/hyperlink" Target="https://doi.org/10.1046/j.1365-2923.2003.01594.x" TargetMode="External"/><Relationship Id="rId32" Type="http://schemas.openxmlformats.org/officeDocument/2006/relationships/hyperlink" Target="https://www.google.com/search?q=https://doi.org/10.51952/1853-0605-39-2-64" TargetMode="External"/><Relationship Id="rId37" Type="http://schemas.openxmlformats.org/officeDocument/2006/relationships/hyperlink" Target="https://www.google.com/search?q=https://doi.org/10.51952/1853-0605-39-2-64" TargetMode="External"/><Relationship Id="rId40" Type="http://schemas.openxmlformats.org/officeDocument/2006/relationships/hyperlink" Target="https://www.google.com/search?q=https://doi.org/10.51952/1853-0605-39-2-64" TargetMode="External"/><Relationship Id="rId45" Type="http://schemas.openxmlformats.org/officeDocument/2006/relationships/hyperlink" Target="https://www.google.com/search?q=https://doi.org/10.1016/S2007-5057(14)72729-9" TargetMode="External"/><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11/j.1365-2923.1983.tb00657.x" TargetMode="External"/><Relationship Id="rId23" Type="http://schemas.openxmlformats.org/officeDocument/2006/relationships/hyperlink" Target="https://doi.org/10.1046/j.1365-2923.2003.01594.x" TargetMode="External"/><Relationship Id="rId28" Type="http://schemas.openxmlformats.org/officeDocument/2006/relationships/hyperlink" Target="https://www.google.com/search?q=https://doi.org/10.47391/JPMA.6878" TargetMode="External"/><Relationship Id="rId36" Type="http://schemas.openxmlformats.org/officeDocument/2006/relationships/hyperlink" Target="https://www.google.com/search?q=https://doi.org/10.51952/1853-0605-39-2-64" TargetMode="External"/><Relationship Id="rId49" Type="http://schemas.openxmlformats.org/officeDocument/2006/relationships/header" Target="header2.xml"/><Relationship Id="rId10" Type="http://schemas.openxmlformats.org/officeDocument/2006/relationships/hyperlink" Target="https://doi.org/10.1016/j.nedt.2012.05.012" TargetMode="External"/><Relationship Id="rId19" Type="http://schemas.openxmlformats.org/officeDocument/2006/relationships/hyperlink" Target="https://doi.org/10.1371/journal.pone.0288558" TargetMode="External"/><Relationship Id="rId31" Type="http://schemas.openxmlformats.org/officeDocument/2006/relationships/hyperlink" Target="https://doi.org/10.1016/j.riem.2016.04.005" TargetMode="External"/><Relationship Id="rId44" Type="http://schemas.openxmlformats.org/officeDocument/2006/relationships/hyperlink" Target="https://www.google.com/search?q=https://doi.org/10.1016/S2007-5057(14)72729-9"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80/01421590701775453" TargetMode="External"/><Relationship Id="rId14" Type="http://schemas.openxmlformats.org/officeDocument/2006/relationships/hyperlink" Target="https://doi.org/10.1111/j.1365-2923.1983.tb00657.x" TargetMode="External"/><Relationship Id="rId22" Type="http://schemas.openxmlformats.org/officeDocument/2006/relationships/hyperlink" Target="https://doi.org/10.1046/j.1365-2923.2003.01594.x" TargetMode="External"/><Relationship Id="rId27" Type="http://schemas.openxmlformats.org/officeDocument/2006/relationships/hyperlink" Target="https://www.google.com/search?q=https://doi.org/10.1016/j.riem.2016.05.002" TargetMode="External"/><Relationship Id="rId30" Type="http://schemas.openxmlformats.org/officeDocument/2006/relationships/hyperlink" Target="https://doi.org/10.1016/j.riem.2016.04.005" TargetMode="External"/><Relationship Id="rId35" Type="http://schemas.openxmlformats.org/officeDocument/2006/relationships/hyperlink" Target="https://www.google.com/search?q=https://doi.org/10.51952/1853-0605-39-2-64" TargetMode="External"/><Relationship Id="rId43" Type="http://schemas.openxmlformats.org/officeDocument/2006/relationships/hyperlink" Target="https://www.google.com/search?q=https://doi.org/10.1016/S2007-5057(14)72729-9" TargetMode="External"/><Relationship Id="rId48" Type="http://schemas.openxmlformats.org/officeDocument/2006/relationships/header" Target="header1.xml"/><Relationship Id="rId8" Type="http://schemas.openxmlformats.org/officeDocument/2006/relationships/hyperlink" Target="https://doi.org/10.1080/01421590701775453" TargetMode="External"/><Relationship Id="rId51" Type="http://schemas.openxmlformats.org/officeDocument/2006/relationships/footer" Target="footer2.xm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2792</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Assessment Formats on Student Performance in Oral Histology: A Comparative Analysis of Multiple-Choice (MCQ) and Very Short-Answer (VSA) Questions</dc:title>
  <dc:subject>Educational Research</dc:subject>
  <dc:creator>Zavala Walther David</dc:creator>
  <cp:keywords>Multiple-Choice Questions (MCQ), Very short-answer Questions (VSA), Dental education, academic assessment, Bloom´s taxonomy</cp:keywords>
  <cp:lastModifiedBy>admin</cp:lastModifiedBy>
  <cp:revision>3</cp:revision>
  <dcterms:created xsi:type="dcterms:W3CDTF">2026-02-12T05:24:00Z</dcterms:created>
  <dcterms:modified xsi:type="dcterms:W3CDTF">2026-02-12T05:27:00Z</dcterms:modified>
  <cp:category>Educational Research</cp:category>
</cp:coreProperties>
</file>