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6918" w14:textId="6A57C282" w:rsidR="00340C77" w:rsidRPr="006831C1" w:rsidRDefault="00DA5C21" w:rsidP="006831C1">
      <w:pPr>
        <w:ind w:left="720" w:hanging="720"/>
        <w:jc w:val="center"/>
        <w:rPr>
          <w:rFonts w:ascii="Times New Roman" w:hAnsi="Times New Roman" w:cs="Times New Roman"/>
          <w:sz w:val="36"/>
          <w:szCs w:val="36"/>
        </w:rPr>
      </w:pPr>
      <w:r w:rsidRPr="006831C1">
        <w:rPr>
          <w:rFonts w:ascii="Times New Roman" w:hAnsi="Times New Roman" w:cs="Times New Roman"/>
          <w:b/>
          <w:bCs/>
          <w:sz w:val="36"/>
          <w:szCs w:val="36"/>
        </w:rPr>
        <w:t>STRENGTHENING CASH HANDLING PRACTICES IN GOVERNMENT AGENCIES: INSIGHTS FROM EXTERNAL CERTIFIED PUBLIC ACCOUNTANTS</w:t>
      </w:r>
    </w:p>
    <w:p w14:paraId="3B1EFE40" w14:textId="77777777" w:rsidR="006831C1" w:rsidRDefault="00DA5C21" w:rsidP="00C51AFF">
      <w:pPr>
        <w:ind w:left="720" w:hanging="720"/>
        <w:jc w:val="center"/>
        <w:rPr>
          <w:rFonts w:ascii="Times New Roman" w:hAnsi="Times New Roman" w:cs="Times New Roman"/>
          <w:b/>
          <w:bCs/>
        </w:rPr>
      </w:pPr>
      <w:r w:rsidRPr="006831C1">
        <w:rPr>
          <w:rFonts w:ascii="Times New Roman" w:hAnsi="Times New Roman" w:cs="Times New Roman"/>
          <w:b/>
          <w:bCs/>
        </w:rPr>
        <w:t/>
      </w:r>
    </w:p>
    <w:p w14:paraId="37CC6DC8" w14:textId="49116365" w:rsidR="00DA5C21" w:rsidRPr="006831C1" w:rsidRDefault="00DA5C21" w:rsidP="00C51AFF">
      <w:pPr>
        <w:ind w:left="720" w:hanging="720"/>
        <w:jc w:val="center"/>
        <w:rPr>
          <w:rFonts w:ascii="Times New Roman" w:hAnsi="Times New Roman" w:cs="Times New Roman"/>
          <w:b/>
          <w:bCs/>
        </w:rPr>
      </w:pPr>
      <w:r w:rsidRPr="006831C1">
        <w:rPr>
          <w:rFonts w:ascii="Times New Roman" w:hAnsi="Times New Roman" w:cs="Times New Roman"/>
          <w:b/>
          <w:bCs/>
        </w:rPr>
        <w:t/>
      </w:r>
    </w:p>
    <w:p w14:paraId="777191A4" w14:textId="2ED8C8F9" w:rsidR="0055073A" w:rsidRDefault="003C6A1E" w:rsidP="006831C1">
      <w:pPr>
        <w:ind w:left="720" w:hanging="720"/>
        <w:jc w:val="center"/>
        <w:rPr>
          <w:rFonts w:ascii="Times New Roman" w:hAnsi="Times New Roman" w:cs="Times New Roman"/>
        </w:rPr>
      </w:pPr>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xml:space="preserve"/>
      </w:r>
    </w:p>
    <w:p w14:paraId="5B5984B6" w14:textId="36AA56A6" w:rsidR="0055073A" w:rsidRPr="006831C1" w:rsidRDefault="0055073A" w:rsidP="00DA5C21">
      <w:pPr>
        <w:ind w:left="720" w:hanging="720"/>
        <w:rPr>
          <w:rFonts w:ascii="Times New Roman" w:hAnsi="Times New Roman" w:cs="Times New Roman"/>
          <w:b/>
          <w:bCs/>
          <w:sz w:val="28"/>
          <w:szCs w:val="28"/>
        </w:rPr>
      </w:pPr>
      <w:r w:rsidRPr="006831C1">
        <w:rPr>
          <w:rFonts w:ascii="Times New Roman" w:hAnsi="Times New Roman" w:cs="Times New Roman"/>
          <w:b/>
          <w:bCs/>
          <w:sz w:val="28"/>
          <w:szCs w:val="28"/>
        </w:rPr>
        <w:t>A</w:t>
      </w:r>
      <w:r w:rsidR="005F4595">
        <w:rPr>
          <w:rFonts w:ascii="Times New Roman" w:hAnsi="Times New Roman" w:cs="Times New Roman"/>
          <w:b/>
          <w:bCs/>
          <w:sz w:val="28"/>
          <w:szCs w:val="28"/>
        </w:rPr>
        <w:t>BSTRACT</w:t>
      </w:r>
    </w:p>
    <w:p w14:paraId="63B7C864" w14:textId="77777777" w:rsidR="00C05958" w:rsidRDefault="00133872" w:rsidP="006831C1">
      <w:pPr>
        <w:pStyle w:val="NormalWeb"/>
        <w:jc w:val="both"/>
      </w:pPr>
      <w:r w:rsidRPr="00C05958">
        <w:t>This study examined the cash handling practices of government offices and identified areas requiring strengthening and improvement, particularly in relation to fraud prevention. A quantitative descriptive-correlational research design was employed, involving 33 respondents assigned from the various offices in the Province of Surigao del Sur.</w:t>
      </w:r>
      <w:r w:rsidR="00C05958">
        <w:t xml:space="preserve"> </w:t>
      </w:r>
      <w:r w:rsidR="00C05958" w:rsidRPr="00C05958">
        <w:t>The findings revealed that regulations significantly influenced fraud-preventive procedures, while agency relationship, internal control, and ethics and integrity showed no significant effects. This suggests that strict adherence to regulatory policies plays a vital role in enhancing fraud prevention. It is recommended that government agencies strengthen regulatory compliance and promote coordination among offices to improve cash handling practices.</w:t>
      </w:r>
    </w:p>
    <w:p w14:paraId="42DD0BE8" w14:textId="77777777" w:rsidR="00C05958" w:rsidRPr="006831C1" w:rsidRDefault="00C05958" w:rsidP="00C51AFF">
      <w:pPr>
        <w:pStyle w:val="NormalWeb"/>
        <w:jc w:val="both"/>
        <w:rPr>
          <w:b/>
          <w:bCs/>
        </w:rPr>
      </w:pPr>
      <w:r w:rsidRPr="006831C1">
        <w:rPr>
          <w:b/>
          <w:bCs/>
        </w:rPr>
        <w:t>Keywords: cash handling practices, fraud prevention, descriptive-correlational, agency relationship, internal control, regulation, ethics and integrity</w:t>
      </w:r>
    </w:p>
    <w:p w14:paraId="3A78938F" w14:textId="417B6972" w:rsidR="00C05958" w:rsidRPr="006831C1" w:rsidRDefault="00C05958" w:rsidP="006831C1">
      <w:pPr>
        <w:pStyle w:val="NormalWeb"/>
        <w:jc w:val="both"/>
        <w:rPr>
          <w:b/>
          <w:bCs/>
          <w:sz w:val="28"/>
          <w:szCs w:val="28"/>
        </w:rPr>
      </w:pPr>
      <w:r w:rsidRPr="006831C1">
        <w:rPr>
          <w:b/>
          <w:bCs/>
          <w:sz w:val="28"/>
          <w:szCs w:val="28"/>
        </w:rPr>
        <w:t>I</w:t>
      </w:r>
      <w:r w:rsidR="005F4595">
        <w:rPr>
          <w:b/>
          <w:bCs/>
          <w:sz w:val="28"/>
          <w:szCs w:val="28"/>
        </w:rPr>
        <w:t>NTRODUCTION</w:t>
      </w:r>
    </w:p>
    <w:p w14:paraId="30CC63A9" w14:textId="77777777" w:rsidR="002A716F" w:rsidRDefault="00C91774" w:rsidP="005F4595">
      <w:pPr>
        <w:spacing w:line="240" w:lineRule="auto"/>
        <w:jc w:val="both"/>
        <w:rPr>
          <w:rFonts w:ascii="Times New Roman" w:hAnsi="Times New Roman" w:cs="Times New Roman"/>
        </w:rPr>
      </w:pPr>
      <w:r w:rsidRPr="00C91774">
        <w:rPr>
          <w:rFonts w:ascii="Times New Roman" w:hAnsi="Times New Roman" w:cs="Times New Roman"/>
          <w:lang w:eastAsia="en-PH"/>
        </w:rPr>
        <w:t>The significance of</w:t>
      </w:r>
      <w:r w:rsidRPr="00C91774">
        <w:rPr>
          <w:rFonts w:ascii="Times New Roman" w:hAnsi="Times New Roman" w:cs="Times New Roman"/>
        </w:rPr>
        <w:t xml:space="preserve"> cash handling practices in government agencies focuses on their role in ensuring financial accountability, efficiency, and transparency in public sector operations. In this context, the study highlights the importance of External Certified Public Accountants (CPAs) in evaluating the appropriateness and effectiveness of these cash handling processes, ensuring that public resources are properly managed and safeguarded.</w:t>
      </w:r>
      <w:r w:rsidR="002A716F">
        <w:rPr>
          <w:rFonts w:ascii="Times New Roman" w:hAnsi="Times New Roman" w:cs="Times New Roman"/>
        </w:rPr>
        <w:t xml:space="preserve"> </w:t>
      </w:r>
      <w:r w:rsidR="002A716F" w:rsidRPr="002A716F">
        <w:rPr>
          <w:rFonts w:ascii="Times New Roman" w:hAnsi="Times New Roman" w:cs="Times New Roman"/>
        </w:rPr>
        <w:t>According to Lewis (n.d.), regular reviews of financial transactions, including daily cash-out procedures, are essential to ensure that cash is properly controlled and accurately recorded. Similarly, Dina (2022) stresses the need for strict cash supervision to prevent deviations in financial operations, which reflects ongoing issues in government cash handling practices. Furthermore, Kurniawan, A. et. al. (2024) provides that internal control mechanisms such as proper segregation of duties and continuous monitoring are critical in minimizing fraud and ensuring efficient financial management. Hence, employees must be knowledgeable about proper cash handling practices to ensure accuracy, accountability, and compliance in financial processes (Esber, 2023).</w:t>
      </w:r>
    </w:p>
    <w:p w14:paraId="65FE217F" w14:textId="5882A7D3" w:rsidR="00244284" w:rsidRDefault="00244284" w:rsidP="005F4595">
      <w:pPr>
        <w:spacing w:line="240" w:lineRule="auto"/>
        <w:jc w:val="both"/>
        <w:rPr>
          <w:rFonts w:ascii="Times New Roman" w:hAnsi="Times New Roman" w:cs="Times New Roman"/>
          <w:b/>
          <w:bCs/>
        </w:rPr>
      </w:pPr>
      <w:r w:rsidRPr="00244284">
        <w:rPr>
          <w:rFonts w:ascii="Times New Roman" w:hAnsi="Times New Roman" w:cs="Times New Roman"/>
        </w:rPr>
        <w:t>Despite the existence of established decrees and Republic Acts governing cash handling practices, challenges in their effective implementation remain evident in government agencies. Instances of financial mismanagement continue to occur, as demonstrated by an audit case in Camarines Sur where an Accountable Officer was dismissed due to gross dishonesty and malversation of funds, involving missing cashbooks, unreported withdrawals, and delayed deposits that resulted in a funding shortfall (En Banc, 2021). According to Hernandez (2021), this highlights persistent weaknesses in internal control systems, particularly in cash handling and deposit procedures, as well as in the proper segregation of duties, which are essential in preventing employee collusion. Hence, this study seeks to examine the cash handling practices of government agencies in the Province of Surigao del Sur to address these gaps and provide insights for improving financial management and accountability.</w:t>
      </w:r>
      <w:r>
        <w:rPr>
          <w:rFonts w:ascii="Times New Roman" w:hAnsi="Times New Roman" w:cs="Times New Roman"/>
        </w:rPr>
        <w:t xml:space="preserve"> </w:t>
      </w:r>
      <w:r w:rsidRPr="00244284">
        <w:rPr>
          <w:rFonts w:ascii="Times New Roman" w:hAnsi="Times New Roman" w:cs="Times New Roman"/>
        </w:rPr>
        <w:t>The fulfillment of the study enables to propose cash handling enhancement framework to inform and empower government agencies with regard to their respective financial operations. As stewards of public funds, these agencies bear a profound responsibility to uphold accountability, effectiveness, and transparency</w:t>
      </w:r>
      <w:r w:rsidRPr="00244284">
        <w:rPr>
          <w:rFonts w:ascii="Times New Roman" w:hAnsi="Times New Roman" w:cs="Times New Roman"/>
          <w:b/>
          <w:bCs/>
        </w:rPr>
        <w:t>.</w:t>
      </w:r>
    </w:p>
    <w:p w14:paraId="4517050F" w14:textId="77777777" w:rsidR="005F4595" w:rsidRDefault="005F4595" w:rsidP="00244284">
      <w:pPr>
        <w:jc w:val="both"/>
        <w:rPr>
          <w:rFonts w:ascii="Times New Roman" w:hAnsi="Times New Roman" w:cs="Times New Roman"/>
          <w:b/>
          <w:bCs/>
          <w:lang w:eastAsia="en-PH"/>
        </w:rPr>
      </w:pPr>
    </w:p>
    <w:p w14:paraId="270ADF2D" w14:textId="77777777" w:rsidR="005F4595" w:rsidRDefault="005F4595" w:rsidP="00244284">
      <w:pPr>
        <w:jc w:val="both"/>
        <w:rPr>
          <w:rFonts w:ascii="Times New Roman" w:hAnsi="Times New Roman" w:cs="Times New Roman"/>
          <w:b/>
          <w:bCs/>
          <w:lang w:eastAsia="en-PH"/>
        </w:rPr>
      </w:pPr>
    </w:p>
    <w:p w14:paraId="7C990B6C" w14:textId="4D017F56" w:rsidR="002A716F" w:rsidRPr="006831C1" w:rsidRDefault="005F4595" w:rsidP="00244284">
      <w:pPr>
        <w:jc w:val="both"/>
        <w:rPr>
          <w:rFonts w:ascii="Times New Roman" w:hAnsi="Times New Roman" w:cs="Times New Roman"/>
          <w:b/>
          <w:bCs/>
          <w:sz w:val="28"/>
          <w:szCs w:val="28"/>
          <w:lang w:eastAsia="en-PH"/>
        </w:rPr>
      </w:pPr>
      <w:r>
        <w:rPr>
          <w:rFonts w:ascii="Times New Roman" w:hAnsi="Times New Roman" w:cs="Times New Roman"/>
          <w:b/>
          <w:bCs/>
          <w:sz w:val="28"/>
          <w:szCs w:val="28"/>
          <w:lang w:eastAsia="en-PH"/>
        </w:rPr>
        <w:lastRenderedPageBreak/>
        <w:t>REVIEW OF RELATED LITERATURE</w:t>
      </w:r>
    </w:p>
    <w:p w14:paraId="7F9286F7" w14:textId="4D7ED298" w:rsidR="00C85044" w:rsidRPr="00C934A5" w:rsidRDefault="00C934A5" w:rsidP="00C51AFF">
      <w:pPr>
        <w:spacing w:line="240" w:lineRule="auto"/>
        <w:jc w:val="both"/>
        <w:rPr>
          <w:rFonts w:ascii="Times New Roman" w:hAnsi="Times New Roman" w:cs="Times New Roman"/>
        </w:rPr>
      </w:pPr>
      <w:r w:rsidRPr="00C934A5">
        <w:rPr>
          <w:rFonts w:ascii="Times New Roman" w:hAnsi="Times New Roman" w:cs="Times New Roman"/>
        </w:rPr>
        <w:t>Cash handling practices in government agencies can be better understood through the lens of agency theory, which explains the relationship between principals and agents in the management of financial resources. According to Orencia (2023), transparency initiatives function as essential tools in aligning the interests of citizens and governing bodies, thereby reducing information asymmetry and promoting responsible financial management. Transparency and accountability measures, one of the important factors in internal control, aims to improve disclosure of financial information (</w:t>
      </w:r>
      <w:proofErr w:type="spellStart"/>
      <w:proofErr w:type="gramStart"/>
      <w:r w:rsidRPr="00C934A5">
        <w:rPr>
          <w:rFonts w:ascii="Times New Roman" w:hAnsi="Times New Roman" w:cs="Times New Roman"/>
        </w:rPr>
        <w:t>Brillantes,et.al</w:t>
      </w:r>
      <w:proofErr w:type="spellEnd"/>
      <w:proofErr w:type="gramEnd"/>
      <w:r w:rsidRPr="00C934A5">
        <w:rPr>
          <w:rFonts w:ascii="Times New Roman" w:hAnsi="Times New Roman" w:cs="Times New Roman"/>
        </w:rPr>
        <w:t xml:space="preserve">., 2024). Furthermore, Giannopoulos et al. (2025) assert that well-established control systems minimize financial risks, which in turn can lead to cost savings and improved organizational performance, a point also supported by Johnson (2023). Adherence to established procedures reduces errors and enhances financial transparency, thereby promoting consistency in financial operations (Kunst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2025). Al-Faryan (2024) also emphasizes that periodic audits improve accountability and deter fraudulent behavior by increasing the likelihood of detection. While institutional controls are essential, ethical behavior is not solely dependent on these mechanisms but is also shaped by individual values and moral responsibility (</w:t>
      </w:r>
      <w:proofErr w:type="spellStart"/>
      <w:r w:rsidRPr="00C934A5">
        <w:rPr>
          <w:rFonts w:ascii="Times New Roman" w:hAnsi="Times New Roman" w:cs="Times New Roman"/>
        </w:rPr>
        <w:t>Redjo</w:t>
      </w:r>
      <w:proofErr w:type="spellEnd"/>
      <w:r w:rsidRPr="00C934A5">
        <w:rPr>
          <w:rFonts w:ascii="Times New Roman" w:hAnsi="Times New Roman" w:cs="Times New Roman"/>
        </w:rPr>
        <w:t xml:space="preserve"> &amp; Aksa, 2025). In this regard, </w:t>
      </w:r>
      <w:proofErr w:type="spellStart"/>
      <w:r w:rsidRPr="00C934A5">
        <w:rPr>
          <w:rFonts w:ascii="Times New Roman" w:hAnsi="Times New Roman" w:cs="Times New Roman"/>
        </w:rPr>
        <w:t>Khamzima</w:t>
      </w:r>
      <w:proofErr w:type="spellEnd"/>
      <w:r w:rsidRPr="00C934A5">
        <w:rPr>
          <w:rFonts w:ascii="Times New Roman" w:hAnsi="Times New Roman" w:cs="Times New Roman"/>
        </w:rPr>
        <w:t xml:space="preserve"> et al. (2022) stress that ethical systems must be embedded within organizational structures to support proper financial practices, including effective cash handling.</w:t>
      </w:r>
    </w:p>
    <w:p w14:paraId="3A81C717" w14:textId="06301488" w:rsidR="00C85044" w:rsidRPr="006831C1" w:rsidRDefault="00C85044" w:rsidP="006831C1">
      <w:pPr>
        <w:tabs>
          <w:tab w:val="left" w:pos="3150"/>
        </w:tabs>
        <w:rPr>
          <w:rFonts w:ascii="Times New Roman" w:hAnsi="Times New Roman" w:cs="Times New Roman"/>
          <w:b/>
          <w:bCs/>
          <w:sz w:val="28"/>
          <w:szCs w:val="28"/>
        </w:rPr>
      </w:pPr>
      <w:r w:rsidRPr="006831C1">
        <w:rPr>
          <w:rFonts w:ascii="Times New Roman" w:hAnsi="Times New Roman" w:cs="Times New Roman"/>
          <w:b/>
          <w:bCs/>
          <w:sz w:val="28"/>
          <w:szCs w:val="28"/>
        </w:rPr>
        <w:t>M</w:t>
      </w:r>
      <w:r w:rsidR="00A12078">
        <w:rPr>
          <w:rFonts w:ascii="Times New Roman" w:hAnsi="Times New Roman" w:cs="Times New Roman"/>
          <w:b/>
          <w:bCs/>
          <w:sz w:val="28"/>
          <w:szCs w:val="28"/>
        </w:rPr>
        <w:t>ETHODOLOGY</w:t>
      </w:r>
    </w:p>
    <w:p w14:paraId="30B2BF38" w14:textId="27DB5B4F" w:rsidR="00C934A5" w:rsidRPr="00C51AFF" w:rsidRDefault="006554A5" w:rsidP="00C51AFF">
      <w:pPr>
        <w:spacing w:line="240" w:lineRule="auto"/>
        <w:ind w:firstLine="720"/>
        <w:jc w:val="both"/>
        <w:rPr>
          <w:rFonts w:ascii="Times New Roman" w:hAnsi="Times New Roman" w:cs="Times New Roman"/>
          <w:bCs/>
        </w:rPr>
      </w:pPr>
      <w:r w:rsidRPr="006554A5">
        <w:rPr>
          <w:rFonts w:ascii="Times New Roman" w:hAnsi="Times New Roman" w:cs="Times New Roman"/>
        </w:rPr>
        <w:t>The researcher employed a descriptive-</w:t>
      </w:r>
      <w:r w:rsidRPr="006554A5">
        <w:rPr>
          <w:rStyle w:val="Strong"/>
          <w:rFonts w:ascii="Times New Roman" w:hAnsi="Times New Roman" w:cs="Times New Roman"/>
          <w:b w:val="0"/>
          <w:bCs w:val="0"/>
        </w:rPr>
        <w:t>correlational research design</w:t>
      </w:r>
      <w:r w:rsidRPr="006554A5">
        <w:rPr>
          <w:rFonts w:ascii="Times New Roman" w:hAnsi="Times New Roman" w:cs="Times New Roman"/>
        </w:rPr>
        <w:t xml:space="preserve">, following the framework discussed by </w:t>
      </w:r>
      <w:r w:rsidRPr="006554A5">
        <w:rPr>
          <w:rStyle w:val="whitespace-normal"/>
          <w:rFonts w:ascii="Times New Roman" w:hAnsi="Times New Roman" w:cs="Times New Roman"/>
        </w:rPr>
        <w:t>Creswell</w:t>
      </w:r>
      <w:r w:rsidRPr="006554A5">
        <w:rPr>
          <w:rFonts w:ascii="Times New Roman" w:hAnsi="Times New Roman" w:cs="Times New Roman"/>
        </w:rPr>
        <w:t xml:space="preserve"> and </w:t>
      </w:r>
      <w:r w:rsidRPr="006554A5">
        <w:rPr>
          <w:rStyle w:val="whitespace-normal"/>
          <w:rFonts w:ascii="Times New Roman" w:hAnsi="Times New Roman" w:cs="Times New Roman"/>
        </w:rPr>
        <w:t>Creswell</w:t>
      </w:r>
      <w:r w:rsidRPr="006554A5">
        <w:rPr>
          <w:rFonts w:ascii="Times New Roman" w:hAnsi="Times New Roman" w:cs="Times New Roman"/>
        </w:rPr>
        <w:t xml:space="preserve"> (2022). This study utilized a descriptive component to determine the level of existence of cash handling practice, while correlational component to examine the relationships among two or more variables. This study was conducted in the Province of </w:t>
      </w:r>
      <w:r w:rsidRPr="006554A5">
        <w:rPr>
          <w:rStyle w:val="whitespace-normal"/>
          <w:rFonts w:ascii="Times New Roman" w:hAnsi="Times New Roman" w:cs="Times New Roman"/>
        </w:rPr>
        <w:t>Surigao del Sur</w:t>
      </w:r>
      <w:r w:rsidRPr="006554A5">
        <w:rPr>
          <w:rFonts w:ascii="Times New Roman" w:hAnsi="Times New Roman" w:cs="Times New Roman"/>
        </w:rPr>
        <w:t xml:space="preserve"> and involved respondents who were actively engaged during the period of data collection. The primary respondents were </w:t>
      </w:r>
      <w:r w:rsidRPr="006554A5">
        <w:rPr>
          <w:rStyle w:val="Strong"/>
          <w:rFonts w:ascii="Times New Roman" w:hAnsi="Times New Roman" w:cs="Times New Roman"/>
          <w:b w:val="0"/>
          <w:bCs w:val="0"/>
        </w:rPr>
        <w:t>External Certified Public Accountants (CPAs)</w:t>
      </w:r>
      <w:r w:rsidRPr="006554A5">
        <w:rPr>
          <w:rFonts w:ascii="Times New Roman" w:hAnsi="Times New Roman" w:cs="Times New Roman"/>
        </w:rPr>
        <w:t xml:space="preserve"> assigned by COA to various government agencies within the province. </w:t>
      </w:r>
      <w:r w:rsidRPr="006554A5">
        <w:rPr>
          <w:rFonts w:ascii="Times New Roman" w:hAnsi="Times New Roman" w:cs="Times New Roman"/>
          <w:bCs/>
        </w:rPr>
        <w:t>A total of 33 External CPAs were included as respondents, representing the complete enumeration of eligible External CPAs assigned in the province at the time of date collection.</w:t>
      </w:r>
      <w:r>
        <w:rPr>
          <w:rFonts w:ascii="Times New Roman" w:hAnsi="Times New Roman" w:cs="Times New Roman"/>
          <w:bCs/>
        </w:rPr>
        <w:t xml:space="preserve"> </w:t>
      </w:r>
    </w:p>
    <w:p w14:paraId="62067539" w14:textId="0B147B07" w:rsidR="00554991" w:rsidRPr="006831C1" w:rsidRDefault="00117248" w:rsidP="00554991">
      <w:pPr>
        <w:rPr>
          <w:rFonts w:ascii="Times New Roman" w:hAnsi="Times New Roman" w:cs="Times New Roman"/>
          <w:iCs/>
          <w:sz w:val="28"/>
          <w:szCs w:val="28"/>
        </w:rPr>
      </w:pPr>
      <w:r>
        <w:rPr>
          <w:rFonts w:ascii="Times New Roman" w:hAnsi="Times New Roman" w:cs="Times New Roman"/>
          <w:b/>
          <w:bCs/>
          <w:iCs/>
          <w:sz w:val="28"/>
          <w:szCs w:val="28"/>
        </w:rPr>
        <w:t>ETHICAL CONSIDERATION</w:t>
      </w:r>
    </w:p>
    <w:p w14:paraId="38B4A866" w14:textId="7AAB2B2C" w:rsidR="00554991" w:rsidRDefault="00554991" w:rsidP="00C51AFF">
      <w:pPr>
        <w:pStyle w:val="NormalWeb"/>
        <w:ind w:firstLine="720"/>
        <w:jc w:val="both"/>
      </w:pPr>
      <w:r w:rsidRPr="00554991">
        <w:t xml:space="preserve">Prior to the conduct of the study, proper protocols were strictly observed. Formal permission was obtained from the Regional Director of the Commission on Audit (COA) Regional Office XIII to allow the researcher to engage External Certified Public Accountants (CPAs) assigned in the Province of Surigao del Sur as respondents. Participation in the study was entirely voluntary, and respondents were informed of their right to decline or withdraw at any point without any consequences. Furthermore, the identities of the respondents were strictly protected to ensure confidentiality of the data. All information gathered was used solely for academic purposes and stored securely to prevent unauthorized access. </w:t>
      </w:r>
    </w:p>
    <w:p w14:paraId="143743C9" w14:textId="6FEE1EFC" w:rsidR="00FA0EB3" w:rsidRPr="006831C1" w:rsidRDefault="00FA0EB3" w:rsidP="00FA0EB3">
      <w:pPr>
        <w:pStyle w:val="NormalWeb"/>
        <w:spacing w:line="276" w:lineRule="auto"/>
        <w:jc w:val="both"/>
        <w:rPr>
          <w:b/>
          <w:bCs/>
          <w:sz w:val="28"/>
          <w:szCs w:val="28"/>
        </w:rPr>
      </w:pPr>
      <w:r w:rsidRPr="006831C1">
        <w:rPr>
          <w:b/>
          <w:bCs/>
          <w:sz w:val="28"/>
          <w:szCs w:val="28"/>
        </w:rPr>
        <w:t>R</w:t>
      </w:r>
      <w:r w:rsidR="00117248">
        <w:rPr>
          <w:b/>
          <w:bCs/>
          <w:sz w:val="28"/>
          <w:szCs w:val="28"/>
        </w:rPr>
        <w:t>ESULT AND DISCUSSION</w:t>
      </w:r>
    </w:p>
    <w:p w14:paraId="464AA595" w14:textId="77777777" w:rsidR="00043D89" w:rsidRPr="00C934A5" w:rsidRDefault="00FA0EB3" w:rsidP="00C51AFF">
      <w:pPr>
        <w:spacing w:line="240" w:lineRule="auto"/>
        <w:jc w:val="both"/>
        <w:rPr>
          <w:rFonts w:ascii="Times New Roman" w:hAnsi="Times New Roman" w:cs="Times New Roman"/>
        </w:rPr>
      </w:pPr>
      <w:r>
        <w:rPr>
          <w:rFonts w:ascii="Times New Roman" w:hAnsi="Times New Roman" w:cs="Times New Roman"/>
          <w:bCs/>
        </w:rPr>
        <w:tab/>
      </w:r>
      <w:r w:rsidR="00043D89" w:rsidRPr="00C934A5">
        <w:rPr>
          <w:rFonts w:ascii="Times New Roman" w:hAnsi="Times New Roman" w:cs="Times New Roman"/>
        </w:rPr>
        <w:t>This chapter presents the findings of this research. It contains data findings and discussion of the study to answer the questions set out before.</w:t>
      </w:r>
    </w:p>
    <w:p w14:paraId="1D124C51" w14:textId="53CB09D7" w:rsidR="00554991" w:rsidRPr="00C934A5" w:rsidRDefault="00043D89" w:rsidP="00C51AFF">
      <w:pPr>
        <w:spacing w:line="240" w:lineRule="auto"/>
        <w:jc w:val="both"/>
        <w:rPr>
          <w:rFonts w:ascii="Times New Roman" w:hAnsi="Times New Roman" w:cs="Times New Roman"/>
          <w:i/>
          <w:iCs/>
        </w:rPr>
      </w:pPr>
      <w:r w:rsidRPr="00C934A5">
        <w:rPr>
          <w:rFonts w:ascii="Times New Roman" w:hAnsi="Times New Roman" w:cs="Times New Roman"/>
          <w:bCs/>
        </w:rPr>
        <w:t>Table 1.</w:t>
      </w:r>
      <w:r w:rsidRPr="00C934A5">
        <w:rPr>
          <w:rFonts w:ascii="Times New Roman" w:hAnsi="Times New Roman" w:cs="Times New Roman"/>
          <w:i/>
          <w:iCs/>
        </w:rPr>
        <w:t xml:space="preserve"> The demographic profile of the respondents in terms of age, assigned station, and years of service.</w:t>
      </w:r>
    </w:p>
    <w:tbl>
      <w:tblPr>
        <w:tblStyle w:val="TableGrid2"/>
        <w:tblW w:w="0" w:type="auto"/>
        <w:jc w:val="center"/>
        <w:tblLook w:val="04A0" w:firstRow="1" w:lastRow="0" w:firstColumn="1" w:lastColumn="0" w:noHBand="0" w:noVBand="1"/>
      </w:tblPr>
      <w:tblGrid>
        <w:gridCol w:w="3060"/>
        <w:gridCol w:w="1329"/>
        <w:gridCol w:w="2715"/>
      </w:tblGrid>
      <w:tr w:rsidR="00043D89" w:rsidRPr="00C934A5" w14:paraId="077F9E93" w14:textId="77777777" w:rsidTr="000009AE">
        <w:trPr>
          <w:trHeight w:val="269"/>
          <w:jc w:val="center"/>
        </w:trPr>
        <w:tc>
          <w:tcPr>
            <w:tcW w:w="3060" w:type="dxa"/>
          </w:tcPr>
          <w:p w14:paraId="741C083D"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Indicators</w:t>
            </w:r>
          </w:p>
        </w:tc>
        <w:tc>
          <w:tcPr>
            <w:tcW w:w="1329" w:type="dxa"/>
          </w:tcPr>
          <w:p w14:paraId="72750A3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Frequency</w:t>
            </w:r>
          </w:p>
        </w:tc>
        <w:tc>
          <w:tcPr>
            <w:tcW w:w="2715" w:type="dxa"/>
          </w:tcPr>
          <w:p w14:paraId="0F14CCC0"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Percent</w:t>
            </w:r>
          </w:p>
          <w:p w14:paraId="2BFF9839"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b/>
                <w:bCs/>
                <w:lang w:val="en"/>
              </w:rPr>
              <w:t>(%)</w:t>
            </w:r>
          </w:p>
        </w:tc>
      </w:tr>
      <w:tr w:rsidR="00043D89" w:rsidRPr="00C934A5" w14:paraId="197AFDD9" w14:textId="77777777" w:rsidTr="000009AE">
        <w:trPr>
          <w:trHeight w:val="223"/>
          <w:jc w:val="center"/>
        </w:trPr>
        <w:tc>
          <w:tcPr>
            <w:tcW w:w="7104" w:type="dxa"/>
            <w:gridSpan w:val="3"/>
          </w:tcPr>
          <w:p w14:paraId="45F3150A"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Age</w:t>
            </w:r>
          </w:p>
        </w:tc>
      </w:tr>
      <w:tr w:rsidR="00043D89" w:rsidRPr="00C934A5" w14:paraId="76675616" w14:textId="77777777" w:rsidTr="000009AE">
        <w:trPr>
          <w:trHeight w:val="223"/>
          <w:jc w:val="center"/>
        </w:trPr>
        <w:tc>
          <w:tcPr>
            <w:tcW w:w="3060" w:type="dxa"/>
          </w:tcPr>
          <w:p w14:paraId="1E691F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26 – 30 years old</w:t>
            </w:r>
          </w:p>
        </w:tc>
        <w:tc>
          <w:tcPr>
            <w:tcW w:w="1329" w:type="dxa"/>
          </w:tcPr>
          <w:p w14:paraId="41F627F5"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8</w:t>
            </w:r>
          </w:p>
        </w:tc>
        <w:tc>
          <w:tcPr>
            <w:tcW w:w="2715" w:type="dxa"/>
          </w:tcPr>
          <w:p w14:paraId="1B67C11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24.24%</w:t>
            </w:r>
          </w:p>
        </w:tc>
      </w:tr>
      <w:tr w:rsidR="00043D89" w:rsidRPr="00C934A5" w14:paraId="29671130" w14:textId="77777777" w:rsidTr="000009AE">
        <w:trPr>
          <w:trHeight w:val="223"/>
          <w:jc w:val="center"/>
        </w:trPr>
        <w:tc>
          <w:tcPr>
            <w:tcW w:w="3060" w:type="dxa"/>
          </w:tcPr>
          <w:p w14:paraId="755E75D0"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31 – 40 years old</w:t>
            </w:r>
          </w:p>
        </w:tc>
        <w:tc>
          <w:tcPr>
            <w:tcW w:w="1329" w:type="dxa"/>
          </w:tcPr>
          <w:p w14:paraId="43DA951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339655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452A397C" w14:textId="77777777" w:rsidTr="000009AE">
        <w:trPr>
          <w:trHeight w:val="215"/>
          <w:jc w:val="center"/>
        </w:trPr>
        <w:tc>
          <w:tcPr>
            <w:tcW w:w="3060" w:type="dxa"/>
          </w:tcPr>
          <w:p w14:paraId="720B253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41 years old above</w:t>
            </w:r>
          </w:p>
        </w:tc>
        <w:tc>
          <w:tcPr>
            <w:tcW w:w="1329" w:type="dxa"/>
          </w:tcPr>
          <w:p w14:paraId="30A0AE5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7</w:t>
            </w:r>
          </w:p>
        </w:tc>
        <w:tc>
          <w:tcPr>
            <w:tcW w:w="2715" w:type="dxa"/>
          </w:tcPr>
          <w:p w14:paraId="1F4C176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21.22%</w:t>
            </w:r>
          </w:p>
        </w:tc>
      </w:tr>
      <w:tr w:rsidR="00043D89" w:rsidRPr="00C934A5" w14:paraId="20DED080" w14:textId="77777777" w:rsidTr="000009AE">
        <w:trPr>
          <w:trHeight w:val="223"/>
          <w:jc w:val="center"/>
        </w:trPr>
        <w:tc>
          <w:tcPr>
            <w:tcW w:w="7104" w:type="dxa"/>
            <w:gridSpan w:val="3"/>
          </w:tcPr>
          <w:p w14:paraId="7FEC21EF"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Gender</w:t>
            </w:r>
          </w:p>
        </w:tc>
      </w:tr>
      <w:tr w:rsidR="00043D89" w:rsidRPr="00C934A5" w14:paraId="623B1696" w14:textId="77777777" w:rsidTr="000009AE">
        <w:trPr>
          <w:trHeight w:val="223"/>
          <w:jc w:val="center"/>
        </w:trPr>
        <w:tc>
          <w:tcPr>
            <w:tcW w:w="3060" w:type="dxa"/>
          </w:tcPr>
          <w:p w14:paraId="1EF18FF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Male</w:t>
            </w:r>
          </w:p>
        </w:tc>
        <w:tc>
          <w:tcPr>
            <w:tcW w:w="1329" w:type="dxa"/>
          </w:tcPr>
          <w:p w14:paraId="342C21C3"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C18106E"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3568DE28" w14:textId="77777777" w:rsidTr="000009AE">
        <w:trPr>
          <w:trHeight w:val="223"/>
          <w:jc w:val="center"/>
        </w:trPr>
        <w:tc>
          <w:tcPr>
            <w:tcW w:w="3060" w:type="dxa"/>
          </w:tcPr>
          <w:p w14:paraId="0FDE756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Female</w:t>
            </w:r>
          </w:p>
        </w:tc>
        <w:tc>
          <w:tcPr>
            <w:tcW w:w="1329" w:type="dxa"/>
          </w:tcPr>
          <w:p w14:paraId="644A9C06"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1D508772" w14:textId="77777777" w:rsidR="00043D89" w:rsidRPr="00C934A5" w:rsidRDefault="00043D89" w:rsidP="004C1DBB">
            <w:pPr>
              <w:widowControl w:val="0"/>
              <w:jc w:val="center"/>
              <w:rPr>
                <w:rFonts w:ascii="Times New Roman" w:eastAsia="Arial" w:hAnsi="Times New Roman"/>
                <w:b/>
                <w:bCs/>
                <w:lang w:val="en"/>
              </w:rPr>
            </w:pPr>
            <w:r w:rsidRPr="00C934A5">
              <w:rPr>
                <w:rFonts w:ascii="Times New Roman" w:eastAsia="Arial" w:hAnsi="Times New Roman"/>
                <w:lang w:val="en"/>
              </w:rPr>
              <w:t>45.5%</w:t>
            </w:r>
          </w:p>
        </w:tc>
      </w:tr>
      <w:tr w:rsidR="00043D89" w:rsidRPr="00C934A5" w14:paraId="42BD4964" w14:textId="77777777" w:rsidTr="000009AE">
        <w:trPr>
          <w:trHeight w:val="223"/>
          <w:jc w:val="center"/>
        </w:trPr>
        <w:tc>
          <w:tcPr>
            <w:tcW w:w="3060" w:type="dxa"/>
          </w:tcPr>
          <w:p w14:paraId="131F71C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lastRenderedPageBreak/>
              <w:t>Non-Binary</w:t>
            </w:r>
          </w:p>
        </w:tc>
        <w:tc>
          <w:tcPr>
            <w:tcW w:w="1329" w:type="dxa"/>
          </w:tcPr>
          <w:p w14:paraId="385CE9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5F866AD5" w14:textId="77777777" w:rsidR="00043D89" w:rsidRPr="00C934A5" w:rsidRDefault="00043D89" w:rsidP="004C1DBB">
            <w:pPr>
              <w:widowControl w:val="0"/>
              <w:spacing w:line="360" w:lineRule="auto"/>
              <w:jc w:val="center"/>
              <w:rPr>
                <w:rFonts w:ascii="Times New Roman" w:eastAsia="Arial" w:hAnsi="Times New Roman"/>
                <w:lang w:val="en"/>
              </w:rPr>
            </w:pPr>
            <w:r w:rsidRPr="00C934A5">
              <w:rPr>
                <w:rFonts w:ascii="Times New Roman" w:eastAsia="Arial" w:hAnsi="Times New Roman"/>
                <w:lang w:val="en"/>
              </w:rPr>
              <w:t>9.1%</w:t>
            </w:r>
          </w:p>
        </w:tc>
      </w:tr>
      <w:tr w:rsidR="00043D89" w:rsidRPr="00C934A5" w14:paraId="47C120DC" w14:textId="77777777" w:rsidTr="000009AE">
        <w:trPr>
          <w:trHeight w:val="223"/>
          <w:jc w:val="center"/>
        </w:trPr>
        <w:tc>
          <w:tcPr>
            <w:tcW w:w="3060" w:type="dxa"/>
          </w:tcPr>
          <w:p w14:paraId="72B55D43"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Marital Status</w:t>
            </w:r>
          </w:p>
        </w:tc>
        <w:tc>
          <w:tcPr>
            <w:tcW w:w="1329" w:type="dxa"/>
          </w:tcPr>
          <w:p w14:paraId="32C7CEAC"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365075BA"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8F65C97" w14:textId="77777777" w:rsidTr="000009AE">
        <w:trPr>
          <w:trHeight w:val="223"/>
          <w:jc w:val="center"/>
        </w:trPr>
        <w:tc>
          <w:tcPr>
            <w:tcW w:w="3060" w:type="dxa"/>
          </w:tcPr>
          <w:p w14:paraId="57166B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Single</w:t>
            </w:r>
          </w:p>
        </w:tc>
        <w:tc>
          <w:tcPr>
            <w:tcW w:w="1329" w:type="dxa"/>
          </w:tcPr>
          <w:p w14:paraId="1236E19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15</w:t>
            </w:r>
          </w:p>
        </w:tc>
        <w:tc>
          <w:tcPr>
            <w:tcW w:w="2715" w:type="dxa"/>
          </w:tcPr>
          <w:p w14:paraId="5E79928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45.5%</w:t>
            </w:r>
          </w:p>
        </w:tc>
      </w:tr>
      <w:tr w:rsidR="00043D89" w:rsidRPr="00C934A5" w14:paraId="17E2694B" w14:textId="77777777" w:rsidTr="000009AE">
        <w:trPr>
          <w:trHeight w:val="223"/>
          <w:jc w:val="center"/>
        </w:trPr>
        <w:tc>
          <w:tcPr>
            <w:tcW w:w="3060" w:type="dxa"/>
          </w:tcPr>
          <w:p w14:paraId="1E4B051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Married</w:t>
            </w:r>
          </w:p>
        </w:tc>
        <w:tc>
          <w:tcPr>
            <w:tcW w:w="1329" w:type="dxa"/>
          </w:tcPr>
          <w:p w14:paraId="3F1017E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17</w:t>
            </w:r>
          </w:p>
        </w:tc>
        <w:tc>
          <w:tcPr>
            <w:tcW w:w="2715" w:type="dxa"/>
          </w:tcPr>
          <w:p w14:paraId="6771E81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51.5%</w:t>
            </w:r>
          </w:p>
        </w:tc>
      </w:tr>
      <w:tr w:rsidR="00043D89" w:rsidRPr="00C934A5" w14:paraId="543706F1" w14:textId="77777777" w:rsidTr="000009AE">
        <w:trPr>
          <w:trHeight w:val="223"/>
          <w:jc w:val="center"/>
        </w:trPr>
        <w:tc>
          <w:tcPr>
            <w:tcW w:w="3060" w:type="dxa"/>
          </w:tcPr>
          <w:p w14:paraId="63EE24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Widowed</w:t>
            </w:r>
          </w:p>
        </w:tc>
        <w:tc>
          <w:tcPr>
            <w:tcW w:w="1329" w:type="dxa"/>
          </w:tcPr>
          <w:p w14:paraId="41E9332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A5D313F"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w:t>
            </w:r>
          </w:p>
        </w:tc>
      </w:tr>
      <w:tr w:rsidR="00043D89" w:rsidRPr="00C934A5" w14:paraId="035E10E6" w14:textId="77777777" w:rsidTr="000009AE">
        <w:trPr>
          <w:trHeight w:val="223"/>
          <w:jc w:val="center"/>
        </w:trPr>
        <w:tc>
          <w:tcPr>
            <w:tcW w:w="3060" w:type="dxa"/>
          </w:tcPr>
          <w:p w14:paraId="5E122936"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Employment Station</w:t>
            </w:r>
          </w:p>
        </w:tc>
        <w:tc>
          <w:tcPr>
            <w:tcW w:w="1329" w:type="dxa"/>
          </w:tcPr>
          <w:p w14:paraId="79C3D867"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6951D4D0"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55168DB0" w14:textId="77777777" w:rsidTr="000009AE">
        <w:trPr>
          <w:trHeight w:val="252"/>
          <w:jc w:val="center"/>
        </w:trPr>
        <w:tc>
          <w:tcPr>
            <w:tcW w:w="3060" w:type="dxa"/>
          </w:tcPr>
          <w:p w14:paraId="4ABAF92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Local Government Sector</w:t>
            </w:r>
          </w:p>
        </w:tc>
        <w:tc>
          <w:tcPr>
            <w:tcW w:w="1329" w:type="dxa"/>
          </w:tcPr>
          <w:p w14:paraId="01F556D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19</w:t>
            </w:r>
          </w:p>
        </w:tc>
        <w:tc>
          <w:tcPr>
            <w:tcW w:w="2715" w:type="dxa"/>
          </w:tcPr>
          <w:p w14:paraId="3C1036E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57.57%</w:t>
            </w:r>
          </w:p>
        </w:tc>
      </w:tr>
      <w:tr w:rsidR="00043D89" w:rsidRPr="00C934A5" w14:paraId="1ABA8850" w14:textId="77777777" w:rsidTr="000009AE">
        <w:trPr>
          <w:trHeight w:val="237"/>
          <w:jc w:val="center"/>
        </w:trPr>
        <w:tc>
          <w:tcPr>
            <w:tcW w:w="3060" w:type="dxa"/>
          </w:tcPr>
          <w:p w14:paraId="5D46870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DPWH</w:t>
            </w:r>
          </w:p>
        </w:tc>
        <w:tc>
          <w:tcPr>
            <w:tcW w:w="1329" w:type="dxa"/>
          </w:tcPr>
          <w:p w14:paraId="75B62B0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689E449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31CC44CD" w14:textId="77777777" w:rsidTr="000009AE">
        <w:trPr>
          <w:trHeight w:val="237"/>
          <w:jc w:val="center"/>
        </w:trPr>
        <w:tc>
          <w:tcPr>
            <w:tcW w:w="3060" w:type="dxa"/>
          </w:tcPr>
          <w:p w14:paraId="010C19A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DepEd</w:t>
            </w:r>
          </w:p>
        </w:tc>
        <w:tc>
          <w:tcPr>
            <w:tcW w:w="1329" w:type="dxa"/>
          </w:tcPr>
          <w:p w14:paraId="484155D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w:t>
            </w:r>
          </w:p>
        </w:tc>
        <w:tc>
          <w:tcPr>
            <w:tcW w:w="2715" w:type="dxa"/>
          </w:tcPr>
          <w:p w14:paraId="0D87E797"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9.90%</w:t>
            </w:r>
          </w:p>
        </w:tc>
      </w:tr>
      <w:tr w:rsidR="00043D89" w:rsidRPr="00C934A5" w14:paraId="668CA007" w14:textId="77777777" w:rsidTr="000009AE">
        <w:trPr>
          <w:trHeight w:val="237"/>
          <w:jc w:val="center"/>
        </w:trPr>
        <w:tc>
          <w:tcPr>
            <w:tcW w:w="3060" w:type="dxa"/>
          </w:tcPr>
          <w:p w14:paraId="0478481D"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SUC</w:t>
            </w:r>
          </w:p>
        </w:tc>
        <w:tc>
          <w:tcPr>
            <w:tcW w:w="1329" w:type="dxa"/>
          </w:tcPr>
          <w:p w14:paraId="157339A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0076BF1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3F0E2165" w14:textId="77777777" w:rsidTr="000009AE">
        <w:trPr>
          <w:trHeight w:val="237"/>
          <w:jc w:val="center"/>
        </w:trPr>
        <w:tc>
          <w:tcPr>
            <w:tcW w:w="3060" w:type="dxa"/>
          </w:tcPr>
          <w:p w14:paraId="3BE416DE"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Water District</w:t>
            </w:r>
          </w:p>
        </w:tc>
        <w:tc>
          <w:tcPr>
            <w:tcW w:w="1329" w:type="dxa"/>
          </w:tcPr>
          <w:p w14:paraId="384E1E4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27ECB5F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157C642A" w14:textId="77777777" w:rsidTr="000009AE">
        <w:trPr>
          <w:trHeight w:val="237"/>
          <w:jc w:val="center"/>
        </w:trPr>
        <w:tc>
          <w:tcPr>
            <w:tcW w:w="3060" w:type="dxa"/>
          </w:tcPr>
          <w:p w14:paraId="1C23F6E9"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NIA</w:t>
            </w:r>
          </w:p>
        </w:tc>
        <w:tc>
          <w:tcPr>
            <w:tcW w:w="1329" w:type="dxa"/>
          </w:tcPr>
          <w:p w14:paraId="2AC40C9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2</w:t>
            </w:r>
          </w:p>
        </w:tc>
        <w:tc>
          <w:tcPr>
            <w:tcW w:w="2715" w:type="dxa"/>
          </w:tcPr>
          <w:p w14:paraId="3E24667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6.06%</w:t>
            </w:r>
          </w:p>
        </w:tc>
      </w:tr>
      <w:tr w:rsidR="00043D89" w:rsidRPr="00C934A5" w14:paraId="0BBFF942" w14:textId="77777777" w:rsidTr="000009AE">
        <w:trPr>
          <w:trHeight w:val="252"/>
          <w:jc w:val="center"/>
        </w:trPr>
        <w:tc>
          <w:tcPr>
            <w:tcW w:w="3060" w:type="dxa"/>
          </w:tcPr>
          <w:p w14:paraId="601B4CD0" w14:textId="77777777" w:rsidR="00043D89" w:rsidRPr="00C934A5" w:rsidRDefault="00043D89" w:rsidP="004C1DBB">
            <w:pPr>
              <w:widowControl w:val="0"/>
              <w:rPr>
                <w:rFonts w:ascii="Times New Roman" w:eastAsia="Arial" w:hAnsi="Times New Roman"/>
                <w:b/>
                <w:bCs/>
                <w:lang w:val="en"/>
              </w:rPr>
            </w:pPr>
            <w:r w:rsidRPr="00C934A5">
              <w:rPr>
                <w:rFonts w:ascii="Times New Roman" w:eastAsia="Arial" w:hAnsi="Times New Roman"/>
                <w:b/>
                <w:bCs/>
                <w:lang w:val="en"/>
              </w:rPr>
              <w:t>Years in Service</w:t>
            </w:r>
          </w:p>
        </w:tc>
        <w:tc>
          <w:tcPr>
            <w:tcW w:w="1329" w:type="dxa"/>
          </w:tcPr>
          <w:p w14:paraId="125EB230" w14:textId="77777777" w:rsidR="00043D89" w:rsidRPr="00C934A5" w:rsidRDefault="00043D89" w:rsidP="004C1DBB">
            <w:pPr>
              <w:widowControl w:val="0"/>
              <w:jc w:val="center"/>
              <w:rPr>
                <w:rFonts w:ascii="Times New Roman" w:eastAsia="Arial" w:hAnsi="Times New Roman"/>
                <w:b/>
                <w:bCs/>
                <w:lang w:val="en"/>
              </w:rPr>
            </w:pPr>
          </w:p>
        </w:tc>
        <w:tc>
          <w:tcPr>
            <w:tcW w:w="2715" w:type="dxa"/>
          </w:tcPr>
          <w:p w14:paraId="55E6A11F" w14:textId="77777777" w:rsidR="00043D89" w:rsidRPr="00C934A5" w:rsidRDefault="00043D89" w:rsidP="004C1DBB">
            <w:pPr>
              <w:widowControl w:val="0"/>
              <w:jc w:val="center"/>
              <w:rPr>
                <w:rFonts w:ascii="Times New Roman" w:eastAsia="Arial" w:hAnsi="Times New Roman"/>
                <w:b/>
                <w:bCs/>
                <w:lang w:val="en"/>
              </w:rPr>
            </w:pPr>
          </w:p>
        </w:tc>
      </w:tr>
      <w:tr w:rsidR="00043D89" w:rsidRPr="00C934A5" w14:paraId="7ADF9DE6" w14:textId="77777777" w:rsidTr="000009AE">
        <w:trPr>
          <w:trHeight w:val="252"/>
          <w:jc w:val="center"/>
        </w:trPr>
        <w:tc>
          <w:tcPr>
            <w:tcW w:w="3060" w:type="dxa"/>
          </w:tcPr>
          <w:p w14:paraId="5ECA080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 years and below</w:t>
            </w:r>
          </w:p>
        </w:tc>
        <w:tc>
          <w:tcPr>
            <w:tcW w:w="1329" w:type="dxa"/>
          </w:tcPr>
          <w:p w14:paraId="07A2F77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w:t>
            </w:r>
          </w:p>
        </w:tc>
        <w:tc>
          <w:tcPr>
            <w:tcW w:w="2715" w:type="dxa"/>
          </w:tcPr>
          <w:p w14:paraId="11FB9068"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12.12%</w:t>
            </w:r>
          </w:p>
        </w:tc>
      </w:tr>
      <w:tr w:rsidR="00043D89" w:rsidRPr="00C934A5" w14:paraId="7BC10453" w14:textId="77777777" w:rsidTr="000009AE">
        <w:trPr>
          <w:trHeight w:val="237"/>
          <w:jc w:val="center"/>
        </w:trPr>
        <w:tc>
          <w:tcPr>
            <w:tcW w:w="3060" w:type="dxa"/>
          </w:tcPr>
          <w:p w14:paraId="6FB982A1"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4 – 5 years</w:t>
            </w:r>
          </w:p>
        </w:tc>
        <w:tc>
          <w:tcPr>
            <w:tcW w:w="1329" w:type="dxa"/>
          </w:tcPr>
          <w:p w14:paraId="3AD540E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w:t>
            </w:r>
          </w:p>
        </w:tc>
        <w:tc>
          <w:tcPr>
            <w:tcW w:w="2715" w:type="dxa"/>
          </w:tcPr>
          <w:p w14:paraId="2228368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w:t>
            </w:r>
          </w:p>
        </w:tc>
      </w:tr>
      <w:tr w:rsidR="00043D89" w:rsidRPr="00C934A5" w14:paraId="41182B32" w14:textId="77777777" w:rsidTr="000009AE">
        <w:trPr>
          <w:trHeight w:val="252"/>
          <w:jc w:val="center"/>
        </w:trPr>
        <w:tc>
          <w:tcPr>
            <w:tcW w:w="3060" w:type="dxa"/>
          </w:tcPr>
          <w:p w14:paraId="36CFED32"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6 – 10 years</w:t>
            </w:r>
          </w:p>
        </w:tc>
        <w:tc>
          <w:tcPr>
            <w:tcW w:w="1329" w:type="dxa"/>
          </w:tcPr>
          <w:p w14:paraId="61CB798B"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18</w:t>
            </w:r>
          </w:p>
        </w:tc>
        <w:tc>
          <w:tcPr>
            <w:tcW w:w="2715" w:type="dxa"/>
          </w:tcPr>
          <w:p w14:paraId="5602B64A"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54.54%</w:t>
            </w:r>
          </w:p>
        </w:tc>
      </w:tr>
      <w:tr w:rsidR="00043D89" w:rsidRPr="00C934A5" w14:paraId="554472F3" w14:textId="77777777" w:rsidTr="000009AE">
        <w:trPr>
          <w:trHeight w:val="252"/>
          <w:jc w:val="center"/>
        </w:trPr>
        <w:tc>
          <w:tcPr>
            <w:tcW w:w="3060" w:type="dxa"/>
          </w:tcPr>
          <w:p w14:paraId="573DEFBC"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11 years and above</w:t>
            </w:r>
          </w:p>
        </w:tc>
        <w:tc>
          <w:tcPr>
            <w:tcW w:w="1329" w:type="dxa"/>
          </w:tcPr>
          <w:p w14:paraId="7E22DF9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10</w:t>
            </w:r>
          </w:p>
        </w:tc>
        <w:tc>
          <w:tcPr>
            <w:tcW w:w="2715" w:type="dxa"/>
          </w:tcPr>
          <w:p w14:paraId="1AE81A44" w14:textId="77777777" w:rsidR="00043D89" w:rsidRPr="00C934A5" w:rsidRDefault="00043D89" w:rsidP="004C1DBB">
            <w:pPr>
              <w:widowControl w:val="0"/>
              <w:jc w:val="center"/>
              <w:rPr>
                <w:rFonts w:ascii="Times New Roman" w:eastAsia="Arial" w:hAnsi="Times New Roman"/>
                <w:lang w:val="en"/>
              </w:rPr>
            </w:pPr>
            <w:r w:rsidRPr="00C934A5">
              <w:rPr>
                <w:rFonts w:ascii="Times New Roman" w:eastAsia="Arial" w:hAnsi="Times New Roman"/>
                <w:lang w:val="en"/>
              </w:rPr>
              <w:t>30.31%</w:t>
            </w:r>
          </w:p>
        </w:tc>
      </w:tr>
    </w:tbl>
    <w:p w14:paraId="14CAE7AC" w14:textId="0D282528" w:rsidR="00043D89" w:rsidRDefault="00043D89" w:rsidP="00C51AFF">
      <w:pPr>
        <w:spacing w:line="240" w:lineRule="auto"/>
        <w:jc w:val="both"/>
        <w:rPr>
          <w:rFonts w:ascii="Times New Roman" w:hAnsi="Times New Roman" w:cs="Times New Roman"/>
        </w:rPr>
      </w:pPr>
    </w:p>
    <w:p w14:paraId="41D46FC5" w14:textId="12179D7A" w:rsidR="00043D89" w:rsidRDefault="00043D89" w:rsidP="00C51AFF">
      <w:pPr>
        <w:pStyle w:val="NormalWeb"/>
        <w:ind w:firstLine="720"/>
        <w:jc w:val="both"/>
      </w:pPr>
      <w:r w:rsidRPr="00043D89">
        <w:t>A total of 33 respondents were classified according to age, gender, marital status, assigned station, and years in service. The majority of the respondents were aged 31–40 years old (54.54%). In terms of gender, both males and females had an equal representation of 45.5%. Most of the respondents were married (51.5%). With regard to employment station, 57.57% were from Local Government Units. It was also observed that more than half of the respondents had been in service for 6–10 years (54.54%).</w:t>
      </w:r>
    </w:p>
    <w:p w14:paraId="5A4B8C0E" w14:textId="575DA385" w:rsidR="00043D89" w:rsidRPr="00C934A5" w:rsidRDefault="00043D89" w:rsidP="00043D89">
      <w:pPr>
        <w:pStyle w:val="NormalWeb"/>
        <w:jc w:val="both"/>
        <w:rPr>
          <w:i/>
          <w:iCs/>
        </w:rPr>
      </w:pPr>
      <w:r w:rsidRPr="00C934A5">
        <w:t xml:space="preserve">Table 2. </w:t>
      </w:r>
      <w:r w:rsidRPr="00C934A5">
        <w:rPr>
          <w:i/>
          <w:iCs/>
        </w:rPr>
        <w:t>The existing Standard Operating Procedures on cash handling practices among government agencies.</w:t>
      </w:r>
    </w:p>
    <w:tbl>
      <w:tblPr>
        <w:tblStyle w:val="TableGrid"/>
        <w:tblW w:w="0" w:type="auto"/>
        <w:jc w:val="center"/>
        <w:tblLook w:val="04A0" w:firstRow="1" w:lastRow="0" w:firstColumn="1" w:lastColumn="0" w:noHBand="0" w:noVBand="1"/>
      </w:tblPr>
      <w:tblGrid>
        <w:gridCol w:w="985"/>
        <w:gridCol w:w="2160"/>
        <w:gridCol w:w="5266"/>
      </w:tblGrid>
      <w:tr w:rsidR="00043D89" w:rsidRPr="00C934A5" w14:paraId="2320BF50" w14:textId="77777777" w:rsidTr="000009AE">
        <w:trPr>
          <w:jc w:val="center"/>
        </w:trPr>
        <w:tc>
          <w:tcPr>
            <w:tcW w:w="985" w:type="dxa"/>
          </w:tcPr>
          <w:p w14:paraId="0C3DA1B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2160" w:type="dxa"/>
          </w:tcPr>
          <w:p w14:paraId="337175D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5266" w:type="dxa"/>
          </w:tcPr>
          <w:p w14:paraId="22C2B830"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06B9B8B" w14:textId="77777777" w:rsidTr="000009AE">
        <w:trPr>
          <w:jc w:val="center"/>
        </w:trPr>
        <w:tc>
          <w:tcPr>
            <w:tcW w:w="985" w:type="dxa"/>
          </w:tcPr>
          <w:p w14:paraId="3A582A8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2160" w:type="dxa"/>
          </w:tcPr>
          <w:p w14:paraId="6364DF1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5266" w:type="dxa"/>
          </w:tcPr>
          <w:p w14:paraId="2FCFC2A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fully compliant with established SOPs</w:t>
            </w:r>
          </w:p>
        </w:tc>
      </w:tr>
      <w:tr w:rsidR="00043D89" w:rsidRPr="00C934A5" w14:paraId="33FDBD1F" w14:textId="77777777" w:rsidTr="000009AE">
        <w:trPr>
          <w:jc w:val="center"/>
        </w:trPr>
        <w:tc>
          <w:tcPr>
            <w:tcW w:w="985" w:type="dxa"/>
          </w:tcPr>
          <w:p w14:paraId="4B3B0EA5"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2160" w:type="dxa"/>
          </w:tcPr>
          <w:p w14:paraId="33ADA00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5266" w:type="dxa"/>
          </w:tcPr>
          <w:p w14:paraId="26E18024"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compliant with SOPs with minimal deviations.</w:t>
            </w:r>
          </w:p>
        </w:tc>
      </w:tr>
      <w:tr w:rsidR="00043D89" w:rsidRPr="00C934A5" w14:paraId="661988B2" w14:textId="77777777" w:rsidTr="000009AE">
        <w:trPr>
          <w:jc w:val="center"/>
        </w:trPr>
        <w:tc>
          <w:tcPr>
            <w:tcW w:w="985" w:type="dxa"/>
          </w:tcPr>
          <w:p w14:paraId="284D122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2160" w:type="dxa"/>
          </w:tcPr>
          <w:p w14:paraId="2FBE050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5266" w:type="dxa"/>
          </w:tcPr>
          <w:p w14:paraId="27D30953"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partially compliant with some noticeable inconsistencies.</w:t>
            </w:r>
          </w:p>
        </w:tc>
      </w:tr>
      <w:tr w:rsidR="00043D89" w:rsidRPr="00C934A5" w14:paraId="45B672F1" w14:textId="77777777" w:rsidTr="000009AE">
        <w:trPr>
          <w:jc w:val="center"/>
        </w:trPr>
        <w:tc>
          <w:tcPr>
            <w:tcW w:w="985" w:type="dxa"/>
          </w:tcPr>
          <w:p w14:paraId="7C9E02C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2160" w:type="dxa"/>
          </w:tcPr>
          <w:p w14:paraId="54DE997D"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5266" w:type="dxa"/>
          </w:tcPr>
          <w:p w14:paraId="7AB3259A"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seldom compliant with SOPs, with frequent lapses</w:t>
            </w:r>
          </w:p>
        </w:tc>
      </w:tr>
      <w:tr w:rsidR="00043D89" w:rsidRPr="00C934A5" w14:paraId="76FCDE0D" w14:textId="77777777" w:rsidTr="000009AE">
        <w:trPr>
          <w:jc w:val="center"/>
        </w:trPr>
        <w:tc>
          <w:tcPr>
            <w:tcW w:w="985" w:type="dxa"/>
          </w:tcPr>
          <w:p w14:paraId="036453E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2160" w:type="dxa"/>
          </w:tcPr>
          <w:p w14:paraId="3AF3A247"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5266" w:type="dxa"/>
          </w:tcPr>
          <w:p w14:paraId="2FA56412"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cash handling practice is not compliant with SOPs in which procedures are ignored and not implemented.</w:t>
            </w:r>
          </w:p>
        </w:tc>
      </w:tr>
    </w:tbl>
    <w:p w14:paraId="2D9019E1" w14:textId="509F107E" w:rsidR="00043D89" w:rsidRPr="00C934A5" w:rsidRDefault="00043D89" w:rsidP="00C51AFF">
      <w:pPr>
        <w:pStyle w:val="NormalWeb"/>
        <w:ind w:firstLine="720"/>
        <w:jc w:val="both"/>
      </w:pPr>
      <w:r w:rsidRPr="00C934A5">
        <w:t xml:space="preserve">It presents the weighted mean scores of the respondents’ assessment of the indicators. Agency Relationship obtained the highest mean of 4.31, described as </w:t>
      </w:r>
      <w:r w:rsidRPr="00C934A5">
        <w:rPr>
          <w:rStyle w:val="Emphasis"/>
        </w:rPr>
        <w:t>Strongly Agree</w:t>
      </w:r>
      <w:r w:rsidRPr="00C934A5">
        <w:t xml:space="preserve">, indicating that respondents perceive that the agency is fully compliant with established SOPs and the accountable officers or cashiers are properly designated with written authority from the Head of Agency. The remaining indicators were rated as </w:t>
      </w:r>
      <w:r w:rsidRPr="00C934A5">
        <w:rPr>
          <w:rStyle w:val="Emphasis"/>
        </w:rPr>
        <w:t>Moderately Agree</w:t>
      </w:r>
      <w:r w:rsidRPr="00C934A5">
        <w:t>, namely Internal Control (3.87), Ethics and Integrity (4.09), and Regulations (3.46). Among these, Regulations obtained the lowest mean, suggesting that compliance with regulatory requirements, particularly in terms of remittances to the AGDB within the prescribed time frame, is partially compliant with some noticeable inconsistencies.</w:t>
      </w:r>
      <w:r w:rsidRPr="00C934A5">
        <w:tab/>
      </w:r>
    </w:p>
    <w:p w14:paraId="595FBDD7" w14:textId="0D0B0953" w:rsidR="00043D89" w:rsidRPr="00C934A5" w:rsidRDefault="00043D89" w:rsidP="00C51AFF">
      <w:pPr>
        <w:spacing w:line="240" w:lineRule="auto"/>
        <w:rPr>
          <w:rFonts w:ascii="Times New Roman" w:hAnsi="Times New Roman" w:cs="Times New Roman"/>
          <w:i/>
          <w:iCs/>
        </w:rPr>
      </w:pPr>
      <w:r w:rsidRPr="00C934A5">
        <w:rPr>
          <w:rFonts w:ascii="Times New Roman" w:hAnsi="Times New Roman" w:cs="Times New Roman"/>
        </w:rPr>
        <w:t xml:space="preserve">Table 3. </w:t>
      </w:r>
      <w:r w:rsidRPr="00C934A5">
        <w:rPr>
          <w:rFonts w:ascii="Times New Roman" w:hAnsi="Times New Roman" w:cs="Times New Roman"/>
          <w:i/>
          <w:iCs/>
        </w:rPr>
        <w:t>The level of enhancement on the existing cash handling practices among government agency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043D89" w:rsidRPr="00C934A5" w14:paraId="611998EA" w14:textId="77777777" w:rsidTr="000009AE">
        <w:trPr>
          <w:jc w:val="center"/>
        </w:trPr>
        <w:tc>
          <w:tcPr>
            <w:tcW w:w="1705" w:type="dxa"/>
          </w:tcPr>
          <w:p w14:paraId="0B7B76B8"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1A8628AB"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27D2E7F6"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043D89" w:rsidRPr="00C934A5" w14:paraId="59BCBD36" w14:textId="77777777" w:rsidTr="000009AE">
        <w:trPr>
          <w:jc w:val="center"/>
        </w:trPr>
        <w:tc>
          <w:tcPr>
            <w:tcW w:w="1705" w:type="dxa"/>
          </w:tcPr>
          <w:p w14:paraId="2E0C2CF7"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2425BF0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571EF57E"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fully optimized and consistently observed incorporating practices and continuous improvement</w:t>
            </w:r>
          </w:p>
        </w:tc>
      </w:tr>
      <w:tr w:rsidR="00043D89" w:rsidRPr="00C934A5" w14:paraId="227430D4" w14:textId="77777777" w:rsidTr="000009AE">
        <w:trPr>
          <w:jc w:val="center"/>
        </w:trPr>
        <w:tc>
          <w:tcPr>
            <w:tcW w:w="1705" w:type="dxa"/>
          </w:tcPr>
          <w:p w14:paraId="38B3A3AC"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4</w:t>
            </w:r>
          </w:p>
        </w:tc>
        <w:tc>
          <w:tcPr>
            <w:tcW w:w="1980" w:type="dxa"/>
          </w:tcPr>
          <w:p w14:paraId="5E9ADC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76011449"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well-established and compliance with SOPs, with minor enhancement.</w:t>
            </w:r>
          </w:p>
        </w:tc>
      </w:tr>
      <w:tr w:rsidR="00043D89" w:rsidRPr="00C934A5" w14:paraId="78AA59BF" w14:textId="77777777" w:rsidTr="000009AE">
        <w:trPr>
          <w:jc w:val="center"/>
        </w:trPr>
        <w:tc>
          <w:tcPr>
            <w:tcW w:w="1705" w:type="dxa"/>
          </w:tcPr>
          <w:p w14:paraId="5E81F5AD"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3</w:t>
            </w:r>
          </w:p>
        </w:tc>
        <w:tc>
          <w:tcPr>
            <w:tcW w:w="1980" w:type="dxa"/>
          </w:tcPr>
          <w:p w14:paraId="3ABAE4AF"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2EE3EA90"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practice is implemented but meets only basic SOPs with needs improvement to some areas. </w:t>
            </w:r>
          </w:p>
        </w:tc>
      </w:tr>
      <w:tr w:rsidR="00043D89" w:rsidRPr="00C934A5" w14:paraId="27646E1A" w14:textId="77777777" w:rsidTr="000009AE">
        <w:trPr>
          <w:jc w:val="center"/>
        </w:trPr>
        <w:tc>
          <w:tcPr>
            <w:tcW w:w="1705" w:type="dxa"/>
          </w:tcPr>
          <w:p w14:paraId="3A41E082"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1980" w:type="dxa"/>
          </w:tcPr>
          <w:p w14:paraId="0C4EB944"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4326179B"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minimally developed with limited alignment with SOPs.</w:t>
            </w:r>
          </w:p>
        </w:tc>
      </w:tr>
      <w:tr w:rsidR="00043D89" w:rsidRPr="00C934A5" w14:paraId="5CFF8F8E" w14:textId="77777777" w:rsidTr="000009AE">
        <w:trPr>
          <w:jc w:val="center"/>
        </w:trPr>
        <w:tc>
          <w:tcPr>
            <w:tcW w:w="1705" w:type="dxa"/>
          </w:tcPr>
          <w:p w14:paraId="52E09849"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1980" w:type="dxa"/>
          </w:tcPr>
          <w:p w14:paraId="0D3F153E" w14:textId="77777777" w:rsidR="00043D89" w:rsidRPr="00C934A5" w:rsidRDefault="00043D89"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481EB481" w14:textId="77777777" w:rsidR="00043D89" w:rsidRPr="00C934A5" w:rsidRDefault="00043D89" w:rsidP="004C1DBB">
            <w:pPr>
              <w:rPr>
                <w:rFonts w:ascii="Times New Roman" w:hAnsi="Times New Roman" w:cs="Times New Roman"/>
                <w:bCs/>
                <w:sz w:val="22"/>
                <w:szCs w:val="22"/>
              </w:rPr>
            </w:pPr>
            <w:r w:rsidRPr="00C934A5">
              <w:rPr>
                <w:rFonts w:ascii="Times New Roman" w:hAnsi="Times New Roman" w:cs="Times New Roman"/>
                <w:bCs/>
                <w:sz w:val="22"/>
                <w:szCs w:val="22"/>
              </w:rPr>
              <w:t>The practice is never developed and requires urgent improvement.</w:t>
            </w:r>
          </w:p>
        </w:tc>
      </w:tr>
    </w:tbl>
    <w:p w14:paraId="498571A0" w14:textId="651E07A3" w:rsidR="00043D89" w:rsidRPr="00C934A5" w:rsidRDefault="00043D89" w:rsidP="00C51AFF">
      <w:pPr>
        <w:pStyle w:val="NormalWeb"/>
        <w:ind w:firstLine="720"/>
        <w:jc w:val="both"/>
      </w:pPr>
      <w:r w:rsidRPr="00C934A5">
        <w:t xml:space="preserve">The results of the survey present the level of enhancement in the existing cash handling practices of the government agency based on four (4) key indicators. Overall, the respondents rated all indicators as </w:t>
      </w:r>
      <w:r w:rsidRPr="00C934A5">
        <w:rPr>
          <w:rStyle w:val="Emphasis"/>
        </w:rPr>
        <w:t xml:space="preserve">Moderately Agree </w:t>
      </w:r>
      <w:r w:rsidRPr="00C934A5">
        <w:rPr>
          <w:rStyle w:val="Emphasis"/>
          <w:i w:val="0"/>
          <w:iCs w:val="0"/>
        </w:rPr>
        <w:t>which indicates that the practices have been well-established and compliant with SOPs, with only minor enhancements needed in certain areas</w:t>
      </w:r>
      <w:r w:rsidRPr="00C934A5">
        <w:t xml:space="preserve">. Among these, </w:t>
      </w:r>
      <w:r w:rsidRPr="00C934A5">
        <w:rPr>
          <w:rStyle w:val="Strong"/>
          <w:b w:val="0"/>
          <w:bCs w:val="0"/>
        </w:rPr>
        <w:t>Agency Relationship</w:t>
      </w:r>
      <w:r w:rsidRPr="00C934A5">
        <w:t xml:space="preserve"> obtained the highest mean of 4.05, indicating that this area demonstrates the strongest level of enhancement, particularly in terms of segregation of duties and bonding requirements among personnel. On the other hand, </w:t>
      </w:r>
      <w:r w:rsidRPr="00C934A5">
        <w:rPr>
          <w:rStyle w:val="Strong"/>
          <w:b w:val="0"/>
          <w:bCs w:val="0"/>
        </w:rPr>
        <w:t>Ethics and Integrity</w:t>
      </w:r>
      <w:r w:rsidRPr="00C934A5">
        <w:t xml:space="preserve"> recorded an overall mean of 3.75, also interpreted as </w:t>
      </w:r>
      <w:r w:rsidRPr="00C934A5">
        <w:rPr>
          <w:rStyle w:val="Emphasis"/>
        </w:rPr>
        <w:t xml:space="preserve">Moderately Agree. </w:t>
      </w:r>
      <w:r w:rsidRPr="00C934A5">
        <w:t>Despite this rating, the result highlights the need for further improvement in certain areas, especially in providing adequate orientation for personnel involved in cash handling. This suggests that the agency needs to strengthen its ethics training programs and reinforce mechanisms that promote integrity in financial practices.</w:t>
      </w:r>
    </w:p>
    <w:p w14:paraId="614CCB70" w14:textId="1C40F253" w:rsidR="00EE0B88" w:rsidRPr="00C934A5" w:rsidRDefault="00EE0B88" w:rsidP="00C51AFF">
      <w:pPr>
        <w:spacing w:line="240" w:lineRule="auto"/>
        <w:rPr>
          <w:rFonts w:ascii="Times New Roman" w:hAnsi="Times New Roman" w:cs="Times New Roman"/>
          <w:i/>
          <w:iCs/>
        </w:rPr>
      </w:pPr>
      <w:r w:rsidRPr="00C934A5">
        <w:rPr>
          <w:rFonts w:ascii="Times New Roman" w:hAnsi="Times New Roman" w:cs="Times New Roman"/>
        </w:rPr>
        <w:t xml:space="preserve">Table 4. </w:t>
      </w:r>
      <w:r w:rsidRPr="00C934A5">
        <w:rPr>
          <w:rFonts w:ascii="Times New Roman" w:hAnsi="Times New Roman" w:cs="Times New Roman"/>
          <w:i/>
          <w:iCs/>
        </w:rPr>
        <w:t>Significant relationship between the profile of the respondents and the level of enhancement of the cash handling practices among government agencies.</w:t>
      </w:r>
    </w:p>
    <w:tbl>
      <w:tblPr>
        <w:tblStyle w:val="TableGrid"/>
        <w:tblW w:w="0" w:type="auto"/>
        <w:jc w:val="center"/>
        <w:tblLook w:val="04A0" w:firstRow="1" w:lastRow="0" w:firstColumn="1" w:lastColumn="0" w:noHBand="0" w:noVBand="1"/>
      </w:tblPr>
      <w:tblGrid>
        <w:gridCol w:w="1655"/>
        <w:gridCol w:w="1617"/>
        <w:gridCol w:w="957"/>
        <w:gridCol w:w="1181"/>
        <w:gridCol w:w="1262"/>
        <w:gridCol w:w="1327"/>
      </w:tblGrid>
      <w:tr w:rsidR="00EE0B88" w:rsidRPr="000009AE" w14:paraId="4517BCE9" w14:textId="77777777" w:rsidTr="000009AE">
        <w:trPr>
          <w:trHeight w:val="737"/>
          <w:jc w:val="center"/>
        </w:trPr>
        <w:tc>
          <w:tcPr>
            <w:tcW w:w="3272" w:type="dxa"/>
            <w:gridSpan w:val="2"/>
          </w:tcPr>
          <w:p w14:paraId="5A2568C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8321D2B"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6595EA43"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4348FEE8"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327" w:type="dxa"/>
          </w:tcPr>
          <w:p w14:paraId="6267D9B4" w14:textId="77777777" w:rsidR="00EE0B88" w:rsidRPr="000009AE" w:rsidRDefault="00EE0B88"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EE0B88" w:rsidRPr="000009AE" w14:paraId="294FF4B3" w14:textId="77777777" w:rsidTr="000009AE">
        <w:trPr>
          <w:jc w:val="center"/>
        </w:trPr>
        <w:tc>
          <w:tcPr>
            <w:tcW w:w="1655" w:type="dxa"/>
            <w:vMerge w:val="restart"/>
          </w:tcPr>
          <w:p w14:paraId="3AB70D6A" w14:textId="77777777" w:rsidR="00EE0B88" w:rsidRPr="000009AE" w:rsidRDefault="00EE0B88" w:rsidP="004C1DBB">
            <w:pPr>
              <w:pStyle w:val="msonospacing0"/>
              <w:jc w:val="center"/>
              <w:rPr>
                <w:rFonts w:ascii="Times New Roman" w:hAnsi="Times New Roman" w:hint="default"/>
              </w:rPr>
            </w:pPr>
          </w:p>
          <w:p w14:paraId="1B8A5C06"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Level of enhancement of the cash handling practices among government agencies</w:t>
            </w:r>
          </w:p>
        </w:tc>
        <w:tc>
          <w:tcPr>
            <w:tcW w:w="1617" w:type="dxa"/>
          </w:tcPr>
          <w:p w14:paraId="25F914B8"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Age</w:t>
            </w:r>
          </w:p>
          <w:p w14:paraId="5F9C95B5" w14:textId="77777777" w:rsidR="00EE0B88" w:rsidRPr="000009AE" w:rsidRDefault="00EE0B88" w:rsidP="004C1DBB">
            <w:pPr>
              <w:pStyle w:val="msonospacing0"/>
              <w:rPr>
                <w:rFonts w:ascii="Times New Roman" w:hAnsi="Times New Roman" w:hint="default"/>
              </w:rPr>
            </w:pPr>
          </w:p>
        </w:tc>
        <w:tc>
          <w:tcPr>
            <w:tcW w:w="957" w:type="dxa"/>
          </w:tcPr>
          <w:p w14:paraId="152829CE"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0.819</w:t>
            </w:r>
          </w:p>
        </w:tc>
        <w:tc>
          <w:tcPr>
            <w:tcW w:w="1181" w:type="dxa"/>
          </w:tcPr>
          <w:p w14:paraId="40D890A3"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0.000</w:t>
            </w:r>
          </w:p>
        </w:tc>
        <w:tc>
          <w:tcPr>
            <w:tcW w:w="1262" w:type="dxa"/>
          </w:tcPr>
          <w:p w14:paraId="4F319E06"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3D8819BB"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7F8AEBA" w14:textId="77777777" w:rsidTr="000009AE">
        <w:trPr>
          <w:jc w:val="center"/>
        </w:trPr>
        <w:tc>
          <w:tcPr>
            <w:tcW w:w="1655" w:type="dxa"/>
            <w:vMerge/>
          </w:tcPr>
          <w:p w14:paraId="7B6B41BA" w14:textId="77777777" w:rsidR="00EE0B88" w:rsidRPr="000009AE" w:rsidRDefault="00EE0B88" w:rsidP="004C1DBB">
            <w:pPr>
              <w:pStyle w:val="msonospacing0"/>
              <w:jc w:val="center"/>
              <w:rPr>
                <w:rFonts w:ascii="Times New Roman" w:hAnsi="Times New Roman" w:hint="default"/>
                <w:b/>
                <w:bCs/>
              </w:rPr>
            </w:pPr>
          </w:p>
        </w:tc>
        <w:tc>
          <w:tcPr>
            <w:tcW w:w="1617" w:type="dxa"/>
          </w:tcPr>
          <w:p w14:paraId="5CC5807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Gender</w:t>
            </w:r>
          </w:p>
        </w:tc>
        <w:tc>
          <w:tcPr>
            <w:tcW w:w="957" w:type="dxa"/>
          </w:tcPr>
          <w:p w14:paraId="1FDD6344"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-0.027</w:t>
            </w:r>
          </w:p>
        </w:tc>
        <w:tc>
          <w:tcPr>
            <w:tcW w:w="1181" w:type="dxa"/>
          </w:tcPr>
          <w:p w14:paraId="0B35F6FB"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0.880</w:t>
            </w:r>
          </w:p>
        </w:tc>
        <w:tc>
          <w:tcPr>
            <w:tcW w:w="1262" w:type="dxa"/>
          </w:tcPr>
          <w:p w14:paraId="3050B567"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34C0F6E"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57C74206" w14:textId="77777777" w:rsidTr="000009AE">
        <w:trPr>
          <w:jc w:val="center"/>
        </w:trPr>
        <w:tc>
          <w:tcPr>
            <w:tcW w:w="1655" w:type="dxa"/>
            <w:vMerge/>
          </w:tcPr>
          <w:p w14:paraId="5A53DF26" w14:textId="77777777" w:rsidR="00EE0B88" w:rsidRPr="000009AE" w:rsidRDefault="00EE0B88" w:rsidP="004C1DBB">
            <w:pPr>
              <w:pStyle w:val="msonospacing0"/>
              <w:jc w:val="center"/>
              <w:rPr>
                <w:rFonts w:ascii="Times New Roman" w:hAnsi="Times New Roman" w:hint="default"/>
                <w:b/>
                <w:bCs/>
              </w:rPr>
            </w:pPr>
          </w:p>
        </w:tc>
        <w:tc>
          <w:tcPr>
            <w:tcW w:w="1617" w:type="dxa"/>
          </w:tcPr>
          <w:p w14:paraId="5EA49CE1"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Marital Status</w:t>
            </w:r>
          </w:p>
        </w:tc>
        <w:tc>
          <w:tcPr>
            <w:tcW w:w="957" w:type="dxa"/>
          </w:tcPr>
          <w:p w14:paraId="6C23490A"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0.138</w:t>
            </w:r>
          </w:p>
        </w:tc>
        <w:tc>
          <w:tcPr>
            <w:tcW w:w="1181" w:type="dxa"/>
          </w:tcPr>
          <w:p w14:paraId="20B5F4A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0.444</w:t>
            </w:r>
          </w:p>
        </w:tc>
        <w:tc>
          <w:tcPr>
            <w:tcW w:w="1262" w:type="dxa"/>
          </w:tcPr>
          <w:p w14:paraId="7F77736B"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Failed to reject H</w:t>
            </w:r>
            <w:r w:rsidRPr="000009AE">
              <w:rPr>
                <w:rFonts w:ascii="Times New Roman" w:eastAsia="Arial" w:hAnsi="Times New Roman" w:hint="default"/>
                <w:vertAlign w:val="subscript"/>
                <w:lang w:val="en"/>
              </w:rPr>
              <w:t>0</w:t>
            </w:r>
          </w:p>
        </w:tc>
        <w:tc>
          <w:tcPr>
            <w:tcW w:w="1327" w:type="dxa"/>
          </w:tcPr>
          <w:p w14:paraId="2493DE63" w14:textId="77777777" w:rsidR="00EE0B88" w:rsidRPr="000009AE" w:rsidRDefault="00EE0B88"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Not Significant</w:t>
            </w:r>
          </w:p>
        </w:tc>
      </w:tr>
      <w:tr w:rsidR="00EE0B88" w:rsidRPr="000009AE" w14:paraId="415B2DA6" w14:textId="77777777" w:rsidTr="000009AE">
        <w:trPr>
          <w:jc w:val="center"/>
        </w:trPr>
        <w:tc>
          <w:tcPr>
            <w:tcW w:w="1655" w:type="dxa"/>
            <w:vMerge/>
          </w:tcPr>
          <w:p w14:paraId="123CB3A7" w14:textId="77777777" w:rsidR="00EE0B88" w:rsidRPr="000009AE" w:rsidRDefault="00EE0B88" w:rsidP="004C1DBB">
            <w:pPr>
              <w:pStyle w:val="msonospacing0"/>
              <w:rPr>
                <w:rFonts w:ascii="Times New Roman" w:hAnsi="Times New Roman" w:hint="default"/>
              </w:rPr>
            </w:pPr>
          </w:p>
        </w:tc>
        <w:tc>
          <w:tcPr>
            <w:tcW w:w="1617" w:type="dxa"/>
          </w:tcPr>
          <w:p w14:paraId="3DC4CE7B" w14:textId="77777777" w:rsidR="00EE0B88" w:rsidRPr="000009AE" w:rsidRDefault="00EE0B88" w:rsidP="004C1DBB">
            <w:pPr>
              <w:pStyle w:val="msonospacing0"/>
              <w:rPr>
                <w:rFonts w:ascii="Times New Roman" w:hAnsi="Times New Roman" w:hint="default"/>
              </w:rPr>
            </w:pPr>
            <w:r w:rsidRPr="000009AE">
              <w:rPr>
                <w:rFonts w:ascii="Times New Roman" w:hAnsi="Times New Roman" w:hint="default"/>
              </w:rPr>
              <w:t>Employed Station</w:t>
            </w:r>
          </w:p>
        </w:tc>
        <w:tc>
          <w:tcPr>
            <w:tcW w:w="957" w:type="dxa"/>
          </w:tcPr>
          <w:p w14:paraId="42322318" w14:textId="77777777" w:rsidR="00EE0B88" w:rsidRPr="000009AE" w:rsidRDefault="00EE0B88" w:rsidP="004C1DBB">
            <w:pPr>
              <w:pStyle w:val="msonospacing0"/>
              <w:jc w:val="center"/>
              <w:rPr>
                <w:rFonts w:ascii="Times New Roman" w:hAnsi="Times New Roman" w:hint="default"/>
              </w:rPr>
            </w:pPr>
          </w:p>
          <w:p w14:paraId="1879247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0.778</w:t>
            </w:r>
          </w:p>
        </w:tc>
        <w:tc>
          <w:tcPr>
            <w:tcW w:w="1181" w:type="dxa"/>
          </w:tcPr>
          <w:p w14:paraId="7A78AD69" w14:textId="77777777" w:rsidR="00EE0B88" w:rsidRPr="000009AE" w:rsidRDefault="00EE0B88" w:rsidP="004C1DBB">
            <w:pPr>
              <w:pStyle w:val="msonospacing0"/>
              <w:jc w:val="center"/>
              <w:rPr>
                <w:rFonts w:ascii="Times New Roman" w:hAnsi="Times New Roman" w:hint="default"/>
              </w:rPr>
            </w:pPr>
          </w:p>
          <w:p w14:paraId="02A1A097" w14:textId="77777777" w:rsidR="00EE0B88" w:rsidRPr="000009AE" w:rsidRDefault="00EE0B88"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0D9A75AF"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79A17039" w14:textId="77777777" w:rsidR="00EE0B88" w:rsidRPr="000009AE" w:rsidRDefault="00EE0B88" w:rsidP="004C1DBB">
            <w:pPr>
              <w:pStyle w:val="msonospacing0"/>
              <w:jc w:val="center"/>
              <w:rPr>
                <w:rFonts w:ascii="Times New Roman" w:hAnsi="Times New Roman" w:hint="default"/>
              </w:rPr>
            </w:pPr>
            <w:r w:rsidRPr="000009AE">
              <w:rPr>
                <w:rFonts w:ascii="Times New Roman" w:eastAsia="Arial" w:hAnsi="Times New Roman" w:hint="default"/>
                <w:lang w:val="en"/>
              </w:rPr>
              <w:t>Significant</w:t>
            </w:r>
          </w:p>
        </w:tc>
      </w:tr>
      <w:tr w:rsidR="00EE0B88" w:rsidRPr="000009AE" w14:paraId="336CDA71" w14:textId="77777777" w:rsidTr="000009AE">
        <w:trPr>
          <w:jc w:val="center"/>
        </w:trPr>
        <w:tc>
          <w:tcPr>
            <w:tcW w:w="1655" w:type="dxa"/>
            <w:vMerge/>
          </w:tcPr>
          <w:p w14:paraId="61F3055B" w14:textId="77777777" w:rsidR="00EE0B88" w:rsidRPr="000009AE" w:rsidRDefault="00EE0B88" w:rsidP="004C1DBB">
            <w:pPr>
              <w:pStyle w:val="msonospacing0"/>
              <w:spacing w:line="480" w:lineRule="auto"/>
              <w:rPr>
                <w:rFonts w:ascii="Times New Roman" w:hAnsi="Times New Roman" w:hint="default"/>
              </w:rPr>
            </w:pPr>
          </w:p>
        </w:tc>
        <w:tc>
          <w:tcPr>
            <w:tcW w:w="1617" w:type="dxa"/>
          </w:tcPr>
          <w:p w14:paraId="43215BE9" w14:textId="77777777" w:rsidR="00EE0B88" w:rsidRPr="000009AE" w:rsidRDefault="00EE0B88" w:rsidP="004C1DBB">
            <w:pPr>
              <w:pStyle w:val="msonospacing0"/>
              <w:spacing w:line="276" w:lineRule="auto"/>
              <w:rPr>
                <w:rFonts w:ascii="Times New Roman" w:hAnsi="Times New Roman" w:hint="default"/>
              </w:rPr>
            </w:pPr>
            <w:r w:rsidRPr="000009AE">
              <w:rPr>
                <w:rFonts w:ascii="Times New Roman" w:hAnsi="Times New Roman" w:hint="default"/>
              </w:rPr>
              <w:t>Years in service</w:t>
            </w:r>
          </w:p>
        </w:tc>
        <w:tc>
          <w:tcPr>
            <w:tcW w:w="957" w:type="dxa"/>
          </w:tcPr>
          <w:p w14:paraId="71CFCA0A"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0.724</w:t>
            </w:r>
          </w:p>
        </w:tc>
        <w:tc>
          <w:tcPr>
            <w:tcW w:w="1181" w:type="dxa"/>
          </w:tcPr>
          <w:p w14:paraId="4B86DE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hAnsi="Times New Roman" w:hint="default"/>
              </w:rPr>
              <w:t>0.003</w:t>
            </w:r>
          </w:p>
        </w:tc>
        <w:tc>
          <w:tcPr>
            <w:tcW w:w="1262" w:type="dxa"/>
          </w:tcPr>
          <w:p w14:paraId="10000703"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327" w:type="dxa"/>
          </w:tcPr>
          <w:p w14:paraId="6C19C379" w14:textId="77777777" w:rsidR="00EE0B88" w:rsidRPr="000009AE" w:rsidRDefault="00EE0B88" w:rsidP="004C1DBB">
            <w:pPr>
              <w:pStyle w:val="msonospacing0"/>
              <w:spacing w:line="480" w:lineRule="auto"/>
              <w:jc w:val="center"/>
              <w:rPr>
                <w:rFonts w:ascii="Times New Roman" w:hAnsi="Times New Roman" w:hint="default"/>
              </w:rPr>
            </w:pPr>
            <w:r w:rsidRPr="000009AE">
              <w:rPr>
                <w:rFonts w:ascii="Times New Roman" w:eastAsia="Arial" w:hAnsi="Times New Roman" w:hint="default"/>
                <w:lang w:val="en"/>
              </w:rPr>
              <w:t>Significant</w:t>
            </w:r>
          </w:p>
        </w:tc>
      </w:tr>
    </w:tbl>
    <w:p w14:paraId="3115D1D0" w14:textId="7204E0AA" w:rsidR="00043D89" w:rsidRPr="00043D89" w:rsidRDefault="00043D89" w:rsidP="00554991">
      <w:pPr>
        <w:jc w:val="both"/>
        <w:rPr>
          <w:rFonts w:ascii="Times New Roman" w:hAnsi="Times New Roman" w:cs="Times New Roman"/>
          <w:bCs/>
        </w:rPr>
      </w:pPr>
    </w:p>
    <w:p w14:paraId="158B2A32" w14:textId="61107B4B" w:rsidR="00EE0B88" w:rsidRPr="00C934A5" w:rsidRDefault="00EE0B88" w:rsidP="00C51AFF">
      <w:pPr>
        <w:pStyle w:val="NormalWeb"/>
        <w:ind w:firstLine="720"/>
        <w:jc w:val="both"/>
      </w:pPr>
      <w:r w:rsidRPr="00C934A5">
        <w:t>The findings indicate a significant relationship between respondents’ demographic profile and their perception of the enhancement of cash-handling practices. Specifically, Age, Employed Station, and Years in Service yielded p-values of less than 0.05, indicating a significant influence on respondents’ perceptions. The results suggest that experience and organizational assignment influence how internal control mechanisms are understood and applied in public institutions. In contrast, the results revealed that Gender and Marital Status exert no significant influence on respondents’ perceptions, as evidenced by p-values exceeding the 0.05 level of significance.</w:t>
      </w:r>
    </w:p>
    <w:p w14:paraId="3CA0CD50" w14:textId="4B504F88" w:rsidR="00EE0B88" w:rsidRPr="00C934A5" w:rsidRDefault="00EE0B88" w:rsidP="00C51AFF">
      <w:pPr>
        <w:pStyle w:val="NormalWeb"/>
        <w:jc w:val="both"/>
        <w:rPr>
          <w:i/>
          <w:iCs/>
        </w:rPr>
      </w:pPr>
      <w:r w:rsidRPr="00C934A5">
        <w:t xml:space="preserve">Table 5. </w:t>
      </w:r>
      <w:r w:rsidRPr="00C934A5">
        <w:rPr>
          <w:i/>
          <w:iCs/>
        </w:rPr>
        <w:t>The common challenges and shortcomings faced by government agencies in terms of: Agency Relationship, Internal Control, Regulations, and Ethics and Integrity.</w:t>
      </w:r>
    </w:p>
    <w:tbl>
      <w:tblPr>
        <w:tblStyle w:val="TableGrid"/>
        <w:tblW w:w="0" w:type="auto"/>
        <w:jc w:val="center"/>
        <w:tblLook w:val="04A0" w:firstRow="1" w:lastRow="0" w:firstColumn="1" w:lastColumn="0" w:noHBand="0" w:noVBand="1"/>
      </w:tblPr>
      <w:tblGrid>
        <w:gridCol w:w="1705"/>
        <w:gridCol w:w="1980"/>
        <w:gridCol w:w="4726"/>
      </w:tblGrid>
      <w:tr w:rsidR="008D15AA" w:rsidRPr="00C934A5" w14:paraId="79FB560A" w14:textId="77777777" w:rsidTr="000009AE">
        <w:trPr>
          <w:jc w:val="center"/>
        </w:trPr>
        <w:tc>
          <w:tcPr>
            <w:tcW w:w="1705" w:type="dxa"/>
          </w:tcPr>
          <w:p w14:paraId="78A3652A"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Scale</w:t>
            </w:r>
          </w:p>
        </w:tc>
        <w:tc>
          <w:tcPr>
            <w:tcW w:w="1980" w:type="dxa"/>
          </w:tcPr>
          <w:p w14:paraId="2F6CF26C"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Verbal Interpretation</w:t>
            </w:r>
          </w:p>
        </w:tc>
        <w:tc>
          <w:tcPr>
            <w:tcW w:w="4726" w:type="dxa"/>
          </w:tcPr>
          <w:p w14:paraId="019CDDF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Description in Cash Handling Context</w:t>
            </w:r>
          </w:p>
        </w:tc>
      </w:tr>
      <w:tr w:rsidR="008D15AA" w:rsidRPr="00C934A5" w14:paraId="2C115B08" w14:textId="77777777" w:rsidTr="000009AE">
        <w:trPr>
          <w:jc w:val="center"/>
        </w:trPr>
        <w:tc>
          <w:tcPr>
            <w:tcW w:w="1705" w:type="dxa"/>
          </w:tcPr>
          <w:p w14:paraId="3A20C8A0"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5</w:t>
            </w:r>
          </w:p>
        </w:tc>
        <w:tc>
          <w:tcPr>
            <w:tcW w:w="1980" w:type="dxa"/>
          </w:tcPr>
          <w:p w14:paraId="16BD8568"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Agree</w:t>
            </w:r>
          </w:p>
        </w:tc>
        <w:tc>
          <w:tcPr>
            <w:tcW w:w="4726" w:type="dxa"/>
          </w:tcPr>
          <w:p w14:paraId="7FB3B41B"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 xml:space="preserve">The challenge consistently affects cash handling practices, causing control weakness. </w:t>
            </w:r>
          </w:p>
        </w:tc>
      </w:tr>
      <w:tr w:rsidR="008D15AA" w:rsidRPr="00C934A5" w14:paraId="2BE2B708" w14:textId="77777777" w:rsidTr="000009AE">
        <w:trPr>
          <w:jc w:val="center"/>
        </w:trPr>
        <w:tc>
          <w:tcPr>
            <w:tcW w:w="1705" w:type="dxa"/>
          </w:tcPr>
          <w:p w14:paraId="30DE190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4</w:t>
            </w:r>
          </w:p>
        </w:tc>
        <w:tc>
          <w:tcPr>
            <w:tcW w:w="1980" w:type="dxa"/>
          </w:tcPr>
          <w:p w14:paraId="5373C4B7"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Moderately Agree</w:t>
            </w:r>
          </w:p>
        </w:tc>
        <w:tc>
          <w:tcPr>
            <w:tcW w:w="4726" w:type="dxa"/>
          </w:tcPr>
          <w:p w14:paraId="1B4E74C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frequently affects cash handling practices, resulting in noticeable inefficiencies.</w:t>
            </w:r>
          </w:p>
        </w:tc>
      </w:tr>
      <w:tr w:rsidR="008D15AA" w:rsidRPr="00C934A5" w14:paraId="4F0413D7" w14:textId="77777777" w:rsidTr="000009AE">
        <w:trPr>
          <w:jc w:val="center"/>
        </w:trPr>
        <w:tc>
          <w:tcPr>
            <w:tcW w:w="1705" w:type="dxa"/>
          </w:tcPr>
          <w:p w14:paraId="33948559"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lastRenderedPageBreak/>
              <w:t>3</w:t>
            </w:r>
          </w:p>
        </w:tc>
        <w:tc>
          <w:tcPr>
            <w:tcW w:w="1980" w:type="dxa"/>
          </w:tcPr>
          <w:p w14:paraId="63CC803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Agree</w:t>
            </w:r>
          </w:p>
        </w:tc>
        <w:tc>
          <w:tcPr>
            <w:tcW w:w="4726" w:type="dxa"/>
          </w:tcPr>
          <w:p w14:paraId="375EE857"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occasionally affects cash handling practices with some inconsistencies.</w:t>
            </w:r>
          </w:p>
        </w:tc>
      </w:tr>
      <w:tr w:rsidR="008D15AA" w:rsidRPr="00C934A5" w14:paraId="7F8DA388" w14:textId="77777777" w:rsidTr="000009AE">
        <w:trPr>
          <w:jc w:val="center"/>
        </w:trPr>
        <w:tc>
          <w:tcPr>
            <w:tcW w:w="1705" w:type="dxa"/>
          </w:tcPr>
          <w:p w14:paraId="6A7A0E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2</w:t>
            </w:r>
          </w:p>
        </w:tc>
        <w:tc>
          <w:tcPr>
            <w:tcW w:w="1980" w:type="dxa"/>
          </w:tcPr>
          <w:p w14:paraId="679787D2"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Disagree</w:t>
            </w:r>
          </w:p>
        </w:tc>
        <w:tc>
          <w:tcPr>
            <w:tcW w:w="4726" w:type="dxa"/>
          </w:tcPr>
          <w:p w14:paraId="3B4274F5"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seldom affects cash handling practices with minimal impact.</w:t>
            </w:r>
          </w:p>
        </w:tc>
      </w:tr>
      <w:tr w:rsidR="008D15AA" w:rsidRPr="00C934A5" w14:paraId="00EECE92" w14:textId="77777777" w:rsidTr="000009AE">
        <w:trPr>
          <w:jc w:val="center"/>
        </w:trPr>
        <w:tc>
          <w:tcPr>
            <w:tcW w:w="1705" w:type="dxa"/>
          </w:tcPr>
          <w:p w14:paraId="77C79203"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1</w:t>
            </w:r>
          </w:p>
        </w:tc>
        <w:tc>
          <w:tcPr>
            <w:tcW w:w="1980" w:type="dxa"/>
          </w:tcPr>
          <w:p w14:paraId="3E3975CD" w14:textId="77777777" w:rsidR="008D15AA" w:rsidRPr="00C934A5" w:rsidRDefault="008D15AA" w:rsidP="004C1DBB">
            <w:pPr>
              <w:jc w:val="center"/>
              <w:rPr>
                <w:rFonts w:ascii="Times New Roman" w:hAnsi="Times New Roman" w:cs="Times New Roman"/>
                <w:bCs/>
                <w:sz w:val="22"/>
                <w:szCs w:val="22"/>
              </w:rPr>
            </w:pPr>
            <w:r w:rsidRPr="00C934A5">
              <w:rPr>
                <w:rFonts w:ascii="Times New Roman" w:hAnsi="Times New Roman" w:cs="Times New Roman"/>
                <w:bCs/>
                <w:sz w:val="22"/>
                <w:szCs w:val="22"/>
              </w:rPr>
              <w:t>Strongly Disagree</w:t>
            </w:r>
          </w:p>
        </w:tc>
        <w:tc>
          <w:tcPr>
            <w:tcW w:w="4726" w:type="dxa"/>
          </w:tcPr>
          <w:p w14:paraId="3D6904ED" w14:textId="77777777" w:rsidR="008D15AA" w:rsidRPr="00C934A5" w:rsidRDefault="008D15AA" w:rsidP="004C1DBB">
            <w:pPr>
              <w:rPr>
                <w:rFonts w:ascii="Times New Roman" w:hAnsi="Times New Roman" w:cs="Times New Roman"/>
                <w:bCs/>
                <w:sz w:val="22"/>
                <w:szCs w:val="22"/>
              </w:rPr>
            </w:pPr>
            <w:r w:rsidRPr="00C934A5">
              <w:rPr>
                <w:rFonts w:ascii="Times New Roman" w:hAnsi="Times New Roman" w:cs="Times New Roman"/>
                <w:bCs/>
                <w:sz w:val="22"/>
                <w:szCs w:val="22"/>
              </w:rPr>
              <w:t>The challenge is not present and has no effect on cash handling practices.</w:t>
            </w:r>
          </w:p>
        </w:tc>
      </w:tr>
    </w:tbl>
    <w:p w14:paraId="0E9BC418" w14:textId="5050B367" w:rsidR="008D15AA" w:rsidRPr="00C934A5" w:rsidRDefault="008D15AA" w:rsidP="00C51AFF">
      <w:pPr>
        <w:pStyle w:val="NormalWeb"/>
        <w:ind w:firstLine="720"/>
        <w:jc w:val="both"/>
      </w:pPr>
      <w:r w:rsidRPr="00C934A5">
        <w:t>The respondents identified Ethics and Integrity as the most significant challenge, with an overall mean of 3.16 indicating occasionally affects cash handling practices with some inconsistencies. In contrast, Agency Relationship obtained the lowest mean of 2.48, suggesting that it seldom affects cash handling practices and has minimal impact. Specifically, respondents generally disagreed on the presence of challenges related to Agency Relationship, suggesting that organizational structure and role delineation are clearly defined and effectively implemented. On the other hand, respondents agreed on certain concerns under Ethics and Integrity, particularly the reluctance of employees to report misconduct due to fear of retaliation or lack of confidentiality. These findings indicate potential vulnerabilities in internal reporting mechanisms, which may expose institutions to risks of fraud and may not be sufficiently addressed by existing government controls.</w:t>
      </w:r>
    </w:p>
    <w:p w14:paraId="5072DD7A" w14:textId="37ABE73C" w:rsidR="001E2EFE" w:rsidRPr="00C934A5" w:rsidRDefault="001E2EFE" w:rsidP="00C51AFF">
      <w:pPr>
        <w:pStyle w:val="NormalWeb"/>
        <w:jc w:val="both"/>
        <w:rPr>
          <w:i/>
          <w:iCs/>
        </w:rPr>
      </w:pPr>
      <w:r w:rsidRPr="00C934A5">
        <w:t xml:space="preserve">Table 6. </w:t>
      </w:r>
      <w:r w:rsidRPr="00C934A5">
        <w:rPr>
          <w:i/>
          <w:iCs/>
        </w:rPr>
        <w:t>Measures to prevent and detect fraud in cash handling.</w:t>
      </w:r>
    </w:p>
    <w:tbl>
      <w:tblPr>
        <w:tblStyle w:val="TableGrid"/>
        <w:tblW w:w="0" w:type="auto"/>
        <w:jc w:val="center"/>
        <w:tblLook w:val="04A0" w:firstRow="1" w:lastRow="0" w:firstColumn="1" w:lastColumn="0" w:noHBand="0" w:noVBand="1"/>
      </w:tblPr>
      <w:tblGrid>
        <w:gridCol w:w="1705"/>
        <w:gridCol w:w="1980"/>
        <w:gridCol w:w="4726"/>
      </w:tblGrid>
      <w:tr w:rsidR="001E2EFE" w:rsidRPr="000009AE" w14:paraId="3848B6B9" w14:textId="77777777" w:rsidTr="000009AE">
        <w:trPr>
          <w:jc w:val="center"/>
        </w:trPr>
        <w:tc>
          <w:tcPr>
            <w:tcW w:w="1705" w:type="dxa"/>
          </w:tcPr>
          <w:p w14:paraId="451E0D7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Scale</w:t>
            </w:r>
          </w:p>
        </w:tc>
        <w:tc>
          <w:tcPr>
            <w:tcW w:w="1980" w:type="dxa"/>
          </w:tcPr>
          <w:p w14:paraId="2CF79DB8"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Verbal Interpretation</w:t>
            </w:r>
          </w:p>
        </w:tc>
        <w:tc>
          <w:tcPr>
            <w:tcW w:w="4726" w:type="dxa"/>
          </w:tcPr>
          <w:p w14:paraId="326A6F9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Description in Cash Handling Context</w:t>
            </w:r>
          </w:p>
        </w:tc>
      </w:tr>
      <w:tr w:rsidR="001E2EFE" w:rsidRPr="000009AE" w14:paraId="3BEE4098" w14:textId="77777777" w:rsidTr="000009AE">
        <w:trPr>
          <w:jc w:val="center"/>
        </w:trPr>
        <w:tc>
          <w:tcPr>
            <w:tcW w:w="1705" w:type="dxa"/>
          </w:tcPr>
          <w:p w14:paraId="5896A522"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5</w:t>
            </w:r>
          </w:p>
        </w:tc>
        <w:tc>
          <w:tcPr>
            <w:tcW w:w="1980" w:type="dxa"/>
          </w:tcPr>
          <w:p w14:paraId="2649DF99"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Agree</w:t>
            </w:r>
          </w:p>
        </w:tc>
        <w:tc>
          <w:tcPr>
            <w:tcW w:w="4726" w:type="dxa"/>
          </w:tcPr>
          <w:p w14:paraId="7B13A6AD"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highly effective and are fully implemented in cash handling practice.</w:t>
            </w:r>
          </w:p>
        </w:tc>
      </w:tr>
      <w:tr w:rsidR="001E2EFE" w:rsidRPr="000009AE" w14:paraId="757F50E4" w14:textId="77777777" w:rsidTr="000009AE">
        <w:trPr>
          <w:jc w:val="center"/>
        </w:trPr>
        <w:tc>
          <w:tcPr>
            <w:tcW w:w="1705" w:type="dxa"/>
          </w:tcPr>
          <w:p w14:paraId="3E30E9E6"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4</w:t>
            </w:r>
          </w:p>
        </w:tc>
        <w:tc>
          <w:tcPr>
            <w:tcW w:w="1980" w:type="dxa"/>
          </w:tcPr>
          <w:p w14:paraId="7589FE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Moderately Agree</w:t>
            </w:r>
          </w:p>
        </w:tc>
        <w:tc>
          <w:tcPr>
            <w:tcW w:w="4726" w:type="dxa"/>
          </w:tcPr>
          <w:p w14:paraId="4A0323C0"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effective with only minor gaps in implementation</w:t>
            </w:r>
          </w:p>
        </w:tc>
      </w:tr>
      <w:tr w:rsidR="001E2EFE" w:rsidRPr="000009AE" w14:paraId="744DA4B6" w14:textId="77777777" w:rsidTr="000009AE">
        <w:trPr>
          <w:jc w:val="center"/>
        </w:trPr>
        <w:tc>
          <w:tcPr>
            <w:tcW w:w="1705" w:type="dxa"/>
          </w:tcPr>
          <w:p w14:paraId="304F3A5B"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3</w:t>
            </w:r>
          </w:p>
        </w:tc>
        <w:tc>
          <w:tcPr>
            <w:tcW w:w="1980" w:type="dxa"/>
          </w:tcPr>
          <w:p w14:paraId="6A7E94E4"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Agree</w:t>
            </w:r>
          </w:p>
        </w:tc>
        <w:tc>
          <w:tcPr>
            <w:tcW w:w="4726" w:type="dxa"/>
          </w:tcPr>
          <w:p w14:paraId="1522D4E2"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moderately effective, providing some level of fraud prevention with noticeable limitations.</w:t>
            </w:r>
          </w:p>
        </w:tc>
      </w:tr>
      <w:tr w:rsidR="001E2EFE" w:rsidRPr="000009AE" w14:paraId="6243E936" w14:textId="77777777" w:rsidTr="000009AE">
        <w:trPr>
          <w:jc w:val="center"/>
        </w:trPr>
        <w:tc>
          <w:tcPr>
            <w:tcW w:w="1705" w:type="dxa"/>
          </w:tcPr>
          <w:p w14:paraId="61B4C650"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2</w:t>
            </w:r>
          </w:p>
        </w:tc>
        <w:tc>
          <w:tcPr>
            <w:tcW w:w="1980" w:type="dxa"/>
          </w:tcPr>
          <w:p w14:paraId="6F28CFFD"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Disagree</w:t>
            </w:r>
          </w:p>
        </w:tc>
        <w:tc>
          <w:tcPr>
            <w:tcW w:w="4726" w:type="dxa"/>
          </w:tcPr>
          <w:p w14:paraId="0BC01074"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slightly effective that offers minimal fraud prevention measures</w:t>
            </w:r>
          </w:p>
        </w:tc>
      </w:tr>
      <w:tr w:rsidR="001E2EFE" w:rsidRPr="000009AE" w14:paraId="3C0DB867" w14:textId="77777777" w:rsidTr="000009AE">
        <w:trPr>
          <w:jc w:val="center"/>
        </w:trPr>
        <w:tc>
          <w:tcPr>
            <w:tcW w:w="1705" w:type="dxa"/>
          </w:tcPr>
          <w:p w14:paraId="6256A9DC"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1</w:t>
            </w:r>
          </w:p>
        </w:tc>
        <w:tc>
          <w:tcPr>
            <w:tcW w:w="1980" w:type="dxa"/>
          </w:tcPr>
          <w:p w14:paraId="31BF56AE" w14:textId="77777777" w:rsidR="001E2EFE" w:rsidRPr="000009AE" w:rsidRDefault="001E2EFE" w:rsidP="004C1DBB">
            <w:pPr>
              <w:jc w:val="center"/>
              <w:rPr>
                <w:rFonts w:ascii="Times New Roman" w:hAnsi="Times New Roman" w:cs="Times New Roman"/>
                <w:bCs/>
                <w:sz w:val="22"/>
                <w:szCs w:val="22"/>
              </w:rPr>
            </w:pPr>
            <w:r w:rsidRPr="000009AE">
              <w:rPr>
                <w:rFonts w:ascii="Times New Roman" w:hAnsi="Times New Roman" w:cs="Times New Roman"/>
                <w:bCs/>
                <w:sz w:val="22"/>
                <w:szCs w:val="22"/>
              </w:rPr>
              <w:t>Strongly Disagree</w:t>
            </w:r>
          </w:p>
        </w:tc>
        <w:tc>
          <w:tcPr>
            <w:tcW w:w="4726" w:type="dxa"/>
          </w:tcPr>
          <w:p w14:paraId="146D316C" w14:textId="77777777" w:rsidR="001E2EFE" w:rsidRPr="000009AE" w:rsidRDefault="001E2EFE" w:rsidP="004C1DBB">
            <w:pPr>
              <w:rPr>
                <w:rFonts w:ascii="Times New Roman" w:hAnsi="Times New Roman" w:cs="Times New Roman"/>
                <w:bCs/>
                <w:sz w:val="22"/>
                <w:szCs w:val="22"/>
              </w:rPr>
            </w:pPr>
            <w:r w:rsidRPr="000009AE">
              <w:rPr>
                <w:rFonts w:ascii="Times New Roman" w:hAnsi="Times New Roman" w:cs="Times New Roman"/>
                <w:bCs/>
                <w:sz w:val="22"/>
                <w:szCs w:val="22"/>
              </w:rPr>
              <w:t>The measures are not effective that failed to prevent and detect fraud.</w:t>
            </w:r>
          </w:p>
        </w:tc>
      </w:tr>
    </w:tbl>
    <w:p w14:paraId="31AC3957" w14:textId="78DCF0F5" w:rsidR="001E2EFE" w:rsidRPr="00C934A5" w:rsidRDefault="001E2EFE" w:rsidP="00C51AFF">
      <w:pPr>
        <w:pStyle w:val="NormalWeb"/>
        <w:ind w:firstLine="720"/>
        <w:jc w:val="both"/>
      </w:pPr>
      <w:r w:rsidRPr="00C934A5">
        <w:t xml:space="preserve">The result reveals overall mean scores ranging from 3.34 to 3.76, indicating that the majority of respondents moderately agree across the three indicators. This suggest that the measures for these indicators have been effective, with only minor gaps in implementation. Among these, Agency Relationship obtained the highest overall mean of 3.76, while Ethics and Integrity recorded the lowest mean of 3.34 (see Appendix E for detailed results). Particular attention should be given to Ethics and Integrity, where the measures were moderately effective providing some level of fraud prevention but with noticeable limitations, as its relatively lower mean highlights concerns related to the promotion of ethical behavior and accountability. </w:t>
      </w:r>
    </w:p>
    <w:p w14:paraId="75AD1023" w14:textId="77777777" w:rsidR="00633D32" w:rsidRPr="00C934A5" w:rsidRDefault="00633D32" w:rsidP="00C51AFF">
      <w:pPr>
        <w:pStyle w:val="NormalWeb"/>
        <w:jc w:val="both"/>
      </w:pPr>
      <w:r w:rsidRPr="00C934A5">
        <w:rPr>
          <w:i/>
          <w:iCs/>
        </w:rPr>
        <w:t>Table 8. Significant relationship between challenges found by government agencies and the measures to prevent and detect fraud in cash handling.</w:t>
      </w:r>
    </w:p>
    <w:tbl>
      <w:tblPr>
        <w:tblStyle w:val="TableGrid"/>
        <w:tblW w:w="0" w:type="auto"/>
        <w:jc w:val="center"/>
        <w:tblLook w:val="04A0" w:firstRow="1" w:lastRow="0" w:firstColumn="1" w:lastColumn="0" w:noHBand="0" w:noVBand="1"/>
      </w:tblPr>
      <w:tblGrid>
        <w:gridCol w:w="1840"/>
        <w:gridCol w:w="1617"/>
        <w:gridCol w:w="957"/>
        <w:gridCol w:w="1181"/>
        <w:gridCol w:w="1262"/>
        <w:gridCol w:w="1603"/>
      </w:tblGrid>
      <w:tr w:rsidR="00633D32" w:rsidRPr="000009AE" w14:paraId="381E167D" w14:textId="77777777" w:rsidTr="000009AE">
        <w:trPr>
          <w:trHeight w:val="737"/>
          <w:tblHeader/>
          <w:jc w:val="center"/>
        </w:trPr>
        <w:tc>
          <w:tcPr>
            <w:tcW w:w="3457" w:type="dxa"/>
            <w:gridSpan w:val="2"/>
          </w:tcPr>
          <w:p w14:paraId="22ECB691"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Source of Variances</w:t>
            </w:r>
          </w:p>
        </w:tc>
        <w:tc>
          <w:tcPr>
            <w:tcW w:w="957" w:type="dxa"/>
          </w:tcPr>
          <w:p w14:paraId="6E248CF9"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r- value</w:t>
            </w:r>
          </w:p>
        </w:tc>
        <w:tc>
          <w:tcPr>
            <w:tcW w:w="1181" w:type="dxa"/>
          </w:tcPr>
          <w:p w14:paraId="0B41246C"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p-value</w:t>
            </w:r>
          </w:p>
        </w:tc>
        <w:tc>
          <w:tcPr>
            <w:tcW w:w="1262" w:type="dxa"/>
          </w:tcPr>
          <w:p w14:paraId="5D1EEF5E"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Decision</w:t>
            </w:r>
          </w:p>
        </w:tc>
        <w:tc>
          <w:tcPr>
            <w:tcW w:w="1603" w:type="dxa"/>
          </w:tcPr>
          <w:p w14:paraId="06D1C277" w14:textId="77777777" w:rsidR="00633D32" w:rsidRPr="000009AE" w:rsidRDefault="00633D32" w:rsidP="004C1DBB">
            <w:pPr>
              <w:pStyle w:val="msonospacing0"/>
              <w:jc w:val="center"/>
              <w:rPr>
                <w:rFonts w:ascii="Times New Roman" w:hAnsi="Times New Roman" w:hint="default"/>
                <w:b/>
                <w:bCs/>
              </w:rPr>
            </w:pPr>
            <w:r w:rsidRPr="000009AE">
              <w:rPr>
                <w:rFonts w:ascii="Times New Roman" w:hAnsi="Times New Roman" w:hint="default"/>
                <w:b/>
                <w:bCs/>
                <w:lang w:val="en"/>
              </w:rPr>
              <w:t>Conclusion</w:t>
            </w:r>
          </w:p>
        </w:tc>
      </w:tr>
      <w:tr w:rsidR="00633D32" w:rsidRPr="000009AE" w14:paraId="52C5E616" w14:textId="77777777" w:rsidTr="000009AE">
        <w:trPr>
          <w:jc w:val="center"/>
        </w:trPr>
        <w:tc>
          <w:tcPr>
            <w:tcW w:w="1840" w:type="dxa"/>
            <w:vMerge w:val="restart"/>
          </w:tcPr>
          <w:p w14:paraId="75518948" w14:textId="77777777" w:rsidR="00633D32" w:rsidRPr="000009AE" w:rsidRDefault="00633D32" w:rsidP="004C1DBB">
            <w:pPr>
              <w:pStyle w:val="msonospacing0"/>
              <w:jc w:val="both"/>
              <w:rPr>
                <w:rFonts w:ascii="Times New Roman" w:hAnsi="Times New Roman" w:hint="default"/>
                <w:b/>
                <w:bCs/>
              </w:rPr>
            </w:pPr>
            <w:r w:rsidRPr="000009AE">
              <w:rPr>
                <w:rFonts w:ascii="Times New Roman" w:hAnsi="Times New Roman" w:hint="default"/>
              </w:rPr>
              <w:t>Challenges found by government agencies and the measures to prevent and detect fraud in cash handling</w:t>
            </w:r>
          </w:p>
        </w:tc>
        <w:tc>
          <w:tcPr>
            <w:tcW w:w="1617" w:type="dxa"/>
          </w:tcPr>
          <w:p w14:paraId="540C811F"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Agency Relationship</w:t>
            </w:r>
          </w:p>
          <w:p w14:paraId="7EC266BD" w14:textId="77777777" w:rsidR="00633D32" w:rsidRPr="000009AE" w:rsidRDefault="00633D32" w:rsidP="004C1DBB">
            <w:pPr>
              <w:pStyle w:val="msonospacing0"/>
              <w:rPr>
                <w:rFonts w:ascii="Times New Roman" w:hAnsi="Times New Roman" w:hint="default"/>
              </w:rPr>
            </w:pPr>
          </w:p>
        </w:tc>
        <w:tc>
          <w:tcPr>
            <w:tcW w:w="957" w:type="dxa"/>
          </w:tcPr>
          <w:p w14:paraId="02EC50C2"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-0.373</w:t>
            </w:r>
          </w:p>
        </w:tc>
        <w:tc>
          <w:tcPr>
            <w:tcW w:w="1181" w:type="dxa"/>
          </w:tcPr>
          <w:p w14:paraId="3EE2CBC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0.536</w:t>
            </w:r>
          </w:p>
        </w:tc>
        <w:tc>
          <w:tcPr>
            <w:tcW w:w="1262" w:type="dxa"/>
          </w:tcPr>
          <w:p w14:paraId="1DAFD4E8"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AcceptH</w:t>
            </w:r>
            <w:r w:rsidRPr="000009AE">
              <w:rPr>
                <w:rFonts w:ascii="Times New Roman" w:eastAsia="Arial" w:hAnsi="Times New Roman" w:hint="default"/>
                <w:vertAlign w:val="subscript"/>
                <w:lang w:val="en"/>
              </w:rPr>
              <w:t>0</w:t>
            </w:r>
          </w:p>
        </w:tc>
        <w:tc>
          <w:tcPr>
            <w:tcW w:w="1603" w:type="dxa"/>
          </w:tcPr>
          <w:p w14:paraId="7D878352"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Not Significant</w:t>
            </w:r>
          </w:p>
        </w:tc>
      </w:tr>
      <w:tr w:rsidR="00633D32" w:rsidRPr="000009AE" w14:paraId="6145BE50" w14:textId="77777777" w:rsidTr="000009AE">
        <w:trPr>
          <w:jc w:val="center"/>
        </w:trPr>
        <w:tc>
          <w:tcPr>
            <w:tcW w:w="1840" w:type="dxa"/>
            <w:vMerge/>
          </w:tcPr>
          <w:p w14:paraId="0D18B93B" w14:textId="77777777" w:rsidR="00633D32" w:rsidRPr="000009AE" w:rsidRDefault="00633D32" w:rsidP="004C1DBB">
            <w:pPr>
              <w:pStyle w:val="msonospacing0"/>
              <w:rPr>
                <w:rFonts w:ascii="Times New Roman" w:hAnsi="Times New Roman" w:hint="default"/>
              </w:rPr>
            </w:pPr>
          </w:p>
        </w:tc>
        <w:tc>
          <w:tcPr>
            <w:tcW w:w="1617" w:type="dxa"/>
          </w:tcPr>
          <w:p w14:paraId="0886BABE" w14:textId="77777777" w:rsidR="00633D32" w:rsidRPr="000009AE" w:rsidRDefault="00633D32" w:rsidP="004C1DBB">
            <w:pPr>
              <w:pStyle w:val="msonospacing0"/>
              <w:rPr>
                <w:rFonts w:ascii="Times New Roman" w:hAnsi="Times New Roman" w:hint="default"/>
              </w:rPr>
            </w:pPr>
          </w:p>
          <w:p w14:paraId="33B6C83E"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Internal Control</w:t>
            </w:r>
          </w:p>
        </w:tc>
        <w:tc>
          <w:tcPr>
            <w:tcW w:w="957" w:type="dxa"/>
          </w:tcPr>
          <w:p w14:paraId="062CB55D" w14:textId="77777777" w:rsidR="00633D32" w:rsidRPr="000009AE" w:rsidRDefault="00633D32" w:rsidP="004C1DBB">
            <w:pPr>
              <w:pStyle w:val="msonospacing0"/>
              <w:jc w:val="center"/>
              <w:rPr>
                <w:rFonts w:ascii="Times New Roman" w:hAnsi="Times New Roman" w:hint="default"/>
              </w:rPr>
            </w:pPr>
          </w:p>
          <w:p w14:paraId="7C366528"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0.539</w:t>
            </w:r>
          </w:p>
        </w:tc>
        <w:tc>
          <w:tcPr>
            <w:tcW w:w="1181" w:type="dxa"/>
          </w:tcPr>
          <w:p w14:paraId="4DD3AE76" w14:textId="77777777" w:rsidR="00633D32" w:rsidRPr="000009AE" w:rsidRDefault="00633D32" w:rsidP="004C1DBB">
            <w:pPr>
              <w:pStyle w:val="msonospacing0"/>
              <w:jc w:val="center"/>
              <w:rPr>
                <w:rFonts w:ascii="Times New Roman" w:hAnsi="Times New Roman" w:hint="default"/>
              </w:rPr>
            </w:pPr>
          </w:p>
          <w:p w14:paraId="4CD8B35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0.349</w:t>
            </w:r>
          </w:p>
        </w:tc>
        <w:tc>
          <w:tcPr>
            <w:tcW w:w="1262" w:type="dxa"/>
          </w:tcPr>
          <w:p w14:paraId="30640B16"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090A0A9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No Significant</w:t>
            </w:r>
          </w:p>
        </w:tc>
      </w:tr>
      <w:tr w:rsidR="00633D32" w:rsidRPr="000009AE" w14:paraId="768A7923" w14:textId="77777777" w:rsidTr="000009AE">
        <w:trPr>
          <w:jc w:val="center"/>
        </w:trPr>
        <w:tc>
          <w:tcPr>
            <w:tcW w:w="1840" w:type="dxa"/>
            <w:vMerge/>
          </w:tcPr>
          <w:p w14:paraId="4BA2F361" w14:textId="77777777" w:rsidR="00633D32" w:rsidRPr="000009AE" w:rsidRDefault="00633D32" w:rsidP="004C1DBB">
            <w:pPr>
              <w:pStyle w:val="msonospacing0"/>
              <w:rPr>
                <w:rFonts w:ascii="Times New Roman" w:hAnsi="Times New Roman" w:hint="default"/>
              </w:rPr>
            </w:pPr>
          </w:p>
        </w:tc>
        <w:tc>
          <w:tcPr>
            <w:tcW w:w="1617" w:type="dxa"/>
          </w:tcPr>
          <w:p w14:paraId="455FB4CB"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Regulation</w:t>
            </w:r>
          </w:p>
        </w:tc>
        <w:tc>
          <w:tcPr>
            <w:tcW w:w="957" w:type="dxa"/>
          </w:tcPr>
          <w:p w14:paraId="03A7A073"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0.882</w:t>
            </w:r>
          </w:p>
        </w:tc>
        <w:tc>
          <w:tcPr>
            <w:tcW w:w="1181" w:type="dxa"/>
          </w:tcPr>
          <w:p w14:paraId="50C300F1"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0.001</w:t>
            </w:r>
          </w:p>
        </w:tc>
        <w:tc>
          <w:tcPr>
            <w:tcW w:w="1262" w:type="dxa"/>
          </w:tcPr>
          <w:p w14:paraId="6407FAFC"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Reject H</w:t>
            </w:r>
            <w:r w:rsidRPr="000009AE">
              <w:rPr>
                <w:rFonts w:ascii="Times New Roman" w:eastAsia="Arial" w:hAnsi="Times New Roman" w:hint="default"/>
                <w:vertAlign w:val="subscript"/>
                <w:lang w:val="en"/>
              </w:rPr>
              <w:t>0</w:t>
            </w:r>
          </w:p>
        </w:tc>
        <w:tc>
          <w:tcPr>
            <w:tcW w:w="1603" w:type="dxa"/>
          </w:tcPr>
          <w:p w14:paraId="213482CB" w14:textId="77777777" w:rsidR="00633D32" w:rsidRPr="000009AE" w:rsidRDefault="00633D32" w:rsidP="004C1DBB">
            <w:pPr>
              <w:pStyle w:val="msonospacing0"/>
              <w:jc w:val="center"/>
              <w:rPr>
                <w:rFonts w:ascii="Times New Roman" w:hAnsi="Times New Roman" w:hint="default"/>
              </w:rPr>
            </w:pPr>
            <w:r w:rsidRPr="000009AE">
              <w:rPr>
                <w:rFonts w:ascii="Times New Roman" w:eastAsia="Arial" w:hAnsi="Times New Roman" w:hint="default"/>
                <w:lang w:val="en"/>
              </w:rPr>
              <w:t>Sig.</w:t>
            </w:r>
          </w:p>
        </w:tc>
      </w:tr>
      <w:tr w:rsidR="00633D32" w:rsidRPr="000009AE" w14:paraId="583BD767" w14:textId="77777777" w:rsidTr="000009AE">
        <w:trPr>
          <w:jc w:val="center"/>
        </w:trPr>
        <w:tc>
          <w:tcPr>
            <w:tcW w:w="1840" w:type="dxa"/>
            <w:vMerge/>
          </w:tcPr>
          <w:p w14:paraId="39563A49" w14:textId="77777777" w:rsidR="00633D32" w:rsidRPr="000009AE" w:rsidRDefault="00633D32" w:rsidP="004C1DBB">
            <w:pPr>
              <w:pStyle w:val="msonospacing0"/>
              <w:rPr>
                <w:rFonts w:ascii="Times New Roman" w:hAnsi="Times New Roman" w:hint="default"/>
              </w:rPr>
            </w:pPr>
          </w:p>
        </w:tc>
        <w:tc>
          <w:tcPr>
            <w:tcW w:w="1617" w:type="dxa"/>
          </w:tcPr>
          <w:p w14:paraId="3C06E50D" w14:textId="77777777" w:rsidR="00633D32" w:rsidRPr="000009AE" w:rsidRDefault="00633D32" w:rsidP="004C1DBB">
            <w:pPr>
              <w:pStyle w:val="msonospacing0"/>
              <w:rPr>
                <w:rFonts w:ascii="Times New Roman" w:hAnsi="Times New Roman" w:hint="default"/>
              </w:rPr>
            </w:pPr>
            <w:r w:rsidRPr="000009AE">
              <w:rPr>
                <w:rFonts w:ascii="Times New Roman" w:hAnsi="Times New Roman" w:hint="default"/>
              </w:rPr>
              <w:t>Ethics and Integrity</w:t>
            </w:r>
          </w:p>
        </w:tc>
        <w:tc>
          <w:tcPr>
            <w:tcW w:w="957" w:type="dxa"/>
          </w:tcPr>
          <w:p w14:paraId="6F8DF817" w14:textId="77777777" w:rsidR="00633D32" w:rsidRPr="000009AE" w:rsidRDefault="00633D32" w:rsidP="004C1DBB">
            <w:pPr>
              <w:pStyle w:val="msonospacing0"/>
              <w:jc w:val="center"/>
              <w:rPr>
                <w:rFonts w:ascii="Times New Roman" w:hAnsi="Times New Roman" w:hint="default"/>
              </w:rPr>
            </w:pPr>
          </w:p>
          <w:p w14:paraId="3473786D"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-0.508</w:t>
            </w:r>
          </w:p>
        </w:tc>
        <w:tc>
          <w:tcPr>
            <w:tcW w:w="1181" w:type="dxa"/>
          </w:tcPr>
          <w:p w14:paraId="4CDFC0FE" w14:textId="77777777" w:rsidR="00633D32" w:rsidRPr="000009AE" w:rsidRDefault="00633D32" w:rsidP="004C1DBB">
            <w:pPr>
              <w:pStyle w:val="msonospacing0"/>
              <w:jc w:val="center"/>
              <w:rPr>
                <w:rFonts w:ascii="Times New Roman" w:hAnsi="Times New Roman" w:hint="default"/>
              </w:rPr>
            </w:pPr>
          </w:p>
          <w:p w14:paraId="3EFBB07B" w14:textId="77777777" w:rsidR="00633D32" w:rsidRPr="000009AE" w:rsidRDefault="00633D32" w:rsidP="004C1DBB">
            <w:pPr>
              <w:pStyle w:val="msonospacing0"/>
              <w:jc w:val="center"/>
              <w:rPr>
                <w:rFonts w:ascii="Times New Roman" w:hAnsi="Times New Roman" w:hint="default"/>
              </w:rPr>
            </w:pPr>
            <w:r w:rsidRPr="000009AE">
              <w:rPr>
                <w:rFonts w:ascii="Times New Roman" w:hAnsi="Times New Roman" w:hint="default"/>
              </w:rPr>
              <w:t>0.383</w:t>
            </w:r>
          </w:p>
        </w:tc>
        <w:tc>
          <w:tcPr>
            <w:tcW w:w="1262" w:type="dxa"/>
          </w:tcPr>
          <w:p w14:paraId="58AE4137"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Accept H</w:t>
            </w:r>
            <w:r w:rsidRPr="000009AE">
              <w:rPr>
                <w:rFonts w:ascii="Times New Roman" w:eastAsia="Arial" w:hAnsi="Times New Roman" w:hint="default"/>
                <w:vertAlign w:val="subscript"/>
                <w:lang w:val="en"/>
              </w:rPr>
              <w:t>0</w:t>
            </w:r>
          </w:p>
        </w:tc>
        <w:tc>
          <w:tcPr>
            <w:tcW w:w="1603" w:type="dxa"/>
          </w:tcPr>
          <w:p w14:paraId="3008AF5A" w14:textId="77777777" w:rsidR="00633D32" w:rsidRPr="000009AE" w:rsidRDefault="00633D32" w:rsidP="004C1DBB">
            <w:pPr>
              <w:pStyle w:val="msonospacing0"/>
              <w:jc w:val="center"/>
              <w:rPr>
                <w:rFonts w:ascii="Times New Roman" w:eastAsia="Arial" w:hAnsi="Times New Roman" w:hint="default"/>
                <w:lang w:val="en"/>
              </w:rPr>
            </w:pPr>
            <w:r w:rsidRPr="000009AE">
              <w:rPr>
                <w:rFonts w:ascii="Times New Roman" w:eastAsia="Arial" w:hAnsi="Times New Roman" w:hint="default"/>
                <w:lang w:val="en"/>
              </w:rPr>
              <w:t>No significant</w:t>
            </w:r>
          </w:p>
        </w:tc>
      </w:tr>
    </w:tbl>
    <w:p w14:paraId="07A728A6" w14:textId="7F80ACD3" w:rsidR="00633D32" w:rsidRPr="00C934A5" w:rsidRDefault="00633D32" w:rsidP="00C51AFF">
      <w:pPr>
        <w:pStyle w:val="NormalWeb"/>
        <w:ind w:firstLine="720"/>
        <w:jc w:val="both"/>
      </w:pPr>
      <w:r w:rsidRPr="00C934A5">
        <w:lastRenderedPageBreak/>
        <w:t xml:space="preserve">It can be observed from the table that a significant relationship was found only for the </w:t>
      </w:r>
      <w:r w:rsidRPr="00C934A5">
        <w:rPr>
          <w:rStyle w:val="Strong"/>
          <w:b w:val="0"/>
          <w:bCs w:val="0"/>
        </w:rPr>
        <w:t>Regulation</w:t>
      </w:r>
      <w:r w:rsidRPr="00C934A5">
        <w:rPr>
          <w:b/>
          <w:bCs/>
        </w:rPr>
        <w:t xml:space="preserve"> </w:t>
      </w:r>
      <w:r w:rsidRPr="00C934A5">
        <w:t xml:space="preserve">indicator, with </w:t>
      </w:r>
      <m:oMath>
        <m:r>
          <w:rPr>
            <w:rFonts w:ascii="Cambria Math" w:hAnsi="Cambria Math"/>
          </w:rPr>
          <m:t>r=0.882</m:t>
        </m:r>
      </m:oMath>
      <w:r w:rsidRPr="00C934A5">
        <w:t xml:space="preserve"> and </w:t>
      </w:r>
      <m:oMath>
        <m:r>
          <w:rPr>
            <w:rFonts w:ascii="Cambria Math" w:hAnsi="Cambria Math"/>
          </w:rPr>
          <m:t>p=0.001</m:t>
        </m:r>
      </m:oMath>
      <w:r w:rsidRPr="00C934A5">
        <w:t xml:space="preserve">, indicating a p-value less than 0.05. This suggests that issues such as delayed remittances and incomplete documentation have a direct impact on the effectiveness of fraud-prevention measures. Meanwhile, the other three indicator: </w:t>
      </w:r>
      <w:r w:rsidRPr="00C934A5">
        <w:rPr>
          <w:rStyle w:val="Strong"/>
          <w:b w:val="0"/>
          <w:bCs w:val="0"/>
        </w:rPr>
        <w:t>Agency Relationship</w:t>
      </w:r>
      <w:r w:rsidRPr="00C934A5">
        <w:t>,</w:t>
      </w:r>
      <w:r w:rsidRPr="00C934A5">
        <w:rPr>
          <w:b/>
          <w:bCs/>
        </w:rPr>
        <w:t xml:space="preserve"> </w:t>
      </w:r>
      <w:r w:rsidRPr="00C934A5">
        <w:rPr>
          <w:rStyle w:val="Strong"/>
          <w:b w:val="0"/>
          <w:bCs w:val="0"/>
        </w:rPr>
        <w:t>Internal Control</w:t>
      </w:r>
      <w:r w:rsidRPr="00C934A5">
        <w:t xml:space="preserve">, and </w:t>
      </w:r>
      <w:r w:rsidRPr="00C934A5">
        <w:rPr>
          <w:rStyle w:val="Strong"/>
          <w:b w:val="0"/>
          <w:bCs w:val="0"/>
        </w:rPr>
        <w:t>Ethics and Integrity</w:t>
      </w:r>
      <w:r w:rsidRPr="00C934A5">
        <w:t>, showed no significant relationship, as their p-values exceeded 0.05. An empirical study supports that regulatory compliance and targeted control mechanisms often showing stronger statistical association rather than internal constructs. These findings explain why only the Regulation indicator showed a statistically significant correlation with fraud-prevention effectiveness, while the other indicators did not.</w:t>
      </w:r>
    </w:p>
    <w:p w14:paraId="6FCF3437" w14:textId="52EE7DB6" w:rsidR="00633D32" w:rsidRPr="00220950" w:rsidRDefault="00D1602F" w:rsidP="00C51AFF">
      <w:pPr>
        <w:pStyle w:val="NormalWeb"/>
        <w:jc w:val="both"/>
        <w:rPr>
          <w:b/>
          <w:bCs/>
          <w:sz w:val="28"/>
          <w:szCs w:val="28"/>
        </w:rPr>
      </w:pPr>
      <w:r w:rsidRPr="00220950">
        <w:rPr>
          <w:b/>
          <w:bCs/>
          <w:sz w:val="28"/>
          <w:szCs w:val="28"/>
        </w:rPr>
        <w:t>F</w:t>
      </w:r>
      <w:r w:rsidR="00220950" w:rsidRPr="00220950">
        <w:rPr>
          <w:b/>
          <w:bCs/>
          <w:sz w:val="28"/>
          <w:szCs w:val="28"/>
        </w:rPr>
        <w:t>INDINGS</w:t>
      </w:r>
    </w:p>
    <w:p w14:paraId="5E3CD924" w14:textId="77777777"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Demographic Profile. </w:t>
      </w:r>
      <w:r w:rsidRPr="00C934A5">
        <w:rPr>
          <w:rFonts w:ascii="Times New Roman" w:hAnsi="Times New Roman" w:cs="Times New Roman"/>
        </w:rPr>
        <w:t>Results showed that the majority of respondents belonged to the 31–40 age group, with an equal representation of males and females. Most were married and were stationed in the Local Government Sector. In terms of length of service, the majority had been in service for 6–10 years, indicating a mid-career professional stage characterized by greater job stability and clearer career progression.</w:t>
      </w:r>
    </w:p>
    <w:p w14:paraId="7813E3A0" w14:textId="77777777" w:rsidR="00D1602F" w:rsidRPr="00C934A5" w:rsidRDefault="00D1602F" w:rsidP="00C51AFF">
      <w:pPr>
        <w:pStyle w:val="ListParagraph"/>
        <w:spacing w:line="240" w:lineRule="auto"/>
        <w:jc w:val="both"/>
        <w:rPr>
          <w:rFonts w:ascii="Times New Roman" w:hAnsi="Times New Roman" w:cs="Times New Roman"/>
        </w:rPr>
      </w:pPr>
    </w:p>
    <w:p w14:paraId="0518AC0B" w14:textId="3E97BD10"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 xml:space="preserve">Existing SOPs. </w:t>
      </w:r>
      <w:r w:rsidRPr="00C934A5">
        <w:rPr>
          <w:rFonts w:ascii="Times New Roman" w:hAnsi="Times New Roman" w:cs="Times New Roman"/>
        </w:rPr>
        <w:t>Among these indicators, Agency Relationship obtained the highest mean, while Regulation recorded the lowest mean. The highest mean suggests that government agencies demonstrate strong compliance in ensuring that personnel designations are supported by written authority. Conversely, the lowest mean indicates that regulatory requirements are less consistently observed and may require further strengthening to improve overall compliance.</w:t>
      </w:r>
    </w:p>
    <w:p w14:paraId="546EC1D9" w14:textId="77777777" w:rsidR="00D1602F" w:rsidRPr="00C934A5" w:rsidRDefault="00D1602F" w:rsidP="00C51AFF">
      <w:pPr>
        <w:pStyle w:val="ListParagraph"/>
        <w:spacing w:line="240" w:lineRule="auto"/>
        <w:jc w:val="both"/>
        <w:rPr>
          <w:rFonts w:ascii="Times New Roman" w:hAnsi="Times New Roman" w:cs="Times New Roman"/>
        </w:rPr>
      </w:pPr>
    </w:p>
    <w:p w14:paraId="45FB4ABB" w14:textId="313496E2" w:rsidR="00D1602F" w:rsidRPr="00C934A5" w:rsidRDefault="00D1602F" w:rsidP="00C51AFF">
      <w:pPr>
        <w:pStyle w:val="ListParagraph"/>
        <w:numPr>
          <w:ilvl w:val="0"/>
          <w:numId w:val="2"/>
        </w:numPr>
        <w:spacing w:line="240" w:lineRule="auto"/>
        <w:jc w:val="both"/>
        <w:rPr>
          <w:rFonts w:ascii="Times New Roman" w:hAnsi="Times New Roman" w:cs="Times New Roman"/>
        </w:rPr>
      </w:pPr>
      <w:r w:rsidRPr="00C934A5">
        <w:rPr>
          <w:rFonts w:ascii="Times New Roman" w:hAnsi="Times New Roman" w:cs="Times New Roman"/>
          <w:b/>
          <w:bCs/>
        </w:rPr>
        <w:t>Level of Enhancement.</w:t>
      </w:r>
      <w:r w:rsidRPr="00C934A5">
        <w:rPr>
          <w:rFonts w:ascii="Times New Roman" w:hAnsi="Times New Roman" w:cs="Times New Roman"/>
        </w:rPr>
        <w:t xml:space="preserve"> Among these, Agency Relationship obtained the highest overall mean, indicating stronger enhancement in the bonding requirements of personnel handling cash and the establishment of clear segregation of duties. On the other hand, Ethics and Integrity recorded the lowest overall mean, suggesting the need for further improvement and greater attention.</w:t>
      </w:r>
    </w:p>
    <w:p w14:paraId="5BF04D19" w14:textId="77777777" w:rsidR="00D1602F" w:rsidRPr="00C934A5" w:rsidRDefault="00D1602F" w:rsidP="00C51AFF">
      <w:pPr>
        <w:pStyle w:val="ListParagraph"/>
        <w:spacing w:line="240" w:lineRule="auto"/>
        <w:jc w:val="both"/>
        <w:rPr>
          <w:rFonts w:ascii="Times New Roman" w:hAnsi="Times New Roman" w:cs="Times New Roman"/>
        </w:rPr>
      </w:pPr>
    </w:p>
    <w:p w14:paraId="4A1327F2" w14:textId="0500C291" w:rsidR="00D1602F"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Significant Relationship between Demographic Profile and Level of Enhancement. </w:t>
      </w:r>
      <w:r w:rsidRPr="00C934A5">
        <w:rPr>
          <w:rFonts w:ascii="Times New Roman" w:hAnsi="Times New Roman" w:cs="Times New Roman"/>
        </w:rPr>
        <w:t>Age, Employed Station, and Years in Service showed a significant influence as evidenced by p-values less than 0.05. In contrast, no significant relationship was observed for Gender and Marital Status, as their p-values were greater than 0.05.</w:t>
      </w:r>
    </w:p>
    <w:p w14:paraId="05B6F846" w14:textId="77777777" w:rsidR="00387B67" w:rsidRPr="00C934A5" w:rsidRDefault="00387B67" w:rsidP="00C51AFF">
      <w:pPr>
        <w:pStyle w:val="ListParagraph"/>
        <w:spacing w:line="240" w:lineRule="auto"/>
        <w:jc w:val="both"/>
        <w:rPr>
          <w:rFonts w:ascii="Times New Roman" w:hAnsi="Times New Roman" w:cs="Times New Roman"/>
          <w:b/>
          <w:bCs/>
        </w:rPr>
      </w:pPr>
    </w:p>
    <w:p w14:paraId="464569A9" w14:textId="77777777" w:rsidR="00387B67" w:rsidRPr="00C934A5"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Common Challenges and Shortcomings. </w:t>
      </w:r>
      <w:r w:rsidRPr="00C934A5">
        <w:rPr>
          <w:rFonts w:ascii="Times New Roman" w:hAnsi="Times New Roman" w:cs="Times New Roman"/>
        </w:rPr>
        <w:t>Respondents agreed that Internal Control, Regulation, and Ethics and Integrity posed challenges; however, Ethics and Integrity obtained the lowest mean.</w:t>
      </w:r>
    </w:p>
    <w:p w14:paraId="6FF34711" w14:textId="77777777" w:rsidR="00387B67" w:rsidRPr="00C934A5" w:rsidRDefault="00387B67" w:rsidP="00C51AFF">
      <w:pPr>
        <w:pStyle w:val="ListParagraph"/>
        <w:spacing w:line="240" w:lineRule="auto"/>
        <w:jc w:val="both"/>
        <w:rPr>
          <w:rFonts w:ascii="Times New Roman" w:hAnsi="Times New Roman" w:cs="Times New Roman"/>
          <w:b/>
          <w:bCs/>
        </w:rPr>
      </w:pPr>
    </w:p>
    <w:p w14:paraId="7EB8C517" w14:textId="41E2D3D4" w:rsidR="009A059E" w:rsidRPr="00C51AFF" w:rsidRDefault="00387B67" w:rsidP="00C51AFF">
      <w:pPr>
        <w:pStyle w:val="ListParagraph"/>
        <w:numPr>
          <w:ilvl w:val="0"/>
          <w:numId w:val="2"/>
        </w:numPr>
        <w:spacing w:line="240" w:lineRule="auto"/>
        <w:jc w:val="both"/>
        <w:rPr>
          <w:rFonts w:ascii="Times New Roman" w:hAnsi="Times New Roman" w:cs="Times New Roman"/>
          <w:b/>
          <w:bCs/>
        </w:rPr>
      </w:pPr>
      <w:r w:rsidRPr="00C934A5">
        <w:rPr>
          <w:rFonts w:ascii="Times New Roman" w:hAnsi="Times New Roman" w:cs="Times New Roman"/>
          <w:b/>
          <w:bCs/>
        </w:rPr>
        <w:t xml:space="preserve">Preventive Measures. It </w:t>
      </w:r>
      <w:r w:rsidRPr="00C934A5">
        <w:rPr>
          <w:rFonts w:ascii="Times New Roman" w:hAnsi="Times New Roman" w:cs="Times New Roman"/>
        </w:rPr>
        <w:t>yielded an overall mean interpreted as “moderately agree” across all three indicators. Respondents placed particular emphasis on Ethics and Integrity, which obtained the lowest overall mean, meanwhile, other indicators suggest that preventive measures have been implemented only to a certain extent, rather than being fully applied.</w:t>
      </w:r>
    </w:p>
    <w:p w14:paraId="4677D87B" w14:textId="090B5A04" w:rsidR="009A059E" w:rsidRPr="005F4595" w:rsidRDefault="009A059E" w:rsidP="00C51AFF">
      <w:pPr>
        <w:spacing w:line="240" w:lineRule="auto"/>
        <w:rPr>
          <w:rFonts w:ascii="Times New Roman" w:hAnsi="Times New Roman" w:cs="Times New Roman"/>
          <w:b/>
          <w:bCs/>
          <w:sz w:val="28"/>
          <w:szCs w:val="28"/>
        </w:rPr>
      </w:pPr>
      <w:r w:rsidRPr="005F4595">
        <w:rPr>
          <w:rFonts w:ascii="Times New Roman" w:hAnsi="Times New Roman" w:cs="Times New Roman"/>
          <w:b/>
          <w:bCs/>
          <w:sz w:val="28"/>
          <w:szCs w:val="28"/>
        </w:rPr>
        <w:t>C</w:t>
      </w:r>
      <w:r w:rsidR="00220950">
        <w:rPr>
          <w:rFonts w:ascii="Times New Roman" w:hAnsi="Times New Roman" w:cs="Times New Roman"/>
          <w:b/>
          <w:bCs/>
          <w:sz w:val="28"/>
          <w:szCs w:val="28"/>
        </w:rPr>
        <w:t>ONCLUSION</w:t>
      </w:r>
    </w:p>
    <w:p w14:paraId="20DA4C88" w14:textId="77777777" w:rsidR="002A60E1" w:rsidRPr="00C934A5" w:rsidRDefault="002A60E1" w:rsidP="00C51AFF">
      <w:pPr>
        <w:pStyle w:val="NormalWeb"/>
        <w:ind w:firstLine="720"/>
        <w:jc w:val="both"/>
      </w:pPr>
      <w:r w:rsidRPr="00C934A5">
        <w:t>The results revealed that the respondents’ demographic profile has a significant influence on their assessment of the enhancement of cash-handling practices within government agencies. In particular, age, employment station, and years of service were found to affect how respondents perceive and evaluate the extent of improvements implemented in their respective agencies. The study further indicates that regulatory challenges have a significant influence on preventive measures; thus, agencies must prioritize strict adherence to COA and DBM guidelines. While the other indicators did not show significant influence, this does not invalidate the study. Instead, it highlights which areas exert the strongest impact and therefore require heightened attention.</w:t>
      </w:r>
    </w:p>
    <w:p w14:paraId="64C9F170" w14:textId="77777777" w:rsidR="000009AE" w:rsidRDefault="000009AE" w:rsidP="00C51AFF">
      <w:pPr>
        <w:pStyle w:val="NormalWeb"/>
        <w:jc w:val="both"/>
        <w:rPr>
          <w:b/>
          <w:bCs/>
          <w:sz w:val="28"/>
          <w:szCs w:val="28"/>
        </w:rPr>
      </w:pPr>
    </w:p>
    <w:p w14:paraId="67A7CEF5" w14:textId="77777777" w:rsidR="000009AE" w:rsidRDefault="000009AE" w:rsidP="00C51AFF">
      <w:pPr>
        <w:pStyle w:val="NormalWeb"/>
        <w:jc w:val="both"/>
        <w:rPr>
          <w:b/>
          <w:bCs/>
          <w:sz w:val="28"/>
          <w:szCs w:val="28"/>
        </w:rPr>
      </w:pPr>
    </w:p>
    <w:p w14:paraId="1EC78214" w14:textId="32404BC7" w:rsidR="002A60E1" w:rsidRPr="005F4595" w:rsidRDefault="002A60E1" w:rsidP="00C51AFF">
      <w:pPr>
        <w:pStyle w:val="NormalWeb"/>
        <w:jc w:val="both"/>
        <w:rPr>
          <w:b/>
          <w:bCs/>
          <w:sz w:val="28"/>
          <w:szCs w:val="28"/>
        </w:rPr>
      </w:pPr>
      <w:r w:rsidRPr="005F4595">
        <w:rPr>
          <w:b/>
          <w:bCs/>
          <w:sz w:val="28"/>
          <w:szCs w:val="28"/>
        </w:rPr>
        <w:lastRenderedPageBreak/>
        <w:t>R</w:t>
      </w:r>
      <w:r w:rsidR="00220950">
        <w:rPr>
          <w:b/>
          <w:bCs/>
          <w:sz w:val="28"/>
          <w:szCs w:val="28"/>
        </w:rPr>
        <w:t>ECOMMENDATION</w:t>
      </w:r>
    </w:p>
    <w:p w14:paraId="470B53C0" w14:textId="407A9274" w:rsidR="007A6A4A" w:rsidRPr="00C934A5" w:rsidRDefault="007A6A4A" w:rsidP="00C51AFF">
      <w:pPr>
        <w:spacing w:line="240" w:lineRule="auto"/>
        <w:ind w:firstLine="720"/>
        <w:jc w:val="both"/>
        <w:rPr>
          <w:rFonts w:ascii="Times New Roman" w:hAnsi="Times New Roman" w:cs="Times New Roman"/>
        </w:rPr>
      </w:pPr>
      <w:r w:rsidRPr="00C934A5">
        <w:rPr>
          <w:rFonts w:ascii="Times New Roman" w:hAnsi="Times New Roman" w:cs="Times New Roman"/>
        </w:rPr>
        <w:t>The recommendations are based on the findings and conclusions of the study and are beneficials to the following groups: Government Employees, Government Agencies, Regulatory Bodies and Oversights, and Future Researcher.</w:t>
      </w:r>
    </w:p>
    <w:p w14:paraId="04F9045C" w14:textId="2668611F" w:rsidR="009A059E"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The </w:t>
      </w:r>
      <w:r w:rsidRPr="00C934A5">
        <w:rPr>
          <w:rFonts w:ascii="Times New Roman" w:hAnsi="Times New Roman" w:cs="Times New Roman"/>
          <w:b/>
          <w:bCs/>
        </w:rPr>
        <w:t>Government Employees</w:t>
      </w:r>
      <w:r w:rsidRPr="00C934A5">
        <w:rPr>
          <w:rFonts w:ascii="Times New Roman" w:hAnsi="Times New Roman" w:cs="Times New Roman"/>
        </w:rPr>
        <w:t xml:space="preserve"> encourage to undergo a regular orientation and capacity-building programs to strengthen their knowledge on policies, procedures and ethical responsibilities.</w:t>
      </w:r>
    </w:p>
    <w:p w14:paraId="4ED288FB" w14:textId="77777777"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As regards to </w:t>
      </w:r>
      <w:r w:rsidRPr="00C934A5">
        <w:rPr>
          <w:rFonts w:ascii="Times New Roman" w:hAnsi="Times New Roman" w:cs="Times New Roman"/>
          <w:b/>
          <w:bCs/>
        </w:rPr>
        <w:t>Government Agencies</w:t>
      </w:r>
      <w:r w:rsidRPr="00C934A5">
        <w:rPr>
          <w:rFonts w:ascii="Times New Roman" w:hAnsi="Times New Roman" w:cs="Times New Roman"/>
        </w:rPr>
        <w:t>, strengthening internal controls is highly encouraged to support effective and transparent operations. Adherence to the guidelines issued by the Commission on Audit (COA) and the Department of Budget and Management (DBM) is likewise promoted to ensure consistency and compliance.</w:t>
      </w:r>
    </w:p>
    <w:p w14:paraId="25574A74" w14:textId="5A21A94B" w:rsidR="007A6A4A" w:rsidRPr="00C934A5" w:rsidRDefault="007A6A4A" w:rsidP="00C51AFF">
      <w:pPr>
        <w:pStyle w:val="ListParagraph"/>
        <w:numPr>
          <w:ilvl w:val="0"/>
          <w:numId w:val="3"/>
        </w:numPr>
        <w:spacing w:line="240" w:lineRule="auto"/>
        <w:jc w:val="both"/>
        <w:rPr>
          <w:rFonts w:ascii="Times New Roman" w:hAnsi="Times New Roman" w:cs="Times New Roman"/>
          <w:b/>
          <w:bCs/>
        </w:rPr>
      </w:pPr>
      <w:r w:rsidRPr="00C934A5">
        <w:rPr>
          <w:rFonts w:ascii="Times New Roman" w:hAnsi="Times New Roman" w:cs="Times New Roman"/>
        </w:rPr>
        <w:t xml:space="preserve">In terms of </w:t>
      </w:r>
      <w:r w:rsidRPr="00C934A5">
        <w:rPr>
          <w:rFonts w:ascii="Times New Roman" w:hAnsi="Times New Roman" w:cs="Times New Roman"/>
          <w:b/>
          <w:bCs/>
        </w:rPr>
        <w:t>Regulatory Bodies and Oversight Agencies</w:t>
      </w:r>
      <w:r w:rsidRPr="00C934A5">
        <w:rPr>
          <w:rFonts w:ascii="Times New Roman" w:hAnsi="Times New Roman" w:cs="Times New Roman"/>
        </w:rPr>
        <w:t xml:space="preserve">, </w:t>
      </w:r>
      <w:r w:rsidR="002B19C8" w:rsidRPr="00C934A5">
        <w:rPr>
          <w:rFonts w:ascii="Times New Roman" w:hAnsi="Times New Roman" w:cs="Times New Roman"/>
        </w:rPr>
        <w:t>enhancing</w:t>
      </w:r>
      <w:r w:rsidRPr="00C934A5">
        <w:rPr>
          <w:rFonts w:ascii="Times New Roman" w:hAnsi="Times New Roman" w:cs="Times New Roman"/>
        </w:rPr>
        <w:t xml:space="preserve"> supervision and verification procedures over financial transactions is likewise recommended, alongside maintaining updated audit trails and comprehensive documentation logs, to help promote greater transparency and accountability.</w:t>
      </w:r>
    </w:p>
    <w:p w14:paraId="08073A5F" w14:textId="77777777" w:rsidR="007A6A4A" w:rsidRPr="00C934A5" w:rsidRDefault="007A6A4A" w:rsidP="00C51AFF">
      <w:pPr>
        <w:pStyle w:val="NormalWeb"/>
        <w:numPr>
          <w:ilvl w:val="0"/>
          <w:numId w:val="3"/>
        </w:numPr>
        <w:jc w:val="both"/>
      </w:pPr>
      <w:r w:rsidRPr="00C934A5">
        <w:t xml:space="preserve">Finally, </w:t>
      </w:r>
      <w:r w:rsidRPr="00C934A5">
        <w:rPr>
          <w:b/>
          <w:bCs/>
        </w:rPr>
        <w:t>Future Researchers</w:t>
      </w:r>
      <w:r w:rsidRPr="00C934A5">
        <w:t xml:space="preserve"> are encouraged to broaden the scope of the study by increasing the sample size, ideally covering a wider area or the entire region, and to consider incorporating qualitative research methods, such as interviews, to gain deeper insights into issues related to fraud and regulatory non-compliance.</w:t>
      </w:r>
    </w:p>
    <w:p w14:paraId="6F5C9313" w14:textId="143BA844" w:rsidR="007A6A4A" w:rsidRPr="005F4595" w:rsidRDefault="007A6A4A" w:rsidP="00C51AFF">
      <w:pPr>
        <w:pStyle w:val="NormalWeb"/>
        <w:jc w:val="both"/>
        <w:rPr>
          <w:b/>
          <w:bCs/>
          <w:sz w:val="28"/>
          <w:szCs w:val="28"/>
        </w:rPr>
      </w:pPr>
      <w:r w:rsidRPr="005F4595">
        <w:rPr>
          <w:b/>
          <w:bCs/>
          <w:sz w:val="28"/>
          <w:szCs w:val="28"/>
        </w:rPr>
        <w:t>R</w:t>
      </w:r>
      <w:r w:rsidR="00220950">
        <w:rPr>
          <w:b/>
          <w:bCs/>
          <w:sz w:val="28"/>
          <w:szCs w:val="28"/>
        </w:rPr>
        <w:t>EFERENCES</w:t>
      </w:r>
    </w:p>
    <w:p w14:paraId="7C3C4352"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Abdia, A., Noor, I., &amp; Rahman, F. (2024). Ethical leadership and public sector performance: mediating role of corporate social responsibility and organizational politics and moderator of social capital. </w:t>
      </w:r>
      <w:r w:rsidRPr="00C934A5">
        <w:rPr>
          <w:rFonts w:ascii="Times New Roman" w:hAnsi="Times New Roman" w:cs="Times New Roman"/>
          <w:i/>
          <w:iCs/>
        </w:rPr>
        <w:t xml:space="preserve">Cogent Business Management 11(1). 2386722. </w:t>
      </w:r>
      <w:r w:rsidRPr="00C934A5">
        <w:rPr>
          <w:rFonts w:ascii="Times New Roman" w:hAnsi="Times New Roman" w:cs="Times New Roman"/>
        </w:rPr>
        <w:t>https://doi.org/10.1080/23311975.2024.2386722</w:t>
      </w:r>
      <w:r w:rsidRPr="00C934A5">
        <w:rPr>
          <w:rFonts w:ascii="Times New Roman" w:hAnsi="Times New Roman" w:cs="Times New Roman"/>
          <w:bCs/>
        </w:rPr>
        <w:tab/>
      </w:r>
    </w:p>
    <w:p w14:paraId="17053E1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Al-Faryan, M. (2024). Agency Theory, corporate governance and corruption: an integrative literature review </w:t>
      </w:r>
      <w:proofErr w:type="spellStart"/>
      <w:proofErr w:type="gramStart"/>
      <w:r w:rsidRPr="00C934A5">
        <w:rPr>
          <w:rFonts w:ascii="Times New Roman" w:hAnsi="Times New Roman" w:cs="Times New Roman"/>
        </w:rPr>
        <w:t>approach.</w:t>
      </w:r>
      <w:r w:rsidRPr="00C934A5">
        <w:rPr>
          <w:rFonts w:ascii="Times New Roman" w:hAnsi="Times New Roman" w:cs="Times New Roman"/>
          <w:i/>
          <w:iCs/>
        </w:rPr>
        <w:t>Cogent</w:t>
      </w:r>
      <w:proofErr w:type="spellEnd"/>
      <w:proofErr w:type="gramEnd"/>
      <w:r w:rsidRPr="00C934A5">
        <w:rPr>
          <w:rFonts w:ascii="Times New Roman" w:hAnsi="Times New Roman" w:cs="Times New Roman"/>
          <w:i/>
          <w:iCs/>
        </w:rPr>
        <w:t xml:space="preserve"> Social Sciences</w:t>
      </w:r>
      <w:r w:rsidRPr="00C934A5">
        <w:rPr>
          <w:rFonts w:ascii="Times New Roman" w:hAnsi="Times New Roman" w:cs="Times New Roman"/>
          <w:bCs/>
        </w:rPr>
        <w:t xml:space="preserve"> </w:t>
      </w:r>
      <w:r w:rsidRPr="00C934A5">
        <w:rPr>
          <w:rFonts w:ascii="Times New Roman" w:hAnsi="Times New Roman" w:cs="Times New Roman"/>
          <w:bCs/>
          <w:i/>
          <w:iCs/>
        </w:rPr>
        <w:t xml:space="preserve">10(1). </w:t>
      </w:r>
      <w:hyperlink r:id="rId7" w:history="1">
        <w:r w:rsidRPr="00C934A5">
          <w:rPr>
            <w:rStyle w:val="Hyperlink"/>
            <w:rFonts w:ascii="Times New Roman" w:hAnsi="Times New Roman" w:cs="Times New Roman"/>
            <w:color w:val="auto"/>
            <w:u w:val="none"/>
          </w:rPr>
          <w:t>https://doi.org/10.1080/23311886.2024.2337893</w:t>
        </w:r>
      </w:hyperlink>
    </w:p>
    <w:p w14:paraId="76CA0DBD"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Alqudah, H., et.al. (2023). Examining the critical factors of internal audit effectiveness from internal auditors’ perspective: Moderating role of extrinsic rewards. </w:t>
      </w:r>
      <w:r w:rsidRPr="00C934A5">
        <w:rPr>
          <w:rFonts w:ascii="Times New Roman" w:hAnsi="Times New Roman" w:cs="Times New Roman"/>
          <w:i/>
          <w:iCs/>
        </w:rPr>
        <w:t xml:space="preserve">A Cell Press Journal 9(10). </w:t>
      </w:r>
      <w:hyperlink r:id="rId8" w:history="1">
        <w:r w:rsidRPr="00C934A5">
          <w:rPr>
            <w:rStyle w:val="Hyperlink"/>
            <w:rFonts w:ascii="Times New Roman" w:hAnsi="Times New Roman" w:cs="Times New Roman"/>
            <w:color w:val="auto"/>
            <w:u w:val="none"/>
          </w:rPr>
          <w:t>https://doi.org/10.1016/j.heliyon.2023.e20497</w:t>
        </w:r>
      </w:hyperlink>
    </w:p>
    <w:p w14:paraId="31F024B6" w14:textId="7B0221E6"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Amparado</w:t>
      </w:r>
      <w:proofErr w:type="spellEnd"/>
      <w:r w:rsidRPr="00C934A5">
        <w:rPr>
          <w:rFonts w:ascii="Times New Roman" w:hAnsi="Times New Roman" w:cs="Times New Roman"/>
        </w:rPr>
        <w:t xml:space="preserve">, B. (2025).  Stewardship, good governance, and ethics: Challenges and opportunities. </w:t>
      </w:r>
      <w:r w:rsidRPr="00C934A5">
        <w:rPr>
          <w:rFonts w:ascii="Times New Roman" w:hAnsi="Times New Roman" w:cs="Times New Roman"/>
          <w:i/>
          <w:iCs/>
        </w:rPr>
        <w:t xml:space="preserve">International Journal of Research and Innovation in Social Science. </w:t>
      </w:r>
      <w:hyperlink r:id="rId9" w:history="1">
        <w:r w:rsidRPr="00C934A5">
          <w:rPr>
            <w:rStyle w:val="Hyperlink"/>
            <w:rFonts w:ascii="Times New Roman" w:hAnsi="Times New Roman" w:cs="Times New Roman"/>
            <w:color w:val="auto"/>
            <w:u w:val="none"/>
          </w:rPr>
          <w:t>https://doi.org/10.47772/IJRISS.2025.909000285</w:t>
        </w:r>
      </w:hyperlink>
    </w:p>
    <w:p w14:paraId="3D865205" w14:textId="413EF8D0"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Ananzeh</w:t>
      </w:r>
      <w:proofErr w:type="spellEnd"/>
      <w:r w:rsidRPr="00C934A5">
        <w:rPr>
          <w:rFonts w:ascii="Times New Roman" w:hAnsi="Times New Roman" w:cs="Times New Roman"/>
        </w:rPr>
        <w:t xml:space="preserve">, H. (2024). The impact of </w:t>
      </w:r>
      <w:proofErr w:type="spellStart"/>
      <w:r w:rsidRPr="00C934A5">
        <w:rPr>
          <w:rFonts w:ascii="Times New Roman" w:hAnsi="Times New Roman" w:cs="Times New Roman"/>
        </w:rPr>
        <w:t>interbal</w:t>
      </w:r>
      <w:proofErr w:type="spellEnd"/>
      <w:r w:rsidRPr="00C934A5">
        <w:rPr>
          <w:rFonts w:ascii="Times New Roman" w:hAnsi="Times New Roman" w:cs="Times New Roman"/>
        </w:rPr>
        <w:t xml:space="preserve"> control of non-financial reporting-related weaknesses on audit fees: does external audit size matter?</w:t>
      </w:r>
      <w:r w:rsidRPr="00C934A5">
        <w:rPr>
          <w:rFonts w:ascii="Times New Roman" w:hAnsi="Times New Roman" w:cs="Times New Roman"/>
          <w:i/>
          <w:iCs/>
        </w:rPr>
        <w:t xml:space="preserve"> Springer Nature Link, 5, Article number 189. </w:t>
      </w:r>
      <w:hyperlink r:id="rId10" w:history="1">
        <w:r w:rsidRPr="00C934A5">
          <w:rPr>
            <w:rStyle w:val="Hyperlink"/>
            <w:rFonts w:ascii="Times New Roman" w:hAnsi="Times New Roman" w:cs="Times New Roman"/>
            <w:color w:val="auto"/>
            <w:u w:val="none"/>
          </w:rPr>
          <w:t>https://doi.org/10.1007/s43621-024-00376-</w:t>
        </w:r>
      </w:hyperlink>
    </w:p>
    <w:p w14:paraId="05C7B4AF"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Aquino, J. (2025). Best practices of high performing higher education institutions in the Philippines towards the development of harmonized quality-assured instructional leadership framework. </w:t>
      </w:r>
      <w:r w:rsidRPr="00C934A5">
        <w:rPr>
          <w:rFonts w:ascii="Times New Roman" w:hAnsi="Times New Roman" w:cs="Times New Roman"/>
          <w:i/>
          <w:iCs/>
        </w:rPr>
        <w:t xml:space="preserve">Frontier Education, 10. </w:t>
      </w:r>
      <w:hyperlink r:id="rId11" w:history="1">
        <w:r w:rsidRPr="00C934A5">
          <w:rPr>
            <w:rStyle w:val="Hyperlink"/>
            <w:rFonts w:ascii="Times New Roman" w:hAnsi="Times New Roman" w:cs="Times New Roman"/>
            <w:color w:val="auto"/>
            <w:u w:val="none"/>
            <w:shd w:val="clear" w:color="auto" w:fill="FFFFFF"/>
          </w:rPr>
          <w:t>https://doi.org/10.3389/feduc.2025.1663289</w:t>
        </w:r>
      </w:hyperlink>
    </w:p>
    <w:p w14:paraId="11A5676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Bongalonta</w:t>
      </w:r>
      <w:proofErr w:type="spellEnd"/>
      <w:r w:rsidRPr="00C934A5">
        <w:rPr>
          <w:rFonts w:ascii="Times New Roman" w:hAnsi="Times New Roman" w:cs="Times New Roman"/>
        </w:rPr>
        <w:t xml:space="preserve">, M., &amp; </w:t>
      </w:r>
      <w:proofErr w:type="spellStart"/>
      <w:r w:rsidRPr="00C934A5">
        <w:rPr>
          <w:rFonts w:ascii="Times New Roman" w:hAnsi="Times New Roman" w:cs="Times New Roman"/>
        </w:rPr>
        <w:t>Bongalonta</w:t>
      </w:r>
      <w:proofErr w:type="spellEnd"/>
      <w:r w:rsidRPr="00C934A5">
        <w:rPr>
          <w:rFonts w:ascii="Times New Roman" w:hAnsi="Times New Roman" w:cs="Times New Roman"/>
        </w:rPr>
        <w:t xml:space="preserve">, </w:t>
      </w:r>
      <w:proofErr w:type="gramStart"/>
      <w:r w:rsidRPr="00C934A5">
        <w:rPr>
          <w:rFonts w:ascii="Times New Roman" w:hAnsi="Times New Roman" w:cs="Times New Roman"/>
        </w:rPr>
        <w:t>M.(</w:t>
      </w:r>
      <w:proofErr w:type="gramEnd"/>
      <w:r w:rsidRPr="00C934A5">
        <w:rPr>
          <w:rFonts w:ascii="Times New Roman" w:hAnsi="Times New Roman" w:cs="Times New Roman"/>
        </w:rPr>
        <w:t xml:space="preserve">2023). Financial Reporting Practices of Non-Profit Organizations (NPOs) in the Municipality of </w:t>
      </w:r>
      <w:proofErr w:type="spellStart"/>
      <w:r w:rsidRPr="00C934A5">
        <w:rPr>
          <w:rFonts w:ascii="Times New Roman" w:hAnsi="Times New Roman" w:cs="Times New Roman"/>
        </w:rPr>
        <w:t>Bulan.</w:t>
      </w:r>
      <w:r w:rsidRPr="00C934A5">
        <w:rPr>
          <w:rFonts w:ascii="Times New Roman" w:hAnsi="Times New Roman" w:cs="Times New Roman"/>
          <w:i/>
          <w:iCs/>
        </w:rPr>
        <w:t>Sorsogon</w:t>
      </w:r>
      <w:proofErr w:type="spellEnd"/>
      <w:r w:rsidRPr="00C934A5">
        <w:rPr>
          <w:rFonts w:ascii="Times New Roman" w:hAnsi="Times New Roman" w:cs="Times New Roman"/>
          <w:i/>
          <w:iCs/>
        </w:rPr>
        <w:t xml:space="preserve"> Multidisciplinary Research Journal, 2(1). </w:t>
      </w:r>
      <w:hyperlink r:id="rId12" w:history="1">
        <w:r w:rsidRPr="00C934A5">
          <w:rPr>
            <w:rStyle w:val="Hyperlink"/>
            <w:rFonts w:ascii="Times New Roman" w:hAnsi="Times New Roman" w:cs="Times New Roman"/>
            <w:color w:val="auto"/>
            <w:u w:val="none"/>
          </w:rPr>
          <w:t>https://mrj.sorsu.edu.ph/index.php/journal/article/view/13</w:t>
        </w:r>
      </w:hyperlink>
    </w:p>
    <w:p w14:paraId="299AEDAA"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Brillantes, </w:t>
      </w:r>
      <w:proofErr w:type="spellStart"/>
      <w:r w:rsidRPr="00C934A5">
        <w:rPr>
          <w:rFonts w:ascii="Times New Roman" w:hAnsi="Times New Roman" w:cs="Times New Roman"/>
        </w:rPr>
        <w:t>Alexo</w:t>
      </w:r>
      <w:proofErr w:type="spellEnd"/>
      <w:r w:rsidRPr="00C934A5">
        <w:rPr>
          <w:rFonts w:ascii="Times New Roman" w:hAnsi="Times New Roman" w:cs="Times New Roman"/>
        </w:rPr>
        <w:t xml:space="preserve"> Bello, et.al. (2024). Open Government and Freedom of Information: The Philippine Experience. </w:t>
      </w:r>
      <w:r w:rsidRPr="00C934A5">
        <w:rPr>
          <w:rFonts w:ascii="Times New Roman" w:hAnsi="Times New Roman" w:cs="Times New Roman"/>
          <w:shd w:val="clear" w:color="auto" w:fill="FFFFFF"/>
        </w:rPr>
        <w:t> </w:t>
      </w:r>
      <w:hyperlink r:id="rId13" w:history="1">
        <w:r w:rsidRPr="00C934A5">
          <w:rPr>
            <w:rStyle w:val="Hyperlink"/>
            <w:rFonts w:ascii="Times New Roman" w:hAnsi="Times New Roman" w:cs="Times New Roman"/>
            <w:color w:val="auto"/>
            <w:u w:val="none"/>
            <w:shd w:val="clear" w:color="auto" w:fill="FFFFFF"/>
          </w:rPr>
          <w:t>https://doi.org/10.1007/978-3-031-35863-0_4</w:t>
        </w:r>
      </w:hyperlink>
    </w:p>
    <w:p w14:paraId="21AA0F11" w14:textId="39895812"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Cagoco</w:t>
      </w:r>
      <w:proofErr w:type="spellEnd"/>
      <w:r w:rsidRPr="00C934A5">
        <w:rPr>
          <w:rFonts w:ascii="Times New Roman" w:hAnsi="Times New Roman" w:cs="Times New Roman"/>
        </w:rPr>
        <w:t xml:space="preserve">, A. (2026). Ethical Climate as a Moderator in the Influence of Internal Control Effectiveness on Treasury Performance among Local Government Units. </w:t>
      </w:r>
      <w:r w:rsidRPr="00C934A5">
        <w:rPr>
          <w:rFonts w:ascii="Times New Roman" w:hAnsi="Times New Roman" w:cs="Times New Roman"/>
          <w:i/>
          <w:iCs/>
        </w:rPr>
        <w:t xml:space="preserve">IJRSI, 13(3). </w:t>
      </w:r>
      <w:hyperlink r:id="rId14" w:history="1">
        <w:r w:rsidRPr="00C934A5">
          <w:rPr>
            <w:rStyle w:val="Hyperlink"/>
            <w:rFonts w:ascii="Times New Roman" w:hAnsi="Times New Roman" w:cs="Times New Roman"/>
            <w:color w:val="auto"/>
            <w:u w:val="none"/>
            <w:shd w:val="clear" w:color="auto" w:fill="F3F4F6"/>
          </w:rPr>
          <w:t>https://doi.org/10.51244/IJRSI.2026.1303000118</w:t>
        </w:r>
      </w:hyperlink>
    </w:p>
    <w:p w14:paraId="64836C53" w14:textId="096D0269"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Casanova, M. (2021). Revisiting the role of gender and marital status as risk factors for nursing home entry. </w:t>
      </w:r>
      <w:r w:rsidRPr="00C934A5">
        <w:rPr>
          <w:rStyle w:val="Emphasis"/>
          <w:rFonts w:ascii="Times New Roman" w:hAnsi="Times New Roman" w:cs="Times New Roman"/>
        </w:rPr>
        <w:t>The Journals of Gerontology: Series B, 76</w:t>
      </w:r>
      <w:r w:rsidRPr="00C934A5">
        <w:rPr>
          <w:rFonts w:ascii="Times New Roman" w:hAnsi="Times New Roman" w:cs="Times New Roman"/>
        </w:rPr>
        <w:t xml:space="preserve">(Suppl_1), S86–S96. </w:t>
      </w:r>
      <w:hyperlink r:id="rId15" w:history="1">
        <w:r w:rsidRPr="00C934A5">
          <w:rPr>
            <w:rStyle w:val="Hyperlink"/>
            <w:rFonts w:ascii="Times New Roman" w:hAnsi="Times New Roman" w:cs="Times New Roman"/>
            <w:color w:val="auto"/>
            <w:u w:val="none"/>
          </w:rPr>
          <w:t>https://doi.org/10.1093/geronb/gbab004</w:t>
        </w:r>
      </w:hyperlink>
    </w:p>
    <w:p w14:paraId="3F45398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Creswell, J.W., &amp; Creswell, J.D. (2022). Research design: Qualitative, quantitative, and mixed methods </w:t>
      </w:r>
      <w:proofErr w:type="gramStart"/>
      <w:r w:rsidRPr="00C934A5">
        <w:rPr>
          <w:rFonts w:ascii="Times New Roman" w:hAnsi="Times New Roman" w:cs="Times New Roman"/>
        </w:rPr>
        <w:t>approaches</w:t>
      </w:r>
      <w:proofErr w:type="gramEnd"/>
      <w:r w:rsidRPr="00C934A5">
        <w:rPr>
          <w:rFonts w:ascii="Times New Roman" w:hAnsi="Times New Roman" w:cs="Times New Roman"/>
        </w:rPr>
        <w:t xml:space="preserve"> (6</w:t>
      </w:r>
      <w:r w:rsidRPr="00C934A5">
        <w:rPr>
          <w:rFonts w:ascii="Times New Roman" w:hAnsi="Times New Roman" w:cs="Times New Roman"/>
          <w:vertAlign w:val="superscript"/>
        </w:rPr>
        <w:t>th</w:t>
      </w:r>
      <w:r w:rsidRPr="00C934A5">
        <w:rPr>
          <w:rFonts w:ascii="Times New Roman" w:hAnsi="Times New Roman" w:cs="Times New Roman"/>
        </w:rPr>
        <w:t xml:space="preserve"> ed.) SAGE Publications, </w:t>
      </w:r>
      <w:proofErr w:type="spellStart"/>
      <w:r w:rsidRPr="00C934A5">
        <w:rPr>
          <w:rFonts w:ascii="Times New Roman" w:hAnsi="Times New Roman" w:cs="Times New Roman"/>
        </w:rPr>
        <w:t>Inc.https</w:t>
      </w:r>
      <w:proofErr w:type="spellEnd"/>
      <w:r w:rsidRPr="00C934A5">
        <w:rPr>
          <w:rFonts w:ascii="Times New Roman" w:hAnsi="Times New Roman" w:cs="Times New Roman"/>
        </w:rPr>
        <w:t>://doi.org/10.3389/fpsyg.2024.1394045</w:t>
      </w:r>
    </w:p>
    <w:p w14:paraId="3509159B"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lastRenderedPageBreak/>
        <w:t>Cubol</w:t>
      </w:r>
      <w:proofErr w:type="spellEnd"/>
      <w:r w:rsidRPr="00C934A5">
        <w:rPr>
          <w:rFonts w:ascii="Times New Roman" w:hAnsi="Times New Roman" w:cs="Times New Roman"/>
        </w:rPr>
        <w:t xml:space="preserve">, L. A. S., </w:t>
      </w:r>
      <w:proofErr w:type="spellStart"/>
      <w:r w:rsidRPr="00C934A5">
        <w:rPr>
          <w:rFonts w:ascii="Times New Roman" w:hAnsi="Times New Roman" w:cs="Times New Roman"/>
        </w:rPr>
        <w:t>Calinga</w:t>
      </w:r>
      <w:proofErr w:type="spellEnd"/>
      <w:r w:rsidRPr="00C934A5">
        <w:rPr>
          <w:rFonts w:ascii="Times New Roman" w:hAnsi="Times New Roman" w:cs="Times New Roman"/>
        </w:rPr>
        <w:t xml:space="preserve">, G. R., Contreras, Q. C., Manalo, D. A., Zamora, A. J. I., &amp; Salazar, K. J. </w:t>
      </w:r>
      <w:proofErr w:type="gramStart"/>
      <w:r w:rsidRPr="00C934A5">
        <w:rPr>
          <w:rFonts w:ascii="Times New Roman" w:hAnsi="Times New Roman" w:cs="Times New Roman"/>
        </w:rPr>
        <w:t>S.(</w:t>
      </w:r>
      <w:proofErr w:type="gramEnd"/>
      <w:r w:rsidRPr="00C934A5">
        <w:rPr>
          <w:rFonts w:ascii="Times New Roman" w:hAnsi="Times New Roman" w:cs="Times New Roman"/>
        </w:rPr>
        <w:t xml:space="preserve">2025). </w:t>
      </w:r>
      <w:r w:rsidRPr="00C934A5">
        <w:rPr>
          <w:rFonts w:ascii="Times New Roman" w:hAnsi="Times New Roman" w:cs="Times New Roman"/>
          <w:i/>
          <w:iCs/>
        </w:rPr>
        <w:t xml:space="preserve">Effect of cash management practices on the profitability of selected restaurants in Tagaytay City, Cavite. </w:t>
      </w:r>
      <w:r w:rsidRPr="00C934A5">
        <w:rPr>
          <w:rFonts w:ascii="Times New Roman" w:hAnsi="Times New Roman" w:cs="Times New Roman"/>
        </w:rPr>
        <w:t xml:space="preserve"> International Journal for Multidisciplinary </w:t>
      </w:r>
      <w:proofErr w:type="spellStart"/>
      <w:r w:rsidRPr="00C934A5">
        <w:rPr>
          <w:rFonts w:ascii="Times New Roman" w:hAnsi="Times New Roman" w:cs="Times New Roman"/>
        </w:rPr>
        <w:t>Researc</w:t>
      </w:r>
      <w:proofErr w:type="spellEnd"/>
      <w:r w:rsidRPr="00C934A5">
        <w:rPr>
          <w:rFonts w:ascii="Times New Roman" w:hAnsi="Times New Roman" w:cs="Times New Roman"/>
        </w:rPr>
        <w:t xml:space="preserve"> (IJMR), 7(4), 1-xx.</w:t>
      </w:r>
    </w:p>
    <w:p w14:paraId="34FEDE76"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Diaz, R., De Leon, C., Vitug, E., &amp; Linsangan, </w:t>
      </w:r>
      <w:proofErr w:type="gramStart"/>
      <w:r w:rsidRPr="00C934A5">
        <w:rPr>
          <w:rFonts w:ascii="Times New Roman" w:hAnsi="Times New Roman" w:cs="Times New Roman"/>
        </w:rPr>
        <w:t>L.(</w:t>
      </w:r>
      <w:proofErr w:type="gramEnd"/>
      <w:r w:rsidRPr="00C934A5">
        <w:rPr>
          <w:rFonts w:ascii="Times New Roman" w:hAnsi="Times New Roman" w:cs="Times New Roman"/>
        </w:rPr>
        <w:t xml:space="preserve">2020). Exploration of Financial Management Operation of Political and Non-Political Student </w:t>
      </w:r>
      <w:proofErr w:type="spellStart"/>
      <w:proofErr w:type="gramStart"/>
      <w:r w:rsidRPr="00C934A5">
        <w:rPr>
          <w:rFonts w:ascii="Times New Roman" w:hAnsi="Times New Roman" w:cs="Times New Roman"/>
        </w:rPr>
        <w:t>Organization:a</w:t>
      </w:r>
      <w:proofErr w:type="spellEnd"/>
      <w:proofErr w:type="gramEnd"/>
      <w:r w:rsidRPr="00C934A5">
        <w:rPr>
          <w:rFonts w:ascii="Times New Roman" w:hAnsi="Times New Roman" w:cs="Times New Roman"/>
        </w:rPr>
        <w:t xml:space="preserve"> Basis for Propose Policy Development. </w:t>
      </w:r>
      <w:r w:rsidRPr="00C934A5">
        <w:rPr>
          <w:rFonts w:ascii="Times New Roman" w:hAnsi="Times New Roman" w:cs="Times New Roman"/>
          <w:i/>
          <w:iCs/>
        </w:rPr>
        <w:t xml:space="preserve">Preprints.org 10. </w:t>
      </w:r>
      <w:hyperlink r:id="rId16" w:history="1">
        <w:r w:rsidRPr="00C934A5">
          <w:rPr>
            <w:rStyle w:val="inline"/>
            <w:rFonts w:ascii="Times New Roman" w:hAnsi="Times New Roman" w:cs="Times New Roman"/>
            <w:shd w:val="clear" w:color="auto" w:fill="F8F9FD"/>
          </w:rPr>
          <w:t>DOI:10.20944/preprints</w:t>
        </w:r>
        <w:proofErr w:type="gramStart"/>
        <w:r w:rsidRPr="00C934A5">
          <w:rPr>
            <w:rStyle w:val="inline"/>
            <w:rFonts w:ascii="Times New Roman" w:hAnsi="Times New Roman" w:cs="Times New Roman"/>
            <w:shd w:val="clear" w:color="auto" w:fill="F8F9FD"/>
          </w:rPr>
          <w:t>202012.0303.v</w:t>
        </w:r>
        <w:proofErr w:type="gramEnd"/>
        <w:r w:rsidRPr="00C934A5">
          <w:rPr>
            <w:rStyle w:val="inline"/>
            <w:rFonts w:ascii="Times New Roman" w:hAnsi="Times New Roman" w:cs="Times New Roman"/>
            <w:shd w:val="clear" w:color="auto" w:fill="F8F9FD"/>
          </w:rPr>
          <w:t>1</w:t>
        </w:r>
      </w:hyperlink>
    </w:p>
    <w:p w14:paraId="3C3D45A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Dina, </w:t>
      </w:r>
      <w:proofErr w:type="spellStart"/>
      <w:r w:rsidRPr="00C934A5">
        <w:rPr>
          <w:rFonts w:ascii="Times New Roman" w:hAnsi="Times New Roman" w:cs="Times New Roman"/>
        </w:rPr>
        <w:t>Delfian</w:t>
      </w:r>
      <w:proofErr w:type="spellEnd"/>
      <w:r w:rsidRPr="00C934A5">
        <w:rPr>
          <w:rFonts w:ascii="Times New Roman" w:hAnsi="Times New Roman" w:cs="Times New Roman"/>
        </w:rPr>
        <w:t xml:space="preserve"> </w:t>
      </w:r>
      <w:proofErr w:type="gramStart"/>
      <w:r w:rsidRPr="00C934A5">
        <w:rPr>
          <w:rFonts w:ascii="Times New Roman" w:hAnsi="Times New Roman" w:cs="Times New Roman"/>
        </w:rPr>
        <w:t>Zaman.(</w:t>
      </w:r>
      <w:proofErr w:type="gramEnd"/>
      <w:r w:rsidRPr="00C934A5">
        <w:rPr>
          <w:rFonts w:ascii="Times New Roman" w:hAnsi="Times New Roman" w:cs="Times New Roman"/>
        </w:rPr>
        <w:t xml:space="preserve">2020). Handling Cash </w:t>
      </w:r>
      <w:proofErr w:type="gramStart"/>
      <w:r w:rsidRPr="00C934A5">
        <w:rPr>
          <w:rFonts w:ascii="Times New Roman" w:hAnsi="Times New Roman" w:cs="Times New Roman"/>
        </w:rPr>
        <w:t>In</w:t>
      </w:r>
      <w:proofErr w:type="gramEnd"/>
      <w:r w:rsidRPr="00C934A5">
        <w:rPr>
          <w:rFonts w:ascii="Times New Roman" w:hAnsi="Times New Roman" w:cs="Times New Roman"/>
        </w:rPr>
        <w:t xml:space="preserve"> and Cash Out on Dimas Mart Supermarket Kampar Agency. </w:t>
      </w:r>
      <w:hyperlink r:id="rId17" w:history="1">
        <w:r w:rsidRPr="00C934A5">
          <w:rPr>
            <w:rStyle w:val="Hyperlink"/>
            <w:rFonts w:ascii="Times New Roman" w:hAnsi="Times New Roman" w:cs="Times New Roman"/>
            <w:color w:val="auto"/>
            <w:u w:val="none"/>
          </w:rPr>
          <w:t>https://www.academia.edu/95946240/Handling_Cash_In_And_Cash_Out_On_Dimas_Mart_Supermarket_Kampar_Regency?sm=b</w:t>
        </w:r>
      </w:hyperlink>
    </w:p>
    <w:p w14:paraId="327F9F0E" w14:textId="301F19CB"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Fauzi, A. et. al. (2022). Public trust, ethic and integrity in the bureaucracy. </w:t>
      </w:r>
      <w:r w:rsidRPr="00C934A5">
        <w:rPr>
          <w:rFonts w:ascii="Times New Roman" w:hAnsi="Times New Roman" w:cs="Times New Roman"/>
          <w:i/>
          <w:iCs/>
        </w:rPr>
        <w:t xml:space="preserve">PPSDP International Journal of Education 1 (2). </w:t>
      </w:r>
      <w:hyperlink r:id="rId18" w:history="1">
        <w:r w:rsidRPr="00C934A5">
          <w:rPr>
            <w:rStyle w:val="Hyperlink"/>
            <w:rFonts w:ascii="Times New Roman" w:hAnsi="Times New Roman" w:cs="Times New Roman"/>
            <w:color w:val="auto"/>
            <w:u w:val="none"/>
          </w:rPr>
          <w:t>https://doi.org/10.59175/pijed.v1i2.16</w:t>
        </w:r>
      </w:hyperlink>
    </w:p>
    <w:p w14:paraId="3B0B1EBF" w14:textId="4CF64CDC"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Fiel-Miranda, J., &amp; Miranda, </w:t>
      </w:r>
      <w:proofErr w:type="gramStart"/>
      <w:r w:rsidRPr="00C934A5">
        <w:rPr>
          <w:rFonts w:ascii="Times New Roman" w:hAnsi="Times New Roman" w:cs="Times New Roman"/>
        </w:rPr>
        <w:t>A.(</w:t>
      </w:r>
      <w:proofErr w:type="gramEnd"/>
      <w:r w:rsidRPr="00C934A5">
        <w:rPr>
          <w:rFonts w:ascii="Times New Roman" w:hAnsi="Times New Roman" w:cs="Times New Roman"/>
        </w:rPr>
        <w:t xml:space="preserve">2021). Assessment on the Cash Management of Primary Cooperatives in Northern Samar, Philippines. </w:t>
      </w:r>
      <w:r w:rsidRPr="00C934A5">
        <w:rPr>
          <w:rFonts w:ascii="Times New Roman" w:hAnsi="Times New Roman" w:cs="Times New Roman"/>
          <w:i/>
          <w:iCs/>
        </w:rPr>
        <w:t xml:space="preserve">International Journal of Managerial Studies and Research, 9(4), PP 66-87. </w:t>
      </w:r>
      <w:hyperlink r:id="rId19" w:history="1">
        <w:r w:rsidRPr="00C934A5">
          <w:rPr>
            <w:rStyle w:val="Hyperlink"/>
            <w:rFonts w:ascii="Times New Roman" w:hAnsi="Times New Roman" w:cs="Times New Roman"/>
            <w:color w:val="auto"/>
            <w:u w:val="none"/>
          </w:rPr>
          <w:t>https://doi.org/10.20431/2349-0349.0904007</w:t>
        </w:r>
      </w:hyperlink>
      <w:r w:rsidRPr="00C934A5">
        <w:rPr>
          <w:rFonts w:ascii="Times New Roman" w:hAnsi="Times New Roman" w:cs="Times New Roman"/>
        </w:rPr>
        <w:t>.</w:t>
      </w:r>
    </w:p>
    <w:p w14:paraId="508EA197"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Garcia, H.R., &amp; Lee, K. J. (2021). Decentralization and staffing patterns in local government units: Evidence from Southeast Asia. </w:t>
      </w:r>
      <w:r w:rsidRPr="00C934A5">
        <w:rPr>
          <w:rFonts w:ascii="Times New Roman" w:hAnsi="Times New Roman" w:cs="Times New Roman"/>
          <w:i/>
          <w:iCs/>
        </w:rPr>
        <w:t>International Journal of Public Administration, 44</w:t>
      </w:r>
      <w:r w:rsidRPr="00C934A5">
        <w:rPr>
          <w:rFonts w:ascii="Times New Roman" w:hAnsi="Times New Roman" w:cs="Times New Roman"/>
        </w:rPr>
        <w:t xml:space="preserve">(10), 845-858. </w:t>
      </w:r>
    </w:p>
    <w:p w14:paraId="719037B1"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Gcabashe</w:t>
      </w:r>
      <w:proofErr w:type="spellEnd"/>
      <w:r w:rsidRPr="00C934A5">
        <w:rPr>
          <w:rFonts w:ascii="Times New Roman" w:hAnsi="Times New Roman" w:cs="Times New Roman"/>
        </w:rPr>
        <w:t xml:space="preserve">, S.W. &amp; Pillay, S. (2025). Promoting financial management in local municipalities through accountability. </w:t>
      </w:r>
      <w:r w:rsidRPr="00C934A5">
        <w:rPr>
          <w:rFonts w:ascii="Times New Roman" w:hAnsi="Times New Roman" w:cs="Times New Roman"/>
          <w:i/>
          <w:iCs/>
        </w:rPr>
        <w:t xml:space="preserve">Journal of Local Government Research and Innovation, 6, </w:t>
      </w:r>
      <w:r w:rsidRPr="00C934A5">
        <w:rPr>
          <w:rFonts w:ascii="Times New Roman" w:hAnsi="Times New Roman" w:cs="Times New Roman"/>
        </w:rPr>
        <w:t>Article a241.</w:t>
      </w:r>
    </w:p>
    <w:p w14:paraId="594A50DC"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Giannopoulus</w:t>
      </w:r>
      <w:proofErr w:type="spellEnd"/>
      <w:r w:rsidRPr="00C934A5">
        <w:rPr>
          <w:rFonts w:ascii="Times New Roman" w:hAnsi="Times New Roman" w:cs="Times New Roman"/>
        </w:rPr>
        <w:t xml:space="preserve">, V. (2025). Determinants of Internal Control System Effectiveness: Evidence from Greek Listed Companies. </w:t>
      </w:r>
      <w:hyperlink r:id="rId20" w:history="1">
        <w:r w:rsidRPr="00C934A5">
          <w:rPr>
            <w:rStyle w:val="Hyperlink"/>
            <w:rFonts w:ascii="Times New Roman" w:hAnsi="Times New Roman" w:cs="Times New Roman"/>
            <w:color w:val="auto"/>
            <w:u w:val="none"/>
          </w:rPr>
          <w:t>https://doi.org/10.3390/risks13110219</w:t>
        </w:r>
      </w:hyperlink>
    </w:p>
    <w:p w14:paraId="2BA79757" w14:textId="32DBEC08"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Grancho</w:t>
      </w:r>
      <w:proofErr w:type="spellEnd"/>
      <w:r w:rsidRPr="00C934A5">
        <w:rPr>
          <w:rFonts w:ascii="Times New Roman" w:hAnsi="Times New Roman" w:cs="Times New Roman"/>
        </w:rPr>
        <w:t xml:space="preserve">, A.G. &amp; </w:t>
      </w:r>
      <w:proofErr w:type="spellStart"/>
      <w:r w:rsidRPr="00C934A5">
        <w:rPr>
          <w:rFonts w:ascii="Times New Roman" w:hAnsi="Times New Roman" w:cs="Times New Roman"/>
        </w:rPr>
        <w:t>Lagura</w:t>
      </w:r>
      <w:proofErr w:type="spellEnd"/>
      <w:r w:rsidRPr="00C934A5">
        <w:rPr>
          <w:rFonts w:ascii="Times New Roman" w:hAnsi="Times New Roman" w:cs="Times New Roman"/>
        </w:rPr>
        <w:t xml:space="preserve">, G. B. (2025). Internal control practices of the provincial government of Davao del Norte.  </w:t>
      </w:r>
      <w:r w:rsidRPr="00C934A5">
        <w:rPr>
          <w:rStyle w:val="Emphasis"/>
          <w:rFonts w:ascii="Times New Roman" w:hAnsi="Times New Roman" w:cs="Times New Roman"/>
        </w:rPr>
        <w:t>International Journal for Multidisciplinary Research</w:t>
      </w:r>
      <w:r w:rsidRPr="00C934A5">
        <w:rPr>
          <w:rFonts w:ascii="Times New Roman" w:hAnsi="Times New Roman" w:cs="Times New Roman"/>
        </w:rPr>
        <w:t xml:space="preserve">, 7(1). </w:t>
      </w:r>
      <w:hyperlink r:id="rId21" w:history="1">
        <w:r w:rsidRPr="00C934A5">
          <w:rPr>
            <w:rStyle w:val="Hyperlink"/>
            <w:rFonts w:ascii="Times New Roman" w:hAnsi="Times New Roman" w:cs="Times New Roman"/>
            <w:color w:val="auto"/>
            <w:u w:val="none"/>
          </w:rPr>
          <w:t>https://doi.org/10.36948/ijfmr.2025.v07i01.37264</w:t>
        </w:r>
      </w:hyperlink>
    </w:p>
    <w:p w14:paraId="616CA884" w14:textId="18036A53"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proofErr w:type="gramStart"/>
      <w:r w:rsidRPr="00C934A5">
        <w:rPr>
          <w:rFonts w:ascii="Times New Roman" w:hAnsi="Times New Roman" w:cs="Times New Roman"/>
        </w:rPr>
        <w:t>Gyimah,A.G</w:t>
      </w:r>
      <w:proofErr w:type="spellEnd"/>
      <w:r w:rsidRPr="00C934A5">
        <w:rPr>
          <w:rFonts w:ascii="Times New Roman" w:hAnsi="Times New Roman" w:cs="Times New Roman"/>
        </w:rPr>
        <w:t>.</w:t>
      </w:r>
      <w:proofErr w:type="gramEnd"/>
      <w:r w:rsidRPr="00C934A5">
        <w:rPr>
          <w:rFonts w:ascii="Times New Roman" w:hAnsi="Times New Roman" w:cs="Times New Roman"/>
        </w:rPr>
        <w:t xml:space="preserve">, Addai, B., &amp; Tetteh, D. D. (2024). </w:t>
      </w:r>
      <w:proofErr w:type="spellStart"/>
      <w:r w:rsidRPr="00C934A5">
        <w:rPr>
          <w:rFonts w:ascii="Times New Roman" w:hAnsi="Times New Roman" w:cs="Times New Roman"/>
        </w:rPr>
        <w:t>mpact</w:t>
      </w:r>
      <w:proofErr w:type="spellEnd"/>
      <w:r w:rsidRPr="00C934A5">
        <w:rPr>
          <w:rFonts w:ascii="Times New Roman" w:hAnsi="Times New Roman" w:cs="Times New Roman"/>
        </w:rPr>
        <w:t xml:space="preserve"> of internal control systems on financial irregularities in local governments: Insights from the developing world. </w:t>
      </w:r>
      <w:r w:rsidRPr="00C934A5">
        <w:rPr>
          <w:rStyle w:val="Emphasis"/>
          <w:rFonts w:ascii="Times New Roman" w:hAnsi="Times New Roman" w:cs="Times New Roman"/>
        </w:rPr>
        <w:t>RISUS – Journal on Innovation and Sustainability, 15</w:t>
      </w:r>
      <w:r w:rsidRPr="00C934A5">
        <w:rPr>
          <w:rFonts w:ascii="Times New Roman" w:hAnsi="Times New Roman" w:cs="Times New Roman"/>
        </w:rPr>
        <w:t xml:space="preserve">(2), 16–32. </w:t>
      </w:r>
      <w:hyperlink r:id="rId22" w:history="1">
        <w:r w:rsidRPr="00C934A5">
          <w:rPr>
            <w:rStyle w:val="Hyperlink"/>
            <w:rFonts w:ascii="Times New Roman" w:hAnsi="Times New Roman" w:cs="Times New Roman"/>
            <w:color w:val="auto"/>
            <w:u w:val="none"/>
          </w:rPr>
          <w:t>https://doi.org/10.23925/2179-3565.2024v15i2p16-32</w:t>
        </w:r>
      </w:hyperlink>
    </w:p>
    <w:p w14:paraId="7F0D2B63"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Hanifa, M., et.al. (2026). </w:t>
      </w:r>
      <w:r w:rsidRPr="00C934A5">
        <w:rPr>
          <w:rFonts w:ascii="Times New Roman" w:hAnsi="Times New Roman" w:cs="Times New Roman"/>
          <w:i/>
          <w:iCs/>
        </w:rPr>
        <w:t>Beyond compliance: A systematic review of ethics, accountability, and transparency in Indonesian Governance.</w:t>
      </w:r>
      <w:r w:rsidRPr="00C934A5">
        <w:rPr>
          <w:rFonts w:ascii="Times New Roman" w:hAnsi="Times New Roman" w:cs="Times New Roman"/>
        </w:rPr>
        <w:t xml:space="preserve"> Vol 10, No. 1. </w:t>
      </w:r>
      <w:r w:rsidRPr="00C934A5">
        <w:rPr>
          <w:rFonts w:ascii="Times New Roman" w:hAnsi="Times New Roman" w:cs="Times New Roman"/>
          <w:shd w:val="clear" w:color="auto" w:fill="FFFFFF"/>
        </w:rPr>
        <w:t>DOI:</w:t>
      </w:r>
      <w:hyperlink r:id="rId23" w:tgtFrame="_blank" w:history="1">
        <w:r w:rsidRPr="00C934A5">
          <w:rPr>
            <w:rStyle w:val="Hyperlink"/>
            <w:rFonts w:ascii="Times New Roman" w:hAnsi="Times New Roman" w:cs="Times New Roman"/>
            <w:color w:val="auto"/>
            <w:u w:val="none"/>
            <w:bdr w:val="none" w:sz="0" w:space="0" w:color="auto" w:frame="1"/>
            <w:shd w:val="clear" w:color="auto" w:fill="FFFFFF"/>
          </w:rPr>
          <w:t>10.30589/</w:t>
        </w:r>
        <w:proofErr w:type="gramStart"/>
        <w:r w:rsidRPr="00C934A5">
          <w:rPr>
            <w:rStyle w:val="Hyperlink"/>
            <w:rFonts w:ascii="Times New Roman" w:hAnsi="Times New Roman" w:cs="Times New Roman"/>
            <w:color w:val="auto"/>
            <w:u w:val="none"/>
            <w:bdr w:val="none" w:sz="0" w:space="0" w:color="auto" w:frame="1"/>
            <w:shd w:val="clear" w:color="auto" w:fill="FFFFFF"/>
          </w:rPr>
          <w:t>pgr.v</w:t>
        </w:r>
        <w:proofErr w:type="gramEnd"/>
        <w:r w:rsidRPr="00C934A5">
          <w:rPr>
            <w:rStyle w:val="Hyperlink"/>
            <w:rFonts w:ascii="Times New Roman" w:hAnsi="Times New Roman" w:cs="Times New Roman"/>
            <w:color w:val="auto"/>
            <w:u w:val="none"/>
            <w:bdr w:val="none" w:sz="0" w:space="0" w:color="auto" w:frame="1"/>
            <w:shd w:val="clear" w:color="auto" w:fill="FFFFFF"/>
          </w:rPr>
          <w:t>10i1.1361</w:t>
        </w:r>
      </w:hyperlink>
    </w:p>
    <w:p w14:paraId="668F8644" w14:textId="77777777"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Hernandez, D. (2021). Deposit Best Practices and the Cash Collections Process. </w:t>
      </w:r>
      <w:hyperlink r:id="rId24" w:history="1">
        <w:r w:rsidRPr="00C934A5">
          <w:rPr>
            <w:rStyle w:val="Hyperlink"/>
            <w:rFonts w:ascii="Times New Roman" w:hAnsi="Times New Roman" w:cs="Times New Roman"/>
            <w:color w:val="auto"/>
            <w:u w:val="none"/>
          </w:rPr>
          <w:t>https://www.tasbo.org/news/deposit-best-practices-and-the-cash-collection-process\</w:t>
        </w:r>
      </w:hyperlink>
    </w:p>
    <w:p w14:paraId="51F187C0" w14:textId="0F7D749F" w:rsidR="006A50E7"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Hoai, N. T. &amp; Nguyen, P. T. (2022). Internal control systems and performance of emerging market firms: The moderating roles of leadership consistency and quality. </w:t>
      </w:r>
      <w:r w:rsidRPr="00C934A5">
        <w:rPr>
          <w:rFonts w:ascii="Times New Roman" w:hAnsi="Times New Roman" w:cs="Times New Roman"/>
          <w:i/>
          <w:iCs/>
        </w:rPr>
        <w:t xml:space="preserve">Sage Open, 12(3), 21582440221123509. </w:t>
      </w:r>
      <w:hyperlink r:id="rId25" w:history="1">
        <w:r w:rsidRPr="00C934A5">
          <w:rPr>
            <w:rStyle w:val="Hyperlink"/>
            <w:rFonts w:ascii="Times New Roman" w:hAnsi="Times New Roman" w:cs="Times New Roman"/>
            <w:color w:val="auto"/>
            <w:u w:val="none"/>
          </w:rPr>
          <w:t>https://doi.org/10.1177/21582440221123509</w:t>
        </w:r>
      </w:hyperlink>
    </w:p>
    <w:p w14:paraId="4C3B82ED" w14:textId="37A8F121"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Igcasama</w:t>
      </w:r>
      <w:proofErr w:type="spellEnd"/>
      <w:r w:rsidRPr="00C934A5">
        <w:rPr>
          <w:rFonts w:ascii="Times New Roman" w:hAnsi="Times New Roman" w:cs="Times New Roman"/>
        </w:rPr>
        <w:t>, G. B. &amp; Villamar, E. (2025). Internal control practice of new and established cooperative.</w:t>
      </w:r>
      <w:r w:rsidRPr="00C934A5">
        <w:rPr>
          <w:rFonts w:ascii="Times New Roman" w:hAnsi="Times New Roman" w:cs="Times New Roman"/>
          <w:i/>
          <w:iCs/>
        </w:rPr>
        <w:t xml:space="preserve"> International Journal of Management Analysis &amp; Insights. </w:t>
      </w:r>
      <w:hyperlink r:id="rId26" w:history="1">
        <w:r w:rsidRPr="00C934A5">
          <w:rPr>
            <w:rStyle w:val="Hyperlink"/>
            <w:rFonts w:ascii="Times New Roman" w:hAnsi="Times New Roman" w:cs="Times New Roman"/>
            <w:color w:val="auto"/>
            <w:u w:val="none"/>
          </w:rPr>
          <w:t>https://doi.org/10.69481/KSVZ5982</w:t>
        </w:r>
      </w:hyperlink>
    </w:p>
    <w:p w14:paraId="658A2A0F"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Jafrin, N., Ghosh, D. &amp; Saif, A.N. M. (2025). Do socio-demographic characteristics affect graduates’ employment status? Discover Sustainability, 6, 53.  </w:t>
      </w:r>
      <w:r w:rsidRPr="00C934A5">
        <w:rPr>
          <w:rFonts w:ascii="Times New Roman" w:hAnsi="Times New Roman" w:cs="Times New Roman"/>
          <w:shd w:val="clear" w:color="auto" w:fill="FFFFFF"/>
        </w:rPr>
        <w:t>DOI: </w:t>
      </w:r>
      <w:hyperlink r:id="rId27" w:tgtFrame="_blank" w:history="1">
        <w:r w:rsidRPr="00C934A5">
          <w:rPr>
            <w:rStyle w:val="Hyperlink"/>
            <w:rFonts w:ascii="Times New Roman" w:hAnsi="Times New Roman" w:cs="Times New Roman"/>
            <w:color w:val="auto"/>
            <w:u w:val="none"/>
            <w:bdr w:val="single" w:sz="2" w:space="0" w:color="D1D1D2" w:frame="1"/>
            <w:shd w:val="clear" w:color="auto" w:fill="FFFFFF"/>
          </w:rPr>
          <w:t>10.1007/s43621-025-00850-5</w:t>
        </w:r>
      </w:hyperlink>
    </w:p>
    <w:p w14:paraId="6E4DF4B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Jamisolamin</w:t>
      </w:r>
      <w:proofErr w:type="spellEnd"/>
      <w:r w:rsidRPr="00C934A5">
        <w:rPr>
          <w:rFonts w:ascii="Times New Roman" w:hAnsi="Times New Roman" w:cs="Times New Roman"/>
        </w:rPr>
        <w:t>, N.M. (2025). Ethical Practices and Perceptions of Organizational Ethics among Employees in a Local Government Institution.</w:t>
      </w:r>
      <w:r w:rsidRPr="00C934A5">
        <w:rPr>
          <w:rFonts w:ascii="Times New Roman" w:hAnsi="Times New Roman" w:cs="Times New Roman"/>
          <w:i/>
          <w:iCs/>
        </w:rPr>
        <w:t xml:space="preserve"> International Journal of Research and Innovation in Social Science, 9(6), 665-673. </w:t>
      </w:r>
      <w:hyperlink r:id="rId28" w:history="1">
        <w:r w:rsidRPr="00C934A5">
          <w:rPr>
            <w:rStyle w:val="Hyperlink"/>
            <w:rFonts w:ascii="Times New Roman" w:hAnsi="Times New Roman" w:cs="Times New Roman"/>
            <w:color w:val="auto"/>
            <w:u w:val="none"/>
          </w:rPr>
          <w:t>https://doi.org/10.47772/IJRISS.2025.90600056</w:t>
        </w:r>
      </w:hyperlink>
    </w:p>
    <w:p w14:paraId="4122731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Jin, Y. (2024). Management risk appetite, internal control and corporate financialization. </w:t>
      </w:r>
      <w:r w:rsidRPr="00C934A5">
        <w:rPr>
          <w:rFonts w:ascii="Times New Roman" w:hAnsi="Times New Roman" w:cs="Times New Roman"/>
          <w:i/>
          <w:iCs/>
        </w:rPr>
        <w:t xml:space="preserve">Finance Research Letters, 63, 105393. </w:t>
      </w:r>
      <w:hyperlink r:id="rId29" w:tgtFrame="_blank" w:tooltip="Persistent link using digital object identifier" w:history="1">
        <w:r w:rsidRPr="00C934A5">
          <w:rPr>
            <w:rStyle w:val="anchor-text"/>
            <w:rFonts w:ascii="Times New Roman" w:hAnsi="Times New Roman" w:cs="Times New Roman"/>
          </w:rPr>
          <w:t>https://doi.org/10.1016/j.frl.2024.105393</w:t>
        </w:r>
      </w:hyperlink>
    </w:p>
    <w:p w14:paraId="4CDF8A16"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Jumawan-</w:t>
      </w:r>
      <w:proofErr w:type="spellStart"/>
      <w:r w:rsidRPr="00C934A5">
        <w:rPr>
          <w:rFonts w:ascii="Times New Roman" w:hAnsi="Times New Roman" w:cs="Times New Roman"/>
        </w:rPr>
        <w:t>Powao</w:t>
      </w:r>
      <w:proofErr w:type="spellEnd"/>
      <w:r w:rsidRPr="00C934A5">
        <w:rPr>
          <w:rFonts w:ascii="Times New Roman" w:hAnsi="Times New Roman" w:cs="Times New Roman"/>
        </w:rPr>
        <w:t xml:space="preserve">, L., et. al. (2024). Family income in relation to budgeting of accounting students in a university. </w:t>
      </w:r>
      <w:r w:rsidRPr="00C934A5">
        <w:rPr>
          <w:rStyle w:val="Emphasis"/>
          <w:rFonts w:ascii="Times New Roman" w:hAnsi="Times New Roman" w:cs="Times New Roman"/>
        </w:rPr>
        <w:t>International Journal of Multidisciplinary Applied Business and Education Research</w:t>
      </w:r>
      <w:r w:rsidRPr="00C934A5">
        <w:rPr>
          <w:rFonts w:ascii="Times New Roman" w:hAnsi="Times New Roman" w:cs="Times New Roman"/>
        </w:rPr>
        <w:t xml:space="preserve">. </w:t>
      </w:r>
      <w:r w:rsidRPr="00C934A5">
        <w:rPr>
          <w:rFonts w:ascii="Times New Roman" w:hAnsi="Times New Roman" w:cs="Times New Roman"/>
          <w:shd w:val="clear" w:color="auto" w:fill="FFFFFF"/>
        </w:rPr>
        <w:t>DOI:</w:t>
      </w:r>
      <w:hyperlink r:id="rId30" w:tgtFrame="_blank" w:history="1">
        <w:r w:rsidRPr="00C934A5">
          <w:rPr>
            <w:rStyle w:val="Hyperlink"/>
            <w:rFonts w:ascii="Times New Roman" w:hAnsi="Times New Roman" w:cs="Times New Roman"/>
            <w:color w:val="auto"/>
            <w:u w:val="none"/>
            <w:bdr w:val="none" w:sz="0" w:space="0" w:color="auto" w:frame="1"/>
            <w:shd w:val="clear" w:color="auto" w:fill="FFFFFF"/>
          </w:rPr>
          <w:t>10.11594/ijmaber.05.08.03</w:t>
        </w:r>
      </w:hyperlink>
    </w:p>
    <w:p w14:paraId="35238920" w14:textId="0AD9AAA2"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Khamzina</w:t>
      </w:r>
      <w:proofErr w:type="spellEnd"/>
      <w:r w:rsidRPr="00C934A5">
        <w:rPr>
          <w:rFonts w:ascii="Times New Roman" w:hAnsi="Times New Roman" w:cs="Times New Roman"/>
        </w:rPr>
        <w:t xml:space="preserve">, Z. et. al. (2022). Institutionalizing integrity: rethinking ethical and cultural standards in Kazakhstan’s civil service. </w:t>
      </w:r>
      <w:r w:rsidRPr="00C934A5">
        <w:rPr>
          <w:rFonts w:ascii="Times New Roman" w:hAnsi="Times New Roman" w:cs="Times New Roman"/>
          <w:i/>
          <w:iCs/>
        </w:rPr>
        <w:t xml:space="preserve">Sec. Comparative Governance 7. </w:t>
      </w:r>
      <w:hyperlink r:id="rId31" w:history="1">
        <w:r w:rsidR="003910C2" w:rsidRPr="00C934A5">
          <w:rPr>
            <w:rStyle w:val="Hyperlink"/>
            <w:rFonts w:ascii="Times New Roman" w:hAnsi="Times New Roman" w:cs="Times New Roman"/>
            <w:color w:val="auto"/>
            <w:u w:val="none"/>
          </w:rPr>
          <w:t>https://doi.org/10.3389/fpos.2025.1573608</w:t>
        </w:r>
      </w:hyperlink>
    </w:p>
    <w:p w14:paraId="25853ED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Kunts, V. &amp; </w:t>
      </w:r>
      <w:proofErr w:type="spellStart"/>
      <w:r w:rsidRPr="00C934A5">
        <w:rPr>
          <w:rFonts w:ascii="Times New Roman" w:hAnsi="Times New Roman" w:cs="Times New Roman"/>
        </w:rPr>
        <w:t>Beugelsdijk</w:t>
      </w:r>
      <w:proofErr w:type="spellEnd"/>
      <w:r w:rsidRPr="00C934A5">
        <w:rPr>
          <w:rFonts w:ascii="Times New Roman" w:hAnsi="Times New Roman" w:cs="Times New Roman"/>
        </w:rPr>
        <w:t xml:space="preserve">, S. (2025). The predictive power of agency theory in multipolar world. </w:t>
      </w:r>
      <w:r w:rsidRPr="00C934A5">
        <w:rPr>
          <w:rFonts w:ascii="Times New Roman" w:hAnsi="Times New Roman" w:cs="Times New Roman"/>
          <w:i/>
          <w:iCs/>
        </w:rPr>
        <w:t xml:space="preserve">International Business Review 35 (1). </w:t>
      </w:r>
      <w:hyperlink r:id="rId32" w:history="1">
        <w:r w:rsidR="003910C2" w:rsidRPr="00C934A5">
          <w:rPr>
            <w:rStyle w:val="Hyperlink"/>
            <w:rFonts w:ascii="Times New Roman" w:hAnsi="Times New Roman" w:cs="Times New Roman"/>
            <w:color w:val="auto"/>
            <w:u w:val="none"/>
          </w:rPr>
          <w:t>https://doi.org/10.1016/j.ibusrev.2025.102526</w:t>
        </w:r>
      </w:hyperlink>
    </w:p>
    <w:p w14:paraId="154CB078" w14:textId="5CA6E99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Larty</w:t>
      </w:r>
      <w:proofErr w:type="spellEnd"/>
      <w:r w:rsidRPr="00C934A5">
        <w:rPr>
          <w:rFonts w:ascii="Times New Roman" w:hAnsi="Times New Roman" w:cs="Times New Roman"/>
        </w:rPr>
        <w:t xml:space="preserve">, P.Y., Kong, Y., Bah, F.B., Santosh, R.J., &amp; </w:t>
      </w:r>
      <w:proofErr w:type="spellStart"/>
      <w:r w:rsidRPr="00C934A5">
        <w:rPr>
          <w:rFonts w:ascii="Times New Roman" w:hAnsi="Times New Roman" w:cs="Times New Roman"/>
        </w:rPr>
        <w:t>Gumah</w:t>
      </w:r>
      <w:proofErr w:type="spellEnd"/>
      <w:r w:rsidRPr="00C934A5">
        <w:rPr>
          <w:rFonts w:ascii="Times New Roman" w:hAnsi="Times New Roman" w:cs="Times New Roman"/>
        </w:rPr>
        <w:t xml:space="preserve">, I.A. (2020). Determinants of internal control compliance in public organizations: Using preventive, detective, corrective and directive controls. </w:t>
      </w:r>
      <w:r w:rsidRPr="00C934A5">
        <w:rPr>
          <w:rStyle w:val="Emphasis"/>
          <w:rFonts w:ascii="Times New Roman" w:hAnsi="Times New Roman" w:cs="Times New Roman"/>
        </w:rPr>
        <w:t>International Journal of Public Administration, 43</w:t>
      </w:r>
      <w:r w:rsidRPr="00C934A5">
        <w:rPr>
          <w:rFonts w:ascii="Times New Roman" w:hAnsi="Times New Roman" w:cs="Times New Roman"/>
        </w:rPr>
        <w:t xml:space="preserve">(8), 711–723. </w:t>
      </w:r>
      <w:hyperlink r:id="rId33" w:history="1">
        <w:r w:rsidR="003910C2" w:rsidRPr="00C934A5">
          <w:rPr>
            <w:rStyle w:val="Hyperlink"/>
            <w:rFonts w:ascii="Times New Roman" w:hAnsi="Times New Roman" w:cs="Times New Roman"/>
            <w:color w:val="auto"/>
            <w:u w:val="none"/>
          </w:rPr>
          <w:t>https://doi.org/10.1080/01900692.2019.1645689</w:t>
        </w:r>
      </w:hyperlink>
    </w:p>
    <w:p w14:paraId="59D9FBA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Lestari, P.A., &amp; Edeh, F. O. (2024). </w:t>
      </w:r>
      <w:r w:rsidRPr="00C934A5">
        <w:rPr>
          <w:rStyle w:val="Emphasis"/>
          <w:rFonts w:ascii="Times New Roman" w:hAnsi="Times New Roman" w:cs="Times New Roman"/>
        </w:rPr>
        <w:t>The impact of regulatory frameworks on fraud detection in auditing</w:t>
      </w:r>
      <w:r w:rsidRPr="00C934A5">
        <w:rPr>
          <w:rFonts w:ascii="Times New Roman" w:hAnsi="Times New Roman" w:cs="Times New Roman"/>
        </w:rPr>
        <w:t xml:space="preserve">. </w:t>
      </w:r>
      <w:proofErr w:type="spellStart"/>
      <w:r w:rsidRPr="00C934A5">
        <w:rPr>
          <w:rFonts w:ascii="Times New Roman" w:hAnsi="Times New Roman" w:cs="Times New Roman"/>
        </w:rPr>
        <w:t>Sinergi</w:t>
      </w:r>
      <w:proofErr w:type="spellEnd"/>
      <w:r w:rsidRPr="00C934A5">
        <w:rPr>
          <w:rFonts w:ascii="Times New Roman" w:hAnsi="Times New Roman" w:cs="Times New Roman"/>
        </w:rPr>
        <w:t xml:space="preserve"> International Journal of Accounting and Taxation, 2(1), 15–26. https://doi.org/10.61194/ijat.v2i1.477 </w:t>
      </w:r>
    </w:p>
    <w:p w14:paraId="4DDB3B4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 X. (2020). The effectiveness of internal control and innovation performance: An intermediary effect based on corporate social responsibility. </w:t>
      </w:r>
      <w:r w:rsidRPr="00C934A5">
        <w:rPr>
          <w:rFonts w:ascii="Times New Roman" w:hAnsi="Times New Roman" w:cs="Times New Roman"/>
          <w:i/>
          <w:iCs/>
        </w:rPr>
        <w:t xml:space="preserve">PLOS ONE, 15(6), E0234506. </w:t>
      </w:r>
      <w:hyperlink r:id="rId34" w:history="1">
        <w:r w:rsidRPr="00C934A5">
          <w:rPr>
            <w:rStyle w:val="Hyperlink"/>
            <w:rFonts w:ascii="Times New Roman" w:hAnsi="Times New Roman" w:cs="Times New Roman"/>
            <w:color w:val="auto"/>
            <w:u w:val="none"/>
          </w:rPr>
          <w:t>https://doi.org/10.1371/journal.pone.0234506</w:t>
        </w:r>
      </w:hyperlink>
    </w:p>
    <w:p w14:paraId="2538B0C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Lisnawati, E. &amp; Apollo, A. (2020). The relationship between internal control, regulation and fraud with risk management as a moderating variable. </w:t>
      </w:r>
      <w:r w:rsidRPr="00C934A5">
        <w:rPr>
          <w:rFonts w:ascii="Times New Roman" w:hAnsi="Times New Roman" w:cs="Times New Roman"/>
          <w:i/>
          <w:iCs/>
        </w:rPr>
        <w:t>DIJEMSS, 1(6).</w:t>
      </w:r>
      <w:r w:rsidRPr="00C934A5">
        <w:rPr>
          <w:rFonts w:ascii="Times New Roman" w:hAnsi="Times New Roman" w:cs="Times New Roman"/>
        </w:rPr>
        <w:t xml:space="preserve"> </w:t>
      </w:r>
      <w:hyperlink r:id="rId35" w:history="1">
        <w:r w:rsidRPr="00C934A5">
          <w:rPr>
            <w:rStyle w:val="Hyperlink"/>
            <w:rFonts w:ascii="Times New Roman" w:hAnsi="Times New Roman" w:cs="Times New Roman"/>
            <w:color w:val="auto"/>
            <w:u w:val="none"/>
            <w:shd w:val="clear" w:color="auto" w:fill="FFFFFF"/>
          </w:rPr>
          <w:t>https://doi.org/10.31933/dijemss.v1i6.472</w:t>
        </w:r>
      </w:hyperlink>
    </w:p>
    <w:p w14:paraId="62ABA8D8" w14:textId="7E3EC363"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Lombardi, </w:t>
      </w:r>
      <w:proofErr w:type="gramStart"/>
      <w:r w:rsidRPr="00C934A5">
        <w:rPr>
          <w:rFonts w:ascii="Times New Roman" w:hAnsi="Times New Roman" w:cs="Times New Roman"/>
        </w:rPr>
        <w:t>A.(</w:t>
      </w:r>
      <w:proofErr w:type="gramEnd"/>
      <w:r w:rsidRPr="00C934A5">
        <w:rPr>
          <w:rFonts w:ascii="Times New Roman" w:hAnsi="Times New Roman" w:cs="Times New Roman"/>
        </w:rPr>
        <w:t xml:space="preserve">2024). What Is a Cash Handling Problem and How Can I Avoid It? </w:t>
      </w:r>
      <w:hyperlink r:id="rId36" w:history="1">
        <w:r w:rsidR="003910C2" w:rsidRPr="00C934A5">
          <w:rPr>
            <w:rStyle w:val="Hyperlink"/>
            <w:rFonts w:ascii="Times New Roman" w:hAnsi="Times New Roman" w:cs="Times New Roman"/>
            <w:color w:val="auto"/>
            <w:u w:val="none"/>
          </w:rPr>
          <w:t>https://www.cashtechcurrency.com/blog/what-is-a-cash-handling-problem-and-how-can-i-avoid-it</w:t>
        </w:r>
      </w:hyperlink>
    </w:p>
    <w:p w14:paraId="05270FD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Miller, S., Moore, F., &amp; Eden, L. (2024). Ethics and international business research: considerations and best practices. </w:t>
      </w:r>
      <w:r w:rsidRPr="00C934A5">
        <w:rPr>
          <w:rFonts w:ascii="Times New Roman" w:hAnsi="Times New Roman" w:cs="Times New Roman"/>
          <w:i/>
          <w:iCs/>
        </w:rPr>
        <w:t xml:space="preserve">International Business Review, 33(1), 102207. </w:t>
      </w:r>
      <w:hyperlink r:id="rId37" w:tgtFrame="_blank" w:tooltip="Persistent link using digital object identifier" w:history="1">
        <w:r w:rsidRPr="00C934A5">
          <w:rPr>
            <w:rStyle w:val="anchor-text"/>
            <w:rFonts w:ascii="Times New Roman" w:hAnsi="Times New Roman" w:cs="Times New Roman"/>
          </w:rPr>
          <w:t>https://doi.org/10.1016/j.ibusrev.2023.102207</w:t>
        </w:r>
      </w:hyperlink>
      <w:r w:rsidRPr="00C934A5">
        <w:rPr>
          <w:rFonts w:ascii="Times New Roman" w:hAnsi="Times New Roman" w:cs="Times New Roman"/>
        </w:rPr>
        <w:t xml:space="preserve"> </w:t>
      </w:r>
    </w:p>
    <w:p w14:paraId="1E408CC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Kurniawan, A.</w:t>
      </w:r>
      <w:proofErr w:type="gramStart"/>
      <w:r w:rsidRPr="00C934A5">
        <w:rPr>
          <w:rFonts w:ascii="Times New Roman" w:hAnsi="Times New Roman" w:cs="Times New Roman"/>
        </w:rPr>
        <w:t xml:space="preserve">,  </w:t>
      </w:r>
      <w:proofErr w:type="spellStart"/>
      <w:r w:rsidRPr="00C934A5">
        <w:rPr>
          <w:rFonts w:ascii="Times New Roman" w:hAnsi="Times New Roman" w:cs="Times New Roman"/>
        </w:rPr>
        <w:t>Haliah</w:t>
      </w:r>
      <w:proofErr w:type="spellEnd"/>
      <w:proofErr w:type="gramEnd"/>
      <w:r w:rsidRPr="00C934A5">
        <w:rPr>
          <w:rFonts w:ascii="Times New Roman" w:hAnsi="Times New Roman" w:cs="Times New Roman"/>
        </w:rPr>
        <w:t xml:space="preserve">, H., &amp; </w:t>
      </w:r>
      <w:proofErr w:type="spellStart"/>
      <w:r w:rsidRPr="00C934A5">
        <w:rPr>
          <w:rFonts w:ascii="Times New Roman" w:hAnsi="Times New Roman" w:cs="Times New Roman"/>
        </w:rPr>
        <w:t>Kusumawati</w:t>
      </w:r>
      <w:proofErr w:type="spellEnd"/>
      <w:r w:rsidRPr="00C934A5">
        <w:rPr>
          <w:rFonts w:ascii="Times New Roman" w:hAnsi="Times New Roman" w:cs="Times New Roman"/>
        </w:rPr>
        <w:t xml:space="preserve">, A. (2024). Internal control analysis and fraud prevention efforts in public sector accounting. </w:t>
      </w:r>
      <w:r w:rsidRPr="00C934A5">
        <w:rPr>
          <w:rStyle w:val="Emphasis"/>
          <w:rFonts w:ascii="Times New Roman" w:hAnsi="Times New Roman" w:cs="Times New Roman"/>
        </w:rPr>
        <w:t>East Asian Journal of Multidisciplinary Research, 3</w:t>
      </w:r>
      <w:r w:rsidRPr="00C934A5">
        <w:rPr>
          <w:rFonts w:ascii="Times New Roman" w:hAnsi="Times New Roman" w:cs="Times New Roman"/>
        </w:rPr>
        <w:t xml:space="preserve">(11). </w:t>
      </w:r>
      <w:hyperlink r:id="rId38" w:history="1">
        <w:r w:rsidR="003910C2" w:rsidRPr="00C934A5">
          <w:rPr>
            <w:rStyle w:val="Hyperlink"/>
            <w:rFonts w:ascii="Times New Roman" w:hAnsi="Times New Roman" w:cs="Times New Roman"/>
            <w:color w:val="auto"/>
            <w:u w:val="none"/>
          </w:rPr>
          <w:t>https://doi.org/10.55927/eajmr.v3i11.11809</w:t>
        </w:r>
      </w:hyperlink>
    </w:p>
    <w:p w14:paraId="1B76D47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Oelrich, </w:t>
      </w:r>
      <w:proofErr w:type="gramStart"/>
      <w:r w:rsidRPr="00C934A5">
        <w:rPr>
          <w:rFonts w:ascii="Times New Roman" w:hAnsi="Times New Roman" w:cs="Times New Roman"/>
        </w:rPr>
        <w:t>S.,&amp;</w:t>
      </w:r>
      <w:proofErr w:type="spellStart"/>
      <w:proofErr w:type="gramEnd"/>
      <w:r w:rsidRPr="00C934A5">
        <w:rPr>
          <w:rFonts w:ascii="Times New Roman" w:hAnsi="Times New Roman" w:cs="Times New Roman"/>
        </w:rPr>
        <w:t>Chwolka</w:t>
      </w:r>
      <w:proofErr w:type="spellEnd"/>
      <w:r w:rsidRPr="00C934A5">
        <w:rPr>
          <w:rFonts w:ascii="Times New Roman" w:hAnsi="Times New Roman" w:cs="Times New Roman"/>
        </w:rPr>
        <w:t xml:space="preserve">, A. (2024). </w:t>
      </w:r>
      <w:r w:rsidRPr="00C934A5">
        <w:rPr>
          <w:rStyle w:val="Emphasis"/>
          <w:rFonts w:ascii="Times New Roman" w:hAnsi="Times New Roman" w:cs="Times New Roman"/>
        </w:rPr>
        <w:t>When deviants talk: The role of Dark Triad traits and moral reasoning in whistleblowing</w:t>
      </w:r>
      <w:r w:rsidRPr="00C934A5">
        <w:rPr>
          <w:rFonts w:ascii="Times New Roman" w:hAnsi="Times New Roman" w:cs="Times New Roman"/>
        </w:rPr>
        <w:t xml:space="preserve">. Journal of Management Control. </w:t>
      </w:r>
      <w:hyperlink r:id="rId39" w:history="1">
        <w:r w:rsidRPr="00C934A5">
          <w:rPr>
            <w:rStyle w:val="Hyperlink"/>
            <w:rFonts w:ascii="Times New Roman" w:hAnsi="Times New Roman" w:cs="Times New Roman"/>
            <w:color w:val="auto"/>
            <w:u w:val="none"/>
          </w:rPr>
          <w:t>https://doi.org/10.1007/s00187-024-00379-0</w:t>
        </w:r>
      </w:hyperlink>
    </w:p>
    <w:p w14:paraId="24F861E9"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Onyango, K.J. (2025). Re-examining agency theory in analyzing conflict of interest in cash transfer’s influence on entrepreneurs’ welfare: theoretical review and emerging research agenda. </w:t>
      </w:r>
      <w:r w:rsidRPr="00C934A5">
        <w:rPr>
          <w:rFonts w:ascii="Times New Roman" w:hAnsi="Times New Roman" w:cs="Times New Roman"/>
          <w:i/>
          <w:iCs/>
        </w:rPr>
        <w:t xml:space="preserve">Cogent Business &amp; Management 12(1). </w:t>
      </w:r>
      <w:hyperlink r:id="rId40" w:history="1">
        <w:r w:rsidRPr="00C934A5">
          <w:rPr>
            <w:rStyle w:val="Hyperlink"/>
            <w:rFonts w:ascii="Times New Roman" w:hAnsi="Times New Roman" w:cs="Times New Roman"/>
            <w:color w:val="auto"/>
            <w:u w:val="none"/>
          </w:rPr>
          <w:t>https://doi.org/10.1080/23311975.2025.2597076</w:t>
        </w:r>
      </w:hyperlink>
    </w:p>
    <w:p w14:paraId="5340E1C9" w14:textId="6B14621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Orencia, A. J. (2023). Exploring the Role of Internal Audit: A Qualitative Study of Institutions in the Philippines. </w:t>
      </w:r>
      <w:r w:rsidRPr="00C934A5">
        <w:rPr>
          <w:rFonts w:ascii="Times New Roman" w:hAnsi="Times New Roman" w:cs="Times New Roman"/>
          <w:i/>
          <w:iCs/>
        </w:rPr>
        <w:t xml:space="preserve">International Journal of Multidisciplinary Applied Business and Education Research, 4(11), 3814-3821. </w:t>
      </w:r>
      <w:hyperlink r:id="rId41" w:history="1">
        <w:r w:rsidR="003910C2" w:rsidRPr="00C934A5">
          <w:rPr>
            <w:rStyle w:val="Hyperlink"/>
            <w:rFonts w:ascii="Times New Roman" w:hAnsi="Times New Roman" w:cs="Times New Roman"/>
            <w:color w:val="auto"/>
            <w:u w:val="none"/>
          </w:rPr>
          <w:t>https://doi.org/10.11594/ijmaber.04.11.03</w:t>
        </w:r>
      </w:hyperlink>
    </w:p>
    <w:p w14:paraId="4D1D40B4" w14:textId="77777777" w:rsidR="003910C2" w:rsidRPr="00C934A5" w:rsidRDefault="006A50E7" w:rsidP="00C51AFF">
      <w:pPr>
        <w:pStyle w:val="ListParagraph"/>
        <w:numPr>
          <w:ilvl w:val="0"/>
          <w:numId w:val="4"/>
        </w:numPr>
        <w:spacing w:line="240" w:lineRule="auto"/>
        <w:jc w:val="both"/>
        <w:rPr>
          <w:rStyle w:val="Hyperlink"/>
          <w:rFonts w:ascii="Times New Roman" w:hAnsi="Times New Roman" w:cs="Times New Roman"/>
          <w:color w:val="auto"/>
          <w:u w:val="none"/>
        </w:rPr>
      </w:pPr>
      <w:r w:rsidRPr="00C934A5">
        <w:rPr>
          <w:rFonts w:ascii="Times New Roman" w:hAnsi="Times New Roman" w:cs="Times New Roman"/>
        </w:rPr>
        <w:t xml:space="preserve">Redjo, P. &amp; Aksa, A. (2025). The Influence of Internal Control and individual morality on accounting fraud in the regional asset and finance agency of Timor Tengah Utara District. </w:t>
      </w:r>
      <w:proofErr w:type="spellStart"/>
      <w:r w:rsidRPr="00C934A5">
        <w:rPr>
          <w:rFonts w:ascii="Times New Roman" w:hAnsi="Times New Roman" w:cs="Times New Roman"/>
          <w:i/>
          <w:iCs/>
        </w:rPr>
        <w:t>Jurnal</w:t>
      </w:r>
      <w:proofErr w:type="spellEnd"/>
      <w:r w:rsidRPr="00C934A5">
        <w:rPr>
          <w:rFonts w:ascii="Times New Roman" w:hAnsi="Times New Roman" w:cs="Times New Roman"/>
          <w:i/>
          <w:iCs/>
        </w:rPr>
        <w:t xml:space="preserve"> </w:t>
      </w:r>
      <w:proofErr w:type="spellStart"/>
      <w:r w:rsidRPr="00C934A5">
        <w:rPr>
          <w:rFonts w:ascii="Times New Roman" w:hAnsi="Times New Roman" w:cs="Times New Roman"/>
          <w:i/>
          <w:iCs/>
        </w:rPr>
        <w:t>Akuntansi</w:t>
      </w:r>
      <w:proofErr w:type="spellEnd"/>
      <w:r w:rsidRPr="00C934A5">
        <w:rPr>
          <w:rFonts w:ascii="Times New Roman" w:hAnsi="Times New Roman" w:cs="Times New Roman"/>
          <w:i/>
          <w:iCs/>
        </w:rPr>
        <w:t xml:space="preserve"> 19(1). </w:t>
      </w:r>
      <w:hyperlink r:id="rId42" w:history="1">
        <w:r w:rsidRPr="00C934A5">
          <w:rPr>
            <w:rStyle w:val="Hyperlink"/>
            <w:rFonts w:ascii="Times New Roman" w:hAnsi="Times New Roman" w:cs="Times New Roman"/>
            <w:color w:val="auto"/>
            <w:u w:val="none"/>
            <w:shd w:val="clear" w:color="auto" w:fill="FFFFFF"/>
          </w:rPr>
          <w:t>https://doi.org/10.25170/jak.v19i1.6437</w:t>
        </w:r>
      </w:hyperlink>
      <w:r w:rsidRPr="00C934A5">
        <w:rPr>
          <w:rStyle w:val="Hyperlink"/>
          <w:rFonts w:ascii="Times New Roman" w:hAnsi="Times New Roman" w:cs="Times New Roman"/>
          <w:color w:val="auto"/>
          <w:u w:val="none"/>
        </w:rPr>
        <w:t xml:space="preserve"> </w:t>
      </w:r>
    </w:p>
    <w:p w14:paraId="605927E3"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Ryan, J. (2022). Putting Integrity at the core of how public </w:t>
      </w:r>
      <w:proofErr w:type="spellStart"/>
      <w:r w:rsidRPr="00C934A5">
        <w:rPr>
          <w:rFonts w:ascii="Times New Roman" w:hAnsi="Times New Roman" w:cs="Times New Roman"/>
        </w:rPr>
        <w:t>organisations</w:t>
      </w:r>
      <w:proofErr w:type="spellEnd"/>
      <w:r w:rsidRPr="00C934A5">
        <w:rPr>
          <w:rFonts w:ascii="Times New Roman" w:hAnsi="Times New Roman" w:cs="Times New Roman"/>
        </w:rPr>
        <w:t xml:space="preserve"> operate. </w:t>
      </w:r>
      <w:hyperlink r:id="rId43" w:history="1">
        <w:r w:rsidRPr="00C934A5">
          <w:rPr>
            <w:rStyle w:val="Hyperlink"/>
            <w:rFonts w:ascii="Times New Roman" w:hAnsi="Times New Roman" w:cs="Times New Roman"/>
            <w:color w:val="auto"/>
            <w:u w:val="none"/>
          </w:rPr>
          <w:t>https://oag.parliament.nz/good-practice/integrity/integrity-framework/docs/integrity-framework.pdf</w:t>
        </w:r>
      </w:hyperlink>
    </w:p>
    <w:p w14:paraId="2DF39688"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Sajari</w:t>
      </w:r>
      <w:proofErr w:type="spellEnd"/>
      <w:r w:rsidRPr="00C934A5">
        <w:rPr>
          <w:rFonts w:ascii="Times New Roman" w:hAnsi="Times New Roman" w:cs="Times New Roman"/>
        </w:rPr>
        <w:t xml:space="preserve">, A. et. al. (2022). Factors influencing the level of ethics and integrity in Malaysian public sector. </w:t>
      </w:r>
      <w:r w:rsidRPr="00C934A5">
        <w:rPr>
          <w:rFonts w:ascii="Times New Roman" w:hAnsi="Times New Roman" w:cs="Times New Roman"/>
          <w:i/>
          <w:iCs/>
        </w:rPr>
        <w:t xml:space="preserve">Journal of Islamic Accounting and Business Research 14(1). </w:t>
      </w:r>
      <w:hyperlink r:id="rId44" w:tgtFrame="_blank" w:history="1">
        <w:r w:rsidRPr="00C934A5">
          <w:rPr>
            <w:rStyle w:val="Hyperlink"/>
            <w:rFonts w:ascii="Times New Roman" w:hAnsi="Times New Roman" w:cs="Times New Roman"/>
            <w:color w:val="auto"/>
            <w:u w:val="none"/>
            <w:bdr w:val="none" w:sz="0" w:space="0" w:color="auto" w:frame="1"/>
            <w:shd w:val="clear" w:color="auto" w:fill="F7F7F7"/>
          </w:rPr>
          <w:t>https://doi.org/10.1108/JIABR-09-2021-0256</w:t>
        </w:r>
      </w:hyperlink>
    </w:p>
    <w:p w14:paraId="5659EF0B"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Samuel, O. O., &amp; Rufus, A. I. (2024). Transparency and accountability concerns in the Nigerian public sector. </w:t>
      </w:r>
      <w:r w:rsidRPr="00C934A5">
        <w:rPr>
          <w:rStyle w:val="Emphasis"/>
          <w:rFonts w:ascii="Times New Roman" w:hAnsi="Times New Roman" w:cs="Times New Roman"/>
        </w:rPr>
        <w:t>International Journal of Research and Innovation in Social Science, 7</w:t>
      </w:r>
      <w:r w:rsidRPr="00C934A5">
        <w:rPr>
          <w:rFonts w:ascii="Times New Roman" w:hAnsi="Times New Roman" w:cs="Times New Roman"/>
        </w:rPr>
        <w:t xml:space="preserve">(8), 2406–2416. </w:t>
      </w:r>
      <w:hyperlink r:id="rId45" w:history="1">
        <w:r w:rsidRPr="00C934A5">
          <w:rPr>
            <w:rStyle w:val="Hyperlink"/>
            <w:rFonts w:ascii="Times New Roman" w:hAnsi="Times New Roman" w:cs="Times New Roman"/>
            <w:color w:val="auto"/>
            <w:u w:val="none"/>
          </w:rPr>
          <w:t>https://doi.org/10.47772/IJRISS.2024.806181</w:t>
        </w:r>
      </w:hyperlink>
    </w:p>
    <w:p w14:paraId="2D4ABE27"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Satia, R. (2024). Restoring Public Trust through Ethical Leaderhsip and Accountability Frameworks in Governance. </w:t>
      </w:r>
      <w:r w:rsidRPr="00C934A5">
        <w:rPr>
          <w:rStyle w:val="Emphasis"/>
          <w:rFonts w:ascii="Times New Roman" w:hAnsi="Times New Roman" w:cs="Times New Roman"/>
        </w:rPr>
        <w:t>Politeia Journal, 2</w:t>
      </w:r>
      <w:r w:rsidRPr="00C934A5">
        <w:rPr>
          <w:rFonts w:ascii="Times New Roman" w:hAnsi="Times New Roman" w:cs="Times New Roman"/>
        </w:rPr>
        <w:t xml:space="preserve">(3). </w:t>
      </w:r>
      <w:hyperlink r:id="rId46" w:tgtFrame="_new" w:history="1">
        <w:r w:rsidRPr="00C934A5">
          <w:rPr>
            <w:rStyle w:val="Hyperlink"/>
            <w:rFonts w:ascii="Times New Roman" w:hAnsi="Times New Roman" w:cs="Times New Roman"/>
            <w:color w:val="auto"/>
            <w:u w:val="none"/>
          </w:rPr>
          <w:t>https://doi.org/10.61978/politeia.v2i3.963</w:t>
        </w:r>
      </w:hyperlink>
    </w:p>
    <w:p w14:paraId="6D06CEEC"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Sidauruk</w:t>
      </w:r>
      <w:proofErr w:type="spellEnd"/>
      <w:r w:rsidRPr="00C934A5">
        <w:rPr>
          <w:rFonts w:ascii="Times New Roman" w:hAnsi="Times New Roman" w:cs="Times New Roman"/>
        </w:rPr>
        <w:t xml:space="preserve">, D. L. (2024). </w:t>
      </w:r>
      <w:r w:rsidRPr="00C934A5">
        <w:rPr>
          <w:rFonts w:ascii="Times New Roman" w:hAnsi="Times New Roman" w:cs="Times New Roman"/>
          <w:i/>
          <w:iCs/>
        </w:rPr>
        <w:t xml:space="preserve">Data Analysis in Fraud Prevention and Detection by Government Internal Supervisory Apparatuses at Ministries/Institutions/Local Governments. </w:t>
      </w:r>
      <w:r w:rsidRPr="00C934A5">
        <w:rPr>
          <w:rFonts w:ascii="Times New Roman" w:hAnsi="Times New Roman" w:cs="Times New Roman"/>
        </w:rPr>
        <w:t xml:space="preserve">Asia Pacific Fraud Journal, 9(2), 241–260. </w:t>
      </w:r>
      <w:hyperlink r:id="rId47" w:tgtFrame="_new" w:history="1">
        <w:r w:rsidRPr="00C934A5">
          <w:rPr>
            <w:rStyle w:val="Hyperlink"/>
            <w:rFonts w:ascii="Times New Roman" w:hAnsi="Times New Roman" w:cs="Times New Roman"/>
            <w:color w:val="auto"/>
            <w:u w:val="none"/>
          </w:rPr>
          <w:t>https://doi.org/10.21532/apfjournal.v9i2.340</w:t>
        </w:r>
      </w:hyperlink>
    </w:p>
    <w:p w14:paraId="24D7D58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Suriaga</w:t>
      </w:r>
      <w:proofErr w:type="spellEnd"/>
      <w:r w:rsidRPr="00C934A5">
        <w:rPr>
          <w:rFonts w:ascii="Times New Roman" w:hAnsi="Times New Roman" w:cs="Times New Roman"/>
        </w:rPr>
        <w:t xml:space="preserve">, B. (2023). Assessing the nexus between ethical leadership and governance in the Philippines public sector: a case study of state universities and colleges (SUCs) in Zamboanga City. </w:t>
      </w:r>
      <w:r w:rsidRPr="00C934A5">
        <w:rPr>
          <w:rFonts w:ascii="Times New Roman" w:hAnsi="Times New Roman" w:cs="Times New Roman"/>
          <w:i/>
          <w:iCs/>
        </w:rPr>
        <w:t xml:space="preserve">Educational Administration: Theory and Practices, 29(4). </w:t>
      </w:r>
      <w:hyperlink r:id="rId48" w:history="1">
        <w:r w:rsidRPr="00C934A5">
          <w:rPr>
            <w:rStyle w:val="Hyperlink"/>
            <w:rFonts w:ascii="Times New Roman" w:hAnsi="Times New Roman" w:cs="Times New Roman"/>
            <w:color w:val="auto"/>
            <w:u w:val="none"/>
            <w:shd w:val="clear" w:color="auto" w:fill="FFFFFF"/>
          </w:rPr>
          <w:t>https://doi.org/10.53555/kuey.v29i4.7937</w:t>
        </w:r>
      </w:hyperlink>
    </w:p>
    <w:p w14:paraId="4F224C07" w14:textId="672CCFD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Taguinod, J.R. (2025). Strengthening Financial Performance: The role of Internal control systems in micro and small enterprises. </w:t>
      </w:r>
      <w:r w:rsidRPr="00C934A5">
        <w:rPr>
          <w:rFonts w:ascii="Times New Roman" w:hAnsi="Times New Roman" w:cs="Times New Roman"/>
          <w:i/>
          <w:iCs/>
        </w:rPr>
        <w:t xml:space="preserve"> International Journal of Research and Innovation in Social Science. </w:t>
      </w:r>
      <w:hyperlink r:id="rId49" w:history="1">
        <w:r w:rsidR="003910C2" w:rsidRPr="00C934A5">
          <w:rPr>
            <w:rStyle w:val="Hyperlink"/>
            <w:rFonts w:ascii="Times New Roman" w:hAnsi="Times New Roman" w:cs="Times New Roman"/>
            <w:color w:val="auto"/>
            <w:u w:val="none"/>
          </w:rPr>
          <w:t>https://doi.org/10.47772/IJRISS.2025.9020245</w:t>
        </w:r>
      </w:hyperlink>
    </w:p>
    <w:p w14:paraId="387F0C30"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Tan, J. &amp; Lum, C. (2025). Governance through digital platforms: A study of the effectiveness of e-participation on policy transparency in the Philippines. </w:t>
      </w:r>
      <w:r w:rsidRPr="00C934A5">
        <w:rPr>
          <w:rFonts w:ascii="Times New Roman" w:hAnsi="Times New Roman" w:cs="Times New Roman"/>
          <w:i/>
          <w:iCs/>
        </w:rPr>
        <w:t xml:space="preserve">Asian Digital Governance Problems, 2(2). </w:t>
      </w:r>
      <w:hyperlink r:id="rId50" w:history="1">
        <w:r w:rsidRPr="00C934A5">
          <w:rPr>
            <w:rStyle w:val="Hyperlink"/>
            <w:rFonts w:ascii="Times New Roman" w:hAnsi="Times New Roman" w:cs="Times New Roman"/>
            <w:color w:val="auto"/>
            <w:u w:val="none"/>
            <w:shd w:val="clear" w:color="auto" w:fill="FFFFFF"/>
          </w:rPr>
          <w:t>https://doi.org/10.71435/685957</w:t>
        </w:r>
      </w:hyperlink>
    </w:p>
    <w:p w14:paraId="421DE8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Tapi, L.M.C., Couto, G., Pimentel, P. &amp; Castanho, R.A. (2022). Internal control and its application in public management: A literature review. </w:t>
      </w:r>
      <w:r w:rsidRPr="00C934A5">
        <w:rPr>
          <w:rStyle w:val="Emphasis"/>
          <w:rFonts w:ascii="Times New Roman" w:hAnsi="Times New Roman" w:cs="Times New Roman"/>
        </w:rPr>
        <w:t>WSEAS Transactions on Business and Economics, 19</w:t>
      </w:r>
      <w:r w:rsidRPr="00C934A5">
        <w:rPr>
          <w:rFonts w:ascii="Times New Roman" w:hAnsi="Times New Roman" w:cs="Times New Roman"/>
        </w:rPr>
        <w:t xml:space="preserve">, 326–337. </w:t>
      </w:r>
      <w:hyperlink r:id="rId51" w:history="1">
        <w:r w:rsidRPr="00C934A5">
          <w:rPr>
            <w:rStyle w:val="Hyperlink"/>
            <w:rFonts w:ascii="Times New Roman" w:hAnsi="Times New Roman" w:cs="Times New Roman"/>
            <w:color w:val="auto"/>
            <w:u w:val="none"/>
          </w:rPr>
          <w:t>https://doi.org/10.37394/23207.2022.19.29</w:t>
        </w:r>
      </w:hyperlink>
    </w:p>
    <w:p w14:paraId="37C19932"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Tran, T. &amp; Nguyen, A. (2023). Impact of accounting information systems on corporate performance: An application of agency theory. </w:t>
      </w:r>
      <w:r w:rsidRPr="00C934A5">
        <w:rPr>
          <w:rFonts w:ascii="Times New Roman" w:hAnsi="Times New Roman" w:cs="Times New Roman"/>
          <w:i/>
          <w:iCs/>
        </w:rPr>
        <w:t xml:space="preserve">Issues of the Journal 7(3). </w:t>
      </w:r>
      <w:hyperlink r:id="rId52" w:history="1">
        <w:r w:rsidRPr="00C934A5">
          <w:rPr>
            <w:rStyle w:val="Hyperlink"/>
            <w:rFonts w:ascii="Times New Roman" w:hAnsi="Times New Roman" w:cs="Times New Roman"/>
            <w:color w:val="auto"/>
            <w:u w:val="none"/>
          </w:rPr>
          <w:t>https://doi.org/10.22495/cgobrv7i3sip17</w:t>
        </w:r>
      </w:hyperlink>
    </w:p>
    <w:p w14:paraId="176D49BF" w14:textId="41CFF4BA"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lastRenderedPageBreak/>
        <w:t xml:space="preserve">Trung, N. &amp; McMillan, D. (2021). The relationship between internal control and credit risk-the case of commercial banks in Vietnam. </w:t>
      </w:r>
      <w:r w:rsidRPr="00C934A5">
        <w:rPr>
          <w:rFonts w:ascii="Times New Roman" w:hAnsi="Times New Roman" w:cs="Times New Roman"/>
          <w:i/>
          <w:iCs/>
        </w:rPr>
        <w:t>Cogent Business &amp; Management, 8(1).</w:t>
      </w:r>
      <w:r w:rsidRPr="00C934A5">
        <w:rPr>
          <w:rFonts w:ascii="Times New Roman" w:hAnsi="Times New Roman" w:cs="Times New Roman"/>
        </w:rPr>
        <w:t xml:space="preserve"> </w:t>
      </w:r>
      <w:hyperlink r:id="rId53" w:history="1">
        <w:r w:rsidR="003910C2" w:rsidRPr="00C934A5">
          <w:rPr>
            <w:rStyle w:val="Hyperlink"/>
            <w:rFonts w:ascii="Times New Roman" w:hAnsi="Times New Roman" w:cs="Times New Roman"/>
            <w:color w:val="auto"/>
            <w:u w:val="none"/>
          </w:rPr>
          <w:t>https://doi.org/10.1080/23311975.2021.1908760</w:t>
        </w:r>
      </w:hyperlink>
    </w:p>
    <w:p w14:paraId="5FD84B74" w14:textId="7F5AC1AC"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Van, V., et.al. (2021). Trends in national-level governance and implementation of the Philippines’ responsible parenthood and reproductive health law from 2014 to 2020. </w:t>
      </w:r>
      <w:r w:rsidRPr="00C934A5">
        <w:rPr>
          <w:rFonts w:ascii="Times New Roman" w:hAnsi="Times New Roman" w:cs="Times New Roman"/>
          <w:i/>
          <w:iCs/>
        </w:rPr>
        <w:t xml:space="preserve">Global health: Science and Practice, 9(3): 548-564. </w:t>
      </w:r>
      <w:hyperlink r:id="rId54" w:history="1">
        <w:r w:rsidR="003910C2" w:rsidRPr="00C934A5">
          <w:rPr>
            <w:rStyle w:val="Hyperlink"/>
            <w:rFonts w:ascii="Times New Roman" w:hAnsi="Times New Roman" w:cs="Times New Roman"/>
            <w:color w:val="auto"/>
            <w:u w:val="none"/>
            <w:shd w:val="clear" w:color="auto" w:fill="FFFFFF"/>
          </w:rPr>
          <w:t>https://doi.org/10.9745/GHSP-D-21-00184</w:t>
        </w:r>
      </w:hyperlink>
    </w:p>
    <w:p w14:paraId="39E1A3BA" w14:textId="77777777"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 xml:space="preserve">Wook, I, et. al. (2022). Ethics and Integrity in a Public Sector </w:t>
      </w:r>
      <w:proofErr w:type="spellStart"/>
      <w:r w:rsidRPr="00C934A5">
        <w:rPr>
          <w:rFonts w:ascii="Times New Roman" w:hAnsi="Times New Roman" w:cs="Times New Roman"/>
        </w:rPr>
        <w:t>Organisation</w:t>
      </w:r>
      <w:proofErr w:type="spellEnd"/>
      <w:r w:rsidRPr="00C934A5">
        <w:rPr>
          <w:rFonts w:ascii="Times New Roman" w:hAnsi="Times New Roman" w:cs="Times New Roman"/>
        </w:rPr>
        <w:t xml:space="preserve"> in Malaysia: An assessment of understanding and perception of the employees. </w:t>
      </w:r>
      <w:r w:rsidRPr="00C934A5">
        <w:rPr>
          <w:rFonts w:ascii="Times New Roman" w:hAnsi="Times New Roman" w:cs="Times New Roman"/>
          <w:i/>
          <w:iCs/>
        </w:rPr>
        <w:t xml:space="preserve">Journal of Governance and Integrity 5(3). </w:t>
      </w:r>
      <w:hyperlink r:id="rId55" w:history="1">
        <w:r w:rsidRPr="00C934A5">
          <w:rPr>
            <w:rStyle w:val="Hyperlink"/>
            <w:rFonts w:ascii="Times New Roman" w:hAnsi="Times New Roman" w:cs="Times New Roman"/>
            <w:color w:val="auto"/>
            <w:u w:val="none"/>
          </w:rPr>
          <w:t>https://doi.org/10.15282/jgi.5.3.2022.7442</w:t>
        </w:r>
      </w:hyperlink>
    </w:p>
    <w:p w14:paraId="3BF26972" w14:textId="4B9E17A0" w:rsidR="003910C2" w:rsidRPr="00C934A5" w:rsidRDefault="006A50E7" w:rsidP="00C51AFF">
      <w:pPr>
        <w:pStyle w:val="ListParagraph"/>
        <w:numPr>
          <w:ilvl w:val="0"/>
          <w:numId w:val="4"/>
        </w:numPr>
        <w:spacing w:line="240" w:lineRule="auto"/>
        <w:jc w:val="both"/>
        <w:rPr>
          <w:rFonts w:ascii="Times New Roman" w:hAnsi="Times New Roman" w:cs="Times New Roman"/>
        </w:rPr>
      </w:pPr>
      <w:r w:rsidRPr="00C934A5">
        <w:rPr>
          <w:rFonts w:ascii="Times New Roman" w:hAnsi="Times New Roman" w:cs="Times New Roman"/>
        </w:rPr>
        <w:t>Zhang, J., et. al. (2020). Internal control, risk management, and cash holdings.</w:t>
      </w:r>
      <w:r w:rsidRPr="00C934A5">
        <w:rPr>
          <w:rFonts w:ascii="Times New Roman" w:hAnsi="Times New Roman" w:cs="Times New Roman"/>
          <w:i/>
          <w:iCs/>
        </w:rPr>
        <w:t xml:space="preserve"> Journal of Corporate Finance 64. </w:t>
      </w:r>
      <w:hyperlink r:id="rId56" w:history="1">
        <w:r w:rsidR="003910C2" w:rsidRPr="00C934A5">
          <w:rPr>
            <w:rStyle w:val="Hyperlink"/>
            <w:rFonts w:ascii="Times New Roman" w:hAnsi="Times New Roman" w:cs="Times New Roman"/>
            <w:color w:val="auto"/>
            <w:u w:val="none"/>
          </w:rPr>
          <w:t>https://doi.org/10.1016/j.jcorpfin.2020.101695</w:t>
        </w:r>
      </w:hyperlink>
    </w:p>
    <w:p w14:paraId="1CE35DD7" w14:textId="7EE896E9" w:rsidR="006A50E7" w:rsidRPr="00C934A5" w:rsidRDefault="006A50E7" w:rsidP="00C51AFF">
      <w:pPr>
        <w:pStyle w:val="ListParagraph"/>
        <w:numPr>
          <w:ilvl w:val="0"/>
          <w:numId w:val="4"/>
        </w:numPr>
        <w:spacing w:line="240" w:lineRule="auto"/>
        <w:jc w:val="both"/>
        <w:rPr>
          <w:rFonts w:ascii="Times New Roman" w:hAnsi="Times New Roman" w:cs="Times New Roman"/>
        </w:rPr>
      </w:pPr>
      <w:proofErr w:type="spellStart"/>
      <w:r w:rsidRPr="00C934A5">
        <w:rPr>
          <w:rFonts w:ascii="Times New Roman" w:hAnsi="Times New Roman" w:cs="Times New Roman"/>
        </w:rPr>
        <w:t>Zulkiffly</w:t>
      </w:r>
      <w:proofErr w:type="spellEnd"/>
      <w:r w:rsidRPr="00C934A5">
        <w:rPr>
          <w:rFonts w:ascii="Times New Roman" w:hAnsi="Times New Roman" w:cs="Times New Roman"/>
        </w:rPr>
        <w:t xml:space="preserve">, N., Nazri, S., &amp; </w:t>
      </w:r>
      <w:proofErr w:type="spellStart"/>
      <w:r w:rsidRPr="00C934A5">
        <w:rPr>
          <w:rFonts w:ascii="Times New Roman" w:hAnsi="Times New Roman" w:cs="Times New Roman"/>
        </w:rPr>
        <w:t>Zolkafil</w:t>
      </w:r>
      <w:proofErr w:type="spellEnd"/>
      <w:r w:rsidRPr="00C934A5">
        <w:rPr>
          <w:rFonts w:ascii="Times New Roman" w:hAnsi="Times New Roman" w:cs="Times New Roman"/>
        </w:rPr>
        <w:t xml:space="preserve">, S. (2025). The quantitative approach of corporate ethical culture in reducing corporate fraud. </w:t>
      </w:r>
      <w:r w:rsidRPr="00C934A5">
        <w:rPr>
          <w:rFonts w:ascii="Times New Roman" w:hAnsi="Times New Roman" w:cs="Times New Roman"/>
          <w:i/>
          <w:iCs/>
        </w:rPr>
        <w:t xml:space="preserve">IJRSI 12(9), Page No. 2636-2653. </w:t>
      </w:r>
      <w:r w:rsidRPr="00C934A5">
        <w:rPr>
          <w:rFonts w:ascii="Times New Roman" w:hAnsi="Times New Roman" w:cs="Times New Roman"/>
        </w:rPr>
        <w:t>https://doi.org/10.51244/IJRSI.2025.120800232</w:t>
      </w:r>
    </w:p>
    <w:p w14:paraId="5993B8C7" w14:textId="77777777" w:rsidR="006A50E7" w:rsidRPr="00C934A5" w:rsidRDefault="006A50E7" w:rsidP="006A50E7">
      <w:pPr>
        <w:rPr>
          <w:rFonts w:ascii="Times New Roman" w:hAnsi="Times New Roman" w:cs="Times New Roman"/>
          <w:b/>
          <w:bCs/>
        </w:rPr>
      </w:pPr>
    </w:p>
    <w:p w14:paraId="5AC120B3" w14:textId="16DE834D" w:rsidR="0055073A" w:rsidRPr="00C05958" w:rsidRDefault="0055073A" w:rsidP="00C85044">
      <w:pPr>
        <w:jc w:val="both"/>
        <w:rPr>
          <w:rFonts w:ascii="Times New Roman" w:hAnsi="Times New Roman" w:cs="Times New Roman"/>
        </w:rPr>
      </w:pPr>
    </w:p>
    <w:sectPr w:rsidR="0055073A" w:rsidRPr="00C05958" w:rsidSect="006831C1">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B838" w14:textId="77777777" w:rsidR="001E0423" w:rsidRDefault="001E0423" w:rsidP="006831C1">
      <w:pPr>
        <w:spacing w:after="0" w:line="240" w:lineRule="auto"/>
      </w:pPr>
      <w:r>
        <w:separator/>
      </w:r>
    </w:p>
  </w:endnote>
  <w:endnote w:type="continuationSeparator" w:id="0">
    <w:p w14:paraId="3B829A7D" w14:textId="77777777" w:rsidR="001E0423" w:rsidRDefault="001E0423" w:rsidP="0068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E2B0" w14:textId="77777777" w:rsidR="001E0423" w:rsidRDefault="001E0423" w:rsidP="006831C1">
      <w:pPr>
        <w:spacing w:after="0" w:line="240" w:lineRule="auto"/>
      </w:pPr>
      <w:r>
        <w:separator/>
      </w:r>
    </w:p>
  </w:footnote>
  <w:footnote w:type="continuationSeparator" w:id="0">
    <w:p w14:paraId="45D85E1B" w14:textId="77777777" w:rsidR="001E0423" w:rsidRDefault="001E0423" w:rsidP="00683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27D1"/>
    <w:multiLevelType w:val="hybridMultilevel"/>
    <w:tmpl w:val="D69A74FA"/>
    <w:lvl w:ilvl="0" w:tplc="AB044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F2597"/>
    <w:multiLevelType w:val="hybridMultilevel"/>
    <w:tmpl w:val="FCD4F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30EDC"/>
    <w:multiLevelType w:val="hybridMultilevel"/>
    <w:tmpl w:val="9A60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EB38FB"/>
    <w:multiLevelType w:val="hybridMultilevel"/>
    <w:tmpl w:val="39C2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613974">
    <w:abstractNumId w:val="1"/>
  </w:num>
  <w:num w:numId="2" w16cid:durableId="1683704765">
    <w:abstractNumId w:val="0"/>
  </w:num>
  <w:num w:numId="3" w16cid:durableId="576789747">
    <w:abstractNumId w:val="2"/>
  </w:num>
  <w:num w:numId="4" w16cid:durableId="19841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MbM0tLAwNDQxNjVV0lEKTi0uzszPAykwrQUAmRoxPywAAAA="/>
  </w:docVars>
  <w:rsids>
    <w:rsidRoot w:val="002B367B"/>
    <w:rsid w:val="000009AE"/>
    <w:rsid w:val="00043D89"/>
    <w:rsid w:val="00094BA1"/>
    <w:rsid w:val="00117248"/>
    <w:rsid w:val="00133872"/>
    <w:rsid w:val="001E0423"/>
    <w:rsid w:val="001E2EFE"/>
    <w:rsid w:val="00220950"/>
    <w:rsid w:val="00235DFB"/>
    <w:rsid w:val="00244284"/>
    <w:rsid w:val="002A5A5E"/>
    <w:rsid w:val="002A60E1"/>
    <w:rsid w:val="002A69F2"/>
    <w:rsid w:val="002A716F"/>
    <w:rsid w:val="002B0445"/>
    <w:rsid w:val="002B19C8"/>
    <w:rsid w:val="002B367B"/>
    <w:rsid w:val="003311AA"/>
    <w:rsid w:val="00333B67"/>
    <w:rsid w:val="00340C77"/>
    <w:rsid w:val="00387B67"/>
    <w:rsid w:val="003910C2"/>
    <w:rsid w:val="003C6A1E"/>
    <w:rsid w:val="003F7398"/>
    <w:rsid w:val="00435DD9"/>
    <w:rsid w:val="00546EDB"/>
    <w:rsid w:val="0055073A"/>
    <w:rsid w:val="00554991"/>
    <w:rsid w:val="005F4595"/>
    <w:rsid w:val="00633D32"/>
    <w:rsid w:val="006554A5"/>
    <w:rsid w:val="00673EDD"/>
    <w:rsid w:val="006831C1"/>
    <w:rsid w:val="0069541D"/>
    <w:rsid w:val="006A50E7"/>
    <w:rsid w:val="006B3FAA"/>
    <w:rsid w:val="006C5D1E"/>
    <w:rsid w:val="007A6A4A"/>
    <w:rsid w:val="007B4F7B"/>
    <w:rsid w:val="007E6406"/>
    <w:rsid w:val="008B42BB"/>
    <w:rsid w:val="008D15AA"/>
    <w:rsid w:val="009710B1"/>
    <w:rsid w:val="009A059E"/>
    <w:rsid w:val="00A12078"/>
    <w:rsid w:val="00A82596"/>
    <w:rsid w:val="00B16DE6"/>
    <w:rsid w:val="00C004DB"/>
    <w:rsid w:val="00C05958"/>
    <w:rsid w:val="00C51AFF"/>
    <w:rsid w:val="00C85044"/>
    <w:rsid w:val="00C91774"/>
    <w:rsid w:val="00C934A5"/>
    <w:rsid w:val="00D1602F"/>
    <w:rsid w:val="00D554A6"/>
    <w:rsid w:val="00DA5C21"/>
    <w:rsid w:val="00E53D13"/>
    <w:rsid w:val="00E66627"/>
    <w:rsid w:val="00EE0B88"/>
    <w:rsid w:val="00F41768"/>
    <w:rsid w:val="00F9341E"/>
    <w:rsid w:val="00FA0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76149"/>
  <w15:chartTrackingRefBased/>
  <w15:docId w15:val="{97AF5C23-C850-43B2-9DEC-DD138027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67B"/>
    <w:rPr>
      <w:rFonts w:eastAsiaTheme="majorEastAsia" w:cstheme="majorBidi"/>
      <w:color w:val="272727" w:themeColor="text1" w:themeTint="D8"/>
    </w:rPr>
  </w:style>
  <w:style w:type="paragraph" w:styleId="Title">
    <w:name w:val="Title"/>
    <w:basedOn w:val="Normal"/>
    <w:next w:val="Normal"/>
    <w:link w:val="TitleChar"/>
    <w:uiPriority w:val="10"/>
    <w:qFormat/>
    <w:rsid w:val="002B3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67B"/>
    <w:pPr>
      <w:spacing w:before="160"/>
      <w:jc w:val="center"/>
    </w:pPr>
    <w:rPr>
      <w:i/>
      <w:iCs/>
      <w:color w:val="404040" w:themeColor="text1" w:themeTint="BF"/>
    </w:rPr>
  </w:style>
  <w:style w:type="character" w:customStyle="1" w:styleId="QuoteChar">
    <w:name w:val="Quote Char"/>
    <w:basedOn w:val="DefaultParagraphFont"/>
    <w:link w:val="Quote"/>
    <w:uiPriority w:val="29"/>
    <w:rsid w:val="002B367B"/>
    <w:rPr>
      <w:i/>
      <w:iCs/>
      <w:color w:val="404040" w:themeColor="text1" w:themeTint="BF"/>
    </w:rPr>
  </w:style>
  <w:style w:type="paragraph" w:styleId="ListParagraph">
    <w:name w:val="List Paragraph"/>
    <w:basedOn w:val="Normal"/>
    <w:uiPriority w:val="34"/>
    <w:qFormat/>
    <w:rsid w:val="002B367B"/>
    <w:pPr>
      <w:ind w:left="720"/>
      <w:contextualSpacing/>
    </w:pPr>
  </w:style>
  <w:style w:type="character" w:styleId="IntenseEmphasis">
    <w:name w:val="Intense Emphasis"/>
    <w:basedOn w:val="DefaultParagraphFont"/>
    <w:uiPriority w:val="21"/>
    <w:qFormat/>
    <w:rsid w:val="002B367B"/>
    <w:rPr>
      <w:i/>
      <w:iCs/>
      <w:color w:val="2F5496" w:themeColor="accent1" w:themeShade="BF"/>
    </w:rPr>
  </w:style>
  <w:style w:type="paragraph" w:styleId="IntenseQuote">
    <w:name w:val="Intense Quote"/>
    <w:basedOn w:val="Normal"/>
    <w:next w:val="Normal"/>
    <w:link w:val="IntenseQuoteChar"/>
    <w:uiPriority w:val="30"/>
    <w:qFormat/>
    <w:rsid w:val="002B3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67B"/>
    <w:rPr>
      <w:i/>
      <w:iCs/>
      <w:color w:val="2F5496" w:themeColor="accent1" w:themeShade="BF"/>
    </w:rPr>
  </w:style>
  <w:style w:type="character" w:styleId="IntenseReference">
    <w:name w:val="Intense Reference"/>
    <w:basedOn w:val="DefaultParagraphFont"/>
    <w:uiPriority w:val="32"/>
    <w:qFormat/>
    <w:rsid w:val="002B367B"/>
    <w:rPr>
      <w:b/>
      <w:bCs/>
      <w:smallCaps/>
      <w:color w:val="2F5496" w:themeColor="accent1" w:themeShade="BF"/>
      <w:spacing w:val="5"/>
    </w:rPr>
  </w:style>
  <w:style w:type="paragraph" w:styleId="NormalWeb">
    <w:name w:val="Normal (Web)"/>
    <w:basedOn w:val="Normal"/>
    <w:uiPriority w:val="99"/>
    <w:unhideWhenUsed/>
    <w:qFormat/>
    <w:rsid w:val="00C05958"/>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character" w:styleId="Strong">
    <w:name w:val="Strong"/>
    <w:basedOn w:val="DefaultParagraphFont"/>
    <w:uiPriority w:val="22"/>
    <w:qFormat/>
    <w:rsid w:val="006554A5"/>
    <w:rPr>
      <w:b/>
      <w:bCs/>
    </w:rPr>
  </w:style>
  <w:style w:type="character" w:customStyle="1" w:styleId="whitespace-normal">
    <w:name w:val="whitespace-normal"/>
    <w:basedOn w:val="DefaultParagraphFont"/>
    <w:rsid w:val="006554A5"/>
  </w:style>
  <w:style w:type="table" w:customStyle="1" w:styleId="TableGrid2">
    <w:name w:val="Table Grid2"/>
    <w:basedOn w:val="TableNormal"/>
    <w:next w:val="TableGrid"/>
    <w:uiPriority w:val="39"/>
    <w:qFormat/>
    <w:rsid w:val="00043D8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043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3D89"/>
    <w:rPr>
      <w:i/>
      <w:iCs/>
    </w:rPr>
  </w:style>
  <w:style w:type="paragraph" w:customStyle="1" w:styleId="msonospacing0">
    <w:name w:val="msonospacing"/>
    <w:qFormat/>
    <w:rsid w:val="00EE0B88"/>
    <w:pPr>
      <w:spacing w:after="0" w:line="240" w:lineRule="auto"/>
    </w:pPr>
    <w:rPr>
      <w:rFonts w:ascii="Calibri" w:eastAsia="Calibri" w:hAnsi="Calibri" w:cs="Times New Roman" w:hint="eastAsia"/>
      <w:kern w:val="0"/>
      <w:sz w:val="22"/>
      <w:szCs w:val="22"/>
      <w:lang w:eastAsia="zh-CN"/>
      <w14:ligatures w14:val="none"/>
    </w:rPr>
  </w:style>
  <w:style w:type="character" w:styleId="Hyperlink">
    <w:name w:val="Hyperlink"/>
    <w:uiPriority w:val="99"/>
    <w:unhideWhenUsed/>
    <w:rsid w:val="006A50E7"/>
    <w:rPr>
      <w:color w:val="0000FF"/>
      <w:u w:val="single"/>
    </w:rPr>
  </w:style>
  <w:style w:type="character" w:customStyle="1" w:styleId="inline">
    <w:name w:val="inline"/>
    <w:basedOn w:val="DefaultParagraphFont"/>
    <w:rsid w:val="006A50E7"/>
  </w:style>
  <w:style w:type="character" w:customStyle="1" w:styleId="anchor-text">
    <w:name w:val="anchor-text"/>
    <w:basedOn w:val="DefaultParagraphFont"/>
    <w:rsid w:val="006A50E7"/>
  </w:style>
  <w:style w:type="character" w:styleId="UnresolvedMention">
    <w:name w:val="Unresolved Mention"/>
    <w:basedOn w:val="DefaultParagraphFont"/>
    <w:uiPriority w:val="99"/>
    <w:semiHidden/>
    <w:unhideWhenUsed/>
    <w:rsid w:val="006A50E7"/>
    <w:rPr>
      <w:color w:val="605E5C"/>
      <w:shd w:val="clear" w:color="auto" w:fill="E1DFDD"/>
    </w:rPr>
  </w:style>
  <w:style w:type="paragraph" w:styleId="Header">
    <w:name w:val="header"/>
    <w:basedOn w:val="Normal"/>
    <w:link w:val="HeaderChar"/>
    <w:uiPriority w:val="99"/>
    <w:unhideWhenUsed/>
    <w:rsid w:val="0068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1C1"/>
  </w:style>
  <w:style w:type="paragraph" w:styleId="Footer">
    <w:name w:val="footer"/>
    <w:basedOn w:val="Normal"/>
    <w:link w:val="FooterChar"/>
    <w:uiPriority w:val="99"/>
    <w:unhideWhenUsed/>
    <w:rsid w:val="0068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35863-0_4" TargetMode="External"/><Relationship Id="rId18" Type="http://schemas.openxmlformats.org/officeDocument/2006/relationships/hyperlink" Target="https://doi.org/10.59175/pijed.v1i2.16" TargetMode="External"/><Relationship Id="rId26" Type="http://schemas.openxmlformats.org/officeDocument/2006/relationships/hyperlink" Target="https://doi.org/10.69481/KSVZ5982" TargetMode="External"/><Relationship Id="rId39" Type="http://schemas.openxmlformats.org/officeDocument/2006/relationships/hyperlink" Target="https://doi.org/10.1007/s00187-024-00379-0" TargetMode="External"/><Relationship Id="rId21" Type="http://schemas.openxmlformats.org/officeDocument/2006/relationships/hyperlink" Target="https://doi.org/10.36948/ijfmr.2025.v07i01.37264" TargetMode="External"/><Relationship Id="rId34" Type="http://schemas.openxmlformats.org/officeDocument/2006/relationships/hyperlink" Target="https://doi.org/10.1371/journal.pone.0234506" TargetMode="External"/><Relationship Id="rId42" Type="http://schemas.openxmlformats.org/officeDocument/2006/relationships/hyperlink" Target="https://doi.org/10.25170/jak.v19i1.6437" TargetMode="External"/><Relationship Id="rId47" Type="http://schemas.openxmlformats.org/officeDocument/2006/relationships/hyperlink" Target="https://doi.org/10.21532/apfjournal.v9i2.340" TargetMode="External"/><Relationship Id="rId50" Type="http://schemas.openxmlformats.org/officeDocument/2006/relationships/hyperlink" Target="https://doi.org/10.71435/685957" TargetMode="External"/><Relationship Id="rId55" Type="http://schemas.openxmlformats.org/officeDocument/2006/relationships/hyperlink" Target="https://doi.org/10.15282/jgi.5.3.2022.7442" TargetMode="External"/><Relationship Id="rId7" Type="http://schemas.openxmlformats.org/officeDocument/2006/relationships/hyperlink" Target="https://doi.org/10.1080/23311886.2024.2337893" TargetMode="External"/><Relationship Id="rId2" Type="http://schemas.openxmlformats.org/officeDocument/2006/relationships/styles" Target="styles.xml"/><Relationship Id="rId16" Type="http://schemas.openxmlformats.org/officeDocument/2006/relationships/hyperlink" Target="https://www.preprints.org/manuscript/202012.0303" TargetMode="External"/><Relationship Id="rId29" Type="http://schemas.openxmlformats.org/officeDocument/2006/relationships/hyperlink" Target="https://doi.org/10.1016/j.frl.2024.105393" TargetMode="External"/><Relationship Id="rId11" Type="http://schemas.openxmlformats.org/officeDocument/2006/relationships/hyperlink" Target="https://doi.org/10.3389/feduc.2025.1663289" TargetMode="External"/><Relationship Id="rId24" Type="http://schemas.openxmlformats.org/officeDocument/2006/relationships/hyperlink" Target="https://www.tasbo.org/news/deposit-best-practices-and-the-cash-collection-process\" TargetMode="External"/><Relationship Id="rId32" Type="http://schemas.openxmlformats.org/officeDocument/2006/relationships/hyperlink" Target="https://doi.org/10.1016/j.ibusrev.2025.102526" TargetMode="External"/><Relationship Id="rId37" Type="http://schemas.openxmlformats.org/officeDocument/2006/relationships/hyperlink" Target="https://doi.org/10.1016/j.ibusrev.2023.102207" TargetMode="External"/><Relationship Id="rId40" Type="http://schemas.openxmlformats.org/officeDocument/2006/relationships/hyperlink" Target="https://doi.org/10.1080/23311975.2025.2597076" TargetMode="External"/><Relationship Id="rId45" Type="http://schemas.openxmlformats.org/officeDocument/2006/relationships/hyperlink" Target="https://doi.org/10.47772/IJRISS.2024.806181" TargetMode="External"/><Relationship Id="rId53" Type="http://schemas.openxmlformats.org/officeDocument/2006/relationships/hyperlink" Target="https://doi.org/10.1080/23311975.2021.1908760"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20431/2349-0349.0904007" TargetMode="External"/><Relationship Id="rId4" Type="http://schemas.openxmlformats.org/officeDocument/2006/relationships/webSettings" Target="webSettings.xml"/><Relationship Id="rId9" Type="http://schemas.openxmlformats.org/officeDocument/2006/relationships/hyperlink" Target="https://doi.org/10.47772/IJRISS.2025.909000285" TargetMode="External"/><Relationship Id="rId14" Type="http://schemas.openxmlformats.org/officeDocument/2006/relationships/hyperlink" Target="https://doi.org/10.51244/IJRSI.2026.1303000118" TargetMode="External"/><Relationship Id="rId22" Type="http://schemas.openxmlformats.org/officeDocument/2006/relationships/hyperlink" Target="https://doi.org/10.23925/2179-3565.2024v15i2p16-32" TargetMode="External"/><Relationship Id="rId27" Type="http://schemas.openxmlformats.org/officeDocument/2006/relationships/hyperlink" Target="https://doi.org/10.1007/s43621-025-00850-5?urlappend=%3Futm_source%3Dresearchgate.net%26utm_medium%3Darticle" TargetMode="External"/><Relationship Id="rId30" Type="http://schemas.openxmlformats.org/officeDocument/2006/relationships/hyperlink" Target="https://doi.org/10.11594/ijmaber.05.08.03" TargetMode="External"/><Relationship Id="rId35" Type="http://schemas.openxmlformats.org/officeDocument/2006/relationships/hyperlink" Target="https://doi.org/10.31933/dijemss.v1i6.472" TargetMode="External"/><Relationship Id="rId43" Type="http://schemas.openxmlformats.org/officeDocument/2006/relationships/hyperlink" Target="https://oag.parliament.nz/good-practice/integrity/integrity-framework/docs/integrity-framework.pdf" TargetMode="External"/><Relationship Id="rId48" Type="http://schemas.openxmlformats.org/officeDocument/2006/relationships/hyperlink" Target="https://doi.org/10.53555/kuey.v29i4.7937" TargetMode="External"/><Relationship Id="rId56" Type="http://schemas.openxmlformats.org/officeDocument/2006/relationships/hyperlink" Target="https://doi.org/10.1016/j.jcorpfin.2020.101695" TargetMode="External"/><Relationship Id="rId8" Type="http://schemas.openxmlformats.org/officeDocument/2006/relationships/hyperlink" Target="https://doi.org/10.1016/j.heliyon.2023.e20497" TargetMode="External"/><Relationship Id="rId51" Type="http://schemas.openxmlformats.org/officeDocument/2006/relationships/hyperlink" Target="https://doi.org/10.37394/23207.2022.19.29" TargetMode="External"/><Relationship Id="rId3" Type="http://schemas.openxmlformats.org/officeDocument/2006/relationships/settings" Target="settings.xml"/><Relationship Id="rId12" Type="http://schemas.openxmlformats.org/officeDocument/2006/relationships/hyperlink" Target="https://mrj.sorsu.edu.ph/index.php/journal/article/view/13" TargetMode="External"/><Relationship Id="rId17" Type="http://schemas.openxmlformats.org/officeDocument/2006/relationships/hyperlink" Target="https://www.academia.edu/95946240/Handling_Cash_In_And_Cash_Out_On_Dimas_Mart_Supermarket_Kampar_Regency?sm=b" TargetMode="External"/><Relationship Id="rId25" Type="http://schemas.openxmlformats.org/officeDocument/2006/relationships/hyperlink" Target="https://doi.org/10.1177/21582440221123509" TargetMode="External"/><Relationship Id="rId33" Type="http://schemas.openxmlformats.org/officeDocument/2006/relationships/hyperlink" Target="https://doi.org/10.1080/01900692.2019.1645689" TargetMode="External"/><Relationship Id="rId38" Type="http://schemas.openxmlformats.org/officeDocument/2006/relationships/hyperlink" Target="https://doi.org/10.55927/eajmr.v3i11.11809" TargetMode="External"/><Relationship Id="rId46" Type="http://schemas.openxmlformats.org/officeDocument/2006/relationships/hyperlink" Target="https://doi.org/10.61978/politeia.v2i3.963" TargetMode="External"/><Relationship Id="rId20" Type="http://schemas.openxmlformats.org/officeDocument/2006/relationships/hyperlink" Target="https://doi.org/10.3390/risks13110219" TargetMode="External"/><Relationship Id="rId41" Type="http://schemas.openxmlformats.org/officeDocument/2006/relationships/hyperlink" Target="https://doi.org/10.11594/ijmaber.04.11.03" TargetMode="External"/><Relationship Id="rId54" Type="http://schemas.openxmlformats.org/officeDocument/2006/relationships/hyperlink" Target="https://doi.org/10.9745/GHSP-D-21-0018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geronb/gbab004" TargetMode="External"/><Relationship Id="rId23" Type="http://schemas.openxmlformats.org/officeDocument/2006/relationships/hyperlink" Target="https://doi.org/10.30589/pgr.v10i1.1361" TargetMode="External"/><Relationship Id="rId28" Type="http://schemas.openxmlformats.org/officeDocument/2006/relationships/hyperlink" Target="https://doi.org/10.47772/IJRISS.2025.90600056" TargetMode="External"/><Relationship Id="rId36" Type="http://schemas.openxmlformats.org/officeDocument/2006/relationships/hyperlink" Target="https://www.cashtechcurrency.com/blog/what-is-a-cash-handling-problem-and-how-can-i-avoid-it" TargetMode="External"/><Relationship Id="rId49" Type="http://schemas.openxmlformats.org/officeDocument/2006/relationships/hyperlink" Target="https://doi.org/10.47772/IJRISS.2025.9020245" TargetMode="External"/><Relationship Id="rId57" Type="http://schemas.openxmlformats.org/officeDocument/2006/relationships/fontTable" Target="fontTable.xml"/><Relationship Id="rId10" Type="http://schemas.openxmlformats.org/officeDocument/2006/relationships/hyperlink" Target="https://doi.org/10.1007/s43621-024-00376-" TargetMode="External"/><Relationship Id="rId31" Type="http://schemas.openxmlformats.org/officeDocument/2006/relationships/hyperlink" Target="https://doi.org/10.3389/fpos.2025.1573608" TargetMode="External"/><Relationship Id="rId44" Type="http://schemas.openxmlformats.org/officeDocument/2006/relationships/hyperlink" Target="https://doi.org/10.1108/JIABR-09-2021-0256" TargetMode="External"/><Relationship Id="rId52" Type="http://schemas.openxmlformats.org/officeDocument/2006/relationships/hyperlink" Target="https://doi.org/10.22495/cgobrv7i3sip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5562</Words>
  <Characters>31708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47</cp:revision>
  <dcterms:created xsi:type="dcterms:W3CDTF">2026-04-27T07:01:00Z</dcterms:created>
  <dcterms:modified xsi:type="dcterms:W3CDTF">2026-06-22T11:00:00Z</dcterms:modified>
</cp:coreProperties>
</file>