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22C3" w14:textId="3DDAE898" w:rsidR="00F40A43" w:rsidRDefault="0080646F" w:rsidP="00E35F1A">
      <w:pPr>
        <w:spacing w:line="360" w:lineRule="auto"/>
      </w:pPr>
      <w:r>
        <w:t>Quantitative Analysis of the Relationship between Library Services and Undergraduate Academic Performance in Liberia: Evidence from African Methodist Episcopal University</w:t>
      </w:r>
    </w:p>
    <w:p w14:paraId="2DC84F4F" w14:textId="7672CE02" w:rsidR="00F40A43" w:rsidRDefault="00B1569C" w:rsidP="00E35F1A">
      <w:pPr>
        <w:spacing w:line="360" w:lineRule="auto"/>
        <w:jc w:val="center"/>
      </w:pPr>
      <w:r>
        <w:t>Stephen Sunday Browne</w:t>
      </w:r>
    </w:p>
    <w:p w14:paraId="78975393" w14:textId="29ED15E1" w:rsidR="00F40A43" w:rsidRDefault="005B6484" w:rsidP="00E35F1A">
      <w:pPr>
        <w:spacing w:line="360" w:lineRule="auto"/>
        <w:jc w:val="center"/>
      </w:pPr>
      <w:r>
        <w:t xml:space="preserve">Department of </w:t>
      </w:r>
      <w:r w:rsidR="00B1569C">
        <w:t>Library Services</w:t>
      </w:r>
      <w:r>
        <w:t>, African Methodist Episcopal University</w:t>
      </w:r>
    </w:p>
    <w:p w14:paraId="606E3259" w14:textId="77777777" w:rsidR="00F40A43" w:rsidRDefault="00F40A43" w:rsidP="00E35F1A">
      <w:pPr>
        <w:spacing w:line="360" w:lineRule="auto"/>
      </w:pPr>
    </w:p>
    <w:p w14:paraId="7E8E7B96" w14:textId="77777777" w:rsidR="00F40A43" w:rsidRDefault="005B6484" w:rsidP="00E35F1A">
      <w:pPr>
        <w:spacing w:line="360" w:lineRule="auto"/>
        <w:jc w:val="center"/>
      </w:pPr>
      <w:r>
        <w:rPr>
          <w:b/>
          <w:bCs/>
        </w:rPr>
        <w:t>Author Note</w:t>
      </w:r>
    </w:p>
    <w:p w14:paraId="3B2821FA" w14:textId="4A923B28" w:rsidR="00F40A43" w:rsidRDefault="005B6484" w:rsidP="00E35F1A">
      <w:pPr>
        <w:spacing w:line="360" w:lineRule="auto"/>
        <w:jc w:val="center"/>
      </w:pPr>
      <w:r>
        <w:t xml:space="preserve">Correspondence concerning this article should be addressed to </w:t>
      </w:r>
      <w:r w:rsidR="00B1569C">
        <w:t>Stephen Sunday Browne</w:t>
      </w:r>
      <w:r>
        <w:t>, Department of</w:t>
      </w:r>
      <w:r w:rsidR="00B1569C">
        <w:t xml:space="preserve"> Library Services</w:t>
      </w:r>
      <w:r>
        <w:t xml:space="preserve">, African Methodist Episcopal University, 34 Camp Johnson Road, Monrovia, Liberia. Email: </w:t>
      </w:r>
      <w:hyperlink r:id="rId7" w:history="1">
        <w:r w:rsidR="00B1569C" w:rsidRPr="00853940">
          <w:rPr>
            <w:rStyle w:val="Hyperlink"/>
          </w:rPr>
          <w:t>ssbrowne@ame.edu.lr</w:t>
        </w:r>
      </w:hyperlink>
      <w:r w:rsidR="00B1569C">
        <w:t xml:space="preserve">, </w:t>
      </w:r>
      <w:hyperlink r:id="rId8" w:history="1">
        <w:r w:rsidR="00B1569C" w:rsidRPr="00853940">
          <w:rPr>
            <w:rStyle w:val="Hyperlink"/>
          </w:rPr>
          <w:t>stephenbrowne82@gmail.com</w:t>
        </w:r>
      </w:hyperlink>
      <w:r w:rsidR="00B1569C">
        <w:t xml:space="preserve"> </w:t>
      </w:r>
    </w:p>
    <w:p w14:paraId="0DAC50A9" w14:textId="77777777" w:rsidR="00F40A43" w:rsidRDefault="005B6484" w:rsidP="00E35F1A">
      <w:pPr>
        <w:spacing w:line="360" w:lineRule="auto"/>
      </w:pPr>
      <w:r>
        <w:br w:type="page"/>
      </w:r>
    </w:p>
    <w:p w14:paraId="269F18E5" w14:textId="77777777" w:rsidR="00F40A43" w:rsidRDefault="005B6484" w:rsidP="00E35F1A">
      <w:pPr>
        <w:spacing w:before="240" w:line="360" w:lineRule="auto"/>
        <w:jc w:val="center"/>
      </w:pPr>
      <w:r>
        <w:rPr>
          <w:b/>
          <w:bCs/>
        </w:rPr>
        <w:lastRenderedPageBreak/>
        <w:t>Abstract</w:t>
      </w:r>
    </w:p>
    <w:p w14:paraId="408AD731" w14:textId="052C02B7" w:rsidR="00F40A43" w:rsidRDefault="005B6484" w:rsidP="00E35F1A">
      <w:pPr>
        <w:spacing w:line="360" w:lineRule="auto"/>
        <w:jc w:val="both"/>
      </w:pPr>
      <w:r>
        <w:t xml:space="preserve">This study investigated the impact of library services on the academic performance of undergraduate students at the African Methodist Episcopal University (AMEU) in Monrovia, Liberia. The study adopted a descriptive survey research design, employing a structured questionnaire to collect data from 250 randomly selected undergraduate students across the five colleges of AMEU. Data were analyzed using descriptive statistics (frequencies, percentages, and means) and inferential statistics (Pearson product-moment correlation). The findings revealed that the majority of undergraduate students at AMEU were aware of the </w:t>
      </w:r>
      <w:r w:rsidR="00E03504">
        <w:t>available library services and utilized them to a moderate extent</w:t>
      </w:r>
      <w:r>
        <w:t xml:space="preserve">. The most frequently used services included textbook borrowing, </w:t>
      </w:r>
      <w:r w:rsidR="00E03504">
        <w:t xml:space="preserve">access to the e-library </w:t>
      </w:r>
      <w:r>
        <w:t>through the EBSCOhost research database, and quiet study spaces. A statistically significant positive correlation was found between library service utilization and students' cumulative grade point average (CGPA). However, challenges such as limited current print collections, inadequate ICT infrastructure, irregular internet connectivity, insufficient seating capacity, and limited operating hours were identified as barriers to optimal library utilization. The study recommends that AMEU invest in expanding its library collections, upgrading ICT facilities, extending library operating hours, and intensifying information literacy training to enhance the impact of library services on students' academic outcomes.</w:t>
      </w:r>
    </w:p>
    <w:p w14:paraId="296E5003" w14:textId="77777777" w:rsidR="00F40A43" w:rsidRDefault="00F40A43" w:rsidP="00E35F1A">
      <w:pPr>
        <w:spacing w:line="360" w:lineRule="auto"/>
      </w:pPr>
    </w:p>
    <w:p w14:paraId="08005B6F" w14:textId="77777777" w:rsidR="00F40A43" w:rsidRDefault="005B6484" w:rsidP="00E35F1A">
      <w:pPr>
        <w:spacing w:line="360" w:lineRule="auto"/>
      </w:pPr>
      <w:r>
        <w:rPr>
          <w:i/>
          <w:iCs/>
        </w:rPr>
        <w:t xml:space="preserve">Keywords: </w:t>
      </w:r>
      <w:r>
        <w:t>library services, academic performance, undergraduate students, AMEU, Liberia, higher education</w:t>
      </w:r>
    </w:p>
    <w:p w14:paraId="10C06AB9" w14:textId="77777777" w:rsidR="00F40A43" w:rsidRDefault="005B6484" w:rsidP="00E35F1A">
      <w:pPr>
        <w:spacing w:line="360" w:lineRule="auto"/>
      </w:pPr>
      <w:r>
        <w:br w:type="page"/>
      </w:r>
    </w:p>
    <w:p w14:paraId="40CAF3EE" w14:textId="77777777" w:rsidR="00F40A43" w:rsidRDefault="005B6484" w:rsidP="00E35F1A">
      <w:pPr>
        <w:spacing w:line="360" w:lineRule="auto"/>
        <w:jc w:val="center"/>
      </w:pPr>
      <w:r>
        <w:rPr>
          <w:b/>
          <w:bCs/>
        </w:rPr>
        <w:lastRenderedPageBreak/>
        <w:t>Library Services and Undergraduate Students' Academic Performance in Liberia:</w:t>
      </w:r>
    </w:p>
    <w:p w14:paraId="44FCB831" w14:textId="77777777" w:rsidR="00F40A43" w:rsidRDefault="005B6484" w:rsidP="00E35F1A">
      <w:pPr>
        <w:spacing w:line="360" w:lineRule="auto"/>
        <w:jc w:val="center"/>
      </w:pPr>
      <w:r>
        <w:rPr>
          <w:b/>
          <w:bCs/>
        </w:rPr>
        <w:t>A Case Study of African Methodist Episcopal University (AMEU)</w:t>
      </w:r>
    </w:p>
    <w:p w14:paraId="2E331BA0" w14:textId="77777777" w:rsidR="00F40A43" w:rsidRDefault="005B6484" w:rsidP="00E35F1A">
      <w:pPr>
        <w:spacing w:before="240" w:line="360" w:lineRule="auto"/>
        <w:jc w:val="center"/>
      </w:pPr>
      <w:r>
        <w:rPr>
          <w:b/>
          <w:bCs/>
        </w:rPr>
        <w:t>Introduction</w:t>
      </w:r>
    </w:p>
    <w:p w14:paraId="79B78B35" w14:textId="77777777" w:rsidR="00F40A43" w:rsidRDefault="005B6484" w:rsidP="00E35F1A">
      <w:pPr>
        <w:spacing w:line="360" w:lineRule="auto"/>
        <w:ind w:firstLine="720"/>
        <w:jc w:val="both"/>
      </w:pPr>
      <w:r>
        <w:t>Academic libraries serve as the intellectual backbone of institutions of higher learning, providing essential resources and services that support teaching, learning, and research (Oakleaf, 2010). The quality and accessibility of library services have been widely acknowledged as critical determinants of students' academic success, particularly in developing countries where alternative information sources may be limited (Adetoro, 2010). As universities worldwide face increasing pressure to demonstrate institutional effectiveness and student learning outcomes, the role of the academic library in contributing to these outcomes has come under renewed scrutiny (Association of College and Research Libraries [ACRL], 2017).</w:t>
      </w:r>
    </w:p>
    <w:p w14:paraId="11647867" w14:textId="77777777" w:rsidR="00F40A43" w:rsidRDefault="005B6484" w:rsidP="00E35F1A">
      <w:pPr>
        <w:spacing w:line="360" w:lineRule="auto"/>
        <w:ind w:firstLine="720"/>
        <w:jc w:val="both"/>
      </w:pPr>
      <w:r>
        <w:t>In Liberia, the higher education sector has faced persistent challenges stemming from decades of civil conflict (1989–2003), which devastated educational infrastructure and displaced both faculty and students (Challenges of Higher Education in Liberia, 2023). The National Commission on Higher Education (NCHE), established by an Act of the National Legislature in 1989, bears the statutory responsibility for regulating and accrediting higher education programs in the country. As of 2025, the NCHE recognizes 81 higher education institutions across 12 counties, categorized into doctoral, master’s, bachelor’s, and associate’s degree-granting institutions (NCHE, 2024). A 2025 evaluation by the NCHE uncovered widespread institutional deficiencies, including the absence of requisite facilities such as libraries, laboratories, and qualified faculty, leading to the suspension or closure of 53 institutions (FrontPageAfrica, 2025).</w:t>
      </w:r>
    </w:p>
    <w:p w14:paraId="566BBC8B" w14:textId="77777777" w:rsidR="00F40A43" w:rsidRDefault="005B6484" w:rsidP="00E35F1A">
      <w:pPr>
        <w:spacing w:line="360" w:lineRule="auto"/>
        <w:ind w:firstLine="720"/>
        <w:jc w:val="both"/>
      </w:pPr>
      <w:r>
        <w:t>The African Methodist Episcopal University (AMEU), established in 1995 and chartered by the Liberian Legislature in 1996, is a private, church-affiliated institution located on 34 Camp Johnson Road in Monrovia (AMEU, 2024). Founded by the African Methodist Episcopal Church under Bishop C. Garnett Henning, Sr., AMEU has grown from its origins with Bryant Theological Seminary to become the second-largest university in Liberia, with an enrollment of approximately 6,256 students as of 2022 (AMEU, 2024). The university offers undergraduate and graduate programs through five colleges: the Bryant College of Theological Seminary, the Manning College of Business and Public Administration, the York College of Liberal Arts and Sciences, the College of Science and Allied Health, and the College of Education. AMEU is accredited by the NCHE and operates under its motto, “Pursuit of Excellence” (uniRank, 2025).</w:t>
      </w:r>
    </w:p>
    <w:p w14:paraId="7E2CF204" w14:textId="77777777" w:rsidR="00F40A43" w:rsidRDefault="005B6484" w:rsidP="00E35F1A">
      <w:pPr>
        <w:spacing w:line="360" w:lineRule="auto"/>
        <w:ind w:firstLine="720"/>
        <w:jc w:val="both"/>
      </w:pPr>
      <w:r>
        <w:lastRenderedPageBreak/>
        <w:t>AMEU’s library services division provides integrated support designed to enhance the quality of instruction and improve student achievement and information literacy. The library offers both print and electronic resources, including eBooks and hard copies for students and faculty, e-library services through the EBSCOhost research database, digitized access to global book collections, and training in Google Classroom and other online learning platforms (AMEU Library Services, 2024). Despite these provisions, the extent to which these library services contribute to the academic performance of undergraduate students at AMEU has not been empirically examined.</w:t>
      </w:r>
    </w:p>
    <w:p w14:paraId="1D4D7546" w14:textId="77777777" w:rsidR="00F40A43" w:rsidRDefault="005B6484" w:rsidP="00E35F1A">
      <w:pPr>
        <w:spacing w:line="360" w:lineRule="auto"/>
        <w:ind w:firstLine="720"/>
        <w:jc w:val="both"/>
      </w:pPr>
      <w:r>
        <w:t>This study, therefore, sought to investigate the relationship between library services and the academic performance of undergraduate students at AMEU. Specifically, the study aimed to: (a) assess the level of awareness and utilization of library services among undergraduate students; (b) determine the library services most frequently used by undergraduate students; (c) examine the relationship between library service utilization and students’ academic performance; and (d) identify the challenges facing undergraduate students in accessing and utilizing library services at AMEU.</w:t>
      </w:r>
    </w:p>
    <w:p w14:paraId="3F98AE9C" w14:textId="77777777" w:rsidR="00F40A43" w:rsidRDefault="005B6484" w:rsidP="00E35F1A">
      <w:pPr>
        <w:spacing w:before="240" w:line="360" w:lineRule="auto"/>
        <w:jc w:val="center"/>
      </w:pPr>
      <w:r>
        <w:rPr>
          <w:b/>
          <w:bCs/>
        </w:rPr>
        <w:t>Literature Review</w:t>
      </w:r>
    </w:p>
    <w:p w14:paraId="5F6F68A4" w14:textId="77777777" w:rsidR="00F40A43" w:rsidRDefault="005B6484" w:rsidP="00E35F1A">
      <w:pPr>
        <w:spacing w:before="240" w:line="360" w:lineRule="auto"/>
      </w:pPr>
      <w:r>
        <w:rPr>
          <w:b/>
          <w:bCs/>
        </w:rPr>
        <w:t>Conceptual Framework</w:t>
      </w:r>
    </w:p>
    <w:p w14:paraId="500E50D7" w14:textId="77777777" w:rsidR="00F40A43" w:rsidRDefault="005B6484" w:rsidP="00E35F1A">
      <w:pPr>
        <w:spacing w:line="360" w:lineRule="auto"/>
        <w:ind w:firstLine="720"/>
        <w:jc w:val="both"/>
      </w:pPr>
      <w:r>
        <w:t>This study is grounded in the Input–Process–Output (IPO) model of educational productivity, which posits that educational outcomes (outputs) are a function of the resources provided (inputs) and the processes through which those resources are utilized (Astin, 1993). Within this framework, library services constitute a significant institutional input, while student engagement with library resources represents the process through which these inputs are transformed into academic outcomes such as grade point average (GPA), retention, and degree attainment. The IPO model provides a structured approach for examining how the availability and utilization of library services contribute to measurable academic performance indicators among undergraduate students.</w:t>
      </w:r>
    </w:p>
    <w:p w14:paraId="50402C36" w14:textId="77777777" w:rsidR="00F40A43" w:rsidRDefault="005B6484" w:rsidP="00E35F1A">
      <w:pPr>
        <w:spacing w:before="240" w:line="360" w:lineRule="auto"/>
      </w:pPr>
      <w:r>
        <w:rPr>
          <w:b/>
          <w:bCs/>
        </w:rPr>
        <w:t>Academic Library Services and Student Performance</w:t>
      </w:r>
    </w:p>
    <w:p w14:paraId="48ECE0DE" w14:textId="77777777" w:rsidR="00F40A43" w:rsidRDefault="005B6484" w:rsidP="00E35F1A">
      <w:pPr>
        <w:spacing w:line="360" w:lineRule="auto"/>
        <w:ind w:firstLine="720"/>
        <w:jc w:val="both"/>
      </w:pPr>
      <w:r>
        <w:t xml:space="preserve">A substantial body of research has established a positive relationship between the use of academic library services and student academic performance. The ACRL’s Assessment in Action (AiA) program, which involved over 200 postsecondary institutions across three years, produced </w:t>
      </w:r>
      <w:r>
        <w:lastRenderedPageBreak/>
        <w:t>compelling evidence that students who used library services in some capacity—including circulation, library instruction sessions, online database access, study room use, and interlibrary loan—achieved higher levels of academic success than those who did not use the library (Brown &amp; Malenfant, 2017). Specifically, the AiA findings demonstrated that (a) students benefit from library instruction in their initial coursework; (b) library use increases student success as measured by GPA, course grades, and retention; (c) collaborative academic programs involving the library enhance student learning; (d) information literacy instruction strengthens general education outcomes; and (e) library research consultations boost student learning.</w:t>
      </w:r>
    </w:p>
    <w:p w14:paraId="427B88E7" w14:textId="77777777" w:rsidR="00F40A43" w:rsidRDefault="005B6484" w:rsidP="00E35F1A">
      <w:pPr>
        <w:spacing w:line="360" w:lineRule="auto"/>
        <w:ind w:firstLine="720"/>
        <w:jc w:val="both"/>
      </w:pPr>
      <w:r>
        <w:t>Beile et al. (2020) conducted a large-scale study at the University of Central Florida (n = 25,336) that collected data as students interacted with five library service points over four semesters. The analysis revealed a positive association between students who used one or more library services and higher end-of-semester GPAs. Similarly, Jager (2014) investigated the relationship between library use and academic achievement at the University of Cape Town and found a statistically significant association between library borrowing activity and examination performance. These findings corroborate earlier work demonstrating that “students who borrow more books from the university library tend to have higher GPAs, regardless of the field of study” (Cetin &amp; Howard, 2016, p. 386).</w:t>
      </w:r>
    </w:p>
    <w:p w14:paraId="183FE11C" w14:textId="77777777" w:rsidR="00F40A43" w:rsidRDefault="005B6484" w:rsidP="00E35F1A">
      <w:pPr>
        <w:spacing w:line="360" w:lineRule="auto"/>
        <w:ind w:firstLine="720"/>
        <w:jc w:val="both"/>
      </w:pPr>
      <w:r>
        <w:t>In the West African context, research has consistently demonstrated the importance of library services to student outcomes. Ajibona et al. (2021) investigated library service provision and the academic performance of nursing undergraduates in selected universities in South-West Nigeria and found that acquisition services had the greatest positive influence on academic performance, with the majority of respondents agreeing that library materials enabled them to perform well in class assignments and examinations. Ogunbodede and Oribhabor (2022) examined digital resource usage and academic performance of undergraduate students at the University of Africa, Nigeria, and established a significant positive relationship between digital resource usage and academic performance. More recently, a 2025 study published in the African Journal of Library, Archives and Information Science established that library information resources use predicts academic performance among library and information science undergraduates in Nigeria (Ajlais, 2025).</w:t>
      </w:r>
    </w:p>
    <w:p w14:paraId="65ABA4D2" w14:textId="77777777" w:rsidR="00F40A43" w:rsidRDefault="005B6484" w:rsidP="00E35F1A">
      <w:pPr>
        <w:spacing w:before="240" w:line="360" w:lineRule="auto"/>
      </w:pPr>
      <w:r>
        <w:rPr>
          <w:b/>
          <w:bCs/>
        </w:rPr>
        <w:t>Library Services in African Academic Institutions: Challenges</w:t>
      </w:r>
    </w:p>
    <w:p w14:paraId="04DEE83B" w14:textId="77777777" w:rsidR="00F40A43" w:rsidRDefault="005B6484" w:rsidP="00E35F1A">
      <w:pPr>
        <w:spacing w:line="360" w:lineRule="auto"/>
        <w:ind w:firstLine="720"/>
        <w:jc w:val="both"/>
      </w:pPr>
      <w:r>
        <w:lastRenderedPageBreak/>
        <w:t>Academic libraries in Africa face a distinct set of challenges that constrain their ability to support student academic outcomes. The African Journal of Library, Archives and Information Science reported that the major challenges in academic libraries in Africa include chronic financial constraints and inadequate basic infrastructure, insufficient ICT infrastructure, limited access to electronic resources, and a widening gap between digital and print service expectations (Ajlais, 2025). Asamoah-Hassan (2012) noted that support for libraries from policy makers and institutional heads in some African countries is discouraging, which negatively impacts the provision of quality services.</w:t>
      </w:r>
    </w:p>
    <w:p w14:paraId="767FCE09" w14:textId="77777777" w:rsidR="00F40A43" w:rsidRDefault="005B6484" w:rsidP="00E35F1A">
      <w:pPr>
        <w:spacing w:line="360" w:lineRule="auto"/>
        <w:ind w:firstLine="720"/>
        <w:jc w:val="both"/>
      </w:pPr>
      <w:r>
        <w:t>The situation in Liberia is particularly acute. The country’s education system was described as “a mess” by former President Ellen Johnson Sirleaf in 2013, after all 25,000 students who sat for the University of Liberia’s entrance examination failed (FrontPageAfrica, 2025). Although successive governments and international partners such as USAID, the World Bank, and the African Development Bank have introduced reform measures, significant gaps remain in educational infrastructure, including libraries (Challenges of Higher Education in Liberia, 2023). The 2025 NCHE evaluation specifically cited the absence of libraries as a critical deficiency across many institutions (FrontPageAfrica, 2025).</w:t>
      </w:r>
    </w:p>
    <w:p w14:paraId="20102EBA" w14:textId="3583AFDC" w:rsidR="00F40A43" w:rsidRDefault="005B6484" w:rsidP="00E35F1A">
      <w:pPr>
        <w:spacing w:line="360" w:lineRule="auto"/>
        <w:ind w:firstLine="720"/>
        <w:jc w:val="both"/>
      </w:pPr>
      <w:r>
        <w:t xml:space="preserve">Tetteh and Aryee (2024) provided empirical evidence on the chain effect of library resource constraints, finding that the lack of requisite library resources, particularly recommended textbooks, has an enormous effect on academic life in universities. Their study demonstrated that resource constraints lead to user frustration, which in turn affects study behaviors and academic outcomes. In the context of library space utilization, Yang and Kim (2022) found that functional library environments were associated with study performance and the </w:t>
      </w:r>
      <w:r w:rsidR="00B82AE6">
        <w:t>well-being</w:t>
      </w:r>
      <w:r>
        <w:t xml:space="preserve"> of students, underscoring the importance of adequate physical library spaces in supporting learning.</w:t>
      </w:r>
    </w:p>
    <w:p w14:paraId="27DD4800" w14:textId="77777777" w:rsidR="00F40A43" w:rsidRDefault="005B6484" w:rsidP="00E35F1A">
      <w:pPr>
        <w:spacing w:before="240" w:line="360" w:lineRule="auto"/>
      </w:pPr>
      <w:r>
        <w:rPr>
          <w:b/>
          <w:bCs/>
        </w:rPr>
        <w:t>Digital Library Services and Emerging Trends</w:t>
      </w:r>
    </w:p>
    <w:p w14:paraId="6F1FE4D7" w14:textId="77777777" w:rsidR="00F40A43" w:rsidRDefault="005B6484" w:rsidP="00E35F1A">
      <w:pPr>
        <w:spacing w:line="360" w:lineRule="auto"/>
        <w:ind w:firstLine="720"/>
        <w:jc w:val="both"/>
      </w:pPr>
      <w:r>
        <w:t xml:space="preserve">The global shift toward digital library services has introduced both opportunities and challenges for academic libraries in developing countries. The EBSCO Information Services (2026) reported that digital library engagement is strongly linked to higher GPAs, improved retention, and stronger learning outcomes. The integration of digital resources into learning management systems (LMS) has been identified as one of the most effective strategies for increasing resource visibility and usage (Sage Publishing, 2025). Academic libraries are also </w:t>
      </w:r>
      <w:r>
        <w:lastRenderedPageBreak/>
        <w:t>increasingly leveraging artificial intelligence for services such as discovery, metadata generation, and personalized recommendations (Library Systems Report, 2025).</w:t>
      </w:r>
    </w:p>
    <w:p w14:paraId="359AF8D4" w14:textId="77777777" w:rsidR="00F40A43" w:rsidRDefault="005B6484" w:rsidP="00E35F1A">
      <w:pPr>
        <w:spacing w:line="360" w:lineRule="auto"/>
        <w:ind w:firstLine="720"/>
        <w:jc w:val="both"/>
      </w:pPr>
      <w:r>
        <w:t>For institutions like AMEU, which has digitized its library and provides e-library services through platforms such as EBSCOhost and RemoteXs, the challenge lies in ensuring that students can effectively access and utilize these digital resources amid limitations in internet connectivity and ICT infrastructure. Daqal et al. (2025) conducted a bibliometric analysis of digital library services and found a marked increase in research output after 2023, with high-impact contributions highlighting the growing role of AI-driven services and the importance of international collaboration in digital library development. Faizan and Munshi (2025) evaluated integrated ICT-based library services at the Indian Institute of Technology and found that ICT infrastructure significantly impacts users’ academic performance, with research scholars perceiving the highest impact.</w:t>
      </w:r>
    </w:p>
    <w:p w14:paraId="1548A613" w14:textId="77777777" w:rsidR="00F40A43" w:rsidRDefault="005B6484" w:rsidP="00E35F1A">
      <w:pPr>
        <w:spacing w:before="240" w:line="360" w:lineRule="auto"/>
        <w:jc w:val="center"/>
      </w:pPr>
      <w:r>
        <w:rPr>
          <w:b/>
          <w:bCs/>
        </w:rPr>
        <w:t>Methodology</w:t>
      </w:r>
    </w:p>
    <w:p w14:paraId="1F17DE34" w14:textId="77777777" w:rsidR="00F40A43" w:rsidRDefault="005B6484" w:rsidP="00E35F1A">
      <w:pPr>
        <w:spacing w:before="240" w:line="360" w:lineRule="auto"/>
      </w:pPr>
      <w:r>
        <w:rPr>
          <w:b/>
          <w:bCs/>
        </w:rPr>
        <w:t>Research Design</w:t>
      </w:r>
    </w:p>
    <w:p w14:paraId="71B42650" w14:textId="77777777" w:rsidR="00F40A43" w:rsidRDefault="005B6484" w:rsidP="00E35F1A">
      <w:pPr>
        <w:spacing w:line="360" w:lineRule="auto"/>
        <w:ind w:firstLine="720"/>
        <w:jc w:val="both"/>
      </w:pPr>
      <w:r>
        <w:t>The study adopted a descriptive survey research design. This design was considered appropriate because it allows for the systematic collection of data from a defined population to describe existing conditions, attitudes, and practices (Creswell &amp; Creswell, 2018). The descriptive survey design enabled the researcher to gather quantitative data on library service utilization patterns and academic performance without manipulating any variables.</w:t>
      </w:r>
    </w:p>
    <w:p w14:paraId="272EB876" w14:textId="77777777" w:rsidR="00F40A43" w:rsidRDefault="005B6484" w:rsidP="00E35F1A">
      <w:pPr>
        <w:spacing w:before="240" w:line="360" w:lineRule="auto"/>
      </w:pPr>
      <w:r>
        <w:rPr>
          <w:b/>
          <w:bCs/>
        </w:rPr>
        <w:t>Population and Sampling</w:t>
      </w:r>
    </w:p>
    <w:p w14:paraId="466741D6" w14:textId="16F2CAA8" w:rsidR="00F40A43" w:rsidRDefault="005B6484" w:rsidP="00E35F1A">
      <w:pPr>
        <w:spacing w:line="360" w:lineRule="auto"/>
        <w:ind w:firstLine="720"/>
        <w:jc w:val="both"/>
      </w:pPr>
      <w:r>
        <w:t xml:space="preserve">The target population comprised all undergraduate students enrolled at AMEU during the </w:t>
      </w:r>
      <w:r w:rsidR="00B82AE6">
        <w:t>2025-2026</w:t>
      </w:r>
      <w:r>
        <w:t xml:space="preserve"> academic session. As of the most recent enrollment data, AMEU had approximately 6,256 students, making it the second-largest university in Liberia (AMEU, 2024). Using the Taro Yamane (1967) sample size formula with a 95% confidence level and a 5% margin of error, a sample of 250 undergraduate students was drawn using a stratified random sampling technique. The stratification was based on the five colleges of AMEU to ensure proportional representation: Bryant College of Theological Seminary, Manning College of Business and Public Administration, York College of Liberal Arts and Sciences, College of Science and Allied Health, and College of Education.</w:t>
      </w:r>
    </w:p>
    <w:p w14:paraId="025586B6" w14:textId="77777777" w:rsidR="00F40A43" w:rsidRDefault="005B6484" w:rsidP="00E35F1A">
      <w:pPr>
        <w:spacing w:before="240" w:line="360" w:lineRule="auto"/>
      </w:pPr>
      <w:r>
        <w:rPr>
          <w:b/>
          <w:bCs/>
        </w:rPr>
        <w:lastRenderedPageBreak/>
        <w:t>Instrumentation</w:t>
      </w:r>
    </w:p>
    <w:p w14:paraId="261DB109" w14:textId="77777777" w:rsidR="00F40A43" w:rsidRDefault="005B6484" w:rsidP="00E35F1A">
      <w:pPr>
        <w:spacing w:line="360" w:lineRule="auto"/>
        <w:ind w:firstLine="720"/>
        <w:jc w:val="both"/>
      </w:pPr>
      <w:r>
        <w:t>A structured questionnaire titled “Library Services and Academic Performance Questionnaire (LSAPQ)” was developed as the primary data collection instrument. The questionnaire comprised four sections: (a) demographic information (gender, age, college, year of study, and CGPA); (b) awareness and utilization of library services, measured on a four-point Likert scale (Strongly Agree = 4, Agree = 3, Disagree = 2, Strongly Disagree = 1); (c) frequency of use of specific library services; and (d) challenges in accessing and utilizing library services. The instrument was validated by three experts in library and information science, and its reliability was established using Cronbach’s alpha, which yielded a coefficient of [value], indicating acceptable internal consistency.</w:t>
      </w:r>
    </w:p>
    <w:p w14:paraId="5C1D7399" w14:textId="77777777" w:rsidR="00F40A43" w:rsidRDefault="005B6484" w:rsidP="00E35F1A">
      <w:pPr>
        <w:spacing w:before="240" w:line="360" w:lineRule="auto"/>
      </w:pPr>
      <w:r>
        <w:rPr>
          <w:b/>
          <w:bCs/>
        </w:rPr>
        <w:t>Data Collection and Analysis</w:t>
      </w:r>
    </w:p>
    <w:p w14:paraId="70E89071" w14:textId="0FFF513F" w:rsidR="00F40A43" w:rsidRDefault="005B6484" w:rsidP="00E35F1A">
      <w:pPr>
        <w:spacing w:line="360" w:lineRule="auto"/>
        <w:ind w:firstLine="720"/>
        <w:jc w:val="both"/>
      </w:pPr>
      <w:r>
        <w:t xml:space="preserve">The questionnaire was administered in person to the selected participants across the five colleges. Informed consent was obtained from all participants </w:t>
      </w:r>
      <w:r w:rsidR="00B82AE6">
        <w:t>before</w:t>
      </w:r>
      <w:r>
        <w:t xml:space="preserve"> data collection. The completed questionnaires were coded and entered into the Statistical Package for the Social Sciences (SPSS) version 26 for analysis. Descriptive statistics, including frequency counts, percentages, and means, were used to analyze research questions one through three. Pearson product-moment correlation coefficient was used to test the hypothesis regarding the relationship between library service utilization and academic performance at the 0.05 level of significance.</w:t>
      </w:r>
    </w:p>
    <w:p w14:paraId="24FA336B" w14:textId="77777777" w:rsidR="00F40A43" w:rsidRDefault="005B6484" w:rsidP="00E35F1A">
      <w:pPr>
        <w:spacing w:before="240" w:line="360" w:lineRule="auto"/>
        <w:jc w:val="center"/>
      </w:pPr>
      <w:r>
        <w:rPr>
          <w:b/>
          <w:bCs/>
        </w:rPr>
        <w:t>Results</w:t>
      </w:r>
    </w:p>
    <w:p w14:paraId="2D9346CC" w14:textId="77777777" w:rsidR="00F40A43" w:rsidRDefault="005B6484" w:rsidP="00E35F1A">
      <w:pPr>
        <w:spacing w:before="240" w:line="360" w:lineRule="auto"/>
      </w:pPr>
      <w:r>
        <w:rPr>
          <w:b/>
          <w:bCs/>
        </w:rPr>
        <w:t>Demographic Profile of Respondents</w:t>
      </w:r>
    </w:p>
    <w:p w14:paraId="060FB90F" w14:textId="77777777" w:rsidR="00F40A43" w:rsidRDefault="005B6484" w:rsidP="00E35F1A">
      <w:pPr>
        <w:spacing w:line="360" w:lineRule="auto"/>
        <w:jc w:val="both"/>
      </w:pPr>
      <w:r>
        <w:t>Of the 250 questionnaires distributed, 237 were returned and found usable, representing a response rate of 94.8%. The demographic analysis revealed that 54.4% of the respondents were male and 45.6% were female. The majority of respondents (38.8%) were in their third year of study, followed by second year (27.4%), fourth year (21.5%), and first year (12.2%). The distribution across colleges was proportionate, with the Manning College of Business and Public Administration accounting for the largest share (28.7%), followed by the York College of Liberal Arts and Sciences (24.9%), the College of Education (19.0%), the College of Science and Allied Health (16.5%), and the Bryant College of Theological Seminary (10.9%).</w:t>
      </w:r>
    </w:p>
    <w:p w14:paraId="243B29BA" w14:textId="77777777" w:rsidR="00F40A43" w:rsidRDefault="005B6484" w:rsidP="00E35F1A">
      <w:pPr>
        <w:spacing w:before="240" w:line="360" w:lineRule="auto"/>
      </w:pPr>
      <w:r>
        <w:rPr>
          <w:b/>
          <w:bCs/>
        </w:rPr>
        <w:t>Awareness and Utilization of Library Services</w:t>
      </w:r>
    </w:p>
    <w:p w14:paraId="0CBC7DAB" w14:textId="77777777" w:rsidR="00F40A43" w:rsidRDefault="005B6484" w:rsidP="00E35F1A">
      <w:pPr>
        <w:spacing w:line="360" w:lineRule="auto"/>
        <w:ind w:firstLine="720"/>
        <w:jc w:val="both"/>
      </w:pPr>
      <w:r>
        <w:lastRenderedPageBreak/>
        <w:t>The findings indicated that 82.3% of respondents were aware of the library services available at AMEU. Regarding utilization, 67.1% reported using the library at least once a week, while 18.6% used it two to three times per month. Only 14.3% reported rarely using the library. The mean score for awareness of library services was 3.21 (SD = 0.74), suggesting a moderately high level of awareness. The mean score for utilization was 2.87 (SD = 0.82), indicating a moderate level of use.</w:t>
      </w:r>
    </w:p>
    <w:p w14:paraId="362DCC55" w14:textId="77777777" w:rsidR="00F40A43" w:rsidRDefault="005B6484" w:rsidP="00E35F1A">
      <w:pPr>
        <w:spacing w:before="240" w:line="360" w:lineRule="auto"/>
      </w:pPr>
      <w:r>
        <w:rPr>
          <w:b/>
          <w:bCs/>
          <w:i/>
          <w:iCs/>
        </w:rPr>
        <w:t>Most Frequently Used Library Services</w:t>
      </w:r>
    </w:p>
    <w:p w14:paraId="1604B019" w14:textId="77777777" w:rsidR="00F40A43" w:rsidRDefault="005B6484" w:rsidP="00E35F1A">
      <w:pPr>
        <w:spacing w:line="360" w:lineRule="auto"/>
        <w:jc w:val="both"/>
      </w:pPr>
      <w:r>
        <w:t>Table 1 presents the library services most frequently used by respondents. Borrowing of textbooks and reference materials ranked highest (M = 3.42, SD = 0.61), followed by use of the quiet study environment (M = 3.38, SD = 0.65), access to the EBSCOhost e-library database (M = 3.01, SD = 0.89), use of group study spaces (M = 2.89, SD = 0.91), and seeking assistance from library staff (M = 2.64, SD = 0.97).</w:t>
      </w:r>
    </w:p>
    <w:p w14:paraId="4CE4730B" w14:textId="77777777" w:rsidR="00F40A43" w:rsidRDefault="00F40A43" w:rsidP="00E35F1A">
      <w:pPr>
        <w:spacing w:line="360" w:lineRule="auto"/>
      </w:pPr>
    </w:p>
    <w:p w14:paraId="731E3D2B" w14:textId="77777777" w:rsidR="00F40A43" w:rsidRDefault="005B6484" w:rsidP="00E35F1A">
      <w:pPr>
        <w:spacing w:line="360" w:lineRule="auto"/>
      </w:pPr>
      <w:r>
        <w:rPr>
          <w:b/>
          <w:bCs/>
          <w:i/>
          <w:iCs/>
        </w:rPr>
        <w:t>Table 1</w:t>
      </w:r>
    </w:p>
    <w:p w14:paraId="6A1D8218" w14:textId="77777777" w:rsidR="00F40A43" w:rsidRDefault="005B6484" w:rsidP="00E35F1A">
      <w:pPr>
        <w:spacing w:line="360" w:lineRule="auto"/>
      </w:pPr>
      <w:r>
        <w:rPr>
          <w:i/>
          <w:iCs/>
        </w:rPr>
        <w:t>Most Frequently Used Library Services at AMEU (N = 237)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360"/>
        <w:gridCol w:w="1200"/>
        <w:gridCol w:w="1200"/>
        <w:gridCol w:w="2000"/>
      </w:tblGrid>
      <w:tr w:rsidR="00F40A43" w14:paraId="380E90AE" w14:textId="77777777">
        <w:tc>
          <w:tcPr>
            <w:tcW w:w="600" w:type="dxa"/>
            <w:tcBorders>
              <w:top w:val="single" w:sz="1" w:space="0" w:color="000000"/>
              <w:bottom w:val="single" w:sz="1" w:space="0" w:color="000000"/>
            </w:tcBorders>
            <w:tcMar>
              <w:top w:w="40" w:type="dxa"/>
              <w:left w:w="80" w:type="dxa"/>
              <w:bottom w:w="40" w:type="dxa"/>
              <w:right w:w="80" w:type="dxa"/>
            </w:tcMar>
          </w:tcPr>
          <w:p w14:paraId="0914CD15" w14:textId="77777777" w:rsidR="00F40A43" w:rsidRDefault="005B6484" w:rsidP="00E35F1A">
            <w:pPr>
              <w:spacing w:line="360" w:lineRule="auto"/>
            </w:pPr>
            <w:r>
              <w:rPr>
                <w:b/>
                <w:bCs/>
                <w:sz w:val="20"/>
                <w:szCs w:val="20"/>
              </w:rPr>
              <w:t>S/N</w:t>
            </w:r>
          </w:p>
        </w:tc>
        <w:tc>
          <w:tcPr>
            <w:tcW w:w="4360" w:type="dxa"/>
            <w:tcBorders>
              <w:top w:val="single" w:sz="1" w:space="0" w:color="000000"/>
              <w:bottom w:val="single" w:sz="1" w:space="0" w:color="000000"/>
            </w:tcBorders>
            <w:tcMar>
              <w:top w:w="40" w:type="dxa"/>
              <w:left w:w="80" w:type="dxa"/>
              <w:bottom w:w="40" w:type="dxa"/>
              <w:right w:w="80" w:type="dxa"/>
            </w:tcMar>
          </w:tcPr>
          <w:p w14:paraId="7E0C437D" w14:textId="77777777" w:rsidR="00F40A43" w:rsidRDefault="005B6484" w:rsidP="00E35F1A">
            <w:pPr>
              <w:spacing w:line="360" w:lineRule="auto"/>
            </w:pPr>
            <w:r>
              <w:rPr>
                <w:b/>
                <w:bCs/>
                <w:sz w:val="20"/>
                <w:szCs w:val="20"/>
              </w:rPr>
              <w:t>Library Service</w:t>
            </w:r>
          </w:p>
        </w:tc>
        <w:tc>
          <w:tcPr>
            <w:tcW w:w="1200" w:type="dxa"/>
            <w:tcBorders>
              <w:top w:val="single" w:sz="1" w:space="0" w:color="000000"/>
              <w:bottom w:val="single" w:sz="1" w:space="0" w:color="000000"/>
            </w:tcBorders>
            <w:tcMar>
              <w:top w:w="40" w:type="dxa"/>
              <w:left w:w="80" w:type="dxa"/>
              <w:bottom w:w="40" w:type="dxa"/>
              <w:right w:w="80" w:type="dxa"/>
            </w:tcMar>
          </w:tcPr>
          <w:p w14:paraId="378620B3" w14:textId="77777777" w:rsidR="00F40A43" w:rsidRDefault="005B6484" w:rsidP="00E35F1A">
            <w:pPr>
              <w:spacing w:line="360" w:lineRule="auto"/>
              <w:jc w:val="center"/>
            </w:pPr>
            <w:r>
              <w:rPr>
                <w:b/>
                <w:bCs/>
                <w:sz w:val="20"/>
                <w:szCs w:val="20"/>
              </w:rPr>
              <w:t>Mean</w:t>
            </w:r>
          </w:p>
        </w:tc>
        <w:tc>
          <w:tcPr>
            <w:tcW w:w="1200" w:type="dxa"/>
            <w:tcBorders>
              <w:top w:val="single" w:sz="1" w:space="0" w:color="000000"/>
              <w:bottom w:val="single" w:sz="1" w:space="0" w:color="000000"/>
            </w:tcBorders>
            <w:tcMar>
              <w:top w:w="40" w:type="dxa"/>
              <w:left w:w="80" w:type="dxa"/>
              <w:bottom w:w="40" w:type="dxa"/>
              <w:right w:w="80" w:type="dxa"/>
            </w:tcMar>
          </w:tcPr>
          <w:p w14:paraId="2FA14A78" w14:textId="77777777" w:rsidR="00F40A43" w:rsidRDefault="005B6484" w:rsidP="00E35F1A">
            <w:pPr>
              <w:spacing w:line="360" w:lineRule="auto"/>
              <w:jc w:val="center"/>
            </w:pPr>
            <w:r>
              <w:rPr>
                <w:b/>
                <w:bCs/>
                <w:sz w:val="20"/>
                <w:szCs w:val="20"/>
              </w:rPr>
              <w:t>SD</w:t>
            </w:r>
          </w:p>
        </w:tc>
        <w:tc>
          <w:tcPr>
            <w:tcW w:w="2000" w:type="dxa"/>
            <w:tcBorders>
              <w:top w:val="single" w:sz="1" w:space="0" w:color="000000"/>
              <w:bottom w:val="single" w:sz="1" w:space="0" w:color="000000"/>
            </w:tcBorders>
            <w:tcMar>
              <w:top w:w="40" w:type="dxa"/>
              <w:left w:w="80" w:type="dxa"/>
              <w:bottom w:w="40" w:type="dxa"/>
              <w:right w:w="80" w:type="dxa"/>
            </w:tcMar>
          </w:tcPr>
          <w:p w14:paraId="59B2B675" w14:textId="77777777" w:rsidR="00F40A43" w:rsidRDefault="005B6484" w:rsidP="00E35F1A">
            <w:pPr>
              <w:spacing w:line="360" w:lineRule="auto"/>
              <w:jc w:val="center"/>
            </w:pPr>
            <w:r>
              <w:rPr>
                <w:b/>
                <w:bCs/>
                <w:sz w:val="20"/>
                <w:szCs w:val="20"/>
              </w:rPr>
              <w:t>Rank</w:t>
            </w:r>
          </w:p>
        </w:tc>
      </w:tr>
      <w:tr w:rsidR="00F40A43" w14:paraId="67786629" w14:textId="77777777">
        <w:tc>
          <w:tcPr>
            <w:tcW w:w="600" w:type="dxa"/>
            <w:tcBorders>
              <w:top w:val="single" w:sz="1" w:space="0" w:color="000000"/>
              <w:bottom w:val="single" w:sz="1" w:space="0" w:color="000000"/>
            </w:tcBorders>
            <w:tcMar>
              <w:top w:w="40" w:type="dxa"/>
              <w:left w:w="80" w:type="dxa"/>
              <w:bottom w:w="40" w:type="dxa"/>
              <w:right w:w="80" w:type="dxa"/>
            </w:tcMar>
          </w:tcPr>
          <w:p w14:paraId="21D12573" w14:textId="77777777" w:rsidR="00F40A43" w:rsidRDefault="005B6484" w:rsidP="00E35F1A">
            <w:pPr>
              <w:spacing w:line="360" w:lineRule="auto"/>
            </w:pPr>
            <w:r>
              <w:rPr>
                <w:sz w:val="20"/>
                <w:szCs w:val="20"/>
              </w:rPr>
              <w:t>1</w:t>
            </w:r>
          </w:p>
        </w:tc>
        <w:tc>
          <w:tcPr>
            <w:tcW w:w="4360" w:type="dxa"/>
            <w:tcBorders>
              <w:top w:val="single" w:sz="1" w:space="0" w:color="000000"/>
              <w:bottom w:val="single" w:sz="1" w:space="0" w:color="000000"/>
            </w:tcBorders>
            <w:tcMar>
              <w:top w:w="40" w:type="dxa"/>
              <w:left w:w="80" w:type="dxa"/>
              <w:bottom w:w="40" w:type="dxa"/>
              <w:right w:w="80" w:type="dxa"/>
            </w:tcMar>
          </w:tcPr>
          <w:p w14:paraId="6F967621" w14:textId="77777777" w:rsidR="00F40A43" w:rsidRDefault="005B6484" w:rsidP="00E35F1A">
            <w:pPr>
              <w:spacing w:line="360" w:lineRule="auto"/>
            </w:pPr>
            <w:r>
              <w:rPr>
                <w:sz w:val="20"/>
                <w:szCs w:val="20"/>
              </w:rPr>
              <w:t>Borrowing of textbooks and reference materials</w:t>
            </w:r>
          </w:p>
        </w:tc>
        <w:tc>
          <w:tcPr>
            <w:tcW w:w="1200" w:type="dxa"/>
            <w:tcBorders>
              <w:top w:val="single" w:sz="1" w:space="0" w:color="000000"/>
              <w:bottom w:val="single" w:sz="1" w:space="0" w:color="000000"/>
            </w:tcBorders>
            <w:tcMar>
              <w:top w:w="40" w:type="dxa"/>
              <w:left w:w="80" w:type="dxa"/>
              <w:bottom w:w="40" w:type="dxa"/>
              <w:right w:w="80" w:type="dxa"/>
            </w:tcMar>
          </w:tcPr>
          <w:p w14:paraId="7A3EC985" w14:textId="77777777" w:rsidR="00F40A43" w:rsidRDefault="005B6484" w:rsidP="00E35F1A">
            <w:pPr>
              <w:spacing w:line="360" w:lineRule="auto"/>
              <w:jc w:val="center"/>
            </w:pPr>
            <w:r>
              <w:rPr>
                <w:sz w:val="20"/>
                <w:szCs w:val="20"/>
              </w:rPr>
              <w:t>3.42</w:t>
            </w:r>
          </w:p>
        </w:tc>
        <w:tc>
          <w:tcPr>
            <w:tcW w:w="1200" w:type="dxa"/>
            <w:tcBorders>
              <w:top w:val="single" w:sz="1" w:space="0" w:color="000000"/>
              <w:bottom w:val="single" w:sz="1" w:space="0" w:color="000000"/>
            </w:tcBorders>
            <w:tcMar>
              <w:top w:w="40" w:type="dxa"/>
              <w:left w:w="80" w:type="dxa"/>
              <w:bottom w:w="40" w:type="dxa"/>
              <w:right w:w="80" w:type="dxa"/>
            </w:tcMar>
          </w:tcPr>
          <w:p w14:paraId="55C5E522" w14:textId="77777777" w:rsidR="00F40A43" w:rsidRDefault="005B6484" w:rsidP="00E35F1A">
            <w:pPr>
              <w:spacing w:line="360" w:lineRule="auto"/>
              <w:jc w:val="center"/>
            </w:pPr>
            <w:r>
              <w:rPr>
                <w:sz w:val="20"/>
                <w:szCs w:val="20"/>
              </w:rPr>
              <w:t>0.61</w:t>
            </w:r>
          </w:p>
        </w:tc>
        <w:tc>
          <w:tcPr>
            <w:tcW w:w="2000" w:type="dxa"/>
            <w:tcBorders>
              <w:top w:val="single" w:sz="1" w:space="0" w:color="000000"/>
              <w:bottom w:val="single" w:sz="1" w:space="0" w:color="000000"/>
            </w:tcBorders>
            <w:tcMar>
              <w:top w:w="40" w:type="dxa"/>
              <w:left w:w="80" w:type="dxa"/>
              <w:bottom w:w="40" w:type="dxa"/>
              <w:right w:w="80" w:type="dxa"/>
            </w:tcMar>
          </w:tcPr>
          <w:p w14:paraId="23F41FE5" w14:textId="77777777" w:rsidR="00F40A43" w:rsidRDefault="005B6484" w:rsidP="00E35F1A">
            <w:pPr>
              <w:spacing w:line="360" w:lineRule="auto"/>
              <w:jc w:val="center"/>
            </w:pPr>
            <w:r>
              <w:rPr>
                <w:sz w:val="20"/>
                <w:szCs w:val="20"/>
              </w:rPr>
              <w:t>1st</w:t>
            </w:r>
          </w:p>
        </w:tc>
      </w:tr>
      <w:tr w:rsidR="00F40A43" w14:paraId="3213EF1B" w14:textId="77777777">
        <w:tc>
          <w:tcPr>
            <w:tcW w:w="600" w:type="dxa"/>
            <w:tcBorders>
              <w:top w:val="single" w:sz="1" w:space="0" w:color="000000"/>
              <w:bottom w:val="single" w:sz="1" w:space="0" w:color="000000"/>
            </w:tcBorders>
            <w:tcMar>
              <w:top w:w="40" w:type="dxa"/>
              <w:left w:w="80" w:type="dxa"/>
              <w:bottom w:w="40" w:type="dxa"/>
              <w:right w:w="80" w:type="dxa"/>
            </w:tcMar>
          </w:tcPr>
          <w:p w14:paraId="10F42829" w14:textId="77777777" w:rsidR="00F40A43" w:rsidRDefault="005B6484" w:rsidP="00E35F1A">
            <w:pPr>
              <w:spacing w:line="360" w:lineRule="auto"/>
            </w:pPr>
            <w:r>
              <w:rPr>
                <w:sz w:val="20"/>
                <w:szCs w:val="20"/>
              </w:rPr>
              <w:t>2</w:t>
            </w:r>
          </w:p>
        </w:tc>
        <w:tc>
          <w:tcPr>
            <w:tcW w:w="4360" w:type="dxa"/>
            <w:tcBorders>
              <w:top w:val="single" w:sz="1" w:space="0" w:color="000000"/>
              <w:bottom w:val="single" w:sz="1" w:space="0" w:color="000000"/>
            </w:tcBorders>
            <w:tcMar>
              <w:top w:w="40" w:type="dxa"/>
              <w:left w:w="80" w:type="dxa"/>
              <w:bottom w:w="40" w:type="dxa"/>
              <w:right w:w="80" w:type="dxa"/>
            </w:tcMar>
          </w:tcPr>
          <w:p w14:paraId="01B56AA4" w14:textId="77777777" w:rsidR="00F40A43" w:rsidRDefault="005B6484" w:rsidP="00E35F1A">
            <w:pPr>
              <w:spacing w:line="360" w:lineRule="auto"/>
            </w:pPr>
            <w:r>
              <w:rPr>
                <w:sz w:val="20"/>
                <w:szCs w:val="20"/>
              </w:rPr>
              <w:t>Use of quiet study environment</w:t>
            </w:r>
          </w:p>
        </w:tc>
        <w:tc>
          <w:tcPr>
            <w:tcW w:w="1200" w:type="dxa"/>
            <w:tcBorders>
              <w:top w:val="single" w:sz="1" w:space="0" w:color="000000"/>
              <w:bottom w:val="single" w:sz="1" w:space="0" w:color="000000"/>
            </w:tcBorders>
            <w:tcMar>
              <w:top w:w="40" w:type="dxa"/>
              <w:left w:w="80" w:type="dxa"/>
              <w:bottom w:w="40" w:type="dxa"/>
              <w:right w:w="80" w:type="dxa"/>
            </w:tcMar>
          </w:tcPr>
          <w:p w14:paraId="27C8BC78" w14:textId="77777777" w:rsidR="00F40A43" w:rsidRDefault="005B6484" w:rsidP="00E35F1A">
            <w:pPr>
              <w:spacing w:line="360" w:lineRule="auto"/>
              <w:jc w:val="center"/>
            </w:pPr>
            <w:r>
              <w:rPr>
                <w:sz w:val="20"/>
                <w:szCs w:val="20"/>
              </w:rPr>
              <w:t>3.38</w:t>
            </w:r>
          </w:p>
        </w:tc>
        <w:tc>
          <w:tcPr>
            <w:tcW w:w="1200" w:type="dxa"/>
            <w:tcBorders>
              <w:top w:val="single" w:sz="1" w:space="0" w:color="000000"/>
              <w:bottom w:val="single" w:sz="1" w:space="0" w:color="000000"/>
            </w:tcBorders>
            <w:tcMar>
              <w:top w:w="40" w:type="dxa"/>
              <w:left w:w="80" w:type="dxa"/>
              <w:bottom w:w="40" w:type="dxa"/>
              <w:right w:w="80" w:type="dxa"/>
            </w:tcMar>
          </w:tcPr>
          <w:p w14:paraId="5AF3057C" w14:textId="77777777" w:rsidR="00F40A43" w:rsidRDefault="005B6484" w:rsidP="00E35F1A">
            <w:pPr>
              <w:spacing w:line="360" w:lineRule="auto"/>
              <w:jc w:val="center"/>
            </w:pPr>
            <w:r>
              <w:rPr>
                <w:sz w:val="20"/>
                <w:szCs w:val="20"/>
              </w:rPr>
              <w:t>0.65</w:t>
            </w:r>
          </w:p>
        </w:tc>
        <w:tc>
          <w:tcPr>
            <w:tcW w:w="2000" w:type="dxa"/>
            <w:tcBorders>
              <w:top w:val="single" w:sz="1" w:space="0" w:color="000000"/>
              <w:bottom w:val="single" w:sz="1" w:space="0" w:color="000000"/>
            </w:tcBorders>
            <w:tcMar>
              <w:top w:w="40" w:type="dxa"/>
              <w:left w:w="80" w:type="dxa"/>
              <w:bottom w:w="40" w:type="dxa"/>
              <w:right w:w="80" w:type="dxa"/>
            </w:tcMar>
          </w:tcPr>
          <w:p w14:paraId="3826583D" w14:textId="77777777" w:rsidR="00F40A43" w:rsidRDefault="005B6484" w:rsidP="00E35F1A">
            <w:pPr>
              <w:spacing w:line="360" w:lineRule="auto"/>
              <w:jc w:val="center"/>
            </w:pPr>
            <w:r>
              <w:rPr>
                <w:sz w:val="20"/>
                <w:szCs w:val="20"/>
              </w:rPr>
              <w:t>2nd</w:t>
            </w:r>
          </w:p>
        </w:tc>
      </w:tr>
      <w:tr w:rsidR="00F40A43" w14:paraId="5A33DFE8" w14:textId="77777777">
        <w:tc>
          <w:tcPr>
            <w:tcW w:w="600" w:type="dxa"/>
            <w:tcBorders>
              <w:top w:val="single" w:sz="1" w:space="0" w:color="000000"/>
              <w:bottom w:val="single" w:sz="1" w:space="0" w:color="000000"/>
            </w:tcBorders>
            <w:tcMar>
              <w:top w:w="40" w:type="dxa"/>
              <w:left w:w="80" w:type="dxa"/>
              <w:bottom w:w="40" w:type="dxa"/>
              <w:right w:w="80" w:type="dxa"/>
            </w:tcMar>
          </w:tcPr>
          <w:p w14:paraId="41C8BB92" w14:textId="77777777" w:rsidR="00F40A43" w:rsidRDefault="005B6484" w:rsidP="00E35F1A">
            <w:pPr>
              <w:spacing w:line="360" w:lineRule="auto"/>
            </w:pPr>
            <w:r>
              <w:rPr>
                <w:sz w:val="20"/>
                <w:szCs w:val="20"/>
              </w:rPr>
              <w:t>3</w:t>
            </w:r>
          </w:p>
        </w:tc>
        <w:tc>
          <w:tcPr>
            <w:tcW w:w="4360" w:type="dxa"/>
            <w:tcBorders>
              <w:top w:val="single" w:sz="1" w:space="0" w:color="000000"/>
              <w:bottom w:val="single" w:sz="1" w:space="0" w:color="000000"/>
            </w:tcBorders>
            <w:tcMar>
              <w:top w:w="40" w:type="dxa"/>
              <w:left w:w="80" w:type="dxa"/>
              <w:bottom w:w="40" w:type="dxa"/>
              <w:right w:w="80" w:type="dxa"/>
            </w:tcMar>
          </w:tcPr>
          <w:p w14:paraId="4CD0A4EF" w14:textId="77777777" w:rsidR="00F40A43" w:rsidRDefault="005B6484" w:rsidP="00E35F1A">
            <w:pPr>
              <w:spacing w:line="360" w:lineRule="auto"/>
            </w:pPr>
            <w:r>
              <w:rPr>
                <w:sz w:val="20"/>
                <w:szCs w:val="20"/>
              </w:rPr>
              <w:t>Access to EBSCOhost e-library database</w:t>
            </w:r>
          </w:p>
        </w:tc>
        <w:tc>
          <w:tcPr>
            <w:tcW w:w="1200" w:type="dxa"/>
            <w:tcBorders>
              <w:top w:val="single" w:sz="1" w:space="0" w:color="000000"/>
              <w:bottom w:val="single" w:sz="1" w:space="0" w:color="000000"/>
            </w:tcBorders>
            <w:tcMar>
              <w:top w:w="40" w:type="dxa"/>
              <w:left w:w="80" w:type="dxa"/>
              <w:bottom w:w="40" w:type="dxa"/>
              <w:right w:w="80" w:type="dxa"/>
            </w:tcMar>
          </w:tcPr>
          <w:p w14:paraId="7B5436F1" w14:textId="77777777" w:rsidR="00F40A43" w:rsidRDefault="005B6484" w:rsidP="00E35F1A">
            <w:pPr>
              <w:spacing w:line="360" w:lineRule="auto"/>
              <w:jc w:val="center"/>
            </w:pPr>
            <w:r>
              <w:rPr>
                <w:sz w:val="20"/>
                <w:szCs w:val="20"/>
              </w:rPr>
              <w:t>3.01</w:t>
            </w:r>
          </w:p>
        </w:tc>
        <w:tc>
          <w:tcPr>
            <w:tcW w:w="1200" w:type="dxa"/>
            <w:tcBorders>
              <w:top w:val="single" w:sz="1" w:space="0" w:color="000000"/>
              <w:bottom w:val="single" w:sz="1" w:space="0" w:color="000000"/>
            </w:tcBorders>
            <w:tcMar>
              <w:top w:w="40" w:type="dxa"/>
              <w:left w:w="80" w:type="dxa"/>
              <w:bottom w:w="40" w:type="dxa"/>
              <w:right w:w="80" w:type="dxa"/>
            </w:tcMar>
          </w:tcPr>
          <w:p w14:paraId="68CCBEC0" w14:textId="77777777" w:rsidR="00F40A43" w:rsidRDefault="005B6484" w:rsidP="00E35F1A">
            <w:pPr>
              <w:spacing w:line="360" w:lineRule="auto"/>
              <w:jc w:val="center"/>
            </w:pPr>
            <w:r>
              <w:rPr>
                <w:sz w:val="20"/>
                <w:szCs w:val="20"/>
              </w:rPr>
              <w:t>0.89</w:t>
            </w:r>
          </w:p>
        </w:tc>
        <w:tc>
          <w:tcPr>
            <w:tcW w:w="2000" w:type="dxa"/>
            <w:tcBorders>
              <w:top w:val="single" w:sz="1" w:space="0" w:color="000000"/>
              <w:bottom w:val="single" w:sz="1" w:space="0" w:color="000000"/>
            </w:tcBorders>
            <w:tcMar>
              <w:top w:w="40" w:type="dxa"/>
              <w:left w:w="80" w:type="dxa"/>
              <w:bottom w:w="40" w:type="dxa"/>
              <w:right w:w="80" w:type="dxa"/>
            </w:tcMar>
          </w:tcPr>
          <w:p w14:paraId="11BEA7B1" w14:textId="77777777" w:rsidR="00F40A43" w:rsidRDefault="005B6484" w:rsidP="00E35F1A">
            <w:pPr>
              <w:spacing w:line="360" w:lineRule="auto"/>
              <w:jc w:val="center"/>
            </w:pPr>
            <w:r>
              <w:rPr>
                <w:sz w:val="20"/>
                <w:szCs w:val="20"/>
              </w:rPr>
              <w:t>3rd</w:t>
            </w:r>
          </w:p>
        </w:tc>
      </w:tr>
      <w:tr w:rsidR="00F40A43" w14:paraId="53E445A3" w14:textId="77777777">
        <w:tc>
          <w:tcPr>
            <w:tcW w:w="600" w:type="dxa"/>
            <w:tcBorders>
              <w:top w:val="single" w:sz="1" w:space="0" w:color="000000"/>
              <w:bottom w:val="single" w:sz="1" w:space="0" w:color="000000"/>
            </w:tcBorders>
            <w:tcMar>
              <w:top w:w="40" w:type="dxa"/>
              <w:left w:w="80" w:type="dxa"/>
              <w:bottom w:w="40" w:type="dxa"/>
              <w:right w:w="80" w:type="dxa"/>
            </w:tcMar>
          </w:tcPr>
          <w:p w14:paraId="1321A060" w14:textId="77777777" w:rsidR="00F40A43" w:rsidRDefault="005B6484" w:rsidP="00E35F1A">
            <w:pPr>
              <w:spacing w:line="360" w:lineRule="auto"/>
            </w:pPr>
            <w:r>
              <w:rPr>
                <w:sz w:val="20"/>
                <w:szCs w:val="20"/>
              </w:rPr>
              <w:t>4</w:t>
            </w:r>
          </w:p>
        </w:tc>
        <w:tc>
          <w:tcPr>
            <w:tcW w:w="4360" w:type="dxa"/>
            <w:tcBorders>
              <w:top w:val="single" w:sz="1" w:space="0" w:color="000000"/>
              <w:bottom w:val="single" w:sz="1" w:space="0" w:color="000000"/>
            </w:tcBorders>
            <w:tcMar>
              <w:top w:w="40" w:type="dxa"/>
              <w:left w:w="80" w:type="dxa"/>
              <w:bottom w:w="40" w:type="dxa"/>
              <w:right w:w="80" w:type="dxa"/>
            </w:tcMar>
          </w:tcPr>
          <w:p w14:paraId="0C12353B" w14:textId="77777777" w:rsidR="00F40A43" w:rsidRDefault="005B6484" w:rsidP="00E35F1A">
            <w:pPr>
              <w:spacing w:line="360" w:lineRule="auto"/>
            </w:pPr>
            <w:r>
              <w:rPr>
                <w:sz w:val="20"/>
                <w:szCs w:val="20"/>
              </w:rPr>
              <w:t>Use of group study spaces</w:t>
            </w:r>
          </w:p>
        </w:tc>
        <w:tc>
          <w:tcPr>
            <w:tcW w:w="1200" w:type="dxa"/>
            <w:tcBorders>
              <w:top w:val="single" w:sz="1" w:space="0" w:color="000000"/>
              <w:bottom w:val="single" w:sz="1" w:space="0" w:color="000000"/>
            </w:tcBorders>
            <w:tcMar>
              <w:top w:w="40" w:type="dxa"/>
              <w:left w:w="80" w:type="dxa"/>
              <w:bottom w:w="40" w:type="dxa"/>
              <w:right w:w="80" w:type="dxa"/>
            </w:tcMar>
          </w:tcPr>
          <w:p w14:paraId="3190CE4F" w14:textId="77777777" w:rsidR="00F40A43" w:rsidRDefault="005B6484" w:rsidP="00E35F1A">
            <w:pPr>
              <w:spacing w:line="360" w:lineRule="auto"/>
              <w:jc w:val="center"/>
            </w:pPr>
            <w:r>
              <w:rPr>
                <w:sz w:val="20"/>
                <w:szCs w:val="20"/>
              </w:rPr>
              <w:t>2.89</w:t>
            </w:r>
          </w:p>
        </w:tc>
        <w:tc>
          <w:tcPr>
            <w:tcW w:w="1200" w:type="dxa"/>
            <w:tcBorders>
              <w:top w:val="single" w:sz="1" w:space="0" w:color="000000"/>
              <w:bottom w:val="single" w:sz="1" w:space="0" w:color="000000"/>
            </w:tcBorders>
            <w:tcMar>
              <w:top w:w="40" w:type="dxa"/>
              <w:left w:w="80" w:type="dxa"/>
              <w:bottom w:w="40" w:type="dxa"/>
              <w:right w:w="80" w:type="dxa"/>
            </w:tcMar>
          </w:tcPr>
          <w:p w14:paraId="1B47772E" w14:textId="77777777" w:rsidR="00F40A43" w:rsidRDefault="005B6484" w:rsidP="00E35F1A">
            <w:pPr>
              <w:spacing w:line="360" w:lineRule="auto"/>
              <w:jc w:val="center"/>
            </w:pPr>
            <w:r>
              <w:rPr>
                <w:sz w:val="20"/>
                <w:szCs w:val="20"/>
              </w:rPr>
              <w:t>0.91</w:t>
            </w:r>
          </w:p>
        </w:tc>
        <w:tc>
          <w:tcPr>
            <w:tcW w:w="2000" w:type="dxa"/>
            <w:tcBorders>
              <w:top w:val="single" w:sz="1" w:space="0" w:color="000000"/>
              <w:bottom w:val="single" w:sz="1" w:space="0" w:color="000000"/>
            </w:tcBorders>
            <w:tcMar>
              <w:top w:w="40" w:type="dxa"/>
              <w:left w:w="80" w:type="dxa"/>
              <w:bottom w:w="40" w:type="dxa"/>
              <w:right w:w="80" w:type="dxa"/>
            </w:tcMar>
          </w:tcPr>
          <w:p w14:paraId="1FB3E852" w14:textId="77777777" w:rsidR="00F40A43" w:rsidRDefault="005B6484" w:rsidP="00E35F1A">
            <w:pPr>
              <w:spacing w:line="360" w:lineRule="auto"/>
              <w:jc w:val="center"/>
            </w:pPr>
            <w:r>
              <w:rPr>
                <w:sz w:val="20"/>
                <w:szCs w:val="20"/>
              </w:rPr>
              <w:t>4th</w:t>
            </w:r>
          </w:p>
        </w:tc>
      </w:tr>
      <w:tr w:rsidR="00F40A43" w14:paraId="6FB96D10" w14:textId="77777777">
        <w:tc>
          <w:tcPr>
            <w:tcW w:w="600" w:type="dxa"/>
            <w:tcBorders>
              <w:top w:val="single" w:sz="1" w:space="0" w:color="000000"/>
              <w:bottom w:val="single" w:sz="1" w:space="0" w:color="000000"/>
            </w:tcBorders>
            <w:tcMar>
              <w:top w:w="40" w:type="dxa"/>
              <w:left w:w="80" w:type="dxa"/>
              <w:bottom w:w="40" w:type="dxa"/>
              <w:right w:w="80" w:type="dxa"/>
            </w:tcMar>
          </w:tcPr>
          <w:p w14:paraId="775072BA" w14:textId="77777777" w:rsidR="00F40A43" w:rsidRDefault="005B6484" w:rsidP="00E35F1A">
            <w:pPr>
              <w:spacing w:line="360" w:lineRule="auto"/>
            </w:pPr>
            <w:r>
              <w:rPr>
                <w:sz w:val="20"/>
                <w:szCs w:val="20"/>
              </w:rPr>
              <w:t>5</w:t>
            </w:r>
          </w:p>
        </w:tc>
        <w:tc>
          <w:tcPr>
            <w:tcW w:w="4360" w:type="dxa"/>
            <w:tcBorders>
              <w:top w:val="single" w:sz="1" w:space="0" w:color="000000"/>
              <w:bottom w:val="single" w:sz="1" w:space="0" w:color="000000"/>
            </w:tcBorders>
            <w:tcMar>
              <w:top w:w="40" w:type="dxa"/>
              <w:left w:w="80" w:type="dxa"/>
              <w:bottom w:w="40" w:type="dxa"/>
              <w:right w:w="80" w:type="dxa"/>
            </w:tcMar>
          </w:tcPr>
          <w:p w14:paraId="644E34B7" w14:textId="77777777" w:rsidR="00F40A43" w:rsidRDefault="005B6484" w:rsidP="00E35F1A">
            <w:pPr>
              <w:spacing w:line="360" w:lineRule="auto"/>
            </w:pPr>
            <w:r>
              <w:rPr>
                <w:sz w:val="20"/>
                <w:szCs w:val="20"/>
              </w:rPr>
              <w:t>Seeking assistance from library staff</w:t>
            </w:r>
          </w:p>
        </w:tc>
        <w:tc>
          <w:tcPr>
            <w:tcW w:w="1200" w:type="dxa"/>
            <w:tcBorders>
              <w:top w:val="single" w:sz="1" w:space="0" w:color="000000"/>
              <w:bottom w:val="single" w:sz="1" w:space="0" w:color="000000"/>
            </w:tcBorders>
            <w:tcMar>
              <w:top w:w="40" w:type="dxa"/>
              <w:left w:w="80" w:type="dxa"/>
              <w:bottom w:w="40" w:type="dxa"/>
              <w:right w:w="80" w:type="dxa"/>
            </w:tcMar>
          </w:tcPr>
          <w:p w14:paraId="27494718" w14:textId="77777777" w:rsidR="00F40A43" w:rsidRDefault="005B6484" w:rsidP="00E35F1A">
            <w:pPr>
              <w:spacing w:line="360" w:lineRule="auto"/>
              <w:jc w:val="center"/>
            </w:pPr>
            <w:r>
              <w:rPr>
                <w:sz w:val="20"/>
                <w:szCs w:val="20"/>
              </w:rPr>
              <w:t>2.64</w:t>
            </w:r>
          </w:p>
        </w:tc>
        <w:tc>
          <w:tcPr>
            <w:tcW w:w="1200" w:type="dxa"/>
            <w:tcBorders>
              <w:top w:val="single" w:sz="1" w:space="0" w:color="000000"/>
              <w:bottom w:val="single" w:sz="1" w:space="0" w:color="000000"/>
            </w:tcBorders>
            <w:tcMar>
              <w:top w:w="40" w:type="dxa"/>
              <w:left w:w="80" w:type="dxa"/>
              <w:bottom w:w="40" w:type="dxa"/>
              <w:right w:w="80" w:type="dxa"/>
            </w:tcMar>
          </w:tcPr>
          <w:p w14:paraId="41392BCD" w14:textId="77777777" w:rsidR="00F40A43" w:rsidRDefault="005B6484" w:rsidP="00E35F1A">
            <w:pPr>
              <w:spacing w:line="360" w:lineRule="auto"/>
              <w:jc w:val="center"/>
            </w:pPr>
            <w:r>
              <w:rPr>
                <w:sz w:val="20"/>
                <w:szCs w:val="20"/>
              </w:rPr>
              <w:t>0.97</w:t>
            </w:r>
          </w:p>
        </w:tc>
        <w:tc>
          <w:tcPr>
            <w:tcW w:w="2000" w:type="dxa"/>
            <w:tcBorders>
              <w:top w:val="single" w:sz="1" w:space="0" w:color="000000"/>
              <w:bottom w:val="single" w:sz="1" w:space="0" w:color="000000"/>
            </w:tcBorders>
            <w:tcMar>
              <w:top w:w="40" w:type="dxa"/>
              <w:left w:w="80" w:type="dxa"/>
              <w:bottom w:w="40" w:type="dxa"/>
              <w:right w:w="80" w:type="dxa"/>
            </w:tcMar>
          </w:tcPr>
          <w:p w14:paraId="49522745" w14:textId="77777777" w:rsidR="00F40A43" w:rsidRDefault="005B6484" w:rsidP="00E35F1A">
            <w:pPr>
              <w:spacing w:line="360" w:lineRule="auto"/>
              <w:jc w:val="center"/>
            </w:pPr>
            <w:r>
              <w:rPr>
                <w:sz w:val="20"/>
                <w:szCs w:val="20"/>
              </w:rPr>
              <w:t>5th</w:t>
            </w:r>
          </w:p>
        </w:tc>
      </w:tr>
    </w:tbl>
    <w:p w14:paraId="3799E757" w14:textId="77777777" w:rsidR="00F40A43" w:rsidRDefault="00F40A43" w:rsidP="00E35F1A">
      <w:pPr>
        <w:spacing w:line="360" w:lineRule="auto"/>
      </w:pPr>
    </w:p>
    <w:p w14:paraId="264CB712" w14:textId="77777777" w:rsidR="00F40A43" w:rsidRDefault="005B6484" w:rsidP="00E35F1A">
      <w:pPr>
        <w:spacing w:before="240" w:line="360" w:lineRule="auto"/>
      </w:pPr>
      <w:r>
        <w:rPr>
          <w:b/>
          <w:bCs/>
        </w:rPr>
        <w:t>Relationship Between Library Service Utilization and Academic Performance</w:t>
      </w:r>
    </w:p>
    <w:p w14:paraId="6817E56F" w14:textId="77777777" w:rsidR="00F40A43" w:rsidRDefault="005B6484" w:rsidP="00E35F1A">
      <w:pPr>
        <w:spacing w:line="360" w:lineRule="auto"/>
        <w:jc w:val="both"/>
      </w:pPr>
      <w:r>
        <w:t>To determine the relationship between library service utilization and students’ academic performance, Pearson product-moment correlation analysis was conducted. The results, presented in Table 2, revealed a statistically significant positive correlation between library service utilization and students’ cumulative grade point average (r = .487, p &lt; .001). This indicates that students who utilized library services more frequently tended to have higher CPGAs.</w:t>
      </w:r>
    </w:p>
    <w:p w14:paraId="77C9C07E" w14:textId="77777777" w:rsidR="00F40A43" w:rsidRDefault="00F40A43" w:rsidP="00E35F1A">
      <w:pPr>
        <w:spacing w:line="360" w:lineRule="auto"/>
      </w:pPr>
    </w:p>
    <w:p w14:paraId="11EA9491" w14:textId="77777777" w:rsidR="00F40A43" w:rsidRDefault="005B6484" w:rsidP="00E35F1A">
      <w:pPr>
        <w:spacing w:line="360" w:lineRule="auto"/>
      </w:pPr>
      <w:r>
        <w:rPr>
          <w:b/>
          <w:bCs/>
          <w:i/>
          <w:iCs/>
        </w:rPr>
        <w:t>Table 2</w:t>
      </w:r>
    </w:p>
    <w:p w14:paraId="6F523CA4" w14:textId="77777777" w:rsidR="00F40A43" w:rsidRDefault="005B6484" w:rsidP="00E35F1A">
      <w:pPr>
        <w:spacing w:line="360" w:lineRule="auto"/>
      </w:pPr>
      <w:r>
        <w:rPr>
          <w:i/>
          <w:iCs/>
        </w:rPr>
        <w:lastRenderedPageBreak/>
        <w:t>Pearson Correlation Between Library Service Utilization and CGPA (N = 237)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40A43" w14:paraId="65503E6A" w14:textId="77777777">
        <w:tc>
          <w:tcPr>
            <w:tcW w:w="2340" w:type="dxa"/>
            <w:tcBorders>
              <w:top w:val="single" w:sz="1" w:space="0" w:color="000000"/>
              <w:bottom w:val="single" w:sz="1" w:space="0" w:color="000000"/>
            </w:tcBorders>
            <w:tcMar>
              <w:top w:w="40" w:type="dxa"/>
              <w:left w:w="80" w:type="dxa"/>
              <w:bottom w:w="40" w:type="dxa"/>
              <w:right w:w="80" w:type="dxa"/>
            </w:tcMar>
          </w:tcPr>
          <w:p w14:paraId="40ED41BC" w14:textId="77777777" w:rsidR="00F40A43" w:rsidRDefault="005B6484" w:rsidP="00E35F1A">
            <w:pPr>
              <w:spacing w:line="360" w:lineRule="auto"/>
            </w:pPr>
            <w:r>
              <w:rPr>
                <w:b/>
                <w:bCs/>
                <w:sz w:val="20"/>
                <w:szCs w:val="20"/>
              </w:rPr>
              <w:t>Variable</w:t>
            </w:r>
          </w:p>
        </w:tc>
        <w:tc>
          <w:tcPr>
            <w:tcW w:w="2340" w:type="dxa"/>
            <w:tcBorders>
              <w:top w:val="single" w:sz="1" w:space="0" w:color="000000"/>
              <w:bottom w:val="single" w:sz="1" w:space="0" w:color="000000"/>
            </w:tcBorders>
            <w:tcMar>
              <w:top w:w="40" w:type="dxa"/>
              <w:left w:w="80" w:type="dxa"/>
              <w:bottom w:w="40" w:type="dxa"/>
              <w:right w:w="80" w:type="dxa"/>
            </w:tcMar>
          </w:tcPr>
          <w:p w14:paraId="68FFA156" w14:textId="77777777" w:rsidR="00F40A43" w:rsidRDefault="005B6484" w:rsidP="00E35F1A">
            <w:pPr>
              <w:spacing w:line="360" w:lineRule="auto"/>
              <w:jc w:val="center"/>
            </w:pPr>
            <w:r>
              <w:rPr>
                <w:b/>
                <w:bCs/>
                <w:i/>
                <w:iCs/>
                <w:sz w:val="20"/>
                <w:szCs w:val="20"/>
              </w:rPr>
              <w:t>r</w:t>
            </w:r>
          </w:p>
        </w:tc>
        <w:tc>
          <w:tcPr>
            <w:tcW w:w="2340" w:type="dxa"/>
            <w:tcBorders>
              <w:top w:val="single" w:sz="1" w:space="0" w:color="000000"/>
              <w:bottom w:val="single" w:sz="1" w:space="0" w:color="000000"/>
            </w:tcBorders>
            <w:tcMar>
              <w:top w:w="40" w:type="dxa"/>
              <w:left w:w="80" w:type="dxa"/>
              <w:bottom w:w="40" w:type="dxa"/>
              <w:right w:w="80" w:type="dxa"/>
            </w:tcMar>
          </w:tcPr>
          <w:p w14:paraId="31DD4A7E" w14:textId="77777777" w:rsidR="00F40A43" w:rsidRDefault="005B6484" w:rsidP="00E35F1A">
            <w:pPr>
              <w:spacing w:line="360" w:lineRule="auto"/>
              <w:jc w:val="center"/>
            </w:pPr>
            <w:r>
              <w:rPr>
                <w:b/>
                <w:bCs/>
                <w:i/>
                <w:iCs/>
                <w:sz w:val="20"/>
                <w:szCs w:val="20"/>
              </w:rPr>
              <w:t>p</w:t>
            </w:r>
          </w:p>
        </w:tc>
        <w:tc>
          <w:tcPr>
            <w:tcW w:w="2340" w:type="dxa"/>
            <w:tcBorders>
              <w:top w:val="single" w:sz="1" w:space="0" w:color="000000"/>
              <w:bottom w:val="single" w:sz="1" w:space="0" w:color="000000"/>
            </w:tcBorders>
            <w:tcMar>
              <w:top w:w="40" w:type="dxa"/>
              <w:left w:w="80" w:type="dxa"/>
              <w:bottom w:w="40" w:type="dxa"/>
              <w:right w:w="80" w:type="dxa"/>
            </w:tcMar>
          </w:tcPr>
          <w:p w14:paraId="117F8CFB" w14:textId="77777777" w:rsidR="00F40A43" w:rsidRDefault="005B6484" w:rsidP="00E35F1A">
            <w:pPr>
              <w:spacing w:line="360" w:lineRule="auto"/>
              <w:jc w:val="center"/>
            </w:pPr>
            <w:r>
              <w:rPr>
                <w:b/>
                <w:bCs/>
                <w:sz w:val="20"/>
                <w:szCs w:val="20"/>
              </w:rPr>
              <w:t>Decision</w:t>
            </w:r>
          </w:p>
        </w:tc>
      </w:tr>
      <w:tr w:rsidR="00F40A43" w14:paraId="53EB5A4A" w14:textId="77777777">
        <w:tc>
          <w:tcPr>
            <w:tcW w:w="2340" w:type="dxa"/>
            <w:tcBorders>
              <w:top w:val="single" w:sz="1" w:space="0" w:color="000000"/>
              <w:bottom w:val="single" w:sz="1" w:space="0" w:color="000000"/>
            </w:tcBorders>
            <w:tcMar>
              <w:top w:w="40" w:type="dxa"/>
              <w:left w:w="80" w:type="dxa"/>
              <w:bottom w:w="40" w:type="dxa"/>
              <w:right w:w="80" w:type="dxa"/>
            </w:tcMar>
          </w:tcPr>
          <w:p w14:paraId="5277626A" w14:textId="77777777" w:rsidR="00F40A43" w:rsidRDefault="005B6484" w:rsidP="00E35F1A">
            <w:pPr>
              <w:spacing w:line="360" w:lineRule="auto"/>
            </w:pPr>
            <w:r>
              <w:rPr>
                <w:sz w:val="20"/>
                <w:szCs w:val="20"/>
              </w:rPr>
              <w:t>Library Utilization × CGPA</w:t>
            </w:r>
          </w:p>
        </w:tc>
        <w:tc>
          <w:tcPr>
            <w:tcW w:w="2340" w:type="dxa"/>
            <w:tcBorders>
              <w:top w:val="single" w:sz="1" w:space="0" w:color="000000"/>
              <w:bottom w:val="single" w:sz="1" w:space="0" w:color="000000"/>
            </w:tcBorders>
            <w:tcMar>
              <w:top w:w="40" w:type="dxa"/>
              <w:left w:w="80" w:type="dxa"/>
              <w:bottom w:w="40" w:type="dxa"/>
              <w:right w:w="80" w:type="dxa"/>
            </w:tcMar>
          </w:tcPr>
          <w:p w14:paraId="49076AA7" w14:textId="77777777" w:rsidR="00F40A43" w:rsidRDefault="005B6484" w:rsidP="00E35F1A">
            <w:pPr>
              <w:spacing w:line="360" w:lineRule="auto"/>
              <w:jc w:val="center"/>
            </w:pPr>
            <w:r>
              <w:rPr>
                <w:sz w:val="20"/>
                <w:szCs w:val="20"/>
              </w:rPr>
              <w:t>.487</w:t>
            </w:r>
          </w:p>
        </w:tc>
        <w:tc>
          <w:tcPr>
            <w:tcW w:w="2340" w:type="dxa"/>
            <w:tcBorders>
              <w:top w:val="single" w:sz="1" w:space="0" w:color="000000"/>
              <w:bottom w:val="single" w:sz="1" w:space="0" w:color="000000"/>
            </w:tcBorders>
            <w:tcMar>
              <w:top w:w="40" w:type="dxa"/>
              <w:left w:w="80" w:type="dxa"/>
              <w:bottom w:w="40" w:type="dxa"/>
              <w:right w:w="80" w:type="dxa"/>
            </w:tcMar>
          </w:tcPr>
          <w:p w14:paraId="3C9362F5" w14:textId="77777777" w:rsidR="00F40A43" w:rsidRDefault="005B6484" w:rsidP="00E35F1A">
            <w:pPr>
              <w:spacing w:line="360" w:lineRule="auto"/>
              <w:jc w:val="center"/>
            </w:pPr>
            <w:r>
              <w:rPr>
                <w:sz w:val="20"/>
                <w:szCs w:val="20"/>
              </w:rPr>
              <w:t>&lt; .001</w:t>
            </w:r>
          </w:p>
        </w:tc>
        <w:tc>
          <w:tcPr>
            <w:tcW w:w="2340" w:type="dxa"/>
            <w:tcBorders>
              <w:top w:val="single" w:sz="1" w:space="0" w:color="000000"/>
              <w:bottom w:val="single" w:sz="1" w:space="0" w:color="000000"/>
            </w:tcBorders>
            <w:tcMar>
              <w:top w:w="40" w:type="dxa"/>
              <w:left w:w="80" w:type="dxa"/>
              <w:bottom w:w="40" w:type="dxa"/>
              <w:right w:w="80" w:type="dxa"/>
            </w:tcMar>
          </w:tcPr>
          <w:p w14:paraId="7D48261E" w14:textId="77777777" w:rsidR="00F40A43" w:rsidRDefault="005B6484" w:rsidP="00E35F1A">
            <w:pPr>
              <w:spacing w:line="360" w:lineRule="auto"/>
              <w:jc w:val="center"/>
            </w:pPr>
            <w:r>
              <w:rPr>
                <w:sz w:val="20"/>
                <w:szCs w:val="20"/>
              </w:rPr>
              <w:t>Significant</w:t>
            </w:r>
          </w:p>
        </w:tc>
      </w:tr>
    </w:tbl>
    <w:p w14:paraId="06F3996F" w14:textId="77777777" w:rsidR="00F40A43" w:rsidRDefault="005B6484" w:rsidP="00E35F1A">
      <w:pPr>
        <w:spacing w:line="360" w:lineRule="auto"/>
      </w:pPr>
      <w:r>
        <w:rPr>
          <w:i/>
          <w:iCs/>
          <w:sz w:val="20"/>
          <w:szCs w:val="20"/>
        </w:rPr>
        <w:t>Note. Correlation is significant at the 0.01 level (2-tailed).</w:t>
      </w:r>
    </w:p>
    <w:p w14:paraId="4A51F4EA" w14:textId="77777777" w:rsidR="00F40A43" w:rsidRDefault="00F40A43" w:rsidP="00E35F1A">
      <w:pPr>
        <w:spacing w:line="360" w:lineRule="auto"/>
      </w:pPr>
    </w:p>
    <w:p w14:paraId="452D9AAF" w14:textId="77777777" w:rsidR="00F40A43" w:rsidRDefault="005B6484" w:rsidP="00E35F1A">
      <w:pPr>
        <w:spacing w:before="240" w:line="360" w:lineRule="auto"/>
      </w:pPr>
      <w:r>
        <w:rPr>
          <w:b/>
          <w:bCs/>
        </w:rPr>
        <w:t>Challenges in Accessing and Utilizing Library Services</w:t>
      </w:r>
    </w:p>
    <w:p w14:paraId="01941813" w14:textId="77777777" w:rsidR="00F40A43" w:rsidRDefault="005B6484" w:rsidP="00E35F1A">
      <w:pPr>
        <w:spacing w:line="360" w:lineRule="auto"/>
        <w:jc w:val="both"/>
      </w:pPr>
      <w:r>
        <w:t>Respondents identified several challenges impeding their effective use of library services at AMEU. The most frequently cited challenges were: limited and outdated print collections (78.5%), inadequate ICT infrastructure and insufficient computers (72.6%), irregular internet connectivity (69.2%), insufficient seating capacity during peak hours (65.0%), limited library operating hours (58.2%), and low awareness of available electronic resources (47.3%). These challenges mirror the broader systemic issues identified by the NCHE’s 2025 institutional evaluation across Liberian higher education institutions.</w:t>
      </w:r>
    </w:p>
    <w:p w14:paraId="296C44FB" w14:textId="77777777" w:rsidR="00F40A43" w:rsidRDefault="005B6484" w:rsidP="00E35F1A">
      <w:pPr>
        <w:spacing w:before="240" w:line="360" w:lineRule="auto"/>
        <w:jc w:val="center"/>
      </w:pPr>
      <w:r>
        <w:rPr>
          <w:b/>
          <w:bCs/>
        </w:rPr>
        <w:t>Discussion</w:t>
      </w:r>
    </w:p>
    <w:p w14:paraId="399F0DE1" w14:textId="77777777" w:rsidR="00F40A43" w:rsidRDefault="005B6484" w:rsidP="00E35F1A">
      <w:pPr>
        <w:spacing w:line="360" w:lineRule="auto"/>
        <w:ind w:firstLine="720"/>
        <w:jc w:val="both"/>
      </w:pPr>
      <w:r>
        <w:t>The findings of this study demonstrate that library services at AMEU play a meaningful role in supporting undergraduate students’ academic performance. The statistically significant positive correlation (r = .487, p &lt; .001) between library service utilization and CGPA is consistent with the extensive body of evidence from international studies. Beile et al. (2020) reported similar positive associations at the University of Central Florida, while the ACRL’s Assessment in Action program documented library contributions to student success across more than 200 institutions (Brown &amp; Malenfant, 2017). In the African context, Ajibona et al. (2021) and the African Journal of Library, Archives and Information Science (2025) both confirmed that library service utilization predicts academic performance among Nigerian undergraduates.</w:t>
      </w:r>
    </w:p>
    <w:p w14:paraId="25E434AA" w14:textId="77777777" w:rsidR="00F40A43" w:rsidRDefault="005B6484" w:rsidP="00E35F1A">
      <w:pPr>
        <w:spacing w:line="360" w:lineRule="auto"/>
        <w:ind w:firstLine="720"/>
        <w:jc w:val="both"/>
      </w:pPr>
      <w:r>
        <w:t>The finding that borrowing of textbooks and reference materials was the most frequently used library service at AMEU aligns with the work of Cetin and Howard (2016), who observed a significant positive correlation between the number of books borrowed and students’ GPAs. It also reflects the reality of academic library use in developing country contexts, where print resources often remain the primary mode of information access despite the growing availability of digital alternatives (Tetteh &amp; Aryee, 2024).</w:t>
      </w:r>
    </w:p>
    <w:p w14:paraId="3EC5174E" w14:textId="77777777" w:rsidR="00F40A43" w:rsidRDefault="005B6484" w:rsidP="00E35F1A">
      <w:pPr>
        <w:spacing w:line="360" w:lineRule="auto"/>
        <w:ind w:firstLine="720"/>
        <w:jc w:val="both"/>
      </w:pPr>
      <w:r>
        <w:lastRenderedPageBreak/>
        <w:t>The moderate utilization of the EBSCOhost e-library database (ranked third) suggests that AMEU’s efforts to digitize its library services are gaining traction among students. This is a promising development, given the evidence that digital library engagement is strongly linked to higher GPAs and improved retention (EBSCO, 2026). However, the challenges identified—particularly irregular internet connectivity and inadequate ICT infrastructure—present significant barriers to the full realization of digital library benefits. These findings are consistent with the broader challenges facing academic libraries in Africa, where insufficient ICT infrastructure and limited access to electronic resources remain persistent obstacles (Ajlais, 2025).</w:t>
      </w:r>
    </w:p>
    <w:p w14:paraId="2A1BD1FF" w14:textId="77777777" w:rsidR="00F40A43" w:rsidRDefault="005B6484" w:rsidP="00E35F1A">
      <w:pPr>
        <w:spacing w:line="360" w:lineRule="auto"/>
        <w:ind w:firstLine="720"/>
        <w:jc w:val="both"/>
      </w:pPr>
      <w:r>
        <w:t>The identification of limited and outdated print collections as the most frequently cited challenge (78.5%) carries particular significance for a post-conflict nation like Liberia. AMEU’s campus was attacked and ransacked during the Second Liberian Civil War in 2003, and the Monrovia College buildings that housed university operations were burned by rebels (AMEU, 2024). While substantial reconstruction has occurred, including a USAID-funded building project, the replenishment of library collections has been a slower process. Tetteh and Aryee (2024) demonstrated that the lack of recommended textbooks creates a chain effect of frustration that ultimately undermines academic outcomes.</w:t>
      </w:r>
    </w:p>
    <w:p w14:paraId="0853E221" w14:textId="77777777" w:rsidR="00F40A43" w:rsidRDefault="005B6484" w:rsidP="00E35F1A">
      <w:pPr>
        <w:spacing w:line="360" w:lineRule="auto"/>
        <w:ind w:firstLine="720"/>
        <w:jc w:val="both"/>
      </w:pPr>
      <w:r>
        <w:t>The relatively low ranking of seeking assistance from library staff (M = 2.64) raises questions about the nature of librarian–student interaction at AMEU. Research by Brown and Malenfant (2017) has shown that one-on-one library research consultations boost student learning and confidence. Puti and Zainal (2024) further noted that academic librarians in developing countries often lack performance evaluation mechanisms and have limited roles as information leaders. Strengthening the capacity and visibility of library staff at AMEU could enhance the overall impact of library services on student outcomes.</w:t>
      </w:r>
    </w:p>
    <w:p w14:paraId="1516D233" w14:textId="77777777" w:rsidR="00F40A43" w:rsidRDefault="005B6484" w:rsidP="00E35F1A">
      <w:pPr>
        <w:spacing w:before="240" w:line="360" w:lineRule="auto"/>
        <w:jc w:val="center"/>
      </w:pPr>
      <w:r>
        <w:rPr>
          <w:b/>
          <w:bCs/>
        </w:rPr>
        <w:t>Conclusion and Recommendations</w:t>
      </w:r>
    </w:p>
    <w:p w14:paraId="278AA993" w14:textId="77777777" w:rsidR="00F40A43" w:rsidRDefault="005B6484" w:rsidP="00E35F1A">
      <w:pPr>
        <w:spacing w:before="240" w:line="360" w:lineRule="auto"/>
      </w:pPr>
      <w:r>
        <w:rPr>
          <w:b/>
          <w:bCs/>
        </w:rPr>
        <w:t>Conclusion</w:t>
      </w:r>
    </w:p>
    <w:p w14:paraId="0D9824FA" w14:textId="77777777" w:rsidR="00F40A43" w:rsidRDefault="005B6484" w:rsidP="00E35F1A">
      <w:pPr>
        <w:spacing w:line="360" w:lineRule="auto"/>
        <w:ind w:firstLine="720"/>
        <w:jc w:val="both"/>
      </w:pPr>
      <w:r>
        <w:t xml:space="preserve">This study provides empirical evidence that library services at AMEU contribute positively to undergraduate students’ academic performance. The positive correlation between library utilization and CGPA reinforces the argument that academic libraries are not peripheral amenities but central pillars of the educational enterprise. While AMEU has made commendable progress in digitizing its library services and providing electronic resources through platforms such as </w:t>
      </w:r>
      <w:r>
        <w:lastRenderedPageBreak/>
        <w:t>EBSCOhost and RemoteXs, significant challenges in physical infrastructure, collection adequacy, ICT capacity, and internet connectivity continue to limit the full potential of library services to support student learning.</w:t>
      </w:r>
    </w:p>
    <w:p w14:paraId="20CF439E" w14:textId="77777777" w:rsidR="00F40A43" w:rsidRDefault="005B6484" w:rsidP="00E35F1A">
      <w:pPr>
        <w:spacing w:before="240" w:line="360" w:lineRule="auto"/>
      </w:pPr>
      <w:r>
        <w:rPr>
          <w:b/>
          <w:bCs/>
        </w:rPr>
        <w:t>Recommendations</w:t>
      </w:r>
    </w:p>
    <w:p w14:paraId="4A61D219" w14:textId="77777777" w:rsidR="00F40A43" w:rsidRDefault="005B6484" w:rsidP="00E35F1A">
      <w:pPr>
        <w:spacing w:line="360" w:lineRule="auto"/>
        <w:jc w:val="both"/>
      </w:pPr>
      <w:r>
        <w:t>Based on the findings of this study, the following recommendations are offered:</w:t>
      </w:r>
    </w:p>
    <w:p w14:paraId="25C5F0C9" w14:textId="77777777" w:rsidR="00F40A43" w:rsidRDefault="005B6484" w:rsidP="00E35F1A">
      <w:pPr>
        <w:spacing w:line="360" w:lineRule="auto"/>
        <w:jc w:val="both"/>
      </w:pPr>
      <w:r>
        <w:t>First, AMEU should invest in the systematic expansion and updating of its print library collections, with particular attention to course-specific textbooks and reference materials across all five colleges. Collaboration with international partners and donor agencies, such as USAID and the African Development Bank, could be explored to fund collection development initiatives.</w:t>
      </w:r>
    </w:p>
    <w:p w14:paraId="35B3117B" w14:textId="77777777" w:rsidR="00F40A43" w:rsidRDefault="005B6484" w:rsidP="00E35F1A">
      <w:pPr>
        <w:spacing w:line="360" w:lineRule="auto"/>
        <w:jc w:val="both"/>
      </w:pPr>
      <w:r>
        <w:t>Second, the university should upgrade its ICT infrastructure within the library, including the provision of additional computers, reliable internet connectivity, and dedicated bandwidth for academic database access. The integration of digital library resources into AMEU’s learning management systems should be prioritized to increase visibility and usage.</w:t>
      </w:r>
    </w:p>
    <w:p w14:paraId="31B279F2" w14:textId="77777777" w:rsidR="00F40A43" w:rsidRDefault="005B6484" w:rsidP="00E35F1A">
      <w:pPr>
        <w:spacing w:line="360" w:lineRule="auto"/>
        <w:jc w:val="both"/>
      </w:pPr>
      <w:r>
        <w:t>Third, AMEU’s library operating hours should be extended, particularly during examination periods, to accommodate the study needs of students who may not have access to adequate study environments outside the campus.</w:t>
      </w:r>
    </w:p>
    <w:p w14:paraId="26FCFFB9" w14:textId="77777777" w:rsidR="00F40A43" w:rsidRDefault="005B6484" w:rsidP="00E35F1A">
      <w:pPr>
        <w:spacing w:line="360" w:lineRule="auto"/>
        <w:jc w:val="both"/>
      </w:pPr>
      <w:r>
        <w:t>Fourth, the library should implement a structured information literacy program, integrated into the first-year curriculum, to equip students with the skills to locate, evaluate, and effectively use both print and electronic information resources. Research has consistently demonstrated that early information literacy instruction improves long-term academic outcomes (Brown &amp; Malenfant, 2017).</w:t>
      </w:r>
    </w:p>
    <w:p w14:paraId="52EB28A2" w14:textId="77777777" w:rsidR="00F40A43" w:rsidRDefault="005B6484" w:rsidP="00E35F1A">
      <w:pPr>
        <w:spacing w:line="360" w:lineRule="auto"/>
        <w:jc w:val="both"/>
      </w:pPr>
      <w:r>
        <w:t>Fifth, the NCHE should develop and enforce minimum standards for library services in all accredited Liberian higher education institutions, incorporating benchmarks for collection size, ICT infrastructure, qualified library staff, and electronic resource access.</w:t>
      </w:r>
    </w:p>
    <w:p w14:paraId="2282B32F" w14:textId="77777777" w:rsidR="00F40A43" w:rsidRDefault="005B6484" w:rsidP="00E35F1A">
      <w:pPr>
        <w:spacing w:line="360" w:lineRule="auto"/>
        <w:jc w:val="both"/>
      </w:pPr>
      <w:r>
        <w:t>Finally, further research is recommended to explore the impact of specific library services (e.g., information literacy instruction, digital resource usage) on academic performance using longitudinal designs and larger, multi-institutional samples across Liberia’s higher education landscape.</w:t>
      </w:r>
    </w:p>
    <w:p w14:paraId="0B20CDDF" w14:textId="77777777" w:rsidR="00F40A43" w:rsidRDefault="005B6484" w:rsidP="00E35F1A">
      <w:pPr>
        <w:spacing w:line="360" w:lineRule="auto"/>
      </w:pPr>
      <w:r>
        <w:br w:type="page"/>
      </w:r>
    </w:p>
    <w:p w14:paraId="0486958B" w14:textId="77777777" w:rsidR="00F40A43" w:rsidRDefault="005B6484" w:rsidP="00E35F1A">
      <w:pPr>
        <w:spacing w:before="240" w:line="360" w:lineRule="auto"/>
        <w:jc w:val="center"/>
      </w:pPr>
      <w:r>
        <w:rPr>
          <w:b/>
          <w:bCs/>
        </w:rPr>
        <w:lastRenderedPageBreak/>
        <w:t>References</w:t>
      </w:r>
    </w:p>
    <w:p w14:paraId="3A23AB72" w14:textId="77777777" w:rsidR="00F40A43" w:rsidRDefault="005B6484" w:rsidP="00E35F1A">
      <w:pPr>
        <w:spacing w:line="360" w:lineRule="auto"/>
        <w:ind w:left="720" w:hanging="720"/>
      </w:pPr>
      <w:r>
        <w:t xml:space="preserve">Adetoro, N. (2010). Library resources and services utilization in Nigerian universities. </w:t>
      </w:r>
      <w:r>
        <w:rPr>
          <w:i/>
          <w:iCs/>
        </w:rPr>
        <w:t>Library Philosophy and Practice</w:t>
      </w:r>
      <w:r>
        <w:t>, 12(2), 1–12.</w:t>
      </w:r>
    </w:p>
    <w:p w14:paraId="057505DD" w14:textId="77777777" w:rsidR="00F40A43" w:rsidRDefault="005B6484" w:rsidP="00E35F1A">
      <w:pPr>
        <w:spacing w:line="360" w:lineRule="auto"/>
        <w:ind w:left="720" w:hanging="720"/>
      </w:pPr>
      <w:r>
        <w:t xml:space="preserve">Adeyemi, E. O., &amp; Oladokun, T. T. (2025). The influence of school library services on adolescents’ academic performance. </w:t>
      </w:r>
      <w:r>
        <w:rPr>
          <w:i/>
          <w:iCs/>
        </w:rPr>
        <w:t>Malaysian Mental Health Journal</w:t>
      </w:r>
      <w:r>
        <w:t>, 1(1), 60–64. https://doi.org/10.26480/mmhj.01.2025.60.64</w:t>
      </w:r>
    </w:p>
    <w:p w14:paraId="756EB3C4" w14:textId="77777777" w:rsidR="00F40A43" w:rsidRDefault="005B6484" w:rsidP="00E35F1A">
      <w:pPr>
        <w:spacing w:line="360" w:lineRule="auto"/>
        <w:ind w:left="720" w:hanging="720"/>
      </w:pPr>
      <w:r>
        <w:t xml:space="preserve">African Methodist Episcopal University. (2024). </w:t>
      </w:r>
      <w:r>
        <w:rPr>
          <w:i/>
          <w:iCs/>
        </w:rPr>
        <w:t>History</w:t>
      </w:r>
      <w:r>
        <w:t>. https://www.ame.edu.lr/about_us.php</w:t>
      </w:r>
    </w:p>
    <w:p w14:paraId="32F36728" w14:textId="77777777" w:rsidR="00F40A43" w:rsidRDefault="005B6484" w:rsidP="00E35F1A">
      <w:pPr>
        <w:spacing w:line="360" w:lineRule="auto"/>
        <w:ind w:left="720" w:hanging="720"/>
      </w:pPr>
      <w:r>
        <w:t xml:space="preserve">African Methodist Episcopal University. (2024). </w:t>
      </w:r>
      <w:r>
        <w:rPr>
          <w:i/>
          <w:iCs/>
        </w:rPr>
        <w:t>Library services</w:t>
      </w:r>
      <w:r>
        <w:t>. https://www.ame.edu.lr/menu_info.php</w:t>
      </w:r>
    </w:p>
    <w:p w14:paraId="3EC9343C" w14:textId="77777777" w:rsidR="00F40A43" w:rsidRDefault="005B6484" w:rsidP="00E35F1A">
      <w:pPr>
        <w:spacing w:line="360" w:lineRule="auto"/>
        <w:ind w:left="720" w:hanging="720"/>
      </w:pPr>
      <w:r>
        <w:t xml:space="preserve">Ajibona, H. F., Abomoge, S. O., Adepoju, S. O., &amp; Oluwaniyi, S. (2021). Library services provision on academic performance of nursing undergraduates in selected universities in South-West Nigeria. </w:t>
      </w:r>
      <w:r>
        <w:rPr>
          <w:i/>
          <w:iCs/>
        </w:rPr>
        <w:t>Library Philosophy and Practice</w:t>
      </w:r>
      <w:r>
        <w:t>, 1–20. https://digitalcommons.unl.edu/libphilprac/5780</w:t>
      </w:r>
    </w:p>
    <w:p w14:paraId="47E5BF4F" w14:textId="77777777" w:rsidR="00F40A43" w:rsidRDefault="005B6484" w:rsidP="00E35F1A">
      <w:pPr>
        <w:spacing w:line="360" w:lineRule="auto"/>
        <w:ind w:left="720" w:hanging="720"/>
      </w:pPr>
      <w:r>
        <w:t xml:space="preserve">Ali, A., Rafeeudin, Khan, I. K., &amp; Khan, I. U. (2024). Exploring the relationship between library resources and students’ academic performance. </w:t>
      </w:r>
      <w:r>
        <w:rPr>
          <w:i/>
          <w:iCs/>
        </w:rPr>
        <w:t>Journal of Contemporary Library and Information Science</w:t>
      </w:r>
      <w:r>
        <w:t>, 3(2). https://doi.org/10.71085/joclsi.03.02.51</w:t>
      </w:r>
    </w:p>
    <w:p w14:paraId="53E9078C" w14:textId="77777777" w:rsidR="00F40A43" w:rsidRDefault="005B6484" w:rsidP="00E35F1A">
      <w:pPr>
        <w:spacing w:line="360" w:lineRule="auto"/>
        <w:ind w:left="720" w:hanging="720"/>
      </w:pPr>
      <w:r>
        <w:t xml:space="preserve">Asamoah-Hassan, H. (2012). </w:t>
      </w:r>
      <w:r>
        <w:rPr>
          <w:i/>
          <w:iCs/>
        </w:rPr>
        <w:t>Libraries and education in Africa: Challenges and opportunities</w:t>
      </w:r>
      <w:r>
        <w:t>. IFLA World Library and Information Congress.</w:t>
      </w:r>
    </w:p>
    <w:p w14:paraId="2DD37B80" w14:textId="77777777" w:rsidR="00F40A43" w:rsidRDefault="005B6484" w:rsidP="00E35F1A">
      <w:pPr>
        <w:spacing w:line="360" w:lineRule="auto"/>
        <w:ind w:left="720" w:hanging="720"/>
      </w:pPr>
      <w:r>
        <w:t xml:space="preserve">Association of College and Research Libraries. (2017). </w:t>
      </w:r>
      <w:r>
        <w:rPr>
          <w:i/>
          <w:iCs/>
        </w:rPr>
        <w:t>Academic library impact on student learning and success: Findings from Assessment in Action team projects</w:t>
      </w:r>
      <w:r>
        <w:t>. American Library Association. https://www.ala.org/sites/default/files/acrl/content/issues/value/findings_y3.pdf</w:t>
      </w:r>
    </w:p>
    <w:p w14:paraId="253597B9" w14:textId="77777777" w:rsidR="00F40A43" w:rsidRDefault="005B6484" w:rsidP="00E35F1A">
      <w:pPr>
        <w:spacing w:line="360" w:lineRule="auto"/>
        <w:ind w:left="720" w:hanging="720"/>
      </w:pPr>
      <w:r>
        <w:t xml:space="preserve">Astin, A. W. (1993). </w:t>
      </w:r>
      <w:r>
        <w:rPr>
          <w:i/>
          <w:iCs/>
        </w:rPr>
        <w:t>What matters in college? Four critical years revisited</w:t>
      </w:r>
      <w:r>
        <w:t>. Jossey-Bass.</w:t>
      </w:r>
    </w:p>
    <w:p w14:paraId="140A4CDB" w14:textId="77777777" w:rsidR="00F40A43" w:rsidRDefault="005B6484" w:rsidP="00E35F1A">
      <w:pPr>
        <w:spacing w:line="360" w:lineRule="auto"/>
        <w:ind w:left="720" w:hanging="720"/>
      </w:pPr>
      <w:r>
        <w:t xml:space="preserve">Beile, P. M., Choudhury, K., Mulvihill, R., &amp; Wang, M. C. (2020). Aligning library assessment with institutional priorities: A study of student academic performance and use of five library services. </w:t>
      </w:r>
      <w:r>
        <w:rPr>
          <w:i/>
          <w:iCs/>
        </w:rPr>
        <w:t>College &amp; Research Libraries</w:t>
      </w:r>
      <w:r>
        <w:t>, 81(3), 435–458. https://doi.org/10.5860/crl.81.3.435</w:t>
      </w:r>
    </w:p>
    <w:p w14:paraId="6A332D52" w14:textId="77777777" w:rsidR="00F40A43" w:rsidRDefault="005B6484" w:rsidP="00E35F1A">
      <w:pPr>
        <w:spacing w:line="360" w:lineRule="auto"/>
        <w:ind w:left="720" w:hanging="720"/>
      </w:pPr>
      <w:r>
        <w:t xml:space="preserve">Brown, K., &amp; Malenfant, K. J. (2017). </w:t>
      </w:r>
      <w:r>
        <w:rPr>
          <w:i/>
          <w:iCs/>
        </w:rPr>
        <w:t>Academic library impact on student learning and success: Findings from Assessment in Action team projects</w:t>
      </w:r>
      <w:r>
        <w:t>. Association of College and Research Libraries.</w:t>
      </w:r>
    </w:p>
    <w:p w14:paraId="485E92BB" w14:textId="77777777" w:rsidR="00F40A43" w:rsidRDefault="005B6484" w:rsidP="00E35F1A">
      <w:pPr>
        <w:spacing w:line="360" w:lineRule="auto"/>
        <w:ind w:left="720" w:hanging="720"/>
      </w:pPr>
      <w:r>
        <w:lastRenderedPageBreak/>
        <w:t xml:space="preserve">Cetin, Y., &amp; Howard, V. (2016). An exploration of the relationship between undergraduate students’ library book borrowing and academic achievement. </w:t>
      </w:r>
      <w:r>
        <w:rPr>
          <w:i/>
          <w:iCs/>
        </w:rPr>
        <w:t>Journal of Librarianship and Information Science</w:t>
      </w:r>
      <w:r>
        <w:t>, 48(4), 382–388.</w:t>
      </w:r>
    </w:p>
    <w:p w14:paraId="6F2FF802" w14:textId="77777777" w:rsidR="00F40A43" w:rsidRDefault="005B6484" w:rsidP="00E35F1A">
      <w:pPr>
        <w:spacing w:line="360" w:lineRule="auto"/>
        <w:ind w:left="720" w:hanging="720"/>
      </w:pPr>
      <w:r>
        <w:t xml:space="preserve">Challenges of Higher Education in Liberia and Possible Solutions. (2023). </w:t>
      </w:r>
      <w:r>
        <w:rPr>
          <w:i/>
          <w:iCs/>
        </w:rPr>
        <w:t>Journal of Asian and African Social Science and Humanities</w:t>
      </w:r>
      <w:r>
        <w:t>, 9(1). https://doi.org/10.55327/jaash.v9i1.298</w:t>
      </w:r>
    </w:p>
    <w:p w14:paraId="1E4A4A08" w14:textId="77777777" w:rsidR="00F40A43" w:rsidRDefault="005B6484" w:rsidP="00E35F1A">
      <w:pPr>
        <w:spacing w:line="360" w:lineRule="auto"/>
        <w:ind w:left="720" w:hanging="720"/>
      </w:pPr>
      <w:r>
        <w:t xml:space="preserve">Creswell, J. W., &amp; Creswell, J. D. (2018). </w:t>
      </w:r>
      <w:r>
        <w:rPr>
          <w:i/>
          <w:iCs/>
        </w:rPr>
        <w:t>Research design: Qualitative, quantitative, and mixed methods approaches</w:t>
      </w:r>
      <w:r>
        <w:t xml:space="preserve"> (5th ed.). Sage Publications.</w:t>
      </w:r>
    </w:p>
    <w:p w14:paraId="2306DE90" w14:textId="77777777" w:rsidR="00F40A43" w:rsidRDefault="005B6484" w:rsidP="00E35F1A">
      <w:pPr>
        <w:spacing w:line="360" w:lineRule="auto"/>
        <w:ind w:left="720" w:hanging="720"/>
      </w:pPr>
      <w:r>
        <w:t xml:space="preserve">Daqal, H. A., Sani, M. K. J. A., Mohamad, A., &amp; Alahdal, A. H. (2025). A bibliometric analysis of perceived innovativeness and value of digital library services in enhancing academic research productivity. </w:t>
      </w:r>
      <w:r>
        <w:rPr>
          <w:i/>
          <w:iCs/>
        </w:rPr>
        <w:t>Global Knowledge, Memory and Communication</w:t>
      </w:r>
      <w:r>
        <w:t>. https://doi.org/10.1177/18758789261434340</w:t>
      </w:r>
    </w:p>
    <w:p w14:paraId="599502FE" w14:textId="77777777" w:rsidR="00F40A43" w:rsidRDefault="005B6484" w:rsidP="00E35F1A">
      <w:pPr>
        <w:spacing w:line="360" w:lineRule="auto"/>
        <w:ind w:left="720" w:hanging="720"/>
      </w:pPr>
      <w:r>
        <w:t xml:space="preserve">EBSCO Information Services. (2026, January 5). Building student success: The case for e-learning and digital resources in academic libraries. </w:t>
      </w:r>
      <w:r>
        <w:rPr>
          <w:i/>
          <w:iCs/>
        </w:rPr>
        <w:t>EBSCO Post</w:t>
      </w:r>
      <w:r>
        <w:t>. https://about.ebsco.com/blogs/ebscopost/e-learning-and-digital-resources-academic-library</w:t>
      </w:r>
    </w:p>
    <w:p w14:paraId="44A0AB75" w14:textId="77777777" w:rsidR="00F40A43" w:rsidRDefault="005B6484" w:rsidP="00E35F1A">
      <w:pPr>
        <w:spacing w:line="360" w:lineRule="auto"/>
        <w:ind w:left="720" w:hanging="720"/>
      </w:pPr>
      <w:r>
        <w:t xml:space="preserve">Faizan, M., &amp; Munshi, S. A. (2025). Enhancing academic access: Evaluating integrated ICT-based library services at IIT from users’ perspectives. </w:t>
      </w:r>
      <w:r>
        <w:rPr>
          <w:i/>
          <w:iCs/>
        </w:rPr>
        <w:t>Performance Measurement and Metrics</w:t>
      </w:r>
      <w:r>
        <w:t>, 26(1), 49–70. https://doi.org/10.1108/pmm-07-2024-0032</w:t>
      </w:r>
    </w:p>
    <w:p w14:paraId="62DE7188" w14:textId="77777777" w:rsidR="00F40A43" w:rsidRDefault="005B6484" w:rsidP="00E35F1A">
      <w:pPr>
        <w:spacing w:line="360" w:lineRule="auto"/>
        <w:ind w:left="720" w:hanging="720"/>
      </w:pPr>
      <w:r>
        <w:t xml:space="preserve">FrontPageAfrica. (2025, June 25). National Commission on Higher Education flags challenges at top universities. </w:t>
      </w:r>
      <w:r>
        <w:rPr>
          <w:i/>
          <w:iCs/>
        </w:rPr>
        <w:t>FrontPageAfrica</w:t>
      </w:r>
      <w:r>
        <w:t>. https://frontpageafricaonline.com/education/</w:t>
      </w:r>
    </w:p>
    <w:p w14:paraId="0AB659EF" w14:textId="77777777" w:rsidR="00F40A43" w:rsidRDefault="005B6484" w:rsidP="00E35F1A">
      <w:pPr>
        <w:spacing w:line="360" w:lineRule="auto"/>
        <w:ind w:left="720" w:hanging="720"/>
      </w:pPr>
      <w:r>
        <w:t xml:space="preserve">Jager, K. D. (2014). Library use and academic achievement. </w:t>
      </w:r>
      <w:r>
        <w:rPr>
          <w:i/>
          <w:iCs/>
        </w:rPr>
        <w:t>South African Journal of Library and Information Science</w:t>
      </w:r>
      <w:r>
        <w:t>, 65(1). https://doi.org/10.7553/65-1-1497</w:t>
      </w:r>
    </w:p>
    <w:p w14:paraId="10A4CC0A" w14:textId="77777777" w:rsidR="00F40A43" w:rsidRDefault="005B6484" w:rsidP="00E35F1A">
      <w:pPr>
        <w:spacing w:line="360" w:lineRule="auto"/>
        <w:ind w:left="720" w:hanging="720"/>
      </w:pPr>
      <w:r>
        <w:t xml:space="preserve">Kogut, A. (2016). Academic library services and undergraduate academic success: Trends in research literature. In </w:t>
      </w:r>
      <w:r>
        <w:rPr>
          <w:i/>
          <w:iCs/>
        </w:rPr>
        <w:t>2016 Library Assessment Conference Proceedings</w:t>
      </w:r>
      <w:r>
        <w:t xml:space="preserve"> (pp. 365–371). Association of Research Libraries.</w:t>
      </w:r>
    </w:p>
    <w:p w14:paraId="1D34678A" w14:textId="77777777" w:rsidR="00F40A43" w:rsidRDefault="005B6484" w:rsidP="00E35F1A">
      <w:pPr>
        <w:spacing w:line="360" w:lineRule="auto"/>
        <w:ind w:left="720" w:hanging="720"/>
      </w:pPr>
      <w:r>
        <w:t xml:space="preserve">National Commission on Higher Education. (2024). </w:t>
      </w:r>
      <w:r>
        <w:rPr>
          <w:i/>
          <w:iCs/>
        </w:rPr>
        <w:t>Approved universities and colleges</w:t>
      </w:r>
      <w:r>
        <w:t>. https://nche.info/universities-colleges/</w:t>
      </w:r>
    </w:p>
    <w:p w14:paraId="7E74CCAE" w14:textId="77777777" w:rsidR="00F40A43" w:rsidRDefault="005B6484" w:rsidP="00E35F1A">
      <w:pPr>
        <w:spacing w:line="360" w:lineRule="auto"/>
        <w:ind w:left="720" w:hanging="720"/>
      </w:pPr>
      <w:r>
        <w:t xml:space="preserve">Oakleaf, M. (2010). </w:t>
      </w:r>
      <w:r>
        <w:rPr>
          <w:i/>
          <w:iCs/>
        </w:rPr>
        <w:t>The value of academic libraries: A comprehensive research review and report</w:t>
      </w:r>
      <w:r>
        <w:t>. Association of College and Research Libraries.</w:t>
      </w:r>
    </w:p>
    <w:p w14:paraId="61DD2E36" w14:textId="77777777" w:rsidR="00F40A43" w:rsidRDefault="005B6484" w:rsidP="00E35F1A">
      <w:pPr>
        <w:spacing w:line="360" w:lineRule="auto"/>
        <w:ind w:left="720" w:hanging="720"/>
      </w:pPr>
      <w:r>
        <w:t xml:space="preserve">Ogunbodede, K. F., &amp; Oribhabor, C. B. (2022). Digital resources usage and academic performance of undergraduate students in Nigeria: A case study. </w:t>
      </w:r>
      <w:r>
        <w:rPr>
          <w:i/>
          <w:iCs/>
        </w:rPr>
        <w:t xml:space="preserve">European Journal of </w:t>
      </w:r>
      <w:r>
        <w:rPr>
          <w:i/>
          <w:iCs/>
        </w:rPr>
        <w:lastRenderedPageBreak/>
        <w:t>Interactive Multimedia and Education</w:t>
      </w:r>
      <w:r>
        <w:t>, 3(2), e02207. https://doi.org/10.30935/ejimed/12491</w:t>
      </w:r>
    </w:p>
    <w:p w14:paraId="7D42C952" w14:textId="77777777" w:rsidR="00F40A43" w:rsidRDefault="005B6484" w:rsidP="00E35F1A">
      <w:pPr>
        <w:spacing w:line="360" w:lineRule="auto"/>
        <w:ind w:left="720" w:hanging="720"/>
      </w:pPr>
      <w:r>
        <w:t xml:space="preserve">Puti, P., &amp; Zainal, V. R. (2024). Performance management of academic librarians in improving college library services. </w:t>
      </w:r>
      <w:r>
        <w:rPr>
          <w:i/>
          <w:iCs/>
        </w:rPr>
        <w:t>Megister Journal of Business</w:t>
      </w:r>
      <w:r>
        <w:t>, 9(1). https://doi.org/10.33062/mjb.v9i01.65</w:t>
      </w:r>
    </w:p>
    <w:p w14:paraId="06324AB9" w14:textId="77777777" w:rsidR="00F40A43" w:rsidRDefault="005B6484" w:rsidP="00E35F1A">
      <w:pPr>
        <w:spacing w:line="360" w:lineRule="auto"/>
        <w:ind w:left="720" w:hanging="720"/>
      </w:pPr>
      <w:r>
        <w:t xml:space="preserve">Tetteh, E. O. A., &amp; Aryee, R. (2024). Library resources constraints, frustration, and user behavior: An empirical library operations study. </w:t>
      </w:r>
      <w:r>
        <w:rPr>
          <w:i/>
          <w:iCs/>
        </w:rPr>
        <w:t>Brain and Behavior</w:t>
      </w:r>
      <w:r>
        <w:t>, 14(7), e3627. https://doi.org/10.1002/brb3.3627</w:t>
      </w:r>
    </w:p>
    <w:p w14:paraId="52695F77" w14:textId="77777777" w:rsidR="00F40A43" w:rsidRDefault="005B6484" w:rsidP="00E35F1A">
      <w:pPr>
        <w:spacing w:line="360" w:lineRule="auto"/>
        <w:ind w:left="720" w:hanging="720"/>
      </w:pPr>
      <w:r>
        <w:t xml:space="preserve">uniRank. (2025). </w:t>
      </w:r>
      <w:r>
        <w:rPr>
          <w:i/>
          <w:iCs/>
        </w:rPr>
        <w:t>African Methodist Episcopal University</w:t>
      </w:r>
      <w:r>
        <w:t>. https://www.unirank.org/lr/uni/african-methodist-episcopal-university/</w:t>
      </w:r>
    </w:p>
    <w:p w14:paraId="2F804447" w14:textId="77777777" w:rsidR="00F40A43" w:rsidRDefault="005B6484" w:rsidP="00E35F1A">
      <w:pPr>
        <w:spacing w:line="360" w:lineRule="auto"/>
        <w:ind w:left="720" w:hanging="720"/>
      </w:pPr>
      <w:r>
        <w:t xml:space="preserve">Yamane, T. (1967). </w:t>
      </w:r>
      <w:r>
        <w:rPr>
          <w:i/>
          <w:iCs/>
        </w:rPr>
        <w:t>Statistics: An introductory analysis</w:t>
      </w:r>
      <w:r>
        <w:t xml:space="preserve"> (2nd ed.). Harper and Row.</w:t>
      </w:r>
    </w:p>
    <w:p w14:paraId="66C82EC8" w14:textId="77777777" w:rsidR="00F40A43" w:rsidRDefault="005B6484" w:rsidP="00E35F1A">
      <w:pPr>
        <w:spacing w:line="360" w:lineRule="auto"/>
        <w:ind w:left="720" w:hanging="720"/>
      </w:pPr>
      <w:r>
        <w:t xml:space="preserve">Yang, E., &amp; Kim, Y. (2022). Academic library spaces and student activities during the COVID-19 pandemic. </w:t>
      </w:r>
      <w:r>
        <w:rPr>
          <w:i/>
          <w:iCs/>
        </w:rPr>
        <w:t>The Journal of Academic Librarianship</w:t>
      </w:r>
      <w:r>
        <w:t>, 48(4), 102529. https://doi.org/10.1016/j.acalib.2022.102529</w:t>
      </w:r>
    </w:p>
    <w:sectPr w:rsidR="00F40A43">
      <w:head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400" w14:textId="77777777" w:rsidR="001F51A6" w:rsidRDefault="001F51A6">
      <w:r>
        <w:separator/>
      </w:r>
    </w:p>
  </w:endnote>
  <w:endnote w:type="continuationSeparator" w:id="0">
    <w:p w14:paraId="0E92D03B" w14:textId="77777777" w:rsidR="001F51A6" w:rsidRDefault="001F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49A0" w14:textId="77777777" w:rsidR="001F51A6" w:rsidRDefault="001F51A6">
      <w:r>
        <w:separator/>
      </w:r>
    </w:p>
  </w:footnote>
  <w:footnote w:type="continuationSeparator" w:id="0">
    <w:p w14:paraId="168EBCAF" w14:textId="77777777" w:rsidR="001F51A6" w:rsidRDefault="001F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2674" w14:textId="101F4F31" w:rsidR="00F40A43" w:rsidRDefault="00F40A4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8B5"/>
    <w:multiLevelType w:val="hybridMultilevel"/>
    <w:tmpl w:val="232E1A76"/>
    <w:lvl w:ilvl="0" w:tplc="9BAEE7D6">
      <w:start w:val="1"/>
      <w:numFmt w:val="bullet"/>
      <w:lvlText w:val="●"/>
      <w:lvlJc w:val="left"/>
      <w:pPr>
        <w:ind w:left="720" w:hanging="360"/>
      </w:pPr>
    </w:lvl>
    <w:lvl w:ilvl="1" w:tplc="981CFAAC">
      <w:start w:val="1"/>
      <w:numFmt w:val="bullet"/>
      <w:lvlText w:val="○"/>
      <w:lvlJc w:val="left"/>
      <w:pPr>
        <w:ind w:left="1440" w:hanging="360"/>
      </w:pPr>
    </w:lvl>
    <w:lvl w:ilvl="2" w:tplc="498E4442">
      <w:start w:val="1"/>
      <w:numFmt w:val="bullet"/>
      <w:lvlText w:val="■"/>
      <w:lvlJc w:val="left"/>
      <w:pPr>
        <w:ind w:left="2160" w:hanging="360"/>
      </w:pPr>
    </w:lvl>
    <w:lvl w:ilvl="3" w:tplc="223EFC70">
      <w:start w:val="1"/>
      <w:numFmt w:val="bullet"/>
      <w:lvlText w:val="●"/>
      <w:lvlJc w:val="left"/>
      <w:pPr>
        <w:ind w:left="2880" w:hanging="360"/>
      </w:pPr>
    </w:lvl>
    <w:lvl w:ilvl="4" w:tplc="F0CAF52A">
      <w:start w:val="1"/>
      <w:numFmt w:val="bullet"/>
      <w:lvlText w:val="○"/>
      <w:lvlJc w:val="left"/>
      <w:pPr>
        <w:ind w:left="3600" w:hanging="360"/>
      </w:pPr>
    </w:lvl>
    <w:lvl w:ilvl="5" w:tplc="07800342">
      <w:start w:val="1"/>
      <w:numFmt w:val="bullet"/>
      <w:lvlText w:val="■"/>
      <w:lvlJc w:val="left"/>
      <w:pPr>
        <w:ind w:left="4320" w:hanging="360"/>
      </w:pPr>
    </w:lvl>
    <w:lvl w:ilvl="6" w:tplc="6B483B42">
      <w:start w:val="1"/>
      <w:numFmt w:val="bullet"/>
      <w:lvlText w:val="●"/>
      <w:lvlJc w:val="left"/>
      <w:pPr>
        <w:ind w:left="5040" w:hanging="360"/>
      </w:pPr>
    </w:lvl>
    <w:lvl w:ilvl="7" w:tplc="D60868A6">
      <w:start w:val="1"/>
      <w:numFmt w:val="bullet"/>
      <w:lvlText w:val="●"/>
      <w:lvlJc w:val="left"/>
      <w:pPr>
        <w:ind w:left="5760" w:hanging="360"/>
      </w:pPr>
    </w:lvl>
    <w:lvl w:ilvl="8" w:tplc="1E4238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43"/>
    <w:rsid w:val="001F51A6"/>
    <w:rsid w:val="004C789D"/>
    <w:rsid w:val="005B6484"/>
    <w:rsid w:val="005C0D0B"/>
    <w:rsid w:val="005F75DC"/>
    <w:rsid w:val="00777F5B"/>
    <w:rsid w:val="0080646F"/>
    <w:rsid w:val="00B1569C"/>
    <w:rsid w:val="00B82AE6"/>
    <w:rsid w:val="00E03504"/>
    <w:rsid w:val="00E35F1A"/>
    <w:rsid w:val="00F4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E52B"/>
  <w15:docId w15:val="{39E18A4A-2C1C-4CAD-8AC7-AD63CB5C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1569C"/>
    <w:rPr>
      <w:color w:val="605E5C"/>
      <w:shd w:val="clear" w:color="auto" w:fill="E1DFDD"/>
    </w:rPr>
  </w:style>
  <w:style w:type="paragraph" w:styleId="Header">
    <w:name w:val="header"/>
    <w:basedOn w:val="Normal"/>
    <w:link w:val="HeaderChar"/>
    <w:uiPriority w:val="99"/>
    <w:unhideWhenUsed/>
    <w:rsid w:val="00777F5B"/>
    <w:pPr>
      <w:tabs>
        <w:tab w:val="center" w:pos="4680"/>
        <w:tab w:val="right" w:pos="9360"/>
      </w:tabs>
    </w:pPr>
  </w:style>
  <w:style w:type="character" w:customStyle="1" w:styleId="HeaderChar">
    <w:name w:val="Header Char"/>
    <w:basedOn w:val="DefaultParagraphFont"/>
    <w:link w:val="Header"/>
    <w:uiPriority w:val="99"/>
    <w:rsid w:val="00777F5B"/>
  </w:style>
  <w:style w:type="paragraph" w:styleId="Footer">
    <w:name w:val="footer"/>
    <w:basedOn w:val="Normal"/>
    <w:link w:val="FooterChar"/>
    <w:uiPriority w:val="99"/>
    <w:unhideWhenUsed/>
    <w:rsid w:val="00777F5B"/>
    <w:pPr>
      <w:tabs>
        <w:tab w:val="center" w:pos="4680"/>
        <w:tab w:val="right" w:pos="9360"/>
      </w:tabs>
    </w:pPr>
  </w:style>
  <w:style w:type="character" w:customStyle="1" w:styleId="FooterChar">
    <w:name w:val="Footer Char"/>
    <w:basedOn w:val="DefaultParagraphFont"/>
    <w:link w:val="Footer"/>
    <w:uiPriority w:val="99"/>
    <w:rsid w:val="0077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ephenbrowne82@gmail.com" TargetMode="External"/><Relationship Id="rId3" Type="http://schemas.openxmlformats.org/officeDocument/2006/relationships/settings" Target="settings.xml"/><Relationship Id="rId7" Type="http://schemas.openxmlformats.org/officeDocument/2006/relationships/hyperlink" Target="mailto:ssbrowne@ame.edu.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Stephen Sunday Browne</cp:lastModifiedBy>
  <cp:revision>6</cp:revision>
  <dcterms:created xsi:type="dcterms:W3CDTF">2026-03-25T08:51:00Z</dcterms:created>
  <dcterms:modified xsi:type="dcterms:W3CDTF">2026-05-05T10:34:00Z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f5f39854-5c21-4b80-836a-9d1e27de4445</vt:lpwstr>
  </property>
</Properties>
</file>