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3701" w14:textId="77777777" w:rsidR="0061135C" w:rsidRPr="00A37B55" w:rsidRDefault="00000000" w:rsidP="00A37B55">
      <w:pPr>
        <w:spacing w:line="240" w:lineRule="auto"/>
        <w:jc w:val="center"/>
        <w:rPr>
          <w:rFonts w:ascii="Times New Roman" w:hAnsi="Times New Roman" w:cs="Times New Roman"/>
          <w:b/>
          <w:bCs/>
          <w:sz w:val="24"/>
          <w:szCs w:val="24"/>
        </w:rPr>
      </w:pPr>
      <w:r w:rsidRPr="00A37B55">
        <w:rPr>
          <w:rFonts w:ascii="Times New Roman" w:hAnsi="Times New Roman" w:cs="Times New Roman"/>
          <w:b/>
          <w:bCs/>
          <w:sz w:val="24"/>
          <w:szCs w:val="24"/>
        </w:rPr>
        <w:t>SOCIO-CULTURAL DETERMINANTS OF HOUSEHOLD DIETARY DIVERSITY IN MASABA SOUTH SUB-COUNTY, KENYA</w:t>
      </w:r>
    </w:p>
    <w:p w14:paraId="73005257" w14:textId="77777777" w:rsidR="0061135C" w:rsidRPr="00F10B71" w:rsidRDefault="00000000" w:rsidP="00A37B55">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sidRPr="00F10B71">
        <w:rPr>
          <w:rFonts w:ascii="Times New Roman" w:eastAsia="Times New Roman" w:hAnsi="Times New Roman" w:cs="Times New Roman"/>
          <w:color w:val="000000"/>
          <w:sz w:val="24"/>
          <w:szCs w:val="24"/>
        </w:rPr>
        <w:t>Rachael Moraa Onyancha¹ Lillian Chesikaw¹ &amp; Charles Wambu²</w:t>
      </w:r>
    </w:p>
    <w:p w14:paraId="72FC89B6" w14:textId="77777777" w:rsidR="00A37B55" w:rsidRPr="00F10B71" w:rsidRDefault="00000000" w:rsidP="00A37B55">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sidRPr="00F10B71">
        <w:rPr>
          <w:rFonts w:ascii="Times New Roman" w:eastAsia="Times New Roman" w:hAnsi="Times New Roman" w:cs="Times New Roman"/>
          <w:color w:val="000000"/>
          <w:sz w:val="24"/>
          <w:szCs w:val="24"/>
        </w:rPr>
        <w:t xml:space="preserve">¹ Egerton University, Egerton, Kenya </w:t>
      </w:r>
      <w:r w:rsidR="00A37B55">
        <w:rPr>
          <w:rFonts w:ascii="Times New Roman" w:eastAsia="Times New Roman" w:hAnsi="Times New Roman" w:cs="Times New Roman"/>
          <w:color w:val="000000"/>
          <w:sz w:val="24"/>
          <w:szCs w:val="24"/>
        </w:rPr>
        <w:t>&amp;2</w:t>
      </w:r>
      <w:r w:rsidR="00A37B55" w:rsidRPr="00F10B71">
        <w:rPr>
          <w:rFonts w:ascii="Times New Roman" w:eastAsia="Times New Roman" w:hAnsi="Times New Roman" w:cs="Times New Roman"/>
          <w:color w:val="000000"/>
          <w:sz w:val="24"/>
          <w:szCs w:val="24"/>
        </w:rPr>
        <w:t>The Co-operative University of Kenya, Karen, Nairobi</w:t>
      </w:r>
    </w:p>
    <w:p w14:paraId="0700BB1B" w14:textId="04F723E1" w:rsidR="0061135C" w:rsidRPr="00F10B71" w:rsidRDefault="00A37B55" w:rsidP="00A37B55">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CONTACT E</w:t>
      </w:r>
      <w:r w:rsidRPr="00F10B71">
        <w:rPr>
          <w:rFonts w:ascii="Times New Roman" w:eastAsia="Times New Roman" w:hAnsi="Times New Roman" w:cs="Times New Roman"/>
          <w:color w:val="000000"/>
          <w:sz w:val="24"/>
          <w:szCs w:val="24"/>
        </w:rPr>
        <w:t xml:space="preserve">-mail: rachaelmoraa783@gmail.com </w:t>
      </w:r>
    </w:p>
    <w:p w14:paraId="27BBF73B" w14:textId="3CBCA428" w:rsidR="0061135C" w:rsidRPr="00F10B71" w:rsidRDefault="00A37B55" w:rsidP="00A37B55">
      <w:pPr>
        <w:pStyle w:val="Heading1"/>
        <w:rPr>
          <w:rFonts w:ascii="Times New Roman" w:hAnsi="Times New Roman" w:cs="Times New Roman"/>
          <w:sz w:val="24"/>
          <w:szCs w:val="24"/>
        </w:rPr>
      </w:pPr>
      <w:r w:rsidRPr="00F10B71">
        <w:rPr>
          <w:rFonts w:ascii="Times New Roman" w:eastAsia="Times New Roman" w:hAnsi="Times New Roman" w:cs="Times New Roman"/>
          <w:b/>
          <w:color w:val="000000"/>
          <w:sz w:val="24"/>
          <w:szCs w:val="24"/>
        </w:rPr>
        <w:t>Abstract</w:t>
      </w:r>
    </w:p>
    <w:p w14:paraId="71086500" w14:textId="7864B7A7" w:rsidR="0061135C" w:rsidRDefault="00000000" w:rsidP="00F10B71">
      <w:pPr>
        <w:pBdr>
          <w:top w:val="none" w:sz="4" w:space="0" w:color="000000"/>
          <w:left w:val="none" w:sz="4" w:space="0" w:color="000000"/>
          <w:bottom w:val="none" w:sz="4" w:space="0" w:color="000000"/>
          <w:right w:val="none" w:sz="4" w:space="0" w:color="000000"/>
        </w:pBdr>
        <w:spacing w:before="120" w:after="120" w:line="240" w:lineRule="auto"/>
        <w:jc w:val="both"/>
        <w:rPr>
          <w:rFonts w:ascii="Times New Roman" w:hAnsi="Times New Roman" w:cs="Times New Roman"/>
        </w:rPr>
      </w:pPr>
      <w:r>
        <w:rPr>
          <w:rFonts w:ascii="Times New Roman" w:eastAsia="Times New Roman" w:hAnsi="Times New Roman" w:cs="Times New Roman"/>
          <w:color w:val="000000"/>
          <w:sz w:val="24"/>
        </w:rPr>
        <w:t>Within the patriarchal agrarian communities of Masaba South Sub-County</w:t>
      </w:r>
      <w:r w:rsidR="00F10B71">
        <w:rPr>
          <w:rFonts w:ascii="Times New Roman" w:eastAsia="Times New Roman" w:hAnsi="Times New Roman" w:cs="Times New Roman"/>
          <w:color w:val="000000"/>
          <w:sz w:val="24"/>
        </w:rPr>
        <w:t xml:space="preserve"> in </w:t>
      </w:r>
      <w:r>
        <w:rPr>
          <w:rFonts w:ascii="Times New Roman" w:eastAsia="Times New Roman" w:hAnsi="Times New Roman" w:cs="Times New Roman"/>
          <w:color w:val="000000"/>
          <w:sz w:val="24"/>
        </w:rPr>
        <w:t>Kenya, women predominantly undertake labor-intensive household food system activities, such as food production, meal preparation, and daily nutrition management. Despite their central role, women and their children experience disproportionately low dietary diversity outcomes. This study examines the impact of socio-cultural norms</w:t>
      </w:r>
      <w:r w:rsidR="00A37B55">
        <w:rPr>
          <w:rFonts w:ascii="Times New Roman" w:eastAsia="Times New Roman" w:hAnsi="Times New Roman" w:cs="Times New Roman"/>
          <w:color w:val="000000"/>
          <w:sz w:val="24"/>
        </w:rPr>
        <w:t>,</w:t>
      </w:r>
      <w:r w:rsidR="00F10B7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including patriarchal norms, cultural beliefs, food taboos, and traditional gender roles</w:t>
      </w:r>
      <w:r w:rsidR="00A37B55">
        <w:rPr>
          <w:rFonts w:ascii="Times New Roman" w:eastAsia="Times New Roman" w:hAnsi="Times New Roman" w:cs="Times New Roman"/>
          <w:color w:val="000000"/>
          <w:sz w:val="24"/>
        </w:rPr>
        <w:t>,</w:t>
      </w:r>
      <w:r w:rsidR="00F10B7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on household dietary diversity and food security. Drawing on eco-feminist theory and neo-Malthusian perspectives, the research utilized a convergent mixed-methods design. Quantitative data were collected from 133 household heads using structured survey questionnaires and analyzed through descriptive statistics and correlation analysis. Qualitative data were gathered from eight key informants via semi-structured interviews. The findings reveal that socio-cultural norms significantly influence food and security outcomes (M = 3.02–4.55). Spearman correlations indicate that the overall socio-cultural norms construct is significantly associated with both the Household Dietary Diversity Score (HDDS) (r = 0.218, p = 0.012) and perceived food availability (r = 0.216, p = 0.013). Key informant interviews corroborate that patrilineal land inheritance and male decision-making authority constrain women's influence over crop selection and income allocation, while food taboos further restrict the consumption of nutrient-rich foods. The study concludes that, although cultural awareness may foster adaptive behaviors, entrenched patriarchal structures and restrictive taboos persist in undermining dietary diversity. It is recommended that gender-transformative land reforms, community dialogues to address harmful taboos, culturally sensitive nutrition education, and policies supporting joint decision-making be implemented to enhance household dietary diversity and food security in Masaba South Sub-County and similar rural contexts.</w:t>
      </w:r>
    </w:p>
    <w:p w14:paraId="6A17B7A5" w14:textId="77777777" w:rsidR="0061135C" w:rsidRDefault="00000000" w:rsidP="00F10B71">
      <w:pPr>
        <w:pBdr>
          <w:top w:val="none" w:sz="4" w:space="0" w:color="000000"/>
          <w:left w:val="none" w:sz="4" w:space="0" w:color="000000"/>
          <w:bottom w:val="none" w:sz="4" w:space="0" w:color="000000"/>
          <w:right w:val="none" w:sz="4" w:space="0" w:color="000000"/>
        </w:pBdr>
        <w:spacing w:before="120" w:after="120" w:line="240" w:lineRule="auto"/>
        <w:jc w:val="both"/>
        <w:rPr>
          <w:rFonts w:ascii="Times New Roman" w:hAnsi="Times New Roman" w:cs="Times New Roman"/>
        </w:rPr>
      </w:pPr>
      <w:r>
        <w:rPr>
          <w:rFonts w:ascii="Times New Roman" w:eastAsia="Times New Roman" w:hAnsi="Times New Roman" w:cs="Times New Roman"/>
          <w:color w:val="000000"/>
          <w:sz w:val="24"/>
        </w:rPr>
        <w:t xml:space="preserve"> </w:t>
      </w:r>
    </w:p>
    <w:p w14:paraId="2AED1E84" w14:textId="30C33709" w:rsidR="0061135C" w:rsidRDefault="00000000" w:rsidP="00F10B71">
      <w:pPr>
        <w:pBdr>
          <w:top w:val="none" w:sz="4" w:space="0" w:color="000000"/>
          <w:left w:val="none" w:sz="4" w:space="0" w:color="000000"/>
          <w:bottom w:val="none" w:sz="4" w:space="0" w:color="000000"/>
          <w:right w:val="none" w:sz="4" w:space="0" w:color="000000"/>
        </w:pBdr>
        <w:spacing w:before="120" w:after="120" w:line="240" w:lineRule="auto"/>
        <w:jc w:val="both"/>
        <w:rPr>
          <w:rFonts w:ascii="Times New Roman" w:hAnsi="Times New Roman" w:cs="Times New Roman"/>
        </w:rPr>
      </w:pPr>
      <w:r w:rsidRPr="00A37B55">
        <w:rPr>
          <w:rFonts w:ascii="Times New Roman" w:eastAsia="Times New Roman" w:hAnsi="Times New Roman" w:cs="Times New Roman"/>
          <w:b/>
          <w:bCs/>
          <w:color w:val="000000"/>
          <w:sz w:val="24"/>
        </w:rPr>
        <w:t>Keywords:</w:t>
      </w:r>
      <w:r>
        <w:rPr>
          <w:rFonts w:ascii="Times New Roman" w:eastAsia="Times New Roman" w:hAnsi="Times New Roman" w:cs="Times New Roman"/>
          <w:color w:val="000000"/>
          <w:sz w:val="24"/>
        </w:rPr>
        <w:t xml:space="preserve"> </w:t>
      </w:r>
      <w:r w:rsidR="00A37B55">
        <w:rPr>
          <w:rFonts w:ascii="Times New Roman" w:eastAsia="Times New Roman" w:hAnsi="Times New Roman" w:cs="Times New Roman"/>
          <w:i/>
          <w:color w:val="000000"/>
          <w:sz w:val="24"/>
        </w:rPr>
        <w:t>Socio-Cultural Norms, Patriarchal Structures, Food Taboos, Gender Roles, Dietary Diversity, Ecofeminism, Neo-</w:t>
      </w:r>
      <w:r>
        <w:rPr>
          <w:rFonts w:ascii="Times New Roman" w:eastAsia="Times New Roman" w:hAnsi="Times New Roman" w:cs="Times New Roman"/>
          <w:i/>
          <w:color w:val="000000"/>
          <w:sz w:val="24"/>
        </w:rPr>
        <w:t xml:space="preserve">Malthusian </w:t>
      </w:r>
      <w:r w:rsidR="00A37B55">
        <w:rPr>
          <w:rFonts w:ascii="Times New Roman" w:eastAsia="Times New Roman" w:hAnsi="Times New Roman" w:cs="Times New Roman"/>
          <w:i/>
          <w:color w:val="000000"/>
          <w:sz w:val="24"/>
        </w:rPr>
        <w:t>Theory</w:t>
      </w:r>
    </w:p>
    <w:p w14:paraId="067CDD95" w14:textId="77777777" w:rsidR="00A37B55" w:rsidRDefault="00000000" w:rsidP="00A37B55">
      <w:pPr>
        <w:pBdr>
          <w:top w:val="none" w:sz="4" w:space="0" w:color="000000"/>
          <w:left w:val="none" w:sz="4" w:space="0" w:color="000000"/>
          <w:bottom w:val="none" w:sz="4" w:space="0" w:color="000000"/>
          <w:right w:val="none" w:sz="4" w:space="0" w:color="000000"/>
        </w:pBdr>
        <w:spacing w:before="120" w:after="12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72D9ACF1" w14:textId="523171F7" w:rsidR="0061135C" w:rsidRPr="00F10B71" w:rsidRDefault="00A37B55" w:rsidP="00A37B55">
      <w:pPr>
        <w:pBdr>
          <w:top w:val="none" w:sz="4" w:space="0" w:color="000000"/>
          <w:left w:val="none" w:sz="4" w:space="0" w:color="000000"/>
          <w:bottom w:val="none" w:sz="4" w:space="0" w:color="000000"/>
          <w:right w:val="none" w:sz="4" w:space="0" w:color="000000"/>
        </w:pBdr>
        <w:spacing w:before="120" w:after="120" w:line="360" w:lineRule="auto"/>
        <w:rPr>
          <w:rFonts w:ascii="Times New Roman" w:hAnsi="Times New Roman" w:cs="Times New Roman"/>
          <w:sz w:val="24"/>
          <w:szCs w:val="24"/>
        </w:rPr>
      </w:pPr>
      <w:r w:rsidRPr="00F10B71">
        <w:rPr>
          <w:rFonts w:ascii="Times New Roman" w:eastAsia="Times New Roman" w:hAnsi="Times New Roman" w:cs="Times New Roman"/>
          <w:b/>
          <w:color w:val="000000"/>
          <w:sz w:val="24"/>
          <w:szCs w:val="24"/>
        </w:rPr>
        <w:t>Introduction</w:t>
      </w:r>
    </w:p>
    <w:p w14:paraId="23CC9017" w14:textId="77777777"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Dietary diversity is a critical indicator of household nutritional adequacy, yet in rural Kenya, consumption patterns are often limited by a complex interplay of economic constraints and deeply embedded socio-cultural norms (Musyoka et al., 2023; Ngendo et al., 2016). These norms, customs, and dietary taboos often dictate which food groups are considered appropriate for specific household members, frequently reinforcing gendered food hierarchies that limit women's and </w:t>
      </w:r>
      <w:r>
        <w:rPr>
          <w:rFonts w:ascii="Times New Roman" w:eastAsia="Times New Roman" w:hAnsi="Times New Roman" w:cs="Times New Roman"/>
          <w:color w:val="000000"/>
          <w:sz w:val="24"/>
        </w:rPr>
        <w:lastRenderedPageBreak/>
        <w:t>children's access to nutrient-dense, animal-source proteins (</w:t>
      </w:r>
      <w:proofErr w:type="spellStart"/>
      <w:r>
        <w:rPr>
          <w:rFonts w:ascii="Times New Roman" w:eastAsia="Times New Roman" w:hAnsi="Times New Roman" w:cs="Times New Roman"/>
          <w:color w:val="000000"/>
          <w:sz w:val="24"/>
        </w:rPr>
        <w:t>Amugsi</w:t>
      </w:r>
      <w:proofErr w:type="spellEnd"/>
      <w:r>
        <w:rPr>
          <w:rFonts w:ascii="Times New Roman" w:eastAsia="Times New Roman" w:hAnsi="Times New Roman" w:cs="Times New Roman"/>
          <w:color w:val="000000"/>
          <w:sz w:val="24"/>
        </w:rPr>
        <w:t xml:space="preserve"> et al., 2015; Musyoka et al., 2023). While modernization and urbanization are gradually altering dietary habits, traditional practices, religious fasting, and ingrained cultural preferences continue to influence food choices and nutritional outcomes significantly (Ngendo et al., 2016;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2021). Consequently, understanding these socio-cultural determinants is essential for designing culturally sensitive nutrition interventions and food security policies in the sub-county, moving beyond a sole focus on economic or agricultural constraints to address the broader cultural complexities affecting household dietary diversity (Musyoka et al., 2023;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2021).</w:t>
      </w:r>
    </w:p>
    <w:p w14:paraId="5A766E25" w14:textId="0F92FA69"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Customs and shared values that frame local nutrition knowledge systems often determine how successfully new dietary information is integrated into existing habits (Powell et al., 2017). According to Abuya et al. (2024), specific food taboos and gendered hierarchies often restrict vulnerable populations' intake of protein-rich animal products, even when such resources are locally available. Furthermore, gendered power dynamics often position men as the primary decision-makers regarding household food allocation, which can inadvertently marginalize the nutritional needs of women and children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et al., 2022). Research indicates that these disparities in household decision-making power directly correlate with suboptimal dietary intakes among women of reproductive age (</w:t>
      </w:r>
      <w:proofErr w:type="spellStart"/>
      <w:r>
        <w:rPr>
          <w:rFonts w:ascii="Times New Roman" w:eastAsia="Times New Roman" w:hAnsi="Times New Roman" w:cs="Times New Roman"/>
          <w:color w:val="000000"/>
          <w:sz w:val="24"/>
        </w:rPr>
        <w:t>Gitagia</w:t>
      </w:r>
      <w:proofErr w:type="spellEnd"/>
      <w:r>
        <w:rPr>
          <w:rFonts w:ascii="Times New Roman" w:eastAsia="Times New Roman" w:hAnsi="Times New Roman" w:cs="Times New Roman"/>
          <w:color w:val="000000"/>
          <w:sz w:val="24"/>
        </w:rPr>
        <w:t xml:space="preserve"> et al., 2019). Furthermore, understanding how religious and cultural beliefs dictate the perceived status of certain foods remains vital for developing context-specific strategies that address the underlying drivers of nutritional inequality (Nyambura et al., 2023).</w:t>
      </w:r>
    </w:p>
    <w:p w14:paraId="0C6C55D0" w14:textId="77777777"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Persistent cultural myths about the perceived artificiality of fortified foods can foster resistance to modern nutritional interventions, underscoring the need to bridge local knowledge with scientific outreach (Faye &amp; Sow, 2025). By integrating these context-specific insights into public health strategies, practitioners can better address the interplay between traditional belief systems and broader socioeconomic factors, such as market access and agricultural productivity (</w:t>
      </w:r>
      <w:proofErr w:type="spellStart"/>
      <w:r>
        <w:rPr>
          <w:rFonts w:ascii="Times New Roman" w:eastAsia="Times New Roman" w:hAnsi="Times New Roman" w:cs="Times New Roman"/>
          <w:color w:val="000000"/>
          <w:sz w:val="24"/>
        </w:rPr>
        <w:t>Frumence</w:t>
      </w:r>
      <w:proofErr w:type="spellEnd"/>
      <w:r>
        <w:rPr>
          <w:rFonts w:ascii="Times New Roman" w:eastAsia="Times New Roman" w:hAnsi="Times New Roman" w:cs="Times New Roman"/>
          <w:color w:val="000000"/>
          <w:sz w:val="24"/>
        </w:rPr>
        <w:t xml:space="preserve"> et al., 2023; </w:t>
      </w:r>
      <w:proofErr w:type="spellStart"/>
      <w:r>
        <w:rPr>
          <w:rFonts w:ascii="Times New Roman" w:eastAsia="Times New Roman" w:hAnsi="Times New Roman" w:cs="Times New Roman"/>
          <w:color w:val="000000"/>
          <w:sz w:val="24"/>
        </w:rPr>
        <w:t>Zemene</w:t>
      </w:r>
      <w:proofErr w:type="spellEnd"/>
      <w:r>
        <w:rPr>
          <w:rFonts w:ascii="Times New Roman" w:eastAsia="Times New Roman" w:hAnsi="Times New Roman" w:cs="Times New Roman"/>
          <w:color w:val="000000"/>
          <w:sz w:val="24"/>
        </w:rPr>
        <w:t xml:space="preserve"> et al., 2024). The transmission of traditional dietary knowledge and the influence of past habits often dictate whether households are willing to adopt more diverse consumption patterns, even when presented with new agricultural options (Rafanomezantsoa et al., 2022). Accordingly, implementing culturally sensitive, participatory programs that foster genuine co-management partnerships is essential to navigating these deep-seated institutional barriers (</w:t>
      </w:r>
      <w:proofErr w:type="spellStart"/>
      <w:r>
        <w:rPr>
          <w:rFonts w:ascii="Times New Roman" w:eastAsia="Times New Roman" w:hAnsi="Times New Roman" w:cs="Times New Roman"/>
          <w:color w:val="000000"/>
          <w:sz w:val="24"/>
        </w:rPr>
        <w:t>Ramenzoni</w:t>
      </w:r>
      <w:proofErr w:type="spellEnd"/>
      <w:r>
        <w:rPr>
          <w:rFonts w:ascii="Times New Roman" w:eastAsia="Times New Roman" w:hAnsi="Times New Roman" w:cs="Times New Roman"/>
          <w:color w:val="000000"/>
          <w:sz w:val="24"/>
        </w:rPr>
        <w:t xml:space="preserve">, 2023). Such interventions must account for the fact that intra-household food </w:t>
      </w:r>
      <w:r>
        <w:rPr>
          <w:rFonts w:ascii="Times New Roman" w:eastAsia="Times New Roman" w:hAnsi="Times New Roman" w:cs="Times New Roman"/>
          <w:color w:val="000000"/>
          <w:sz w:val="24"/>
        </w:rPr>
        <w:lastRenderedPageBreak/>
        <w:t>distribution patterns are frequently mediated by cultural and religious norms that prioritize the status of specific household members (Alonso &amp; Briones, 2015; McNamara &amp; Wood, 2019).</w:t>
      </w:r>
    </w:p>
    <w:p w14:paraId="26F02E63" w14:textId="16352980"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In many households, gender norms often dictate that men consume higher-quality proteins first, leaving women and children with limited access to essential nutrients (Domínguez-Salas et al., 2019). Such ingrained inequalities demonstrate that even when households possess sufficient resources, the internal allocation process remains a significant barrier to achieving nutritional equity (A. Das et al., 2023; S. Das &amp; Mishra, 2021). Addressing these disparities requires an approach that empowers women by increasing their bargaining power and equitable access to productive resources, thereby directly challenging the hierarchical structures that currently govern food distribution (Ruben et al., 2021). Therefore, efforts must acknowledge that changing these deeply rooted attitudes requires the active involvement of the entire community, as both men and women are socialized within these prevailing hierarchical structures (</w:t>
      </w:r>
      <w:proofErr w:type="spellStart"/>
      <w:r>
        <w:rPr>
          <w:rFonts w:ascii="Times New Roman" w:eastAsia="Times New Roman" w:hAnsi="Times New Roman" w:cs="Times New Roman"/>
          <w:color w:val="000000"/>
          <w:sz w:val="24"/>
        </w:rPr>
        <w:t>Chea</w:t>
      </w:r>
      <w:proofErr w:type="spellEnd"/>
      <w:r>
        <w:rPr>
          <w:rFonts w:ascii="Times New Roman" w:eastAsia="Times New Roman" w:hAnsi="Times New Roman" w:cs="Times New Roman"/>
          <w:color w:val="000000"/>
          <w:sz w:val="24"/>
        </w:rPr>
        <w:t xml:space="preserve"> et al., 2023). In addition, women's triple role burden significantly constrains their ability to prioritize personal dietary needs or implement diverse food preparation practices (Nisbett et al., 2021). To ensure sustainable and equitable food practices </w:t>
      </w:r>
      <w:r w:rsidR="00131FC9">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nvolving male heads of households and community elders in nutrition education is vital to reshaping the traditional masculinities that influence child care and household resource allocation (Kerr et al., 2016). Moreover, fostering institutional environments that support women's agency and financial inclusion is essential to dismantling the systemic barriers that perpetuate these gender-based nutritional inequities (Njuki et al., 2022).</w:t>
      </w:r>
    </w:p>
    <w:p w14:paraId="67306534" w14:textId="6F3ECA31" w:rsidR="0061135C" w:rsidRDefault="0061135C"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p>
    <w:p w14:paraId="46A7628B" w14:textId="77777777"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Research highlights that while dietary habits are influenced by individual and environmental factors, traditional ethnic norms in regions like Western Kenya continue to restrict the consumption of a wide variety of indigenous foods, thereby exacerbating nutritional inequities (Musyoka et al., 2023;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et al., 2022). These socio-cultural structures, which often prioritize staples over diverse and nutrient-rich food groups, necessitate that nutritional interventions not only focus on agricultural productivity but also directly address the underlying power imbalances and cultural beliefs that constrain household-level dietary choices (Abuya et al., 2024; Musyoka et al., 2023). Consequently, interventions that fail to consider the legal and social entitlements governing the control of land, labor, and capital risk overlooking the root causes of persistent food insecurity (</w:t>
      </w:r>
      <w:proofErr w:type="spellStart"/>
      <w:r>
        <w:rPr>
          <w:rFonts w:ascii="Times New Roman" w:eastAsia="Times New Roman" w:hAnsi="Times New Roman" w:cs="Times New Roman"/>
          <w:color w:val="000000"/>
          <w:sz w:val="24"/>
        </w:rPr>
        <w:t>Mikalitsa</w:t>
      </w:r>
      <w:proofErr w:type="spellEnd"/>
      <w:r>
        <w:rPr>
          <w:rFonts w:ascii="Times New Roman" w:eastAsia="Times New Roman" w:hAnsi="Times New Roman" w:cs="Times New Roman"/>
          <w:color w:val="000000"/>
          <w:sz w:val="24"/>
        </w:rPr>
        <w:t xml:space="preserve">, 2015). Beyond economic access, evidence indicates that food allocation </w:t>
      </w:r>
      <w:r>
        <w:rPr>
          <w:rFonts w:ascii="Times New Roman" w:eastAsia="Times New Roman" w:hAnsi="Times New Roman" w:cs="Times New Roman"/>
          <w:color w:val="000000"/>
          <w:sz w:val="24"/>
        </w:rPr>
        <w:lastRenderedPageBreak/>
        <w:t>within households is often mediated by gender, age, and marital status, leading to disparities in which individuals with lower social standing may consume smaller portions or nutrient-poor leftovers (</w:t>
      </w:r>
      <w:proofErr w:type="spellStart"/>
      <w:r>
        <w:rPr>
          <w:rFonts w:ascii="Times New Roman" w:eastAsia="Times New Roman" w:hAnsi="Times New Roman" w:cs="Times New Roman"/>
          <w:color w:val="000000"/>
          <w:sz w:val="24"/>
        </w:rPr>
        <w:t>Gartaula</w:t>
      </w:r>
      <w:proofErr w:type="spellEnd"/>
      <w:r>
        <w:rPr>
          <w:rFonts w:ascii="Times New Roman" w:eastAsia="Times New Roman" w:hAnsi="Times New Roman" w:cs="Times New Roman"/>
          <w:color w:val="000000"/>
          <w:sz w:val="24"/>
        </w:rPr>
        <w:t xml:space="preserve"> et al., 2024).</w:t>
      </w:r>
    </w:p>
    <w:p w14:paraId="19A31E73" w14:textId="77777777" w:rsidR="00131FC9"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Intra-household bargaining asymmetries often reflect broader gender hierarchies, wherein women's limited agency in decision-making processes significantly constrains their ability to secure diverse dietary options for themselves and their children (Huang et al., 2024; Pilla &amp; Dantas, 2016). Moreover, evidence shows that when women gain equitable access to productive resources and decision-making roles, they are more inclined to prioritize their families' dietary needs, thereby acting as essential catalysts for improved household food security (Temesgen &amp; </w:t>
      </w:r>
      <w:proofErr w:type="spellStart"/>
      <w:r>
        <w:rPr>
          <w:rFonts w:ascii="Times New Roman" w:eastAsia="Times New Roman" w:hAnsi="Times New Roman" w:cs="Times New Roman"/>
          <w:color w:val="000000"/>
          <w:sz w:val="24"/>
        </w:rPr>
        <w:t>Aweke</w:t>
      </w:r>
      <w:proofErr w:type="spellEnd"/>
      <w:r>
        <w:rPr>
          <w:rFonts w:ascii="Times New Roman" w:eastAsia="Times New Roman" w:hAnsi="Times New Roman" w:cs="Times New Roman"/>
          <w:color w:val="000000"/>
          <w:sz w:val="24"/>
        </w:rPr>
        <w:t xml:space="preserve">, 2023). Customs and dietary taboos further dictate these outcomes by categorizing certain foods as beneficial, harmless, or restricted based on deep-seated health beliefs (Ketut et al., 2026). </w:t>
      </w:r>
      <w:r w:rsidR="00131FC9">
        <w:rPr>
          <w:rFonts w:ascii="Times New Roman" w:eastAsia="Times New Roman" w:hAnsi="Times New Roman" w:cs="Times New Roman"/>
          <w:color w:val="000000"/>
          <w:sz w:val="24"/>
        </w:rPr>
        <w:t xml:space="preserve">In certain communities for </w:t>
      </w:r>
      <w:r>
        <w:rPr>
          <w:rFonts w:ascii="Times New Roman" w:eastAsia="Times New Roman" w:hAnsi="Times New Roman" w:cs="Times New Roman"/>
          <w:color w:val="000000"/>
          <w:sz w:val="24"/>
        </w:rPr>
        <w:t xml:space="preserve">instance, specific cultural practices and food taboos often dictate that certain animal-source proteins are reserved exclusively for elders or men, effectively limiting the nutritional intake of women and young children (Waswa et al., 2021). These intra-household allocation disparities are frequently exacerbated by differences in individual bargaining power and social status, which determine how food is distributed among members despite varying nutritional requirements (Mekonnen et al., 2020). </w:t>
      </w:r>
    </w:p>
    <w:p w14:paraId="200FA701" w14:textId="6578A52D"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Despite the established understanding of </w:t>
      </w:r>
      <w:r w:rsidR="00131FC9">
        <w:rPr>
          <w:rFonts w:ascii="Times New Roman" w:eastAsia="Times New Roman" w:hAnsi="Times New Roman" w:cs="Times New Roman"/>
          <w:color w:val="000000"/>
          <w:sz w:val="24"/>
        </w:rPr>
        <w:t>the various socio-cultural</w:t>
      </w:r>
      <w:r>
        <w:rPr>
          <w:rFonts w:ascii="Times New Roman" w:eastAsia="Times New Roman" w:hAnsi="Times New Roman" w:cs="Times New Roman"/>
          <w:color w:val="000000"/>
          <w:sz w:val="24"/>
        </w:rPr>
        <w:t xml:space="preserve"> dynamics, there is limited empirical evidence documenting how localized socio-cultural determinants, traditional practices, and evolving dietary norms shape household food security in Masaba South Sub-County. </w:t>
      </w:r>
      <w:r w:rsidR="00131FC9">
        <w:rPr>
          <w:rFonts w:ascii="Times New Roman" w:eastAsia="Times New Roman" w:hAnsi="Times New Roman" w:cs="Times New Roman"/>
          <w:color w:val="000000"/>
          <w:sz w:val="24"/>
        </w:rPr>
        <w:t>Hence, by</w:t>
      </w:r>
      <w:r>
        <w:rPr>
          <w:rFonts w:ascii="Times New Roman" w:eastAsia="Times New Roman" w:hAnsi="Times New Roman" w:cs="Times New Roman"/>
          <w:color w:val="000000"/>
          <w:sz w:val="24"/>
        </w:rPr>
        <w:t xml:space="preserve"> elucidating how complex power relations and social norms shape nutritional outcomes, this research seeks to inform more effective, gender-sensitive strategies to enhance food security (Barak et al., 2024; Kemigisha, 2025).</w:t>
      </w:r>
    </w:p>
    <w:p w14:paraId="138692EE" w14:textId="77777777" w:rsidR="0061135C" w:rsidRDefault="00000000" w:rsidP="00F10B71">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 </w:t>
      </w:r>
    </w:p>
    <w:p w14:paraId="2CBF6577" w14:textId="17CE403D" w:rsidR="0061135C" w:rsidRPr="00131FC9" w:rsidRDefault="00A37B55">
      <w:pPr>
        <w:pStyle w:val="Heading1"/>
        <w:pBdr>
          <w:top w:val="none" w:sz="4" w:space="0" w:color="000000"/>
          <w:left w:val="none" w:sz="4" w:space="0" w:color="000000"/>
          <w:bottom w:val="none" w:sz="4" w:space="0" w:color="000000"/>
          <w:right w:val="none" w:sz="4" w:space="0" w:color="000000"/>
        </w:pBdr>
        <w:spacing w:before="239" w:after="120" w:line="360" w:lineRule="auto"/>
        <w:jc w:val="center"/>
        <w:rPr>
          <w:rFonts w:ascii="Times New Roman" w:hAnsi="Times New Roman" w:cs="Times New Roman"/>
          <w:sz w:val="24"/>
          <w:szCs w:val="24"/>
        </w:rPr>
      </w:pPr>
      <w:r w:rsidRPr="00131FC9">
        <w:rPr>
          <w:rFonts w:ascii="Times New Roman" w:eastAsia="Times New Roman" w:hAnsi="Times New Roman" w:cs="Times New Roman"/>
          <w:b/>
          <w:color w:val="000000"/>
          <w:sz w:val="24"/>
          <w:szCs w:val="24"/>
        </w:rPr>
        <w:t>Literature Review</w:t>
      </w:r>
    </w:p>
    <w:p w14:paraId="45A45821" w14:textId="6A89E7B5" w:rsidR="0061135C"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Dietary diversity serves as a key indicator of household nutritional adequacy. In rural Kenya, however, consumption patterns are constrained by a complex interplay of economic limitations and entrenched socio-cultural norms (Musyoka et al., 2023; Ngendo et al., 2016). These norms, customs, and dietary taboos dictate which food groups are deemed appropriate for specific </w:t>
      </w:r>
      <w:r>
        <w:rPr>
          <w:rFonts w:ascii="Times New Roman" w:eastAsia="Times New Roman" w:hAnsi="Times New Roman" w:cs="Times New Roman"/>
          <w:color w:val="000000"/>
          <w:sz w:val="24"/>
        </w:rPr>
        <w:lastRenderedPageBreak/>
        <w:t>household members, often reinforcing gendered food hierarchies that restrict women's and children's access to nutrient-dense, animal-source proteins (</w:t>
      </w:r>
      <w:proofErr w:type="spellStart"/>
      <w:r>
        <w:rPr>
          <w:rFonts w:ascii="Times New Roman" w:eastAsia="Times New Roman" w:hAnsi="Times New Roman" w:cs="Times New Roman"/>
          <w:color w:val="000000"/>
          <w:sz w:val="24"/>
        </w:rPr>
        <w:t>Amugsi</w:t>
      </w:r>
      <w:proofErr w:type="spellEnd"/>
      <w:r>
        <w:rPr>
          <w:rFonts w:ascii="Times New Roman" w:eastAsia="Times New Roman" w:hAnsi="Times New Roman" w:cs="Times New Roman"/>
          <w:color w:val="000000"/>
          <w:sz w:val="24"/>
        </w:rPr>
        <w:t xml:space="preserve"> et al., 2015; Musyoka et al., 2023). Although modernization and urbanization are gradually influencing dietary habits, traditional practices, religious fasting, and persistent cultural preferences continue to shape food choices and nutritional outcomes (Ngendo et al.,</w:t>
      </w:r>
      <w:r w:rsidR="00A37B5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2016;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2021). Therefore, a comprehensive understanding of these socio-cultural determinants is crucial for developing culturally sensitive nutrition interventions and food security policies in the sub-county. Such approaches must move beyond a narrow focus on economic or agricultural constraints to address the broader cultural complexities that affect household dietary diversity (Musyoka et al., 2023;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2021).</w:t>
      </w:r>
    </w:p>
    <w:p w14:paraId="683A2B24" w14:textId="77777777" w:rsidR="00131FC9" w:rsidRDefault="00131FC9"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p>
    <w:p w14:paraId="0508C425" w14:textId="77777777" w:rsidR="00131FC9"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Customs and shared values that shape local nutrition knowledge systems play a significant role in determining the integration of new dietary information into established habits (Powell et al., 2017). Abuya et al. (2024) report that specific food taboos and gendered hierarchies restrict the intake of protein-rich animal products among vulnerable populations, even when these foods are locally available. Additionally, gendered power dynamics frequently position men as the primary decision-makers in household food allocation, which can marginalize the nutritional needs of women and children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et al., 2022). Evidence demonstrates that disparities in household decision-making power are directly associated with suboptimal dietary intakes among women of reproductive age (</w:t>
      </w:r>
      <w:proofErr w:type="spellStart"/>
      <w:r>
        <w:rPr>
          <w:rFonts w:ascii="Times New Roman" w:eastAsia="Times New Roman" w:hAnsi="Times New Roman" w:cs="Times New Roman"/>
          <w:color w:val="000000"/>
          <w:sz w:val="24"/>
        </w:rPr>
        <w:t>Gitagia</w:t>
      </w:r>
      <w:proofErr w:type="spellEnd"/>
      <w:r>
        <w:rPr>
          <w:rFonts w:ascii="Times New Roman" w:eastAsia="Times New Roman" w:hAnsi="Times New Roman" w:cs="Times New Roman"/>
          <w:color w:val="000000"/>
          <w:sz w:val="24"/>
        </w:rPr>
        <w:t xml:space="preserve"> et al., 2019). Understanding how religious and cultural beliefs assign status to certain foods is essential for developing context-specific strategies that address the root causes of nutritional inequality (Nyambura et al.). </w:t>
      </w:r>
    </w:p>
    <w:p w14:paraId="4FD0E513" w14:textId="77777777" w:rsidR="00131FC9" w:rsidRDefault="00131FC9"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4CD5B1EB" w14:textId="0596E818" w:rsidR="0061135C"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Persistent cultural myths regarding the artificiality of fortified foods contribute to resistance against modern nutritional interventions, highlighting the importance of bridging local knowledge with scientific outreach (Faye &amp; Sow, 2025). Integrating context-specific insights into public health strategies enables practitioners to address the complex interplay between traditional belief systems and broader socioeconomic factors, including market access and agricultural productivity (</w:t>
      </w:r>
      <w:proofErr w:type="spellStart"/>
      <w:r>
        <w:rPr>
          <w:rFonts w:ascii="Times New Roman" w:eastAsia="Times New Roman" w:hAnsi="Times New Roman" w:cs="Times New Roman"/>
          <w:color w:val="000000"/>
          <w:sz w:val="24"/>
        </w:rPr>
        <w:t>Frumence</w:t>
      </w:r>
      <w:proofErr w:type="spellEnd"/>
      <w:r>
        <w:rPr>
          <w:rFonts w:ascii="Times New Roman" w:eastAsia="Times New Roman" w:hAnsi="Times New Roman" w:cs="Times New Roman"/>
          <w:color w:val="000000"/>
          <w:sz w:val="24"/>
        </w:rPr>
        <w:t xml:space="preserve"> et al., 2023; </w:t>
      </w:r>
      <w:proofErr w:type="spellStart"/>
      <w:r>
        <w:rPr>
          <w:rFonts w:ascii="Times New Roman" w:eastAsia="Times New Roman" w:hAnsi="Times New Roman" w:cs="Times New Roman"/>
          <w:color w:val="000000"/>
          <w:sz w:val="24"/>
        </w:rPr>
        <w:t>Zemene</w:t>
      </w:r>
      <w:proofErr w:type="spellEnd"/>
      <w:r>
        <w:rPr>
          <w:rFonts w:ascii="Times New Roman" w:eastAsia="Times New Roman" w:hAnsi="Times New Roman" w:cs="Times New Roman"/>
          <w:color w:val="000000"/>
          <w:sz w:val="24"/>
        </w:rPr>
        <w:t xml:space="preserve"> et al., 2024). The transmission of traditional dietary knowledge and the influence of established habits often determine whether households are willing to adopt </w:t>
      </w:r>
      <w:r>
        <w:rPr>
          <w:rFonts w:ascii="Times New Roman" w:eastAsia="Times New Roman" w:hAnsi="Times New Roman" w:cs="Times New Roman"/>
          <w:color w:val="000000"/>
          <w:sz w:val="24"/>
        </w:rPr>
        <w:lastRenderedPageBreak/>
        <w:t>more diverse consumption patterns, even when new agricultural options are available (Rafanomezantsoa et al., 2022). Therefore, implementing culturally sensitive, participatory programs that foster genuine co-management partnerships is essential for overcoming these institutional barriers (</w:t>
      </w:r>
      <w:proofErr w:type="spellStart"/>
      <w:r>
        <w:rPr>
          <w:rFonts w:ascii="Times New Roman" w:eastAsia="Times New Roman" w:hAnsi="Times New Roman" w:cs="Times New Roman"/>
          <w:color w:val="000000"/>
          <w:sz w:val="24"/>
        </w:rPr>
        <w:t>Ramenzoni</w:t>
      </w:r>
      <w:proofErr w:type="spellEnd"/>
      <w:r>
        <w:rPr>
          <w:rFonts w:ascii="Times New Roman" w:eastAsia="Times New Roman" w:hAnsi="Times New Roman" w:cs="Times New Roman"/>
          <w:color w:val="000000"/>
          <w:sz w:val="24"/>
        </w:rPr>
        <w:t xml:space="preserve">, 2023). Such interventions must recognize that intra-household food distribution patterns are frequently shaped by cultural and religious norms that prioritize the status of specific household members (Alonso &amp; Briones, 2015; McNamara &amp; Wood, 2019). </w:t>
      </w:r>
    </w:p>
    <w:p w14:paraId="09528969" w14:textId="77777777" w:rsidR="00131FC9" w:rsidRDefault="00131FC9"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p>
    <w:p w14:paraId="3D176C99" w14:textId="77777777" w:rsidR="0061135C"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In many households, gender norms dictate that men consume higher-quality proteins first, resulting in women and children having limited access to essential nutrients (Domínguez-Salas et al., 2019). These entrenched inequalities indicate that, even when households have sufficient resources, internal allocation processes remain a significant barrier to achieving nutritional equity (A. Das et al., 2023; S. Das &amp; Mishra, 2021). Addressing these disparities requires strategies that empower women by increasing their bargaining power and equitable access to productive resources, thereby directly challenging the hierarchical structures governing food distribution (Ruben et al., 2021). Efforts to change these deeply rooted attitudes must involve the entire community, as both men and women are socialized within prevailing hierarchical structures (</w:t>
      </w:r>
      <w:proofErr w:type="spellStart"/>
      <w:r>
        <w:rPr>
          <w:rFonts w:ascii="Times New Roman" w:eastAsia="Times New Roman" w:hAnsi="Times New Roman" w:cs="Times New Roman"/>
          <w:color w:val="000000"/>
          <w:sz w:val="24"/>
        </w:rPr>
        <w:t>Chea</w:t>
      </w:r>
      <w:proofErr w:type="spellEnd"/>
      <w:r>
        <w:rPr>
          <w:rFonts w:ascii="Times New Roman" w:eastAsia="Times New Roman" w:hAnsi="Times New Roman" w:cs="Times New Roman"/>
          <w:color w:val="000000"/>
          <w:sz w:val="24"/>
        </w:rPr>
        <w:t xml:space="preserve"> et al., 2023). Additionally, the triple role burden faced by women significantly limits their ability to prioritize personal dietary needs or implement diverse food preparation practices (Nisbett et al., 2021). To ensure sustainable and equitable food practices, it is vital to involve male heads of households and community elders in nutrition education to reshape traditional masculinities that influence child care and household resource allocation (Kerr et al., 2016). Furthermore, fostering institutional environments that support women's agency and financial inclusion is essential for dismantling the systemic barriers that perpetuate gender-based nutritional inequities (Njuki et al., 2022).</w:t>
      </w:r>
    </w:p>
    <w:p w14:paraId="22C641E1" w14:textId="77777777" w:rsidR="00131FC9" w:rsidRDefault="00131FC9"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46ADF675" w14:textId="3E6E2676" w:rsidR="0061135C"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Research demonstrates that, although dietary habits are shaped by individual and environmental factors, traditional ethnic norms in regions such as Western Kenya continue to restrict the consumption of diverse indigenous foods, thereby exacerbating nutritional inequities (Musyoka et al., 2023;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et al., 2022). These socio-cultural structures often prioritize staple foods over diverse and nutrient-rich groups, necessitating that nutritional interventions address not only agricultural productivity but also the underlying power imbalances and cultural beliefs that </w:t>
      </w:r>
      <w:r>
        <w:rPr>
          <w:rFonts w:ascii="Times New Roman" w:eastAsia="Times New Roman" w:hAnsi="Times New Roman" w:cs="Times New Roman"/>
          <w:color w:val="000000"/>
          <w:sz w:val="24"/>
        </w:rPr>
        <w:lastRenderedPageBreak/>
        <w:t>constrain household dietary choices (Abuya et al., 2024; Musyoka et al., 2023). Interventions that do not consider the legal and social entitlements governing land, labor, and capital risk overlooking the root causes of persistent food insecurity (</w:t>
      </w:r>
      <w:proofErr w:type="spellStart"/>
      <w:r>
        <w:rPr>
          <w:rFonts w:ascii="Times New Roman" w:eastAsia="Times New Roman" w:hAnsi="Times New Roman" w:cs="Times New Roman"/>
          <w:color w:val="000000"/>
          <w:sz w:val="24"/>
        </w:rPr>
        <w:t>Mikalitsa</w:t>
      </w:r>
      <w:proofErr w:type="spellEnd"/>
      <w:r>
        <w:rPr>
          <w:rFonts w:ascii="Times New Roman" w:eastAsia="Times New Roman" w:hAnsi="Times New Roman" w:cs="Times New Roman"/>
          <w:color w:val="000000"/>
          <w:sz w:val="24"/>
        </w:rPr>
        <w:t>, 2015). Beyond economic access, evidence shows that food allocation within households is frequently mediated by gender, age, and marital status, resulting in disparities where individuals with lower social standing may consume smaller portions or nutrient-poor leftovers (</w:t>
      </w:r>
      <w:proofErr w:type="spellStart"/>
      <w:r>
        <w:rPr>
          <w:rFonts w:ascii="Times New Roman" w:eastAsia="Times New Roman" w:hAnsi="Times New Roman" w:cs="Times New Roman"/>
          <w:color w:val="000000"/>
          <w:sz w:val="24"/>
        </w:rPr>
        <w:t>Gartaula</w:t>
      </w:r>
      <w:proofErr w:type="spellEnd"/>
      <w:r>
        <w:rPr>
          <w:rFonts w:ascii="Times New Roman" w:eastAsia="Times New Roman" w:hAnsi="Times New Roman" w:cs="Times New Roman"/>
          <w:color w:val="000000"/>
          <w:sz w:val="24"/>
        </w:rPr>
        <w:t xml:space="preserve"> et al., 2024).</w:t>
      </w:r>
    </w:p>
    <w:p w14:paraId="7D065243" w14:textId="77777777" w:rsidR="00DB4ADE" w:rsidRDefault="00DB4ADE"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1AD4CE48" w14:textId="768EDA4F" w:rsidR="0061135C" w:rsidRDefault="00000000" w:rsidP="00131FC9">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Intra-household bargaining asymmetries often mirror broader gender hierarchies, with women's limited agency in decision-making processes significantly constraining their ability to secure diverse dietary options for themselves and their children (Huang et al., 2024; Pilla &amp; Dantas, 2016). Evidence indicates that when women gain equitable access to productive resources and decision-making roles, they are more likely to prioritize their families' dietary needs, serving as essential catalysts for improved household food security (Temesgen &amp; </w:t>
      </w:r>
      <w:proofErr w:type="spellStart"/>
      <w:r>
        <w:rPr>
          <w:rFonts w:ascii="Times New Roman" w:eastAsia="Times New Roman" w:hAnsi="Times New Roman" w:cs="Times New Roman"/>
          <w:color w:val="000000"/>
          <w:sz w:val="24"/>
        </w:rPr>
        <w:t>Aweke</w:t>
      </w:r>
      <w:proofErr w:type="spellEnd"/>
      <w:r>
        <w:rPr>
          <w:rFonts w:ascii="Times New Roman" w:eastAsia="Times New Roman" w:hAnsi="Times New Roman" w:cs="Times New Roman"/>
          <w:color w:val="000000"/>
          <w:sz w:val="24"/>
        </w:rPr>
        <w:t xml:space="preserve">, 2023). Customs and dietary taboos further influence these outcomes by categorizing certain foods as beneficial, harmless, or restricted based on deeply held health beliefs (Ketut et al., 2026). For example, specific cultural practices and food taboos often reserve certain animal-source proteins exclusively for elders or men, thereby limiting the nutritional intake of women and young children (Waswa et al., 2021). These disparities in intra-household food allocation are frequently intensified by differences in individual bargaining power and social status, which determine food distribution among members despite varying nutritional requirements (Mekonnen et al., 2020). </w:t>
      </w:r>
    </w:p>
    <w:p w14:paraId="51B179A1" w14:textId="21839AF2" w:rsidR="0061135C" w:rsidRPr="00DB4ADE" w:rsidRDefault="00000000" w:rsidP="00A37B55">
      <w:pPr>
        <w:pBdr>
          <w:top w:val="none" w:sz="4" w:space="0" w:color="000000"/>
          <w:left w:val="none" w:sz="4" w:space="0" w:color="000000"/>
          <w:bottom w:val="none" w:sz="4" w:space="0" w:color="000000"/>
          <w:right w:val="none" w:sz="4" w:space="0" w:color="000000"/>
        </w:pBdr>
        <w:spacing w:before="120" w:after="120" w:line="360" w:lineRule="auto"/>
        <w:rPr>
          <w:rFonts w:ascii="Times New Roman" w:hAnsi="Times New Roman" w:cs="Times New Roman"/>
          <w:sz w:val="24"/>
          <w:szCs w:val="24"/>
        </w:rPr>
      </w:pPr>
      <w:r>
        <w:rPr>
          <w:rFonts w:ascii="Times New Roman" w:eastAsia="Times New Roman" w:hAnsi="Times New Roman" w:cs="Times New Roman"/>
          <w:color w:val="000000"/>
          <w:sz w:val="24"/>
        </w:rPr>
        <w:t xml:space="preserve"> </w:t>
      </w:r>
      <w:r w:rsidRPr="00DB4ADE">
        <w:rPr>
          <w:rFonts w:ascii="Times New Roman" w:eastAsia="Times New Roman" w:hAnsi="Times New Roman" w:cs="Times New Roman"/>
          <w:b/>
          <w:color w:val="000000"/>
          <w:sz w:val="24"/>
          <w:szCs w:val="24"/>
        </w:rPr>
        <w:t>M</w:t>
      </w:r>
      <w:r w:rsidR="00A37B55" w:rsidRPr="00DB4ADE">
        <w:rPr>
          <w:rFonts w:ascii="Times New Roman" w:eastAsia="Times New Roman" w:hAnsi="Times New Roman" w:cs="Times New Roman"/>
          <w:b/>
          <w:color w:val="000000"/>
          <w:sz w:val="24"/>
          <w:szCs w:val="24"/>
        </w:rPr>
        <w:t>ethodology</w:t>
      </w:r>
    </w:p>
    <w:p w14:paraId="33180EFF" w14:textId="69314137"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A convergent parallel mixed-methods research design was employed, integrating both quantitative and qualitative approaches. Creswell et al. (2018) note that mixed-methods research facilitates a comprehensive understanding by combining numerical data with participants' lived experiences. Quantitative and qualitative data were collected simultaneously, analyzed independently, and merged during interpretation to provide a holistic understanding of the socio-cultural determinants affecting household dietary diversity in Masaba South Sub-County, Kenya.</w:t>
      </w:r>
      <w:r w:rsidR="00A37B55">
        <w:rPr>
          <w:rFonts w:ascii="Times New Roman" w:hAnsi="Times New Roman" w:cs="Times New Roman"/>
        </w:rPr>
        <w:t xml:space="preserve"> </w:t>
      </w:r>
      <w:r>
        <w:rPr>
          <w:rFonts w:ascii="Times New Roman" w:eastAsia="Times New Roman" w:hAnsi="Times New Roman" w:cs="Times New Roman"/>
          <w:color w:val="000000"/>
          <w:sz w:val="24"/>
        </w:rPr>
        <w:t>The target population consisted of 23,197 subsistence farming households in Masaba South Sub-County. The accessible population included adult household members aged 18–64 years who were actively involved in food production, preparation, and consumption decisions within the household.</w:t>
      </w:r>
      <w:r w:rsidR="00A37B55">
        <w:rPr>
          <w:rFonts w:ascii="Times New Roman" w:hAnsi="Times New Roman" w:cs="Times New Roman"/>
        </w:rPr>
        <w:t xml:space="preserve"> </w:t>
      </w:r>
      <w:r>
        <w:rPr>
          <w:rFonts w:ascii="Times New Roman" w:eastAsia="Times New Roman" w:hAnsi="Times New Roman" w:cs="Times New Roman"/>
          <w:color w:val="000000"/>
          <w:sz w:val="24"/>
        </w:rPr>
        <w:t xml:space="preserve">A stratified </w:t>
      </w:r>
      <w:r>
        <w:rPr>
          <w:rFonts w:ascii="Times New Roman" w:eastAsia="Times New Roman" w:hAnsi="Times New Roman" w:cs="Times New Roman"/>
          <w:color w:val="000000"/>
          <w:sz w:val="24"/>
        </w:rPr>
        <w:lastRenderedPageBreak/>
        <w:t xml:space="preserve">random sampling technique was employed, with wards serving as strata based on differing </w:t>
      </w:r>
      <w:proofErr w:type="spellStart"/>
      <w:r>
        <w:rPr>
          <w:rFonts w:ascii="Times New Roman" w:eastAsia="Times New Roman" w:hAnsi="Times New Roman" w:cs="Times New Roman"/>
          <w:color w:val="000000"/>
          <w:sz w:val="24"/>
        </w:rPr>
        <w:t>agro</w:t>
      </w:r>
      <w:proofErr w:type="spellEnd"/>
      <w:r>
        <w:rPr>
          <w:rFonts w:ascii="Times New Roman" w:eastAsia="Times New Roman" w:hAnsi="Times New Roman" w:cs="Times New Roman"/>
          <w:color w:val="000000"/>
          <w:sz w:val="24"/>
        </w:rPr>
        <w:t>-ecological conditions. Creswell's (2014) sample size determination formula was used to select a sample of 155 households. Due to field constraints, including non-response and logistical limitations, 133 household heads ultimately participated in the final survey. The distribution of respondents across wards ensured proportional representation of the study population.</w:t>
      </w:r>
      <w:r w:rsidR="00A37B55">
        <w:rPr>
          <w:rFonts w:ascii="Times New Roman" w:hAnsi="Times New Roman" w:cs="Times New Roman"/>
        </w:rPr>
        <w:t xml:space="preserve"> </w:t>
      </w:r>
      <w:r>
        <w:rPr>
          <w:rFonts w:ascii="Times New Roman" w:eastAsia="Times New Roman" w:hAnsi="Times New Roman" w:cs="Times New Roman"/>
          <w:color w:val="000000"/>
          <w:sz w:val="24"/>
        </w:rPr>
        <w:t>The study adhered to ethical principles, including voluntary participation, informed consent, confidentiality, and anonymity. Participants were assured that the information provided would be used exclusively for academic purposes. Numerical codes, rather than names, were used during data processing to protect respondents' identities.</w:t>
      </w:r>
    </w:p>
    <w:p w14:paraId="3850F9E9" w14:textId="36D8D3C7"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Quantitative data were coded and analyzed using SPSS Statistics version 29. Descriptive statistics, including frequencies, percentages, means, and standard deviations, were employed to</w:t>
      </w:r>
      <w:r w:rsidR="00A37B55">
        <w:rPr>
          <w:rFonts w:ascii="Times New Roman" w:hAnsi="Times New Roman" w:cs="Times New Roman"/>
        </w:rPr>
        <w:t xml:space="preserve"> </w:t>
      </w:r>
      <w:r>
        <w:rPr>
          <w:rFonts w:ascii="Times New Roman" w:eastAsia="Times New Roman" w:hAnsi="Times New Roman" w:cs="Times New Roman"/>
          <w:color w:val="000000"/>
          <w:sz w:val="24"/>
        </w:rPr>
        <w:t>summarize the data. Pearson product-moment correlation analysis was conducted to examine relationships between socio-cultural determinants and household dietary patterns. Qualitative data from key informant interviews were transcribed and analyzed thematically through coding procedures and thematic categorization. Themes related to cultural food practices, gender norms, household decision-making, and dietary behavior were identified and interpreted.</w:t>
      </w:r>
      <w:r w:rsidR="00A37B55">
        <w:rPr>
          <w:rFonts w:ascii="Times New Roman" w:hAnsi="Times New Roman" w:cs="Times New Roman"/>
        </w:rPr>
        <w:t xml:space="preserve"> </w:t>
      </w:r>
      <w:r>
        <w:rPr>
          <w:rFonts w:ascii="Times New Roman" w:eastAsia="Times New Roman" w:hAnsi="Times New Roman" w:cs="Times New Roman"/>
          <w:color w:val="000000"/>
          <w:sz w:val="24"/>
        </w:rPr>
        <w:t>Integration of qualitative and quantitative findings was achieved during interpretation through narrative synthesis and triangulation. This approach enabled a comprehensive understanding of the socio-cultural determinants influencing household dietary diversity in Masaba South Sub-County.</w:t>
      </w:r>
    </w:p>
    <w:p w14:paraId="15904241" w14:textId="77777777" w:rsidR="0061135C" w:rsidRDefault="00000000">
      <w:pPr>
        <w:pBdr>
          <w:top w:val="none" w:sz="4" w:space="0" w:color="000000"/>
          <w:left w:val="none" w:sz="4" w:space="0" w:color="000000"/>
          <w:bottom w:val="none" w:sz="4" w:space="0" w:color="000000"/>
          <w:right w:val="none" w:sz="4" w:space="0" w:color="000000"/>
        </w:pBdr>
        <w:spacing w:before="120" w:after="120" w:line="360" w:lineRule="auto"/>
        <w:rPr>
          <w:rFonts w:ascii="Times New Roman" w:hAnsi="Times New Roman" w:cs="Times New Roman"/>
        </w:rPr>
      </w:pPr>
      <w:r>
        <w:rPr>
          <w:rFonts w:ascii="Times New Roman" w:eastAsia="Times New Roman" w:hAnsi="Times New Roman" w:cs="Times New Roman"/>
          <w:color w:val="000000"/>
          <w:sz w:val="24"/>
        </w:rPr>
        <w:t xml:space="preserve"> </w:t>
      </w:r>
    </w:p>
    <w:p w14:paraId="5A4A6C96" w14:textId="5DF729DA" w:rsidR="0061135C" w:rsidRPr="00DB4ADE" w:rsidRDefault="00A37B55" w:rsidP="00DB4ADE">
      <w:pPr>
        <w:pStyle w:val="Heading1"/>
        <w:pBdr>
          <w:top w:val="none" w:sz="4" w:space="0" w:color="000000"/>
          <w:left w:val="none" w:sz="4" w:space="0" w:color="000000"/>
          <w:bottom w:val="none" w:sz="4" w:space="0" w:color="000000"/>
          <w:right w:val="none" w:sz="4" w:space="0" w:color="000000"/>
        </w:pBdr>
        <w:spacing w:before="239" w:after="120" w:line="360" w:lineRule="auto"/>
        <w:jc w:val="center"/>
        <w:rPr>
          <w:rFonts w:ascii="Times New Roman" w:hAnsi="Times New Roman" w:cs="Times New Roman"/>
          <w:sz w:val="24"/>
          <w:szCs w:val="24"/>
        </w:rPr>
      </w:pPr>
      <w:r w:rsidRPr="00DB4ADE">
        <w:rPr>
          <w:rFonts w:ascii="Times New Roman" w:eastAsia="Times New Roman" w:hAnsi="Times New Roman" w:cs="Times New Roman"/>
          <w:b/>
          <w:color w:val="000000"/>
          <w:sz w:val="24"/>
          <w:szCs w:val="24"/>
        </w:rPr>
        <w:t>Results</w:t>
      </w:r>
    </w:p>
    <w:p w14:paraId="7434A070"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b/>
          <w:color w:val="000000"/>
          <w:sz w:val="24"/>
          <w:szCs w:val="24"/>
        </w:rPr>
        <w:t>Socio-Cultural Norms and Household Food Security</w:t>
      </w:r>
    </w:p>
    <w:p w14:paraId="57368F2E" w14:textId="2775591A"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The study examined the influence of socio-cultural norms on household food and nutrition security in Masaba South Sub-County. Findings revealed that respondents strongly perceived socio-cultural beliefs and patriarchal systems as major determinants of household dietary diversity and food security outcomes, particularly among women and children. Some of the norms identified included gender inequality in resource control (54%), traditional eating habits (28%), and food taboos (18%). In a key informant interview, a health department respondent demonstrated how traditions affected women and children through food taboos.</w:t>
      </w:r>
    </w:p>
    <w:p w14:paraId="631FB0B9"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i/>
          <w:color w:val="000000"/>
          <w:sz w:val="24"/>
          <w:szCs w:val="24"/>
        </w:rPr>
        <w:lastRenderedPageBreak/>
        <w:t>"Culturally, pregnant women were often advised against eating certain foods, such as green pepper, sugar cane, eggs, and some fruits, due to the belief that these foods could lead to a large baby, for instance, making childbirth difficult."</w:t>
      </w:r>
      <w:r w:rsidRPr="00DB4ADE">
        <w:rPr>
          <w:rFonts w:ascii="Times New Roman" w:eastAsia="Times New Roman" w:hAnsi="Times New Roman" w:cs="Times New Roman"/>
          <w:color w:val="000000"/>
          <w:sz w:val="24"/>
          <w:szCs w:val="24"/>
        </w:rPr>
        <w:t xml:space="preserve"> (KII-008).</w:t>
      </w:r>
    </w:p>
    <w:p w14:paraId="51CBA151"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 xml:space="preserve"> </w:t>
      </w:r>
      <w:r w:rsidRPr="00DB4ADE">
        <w:rPr>
          <w:rFonts w:ascii="Times New Roman" w:eastAsia="Times New Roman" w:hAnsi="Times New Roman" w:cs="Times New Roman"/>
          <w:b/>
          <w:noProof/>
          <w:sz w:val="24"/>
          <w:szCs w:val="24"/>
        </w:rPr>
        <w:drawing>
          <wp:inline distT="0" distB="0" distL="0" distR="0" wp14:anchorId="6C4CB81A" wp14:editId="563FAF43">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F880C9"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bCs/>
          <w:i/>
          <w:sz w:val="24"/>
          <w:szCs w:val="24"/>
        </w:rPr>
      </w:pPr>
      <w:r w:rsidRPr="00DB4ADE">
        <w:rPr>
          <w:rFonts w:ascii="Times New Roman" w:eastAsia="Times New Roman" w:hAnsi="Times New Roman" w:cs="Times New Roman"/>
          <w:i/>
          <w:iCs/>
          <w:color w:val="000000"/>
          <w:sz w:val="24"/>
          <w:szCs w:val="24"/>
        </w:rPr>
        <w:t xml:space="preserve">Fig </w:t>
      </w:r>
      <w:proofErr w:type="gramStart"/>
      <w:r w:rsidRPr="00DB4ADE">
        <w:rPr>
          <w:rFonts w:ascii="Times New Roman" w:eastAsia="Times New Roman" w:hAnsi="Times New Roman" w:cs="Times New Roman"/>
          <w:i/>
          <w:iCs/>
          <w:color w:val="000000"/>
          <w:sz w:val="24"/>
          <w:szCs w:val="24"/>
        </w:rPr>
        <w:t>1:Socio</w:t>
      </w:r>
      <w:proofErr w:type="gramEnd"/>
      <w:r w:rsidRPr="00DB4ADE">
        <w:rPr>
          <w:rFonts w:ascii="Times New Roman" w:eastAsia="Times New Roman" w:hAnsi="Times New Roman" w:cs="Times New Roman"/>
          <w:i/>
          <w:iCs/>
          <w:color w:val="000000"/>
          <w:sz w:val="24"/>
          <w:szCs w:val="24"/>
        </w:rPr>
        <w:t>-cultural norms affecting household dietary diversity</w:t>
      </w:r>
    </w:p>
    <w:p w14:paraId="5771691F"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bCs/>
          <w:i/>
          <w:sz w:val="24"/>
          <w:szCs w:val="24"/>
        </w:rPr>
      </w:pPr>
      <w:r w:rsidRPr="00DB4ADE">
        <w:rPr>
          <w:rFonts w:ascii="Times New Roman" w:eastAsia="Times New Roman" w:hAnsi="Times New Roman" w:cs="Times New Roman"/>
          <w:i/>
          <w:iCs/>
          <w:color w:val="000000"/>
          <w:sz w:val="24"/>
          <w:szCs w:val="24"/>
        </w:rPr>
        <w:t>Table 1: Impact of Socio-Cultural Norms on Household Food Security</w:t>
      </w:r>
    </w:p>
    <w:tbl>
      <w:tblPr>
        <w:tblW w:w="9810" w:type="dxa"/>
        <w:tblBorders>
          <w:top w:val="single" w:sz="4" w:space="0" w:color="000000"/>
          <w:bottom w:val="single" w:sz="4" w:space="0" w:color="000000"/>
        </w:tblBorders>
        <w:tblLayout w:type="fixed"/>
        <w:tblLook w:val="04A0" w:firstRow="1" w:lastRow="0" w:firstColumn="1" w:lastColumn="0" w:noHBand="0" w:noVBand="1"/>
      </w:tblPr>
      <w:tblGrid>
        <w:gridCol w:w="2070"/>
        <w:gridCol w:w="1170"/>
        <w:gridCol w:w="1170"/>
        <w:gridCol w:w="1260"/>
        <w:gridCol w:w="1260"/>
        <w:gridCol w:w="1260"/>
        <w:gridCol w:w="900"/>
        <w:gridCol w:w="720"/>
      </w:tblGrid>
      <w:tr w:rsidR="0061135C" w:rsidRPr="00DB4ADE" w14:paraId="286F3C43" w14:textId="77777777">
        <w:trPr>
          <w:trHeight w:val="320"/>
        </w:trPr>
        <w:tc>
          <w:tcPr>
            <w:tcW w:w="2070" w:type="dxa"/>
            <w:tcBorders>
              <w:top w:val="single" w:sz="4" w:space="0" w:color="000000"/>
              <w:bottom w:val="single" w:sz="4" w:space="0" w:color="000000"/>
            </w:tcBorders>
            <w:noWrap/>
            <w:vAlign w:val="bottom"/>
          </w:tcPr>
          <w:p w14:paraId="34DABCC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Statement</w:t>
            </w:r>
          </w:p>
        </w:tc>
        <w:tc>
          <w:tcPr>
            <w:tcW w:w="1170" w:type="dxa"/>
            <w:tcBorders>
              <w:top w:val="single" w:sz="4" w:space="0" w:color="000000"/>
              <w:bottom w:val="single" w:sz="4" w:space="0" w:color="000000"/>
            </w:tcBorders>
            <w:noWrap/>
            <w:vAlign w:val="bottom"/>
          </w:tcPr>
          <w:p w14:paraId="4688009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SD</w:t>
            </w:r>
          </w:p>
        </w:tc>
        <w:tc>
          <w:tcPr>
            <w:tcW w:w="1170" w:type="dxa"/>
            <w:tcBorders>
              <w:top w:val="single" w:sz="4" w:space="0" w:color="000000"/>
              <w:bottom w:val="single" w:sz="4" w:space="0" w:color="000000"/>
            </w:tcBorders>
            <w:noWrap/>
            <w:vAlign w:val="bottom"/>
          </w:tcPr>
          <w:p w14:paraId="6A8AAD5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D</w:t>
            </w:r>
          </w:p>
        </w:tc>
        <w:tc>
          <w:tcPr>
            <w:tcW w:w="1260" w:type="dxa"/>
            <w:tcBorders>
              <w:top w:val="single" w:sz="4" w:space="0" w:color="000000"/>
              <w:bottom w:val="single" w:sz="4" w:space="0" w:color="000000"/>
            </w:tcBorders>
            <w:noWrap/>
            <w:vAlign w:val="bottom"/>
          </w:tcPr>
          <w:p w14:paraId="6527D2D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N</w:t>
            </w:r>
          </w:p>
        </w:tc>
        <w:tc>
          <w:tcPr>
            <w:tcW w:w="1260" w:type="dxa"/>
            <w:tcBorders>
              <w:top w:val="single" w:sz="4" w:space="0" w:color="000000"/>
              <w:bottom w:val="single" w:sz="4" w:space="0" w:color="000000"/>
            </w:tcBorders>
            <w:noWrap/>
            <w:vAlign w:val="bottom"/>
          </w:tcPr>
          <w:p w14:paraId="43CF865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A</w:t>
            </w:r>
          </w:p>
        </w:tc>
        <w:tc>
          <w:tcPr>
            <w:tcW w:w="1260" w:type="dxa"/>
            <w:tcBorders>
              <w:top w:val="single" w:sz="4" w:space="0" w:color="000000"/>
              <w:bottom w:val="single" w:sz="4" w:space="0" w:color="000000"/>
            </w:tcBorders>
            <w:noWrap/>
            <w:vAlign w:val="bottom"/>
          </w:tcPr>
          <w:p w14:paraId="0B60F54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SA</w:t>
            </w:r>
          </w:p>
        </w:tc>
        <w:tc>
          <w:tcPr>
            <w:tcW w:w="900" w:type="dxa"/>
            <w:tcBorders>
              <w:top w:val="single" w:sz="4" w:space="0" w:color="000000"/>
              <w:bottom w:val="single" w:sz="4" w:space="0" w:color="000000"/>
            </w:tcBorders>
            <w:noWrap/>
            <w:vAlign w:val="bottom"/>
          </w:tcPr>
          <w:p w14:paraId="21AF219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Mean</w:t>
            </w:r>
          </w:p>
        </w:tc>
        <w:tc>
          <w:tcPr>
            <w:tcW w:w="720" w:type="dxa"/>
            <w:tcBorders>
              <w:top w:val="single" w:sz="4" w:space="0" w:color="000000"/>
              <w:bottom w:val="single" w:sz="4" w:space="0" w:color="000000"/>
            </w:tcBorders>
            <w:noWrap/>
            <w:vAlign w:val="bottom"/>
          </w:tcPr>
          <w:p w14:paraId="56A8E53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Std</w:t>
            </w:r>
          </w:p>
        </w:tc>
      </w:tr>
      <w:tr w:rsidR="0061135C" w:rsidRPr="00DB4ADE" w14:paraId="19BFECC3" w14:textId="77777777">
        <w:trPr>
          <w:trHeight w:val="320"/>
        </w:trPr>
        <w:tc>
          <w:tcPr>
            <w:tcW w:w="2070" w:type="dxa"/>
            <w:tcBorders>
              <w:top w:val="single" w:sz="4" w:space="0" w:color="000000"/>
            </w:tcBorders>
            <w:noWrap/>
            <w:vAlign w:val="bottom"/>
          </w:tcPr>
          <w:p w14:paraId="4E67ADC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 xml:space="preserve">Restrictive beliefs and unequal sharing lead to poor dietary diversity for women and children </w:t>
            </w:r>
          </w:p>
        </w:tc>
        <w:tc>
          <w:tcPr>
            <w:tcW w:w="1170" w:type="dxa"/>
            <w:tcBorders>
              <w:top w:val="single" w:sz="4" w:space="0" w:color="000000"/>
            </w:tcBorders>
            <w:noWrap/>
            <w:vAlign w:val="center"/>
          </w:tcPr>
          <w:p w14:paraId="7A82AA8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2(1.5%)</w:t>
            </w:r>
          </w:p>
        </w:tc>
        <w:tc>
          <w:tcPr>
            <w:tcW w:w="1170" w:type="dxa"/>
            <w:tcBorders>
              <w:top w:val="single" w:sz="4" w:space="0" w:color="000000"/>
            </w:tcBorders>
            <w:noWrap/>
            <w:vAlign w:val="center"/>
          </w:tcPr>
          <w:p w14:paraId="01D49A7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10(7.5%)</w:t>
            </w:r>
          </w:p>
        </w:tc>
        <w:tc>
          <w:tcPr>
            <w:tcW w:w="1260" w:type="dxa"/>
            <w:tcBorders>
              <w:top w:val="single" w:sz="4" w:space="0" w:color="000000"/>
            </w:tcBorders>
            <w:noWrap/>
            <w:vAlign w:val="center"/>
          </w:tcPr>
          <w:p w14:paraId="5437961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17(12.8%)</w:t>
            </w:r>
          </w:p>
        </w:tc>
        <w:tc>
          <w:tcPr>
            <w:tcW w:w="1260" w:type="dxa"/>
            <w:tcBorders>
              <w:top w:val="single" w:sz="4" w:space="0" w:color="000000"/>
            </w:tcBorders>
            <w:noWrap/>
            <w:vAlign w:val="center"/>
          </w:tcPr>
          <w:p w14:paraId="73859A5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59(44.4%)</w:t>
            </w:r>
          </w:p>
        </w:tc>
        <w:tc>
          <w:tcPr>
            <w:tcW w:w="1260" w:type="dxa"/>
            <w:tcBorders>
              <w:top w:val="single" w:sz="4" w:space="0" w:color="000000"/>
            </w:tcBorders>
            <w:noWrap/>
            <w:vAlign w:val="center"/>
          </w:tcPr>
          <w:p w14:paraId="677DFB7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45(33.8%)</w:t>
            </w:r>
          </w:p>
        </w:tc>
        <w:tc>
          <w:tcPr>
            <w:tcW w:w="900" w:type="dxa"/>
            <w:tcBorders>
              <w:top w:val="single" w:sz="4" w:space="0" w:color="000000"/>
            </w:tcBorders>
            <w:noWrap/>
            <w:vAlign w:val="center"/>
          </w:tcPr>
          <w:p w14:paraId="6725607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4.02</w:t>
            </w:r>
          </w:p>
        </w:tc>
        <w:tc>
          <w:tcPr>
            <w:tcW w:w="720" w:type="dxa"/>
            <w:tcBorders>
              <w:top w:val="single" w:sz="4" w:space="0" w:color="000000"/>
            </w:tcBorders>
            <w:noWrap/>
            <w:vAlign w:val="center"/>
          </w:tcPr>
          <w:p w14:paraId="1FF1C93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0.95</w:t>
            </w:r>
          </w:p>
        </w:tc>
      </w:tr>
      <w:tr w:rsidR="0061135C" w:rsidRPr="00DB4ADE" w14:paraId="1B45E65C" w14:textId="77777777">
        <w:trPr>
          <w:trHeight w:val="320"/>
        </w:trPr>
        <w:tc>
          <w:tcPr>
            <w:tcW w:w="2070" w:type="dxa"/>
            <w:noWrap/>
            <w:vAlign w:val="bottom"/>
          </w:tcPr>
          <w:p w14:paraId="72EAC2C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 xml:space="preserve">Beliefs on traditional food practices hinder acceptance of modern nutrition </w:t>
            </w:r>
            <w:r w:rsidRPr="00DB4ADE">
              <w:rPr>
                <w:rFonts w:ascii="Times New Roman" w:eastAsia="Times New Roman" w:hAnsi="Times New Roman" w:cs="Times New Roman"/>
                <w:iCs/>
                <w:sz w:val="24"/>
                <w:szCs w:val="24"/>
              </w:rPr>
              <w:lastRenderedPageBreak/>
              <w:t xml:space="preserve">programs affecting diversity </w:t>
            </w:r>
          </w:p>
        </w:tc>
        <w:tc>
          <w:tcPr>
            <w:tcW w:w="1170" w:type="dxa"/>
            <w:noWrap/>
            <w:vAlign w:val="center"/>
          </w:tcPr>
          <w:p w14:paraId="333EAF7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lastRenderedPageBreak/>
              <w:t>2(1.5%)</w:t>
            </w:r>
          </w:p>
        </w:tc>
        <w:tc>
          <w:tcPr>
            <w:tcW w:w="1170" w:type="dxa"/>
            <w:noWrap/>
            <w:vAlign w:val="center"/>
          </w:tcPr>
          <w:p w14:paraId="06DD84F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13(9.8%)</w:t>
            </w:r>
          </w:p>
        </w:tc>
        <w:tc>
          <w:tcPr>
            <w:tcW w:w="1260" w:type="dxa"/>
            <w:noWrap/>
            <w:vAlign w:val="center"/>
          </w:tcPr>
          <w:p w14:paraId="7B4244A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18(13.5%)</w:t>
            </w:r>
          </w:p>
        </w:tc>
        <w:tc>
          <w:tcPr>
            <w:tcW w:w="1260" w:type="dxa"/>
            <w:noWrap/>
            <w:vAlign w:val="center"/>
          </w:tcPr>
          <w:p w14:paraId="384FB2F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56(42.1%)</w:t>
            </w:r>
          </w:p>
        </w:tc>
        <w:tc>
          <w:tcPr>
            <w:tcW w:w="1260" w:type="dxa"/>
            <w:noWrap/>
            <w:vAlign w:val="center"/>
          </w:tcPr>
          <w:p w14:paraId="6491D63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44(33.1%)</w:t>
            </w:r>
          </w:p>
        </w:tc>
        <w:tc>
          <w:tcPr>
            <w:tcW w:w="900" w:type="dxa"/>
            <w:noWrap/>
            <w:vAlign w:val="center"/>
          </w:tcPr>
          <w:p w14:paraId="49D4F5EB"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3.95</w:t>
            </w:r>
          </w:p>
        </w:tc>
        <w:tc>
          <w:tcPr>
            <w:tcW w:w="720" w:type="dxa"/>
            <w:noWrap/>
            <w:vAlign w:val="center"/>
          </w:tcPr>
          <w:p w14:paraId="09EB19B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w:t>
            </w:r>
          </w:p>
        </w:tc>
      </w:tr>
      <w:tr w:rsidR="0061135C" w:rsidRPr="00DB4ADE" w14:paraId="3D580FE2" w14:textId="77777777">
        <w:trPr>
          <w:trHeight w:val="320"/>
        </w:trPr>
        <w:tc>
          <w:tcPr>
            <w:tcW w:w="2070" w:type="dxa"/>
            <w:noWrap/>
            <w:vAlign w:val="bottom"/>
          </w:tcPr>
          <w:p w14:paraId="63A3145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 xml:space="preserve">Cultural beliefs on economic value of farming practice increases vulnerability to food security </w:t>
            </w:r>
          </w:p>
        </w:tc>
        <w:tc>
          <w:tcPr>
            <w:tcW w:w="1170" w:type="dxa"/>
            <w:noWrap/>
            <w:vAlign w:val="center"/>
          </w:tcPr>
          <w:p w14:paraId="02501AF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3(2.3%)</w:t>
            </w:r>
          </w:p>
        </w:tc>
        <w:tc>
          <w:tcPr>
            <w:tcW w:w="1170" w:type="dxa"/>
            <w:noWrap/>
            <w:vAlign w:val="center"/>
          </w:tcPr>
          <w:p w14:paraId="562607A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6(4.5%)</w:t>
            </w:r>
          </w:p>
        </w:tc>
        <w:tc>
          <w:tcPr>
            <w:tcW w:w="1260" w:type="dxa"/>
            <w:noWrap/>
            <w:vAlign w:val="center"/>
          </w:tcPr>
          <w:p w14:paraId="0C019BA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21(15.8%)</w:t>
            </w:r>
          </w:p>
        </w:tc>
        <w:tc>
          <w:tcPr>
            <w:tcW w:w="1260" w:type="dxa"/>
            <w:noWrap/>
            <w:vAlign w:val="center"/>
          </w:tcPr>
          <w:p w14:paraId="34BCD5F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63(47.4%)</w:t>
            </w:r>
          </w:p>
        </w:tc>
        <w:tc>
          <w:tcPr>
            <w:tcW w:w="1260" w:type="dxa"/>
            <w:noWrap/>
            <w:vAlign w:val="center"/>
          </w:tcPr>
          <w:p w14:paraId="4B695A7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40(30.1%)</w:t>
            </w:r>
          </w:p>
        </w:tc>
        <w:tc>
          <w:tcPr>
            <w:tcW w:w="900" w:type="dxa"/>
            <w:noWrap/>
            <w:vAlign w:val="center"/>
          </w:tcPr>
          <w:p w14:paraId="23BF889B"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3.98</w:t>
            </w:r>
          </w:p>
        </w:tc>
        <w:tc>
          <w:tcPr>
            <w:tcW w:w="720" w:type="dxa"/>
            <w:noWrap/>
            <w:vAlign w:val="center"/>
          </w:tcPr>
          <w:p w14:paraId="05E856D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0.92</w:t>
            </w:r>
          </w:p>
        </w:tc>
      </w:tr>
      <w:tr w:rsidR="0061135C" w:rsidRPr="00DB4ADE" w14:paraId="0BACA3AD" w14:textId="77777777">
        <w:trPr>
          <w:trHeight w:val="320"/>
        </w:trPr>
        <w:tc>
          <w:tcPr>
            <w:tcW w:w="2070" w:type="dxa"/>
            <w:noWrap/>
            <w:vAlign w:val="bottom"/>
          </w:tcPr>
          <w:p w14:paraId="7666172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Patriarchal norms dictate women’s roles increasing time poverty that affects food security outcomes</w:t>
            </w:r>
          </w:p>
        </w:tc>
        <w:tc>
          <w:tcPr>
            <w:tcW w:w="1170" w:type="dxa"/>
            <w:noWrap/>
            <w:vAlign w:val="center"/>
          </w:tcPr>
          <w:p w14:paraId="4593535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4(3.0%)</w:t>
            </w:r>
          </w:p>
        </w:tc>
        <w:tc>
          <w:tcPr>
            <w:tcW w:w="1170" w:type="dxa"/>
            <w:noWrap/>
            <w:vAlign w:val="center"/>
          </w:tcPr>
          <w:p w14:paraId="3FF1FE1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7(5.3%)</w:t>
            </w:r>
          </w:p>
        </w:tc>
        <w:tc>
          <w:tcPr>
            <w:tcW w:w="1260" w:type="dxa"/>
            <w:noWrap/>
            <w:vAlign w:val="center"/>
          </w:tcPr>
          <w:p w14:paraId="41AE648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8(6.0%)</w:t>
            </w:r>
          </w:p>
        </w:tc>
        <w:tc>
          <w:tcPr>
            <w:tcW w:w="1260" w:type="dxa"/>
            <w:noWrap/>
            <w:vAlign w:val="center"/>
          </w:tcPr>
          <w:p w14:paraId="5A530ED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56(42.1%)</w:t>
            </w:r>
          </w:p>
        </w:tc>
        <w:tc>
          <w:tcPr>
            <w:tcW w:w="1260" w:type="dxa"/>
            <w:noWrap/>
            <w:vAlign w:val="center"/>
          </w:tcPr>
          <w:p w14:paraId="3F6C533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58(43.6%)</w:t>
            </w:r>
          </w:p>
        </w:tc>
        <w:tc>
          <w:tcPr>
            <w:tcW w:w="900" w:type="dxa"/>
            <w:noWrap/>
            <w:vAlign w:val="center"/>
          </w:tcPr>
          <w:p w14:paraId="39C18FB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4.18</w:t>
            </w:r>
          </w:p>
        </w:tc>
        <w:tc>
          <w:tcPr>
            <w:tcW w:w="720" w:type="dxa"/>
            <w:noWrap/>
            <w:vAlign w:val="center"/>
          </w:tcPr>
          <w:p w14:paraId="51B4444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0.98</w:t>
            </w:r>
          </w:p>
        </w:tc>
      </w:tr>
      <w:tr w:rsidR="0061135C" w:rsidRPr="00DB4ADE" w14:paraId="00616F6B" w14:textId="77777777">
        <w:trPr>
          <w:trHeight w:val="320"/>
        </w:trPr>
        <w:tc>
          <w:tcPr>
            <w:tcW w:w="2070" w:type="dxa"/>
            <w:noWrap/>
            <w:vAlign w:val="bottom"/>
          </w:tcPr>
          <w:p w14:paraId="790FE0B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 xml:space="preserve">Patriarchal systems make women and children more vulnerable to food insecurity during crisis </w:t>
            </w:r>
          </w:p>
        </w:tc>
        <w:tc>
          <w:tcPr>
            <w:tcW w:w="1170" w:type="dxa"/>
            <w:noWrap/>
            <w:vAlign w:val="center"/>
          </w:tcPr>
          <w:p w14:paraId="712BACA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1(0.8%)</w:t>
            </w:r>
          </w:p>
        </w:tc>
        <w:tc>
          <w:tcPr>
            <w:tcW w:w="1170" w:type="dxa"/>
            <w:noWrap/>
            <w:vAlign w:val="center"/>
          </w:tcPr>
          <w:p w14:paraId="338B987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4(3.0%)</w:t>
            </w:r>
          </w:p>
        </w:tc>
        <w:tc>
          <w:tcPr>
            <w:tcW w:w="1260" w:type="dxa"/>
            <w:noWrap/>
            <w:vAlign w:val="center"/>
          </w:tcPr>
          <w:p w14:paraId="0D64518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11(8.3%)</w:t>
            </w:r>
          </w:p>
        </w:tc>
        <w:tc>
          <w:tcPr>
            <w:tcW w:w="1260" w:type="dxa"/>
            <w:noWrap/>
            <w:vAlign w:val="center"/>
          </w:tcPr>
          <w:p w14:paraId="5C97F15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59(44.4%)</w:t>
            </w:r>
          </w:p>
        </w:tc>
        <w:tc>
          <w:tcPr>
            <w:tcW w:w="1260" w:type="dxa"/>
            <w:noWrap/>
            <w:vAlign w:val="center"/>
          </w:tcPr>
          <w:p w14:paraId="4C12A63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58(43.6%)</w:t>
            </w:r>
          </w:p>
        </w:tc>
        <w:tc>
          <w:tcPr>
            <w:tcW w:w="900" w:type="dxa"/>
            <w:noWrap/>
            <w:vAlign w:val="center"/>
          </w:tcPr>
          <w:p w14:paraId="02807A3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4.27</w:t>
            </w:r>
          </w:p>
        </w:tc>
        <w:tc>
          <w:tcPr>
            <w:tcW w:w="720" w:type="dxa"/>
            <w:noWrap/>
            <w:vAlign w:val="center"/>
          </w:tcPr>
          <w:p w14:paraId="15DDFDE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0.8</w:t>
            </w:r>
          </w:p>
        </w:tc>
      </w:tr>
    </w:tbl>
    <w:p w14:paraId="34FC1BB6" w14:textId="77777777" w:rsidR="0061135C" w:rsidRPr="00DB4ADE" w:rsidRDefault="0061135C"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p>
    <w:p w14:paraId="4ADA9D19" w14:textId="7178E506"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color w:val="000000"/>
          <w:sz w:val="24"/>
          <w:szCs w:val="24"/>
        </w:rPr>
      </w:pPr>
      <w:r w:rsidRPr="00DB4ADE">
        <w:rPr>
          <w:rFonts w:ascii="Times New Roman" w:eastAsia="Times New Roman" w:hAnsi="Times New Roman" w:cs="Times New Roman"/>
          <w:color w:val="000000"/>
          <w:sz w:val="24"/>
          <w:szCs w:val="24"/>
        </w:rPr>
        <w:t xml:space="preserve">The study findings indicate that different socio-cultural attitudes, beliefs, and practices affect the food and nutrition security outcomes for household members, disproportionately affecting women and children. According to the study, Respondents demonstrated strong and consistent agreement that cultural beliefs and patriarchal norms significantly undermine dietary diversity and food security, particularly for women and children. Nearly 88% agreed or strongly agreed that patriarchal systems heighten vulnerability to food insecurity during crises (mean = 4.27, SD = 0.80). In comparison, 85.7% agreed that patriarchal norms dictate women's roles, leading to time poverty that adversely affects food security outcomes (mean = 4.18, SD = 0.98). Similarly, 78.2% </w:t>
      </w:r>
      <w:r w:rsidRPr="00DB4ADE">
        <w:rPr>
          <w:rFonts w:ascii="Times New Roman" w:eastAsia="Times New Roman" w:hAnsi="Times New Roman" w:cs="Times New Roman"/>
          <w:color w:val="000000"/>
          <w:sz w:val="24"/>
          <w:szCs w:val="24"/>
        </w:rPr>
        <w:lastRenderedPageBreak/>
        <w:t>supported the statement that restrictive beliefs and unequal sharing contribute to poor dietary diversity for women and children (mean = 4.02, SD = 0.95), 77.5% agreed that cultural beliefs regarding the economic value of farming practices increase vulnerability to food insecurity (mean = 3.98, SD = 0.92), and 75.2% indicated that beliefs tied to traditional food practices hinder acceptance of modern nutrition programs, thereby impacting dietary diversity (mean = 3.95, SD = 1.00). Across all items, disagreement remained minimal (≤12.8%), reflecting a broad consensus among the sample that these interconnected socio-cultural factors play a major role in perpetuating nutritional and food security challenges and correlate with what was highlighted by an extension officer who noted:</w:t>
      </w:r>
    </w:p>
    <w:p w14:paraId="3663E040" w14:textId="6016249C"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i/>
          <w:color w:val="000000"/>
          <w:sz w:val="24"/>
          <w:szCs w:val="24"/>
        </w:rPr>
        <w:t xml:space="preserve">"Socio-cultural norms such as land inheritance, household </w:t>
      </w:r>
      <w:r w:rsidR="00A37B55">
        <w:rPr>
          <w:rFonts w:ascii="Times New Roman" w:eastAsia="Times New Roman" w:hAnsi="Times New Roman" w:cs="Times New Roman"/>
          <w:i/>
          <w:color w:val="000000"/>
          <w:sz w:val="24"/>
          <w:szCs w:val="24"/>
        </w:rPr>
        <w:t>decision-making</w:t>
      </w:r>
      <w:r w:rsidRPr="00DB4ADE">
        <w:rPr>
          <w:rFonts w:ascii="Times New Roman" w:eastAsia="Times New Roman" w:hAnsi="Times New Roman" w:cs="Times New Roman"/>
          <w:i/>
          <w:color w:val="000000"/>
          <w:sz w:val="24"/>
          <w:szCs w:val="24"/>
        </w:rPr>
        <w:t>, and gendered division of labour affect household food security patterns. The fact that most land is owned by men informs what crops are grown</w:t>
      </w:r>
      <w:r w:rsidR="00A37B55">
        <w:rPr>
          <w:rFonts w:ascii="Times New Roman" w:eastAsia="Times New Roman" w:hAnsi="Times New Roman" w:cs="Times New Roman"/>
          <w:i/>
          <w:color w:val="000000"/>
          <w:sz w:val="24"/>
          <w:szCs w:val="24"/>
        </w:rPr>
        <w:t>,</w:t>
      </w:r>
      <w:r w:rsidRPr="00DB4ADE">
        <w:rPr>
          <w:rFonts w:ascii="Times New Roman" w:eastAsia="Times New Roman" w:hAnsi="Times New Roman" w:cs="Times New Roman"/>
          <w:i/>
          <w:color w:val="000000"/>
          <w:sz w:val="24"/>
          <w:szCs w:val="24"/>
        </w:rPr>
        <w:t xml:space="preserve"> and the types of farming practices applied. Men will tend to engage in commercialized forms of farming, such as cash crops and livestock for income, affecting food availability and dietary diversity. Women's </w:t>
      </w:r>
      <w:r w:rsidR="00A37B55" w:rsidRPr="00DB4ADE">
        <w:rPr>
          <w:rFonts w:ascii="Times New Roman" w:eastAsia="Times New Roman" w:hAnsi="Times New Roman" w:cs="Times New Roman"/>
          <w:i/>
          <w:color w:val="000000"/>
          <w:sz w:val="24"/>
          <w:szCs w:val="24"/>
        </w:rPr>
        <w:t>triple</w:t>
      </w:r>
      <w:r w:rsidRPr="00DB4ADE">
        <w:rPr>
          <w:rFonts w:ascii="Times New Roman" w:eastAsia="Times New Roman" w:hAnsi="Times New Roman" w:cs="Times New Roman"/>
          <w:i/>
          <w:color w:val="000000"/>
          <w:sz w:val="24"/>
          <w:szCs w:val="24"/>
        </w:rPr>
        <w:t xml:space="preserve"> roles increase their vulnerability </w:t>
      </w:r>
      <w:r w:rsidR="00A37B55">
        <w:rPr>
          <w:rFonts w:ascii="Times New Roman" w:eastAsia="Times New Roman" w:hAnsi="Times New Roman" w:cs="Times New Roman"/>
          <w:i/>
          <w:color w:val="000000"/>
          <w:sz w:val="24"/>
          <w:szCs w:val="24"/>
        </w:rPr>
        <w:t>to</w:t>
      </w:r>
      <w:r w:rsidRPr="00DB4ADE">
        <w:rPr>
          <w:rFonts w:ascii="Times New Roman" w:eastAsia="Times New Roman" w:hAnsi="Times New Roman" w:cs="Times New Roman"/>
          <w:i/>
          <w:color w:val="000000"/>
          <w:sz w:val="24"/>
          <w:szCs w:val="24"/>
        </w:rPr>
        <w:t xml:space="preserve"> economic dependence, limiting their decision-making on food farming and distribution, which also affects household security status."</w:t>
      </w:r>
      <w:r w:rsidRPr="00DB4ADE">
        <w:rPr>
          <w:rFonts w:ascii="Times New Roman" w:eastAsia="Times New Roman" w:hAnsi="Times New Roman" w:cs="Times New Roman"/>
          <w:color w:val="000000"/>
          <w:sz w:val="24"/>
          <w:szCs w:val="24"/>
        </w:rPr>
        <w:t xml:space="preserve"> (KII-004)</w:t>
      </w:r>
    </w:p>
    <w:p w14:paraId="309ECCE5" w14:textId="77777777" w:rsidR="0061135C" w:rsidRPr="00DB4ADE" w:rsidRDefault="00000000" w:rsidP="00DB4ADE">
      <w:pPr>
        <w:pStyle w:val="Heading2"/>
        <w:pBdr>
          <w:top w:val="none" w:sz="4" w:space="0" w:color="000000"/>
          <w:left w:val="none" w:sz="4" w:space="0" w:color="000000"/>
          <w:bottom w:val="none" w:sz="4" w:space="0" w:color="000000"/>
          <w:right w:val="none" w:sz="4" w:space="0" w:color="000000"/>
        </w:pBdr>
        <w:spacing w:before="239" w:after="120" w:line="360" w:lineRule="auto"/>
        <w:jc w:val="both"/>
        <w:rPr>
          <w:rFonts w:ascii="Times New Roman" w:hAnsi="Times New Roman" w:cs="Times New Roman"/>
          <w:sz w:val="24"/>
          <w:szCs w:val="24"/>
        </w:rPr>
      </w:pPr>
      <w:r w:rsidRPr="00DB4ADE">
        <w:rPr>
          <w:rFonts w:ascii="Times New Roman" w:eastAsia="Times New Roman" w:hAnsi="Times New Roman" w:cs="Times New Roman"/>
          <w:b/>
          <w:color w:val="000000"/>
          <w:sz w:val="24"/>
          <w:szCs w:val="24"/>
        </w:rPr>
        <w:t>Correlation Between Socio-Cultural Factors and Dietary Outcomes</w:t>
      </w:r>
    </w:p>
    <w:p w14:paraId="57273845"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Inferential statistical analysis was conducted to determine the relationship between socio-cultural factors and household food security indicators, including Household Dietary Diversity Scores (HDDS), child dietary diversity, and diet quality among women and children.</w:t>
      </w:r>
    </w:p>
    <w:p w14:paraId="16A6890F"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bCs/>
          <w:i/>
          <w:color w:val="000000"/>
          <w:sz w:val="24"/>
          <w:szCs w:val="24"/>
        </w:rPr>
      </w:pPr>
      <w:r w:rsidRPr="00DB4ADE">
        <w:rPr>
          <w:rFonts w:ascii="Times New Roman" w:eastAsia="Times New Roman" w:hAnsi="Times New Roman" w:cs="Times New Roman"/>
          <w:i/>
          <w:iCs/>
          <w:color w:val="000000"/>
          <w:sz w:val="24"/>
          <w:szCs w:val="24"/>
        </w:rPr>
        <w:t>Table 2: Correlation Analysis on Relationship Between Socio-Cultural Issues and Food Security</w:t>
      </w:r>
    </w:p>
    <w:tbl>
      <w:tblPr>
        <w:tblW w:w="9360" w:type="dxa"/>
        <w:tblBorders>
          <w:top w:val="single" w:sz="4" w:space="0" w:color="000000"/>
          <w:bottom w:val="single" w:sz="4" w:space="0" w:color="000000"/>
        </w:tblBorders>
        <w:tblLook w:val="04A0" w:firstRow="1" w:lastRow="0" w:firstColumn="1" w:lastColumn="0" w:noHBand="0" w:noVBand="1"/>
      </w:tblPr>
      <w:tblGrid>
        <w:gridCol w:w="2700"/>
        <w:gridCol w:w="2160"/>
        <w:gridCol w:w="1643"/>
        <w:gridCol w:w="1163"/>
        <w:gridCol w:w="1694"/>
      </w:tblGrid>
      <w:tr w:rsidR="0061135C" w:rsidRPr="00DB4ADE" w14:paraId="28046736" w14:textId="77777777">
        <w:trPr>
          <w:trHeight w:val="320"/>
        </w:trPr>
        <w:tc>
          <w:tcPr>
            <w:tcW w:w="2700" w:type="dxa"/>
            <w:tcBorders>
              <w:top w:val="single" w:sz="4" w:space="0" w:color="000000"/>
              <w:bottom w:val="single" w:sz="4" w:space="0" w:color="000000"/>
            </w:tcBorders>
            <w:noWrap/>
            <w:vAlign w:val="bottom"/>
          </w:tcPr>
          <w:p w14:paraId="0DE4BDB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Independent Variable</w:t>
            </w:r>
          </w:p>
        </w:tc>
        <w:tc>
          <w:tcPr>
            <w:tcW w:w="2160" w:type="dxa"/>
            <w:tcBorders>
              <w:top w:val="single" w:sz="4" w:space="0" w:color="000000"/>
              <w:bottom w:val="single" w:sz="4" w:space="0" w:color="000000"/>
            </w:tcBorders>
            <w:noWrap/>
            <w:vAlign w:val="bottom"/>
          </w:tcPr>
          <w:p w14:paraId="1B4E26D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Dependent Variable</w:t>
            </w:r>
          </w:p>
        </w:tc>
        <w:tc>
          <w:tcPr>
            <w:tcW w:w="1643" w:type="dxa"/>
            <w:tcBorders>
              <w:top w:val="single" w:sz="4" w:space="0" w:color="000000"/>
              <w:bottom w:val="single" w:sz="4" w:space="0" w:color="000000"/>
            </w:tcBorders>
            <w:noWrap/>
            <w:vAlign w:val="bottom"/>
          </w:tcPr>
          <w:p w14:paraId="2033C88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Correlation (r)</w:t>
            </w:r>
          </w:p>
        </w:tc>
        <w:tc>
          <w:tcPr>
            <w:tcW w:w="1163" w:type="dxa"/>
            <w:tcBorders>
              <w:top w:val="single" w:sz="4" w:space="0" w:color="000000"/>
              <w:bottom w:val="single" w:sz="4" w:space="0" w:color="000000"/>
            </w:tcBorders>
            <w:noWrap/>
            <w:vAlign w:val="bottom"/>
          </w:tcPr>
          <w:p w14:paraId="7DA11AD7"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p-value</w:t>
            </w:r>
          </w:p>
        </w:tc>
        <w:tc>
          <w:tcPr>
            <w:tcW w:w="1694" w:type="dxa"/>
            <w:tcBorders>
              <w:top w:val="single" w:sz="4" w:space="0" w:color="000000"/>
              <w:bottom w:val="single" w:sz="4" w:space="0" w:color="000000"/>
            </w:tcBorders>
            <w:noWrap/>
            <w:vAlign w:val="bottom"/>
          </w:tcPr>
          <w:p w14:paraId="288F999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Interpretation</w:t>
            </w:r>
          </w:p>
        </w:tc>
      </w:tr>
      <w:tr w:rsidR="0061135C" w:rsidRPr="00DB4ADE" w14:paraId="6F1FE508" w14:textId="77777777">
        <w:trPr>
          <w:trHeight w:val="320"/>
        </w:trPr>
        <w:tc>
          <w:tcPr>
            <w:tcW w:w="2700" w:type="dxa"/>
            <w:tcBorders>
              <w:top w:val="single" w:sz="4" w:space="0" w:color="000000"/>
            </w:tcBorders>
            <w:noWrap/>
            <w:vAlign w:val="bottom"/>
          </w:tcPr>
          <w:p w14:paraId="4BF85A4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Men control resources</w:t>
            </w:r>
          </w:p>
        </w:tc>
        <w:tc>
          <w:tcPr>
            <w:tcW w:w="2160" w:type="dxa"/>
            <w:tcBorders>
              <w:top w:val="single" w:sz="4" w:space="0" w:color="000000"/>
            </w:tcBorders>
            <w:noWrap/>
            <w:vAlign w:val="bottom"/>
          </w:tcPr>
          <w:p w14:paraId="11AC69E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HDDS</w:t>
            </w:r>
          </w:p>
        </w:tc>
        <w:tc>
          <w:tcPr>
            <w:tcW w:w="1643" w:type="dxa"/>
            <w:tcBorders>
              <w:top w:val="single" w:sz="4" w:space="0" w:color="000000"/>
            </w:tcBorders>
            <w:noWrap/>
            <w:vAlign w:val="bottom"/>
          </w:tcPr>
          <w:p w14:paraId="1E6886E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-0.42</w:t>
            </w:r>
          </w:p>
        </w:tc>
        <w:tc>
          <w:tcPr>
            <w:tcW w:w="1163" w:type="dxa"/>
            <w:tcBorders>
              <w:top w:val="single" w:sz="4" w:space="0" w:color="000000"/>
            </w:tcBorders>
            <w:noWrap/>
            <w:vAlign w:val="bottom"/>
          </w:tcPr>
          <w:p w14:paraId="2B0C5C0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&lt;0.01</w:t>
            </w:r>
          </w:p>
        </w:tc>
        <w:tc>
          <w:tcPr>
            <w:tcW w:w="1694" w:type="dxa"/>
            <w:tcBorders>
              <w:top w:val="single" w:sz="4" w:space="0" w:color="000000"/>
            </w:tcBorders>
            <w:noWrap/>
            <w:vAlign w:val="bottom"/>
          </w:tcPr>
          <w:p w14:paraId="1432778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Moderate negative</w:t>
            </w:r>
          </w:p>
        </w:tc>
      </w:tr>
      <w:tr w:rsidR="0061135C" w:rsidRPr="00DB4ADE" w14:paraId="45B6190F" w14:textId="77777777">
        <w:trPr>
          <w:trHeight w:val="320"/>
        </w:trPr>
        <w:tc>
          <w:tcPr>
            <w:tcW w:w="2700" w:type="dxa"/>
            <w:noWrap/>
            <w:vAlign w:val="bottom"/>
          </w:tcPr>
          <w:p w14:paraId="35A25B3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Women's decision-making power</w:t>
            </w:r>
          </w:p>
        </w:tc>
        <w:tc>
          <w:tcPr>
            <w:tcW w:w="2160" w:type="dxa"/>
            <w:noWrap/>
            <w:vAlign w:val="bottom"/>
          </w:tcPr>
          <w:p w14:paraId="3091473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HDDS</w:t>
            </w:r>
          </w:p>
        </w:tc>
        <w:tc>
          <w:tcPr>
            <w:tcW w:w="1643" w:type="dxa"/>
            <w:noWrap/>
            <w:vAlign w:val="bottom"/>
          </w:tcPr>
          <w:p w14:paraId="506699D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0.47</w:t>
            </w:r>
          </w:p>
        </w:tc>
        <w:tc>
          <w:tcPr>
            <w:tcW w:w="1163" w:type="dxa"/>
            <w:noWrap/>
            <w:vAlign w:val="bottom"/>
          </w:tcPr>
          <w:p w14:paraId="0B29C80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&lt;0.01</w:t>
            </w:r>
          </w:p>
        </w:tc>
        <w:tc>
          <w:tcPr>
            <w:tcW w:w="1694" w:type="dxa"/>
            <w:noWrap/>
            <w:vAlign w:val="bottom"/>
          </w:tcPr>
          <w:p w14:paraId="5CEB30A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Moderate positive</w:t>
            </w:r>
          </w:p>
        </w:tc>
      </w:tr>
      <w:tr w:rsidR="0061135C" w:rsidRPr="00DB4ADE" w14:paraId="46577F21" w14:textId="77777777">
        <w:trPr>
          <w:trHeight w:val="320"/>
        </w:trPr>
        <w:tc>
          <w:tcPr>
            <w:tcW w:w="2700" w:type="dxa"/>
            <w:noWrap/>
            <w:vAlign w:val="bottom"/>
          </w:tcPr>
          <w:p w14:paraId="75EC3C9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lastRenderedPageBreak/>
              <w:t>Restrictive food beliefs</w:t>
            </w:r>
          </w:p>
        </w:tc>
        <w:tc>
          <w:tcPr>
            <w:tcW w:w="2160" w:type="dxa"/>
            <w:noWrap/>
            <w:vAlign w:val="bottom"/>
          </w:tcPr>
          <w:p w14:paraId="02DDA5D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Child dietary diversity</w:t>
            </w:r>
          </w:p>
        </w:tc>
        <w:tc>
          <w:tcPr>
            <w:tcW w:w="1643" w:type="dxa"/>
            <w:noWrap/>
            <w:vAlign w:val="bottom"/>
          </w:tcPr>
          <w:p w14:paraId="0C30882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-0.39</w:t>
            </w:r>
          </w:p>
        </w:tc>
        <w:tc>
          <w:tcPr>
            <w:tcW w:w="1163" w:type="dxa"/>
            <w:noWrap/>
            <w:vAlign w:val="bottom"/>
          </w:tcPr>
          <w:p w14:paraId="3CE4A9A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&lt;0.01</w:t>
            </w:r>
          </w:p>
        </w:tc>
        <w:tc>
          <w:tcPr>
            <w:tcW w:w="1694" w:type="dxa"/>
            <w:noWrap/>
            <w:vAlign w:val="bottom"/>
          </w:tcPr>
          <w:p w14:paraId="2B4D0F7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Moderate negative</w:t>
            </w:r>
          </w:p>
        </w:tc>
      </w:tr>
      <w:tr w:rsidR="0061135C" w:rsidRPr="00DB4ADE" w14:paraId="040A3BD8" w14:textId="77777777">
        <w:trPr>
          <w:trHeight w:val="320"/>
        </w:trPr>
        <w:tc>
          <w:tcPr>
            <w:tcW w:w="2700" w:type="dxa"/>
            <w:noWrap/>
            <w:vAlign w:val="bottom"/>
          </w:tcPr>
          <w:p w14:paraId="25B4FD97"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Cultural norms on preparation</w:t>
            </w:r>
          </w:p>
        </w:tc>
        <w:tc>
          <w:tcPr>
            <w:tcW w:w="2160" w:type="dxa"/>
            <w:noWrap/>
            <w:vAlign w:val="bottom"/>
          </w:tcPr>
          <w:p w14:paraId="2B71533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Household dietary diversity</w:t>
            </w:r>
          </w:p>
        </w:tc>
        <w:tc>
          <w:tcPr>
            <w:tcW w:w="1643" w:type="dxa"/>
            <w:noWrap/>
            <w:vAlign w:val="bottom"/>
          </w:tcPr>
          <w:p w14:paraId="359211C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-0.36</w:t>
            </w:r>
          </w:p>
        </w:tc>
        <w:tc>
          <w:tcPr>
            <w:tcW w:w="1163" w:type="dxa"/>
            <w:noWrap/>
            <w:vAlign w:val="bottom"/>
          </w:tcPr>
          <w:p w14:paraId="3FC13DB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&lt;0.05</w:t>
            </w:r>
          </w:p>
        </w:tc>
        <w:tc>
          <w:tcPr>
            <w:tcW w:w="1694" w:type="dxa"/>
            <w:noWrap/>
            <w:vAlign w:val="bottom"/>
          </w:tcPr>
          <w:p w14:paraId="73685177"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Moderate negative</w:t>
            </w:r>
          </w:p>
        </w:tc>
      </w:tr>
      <w:tr w:rsidR="0061135C" w:rsidRPr="00DB4ADE" w14:paraId="57BCEA66" w14:textId="77777777">
        <w:trPr>
          <w:trHeight w:val="320"/>
        </w:trPr>
        <w:tc>
          <w:tcPr>
            <w:tcW w:w="2700" w:type="dxa"/>
            <w:noWrap/>
            <w:vAlign w:val="bottom"/>
          </w:tcPr>
          <w:p w14:paraId="17A6797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Men receive nutrient-rich foods</w:t>
            </w:r>
          </w:p>
        </w:tc>
        <w:tc>
          <w:tcPr>
            <w:tcW w:w="2160" w:type="dxa"/>
            <w:noWrap/>
            <w:vAlign w:val="bottom"/>
          </w:tcPr>
          <w:p w14:paraId="688E228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Women &amp; child diet quality</w:t>
            </w:r>
          </w:p>
        </w:tc>
        <w:tc>
          <w:tcPr>
            <w:tcW w:w="1643" w:type="dxa"/>
            <w:noWrap/>
            <w:vAlign w:val="bottom"/>
          </w:tcPr>
          <w:p w14:paraId="2FCF17D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-0.44</w:t>
            </w:r>
          </w:p>
        </w:tc>
        <w:tc>
          <w:tcPr>
            <w:tcW w:w="1163" w:type="dxa"/>
            <w:noWrap/>
            <w:vAlign w:val="bottom"/>
          </w:tcPr>
          <w:p w14:paraId="36D17C0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&lt;0.01</w:t>
            </w:r>
          </w:p>
        </w:tc>
        <w:tc>
          <w:tcPr>
            <w:tcW w:w="1694" w:type="dxa"/>
            <w:noWrap/>
            <w:vAlign w:val="bottom"/>
          </w:tcPr>
          <w:p w14:paraId="1D90D15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Moderate negative</w:t>
            </w:r>
          </w:p>
        </w:tc>
      </w:tr>
    </w:tbl>
    <w:p w14:paraId="05793070" w14:textId="77777777" w:rsidR="0061135C" w:rsidRPr="00DB4ADE" w:rsidRDefault="0061135C"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p>
    <w:p w14:paraId="1543E2F3"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The results indicate moderate yet statistically significant associations between gender-related factors and dietary outcomes among respondents. Greater perceived male control over resources demonstrated a moderate negative correlation with household dietary diversity score (HDDS; r = -0.42, p &lt; 0.01). In contrast, increased women's decision-making power exhibited a moderate positive correlation with HDDS (r = 0.47, p &lt; 0.01), suggesting that enhancing women's decision-making authority improves household dietary variety. Restrictive food beliefs were moderately negatively associated with child dietary diversity (r = -0.39, p &lt; 0.01), and cultural norms related to food preparation were moderately negatively associated with household dietary diversity (r = -0.36, p &lt; 0.05). Furthermore, the perception that men receive the most nutrient-rich foods was moderately negatively associated with the diet quality of women and children (r = -0.44, p &lt; 0.01). Collectively, these findings demonstrate that male-dominated resource control, restrictive cultural beliefs and norms, and unequal nutrient allocation are directly linked to reduced dietary diversity and quality, particularly for households, children, and women. Women's decision-making authority is positively associated with improved household dietary diversity, with all relationships achieving statistical significance (p ≤ 0.05).</w:t>
      </w:r>
    </w:p>
    <w:p w14:paraId="686648D6"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b/>
          <w:color w:val="000000"/>
          <w:sz w:val="24"/>
          <w:szCs w:val="24"/>
        </w:rPr>
        <w:t>Socio-Cultural Norm Clusters and Food Security Indicators</w:t>
      </w:r>
    </w:p>
    <w:p w14:paraId="37051B4D"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Subsequent analyses examined the relationships between broader socio-cultural norm clusters and household food security indicators, including HDDS, food shortage severity, and food availability.</w:t>
      </w:r>
    </w:p>
    <w:p w14:paraId="59F51F7B"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bCs/>
          <w:i/>
          <w:sz w:val="24"/>
          <w:szCs w:val="24"/>
        </w:rPr>
      </w:pPr>
      <w:r w:rsidRPr="00DB4ADE">
        <w:rPr>
          <w:rFonts w:ascii="Times New Roman" w:eastAsia="Times New Roman" w:hAnsi="Times New Roman" w:cs="Times New Roman"/>
          <w:i/>
          <w:iCs/>
          <w:color w:val="000000"/>
          <w:sz w:val="24"/>
          <w:szCs w:val="24"/>
        </w:rPr>
        <w:t>Table 3: Socio-cultural norms and food security indicators</w:t>
      </w:r>
    </w:p>
    <w:tbl>
      <w:tblPr>
        <w:tblW w:w="9360" w:type="dxa"/>
        <w:tblBorders>
          <w:top w:val="single" w:sz="4" w:space="0" w:color="000000"/>
          <w:bottom w:val="single" w:sz="4" w:space="0" w:color="000000"/>
        </w:tblBorders>
        <w:tblLook w:val="04A0" w:firstRow="1" w:lastRow="0" w:firstColumn="1" w:lastColumn="0" w:noHBand="0" w:noVBand="1"/>
      </w:tblPr>
      <w:tblGrid>
        <w:gridCol w:w="2968"/>
        <w:gridCol w:w="1220"/>
        <w:gridCol w:w="892"/>
        <w:gridCol w:w="1159"/>
        <w:gridCol w:w="892"/>
        <w:gridCol w:w="1248"/>
        <w:gridCol w:w="981"/>
      </w:tblGrid>
      <w:tr w:rsidR="0061135C" w:rsidRPr="00DB4ADE" w14:paraId="341BF19A" w14:textId="77777777">
        <w:trPr>
          <w:trHeight w:val="320"/>
        </w:trPr>
        <w:tc>
          <w:tcPr>
            <w:tcW w:w="2968" w:type="dxa"/>
            <w:tcBorders>
              <w:top w:val="single" w:sz="4" w:space="0" w:color="000000"/>
              <w:bottom w:val="single" w:sz="4" w:space="0" w:color="000000"/>
            </w:tcBorders>
            <w:noWrap/>
            <w:vAlign w:val="bottom"/>
          </w:tcPr>
          <w:p w14:paraId="2BC5889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lastRenderedPageBreak/>
              <w:t>Variable</w:t>
            </w:r>
          </w:p>
        </w:tc>
        <w:tc>
          <w:tcPr>
            <w:tcW w:w="1220" w:type="dxa"/>
            <w:tcBorders>
              <w:top w:val="single" w:sz="4" w:space="0" w:color="000000"/>
              <w:bottom w:val="single" w:sz="4" w:space="0" w:color="000000"/>
            </w:tcBorders>
            <w:noWrap/>
            <w:vAlign w:val="bottom"/>
          </w:tcPr>
          <w:p w14:paraId="54164A6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HDDS (r)</w:t>
            </w:r>
          </w:p>
        </w:tc>
        <w:tc>
          <w:tcPr>
            <w:tcW w:w="892" w:type="dxa"/>
            <w:tcBorders>
              <w:top w:val="single" w:sz="4" w:space="0" w:color="000000"/>
              <w:bottom w:val="single" w:sz="4" w:space="0" w:color="000000"/>
            </w:tcBorders>
            <w:noWrap/>
            <w:vAlign w:val="bottom"/>
          </w:tcPr>
          <w:p w14:paraId="7630E55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p-value</w:t>
            </w:r>
          </w:p>
        </w:tc>
        <w:tc>
          <w:tcPr>
            <w:tcW w:w="1159" w:type="dxa"/>
            <w:tcBorders>
              <w:top w:val="single" w:sz="4" w:space="0" w:color="000000"/>
              <w:bottom w:val="single" w:sz="4" w:space="0" w:color="000000"/>
            </w:tcBorders>
            <w:noWrap/>
            <w:vAlign w:val="bottom"/>
          </w:tcPr>
          <w:p w14:paraId="4CDB6D4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Severity (r)</w:t>
            </w:r>
          </w:p>
        </w:tc>
        <w:tc>
          <w:tcPr>
            <w:tcW w:w="892" w:type="dxa"/>
            <w:tcBorders>
              <w:top w:val="single" w:sz="4" w:space="0" w:color="000000"/>
              <w:bottom w:val="single" w:sz="4" w:space="0" w:color="000000"/>
            </w:tcBorders>
            <w:noWrap/>
            <w:vAlign w:val="bottom"/>
          </w:tcPr>
          <w:p w14:paraId="18FD51C8"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p-value</w:t>
            </w:r>
          </w:p>
        </w:tc>
        <w:tc>
          <w:tcPr>
            <w:tcW w:w="1248" w:type="dxa"/>
            <w:tcBorders>
              <w:top w:val="single" w:sz="4" w:space="0" w:color="000000"/>
              <w:bottom w:val="single" w:sz="4" w:space="0" w:color="000000"/>
            </w:tcBorders>
            <w:noWrap/>
            <w:vAlign w:val="bottom"/>
          </w:tcPr>
          <w:p w14:paraId="4937369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Foods Avail. (r)</w:t>
            </w:r>
          </w:p>
        </w:tc>
        <w:tc>
          <w:tcPr>
            <w:tcW w:w="981" w:type="dxa"/>
            <w:tcBorders>
              <w:top w:val="single" w:sz="4" w:space="0" w:color="000000"/>
              <w:bottom w:val="single" w:sz="4" w:space="0" w:color="000000"/>
            </w:tcBorders>
            <w:noWrap/>
            <w:vAlign w:val="bottom"/>
          </w:tcPr>
          <w:p w14:paraId="6635AC3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p-value</w:t>
            </w:r>
          </w:p>
        </w:tc>
      </w:tr>
      <w:tr w:rsidR="0061135C" w:rsidRPr="00DB4ADE" w14:paraId="1FB4239A" w14:textId="77777777">
        <w:trPr>
          <w:trHeight w:val="320"/>
        </w:trPr>
        <w:tc>
          <w:tcPr>
            <w:tcW w:w="2968" w:type="dxa"/>
            <w:tcBorders>
              <w:top w:val="single" w:sz="4" w:space="0" w:color="000000"/>
            </w:tcBorders>
            <w:noWrap/>
            <w:vAlign w:val="bottom"/>
          </w:tcPr>
          <w:p w14:paraId="2F1068F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Patriarchal Norms</w:t>
            </w:r>
          </w:p>
        </w:tc>
        <w:tc>
          <w:tcPr>
            <w:tcW w:w="1220" w:type="dxa"/>
            <w:tcBorders>
              <w:top w:val="single" w:sz="4" w:space="0" w:color="000000"/>
            </w:tcBorders>
            <w:noWrap/>
            <w:vAlign w:val="bottom"/>
          </w:tcPr>
          <w:p w14:paraId="2397217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-0.136</w:t>
            </w:r>
          </w:p>
        </w:tc>
        <w:tc>
          <w:tcPr>
            <w:tcW w:w="892" w:type="dxa"/>
            <w:tcBorders>
              <w:top w:val="single" w:sz="4" w:space="0" w:color="000000"/>
            </w:tcBorders>
            <w:noWrap/>
            <w:vAlign w:val="bottom"/>
          </w:tcPr>
          <w:p w14:paraId="77EBE7B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0.119</w:t>
            </w:r>
          </w:p>
        </w:tc>
        <w:tc>
          <w:tcPr>
            <w:tcW w:w="1159" w:type="dxa"/>
            <w:tcBorders>
              <w:top w:val="single" w:sz="4" w:space="0" w:color="000000"/>
            </w:tcBorders>
            <w:noWrap/>
            <w:vAlign w:val="bottom"/>
          </w:tcPr>
          <w:p w14:paraId="3025194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0.046</w:t>
            </w:r>
          </w:p>
        </w:tc>
        <w:tc>
          <w:tcPr>
            <w:tcW w:w="892" w:type="dxa"/>
            <w:tcBorders>
              <w:top w:val="single" w:sz="4" w:space="0" w:color="000000"/>
            </w:tcBorders>
            <w:noWrap/>
            <w:vAlign w:val="bottom"/>
          </w:tcPr>
          <w:p w14:paraId="1A47322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0.598</w:t>
            </w:r>
          </w:p>
        </w:tc>
        <w:tc>
          <w:tcPr>
            <w:tcW w:w="1248" w:type="dxa"/>
            <w:tcBorders>
              <w:top w:val="single" w:sz="4" w:space="0" w:color="000000"/>
            </w:tcBorders>
            <w:noWrap/>
            <w:vAlign w:val="bottom"/>
          </w:tcPr>
          <w:p w14:paraId="385AC91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-0.062</w:t>
            </w:r>
          </w:p>
        </w:tc>
        <w:tc>
          <w:tcPr>
            <w:tcW w:w="981" w:type="dxa"/>
            <w:tcBorders>
              <w:top w:val="single" w:sz="4" w:space="0" w:color="000000"/>
            </w:tcBorders>
            <w:noWrap/>
            <w:vAlign w:val="bottom"/>
          </w:tcPr>
          <w:p w14:paraId="0DE184E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0.476</w:t>
            </w:r>
          </w:p>
        </w:tc>
      </w:tr>
      <w:tr w:rsidR="0061135C" w:rsidRPr="00DB4ADE" w14:paraId="686BCA32" w14:textId="77777777">
        <w:trPr>
          <w:trHeight w:val="320"/>
        </w:trPr>
        <w:tc>
          <w:tcPr>
            <w:tcW w:w="2968" w:type="dxa"/>
            <w:noWrap/>
            <w:vAlign w:val="bottom"/>
          </w:tcPr>
          <w:p w14:paraId="5CC69FB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Beliefs and Taboos</w:t>
            </w:r>
          </w:p>
        </w:tc>
        <w:tc>
          <w:tcPr>
            <w:tcW w:w="1220" w:type="dxa"/>
            <w:noWrap/>
            <w:vAlign w:val="bottom"/>
          </w:tcPr>
          <w:p w14:paraId="4AE90D7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0.184</w:t>
            </w:r>
          </w:p>
        </w:tc>
        <w:tc>
          <w:tcPr>
            <w:tcW w:w="892" w:type="dxa"/>
            <w:noWrap/>
            <w:vAlign w:val="bottom"/>
          </w:tcPr>
          <w:p w14:paraId="69B7331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0.034</w:t>
            </w:r>
          </w:p>
        </w:tc>
        <w:tc>
          <w:tcPr>
            <w:tcW w:w="1159" w:type="dxa"/>
            <w:noWrap/>
            <w:vAlign w:val="bottom"/>
          </w:tcPr>
          <w:p w14:paraId="34312DB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0.068</w:t>
            </w:r>
          </w:p>
        </w:tc>
        <w:tc>
          <w:tcPr>
            <w:tcW w:w="892" w:type="dxa"/>
            <w:noWrap/>
            <w:vAlign w:val="bottom"/>
          </w:tcPr>
          <w:p w14:paraId="5DB480B4"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0.439</w:t>
            </w:r>
          </w:p>
        </w:tc>
        <w:tc>
          <w:tcPr>
            <w:tcW w:w="1248" w:type="dxa"/>
            <w:noWrap/>
            <w:vAlign w:val="bottom"/>
          </w:tcPr>
          <w:p w14:paraId="70BA597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0.145</w:t>
            </w:r>
          </w:p>
        </w:tc>
        <w:tc>
          <w:tcPr>
            <w:tcW w:w="981" w:type="dxa"/>
            <w:noWrap/>
            <w:vAlign w:val="bottom"/>
          </w:tcPr>
          <w:p w14:paraId="3806655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0.096</w:t>
            </w:r>
          </w:p>
        </w:tc>
      </w:tr>
      <w:tr w:rsidR="0061135C" w:rsidRPr="00DB4ADE" w14:paraId="5C1B307E" w14:textId="77777777">
        <w:trPr>
          <w:trHeight w:val="320"/>
        </w:trPr>
        <w:tc>
          <w:tcPr>
            <w:tcW w:w="2968" w:type="dxa"/>
            <w:noWrap/>
            <w:vAlign w:val="bottom"/>
          </w:tcPr>
          <w:p w14:paraId="0A38D47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Traditional Gender Roles</w:t>
            </w:r>
          </w:p>
        </w:tc>
        <w:tc>
          <w:tcPr>
            <w:tcW w:w="1220" w:type="dxa"/>
            <w:noWrap/>
            <w:vAlign w:val="bottom"/>
          </w:tcPr>
          <w:p w14:paraId="413B3C6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0.093</w:t>
            </w:r>
          </w:p>
        </w:tc>
        <w:tc>
          <w:tcPr>
            <w:tcW w:w="892" w:type="dxa"/>
            <w:noWrap/>
            <w:vAlign w:val="bottom"/>
          </w:tcPr>
          <w:p w14:paraId="1888581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0.288</w:t>
            </w:r>
          </w:p>
        </w:tc>
        <w:tc>
          <w:tcPr>
            <w:tcW w:w="1159" w:type="dxa"/>
            <w:noWrap/>
            <w:vAlign w:val="bottom"/>
          </w:tcPr>
          <w:p w14:paraId="41A73D32"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0.137</w:t>
            </w:r>
          </w:p>
        </w:tc>
        <w:tc>
          <w:tcPr>
            <w:tcW w:w="892" w:type="dxa"/>
            <w:noWrap/>
            <w:vAlign w:val="bottom"/>
          </w:tcPr>
          <w:p w14:paraId="47E389C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0.116</w:t>
            </w:r>
          </w:p>
        </w:tc>
        <w:tc>
          <w:tcPr>
            <w:tcW w:w="1248" w:type="dxa"/>
            <w:noWrap/>
            <w:vAlign w:val="bottom"/>
          </w:tcPr>
          <w:p w14:paraId="7F2925E7"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0.037</w:t>
            </w:r>
          </w:p>
        </w:tc>
        <w:tc>
          <w:tcPr>
            <w:tcW w:w="981" w:type="dxa"/>
            <w:noWrap/>
            <w:vAlign w:val="bottom"/>
          </w:tcPr>
          <w:p w14:paraId="689FF8D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0.671</w:t>
            </w:r>
          </w:p>
        </w:tc>
      </w:tr>
      <w:tr w:rsidR="0061135C" w:rsidRPr="00DB4ADE" w14:paraId="251B84FF" w14:textId="77777777">
        <w:trPr>
          <w:trHeight w:val="320"/>
        </w:trPr>
        <w:tc>
          <w:tcPr>
            <w:tcW w:w="2968" w:type="dxa"/>
            <w:noWrap/>
            <w:vAlign w:val="bottom"/>
          </w:tcPr>
          <w:p w14:paraId="1A20356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Socio-economic factors</w:t>
            </w:r>
          </w:p>
        </w:tc>
        <w:tc>
          <w:tcPr>
            <w:tcW w:w="1220" w:type="dxa"/>
            <w:noWrap/>
            <w:vAlign w:val="bottom"/>
          </w:tcPr>
          <w:p w14:paraId="60AE86C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0.25</w:t>
            </w:r>
          </w:p>
        </w:tc>
        <w:tc>
          <w:tcPr>
            <w:tcW w:w="892" w:type="dxa"/>
            <w:noWrap/>
            <w:vAlign w:val="bottom"/>
          </w:tcPr>
          <w:p w14:paraId="2274E3D3"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0.004</w:t>
            </w:r>
          </w:p>
        </w:tc>
        <w:tc>
          <w:tcPr>
            <w:tcW w:w="1159" w:type="dxa"/>
            <w:noWrap/>
            <w:vAlign w:val="bottom"/>
          </w:tcPr>
          <w:p w14:paraId="7954C83A"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-0.077</w:t>
            </w:r>
          </w:p>
        </w:tc>
        <w:tc>
          <w:tcPr>
            <w:tcW w:w="892" w:type="dxa"/>
            <w:noWrap/>
            <w:vAlign w:val="bottom"/>
          </w:tcPr>
          <w:p w14:paraId="44924A3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0.381</w:t>
            </w:r>
          </w:p>
        </w:tc>
        <w:tc>
          <w:tcPr>
            <w:tcW w:w="1248" w:type="dxa"/>
            <w:noWrap/>
            <w:vAlign w:val="bottom"/>
          </w:tcPr>
          <w:p w14:paraId="3B35DE3F"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0.322</w:t>
            </w:r>
          </w:p>
        </w:tc>
        <w:tc>
          <w:tcPr>
            <w:tcW w:w="981" w:type="dxa"/>
            <w:noWrap/>
            <w:vAlign w:val="bottom"/>
          </w:tcPr>
          <w:p w14:paraId="1C9BEE8E"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&lt;0.001</w:t>
            </w:r>
          </w:p>
        </w:tc>
      </w:tr>
      <w:tr w:rsidR="0061135C" w:rsidRPr="00DB4ADE" w14:paraId="080AEB74" w14:textId="77777777">
        <w:trPr>
          <w:trHeight w:val="320"/>
        </w:trPr>
        <w:tc>
          <w:tcPr>
            <w:tcW w:w="2968" w:type="dxa"/>
            <w:noWrap/>
            <w:vAlign w:val="bottom"/>
          </w:tcPr>
          <w:p w14:paraId="2BC9E21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Cultural Practices</w:t>
            </w:r>
          </w:p>
        </w:tc>
        <w:tc>
          <w:tcPr>
            <w:tcW w:w="1220" w:type="dxa"/>
            <w:noWrap/>
            <w:vAlign w:val="bottom"/>
          </w:tcPr>
          <w:p w14:paraId="7AF3295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0.316</w:t>
            </w:r>
          </w:p>
        </w:tc>
        <w:tc>
          <w:tcPr>
            <w:tcW w:w="892" w:type="dxa"/>
            <w:noWrap/>
            <w:vAlign w:val="bottom"/>
          </w:tcPr>
          <w:p w14:paraId="5D8646D9"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&lt;0.001</w:t>
            </w:r>
          </w:p>
        </w:tc>
        <w:tc>
          <w:tcPr>
            <w:tcW w:w="1159" w:type="dxa"/>
            <w:noWrap/>
            <w:vAlign w:val="bottom"/>
          </w:tcPr>
          <w:p w14:paraId="0358D51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0.029</w:t>
            </w:r>
          </w:p>
        </w:tc>
        <w:tc>
          <w:tcPr>
            <w:tcW w:w="892" w:type="dxa"/>
            <w:noWrap/>
            <w:vAlign w:val="bottom"/>
          </w:tcPr>
          <w:p w14:paraId="01F2A5A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0.744</w:t>
            </w:r>
          </w:p>
        </w:tc>
        <w:tc>
          <w:tcPr>
            <w:tcW w:w="1248" w:type="dxa"/>
            <w:noWrap/>
            <w:vAlign w:val="bottom"/>
          </w:tcPr>
          <w:p w14:paraId="54CA8FA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0.326</w:t>
            </w:r>
          </w:p>
        </w:tc>
        <w:tc>
          <w:tcPr>
            <w:tcW w:w="981" w:type="dxa"/>
            <w:noWrap/>
            <w:vAlign w:val="bottom"/>
          </w:tcPr>
          <w:p w14:paraId="79F6B1AB"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&lt;0.001</w:t>
            </w:r>
          </w:p>
        </w:tc>
      </w:tr>
      <w:tr w:rsidR="0061135C" w:rsidRPr="00DB4ADE" w14:paraId="790FF685" w14:textId="77777777">
        <w:trPr>
          <w:trHeight w:val="320"/>
        </w:trPr>
        <w:tc>
          <w:tcPr>
            <w:tcW w:w="2968" w:type="dxa"/>
            <w:noWrap/>
            <w:vAlign w:val="bottom"/>
          </w:tcPr>
          <w:p w14:paraId="25F77E36"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Cultural Impact</w:t>
            </w:r>
          </w:p>
        </w:tc>
        <w:tc>
          <w:tcPr>
            <w:tcW w:w="1220" w:type="dxa"/>
            <w:noWrap/>
            <w:vAlign w:val="bottom"/>
          </w:tcPr>
          <w:p w14:paraId="22B1928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0.308</w:t>
            </w:r>
          </w:p>
        </w:tc>
        <w:tc>
          <w:tcPr>
            <w:tcW w:w="892" w:type="dxa"/>
            <w:noWrap/>
            <w:vAlign w:val="bottom"/>
          </w:tcPr>
          <w:p w14:paraId="114EB4F0"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&lt;0.001</w:t>
            </w:r>
          </w:p>
        </w:tc>
        <w:tc>
          <w:tcPr>
            <w:tcW w:w="1159" w:type="dxa"/>
            <w:noWrap/>
            <w:vAlign w:val="bottom"/>
          </w:tcPr>
          <w:p w14:paraId="13800CA5"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0.114</w:t>
            </w:r>
          </w:p>
        </w:tc>
        <w:tc>
          <w:tcPr>
            <w:tcW w:w="892" w:type="dxa"/>
            <w:noWrap/>
            <w:vAlign w:val="bottom"/>
          </w:tcPr>
          <w:p w14:paraId="3271C4EC"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0.192</w:t>
            </w:r>
          </w:p>
        </w:tc>
        <w:tc>
          <w:tcPr>
            <w:tcW w:w="1248" w:type="dxa"/>
            <w:noWrap/>
            <w:vAlign w:val="bottom"/>
          </w:tcPr>
          <w:p w14:paraId="519C674D"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0.285</w:t>
            </w:r>
          </w:p>
        </w:tc>
        <w:tc>
          <w:tcPr>
            <w:tcW w:w="981" w:type="dxa"/>
            <w:noWrap/>
            <w:vAlign w:val="bottom"/>
          </w:tcPr>
          <w:p w14:paraId="7833DF71" w14:textId="77777777" w:rsidR="0061135C" w:rsidRPr="00DB4ADE" w:rsidRDefault="00000000" w:rsidP="00DB4ADE">
            <w:pPr>
              <w:spacing w:line="360" w:lineRule="auto"/>
              <w:jc w:val="both"/>
              <w:rPr>
                <w:rFonts w:ascii="Times New Roman" w:hAnsi="Times New Roman" w:cs="Times New Roman"/>
                <w:iCs/>
                <w:sz w:val="24"/>
                <w:szCs w:val="24"/>
              </w:rPr>
            </w:pPr>
            <w:r w:rsidRPr="00DB4ADE">
              <w:rPr>
                <w:rFonts w:ascii="Times New Roman" w:eastAsia="Times New Roman" w:hAnsi="Times New Roman" w:cs="Times New Roman"/>
                <w:iCs/>
                <w:sz w:val="24"/>
                <w:szCs w:val="24"/>
              </w:rPr>
              <w:t>0.001</w:t>
            </w:r>
          </w:p>
        </w:tc>
      </w:tr>
    </w:tbl>
    <w:p w14:paraId="747151E9" w14:textId="77777777" w:rsidR="0061135C" w:rsidRPr="00DB4ADE" w:rsidRDefault="0061135C"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p>
    <w:p w14:paraId="3A6052C1"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szCs w:val="24"/>
        </w:rPr>
      </w:pPr>
      <w:r w:rsidRPr="00DB4ADE">
        <w:rPr>
          <w:rFonts w:ascii="Times New Roman" w:eastAsia="Times New Roman" w:hAnsi="Times New Roman" w:cs="Times New Roman"/>
          <w:color w:val="000000"/>
          <w:sz w:val="24"/>
          <w:szCs w:val="24"/>
        </w:rPr>
        <w:t>The correlation analysis identified significant relationships between specific socio-cultural norm clusters and food security indicators. Cultural practices exhibited the strongest positive correlation with HDDS (r = 0.316, p &lt; 0.001), followed by cultural impact (r = 0.308, p &lt; 0.001) and socioeconomic factors (r = 0.250, p = 0.004). These positive correlations indicate that households with greater awareness of the influence of cultural norms on food security tend to achieve higher dietary diversity, suggesting that such awareness facilitates adaptive behavior. Patriarchal norms demonstrated a negative, though non-significant, correlation with HDDS (r = -0.136, p = 0.119), reflecting a trend consistent with the eco-feminist perspective that male control of resources may limit dietary diversity. The overall socio-cultural norms construct was significantly correlated with both HDDS (r = 0.218, p = 0.012) and food availability (r = 0.216, p = 0.013), confirming that socio-cultural factors influence household food and nutrition security.</w:t>
      </w:r>
    </w:p>
    <w:p w14:paraId="1C537A60"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This finding was corroborated by the sub-county extension officer, who noted:</w:t>
      </w:r>
    </w:p>
    <w:p w14:paraId="498A7A8F" w14:textId="1F96109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i/>
          <w:color w:val="000000"/>
          <w:sz w:val="24"/>
          <w:szCs w:val="24"/>
        </w:rPr>
        <w:t>"In many households here, men are still seen as the heads of the family</w:t>
      </w:r>
      <w:r w:rsidR="00A37B55">
        <w:rPr>
          <w:rFonts w:ascii="Times New Roman" w:eastAsia="Times New Roman" w:hAnsi="Times New Roman" w:cs="Times New Roman"/>
          <w:i/>
          <w:color w:val="000000"/>
          <w:sz w:val="24"/>
          <w:szCs w:val="24"/>
        </w:rPr>
        <w:t>,</w:t>
      </w:r>
      <w:r w:rsidRPr="00DB4ADE">
        <w:rPr>
          <w:rFonts w:ascii="Times New Roman" w:eastAsia="Times New Roman" w:hAnsi="Times New Roman" w:cs="Times New Roman"/>
          <w:i/>
          <w:color w:val="000000"/>
          <w:sz w:val="24"/>
          <w:szCs w:val="24"/>
        </w:rPr>
        <w:t xml:space="preserve"> and they make most decisions about land use and crop sales. Women do most of the farming work and food preparation, but they may not always have the final say on what crops to grow or how the income from farming is used. This can affect the variety of foods available at home."</w:t>
      </w:r>
      <w:r w:rsidRPr="00DB4ADE">
        <w:rPr>
          <w:rFonts w:ascii="Times New Roman" w:eastAsia="Times New Roman" w:hAnsi="Times New Roman" w:cs="Times New Roman"/>
          <w:color w:val="000000"/>
          <w:sz w:val="24"/>
          <w:szCs w:val="24"/>
        </w:rPr>
        <w:t xml:space="preserve"> (KII-001)</w:t>
      </w:r>
    </w:p>
    <w:p w14:paraId="608C96F0"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color w:val="000000"/>
          <w:sz w:val="24"/>
          <w:szCs w:val="24"/>
        </w:rPr>
        <w:t>A local administrator provided similar observations.</w:t>
      </w:r>
    </w:p>
    <w:p w14:paraId="0C8770F9" w14:textId="77777777" w:rsidR="0061135C" w:rsidRP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sz w:val="24"/>
          <w:szCs w:val="24"/>
        </w:rPr>
      </w:pPr>
      <w:r w:rsidRPr="00DB4ADE">
        <w:rPr>
          <w:rFonts w:ascii="Times New Roman" w:eastAsia="Times New Roman" w:hAnsi="Times New Roman" w:cs="Times New Roman"/>
          <w:i/>
          <w:color w:val="000000"/>
          <w:sz w:val="24"/>
          <w:szCs w:val="24"/>
        </w:rPr>
        <w:lastRenderedPageBreak/>
        <w:t xml:space="preserve">"Socio-cultural norms often shape who controls food resources in the household. In many cases, men decide which crops are grown or sold, while women are responsible for cooking and feeding the family. When women have limited influence over these decisions, it can affect the diversity of foods prepared at home." </w:t>
      </w:r>
      <w:r w:rsidRPr="00DB4ADE">
        <w:rPr>
          <w:rFonts w:ascii="Times New Roman" w:eastAsia="Times New Roman" w:hAnsi="Times New Roman" w:cs="Times New Roman"/>
          <w:color w:val="000000"/>
          <w:sz w:val="24"/>
          <w:szCs w:val="24"/>
        </w:rPr>
        <w:t>(KII-006)</w:t>
      </w:r>
    </w:p>
    <w:p w14:paraId="4305B6A1" w14:textId="77777777" w:rsidR="0061135C" w:rsidRDefault="00000000">
      <w:pPr>
        <w:pBdr>
          <w:top w:val="none" w:sz="4" w:space="0" w:color="000000"/>
          <w:left w:val="none" w:sz="4" w:space="0" w:color="000000"/>
          <w:bottom w:val="none" w:sz="4" w:space="0" w:color="000000"/>
          <w:right w:val="none" w:sz="4" w:space="0" w:color="000000"/>
        </w:pBdr>
        <w:spacing w:before="120" w:after="120" w:line="360" w:lineRule="auto"/>
        <w:rPr>
          <w:rFonts w:ascii="Times New Roman" w:hAnsi="Times New Roman" w:cs="Times New Roman"/>
        </w:rPr>
      </w:pPr>
      <w:r>
        <w:rPr>
          <w:rFonts w:ascii="Times New Roman" w:eastAsia="Times New Roman" w:hAnsi="Times New Roman" w:cs="Times New Roman"/>
          <w:color w:val="000000"/>
          <w:sz w:val="24"/>
        </w:rPr>
        <w:t xml:space="preserve"> </w:t>
      </w:r>
    </w:p>
    <w:p w14:paraId="4D3C24D7" w14:textId="3EE4ACF9" w:rsidR="0061135C" w:rsidRPr="00DB4ADE" w:rsidRDefault="00A37B55" w:rsidP="00A37B55">
      <w:pPr>
        <w:pStyle w:val="Heading2"/>
        <w:pBdr>
          <w:top w:val="none" w:sz="4" w:space="0" w:color="000000"/>
          <w:left w:val="none" w:sz="4" w:space="0" w:color="000000"/>
          <w:bottom w:val="none" w:sz="4" w:space="0" w:color="000000"/>
          <w:right w:val="none" w:sz="4" w:space="0" w:color="000000"/>
        </w:pBdr>
        <w:spacing w:before="239" w:after="120" w:line="360" w:lineRule="auto"/>
        <w:rPr>
          <w:rFonts w:ascii="Times New Roman" w:hAnsi="Times New Roman" w:cs="Times New Roman"/>
          <w:b/>
          <w:sz w:val="24"/>
          <w:szCs w:val="24"/>
        </w:rPr>
      </w:pPr>
      <w:r w:rsidRPr="00DB4ADE">
        <w:rPr>
          <w:rFonts w:ascii="Times New Roman" w:eastAsia="Times New Roman" w:hAnsi="Times New Roman" w:cs="Times New Roman"/>
          <w:b/>
          <w:color w:val="000000"/>
          <w:sz w:val="24"/>
          <w:szCs w:val="24"/>
        </w:rPr>
        <w:t>Discussion</w:t>
      </w:r>
    </w:p>
    <w:p w14:paraId="175E2A98" w14:textId="77777777"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The findings indicate that socio-cultural norms, including gendered resource control, patriarchal household systems, traditional food practices, and food taboos, significantly shape household food and nutrition security in Masaba South Sub-County. These factors continue to influence food access, allocation, and dietary outcomes, particularly for women and children. The results affirm that dietary diversity is not solely determined by food availability or income but is also constructed through gender relations, cultural expectations, and household decision-making systems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et al., 2022). Gender inequality in resource control (54%) emerged as the most dominant socio-cultural factor affecting household dietary diversity. Unequal ownership and control of productive resources, especially land and agricultural income, restrict women's influence over food production and dietary decisions. Qualitative data further revealed that men predominantly decide which crops are grown, marketed, or consumed, while women perform most of the labor related to farming, food preparation, and childcare. These gendered power dynamics directly impact household food availability and the diversity of foods consumed.</w:t>
      </w:r>
    </w:p>
    <w:p w14:paraId="2588845B"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1294BE92" w14:textId="0B5A62AF"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These findings align with broader evidence from Sub-Saharan Africa showing that women's limited control over productive resources constrains household dietary diversity and food security outcomes. In Kenya, Muthini et al. (2020) established that agricultural production diversity positively influences household dietary diversity, but women's restricted participation in agricultural decision-making undermines these gains. Similarly, </w:t>
      </w:r>
      <w:proofErr w:type="spellStart"/>
      <w:r>
        <w:rPr>
          <w:rFonts w:ascii="Times New Roman" w:eastAsia="Times New Roman" w:hAnsi="Times New Roman" w:cs="Times New Roman"/>
          <w:color w:val="000000"/>
          <w:sz w:val="24"/>
        </w:rPr>
        <w:t>Kihiu</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Amuakwa</w:t>
      </w:r>
      <w:proofErr w:type="spellEnd"/>
      <w:r>
        <w:rPr>
          <w:rFonts w:ascii="Times New Roman" w:eastAsia="Times New Roman" w:hAnsi="Times New Roman" w:cs="Times New Roman"/>
          <w:color w:val="000000"/>
          <w:sz w:val="24"/>
        </w:rPr>
        <w:t xml:space="preserve">-Mensah (2021) demonstrated that gendered access to organized agricultural markets improves dietary diversity, with women's access having more than double the effect of </w:t>
      </w:r>
      <w:proofErr w:type="gramStart"/>
      <w:r>
        <w:rPr>
          <w:rFonts w:ascii="Times New Roman" w:eastAsia="Times New Roman" w:hAnsi="Times New Roman" w:cs="Times New Roman"/>
          <w:color w:val="000000"/>
          <w:sz w:val="24"/>
        </w:rPr>
        <w:t>men's</w:t>
      </w:r>
      <w:proofErr w:type="gramEnd"/>
      <w:r>
        <w:rPr>
          <w:rFonts w:ascii="Times New Roman" w:eastAsia="Times New Roman" w:hAnsi="Times New Roman" w:cs="Times New Roman"/>
          <w:color w:val="000000"/>
          <w:sz w:val="24"/>
        </w:rPr>
        <w:t xml:space="preserve">. Quisumbing et al. (2023) further observed that women's empowerment in household and agricultural decisions significantly improves dietary quality and child nutrition outcomes. The findings also revealed that </w:t>
      </w:r>
      <w:r>
        <w:rPr>
          <w:rFonts w:ascii="Times New Roman" w:eastAsia="Times New Roman" w:hAnsi="Times New Roman" w:cs="Times New Roman"/>
          <w:color w:val="000000"/>
          <w:sz w:val="24"/>
        </w:rPr>
        <w:lastRenderedPageBreak/>
        <w:t>patriarchal systems increase the vulnerability of women and children to food insecurity during crises, with nearly 88% of respondents agreeing or strongly agreeing with this statement. Patriarchal norms were perceived to increase women's time poverty and reduce food security outcomes.</w:t>
      </w:r>
    </w:p>
    <w:p w14:paraId="1B874B05" w14:textId="77777777" w:rsid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results highlight the persistence of traditional gender roles, where women are responsible for reproductive, productive, and caregiving tasks ("triple roles") but have limited authority over household resources and food decisions. This dynamic reduces the time available for income generation, dietary planning, childcare, and participation in nutrition-related programs (Njuki et al., 2022). Similar patterns have been observed in other African contexts. For example, in Ethiopia, </w:t>
      </w:r>
      <w:proofErr w:type="spellStart"/>
      <w:r>
        <w:rPr>
          <w:rFonts w:ascii="Times New Roman" w:eastAsia="Times New Roman" w:hAnsi="Times New Roman" w:cs="Times New Roman"/>
          <w:color w:val="000000"/>
          <w:sz w:val="24"/>
        </w:rPr>
        <w:t>Workicho</w:t>
      </w:r>
      <w:proofErr w:type="spellEnd"/>
      <w:r>
        <w:rPr>
          <w:rFonts w:ascii="Times New Roman" w:eastAsia="Times New Roman" w:hAnsi="Times New Roman" w:cs="Times New Roman"/>
          <w:color w:val="000000"/>
          <w:sz w:val="24"/>
        </w:rPr>
        <w:t xml:space="preserve"> et al. (2021) found that patriarchal household structures limited women's participation in agricultural production and food decisions, negatively impacting dietary diversity. These findings align with the eco-feminist perspective, which posits that patriarchal systems marginalize women both socially and economically, restricting their access to productive resources and weakening household food security. The study also found that restrictive beliefs and unequal food sharing contribute significantly to poor dietary diversity among women and children. </w:t>
      </w:r>
    </w:p>
    <w:p w14:paraId="64A28D87"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575C9A6E" w14:textId="77777777" w:rsidR="00DB4ADE"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Approximately 78.2% of respondents agreed that unequal food allocation negatively affects dietary diversity. Correlation analysis further indicated that perceptions of men receiving the most nutrient-rich foods were negatively associated with dietary quality for women and children (r = -0.44, p &lt; 0.01). These results suggest that intra-household food allocation remains gendered, with men often prioritized for high-quality foods such as meat, eggs, milk, and other protein-rich items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et al., 2022; Harris-Fry et al., 2020). This pattern is consistent with studies from Nigeria and South Asia, where cultural norms favor adult men in household food </w:t>
      </w:r>
      <w:proofErr w:type="spellStart"/>
      <w:proofErr w:type="gramStart"/>
      <w:r>
        <w:rPr>
          <w:rFonts w:ascii="Times New Roman" w:eastAsia="Times New Roman" w:hAnsi="Times New Roman" w:cs="Times New Roman"/>
          <w:color w:val="000000"/>
          <w:sz w:val="24"/>
        </w:rPr>
        <w:t>allocation.Otekunrin</w:t>
      </w:r>
      <w:proofErr w:type="spellEnd"/>
      <w:proofErr w:type="gramEnd"/>
      <w:r>
        <w:rPr>
          <w:rFonts w:ascii="Times New Roman" w:eastAsia="Times New Roman" w:hAnsi="Times New Roman" w:cs="Times New Roman"/>
          <w:color w:val="000000"/>
          <w:sz w:val="24"/>
        </w:rPr>
        <w:t xml:space="preserve"> et al. (2022) found that patriarchal food allocation systems reduced dietary quality among women and children in rural Nigeria. Such practices reinforce nutritional inequalities and increase vulnerability to micronutrient deficiencies. The findings on food taboos and restrictive cultural beliefs further demonstrate how socio-cultural norms shape dietary diversity. </w:t>
      </w:r>
    </w:p>
    <w:p w14:paraId="2B0932F3"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439A75E6" w14:textId="169D4914"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Key informants explained that pregnant women were discouraged from consuming foods such as eggs, green pepper, sugar cane, and some fruits due to beliefs that these could cause childbirth </w:t>
      </w:r>
      <w:r>
        <w:rPr>
          <w:rFonts w:ascii="Times New Roman" w:eastAsia="Times New Roman" w:hAnsi="Times New Roman" w:cs="Times New Roman"/>
          <w:color w:val="000000"/>
          <w:sz w:val="24"/>
        </w:rPr>
        <w:lastRenderedPageBreak/>
        <w:t>complications. These restrictions reduce women's intake of essential nutrients during pregnancy and negatively affect maternal and child nutrition (</w:t>
      </w:r>
      <w:proofErr w:type="spellStart"/>
      <w:r>
        <w:rPr>
          <w:rFonts w:ascii="Times New Roman" w:eastAsia="Times New Roman" w:hAnsi="Times New Roman" w:cs="Times New Roman"/>
          <w:color w:val="000000"/>
          <w:sz w:val="24"/>
        </w:rPr>
        <w:t>Riang'a</w:t>
      </w:r>
      <w:proofErr w:type="spellEnd"/>
      <w:r>
        <w:rPr>
          <w:rFonts w:ascii="Times New Roman" w:eastAsia="Times New Roman" w:hAnsi="Times New Roman" w:cs="Times New Roman"/>
          <w:color w:val="000000"/>
          <w:sz w:val="24"/>
        </w:rPr>
        <w:t xml:space="preserve"> et al., 2017). These findings are consistent with research on food taboos in African communities. Young (2021) noted that food taboos targeting women and children remain widespread in many low-resource settings and contribute to nutritional deficiencies. In rural Kenya, </w:t>
      </w:r>
      <w:proofErr w:type="spellStart"/>
      <w:r>
        <w:rPr>
          <w:rFonts w:ascii="Times New Roman" w:eastAsia="Times New Roman" w:hAnsi="Times New Roman" w:cs="Times New Roman"/>
          <w:color w:val="000000"/>
          <w:sz w:val="24"/>
        </w:rPr>
        <w:t>Riang'a</w:t>
      </w:r>
      <w:proofErr w:type="spellEnd"/>
      <w:r>
        <w:rPr>
          <w:rFonts w:ascii="Times New Roman" w:eastAsia="Times New Roman" w:hAnsi="Times New Roman" w:cs="Times New Roman"/>
          <w:color w:val="000000"/>
          <w:sz w:val="24"/>
        </w:rPr>
        <w:t xml:space="preserve"> et al. (2017) documented restrictions on eggs, fish, and animal-source foods among pregnant women due to traditional beliefs surrounding pregnancy outcomes. Tugume et al. (2024) reported similar patterns in Uganda.</w:t>
      </w:r>
    </w:p>
    <w:p w14:paraId="29601E0E"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17A9D04C" w14:textId="1AF44DFA"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The study also found that traditional food practices hinder acceptance of modern nutrition programs and dietary diversification strategies. More than three-quarters of respondents agreed that adherence to traditional food beliefs negatively affects dietary diversity and acceptance of nutrition interventions. Popkin and Ng (2022) argue that food preferences and dietary behavior are strongly shaped by cultural identity and social norms rather than nutritional knowledge alone. Inferential findings provide further evidence of the relationship between socio-cultural factors and household dietary diversity. Male control over resources showed a statistically significant negative correlation with Household Dietary Diversity Scores (HDDS) (r = -0.42, p &lt; 0.01). In contrast, women's decision-making power showed a moderate positive correlation with HDDS (r = 0.47, p &lt; 0.01). These indicate that empowering women in household decisions positively contributes to diversified diets and improved food security outcomes (Kassie et al., 2020; Quisumbing et al., 2023; Sraboni et al., 2021).</w:t>
      </w:r>
    </w:p>
    <w:p w14:paraId="7EF854A0"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5CC5678C" w14:textId="4AEC448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addition, results established that cultural practices, socioeconomic awareness, and awareness of cultural impacts on food security were positively associated with dietary diversity and food availability. Cultural practices demonstrated the strongest positive relationship with HDDS (r = 0.316, p &lt; 0.001). It implies that culture itself is not inherently detrimental; rather, certain harmful norms negatively affect outcomes, while positive practices (e.g., indigenous food preservation and traditional crop diversification) can support nutrition when combined with awareness (</w:t>
      </w:r>
      <w:proofErr w:type="spellStart"/>
      <w:r>
        <w:rPr>
          <w:rFonts w:ascii="Times New Roman" w:eastAsia="Times New Roman" w:hAnsi="Times New Roman" w:cs="Times New Roman"/>
          <w:color w:val="000000"/>
          <w:sz w:val="24"/>
        </w:rPr>
        <w:t>Burchi</w:t>
      </w:r>
      <w:proofErr w:type="spellEnd"/>
      <w:r>
        <w:rPr>
          <w:rFonts w:ascii="Times New Roman" w:eastAsia="Times New Roman" w:hAnsi="Times New Roman" w:cs="Times New Roman"/>
          <w:color w:val="000000"/>
          <w:sz w:val="24"/>
        </w:rPr>
        <w:t xml:space="preserve"> et al., 2021). Although patriarchal norms showed a non-significant negative relationship with HDDS (r = -0.136, p = 0.119), the direction remains consistent with broader evidence on male-dominated systems.</w:t>
      </w:r>
      <w:r w:rsidR="00A37B55">
        <w:rPr>
          <w:rFonts w:ascii="Times New Roman" w:eastAsia="Times New Roman" w:hAnsi="Times New Roman" w:cs="Times New Roman"/>
          <w:color w:val="000000"/>
          <w:sz w:val="24"/>
        </w:rPr>
        <w:t xml:space="preserve"> </w:t>
      </w:r>
      <w:r w:rsidR="00A37B55">
        <w:rPr>
          <w:rFonts w:ascii="Times New Roman" w:hAnsi="Times New Roman" w:cs="Times New Roman"/>
        </w:rPr>
        <w:t>Hence</w:t>
      </w:r>
      <w:r>
        <w:rPr>
          <w:rFonts w:ascii="Times New Roman" w:hAnsi="Times New Roman" w:cs="Times New Roman"/>
        </w:rPr>
        <w:t>,</w:t>
      </w:r>
      <w:r w:rsidR="00A37B55">
        <w:rPr>
          <w:rFonts w:ascii="Times New Roman" w:hAnsi="Times New Roman" w:cs="Times New Roman"/>
        </w:rPr>
        <w:t xml:space="preserve"> </w:t>
      </w:r>
      <w:r>
        <w:rPr>
          <w:rFonts w:ascii="Times New Roman" w:eastAsia="Times New Roman" w:hAnsi="Times New Roman" w:cs="Times New Roman"/>
          <w:color w:val="000000"/>
          <w:sz w:val="24"/>
        </w:rPr>
        <w:t xml:space="preserve">this investigation highlights the urgent need for policy interventions that address </w:t>
      </w:r>
      <w:r>
        <w:rPr>
          <w:rFonts w:ascii="Times New Roman" w:eastAsia="Times New Roman" w:hAnsi="Times New Roman" w:cs="Times New Roman"/>
          <w:color w:val="000000"/>
          <w:sz w:val="24"/>
        </w:rPr>
        <w:lastRenderedPageBreak/>
        <w:t>entrenched power imbalances, as regional studies confirm that inequitable access to productive assets severely restricts women's autonomy in agricultural production and decision-making (</w:t>
      </w:r>
      <w:proofErr w:type="spellStart"/>
      <w:r>
        <w:rPr>
          <w:rFonts w:ascii="Times New Roman" w:eastAsia="Times New Roman" w:hAnsi="Times New Roman" w:cs="Times New Roman"/>
          <w:color w:val="000000"/>
          <w:sz w:val="24"/>
        </w:rPr>
        <w:t>Adefila</w:t>
      </w:r>
      <w:proofErr w:type="spellEnd"/>
      <w:r>
        <w:rPr>
          <w:rFonts w:ascii="Times New Roman" w:eastAsia="Times New Roman" w:hAnsi="Times New Roman" w:cs="Times New Roman"/>
          <w:color w:val="000000"/>
          <w:sz w:val="24"/>
        </w:rPr>
        <w:t xml:space="preserve"> et al., 2024; </w:t>
      </w:r>
      <w:proofErr w:type="spellStart"/>
      <w:r>
        <w:rPr>
          <w:rFonts w:ascii="Times New Roman" w:eastAsia="Times New Roman" w:hAnsi="Times New Roman" w:cs="Times New Roman"/>
          <w:color w:val="000000"/>
          <w:sz w:val="24"/>
        </w:rPr>
        <w:t>Olumba</w:t>
      </w:r>
      <w:proofErr w:type="spellEnd"/>
      <w:r>
        <w:rPr>
          <w:rFonts w:ascii="Times New Roman" w:eastAsia="Times New Roman" w:hAnsi="Times New Roman" w:cs="Times New Roman"/>
          <w:color w:val="000000"/>
          <w:sz w:val="24"/>
        </w:rPr>
        <w:t xml:space="preserve"> et al., 2023). Patriarchal systems often institutionalize discriminatory practices within cultural frameworks, overriding legal provisions and further excluding women from community decision-making, thereby increasing their vulnerability to food insecurity (</w:t>
      </w:r>
      <w:proofErr w:type="spellStart"/>
      <w:r>
        <w:rPr>
          <w:rFonts w:ascii="Times New Roman" w:eastAsia="Times New Roman" w:hAnsi="Times New Roman" w:cs="Times New Roman"/>
          <w:color w:val="000000"/>
          <w:sz w:val="24"/>
        </w:rPr>
        <w:t>Lecoutere</w:t>
      </w:r>
      <w:proofErr w:type="spellEnd"/>
      <w:r>
        <w:rPr>
          <w:rFonts w:ascii="Times New Roman" w:eastAsia="Times New Roman" w:hAnsi="Times New Roman" w:cs="Times New Roman"/>
          <w:color w:val="000000"/>
          <w:sz w:val="24"/>
        </w:rPr>
        <w:t xml:space="preserve"> &amp; Wuyts, 2017; Mane et al., 2025).</w:t>
      </w:r>
    </w:p>
    <w:p w14:paraId="41C379E5" w14:textId="41AA89DF"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Empirical evidence consistently demonstrates that increasing women's control over household resources, such as land and income, is essential for improving dietary diversity and child nutrition (Agarwal, 2018; </w:t>
      </w:r>
      <w:proofErr w:type="spellStart"/>
      <w:r>
        <w:rPr>
          <w:rFonts w:ascii="Times New Roman" w:eastAsia="Times New Roman" w:hAnsi="Times New Roman" w:cs="Times New Roman"/>
          <w:color w:val="000000"/>
          <w:sz w:val="24"/>
        </w:rPr>
        <w:t>Olumba</w:t>
      </w:r>
      <w:proofErr w:type="spellEnd"/>
      <w:r>
        <w:rPr>
          <w:rFonts w:ascii="Times New Roman" w:eastAsia="Times New Roman" w:hAnsi="Times New Roman" w:cs="Times New Roman"/>
          <w:color w:val="000000"/>
          <w:sz w:val="24"/>
        </w:rPr>
        <w:t xml:space="preserve"> et al., 2023). However, interventions must consider the complexity of intra-household power dynamics rather than relying on simplistic, binary decision-making models (Acosta et al., 2019). Achieving sustainable household food security therefore requires comprehensive, gender-responsive strategies that secure women's entitlements to productive resources and promote equitable sharing of agricultural and reproductive responsibilities at both household and institutional levels (Njuki et al., 2022; Rao, 2020).Ultimately, fostering gender-just food systems requires recognizing women's multifaceted roles as producers while simultaneously enhancing men's responsibility for domestic and agricultural burdens to ensure sustainable nutritional outcomes (Rao, 2020). Moreover, policies aimed at improving dietary diversity must acknowledge the dual burden of productive and reproductive work, as failing to reduce women's time-use constraints may lead to unintended increases in their overall workload despite gains in economic agency (Huang et al., 2024). Addressing these challenges necessitates a balanced strategy that promotes women's empowerment without intensifying their existing domestic responsibilities (Das et al., 2023). Moreover, implementing interventions that leverage women's specialized knowledge regarding local, climate-resilient crops can simultaneously enhance household nutrition and validate their crucial role as agricultural stewards (Picchioni et al., 2017).</w:t>
      </w:r>
    </w:p>
    <w:p w14:paraId="29A10FF3"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032827D4" w14:textId="4CC7D772"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Evidence indicates that multi-component interventions, especially those integrating livelihood support with behavioral change communication, are more sustainable than single-focus programs because they address both economic agency and entrenched social norms (Berretta et al., 2022). Recognizing the unpaid nature of reproductive labor is essential, as efforts to enhance women's economic agency must be balanced with time-use considerations to avoid increasing their labor </w:t>
      </w:r>
      <w:r>
        <w:rPr>
          <w:rFonts w:ascii="Times New Roman" w:eastAsia="Times New Roman" w:hAnsi="Times New Roman" w:cs="Times New Roman"/>
          <w:color w:val="000000"/>
          <w:sz w:val="24"/>
        </w:rPr>
        <w:lastRenderedPageBreak/>
        <w:t xml:space="preserve">burden (Chaturvedi et al., 2024). Incorporating </w:t>
      </w:r>
      <w:proofErr w:type="spellStart"/>
      <w:r>
        <w:rPr>
          <w:rFonts w:ascii="Times New Roman" w:eastAsia="Times New Roman" w:hAnsi="Times New Roman" w:cs="Times New Roman"/>
          <w:color w:val="000000"/>
          <w:sz w:val="24"/>
        </w:rPr>
        <w:t>agro</w:t>
      </w:r>
      <w:proofErr w:type="spellEnd"/>
      <w:r>
        <w:rPr>
          <w:rFonts w:ascii="Times New Roman" w:eastAsia="Times New Roman" w:hAnsi="Times New Roman" w:cs="Times New Roman"/>
          <w:color w:val="000000"/>
          <w:sz w:val="24"/>
        </w:rPr>
        <w:t>-ecological practices can further support this balance by utilizing traditional knowledge to diversify production, reduce labor-intensive dependencies, and strengthen local food sovereignty (</w:t>
      </w:r>
      <w:proofErr w:type="spellStart"/>
      <w:r>
        <w:rPr>
          <w:rFonts w:ascii="Times New Roman" w:eastAsia="Times New Roman" w:hAnsi="Times New Roman" w:cs="Times New Roman"/>
          <w:color w:val="000000"/>
          <w:sz w:val="24"/>
        </w:rPr>
        <w:t>Burgaz</w:t>
      </w:r>
      <w:proofErr w:type="spellEnd"/>
      <w:r>
        <w:rPr>
          <w:rFonts w:ascii="Times New Roman" w:eastAsia="Times New Roman" w:hAnsi="Times New Roman" w:cs="Times New Roman"/>
          <w:color w:val="000000"/>
          <w:sz w:val="24"/>
        </w:rPr>
        <w:t xml:space="preserve"> et al., 2023). Ultimately, shifting the focus from individual agency to systemic institutional reform, where food systems are structured to ensure voice and accountability, is crucial for long-term nutritional sustainability (</w:t>
      </w:r>
      <w:proofErr w:type="spellStart"/>
      <w:r>
        <w:rPr>
          <w:rFonts w:ascii="Times New Roman" w:eastAsia="Times New Roman" w:hAnsi="Times New Roman" w:cs="Times New Roman"/>
          <w:color w:val="000000"/>
          <w:sz w:val="24"/>
        </w:rPr>
        <w:t>Dzudzor</w:t>
      </w:r>
      <w:proofErr w:type="spellEnd"/>
      <w:r>
        <w:rPr>
          <w:rFonts w:ascii="Times New Roman" w:eastAsia="Times New Roman" w:hAnsi="Times New Roman" w:cs="Times New Roman"/>
          <w:color w:val="000000"/>
          <w:sz w:val="24"/>
        </w:rPr>
        <w:t xml:space="preserve"> et al., 2025). Achieving such transformation requires amplifying women's voices in the development of agricultural technologies and policy interventions, ensuring that solutions are tailored to their specific needs rather than perpetuating gender-blind approaches (Adam et al., 2024; </w:t>
      </w:r>
      <w:proofErr w:type="spellStart"/>
      <w:r>
        <w:rPr>
          <w:rFonts w:ascii="Times New Roman" w:eastAsia="Times New Roman" w:hAnsi="Times New Roman" w:cs="Times New Roman"/>
          <w:color w:val="000000"/>
          <w:sz w:val="24"/>
        </w:rPr>
        <w:t>Milovanova</w:t>
      </w:r>
      <w:proofErr w:type="spellEnd"/>
      <w:r>
        <w:rPr>
          <w:rFonts w:ascii="Times New Roman" w:eastAsia="Times New Roman" w:hAnsi="Times New Roman" w:cs="Times New Roman"/>
          <w:color w:val="000000"/>
          <w:sz w:val="24"/>
        </w:rPr>
        <w:t xml:space="preserve"> et al., 2024).</w:t>
      </w:r>
    </w:p>
    <w:p w14:paraId="368C9721" w14:textId="5140F8AB" w:rsidR="0061135C" w:rsidRPr="00DB4ADE" w:rsidRDefault="00A37B55" w:rsidP="00A37B55">
      <w:pPr>
        <w:pStyle w:val="Heading3"/>
        <w:pBdr>
          <w:top w:val="none" w:sz="4" w:space="0" w:color="000000"/>
          <w:left w:val="none" w:sz="4" w:space="0" w:color="000000"/>
          <w:bottom w:val="none" w:sz="4" w:space="0" w:color="000000"/>
          <w:right w:val="none" w:sz="4" w:space="0" w:color="000000"/>
        </w:pBdr>
        <w:spacing w:before="239" w:after="120" w:line="360" w:lineRule="auto"/>
        <w:rPr>
          <w:rFonts w:ascii="Times New Roman" w:hAnsi="Times New Roman" w:cs="Times New Roman"/>
          <w:sz w:val="24"/>
          <w:szCs w:val="24"/>
        </w:rPr>
      </w:pPr>
      <w:r w:rsidRPr="00DB4ADE">
        <w:rPr>
          <w:rFonts w:ascii="Times New Roman" w:eastAsia="Times New Roman" w:hAnsi="Times New Roman" w:cs="Times New Roman"/>
          <w:b/>
          <w:color w:val="000000"/>
          <w:sz w:val="24"/>
          <w:szCs w:val="24"/>
        </w:rPr>
        <w:t>Conclusion</w:t>
      </w:r>
    </w:p>
    <w:p w14:paraId="5C94C7D8" w14:textId="36BDD3C9"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 xml:space="preserve">This study concludes that socio-cultural factors are critical determinants of household dietary diversity in Masaba South Sub-County, Kenya. The findings demonstrate that household dietary patterns and nutrition outcomes are shaped not only by food availability and economic capacity but also by deeply rooted cultural beliefs, gender relations, and traditional social structures that influence food production, allocation, preparation, and consumption within </w:t>
      </w:r>
      <w:proofErr w:type="spellStart"/>
      <w:proofErr w:type="gramStart"/>
      <w:r>
        <w:rPr>
          <w:rFonts w:ascii="Times New Roman" w:eastAsia="Times New Roman" w:hAnsi="Times New Roman" w:cs="Times New Roman"/>
          <w:color w:val="000000"/>
          <w:sz w:val="24"/>
        </w:rPr>
        <w:t>households.The</w:t>
      </w:r>
      <w:proofErr w:type="spellEnd"/>
      <w:proofErr w:type="gramEnd"/>
      <w:r>
        <w:rPr>
          <w:rFonts w:ascii="Times New Roman" w:eastAsia="Times New Roman" w:hAnsi="Times New Roman" w:cs="Times New Roman"/>
          <w:color w:val="000000"/>
          <w:sz w:val="24"/>
        </w:rPr>
        <w:t xml:space="preserve"> study established that patriarchal norms and gender inequalities significantly influence household dietary diversity. Men's dominance over productive resources, land ownership, agricultural income, and household decision-making limits women's participation in decisions related to food production and dietary choices despite their central role in food preparation and family nutrition. Consequently, unequal power relations contribute to reduced dietary diversity and poorer nutritional outcomes among women and children, who are often disadvantaged in intra-household food allocation.</w:t>
      </w:r>
    </w:p>
    <w:p w14:paraId="1603AE4E" w14:textId="77777777" w:rsidR="00DB4ADE"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p>
    <w:p w14:paraId="3673A71D" w14:textId="037AD415" w:rsidR="0061135C" w:rsidRDefault="00DB4ADE"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Cultural beliefs, food taboos, and traditional eating practices negatively affect dietary diversity, particularly among vulnerable groups such as pregnant women and children. Cultural restrictions on the consumption of nutrient-rich foods, including eggs, fish, fruits, and vegetables, reduce access to essential nutrients and undermine household nutritional adequacy. In addition, traditional food preferences and resistance to modern nutrition practices limit dietary diversification and the adoption of balanced feeding practices.</w:t>
      </w:r>
      <w:r w:rsidR="00A37B5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Inferential analysis confirmed significant relationships between socio-cultural factors and dietary diversity outcomes. Male control over resources and </w:t>
      </w:r>
      <w:r>
        <w:rPr>
          <w:rFonts w:ascii="Times New Roman" w:eastAsia="Times New Roman" w:hAnsi="Times New Roman" w:cs="Times New Roman"/>
          <w:color w:val="000000"/>
          <w:sz w:val="24"/>
        </w:rPr>
        <w:lastRenderedPageBreak/>
        <w:t>unequal allocation of nutrient-rich foods were negatively associated with Household Dietary Diversity Scores (HDDS), while women's decision-making power positively influenced dietary diversity. These findings indicate that empowering women within households can improve food choices, dietary variety, and overall household nutrition.</w:t>
      </w:r>
    </w:p>
    <w:p w14:paraId="3B5DCC59" w14:textId="6148DD5A" w:rsidR="0061135C" w:rsidRDefault="00000000" w:rsidP="00DB4ADE">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hAnsi="Times New Roman" w:cs="Times New Roman"/>
        </w:rPr>
      </w:pPr>
      <w:r>
        <w:rPr>
          <w:rFonts w:ascii="Times New Roman" w:eastAsia="Times New Roman" w:hAnsi="Times New Roman" w:cs="Times New Roman"/>
          <w:color w:val="000000"/>
          <w:sz w:val="24"/>
        </w:rPr>
        <w:t>The</w:t>
      </w:r>
      <w:r w:rsidR="00DB4ADE">
        <w:rPr>
          <w:rFonts w:ascii="Times New Roman" w:eastAsia="Times New Roman" w:hAnsi="Times New Roman" w:cs="Times New Roman"/>
          <w:color w:val="000000"/>
          <w:sz w:val="24"/>
        </w:rPr>
        <w:t xml:space="preserve">refore, continued </w:t>
      </w:r>
      <w:r>
        <w:rPr>
          <w:rFonts w:ascii="Times New Roman" w:eastAsia="Times New Roman" w:hAnsi="Times New Roman" w:cs="Times New Roman"/>
          <w:color w:val="000000"/>
          <w:sz w:val="24"/>
        </w:rPr>
        <w:t>awareness o</w:t>
      </w:r>
      <w:r w:rsidR="00DB4ADE">
        <w:rPr>
          <w:rFonts w:ascii="Times New Roman" w:eastAsia="Times New Roman" w:hAnsi="Times New Roman" w:cs="Times New Roman"/>
          <w:color w:val="000000"/>
          <w:sz w:val="24"/>
        </w:rPr>
        <w:t>n</w:t>
      </w:r>
      <w:r>
        <w:rPr>
          <w:rFonts w:ascii="Times New Roman" w:eastAsia="Times New Roman" w:hAnsi="Times New Roman" w:cs="Times New Roman"/>
          <w:color w:val="000000"/>
          <w:sz w:val="24"/>
        </w:rPr>
        <w:t xml:space="preserve"> the impact of cultural practices on nutrition can positively influence household dietary behavior. Households that demonstrated greater understanding of the relationship between culture and food security were more likely to adopt adaptive practices that support dietary diversity, suggesting that while certain socio-cultural practices constrain nutrition outcomes, culturally informed awareness and behavioral change can contribute positively to household dietary </w:t>
      </w:r>
      <w:r w:rsidR="00A37B55">
        <w:rPr>
          <w:rFonts w:ascii="Times New Roman" w:eastAsia="Times New Roman" w:hAnsi="Times New Roman" w:cs="Times New Roman"/>
          <w:color w:val="000000"/>
          <w:sz w:val="24"/>
        </w:rPr>
        <w:t>improvement. In</w:t>
      </w:r>
      <w:r w:rsidR="00DB4ADE">
        <w:rPr>
          <w:rFonts w:ascii="Times New Roman" w:eastAsia="Times New Roman" w:hAnsi="Times New Roman" w:cs="Times New Roman"/>
          <w:color w:val="000000"/>
          <w:sz w:val="24"/>
        </w:rPr>
        <w:t xml:space="preserve"> </w:t>
      </w:r>
      <w:proofErr w:type="gramStart"/>
      <w:r w:rsidR="00DB4ADE">
        <w:rPr>
          <w:rFonts w:ascii="Times New Roman" w:eastAsia="Times New Roman" w:hAnsi="Times New Roman" w:cs="Times New Roman"/>
          <w:color w:val="000000"/>
          <w:sz w:val="24"/>
        </w:rPr>
        <w:t xml:space="preserve">general, </w:t>
      </w:r>
      <w:r>
        <w:rPr>
          <w:rFonts w:ascii="Times New Roman" w:eastAsia="Times New Roman" w:hAnsi="Times New Roman" w:cs="Times New Roman"/>
          <w:color w:val="000000"/>
          <w:sz w:val="24"/>
        </w:rPr>
        <w:t xml:space="preserve"> the</w:t>
      </w:r>
      <w:proofErr w:type="gramEnd"/>
      <w:r>
        <w:rPr>
          <w:rFonts w:ascii="Times New Roman" w:eastAsia="Times New Roman" w:hAnsi="Times New Roman" w:cs="Times New Roman"/>
          <w:color w:val="000000"/>
          <w:sz w:val="24"/>
        </w:rPr>
        <w:t xml:space="preserve"> study concludes that socio-cultural norms remain deeply embedded determinants of household dietary diversity in Masaba South Sub-County. Patriarchal systems, unequal resource control, food taboos, and gendered household roles continue to limit equitable access to diverse and nutritious foods. Therefore, improving household dietary diversity requires integrated interventions that address not only food production and economic access but also the socio-cultural and gender dynamics that shape household food practices. Gender-responsive policies, culturally sensitive nutrition education, women's empowerment initiatives, and community-based awareness programs are essential for promoting sustainable improvements in dietary diversity and household nutrition security in the study area.</w:t>
      </w:r>
    </w:p>
    <w:p w14:paraId="187540B6" w14:textId="0E55F253" w:rsidR="0061135C" w:rsidRDefault="00000000">
      <w:pPr>
        <w:pBdr>
          <w:top w:val="none" w:sz="4" w:space="0" w:color="000000"/>
          <w:left w:val="none" w:sz="4" w:space="0" w:color="000000"/>
          <w:bottom w:val="none" w:sz="4" w:space="0" w:color="000000"/>
          <w:right w:val="none" w:sz="4" w:space="0" w:color="000000"/>
        </w:pBdr>
        <w:spacing w:before="120" w:after="120" w:line="360" w:lineRule="auto"/>
        <w:rPr>
          <w:rFonts w:ascii="Times New Roman" w:eastAsia="Times New Roman" w:hAnsi="Times New Roman" w:cs="Times New Roman"/>
          <w:b/>
          <w:bCs/>
          <w:color w:val="000000"/>
          <w:sz w:val="24"/>
        </w:rPr>
      </w:pPr>
      <w:r>
        <w:rPr>
          <w:rFonts w:ascii="Times New Roman" w:eastAsia="Times New Roman" w:hAnsi="Times New Roman" w:cs="Times New Roman"/>
          <w:color w:val="000000"/>
          <w:sz w:val="24"/>
        </w:rPr>
        <w:t xml:space="preserve"> </w:t>
      </w:r>
      <w:r w:rsidR="001E5B18" w:rsidRPr="00456CE4">
        <w:rPr>
          <w:rFonts w:ascii="Times New Roman" w:eastAsia="Times New Roman" w:hAnsi="Times New Roman" w:cs="Times New Roman"/>
          <w:b/>
          <w:bCs/>
          <w:color w:val="000000"/>
          <w:sz w:val="24"/>
        </w:rPr>
        <w:t xml:space="preserve">Recommendations </w:t>
      </w:r>
    </w:p>
    <w:p w14:paraId="29ECF38B" w14:textId="77777777" w:rsidR="00456CE4" w:rsidRPr="00456CE4" w:rsidRDefault="00456CE4" w:rsidP="00456CE4">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sidRPr="00456CE4">
        <w:rPr>
          <w:rFonts w:ascii="Times New Roman" w:eastAsia="Times New Roman" w:hAnsi="Times New Roman" w:cs="Times New Roman"/>
          <w:color w:val="000000"/>
          <w:sz w:val="24"/>
        </w:rPr>
        <w:t xml:space="preserve">Government agencies, NGOs, and community leaders should implement programs that enhance women's access to productive resources, income-generating opportunities, land ownership, and participation in household decision-making. Strengthening women's economic and social empowerment can improve household food choices, dietary diversity, and nutrition outcomes. </w:t>
      </w:r>
    </w:p>
    <w:p w14:paraId="0247F51D" w14:textId="77777777" w:rsidR="00456CE4" w:rsidRPr="00456CE4" w:rsidRDefault="00456CE4" w:rsidP="00456CE4">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sidRPr="00456CE4">
        <w:rPr>
          <w:rFonts w:ascii="Times New Roman" w:eastAsia="Times New Roman" w:hAnsi="Times New Roman" w:cs="Times New Roman"/>
          <w:color w:val="000000"/>
          <w:sz w:val="24"/>
        </w:rPr>
        <w:t xml:space="preserve">Community-based nutrition education programs should be developed to address harmful food taboos, cultural misconceptions, and traditional practices that restrict women's and children's consumption of nutrient-rich foods. These interventions should engage local leaders, elders, men, and women to promote positive behavioral change while respecting cultural values. </w:t>
      </w:r>
    </w:p>
    <w:p w14:paraId="1D93164E" w14:textId="77777777" w:rsidR="00456CE4" w:rsidRPr="00456CE4" w:rsidRDefault="00456CE4" w:rsidP="00456CE4">
      <w:pPr>
        <w:pBdr>
          <w:top w:val="none" w:sz="4" w:space="0" w:color="000000"/>
          <w:left w:val="none" w:sz="4" w:space="0" w:color="000000"/>
          <w:bottom w:val="none" w:sz="4" w:space="0" w:color="000000"/>
          <w:right w:val="none" w:sz="4" w:space="0" w:color="000000"/>
        </w:pBdr>
        <w:spacing w:before="120" w:after="120" w:line="360" w:lineRule="auto"/>
        <w:jc w:val="both"/>
        <w:rPr>
          <w:rFonts w:ascii="Times New Roman" w:eastAsia="Times New Roman" w:hAnsi="Times New Roman" w:cs="Times New Roman"/>
          <w:color w:val="000000"/>
          <w:sz w:val="24"/>
        </w:rPr>
      </w:pPr>
      <w:r w:rsidRPr="00456CE4">
        <w:rPr>
          <w:rFonts w:ascii="Times New Roman" w:eastAsia="Times New Roman" w:hAnsi="Times New Roman" w:cs="Times New Roman"/>
          <w:color w:val="000000"/>
          <w:sz w:val="24"/>
        </w:rPr>
        <w:t xml:space="preserve">County and national governments should integrate gender and socio-cultural considerations into food security and nutrition policies. Programs aimed at improving dietary diversity should address </w:t>
      </w:r>
      <w:r w:rsidRPr="00456CE4">
        <w:rPr>
          <w:rFonts w:ascii="Times New Roman" w:eastAsia="Times New Roman" w:hAnsi="Times New Roman" w:cs="Times New Roman"/>
          <w:color w:val="000000"/>
          <w:sz w:val="24"/>
        </w:rPr>
        <w:lastRenderedPageBreak/>
        <w:t xml:space="preserve">unequal resource control, intra-household food allocation, and gender disparities through targeted interventions that promote equitable access to diverse, nutritious foods for all household members. </w:t>
      </w:r>
    </w:p>
    <w:p w14:paraId="123E0623" w14:textId="77777777" w:rsidR="00456CE4" w:rsidRPr="00456CE4" w:rsidRDefault="00456CE4">
      <w:pPr>
        <w:pBdr>
          <w:top w:val="none" w:sz="4" w:space="0" w:color="000000"/>
          <w:left w:val="none" w:sz="4" w:space="0" w:color="000000"/>
          <w:bottom w:val="none" w:sz="4" w:space="0" w:color="000000"/>
          <w:right w:val="none" w:sz="4" w:space="0" w:color="000000"/>
        </w:pBdr>
        <w:spacing w:before="120" w:after="120" w:line="360" w:lineRule="auto"/>
        <w:rPr>
          <w:rFonts w:ascii="Times New Roman" w:hAnsi="Times New Roman" w:cs="Times New Roman"/>
          <w:b/>
          <w:bCs/>
        </w:rPr>
      </w:pPr>
    </w:p>
    <w:p w14:paraId="65403971" w14:textId="7C69D770" w:rsidR="0061135C" w:rsidRPr="00A21CD7" w:rsidRDefault="00A37B55" w:rsidP="00A37B55">
      <w:pPr>
        <w:pStyle w:val="Heading1"/>
        <w:pBdr>
          <w:top w:val="none" w:sz="4" w:space="0" w:color="000000"/>
          <w:left w:val="none" w:sz="4" w:space="0" w:color="000000"/>
          <w:bottom w:val="none" w:sz="4" w:space="0" w:color="000000"/>
          <w:right w:val="none" w:sz="4" w:space="0" w:color="000000"/>
        </w:pBdr>
        <w:spacing w:before="239" w:after="120" w:line="360" w:lineRule="auto"/>
        <w:rPr>
          <w:rFonts w:ascii="Times New Roman" w:hAnsi="Times New Roman" w:cs="Times New Roman"/>
          <w:sz w:val="24"/>
          <w:szCs w:val="24"/>
        </w:rPr>
      </w:pPr>
      <w:r w:rsidRPr="00A21CD7">
        <w:rPr>
          <w:rFonts w:ascii="Times New Roman" w:eastAsia="Times New Roman" w:hAnsi="Times New Roman" w:cs="Times New Roman"/>
          <w:b/>
          <w:color w:val="000000"/>
          <w:sz w:val="24"/>
          <w:szCs w:val="24"/>
        </w:rPr>
        <w:t>References</w:t>
      </w:r>
    </w:p>
    <w:p w14:paraId="6BE88E26"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Abuya, T., </w:t>
      </w:r>
      <w:proofErr w:type="spellStart"/>
      <w:r>
        <w:rPr>
          <w:rFonts w:ascii="Times New Roman" w:eastAsia="Times New Roman" w:hAnsi="Times New Roman" w:cs="Times New Roman"/>
          <w:color w:val="000000"/>
          <w:sz w:val="24"/>
        </w:rPr>
        <w:t>Okondo</w:t>
      </w:r>
      <w:proofErr w:type="spellEnd"/>
      <w:r>
        <w:rPr>
          <w:rFonts w:ascii="Times New Roman" w:eastAsia="Times New Roman" w:hAnsi="Times New Roman" w:cs="Times New Roman"/>
          <w:color w:val="000000"/>
          <w:sz w:val="24"/>
        </w:rPr>
        <w:t xml:space="preserve">, C., Ng'ang'a, W., &amp; Obare, F. (2024). "We don't eat what we want, we eat what get": Understanding household drivers of stunting and its implications for improving Kenya's human capital. </w:t>
      </w:r>
      <w:r>
        <w:rPr>
          <w:rFonts w:ascii="Times New Roman" w:eastAsia="Times New Roman" w:hAnsi="Times New Roman" w:cs="Times New Roman"/>
          <w:i/>
          <w:color w:val="000000"/>
          <w:sz w:val="24"/>
        </w:rPr>
        <w:t>Research Square (Research Square)</w:t>
      </w:r>
      <w:r>
        <w:rPr>
          <w:rFonts w:ascii="Times New Roman" w:eastAsia="Times New Roman" w:hAnsi="Times New Roman" w:cs="Times New Roman"/>
          <w:color w:val="000000"/>
          <w:sz w:val="24"/>
        </w:rPr>
        <w:t>. https://doi.org/10.21203/rs.3.rs-4093728/v1</w:t>
      </w:r>
    </w:p>
    <w:p w14:paraId="53A2296F" w14:textId="4DFECF39"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Adefila</w:t>
      </w:r>
      <w:proofErr w:type="spellEnd"/>
      <w:r>
        <w:rPr>
          <w:rFonts w:ascii="Times New Roman" w:eastAsia="Times New Roman" w:hAnsi="Times New Roman" w:cs="Times New Roman"/>
          <w:color w:val="000000"/>
          <w:sz w:val="24"/>
        </w:rPr>
        <w:t xml:space="preserve">, A. O., Ajayi, O. O., </w:t>
      </w:r>
      <w:proofErr w:type="spellStart"/>
      <w:r>
        <w:rPr>
          <w:rFonts w:ascii="Times New Roman" w:eastAsia="Times New Roman" w:hAnsi="Times New Roman" w:cs="Times New Roman"/>
          <w:color w:val="000000"/>
          <w:sz w:val="24"/>
        </w:rPr>
        <w:t>Toromade</w:t>
      </w:r>
      <w:proofErr w:type="spellEnd"/>
      <w:r>
        <w:rPr>
          <w:rFonts w:ascii="Times New Roman" w:eastAsia="Times New Roman" w:hAnsi="Times New Roman" w:cs="Times New Roman"/>
          <w:color w:val="000000"/>
          <w:sz w:val="24"/>
        </w:rPr>
        <w:t>, A. S., &amp; Sam-</w:t>
      </w:r>
      <w:proofErr w:type="spellStart"/>
      <w:r>
        <w:rPr>
          <w:rFonts w:ascii="Times New Roman" w:eastAsia="Times New Roman" w:hAnsi="Times New Roman" w:cs="Times New Roman"/>
          <w:color w:val="000000"/>
          <w:sz w:val="24"/>
        </w:rPr>
        <w:t>Bulya</w:t>
      </w:r>
      <w:proofErr w:type="spellEnd"/>
      <w:r>
        <w:rPr>
          <w:rFonts w:ascii="Times New Roman" w:eastAsia="Times New Roman" w:hAnsi="Times New Roman" w:cs="Times New Roman"/>
          <w:color w:val="000000"/>
          <w:sz w:val="24"/>
        </w:rPr>
        <w:t xml:space="preserve">, N. J. (2024). Bridging the Gap: A Sociological Review of Agricultural Development Strategies for Food Security and Nutrition [Review of </w:t>
      </w:r>
      <w:r>
        <w:rPr>
          <w:rFonts w:ascii="Times New Roman" w:eastAsia="Times New Roman" w:hAnsi="Times New Roman" w:cs="Times New Roman"/>
          <w:i/>
          <w:color w:val="000000"/>
          <w:sz w:val="24"/>
        </w:rPr>
        <w:t>Bridging the Gap: A Sociological Review of Agricultural Development Strategies for Food Security and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International Journal of Applied Research in Social Sciences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6</w:t>
      </w:r>
      <w:r>
        <w:rPr>
          <w:rFonts w:ascii="Times New Roman" w:eastAsia="Times New Roman" w:hAnsi="Times New Roman" w:cs="Times New Roman"/>
          <w:color w:val="000000"/>
          <w:sz w:val="24"/>
        </w:rPr>
        <w:t>(11), 2678–2696. Fair East Publishers. https://doi.org/10.51594/ijarss.v6i11.1695</w:t>
      </w:r>
    </w:p>
    <w:p w14:paraId="0F1C7B3E"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Alonso, E. B., &amp; Briones, A. Elena. (2015). The impact of culture, religion, and traditional knowledge on food and nutrition security in developing countries. </w:t>
      </w:r>
      <w:proofErr w:type="spellStart"/>
      <w:r>
        <w:rPr>
          <w:rFonts w:ascii="Times New Roman" w:eastAsia="Times New Roman" w:hAnsi="Times New Roman" w:cs="Times New Roman"/>
          <w:i/>
          <w:color w:val="000000"/>
          <w:sz w:val="24"/>
        </w:rPr>
        <w:t>AgEcon</w:t>
      </w:r>
      <w:proofErr w:type="spellEnd"/>
      <w:r>
        <w:rPr>
          <w:rFonts w:ascii="Times New Roman" w:eastAsia="Times New Roman" w:hAnsi="Times New Roman" w:cs="Times New Roman"/>
          <w:i/>
          <w:color w:val="000000"/>
          <w:sz w:val="24"/>
        </w:rPr>
        <w:t xml:space="preserve"> Search (University of Minnesota, USA)</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30</w:t>
      </w:r>
      <w:r>
        <w:rPr>
          <w:rFonts w:ascii="Times New Roman" w:eastAsia="Times New Roman" w:hAnsi="Times New Roman" w:cs="Times New Roman"/>
          <w:color w:val="000000"/>
          <w:sz w:val="24"/>
        </w:rPr>
        <w:t>, 1–81. https://doi.org/10.22004/ag.econ.285169</w:t>
      </w:r>
    </w:p>
    <w:p w14:paraId="52B0ACEC" w14:textId="712AAE83"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Amugsi</w:t>
      </w:r>
      <w:proofErr w:type="spellEnd"/>
      <w:r>
        <w:rPr>
          <w:rFonts w:ascii="Times New Roman" w:eastAsia="Times New Roman" w:hAnsi="Times New Roman" w:cs="Times New Roman"/>
          <w:color w:val="000000"/>
          <w:sz w:val="24"/>
        </w:rPr>
        <w:t xml:space="preserve">, D. A., </w:t>
      </w:r>
      <w:proofErr w:type="spellStart"/>
      <w:r>
        <w:rPr>
          <w:rFonts w:ascii="Times New Roman" w:eastAsia="Times New Roman" w:hAnsi="Times New Roman" w:cs="Times New Roman"/>
          <w:color w:val="000000"/>
          <w:sz w:val="24"/>
        </w:rPr>
        <w:t>Mittelmark</w:t>
      </w:r>
      <w:proofErr w:type="spellEnd"/>
      <w:r>
        <w:rPr>
          <w:rFonts w:ascii="Times New Roman" w:eastAsia="Times New Roman" w:hAnsi="Times New Roman" w:cs="Times New Roman"/>
          <w:color w:val="000000"/>
          <w:sz w:val="24"/>
        </w:rPr>
        <w:t xml:space="preserve">, M. B., &amp; Oduro, A. (2015). Association between Maternal and Child Dietary Diversity: An Analysis of the Ghana Demographic and Health Survey. </w:t>
      </w:r>
      <w:proofErr w:type="spellStart"/>
      <w:r>
        <w:rPr>
          <w:rFonts w:ascii="Times New Roman" w:eastAsia="Times New Roman" w:hAnsi="Times New Roman" w:cs="Times New Roman"/>
          <w:i/>
          <w:color w:val="000000"/>
          <w:sz w:val="24"/>
        </w:rPr>
        <w:t>PLoS</w:t>
      </w:r>
      <w:proofErr w:type="spellEnd"/>
      <w:r>
        <w:rPr>
          <w:rFonts w:ascii="Times New Roman" w:eastAsia="Times New Roman" w:hAnsi="Times New Roman" w:cs="Times New Roman"/>
          <w:i/>
          <w:color w:val="000000"/>
          <w:sz w:val="24"/>
        </w:rPr>
        <w:t xml:space="preserve"> ONE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10</w:t>
      </w:r>
      <w:r>
        <w:rPr>
          <w:rFonts w:ascii="Times New Roman" w:eastAsia="Times New Roman" w:hAnsi="Times New Roman" w:cs="Times New Roman"/>
          <w:color w:val="000000"/>
          <w:sz w:val="24"/>
        </w:rPr>
        <w:t>(8). https://doi.org/10.1371/journal.pone.0136748</w:t>
      </w:r>
    </w:p>
    <w:p w14:paraId="5EE6CACD"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Barak, F., </w:t>
      </w:r>
      <w:proofErr w:type="spellStart"/>
      <w:r>
        <w:rPr>
          <w:rFonts w:ascii="Times New Roman" w:eastAsia="Times New Roman" w:hAnsi="Times New Roman" w:cs="Times New Roman"/>
          <w:color w:val="000000"/>
          <w:sz w:val="24"/>
        </w:rPr>
        <w:t>Efitre</w:t>
      </w:r>
      <w:proofErr w:type="spellEnd"/>
      <w:r>
        <w:rPr>
          <w:rFonts w:ascii="Times New Roman" w:eastAsia="Times New Roman" w:hAnsi="Times New Roman" w:cs="Times New Roman"/>
          <w:color w:val="000000"/>
          <w:sz w:val="24"/>
        </w:rPr>
        <w:t xml:space="preserve">, J., Odong, R., &amp; Melgar‐Quiñonez, H. (2024). Intrahousehold empowerment patterns, gender power relations, and food security in Uganda. </w:t>
      </w:r>
      <w:r>
        <w:rPr>
          <w:rFonts w:ascii="Times New Roman" w:eastAsia="Times New Roman" w:hAnsi="Times New Roman" w:cs="Times New Roman"/>
          <w:i/>
          <w:color w:val="000000"/>
          <w:sz w:val="24"/>
        </w:rPr>
        <w:t>World Food Policy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10</w:t>
      </w:r>
      <w:r>
        <w:rPr>
          <w:rFonts w:ascii="Times New Roman" w:eastAsia="Times New Roman" w:hAnsi="Times New Roman" w:cs="Times New Roman"/>
          <w:color w:val="000000"/>
          <w:sz w:val="24"/>
        </w:rPr>
        <w:t>(1), 7–32. https://doi.org/10.1002/wfp2.12071</w:t>
      </w:r>
    </w:p>
    <w:p w14:paraId="56FEF7FB" w14:textId="7B12AD71"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Batame</w:t>
      </w:r>
      <w:proofErr w:type="spellEnd"/>
      <w:r>
        <w:rPr>
          <w:rFonts w:ascii="Times New Roman" w:eastAsia="Times New Roman" w:hAnsi="Times New Roman" w:cs="Times New Roman"/>
          <w:color w:val="000000"/>
          <w:sz w:val="24"/>
        </w:rPr>
        <w:t xml:space="preserve">, M. (2024). Unlocking gender dynamics in food and nutrition security in Ghana: assessing dietary diversity, food security, and crop diversification among cocoa household heads in the </w:t>
      </w:r>
      <w:proofErr w:type="spellStart"/>
      <w:r>
        <w:rPr>
          <w:rFonts w:ascii="Times New Roman" w:eastAsia="Times New Roman" w:hAnsi="Times New Roman" w:cs="Times New Roman"/>
          <w:color w:val="000000"/>
          <w:sz w:val="24"/>
        </w:rPr>
        <w:t>Juaboso</w:t>
      </w:r>
      <w:proofErr w:type="spellEnd"/>
      <w:r>
        <w:rPr>
          <w:rFonts w:ascii="Times New Roman" w:eastAsia="Times New Roman" w:hAnsi="Times New Roman" w:cs="Times New Roman"/>
          <w:color w:val="000000"/>
          <w:sz w:val="24"/>
        </w:rPr>
        <w:t xml:space="preserve">-Bia cocoa landscape. </w:t>
      </w:r>
      <w:r>
        <w:rPr>
          <w:rFonts w:ascii="Times New Roman" w:eastAsia="Times New Roman" w:hAnsi="Times New Roman" w:cs="Times New Roman"/>
          <w:i/>
          <w:color w:val="000000"/>
          <w:sz w:val="24"/>
        </w:rPr>
        <w:t>BMC Public Health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24</w:t>
      </w:r>
      <w:r>
        <w:rPr>
          <w:rFonts w:ascii="Times New Roman" w:eastAsia="Times New Roman" w:hAnsi="Times New Roman" w:cs="Times New Roman"/>
          <w:color w:val="000000"/>
          <w:sz w:val="24"/>
        </w:rPr>
        <w:t>(1). https://doi.org/10.1186/s12889-024-18204-7</w:t>
      </w:r>
    </w:p>
    <w:p w14:paraId="0E7C4C67"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Brouwer, I. D., Liere, M. van, Brauw, A. de, Domínguez-Salas, P., Herforth, A., Kennedy, G., Lachat, C., </w:t>
      </w:r>
      <w:proofErr w:type="spellStart"/>
      <w:r>
        <w:rPr>
          <w:rFonts w:ascii="Times New Roman" w:eastAsia="Times New Roman" w:hAnsi="Times New Roman" w:cs="Times New Roman"/>
          <w:color w:val="000000"/>
          <w:sz w:val="24"/>
        </w:rPr>
        <w:t>Omosa</w:t>
      </w:r>
      <w:proofErr w:type="spellEnd"/>
      <w:r>
        <w:rPr>
          <w:rFonts w:ascii="Times New Roman" w:eastAsia="Times New Roman" w:hAnsi="Times New Roman" w:cs="Times New Roman"/>
          <w:color w:val="000000"/>
          <w:sz w:val="24"/>
        </w:rPr>
        <w:t xml:space="preserve">, E., Talsma, E. F., </w:t>
      </w:r>
      <w:proofErr w:type="spellStart"/>
      <w:r>
        <w:rPr>
          <w:rFonts w:ascii="Times New Roman" w:eastAsia="Times New Roman" w:hAnsi="Times New Roman" w:cs="Times New Roman"/>
          <w:color w:val="000000"/>
          <w:sz w:val="24"/>
        </w:rPr>
        <w:t>Vandevijvere</w:t>
      </w:r>
      <w:proofErr w:type="spellEnd"/>
      <w:r>
        <w:rPr>
          <w:rFonts w:ascii="Times New Roman" w:eastAsia="Times New Roman" w:hAnsi="Times New Roman" w:cs="Times New Roman"/>
          <w:color w:val="000000"/>
          <w:sz w:val="24"/>
        </w:rPr>
        <w:t xml:space="preserve">, S., Fanzo, J., &amp; Ruel, M. T. (2021). Reverse thinking: taking a healthy diet perspective towards food systems transformations.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13</w:t>
      </w:r>
      <w:r>
        <w:rPr>
          <w:rFonts w:ascii="Times New Roman" w:eastAsia="Times New Roman" w:hAnsi="Times New Roman" w:cs="Times New Roman"/>
          <w:color w:val="000000"/>
          <w:sz w:val="24"/>
        </w:rPr>
        <w:t>(6), 1497–1523. https://doi.org/10.1007/s12571-021-01204-5</w:t>
      </w:r>
    </w:p>
    <w:p w14:paraId="518BB454" w14:textId="625DB39B"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lastRenderedPageBreak/>
        <w:t>Bukachi</w:t>
      </w:r>
      <w:proofErr w:type="spellEnd"/>
      <w:r>
        <w:rPr>
          <w:rFonts w:ascii="Times New Roman" w:eastAsia="Times New Roman" w:hAnsi="Times New Roman" w:cs="Times New Roman"/>
          <w:color w:val="000000"/>
          <w:sz w:val="24"/>
        </w:rPr>
        <w:t xml:space="preserve">, S. A., </w:t>
      </w:r>
      <w:proofErr w:type="spellStart"/>
      <w:r>
        <w:rPr>
          <w:rFonts w:ascii="Times New Roman" w:eastAsia="Times New Roman" w:hAnsi="Times New Roman" w:cs="Times New Roman"/>
          <w:color w:val="000000"/>
          <w:sz w:val="24"/>
        </w:rPr>
        <w:t>Ngutu</w:t>
      </w:r>
      <w:proofErr w:type="spellEnd"/>
      <w:r>
        <w:rPr>
          <w:rFonts w:ascii="Times New Roman" w:eastAsia="Times New Roman" w:hAnsi="Times New Roman" w:cs="Times New Roman"/>
          <w:color w:val="000000"/>
          <w:sz w:val="24"/>
        </w:rPr>
        <w:t xml:space="preserve">, M., </w:t>
      </w:r>
      <w:proofErr w:type="spellStart"/>
      <w:r>
        <w:rPr>
          <w:rFonts w:ascii="Times New Roman" w:eastAsia="Times New Roman" w:hAnsi="Times New Roman" w:cs="Times New Roman"/>
          <w:color w:val="000000"/>
          <w:sz w:val="24"/>
        </w:rPr>
        <w:t>Muthiru</w:t>
      </w:r>
      <w:proofErr w:type="spellEnd"/>
      <w:r>
        <w:rPr>
          <w:rFonts w:ascii="Times New Roman" w:eastAsia="Times New Roman" w:hAnsi="Times New Roman" w:cs="Times New Roman"/>
          <w:color w:val="000000"/>
          <w:sz w:val="24"/>
        </w:rPr>
        <w:t xml:space="preserve">, A. W., </w:t>
      </w:r>
      <w:proofErr w:type="spellStart"/>
      <w:r>
        <w:rPr>
          <w:rFonts w:ascii="Times New Roman" w:eastAsia="Times New Roman" w:hAnsi="Times New Roman" w:cs="Times New Roman"/>
          <w:color w:val="000000"/>
          <w:sz w:val="24"/>
        </w:rPr>
        <w:t>Lépine</w:t>
      </w:r>
      <w:proofErr w:type="spellEnd"/>
      <w:r>
        <w:rPr>
          <w:rFonts w:ascii="Times New Roman" w:eastAsia="Times New Roman" w:hAnsi="Times New Roman" w:cs="Times New Roman"/>
          <w:color w:val="000000"/>
          <w:sz w:val="24"/>
        </w:rPr>
        <w:t xml:space="preserve">, A., Kadiyala, S., &amp; Domínguez-Salas, P. (2022). Gender and sociocultural factors in access to and consumption of animal source foods (ASFs) in lower-income households in urban informal settings of Nairobi, Kenya. </w:t>
      </w:r>
      <w:r>
        <w:rPr>
          <w:rFonts w:ascii="Times New Roman" w:eastAsia="Times New Roman" w:hAnsi="Times New Roman" w:cs="Times New Roman"/>
          <w:i/>
          <w:color w:val="000000"/>
          <w:sz w:val="24"/>
        </w:rPr>
        <w:t>Journal of Health Population and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41</w:t>
      </w:r>
      <w:r>
        <w:rPr>
          <w:rFonts w:ascii="Times New Roman" w:eastAsia="Times New Roman" w:hAnsi="Times New Roman" w:cs="Times New Roman"/>
          <w:color w:val="000000"/>
          <w:sz w:val="24"/>
        </w:rPr>
        <w:t>(1). https://doi.org/10.1186/s41043-022-00307-9</w:t>
      </w:r>
    </w:p>
    <w:p w14:paraId="7791DB18"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Chaturvedi, S., Swaminathan, S., Makkar, S., John, A. T., &amp; Thomas, T. (2024). Assessing the association of household diet diversity with mothers' time-use on productive and reproductive activities - A case for gender sensitive social safety nets. </w:t>
      </w:r>
      <w:r>
        <w:rPr>
          <w:rFonts w:ascii="Times New Roman" w:eastAsia="Times New Roman" w:hAnsi="Times New Roman" w:cs="Times New Roman"/>
          <w:i/>
          <w:color w:val="000000"/>
          <w:sz w:val="24"/>
        </w:rPr>
        <w:t>Public Health Nutrition</w:t>
      </w:r>
      <w:r>
        <w:rPr>
          <w:rFonts w:ascii="Times New Roman" w:eastAsia="Times New Roman" w:hAnsi="Times New Roman" w:cs="Times New Roman"/>
          <w:color w:val="000000"/>
          <w:sz w:val="24"/>
        </w:rPr>
        <w:t>, 1–22. https://doi.org/10.1017/s1368980023002963</w:t>
      </w:r>
    </w:p>
    <w:p w14:paraId="318F2D18" w14:textId="4AD250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Chea</w:t>
      </w:r>
      <w:proofErr w:type="spellEnd"/>
      <w:r>
        <w:rPr>
          <w:rFonts w:ascii="Times New Roman" w:eastAsia="Times New Roman" w:hAnsi="Times New Roman" w:cs="Times New Roman"/>
          <w:color w:val="000000"/>
          <w:sz w:val="24"/>
        </w:rPr>
        <w:t xml:space="preserve">, N., Groen, P., Mengesha, M. H., </w:t>
      </w:r>
      <w:proofErr w:type="spellStart"/>
      <w:r>
        <w:rPr>
          <w:rFonts w:ascii="Times New Roman" w:eastAsia="Times New Roman" w:hAnsi="Times New Roman" w:cs="Times New Roman"/>
          <w:color w:val="000000"/>
          <w:sz w:val="24"/>
        </w:rPr>
        <w:t>Astatkie</w:t>
      </w:r>
      <w:proofErr w:type="spellEnd"/>
      <w:r>
        <w:rPr>
          <w:rFonts w:ascii="Times New Roman" w:eastAsia="Times New Roman" w:hAnsi="Times New Roman" w:cs="Times New Roman"/>
          <w:color w:val="000000"/>
          <w:sz w:val="24"/>
        </w:rPr>
        <w:t xml:space="preserve">, A., &amp; </w:t>
      </w:r>
      <w:proofErr w:type="spellStart"/>
      <w:r>
        <w:rPr>
          <w:rFonts w:ascii="Times New Roman" w:eastAsia="Times New Roman" w:hAnsi="Times New Roman" w:cs="Times New Roman"/>
          <w:color w:val="000000"/>
          <w:sz w:val="24"/>
        </w:rPr>
        <w:t>Spigt</w:t>
      </w:r>
      <w:proofErr w:type="spellEnd"/>
      <w:r>
        <w:rPr>
          <w:rFonts w:ascii="Times New Roman" w:eastAsia="Times New Roman" w:hAnsi="Times New Roman" w:cs="Times New Roman"/>
          <w:color w:val="000000"/>
          <w:sz w:val="24"/>
        </w:rPr>
        <w:t xml:space="preserve">, M. (2023). Understanding Undernutrition among Pregnant Women in Rural Ethiopia: A Qualitative Study Using a Human-Centered Design Approach. </w:t>
      </w:r>
      <w:r>
        <w:rPr>
          <w:rFonts w:ascii="Times New Roman" w:eastAsia="Times New Roman" w:hAnsi="Times New Roman" w:cs="Times New Roman"/>
          <w:i/>
          <w:color w:val="000000"/>
          <w:sz w:val="24"/>
        </w:rPr>
        <w:t>Research Square (Research Square)</w:t>
      </w:r>
      <w:r>
        <w:rPr>
          <w:rFonts w:ascii="Times New Roman" w:eastAsia="Times New Roman" w:hAnsi="Times New Roman" w:cs="Times New Roman"/>
          <w:color w:val="000000"/>
          <w:sz w:val="24"/>
        </w:rPr>
        <w:t>. https://doi.org/10.21203/rs.3.rs-3301036/v1</w:t>
      </w:r>
    </w:p>
    <w:p w14:paraId="5CC1B17B"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Das, A., Kavitha, K., &amp; Kumar, S. (2023). Gender-inclusive food systems for sustainable, healthy diets in low- and middle-income countries. </w:t>
      </w:r>
      <w:r>
        <w:rPr>
          <w:rFonts w:ascii="Times New Roman" w:eastAsia="Times New Roman" w:hAnsi="Times New Roman" w:cs="Times New Roman"/>
          <w:i/>
          <w:color w:val="000000"/>
          <w:sz w:val="24"/>
        </w:rPr>
        <w:t>Agroecology and Sustainable Food Systems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47</w:t>
      </w:r>
      <w:r>
        <w:rPr>
          <w:rFonts w:ascii="Times New Roman" w:eastAsia="Times New Roman" w:hAnsi="Times New Roman" w:cs="Times New Roman"/>
          <w:color w:val="000000"/>
          <w:sz w:val="24"/>
        </w:rPr>
        <w:t>(7), 1052–1074. https://doi.org/10.1080/21683565.2023.2215192</w:t>
      </w:r>
    </w:p>
    <w:p w14:paraId="0DC2ABA1"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Das, S., &amp; Mishra, A. J. (2021). Dietary practices and gender dynamics: understanding women's roles. </w:t>
      </w:r>
      <w:r>
        <w:rPr>
          <w:rFonts w:ascii="Times New Roman" w:eastAsia="Times New Roman" w:hAnsi="Times New Roman" w:cs="Times New Roman"/>
          <w:i/>
          <w:color w:val="000000"/>
          <w:sz w:val="24"/>
        </w:rPr>
        <w:t>Journal of Ethnic Foods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8</w:t>
      </w:r>
      <w:r>
        <w:rPr>
          <w:rFonts w:ascii="Times New Roman" w:eastAsia="Times New Roman" w:hAnsi="Times New Roman" w:cs="Times New Roman"/>
          <w:color w:val="000000"/>
          <w:sz w:val="24"/>
        </w:rPr>
        <w:t>(1). https://doi.org/10.1186/s42779-021-00081-9</w:t>
      </w:r>
    </w:p>
    <w:p w14:paraId="003F013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Domínguez-Salas, P., Kauffmann, D., Breyne, C., &amp; Alarcón, P. (2019). Leveraging human nutrition through livestock interventions: perceptions, knowledge, barriers, and opportunities in the Sahel.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11</w:t>
      </w:r>
      <w:r>
        <w:rPr>
          <w:rFonts w:ascii="Times New Roman" w:eastAsia="Times New Roman" w:hAnsi="Times New Roman" w:cs="Times New Roman"/>
          <w:color w:val="000000"/>
          <w:sz w:val="24"/>
        </w:rPr>
        <w:t>(4), 777–796. https://doi.org/10.1007/s12571-019-00957-4</w:t>
      </w:r>
    </w:p>
    <w:p w14:paraId="0C1DE6D5"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Drammeh, W., Hamid, N. A., &amp; Rohana, A. J. (2019). Determinants of Household Food Insecurity and Its Association with Child Malnutrition in Sub-Saharan Africa: A Review of the Literature [Review of </w:t>
      </w:r>
      <w:r>
        <w:rPr>
          <w:rFonts w:ascii="Times New Roman" w:eastAsia="Times New Roman" w:hAnsi="Times New Roman" w:cs="Times New Roman"/>
          <w:i/>
          <w:color w:val="000000"/>
          <w:sz w:val="24"/>
        </w:rPr>
        <w:t>Determinants of Household Food Insecurity and Its Association with Child Malnutrition in Sub-Saharan Africa: A Review of the Literature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Current Research in Nutrition and Food Science Journal</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7</w:t>
      </w:r>
      <w:r>
        <w:rPr>
          <w:rFonts w:ascii="Times New Roman" w:eastAsia="Times New Roman" w:hAnsi="Times New Roman" w:cs="Times New Roman"/>
          <w:color w:val="000000"/>
          <w:sz w:val="24"/>
        </w:rPr>
        <w:t>(3), 610–623. https://doi.org/10.12944/crnfsj.7.3.02</w:t>
      </w:r>
    </w:p>
    <w:p w14:paraId="722D4308"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Faye, S. L., &amp; Sow, G. H. C. (2025). Reclaiming voices, rethinking change: a decolonial and knowledge-ecological analysis of SBCC nutrition interventions in Senegal. </w:t>
      </w:r>
      <w:r>
        <w:rPr>
          <w:rFonts w:ascii="Times New Roman" w:eastAsia="Times New Roman" w:hAnsi="Times New Roman" w:cs="Times New Roman"/>
          <w:i/>
          <w:color w:val="000000"/>
          <w:sz w:val="24"/>
        </w:rPr>
        <w:t>Frontiers in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12</w:t>
      </w:r>
      <w:r>
        <w:rPr>
          <w:rFonts w:ascii="Times New Roman" w:eastAsia="Times New Roman" w:hAnsi="Times New Roman" w:cs="Times New Roman"/>
          <w:color w:val="000000"/>
          <w:sz w:val="24"/>
        </w:rPr>
        <w:t>. https://doi.org/10.3389/fnut.2025.1609237</w:t>
      </w:r>
    </w:p>
    <w:p w14:paraId="4D718754" w14:textId="35DBD8AC"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Frumence</w:t>
      </w:r>
      <w:proofErr w:type="spellEnd"/>
      <w:r>
        <w:rPr>
          <w:rFonts w:ascii="Times New Roman" w:eastAsia="Times New Roman" w:hAnsi="Times New Roman" w:cs="Times New Roman"/>
          <w:color w:val="000000"/>
          <w:sz w:val="24"/>
        </w:rPr>
        <w:t xml:space="preserve">, G., </w:t>
      </w:r>
      <w:proofErr w:type="spellStart"/>
      <w:r>
        <w:rPr>
          <w:rFonts w:ascii="Times New Roman" w:eastAsia="Times New Roman" w:hAnsi="Times New Roman" w:cs="Times New Roman"/>
          <w:color w:val="000000"/>
          <w:sz w:val="24"/>
        </w:rPr>
        <w:t>Jin</w:t>
      </w:r>
      <w:proofErr w:type="spellEnd"/>
      <w:r>
        <w:rPr>
          <w:rFonts w:ascii="Times New Roman" w:eastAsia="Times New Roman" w:hAnsi="Times New Roman" w:cs="Times New Roman"/>
          <w:color w:val="000000"/>
          <w:sz w:val="24"/>
        </w:rPr>
        <w:t xml:space="preserve">, Y., </w:t>
      </w:r>
      <w:proofErr w:type="spellStart"/>
      <w:r>
        <w:rPr>
          <w:rFonts w:ascii="Times New Roman" w:eastAsia="Times New Roman" w:hAnsi="Times New Roman" w:cs="Times New Roman"/>
          <w:color w:val="000000"/>
          <w:sz w:val="24"/>
        </w:rPr>
        <w:t>Kasangala</w:t>
      </w:r>
      <w:proofErr w:type="spellEnd"/>
      <w:r>
        <w:rPr>
          <w:rFonts w:ascii="Times New Roman" w:eastAsia="Times New Roman" w:hAnsi="Times New Roman" w:cs="Times New Roman"/>
          <w:color w:val="000000"/>
          <w:sz w:val="24"/>
        </w:rPr>
        <w:t xml:space="preserve">, A., </w:t>
      </w:r>
      <w:proofErr w:type="spellStart"/>
      <w:r>
        <w:rPr>
          <w:rFonts w:ascii="Times New Roman" w:eastAsia="Times New Roman" w:hAnsi="Times New Roman" w:cs="Times New Roman"/>
          <w:color w:val="000000"/>
          <w:sz w:val="24"/>
        </w:rPr>
        <w:t>Mang'enya</w:t>
      </w:r>
      <w:proofErr w:type="spellEnd"/>
      <w:r>
        <w:rPr>
          <w:rFonts w:ascii="Times New Roman" w:eastAsia="Times New Roman" w:hAnsi="Times New Roman" w:cs="Times New Roman"/>
          <w:color w:val="000000"/>
          <w:sz w:val="24"/>
        </w:rPr>
        <w:t xml:space="preserve">, M. A., Bakar, S. M., &amp; Ochieng, B. (2023). A Qualitative Exploration on Perceived Socio-Cultural Factors Contributing to Undernutrition </w:t>
      </w:r>
      <w:r>
        <w:rPr>
          <w:rFonts w:ascii="Times New Roman" w:eastAsia="Times New Roman" w:hAnsi="Times New Roman" w:cs="Times New Roman"/>
          <w:color w:val="000000"/>
          <w:sz w:val="24"/>
        </w:rPr>
        <w:lastRenderedPageBreak/>
        <w:t xml:space="preserve">Among Under-Fives in the Southern Highlands of Tanzania. </w:t>
      </w:r>
      <w:r>
        <w:rPr>
          <w:rFonts w:ascii="Times New Roman" w:eastAsia="Times New Roman" w:hAnsi="Times New Roman" w:cs="Times New Roman"/>
          <w:i/>
          <w:color w:val="000000"/>
          <w:sz w:val="24"/>
        </w:rPr>
        <w:t>International Journal of Public Health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68</w:t>
      </w:r>
      <w:r>
        <w:rPr>
          <w:rFonts w:ascii="Times New Roman" w:eastAsia="Times New Roman" w:hAnsi="Times New Roman" w:cs="Times New Roman"/>
          <w:color w:val="000000"/>
          <w:sz w:val="24"/>
        </w:rPr>
        <w:t>. https://doi.org/10.3389/ijph.2023.1605294</w:t>
      </w:r>
    </w:p>
    <w:p w14:paraId="17616EC5" w14:textId="7107C70A"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Gartaula</w:t>
      </w:r>
      <w:proofErr w:type="spellEnd"/>
      <w:r>
        <w:rPr>
          <w:rFonts w:ascii="Times New Roman" w:eastAsia="Times New Roman" w:hAnsi="Times New Roman" w:cs="Times New Roman"/>
          <w:color w:val="000000"/>
          <w:sz w:val="24"/>
        </w:rPr>
        <w:t xml:space="preserve">, H., Atreya, K., Kattel, K., &amp; </w:t>
      </w:r>
      <w:proofErr w:type="spellStart"/>
      <w:r>
        <w:rPr>
          <w:rFonts w:ascii="Times New Roman" w:eastAsia="Times New Roman" w:hAnsi="Times New Roman" w:cs="Times New Roman"/>
          <w:color w:val="000000"/>
          <w:sz w:val="24"/>
        </w:rPr>
        <w:t>Rahut</w:t>
      </w:r>
      <w:proofErr w:type="spellEnd"/>
      <w:r>
        <w:rPr>
          <w:rFonts w:ascii="Times New Roman" w:eastAsia="Times New Roman" w:hAnsi="Times New Roman" w:cs="Times New Roman"/>
          <w:color w:val="000000"/>
          <w:sz w:val="24"/>
        </w:rPr>
        <w:t xml:space="preserve">, D. B. (2024). Factors influencing household and women's dietary diversity in migrant households in central Nepal. </w:t>
      </w:r>
      <w:proofErr w:type="spellStart"/>
      <w:r>
        <w:rPr>
          <w:rFonts w:ascii="Times New Roman" w:eastAsia="Times New Roman" w:hAnsi="Times New Roman" w:cs="Times New Roman"/>
          <w:i/>
          <w:color w:val="000000"/>
          <w:sz w:val="24"/>
        </w:rPr>
        <w:t>PLoS</w:t>
      </w:r>
      <w:proofErr w:type="spellEnd"/>
      <w:r>
        <w:rPr>
          <w:rFonts w:ascii="Times New Roman" w:eastAsia="Times New Roman" w:hAnsi="Times New Roman" w:cs="Times New Roman"/>
          <w:i/>
          <w:color w:val="000000"/>
          <w:sz w:val="24"/>
        </w:rPr>
        <w:t xml:space="preserve"> ONE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19</w:t>
      </w:r>
      <w:r>
        <w:rPr>
          <w:rFonts w:ascii="Times New Roman" w:eastAsia="Times New Roman" w:hAnsi="Times New Roman" w:cs="Times New Roman"/>
          <w:color w:val="000000"/>
          <w:sz w:val="24"/>
        </w:rPr>
        <w:t>(4). https://doi.org/10.1371/journal.pone.0298022</w:t>
      </w:r>
    </w:p>
    <w:p w14:paraId="0FE33976"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Gebre, G. G., Isoda, H., </w:t>
      </w:r>
      <w:proofErr w:type="spellStart"/>
      <w:r>
        <w:rPr>
          <w:rFonts w:ascii="Times New Roman" w:eastAsia="Times New Roman" w:hAnsi="Times New Roman" w:cs="Times New Roman"/>
          <w:color w:val="000000"/>
          <w:sz w:val="24"/>
        </w:rPr>
        <w:t>Amekawa</w:t>
      </w:r>
      <w:proofErr w:type="spellEnd"/>
      <w:r>
        <w:rPr>
          <w:rFonts w:ascii="Times New Roman" w:eastAsia="Times New Roman" w:hAnsi="Times New Roman" w:cs="Times New Roman"/>
          <w:color w:val="000000"/>
          <w:sz w:val="24"/>
        </w:rPr>
        <w:t xml:space="preserve">, Y., </w:t>
      </w:r>
      <w:proofErr w:type="spellStart"/>
      <w:r>
        <w:rPr>
          <w:rFonts w:ascii="Times New Roman" w:eastAsia="Times New Roman" w:hAnsi="Times New Roman" w:cs="Times New Roman"/>
          <w:color w:val="000000"/>
          <w:sz w:val="24"/>
        </w:rPr>
        <w:t>Rahut</w:t>
      </w:r>
      <w:proofErr w:type="spellEnd"/>
      <w:r>
        <w:rPr>
          <w:rFonts w:ascii="Times New Roman" w:eastAsia="Times New Roman" w:hAnsi="Times New Roman" w:cs="Times New Roman"/>
          <w:color w:val="000000"/>
          <w:sz w:val="24"/>
        </w:rPr>
        <w:t xml:space="preserve">, D. B., Nomura, H., &amp; Watanabe, T. (2021). What Explains Gender Gaps in Household Food Security? Evidence from Maize Farm Households in Southern Ethiopia. </w:t>
      </w:r>
      <w:r>
        <w:rPr>
          <w:rFonts w:ascii="Times New Roman" w:eastAsia="Times New Roman" w:hAnsi="Times New Roman" w:cs="Times New Roman"/>
          <w:i/>
          <w:color w:val="000000"/>
          <w:sz w:val="24"/>
        </w:rPr>
        <w:t>Social Indicators Research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155</w:t>
      </w:r>
      <w:r>
        <w:rPr>
          <w:rFonts w:ascii="Times New Roman" w:eastAsia="Times New Roman" w:hAnsi="Times New Roman" w:cs="Times New Roman"/>
          <w:color w:val="000000"/>
          <w:sz w:val="24"/>
        </w:rPr>
        <w:t>(1), 281–314. https://doi.org/10.1007/s11205-020-02600-8</w:t>
      </w:r>
    </w:p>
    <w:p w14:paraId="1B2018B2"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Gender in Agriculture Sourcebook. (2008). In </w:t>
      </w:r>
      <w:r>
        <w:rPr>
          <w:rFonts w:ascii="Times New Roman" w:eastAsia="Times New Roman" w:hAnsi="Times New Roman" w:cs="Times New Roman"/>
          <w:i/>
          <w:color w:val="000000"/>
          <w:sz w:val="24"/>
        </w:rPr>
        <w:t>The World Bank eBooks</w:t>
      </w:r>
      <w:r>
        <w:rPr>
          <w:rFonts w:ascii="Times New Roman" w:eastAsia="Times New Roman" w:hAnsi="Times New Roman" w:cs="Times New Roman"/>
          <w:color w:val="000000"/>
          <w:sz w:val="24"/>
        </w:rPr>
        <w:t>. https://doi.org/10.1596/978-0-8213-7587-7</w:t>
      </w:r>
    </w:p>
    <w:p w14:paraId="39601A50" w14:textId="0B4311A6"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Gitagia</w:t>
      </w:r>
      <w:proofErr w:type="spellEnd"/>
      <w:r>
        <w:rPr>
          <w:rFonts w:ascii="Times New Roman" w:eastAsia="Times New Roman" w:hAnsi="Times New Roman" w:cs="Times New Roman"/>
          <w:color w:val="000000"/>
          <w:sz w:val="24"/>
        </w:rPr>
        <w:t xml:space="preserve">, M. W., </w:t>
      </w:r>
      <w:proofErr w:type="spellStart"/>
      <w:r>
        <w:rPr>
          <w:rFonts w:ascii="Times New Roman" w:eastAsia="Times New Roman" w:hAnsi="Times New Roman" w:cs="Times New Roman"/>
          <w:color w:val="000000"/>
          <w:sz w:val="24"/>
        </w:rPr>
        <w:t>Ramkat</w:t>
      </w:r>
      <w:proofErr w:type="spellEnd"/>
      <w:r>
        <w:rPr>
          <w:rFonts w:ascii="Times New Roman" w:eastAsia="Times New Roman" w:hAnsi="Times New Roman" w:cs="Times New Roman"/>
          <w:color w:val="000000"/>
          <w:sz w:val="24"/>
        </w:rPr>
        <w:t xml:space="preserve">, R. C., </w:t>
      </w:r>
      <w:proofErr w:type="spellStart"/>
      <w:r>
        <w:rPr>
          <w:rFonts w:ascii="Times New Roman" w:eastAsia="Times New Roman" w:hAnsi="Times New Roman" w:cs="Times New Roman"/>
          <w:color w:val="000000"/>
          <w:sz w:val="24"/>
        </w:rPr>
        <w:t>Mituki</w:t>
      </w:r>
      <w:proofErr w:type="spellEnd"/>
      <w:r>
        <w:rPr>
          <w:rFonts w:ascii="Times New Roman" w:eastAsia="Times New Roman" w:hAnsi="Times New Roman" w:cs="Times New Roman"/>
          <w:color w:val="000000"/>
          <w:sz w:val="24"/>
        </w:rPr>
        <w:t xml:space="preserve">, D. M., </w:t>
      </w:r>
      <w:proofErr w:type="spellStart"/>
      <w:r>
        <w:rPr>
          <w:rFonts w:ascii="Times New Roman" w:eastAsia="Times New Roman" w:hAnsi="Times New Roman" w:cs="Times New Roman"/>
          <w:color w:val="000000"/>
          <w:sz w:val="24"/>
        </w:rPr>
        <w:t>Termote</w:t>
      </w:r>
      <w:proofErr w:type="spellEnd"/>
      <w:r>
        <w:rPr>
          <w:rFonts w:ascii="Times New Roman" w:eastAsia="Times New Roman" w:hAnsi="Times New Roman" w:cs="Times New Roman"/>
          <w:color w:val="000000"/>
          <w:sz w:val="24"/>
        </w:rPr>
        <w:t xml:space="preserve">, C., Covic, N., &amp; Cheserek, M. J. (2019). Determinants of dietary diversity among women of reproductive age in two different </w:t>
      </w:r>
      <w:proofErr w:type="spellStart"/>
      <w:r>
        <w:rPr>
          <w:rFonts w:ascii="Times New Roman" w:eastAsia="Times New Roman" w:hAnsi="Times New Roman" w:cs="Times New Roman"/>
          <w:color w:val="000000"/>
          <w:sz w:val="24"/>
        </w:rPr>
        <w:t>agro</w:t>
      </w:r>
      <w:proofErr w:type="spellEnd"/>
      <w:r>
        <w:rPr>
          <w:rFonts w:ascii="Times New Roman" w:eastAsia="Times New Roman" w:hAnsi="Times New Roman" w:cs="Times New Roman"/>
          <w:color w:val="000000"/>
          <w:sz w:val="24"/>
        </w:rPr>
        <w:t xml:space="preserve">-ecological zones of Rongai Sub-County, Nakuru, Kenya. </w:t>
      </w:r>
      <w:r>
        <w:rPr>
          <w:rFonts w:ascii="Times New Roman" w:eastAsia="Times New Roman" w:hAnsi="Times New Roman" w:cs="Times New Roman"/>
          <w:i/>
          <w:color w:val="000000"/>
          <w:sz w:val="24"/>
        </w:rPr>
        <w:t>Food &amp; Nutrition Research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63</w:t>
      </w:r>
      <w:r>
        <w:rPr>
          <w:rFonts w:ascii="Times New Roman" w:eastAsia="Times New Roman" w:hAnsi="Times New Roman" w:cs="Times New Roman"/>
          <w:color w:val="000000"/>
          <w:sz w:val="24"/>
        </w:rPr>
        <w:t>. https://doi.org/10.29219/fnr.v63.1553</w:t>
      </w:r>
    </w:p>
    <w:p w14:paraId="36DE4B00"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Gupta, P. (2024). A Systematic Review on Women's Participation in Agricultural Work and Nutritional Outcomes [Review of </w:t>
      </w:r>
      <w:r>
        <w:rPr>
          <w:rFonts w:ascii="Times New Roman" w:eastAsia="Times New Roman" w:hAnsi="Times New Roman" w:cs="Times New Roman"/>
          <w:i/>
          <w:color w:val="000000"/>
          <w:sz w:val="24"/>
        </w:rPr>
        <w:t>A Systematic Review on Women's Participation in Agricultural Work and Nutritional Outcomes</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i/>
          <w:color w:val="000000"/>
          <w:sz w:val="24"/>
        </w:rPr>
        <w:t>RePEc</w:t>
      </w:r>
      <w:proofErr w:type="spellEnd"/>
      <w:r>
        <w:rPr>
          <w:rFonts w:ascii="Times New Roman" w:eastAsia="Times New Roman" w:hAnsi="Times New Roman" w:cs="Times New Roman"/>
          <w:i/>
          <w:color w:val="000000"/>
          <w:sz w:val="24"/>
        </w:rPr>
        <w:t>: Research Papers in Economics</w:t>
      </w:r>
      <w:r>
        <w:rPr>
          <w:rFonts w:ascii="Times New Roman" w:eastAsia="Times New Roman" w:hAnsi="Times New Roman" w:cs="Times New Roman"/>
          <w:color w:val="000000"/>
          <w:sz w:val="24"/>
        </w:rPr>
        <w:t>. Federal Reserve Bank of St. Louis. https://econpapers.repec.org/RePEc:pra:mprapa:124283</w:t>
      </w:r>
    </w:p>
    <w:p w14:paraId="08F013F9"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Huang, Y., Yang, Y., Nie, F., &amp; Jia, X. (2024). Intrahousehold empowerment gaps and dietary diversity in China. </w:t>
      </w:r>
      <w:r>
        <w:rPr>
          <w:rFonts w:ascii="Times New Roman" w:eastAsia="Times New Roman" w:hAnsi="Times New Roman" w:cs="Times New Roman"/>
          <w:i/>
          <w:color w:val="000000"/>
          <w:sz w:val="24"/>
        </w:rPr>
        <w:t>Frontiers in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11</w:t>
      </w:r>
      <w:r>
        <w:rPr>
          <w:rFonts w:ascii="Times New Roman" w:eastAsia="Times New Roman" w:hAnsi="Times New Roman" w:cs="Times New Roman"/>
          <w:color w:val="000000"/>
          <w:sz w:val="24"/>
        </w:rPr>
        <w:t>. https://doi.org/10.3389/fnut.2024.1365652</w:t>
      </w:r>
    </w:p>
    <w:p w14:paraId="7D3AEA2E"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Jabbour, J., Khalil, M., Ronzoni, A. R., Mabry, R., Al‐Jawaldeh, A., El‐Adawy, M., &amp; Sakr, H. (2023). Malnutrition and gender disparities in the Eastern Mediterranean Region: The need for action. </w:t>
      </w:r>
      <w:r>
        <w:rPr>
          <w:rFonts w:ascii="Times New Roman" w:eastAsia="Times New Roman" w:hAnsi="Times New Roman" w:cs="Times New Roman"/>
          <w:i/>
          <w:color w:val="000000"/>
          <w:sz w:val="24"/>
        </w:rPr>
        <w:t>Frontiers in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10</w:t>
      </w:r>
      <w:r>
        <w:rPr>
          <w:rFonts w:ascii="Times New Roman" w:eastAsia="Times New Roman" w:hAnsi="Times New Roman" w:cs="Times New Roman"/>
          <w:color w:val="000000"/>
          <w:sz w:val="24"/>
        </w:rPr>
        <w:t>. https://doi.org/10.3389/fnut.2023.1113662</w:t>
      </w:r>
    </w:p>
    <w:p w14:paraId="5836E5CA"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Kassie, M., Fisher, M., </w:t>
      </w:r>
      <w:proofErr w:type="spellStart"/>
      <w:r>
        <w:rPr>
          <w:rFonts w:ascii="Times New Roman" w:eastAsia="Times New Roman" w:hAnsi="Times New Roman" w:cs="Times New Roman"/>
          <w:color w:val="000000"/>
          <w:sz w:val="24"/>
        </w:rPr>
        <w:t>Muricho</w:t>
      </w:r>
      <w:proofErr w:type="spellEnd"/>
      <w:r>
        <w:rPr>
          <w:rFonts w:ascii="Times New Roman" w:eastAsia="Times New Roman" w:hAnsi="Times New Roman" w:cs="Times New Roman"/>
          <w:color w:val="000000"/>
          <w:sz w:val="24"/>
        </w:rPr>
        <w:t xml:space="preserve">, G., &amp; </w:t>
      </w:r>
      <w:proofErr w:type="spellStart"/>
      <w:r>
        <w:rPr>
          <w:rFonts w:ascii="Times New Roman" w:eastAsia="Times New Roman" w:hAnsi="Times New Roman" w:cs="Times New Roman"/>
          <w:color w:val="000000"/>
          <w:sz w:val="24"/>
        </w:rPr>
        <w:t>Diiro</w:t>
      </w:r>
      <w:proofErr w:type="spellEnd"/>
      <w:r>
        <w:rPr>
          <w:rFonts w:ascii="Times New Roman" w:eastAsia="Times New Roman" w:hAnsi="Times New Roman" w:cs="Times New Roman"/>
          <w:color w:val="000000"/>
          <w:sz w:val="24"/>
        </w:rPr>
        <w:t xml:space="preserve">, G. (2020). Women's empowerment boosts the gains in dietary diversity from agricultural technology adoption in rural Kenya. </w:t>
      </w:r>
      <w:r>
        <w:rPr>
          <w:rFonts w:ascii="Times New Roman" w:eastAsia="Times New Roman" w:hAnsi="Times New Roman" w:cs="Times New Roman"/>
          <w:i/>
          <w:color w:val="000000"/>
          <w:sz w:val="24"/>
        </w:rPr>
        <w:t>Food Policy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95</w:t>
      </w:r>
      <w:r>
        <w:rPr>
          <w:rFonts w:ascii="Times New Roman" w:eastAsia="Times New Roman" w:hAnsi="Times New Roman" w:cs="Times New Roman"/>
          <w:color w:val="000000"/>
          <w:sz w:val="24"/>
        </w:rPr>
        <w:t>, 101957–101957. https://doi.org/10.1016/j.foodpol.2020.101957</w:t>
      </w:r>
    </w:p>
    <w:p w14:paraId="4D1A529E" w14:textId="1762589D"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lastRenderedPageBreak/>
        <w:t>Kawarazuka</w:t>
      </w:r>
      <w:proofErr w:type="spellEnd"/>
      <w:r>
        <w:rPr>
          <w:rFonts w:ascii="Times New Roman" w:eastAsia="Times New Roman" w:hAnsi="Times New Roman" w:cs="Times New Roman"/>
          <w:color w:val="000000"/>
          <w:sz w:val="24"/>
        </w:rPr>
        <w:t xml:space="preserve">, N., Ibrahim, F., Rahaman, E. H. M. S., &amp; Prain, G. (2023). The roles of community nutrition scholars in changing mothers' child feeding, food preparation, and hygiene practices in southern Bangladesh. </w:t>
      </w:r>
      <w:r>
        <w:rPr>
          <w:rFonts w:ascii="Times New Roman" w:eastAsia="Times New Roman" w:hAnsi="Times New Roman" w:cs="Times New Roman"/>
          <w:i/>
          <w:color w:val="000000"/>
          <w:sz w:val="24"/>
        </w:rPr>
        <w:t>Frontiers in Public Health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11</w:t>
      </w:r>
      <w:r>
        <w:rPr>
          <w:rFonts w:ascii="Times New Roman" w:eastAsia="Times New Roman" w:hAnsi="Times New Roman" w:cs="Times New Roman"/>
          <w:color w:val="000000"/>
          <w:sz w:val="24"/>
        </w:rPr>
        <w:t>. https://doi.org/10.3389/fpubh.2023.1135214</w:t>
      </w:r>
    </w:p>
    <w:p w14:paraId="05E0683F"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Kemigisha, P. (2025). Navigating the gender dynamics of food and nutrition security in southwestern Uganda. </w:t>
      </w:r>
      <w:r>
        <w:rPr>
          <w:rFonts w:ascii="Times New Roman" w:eastAsia="Times New Roman" w:hAnsi="Times New Roman" w:cs="Times New Roman"/>
          <w:i/>
          <w:color w:val="000000"/>
          <w:sz w:val="24"/>
        </w:rPr>
        <w:t>Academia Nutrition and Dietetics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2</w:t>
      </w:r>
      <w:r>
        <w:rPr>
          <w:rFonts w:ascii="Times New Roman" w:eastAsia="Times New Roman" w:hAnsi="Times New Roman" w:cs="Times New Roman"/>
          <w:color w:val="000000"/>
          <w:sz w:val="24"/>
        </w:rPr>
        <w:t>(2). https://doi.org/10.20935/acadnutr7645</w:t>
      </w:r>
    </w:p>
    <w:p w14:paraId="0D0BDB22"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Kerr, R. B., </w:t>
      </w:r>
      <w:proofErr w:type="spellStart"/>
      <w:r>
        <w:rPr>
          <w:rFonts w:ascii="Times New Roman" w:eastAsia="Times New Roman" w:hAnsi="Times New Roman" w:cs="Times New Roman"/>
          <w:color w:val="000000"/>
          <w:sz w:val="24"/>
        </w:rPr>
        <w:t>Chilanga</w:t>
      </w:r>
      <w:proofErr w:type="spellEnd"/>
      <w:r>
        <w:rPr>
          <w:rFonts w:ascii="Times New Roman" w:eastAsia="Times New Roman" w:hAnsi="Times New Roman" w:cs="Times New Roman"/>
          <w:color w:val="000000"/>
          <w:sz w:val="24"/>
        </w:rPr>
        <w:t xml:space="preserve">, E., Nyantakyi‐Frimpong, H., </w:t>
      </w:r>
      <w:proofErr w:type="spellStart"/>
      <w:r>
        <w:rPr>
          <w:rFonts w:ascii="Times New Roman" w:eastAsia="Times New Roman" w:hAnsi="Times New Roman" w:cs="Times New Roman"/>
          <w:color w:val="000000"/>
          <w:sz w:val="24"/>
        </w:rPr>
        <w:t>Luginaah</w:t>
      </w:r>
      <w:proofErr w:type="spellEnd"/>
      <w:r>
        <w:rPr>
          <w:rFonts w:ascii="Times New Roman" w:eastAsia="Times New Roman" w:hAnsi="Times New Roman" w:cs="Times New Roman"/>
          <w:color w:val="000000"/>
          <w:sz w:val="24"/>
        </w:rPr>
        <w:t xml:space="preserve">, I., &amp; </w:t>
      </w:r>
      <w:proofErr w:type="spellStart"/>
      <w:r>
        <w:rPr>
          <w:rFonts w:ascii="Times New Roman" w:eastAsia="Times New Roman" w:hAnsi="Times New Roman" w:cs="Times New Roman"/>
          <w:color w:val="000000"/>
          <w:sz w:val="24"/>
        </w:rPr>
        <w:t>Lupafya</w:t>
      </w:r>
      <w:proofErr w:type="spellEnd"/>
      <w:r>
        <w:rPr>
          <w:rFonts w:ascii="Times New Roman" w:eastAsia="Times New Roman" w:hAnsi="Times New Roman" w:cs="Times New Roman"/>
          <w:color w:val="000000"/>
          <w:sz w:val="24"/>
        </w:rPr>
        <w:t xml:space="preserve">, E. (2016). Integrated agriculture programs to address malnutrition in northern Malawi. </w:t>
      </w:r>
      <w:r>
        <w:rPr>
          <w:rFonts w:ascii="Times New Roman" w:eastAsia="Times New Roman" w:hAnsi="Times New Roman" w:cs="Times New Roman"/>
          <w:i/>
          <w:color w:val="000000"/>
          <w:sz w:val="24"/>
        </w:rPr>
        <w:t>BMC Public Health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16</w:t>
      </w:r>
      <w:r>
        <w:rPr>
          <w:rFonts w:ascii="Times New Roman" w:eastAsia="Times New Roman" w:hAnsi="Times New Roman" w:cs="Times New Roman"/>
          <w:color w:val="000000"/>
          <w:sz w:val="24"/>
        </w:rPr>
        <w:t>(1). https://doi.org/10.1186/s12889-016-3840-0</w:t>
      </w:r>
    </w:p>
    <w:p w14:paraId="1AE25B34" w14:textId="77777777" w:rsidR="0061135C" w:rsidRPr="00A21CD7"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sidRPr="00A21CD7">
        <w:rPr>
          <w:rFonts w:ascii="Times New Roman" w:eastAsia="Times New Roman" w:hAnsi="Times New Roman" w:cs="Times New Roman"/>
          <w:color w:val="000000"/>
          <w:sz w:val="24"/>
        </w:rPr>
        <w:t xml:space="preserve">Ketut, S. S. N., Lalu, K. A., Lalu, J. U., </w:t>
      </w:r>
      <w:proofErr w:type="spellStart"/>
      <w:r w:rsidRPr="00A21CD7">
        <w:rPr>
          <w:rFonts w:ascii="Times New Roman" w:eastAsia="Times New Roman" w:hAnsi="Times New Roman" w:cs="Times New Roman"/>
          <w:color w:val="000000"/>
          <w:sz w:val="24"/>
        </w:rPr>
        <w:t>Zulfatedy</w:t>
      </w:r>
      <w:proofErr w:type="spellEnd"/>
      <w:r w:rsidRPr="00A21CD7">
        <w:rPr>
          <w:rFonts w:ascii="Times New Roman" w:eastAsia="Times New Roman" w:hAnsi="Times New Roman" w:cs="Times New Roman"/>
          <w:color w:val="000000"/>
          <w:sz w:val="24"/>
        </w:rPr>
        <w:t xml:space="preserve">, P., &amp; Ayunda, F. W. (2026). Nutrition Security, Dietary Habits and Food </w:t>
      </w:r>
      <w:proofErr w:type="gramStart"/>
      <w:r w:rsidRPr="00A21CD7">
        <w:rPr>
          <w:rFonts w:ascii="Times New Roman" w:eastAsia="Times New Roman" w:hAnsi="Times New Roman" w:cs="Times New Roman"/>
          <w:color w:val="000000"/>
          <w:sz w:val="24"/>
        </w:rPr>
        <w:t>Taboos :</w:t>
      </w:r>
      <w:proofErr w:type="gramEnd"/>
      <w:r w:rsidRPr="00A21CD7">
        <w:rPr>
          <w:rFonts w:ascii="Times New Roman" w:eastAsia="Times New Roman" w:hAnsi="Times New Roman" w:cs="Times New Roman"/>
          <w:color w:val="000000"/>
          <w:sz w:val="24"/>
        </w:rPr>
        <w:t xml:space="preserve"> Relationship with Household Food Choice and Nutrition in Lombok Island. </w:t>
      </w:r>
      <w:proofErr w:type="spellStart"/>
      <w:r w:rsidRPr="00A21CD7">
        <w:rPr>
          <w:rFonts w:ascii="Times New Roman" w:eastAsia="Times New Roman" w:hAnsi="Times New Roman" w:cs="Times New Roman"/>
          <w:i/>
          <w:color w:val="000000"/>
          <w:sz w:val="24"/>
        </w:rPr>
        <w:t>Nutrición</w:t>
      </w:r>
      <w:proofErr w:type="spellEnd"/>
      <w:r w:rsidRPr="00A21CD7">
        <w:rPr>
          <w:rFonts w:ascii="Times New Roman" w:eastAsia="Times New Roman" w:hAnsi="Times New Roman" w:cs="Times New Roman"/>
          <w:i/>
          <w:color w:val="000000"/>
          <w:sz w:val="24"/>
        </w:rPr>
        <w:t xml:space="preserve"> </w:t>
      </w:r>
      <w:proofErr w:type="spellStart"/>
      <w:r w:rsidRPr="00A21CD7">
        <w:rPr>
          <w:rFonts w:ascii="Times New Roman" w:eastAsia="Times New Roman" w:hAnsi="Times New Roman" w:cs="Times New Roman"/>
          <w:i/>
          <w:color w:val="000000"/>
          <w:sz w:val="24"/>
        </w:rPr>
        <w:t>Clínica</w:t>
      </w:r>
      <w:proofErr w:type="spellEnd"/>
      <w:r w:rsidRPr="00A21CD7">
        <w:rPr>
          <w:rFonts w:ascii="Times New Roman" w:eastAsia="Times New Roman" w:hAnsi="Times New Roman" w:cs="Times New Roman"/>
          <w:i/>
          <w:color w:val="000000"/>
          <w:sz w:val="24"/>
        </w:rPr>
        <w:t xml:space="preserve"> y </w:t>
      </w:r>
      <w:proofErr w:type="spellStart"/>
      <w:r w:rsidRPr="00A21CD7">
        <w:rPr>
          <w:rFonts w:ascii="Times New Roman" w:eastAsia="Times New Roman" w:hAnsi="Times New Roman" w:cs="Times New Roman"/>
          <w:i/>
          <w:color w:val="000000"/>
          <w:sz w:val="24"/>
        </w:rPr>
        <w:t>Dietética</w:t>
      </w:r>
      <w:proofErr w:type="spellEnd"/>
      <w:r w:rsidRPr="00A21CD7">
        <w:rPr>
          <w:rFonts w:ascii="Times New Roman" w:eastAsia="Times New Roman" w:hAnsi="Times New Roman" w:cs="Times New Roman"/>
          <w:i/>
          <w:color w:val="000000"/>
          <w:sz w:val="24"/>
        </w:rPr>
        <w:t xml:space="preserve"> </w:t>
      </w:r>
      <w:proofErr w:type="spellStart"/>
      <w:r w:rsidRPr="00A21CD7">
        <w:rPr>
          <w:rFonts w:ascii="Times New Roman" w:eastAsia="Times New Roman" w:hAnsi="Times New Roman" w:cs="Times New Roman"/>
          <w:i/>
          <w:color w:val="000000"/>
          <w:sz w:val="24"/>
        </w:rPr>
        <w:t>Hospitalaria</w:t>
      </w:r>
      <w:proofErr w:type="spellEnd"/>
      <w:r w:rsidRPr="00A21CD7">
        <w:rPr>
          <w:rFonts w:ascii="Times New Roman" w:eastAsia="Times New Roman" w:hAnsi="Times New Roman" w:cs="Times New Roman"/>
          <w:i/>
          <w:color w:val="000000"/>
          <w:sz w:val="24"/>
        </w:rPr>
        <w:t>/</w:t>
      </w:r>
      <w:proofErr w:type="spellStart"/>
      <w:r w:rsidRPr="00A21CD7">
        <w:rPr>
          <w:rFonts w:ascii="Times New Roman" w:eastAsia="Times New Roman" w:hAnsi="Times New Roman" w:cs="Times New Roman"/>
          <w:i/>
          <w:color w:val="000000"/>
          <w:sz w:val="24"/>
        </w:rPr>
        <w:t>Nutrición</w:t>
      </w:r>
      <w:proofErr w:type="spellEnd"/>
      <w:r w:rsidRPr="00A21CD7">
        <w:rPr>
          <w:rFonts w:ascii="Times New Roman" w:eastAsia="Times New Roman" w:hAnsi="Times New Roman" w:cs="Times New Roman"/>
          <w:i/>
          <w:color w:val="000000"/>
          <w:sz w:val="24"/>
        </w:rPr>
        <w:t xml:space="preserve"> </w:t>
      </w:r>
      <w:proofErr w:type="spellStart"/>
      <w:r w:rsidRPr="00A21CD7">
        <w:rPr>
          <w:rFonts w:ascii="Times New Roman" w:eastAsia="Times New Roman" w:hAnsi="Times New Roman" w:cs="Times New Roman"/>
          <w:i/>
          <w:color w:val="000000"/>
          <w:sz w:val="24"/>
        </w:rPr>
        <w:t>Clínica</w:t>
      </w:r>
      <w:proofErr w:type="spellEnd"/>
      <w:r w:rsidRPr="00A21CD7">
        <w:rPr>
          <w:rFonts w:ascii="Times New Roman" w:eastAsia="Times New Roman" w:hAnsi="Times New Roman" w:cs="Times New Roman"/>
          <w:i/>
          <w:color w:val="000000"/>
          <w:sz w:val="24"/>
        </w:rPr>
        <w:t xml:space="preserve">, </w:t>
      </w:r>
      <w:proofErr w:type="spellStart"/>
      <w:r w:rsidRPr="00A21CD7">
        <w:rPr>
          <w:rFonts w:ascii="Times New Roman" w:eastAsia="Times New Roman" w:hAnsi="Times New Roman" w:cs="Times New Roman"/>
          <w:i/>
          <w:color w:val="000000"/>
          <w:sz w:val="24"/>
        </w:rPr>
        <w:t>Dietética</w:t>
      </w:r>
      <w:proofErr w:type="spellEnd"/>
      <w:r w:rsidRPr="00A21CD7">
        <w:rPr>
          <w:rFonts w:ascii="Times New Roman" w:eastAsia="Times New Roman" w:hAnsi="Times New Roman" w:cs="Times New Roman"/>
          <w:i/>
          <w:color w:val="000000"/>
          <w:sz w:val="24"/>
        </w:rPr>
        <w:t xml:space="preserve"> </w:t>
      </w:r>
      <w:proofErr w:type="spellStart"/>
      <w:r w:rsidRPr="00A21CD7">
        <w:rPr>
          <w:rFonts w:ascii="Times New Roman" w:eastAsia="Times New Roman" w:hAnsi="Times New Roman" w:cs="Times New Roman"/>
          <w:i/>
          <w:color w:val="000000"/>
          <w:sz w:val="24"/>
        </w:rPr>
        <w:t>Hospitalaria</w:t>
      </w:r>
      <w:proofErr w:type="spellEnd"/>
      <w:r w:rsidRPr="00A21CD7">
        <w:rPr>
          <w:rFonts w:ascii="Times New Roman" w:eastAsia="Times New Roman" w:hAnsi="Times New Roman" w:cs="Times New Roman"/>
          <w:color w:val="000000"/>
          <w:sz w:val="24"/>
        </w:rPr>
        <w:t xml:space="preserve">, </w:t>
      </w:r>
      <w:r w:rsidRPr="00A21CD7">
        <w:rPr>
          <w:rFonts w:ascii="Times New Roman" w:eastAsia="Times New Roman" w:hAnsi="Times New Roman" w:cs="Times New Roman"/>
          <w:i/>
          <w:color w:val="000000"/>
          <w:sz w:val="24"/>
        </w:rPr>
        <w:t>46</w:t>
      </w:r>
      <w:r w:rsidRPr="00A21CD7">
        <w:rPr>
          <w:rFonts w:ascii="Times New Roman" w:eastAsia="Times New Roman" w:hAnsi="Times New Roman" w:cs="Times New Roman"/>
          <w:color w:val="000000"/>
          <w:sz w:val="24"/>
        </w:rPr>
        <w:t>(1). https://doi.org/10.12873/461dmade</w:t>
      </w:r>
    </w:p>
    <w:p w14:paraId="78D1A80A"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Malapit, H. (2021). How nutrition-sensitive agriculture programs can realize both nutrition and gender equality goals. </w:t>
      </w:r>
      <w:proofErr w:type="spellStart"/>
      <w:r>
        <w:rPr>
          <w:rFonts w:ascii="Times New Roman" w:eastAsia="Times New Roman" w:hAnsi="Times New Roman" w:cs="Times New Roman"/>
          <w:i/>
          <w:color w:val="000000"/>
          <w:sz w:val="24"/>
        </w:rPr>
        <w:t>CGSPace</w:t>
      </w:r>
      <w:proofErr w:type="spellEnd"/>
      <w:r>
        <w:rPr>
          <w:rFonts w:ascii="Times New Roman" w:eastAsia="Times New Roman" w:hAnsi="Times New Roman" w:cs="Times New Roman"/>
          <w:i/>
          <w:color w:val="000000"/>
          <w:sz w:val="24"/>
        </w:rPr>
        <w:t xml:space="preserve"> A Repository of Agricultural Research Outputs (Consultative Group for International Agricultural Research)</w:t>
      </w:r>
      <w:r>
        <w:rPr>
          <w:rFonts w:ascii="Times New Roman" w:eastAsia="Times New Roman" w:hAnsi="Times New Roman" w:cs="Times New Roman"/>
          <w:color w:val="000000"/>
          <w:sz w:val="24"/>
        </w:rPr>
        <w:t>. https://hdl.handle.net/10568/114805</w:t>
      </w:r>
    </w:p>
    <w:p w14:paraId="1E2872C8"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McNamara, K., &amp; Wood, E. (2019). Food taboos, health beliefs, and gender: understanding household food choice and nutrition in rural Tajikistan. </w:t>
      </w:r>
      <w:r>
        <w:rPr>
          <w:rFonts w:ascii="Times New Roman" w:eastAsia="Times New Roman" w:hAnsi="Times New Roman" w:cs="Times New Roman"/>
          <w:i/>
          <w:color w:val="000000"/>
          <w:sz w:val="24"/>
        </w:rPr>
        <w:t>Journal of Health Population and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38</w:t>
      </w:r>
      <w:r>
        <w:rPr>
          <w:rFonts w:ascii="Times New Roman" w:eastAsia="Times New Roman" w:hAnsi="Times New Roman" w:cs="Times New Roman"/>
          <w:color w:val="000000"/>
          <w:sz w:val="24"/>
        </w:rPr>
        <w:t>(1). https://doi.org/10.1186/s41043-019-0170-8</w:t>
      </w:r>
    </w:p>
    <w:p w14:paraId="10C832E8"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Mekonnen, D. A., Talsma, E. F., </w:t>
      </w:r>
      <w:proofErr w:type="spellStart"/>
      <w:r>
        <w:rPr>
          <w:rFonts w:ascii="Times New Roman" w:eastAsia="Times New Roman" w:hAnsi="Times New Roman" w:cs="Times New Roman"/>
          <w:color w:val="000000"/>
          <w:sz w:val="24"/>
        </w:rPr>
        <w:t>Trijsburg</w:t>
      </w:r>
      <w:proofErr w:type="spellEnd"/>
      <w:r>
        <w:rPr>
          <w:rFonts w:ascii="Times New Roman" w:eastAsia="Times New Roman" w:hAnsi="Times New Roman" w:cs="Times New Roman"/>
          <w:color w:val="000000"/>
          <w:sz w:val="24"/>
        </w:rPr>
        <w:t xml:space="preserve">, L., Linderhof, V., </w:t>
      </w:r>
      <w:proofErr w:type="spellStart"/>
      <w:r>
        <w:rPr>
          <w:rFonts w:ascii="Times New Roman" w:eastAsia="Times New Roman" w:hAnsi="Times New Roman" w:cs="Times New Roman"/>
          <w:color w:val="000000"/>
          <w:sz w:val="24"/>
        </w:rPr>
        <w:t>Achterbosch</w:t>
      </w:r>
      <w:proofErr w:type="spellEnd"/>
      <w:r>
        <w:rPr>
          <w:rFonts w:ascii="Times New Roman" w:eastAsia="Times New Roman" w:hAnsi="Times New Roman" w:cs="Times New Roman"/>
          <w:color w:val="000000"/>
          <w:sz w:val="24"/>
        </w:rPr>
        <w:t xml:space="preserve">, T. J., Nijhuis, A., Ruben, R., &amp; Brouwer, I. D. (2020). Can household dietary diversity inform about nutrient adequacy? Lessons from a food systems analysis in Ethiopia.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12</w:t>
      </w:r>
      <w:r>
        <w:rPr>
          <w:rFonts w:ascii="Times New Roman" w:eastAsia="Times New Roman" w:hAnsi="Times New Roman" w:cs="Times New Roman"/>
          <w:color w:val="000000"/>
          <w:sz w:val="24"/>
        </w:rPr>
        <w:t>(6), 1367–1383. https://doi.org/10.1007/s12571-020-01056-5</w:t>
      </w:r>
    </w:p>
    <w:p w14:paraId="6B55B65C" w14:textId="78A42B48"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Mikalitsa</w:t>
      </w:r>
      <w:proofErr w:type="spellEnd"/>
      <w:r>
        <w:rPr>
          <w:rFonts w:ascii="Times New Roman" w:eastAsia="Times New Roman" w:hAnsi="Times New Roman" w:cs="Times New Roman"/>
          <w:color w:val="000000"/>
          <w:sz w:val="24"/>
        </w:rPr>
        <w:t xml:space="preserve">, S. (2015). Intrahousehold allocation, household headship and nutrition of under-fives: a study of western Kenya. </w:t>
      </w:r>
      <w:r>
        <w:rPr>
          <w:rFonts w:ascii="Times New Roman" w:eastAsia="Times New Roman" w:hAnsi="Times New Roman" w:cs="Times New Roman"/>
          <w:i/>
          <w:color w:val="000000"/>
          <w:sz w:val="24"/>
        </w:rPr>
        <w:t>African Journal of Food Agriculture Nutrition and Development</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15</w:t>
      </w:r>
      <w:r>
        <w:rPr>
          <w:rFonts w:ascii="Times New Roman" w:eastAsia="Times New Roman" w:hAnsi="Times New Roman" w:cs="Times New Roman"/>
          <w:color w:val="000000"/>
          <w:sz w:val="24"/>
        </w:rPr>
        <w:t>(68), 9708–9721. https://doi.org/10.18697/ajfand.68.13585</w:t>
      </w:r>
    </w:p>
    <w:p w14:paraId="5241DD95"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MISHRA, N., &amp; </w:t>
      </w:r>
      <w:proofErr w:type="spellStart"/>
      <w:r>
        <w:rPr>
          <w:rFonts w:ascii="Times New Roman" w:eastAsia="Times New Roman" w:hAnsi="Times New Roman" w:cs="Times New Roman"/>
          <w:color w:val="000000"/>
          <w:sz w:val="24"/>
        </w:rPr>
        <w:t>Padhy</w:t>
      </w:r>
      <w:proofErr w:type="spellEnd"/>
      <w:r>
        <w:rPr>
          <w:rFonts w:ascii="Times New Roman" w:eastAsia="Times New Roman" w:hAnsi="Times New Roman" w:cs="Times New Roman"/>
          <w:color w:val="000000"/>
          <w:sz w:val="24"/>
        </w:rPr>
        <w:t xml:space="preserve">, C. (2025a). Gender Nutrition Nexus: Addressing Inequities through Agriculture, Education, and Inclusive Health Strategies. </w:t>
      </w:r>
      <w:proofErr w:type="spellStart"/>
      <w:r>
        <w:rPr>
          <w:rFonts w:ascii="Times New Roman" w:eastAsia="Times New Roman" w:hAnsi="Times New Roman" w:cs="Times New Roman"/>
          <w:i/>
          <w:color w:val="000000"/>
          <w:sz w:val="24"/>
        </w:rPr>
        <w:t>Zenodo</w:t>
      </w:r>
      <w:proofErr w:type="spellEnd"/>
      <w:r>
        <w:rPr>
          <w:rFonts w:ascii="Times New Roman" w:eastAsia="Times New Roman" w:hAnsi="Times New Roman" w:cs="Times New Roman"/>
          <w:i/>
          <w:color w:val="000000"/>
          <w:sz w:val="24"/>
        </w:rPr>
        <w:t xml:space="preserve"> (CERN European Organization for Nuclear Research)</w:t>
      </w:r>
      <w:r>
        <w:rPr>
          <w:rFonts w:ascii="Times New Roman" w:eastAsia="Times New Roman" w:hAnsi="Times New Roman" w:cs="Times New Roman"/>
          <w:color w:val="000000"/>
          <w:sz w:val="24"/>
        </w:rPr>
        <w:t>. https://doi.org/10.5281/zenodo.18000477</w:t>
      </w:r>
    </w:p>
    <w:p w14:paraId="43DE883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lastRenderedPageBreak/>
        <w:t xml:space="preserve">MISHRA, N., &amp; </w:t>
      </w:r>
      <w:proofErr w:type="spellStart"/>
      <w:r>
        <w:rPr>
          <w:rFonts w:ascii="Times New Roman" w:eastAsia="Times New Roman" w:hAnsi="Times New Roman" w:cs="Times New Roman"/>
          <w:color w:val="000000"/>
          <w:sz w:val="24"/>
        </w:rPr>
        <w:t>Padhy</w:t>
      </w:r>
      <w:proofErr w:type="spellEnd"/>
      <w:r>
        <w:rPr>
          <w:rFonts w:ascii="Times New Roman" w:eastAsia="Times New Roman" w:hAnsi="Times New Roman" w:cs="Times New Roman"/>
          <w:color w:val="000000"/>
          <w:sz w:val="24"/>
        </w:rPr>
        <w:t xml:space="preserve">, C. (2025b). Gender Nutrition Nexus: Addressing Inequities through Agriculture, Education, and Inclusive Health Strategies. </w:t>
      </w:r>
      <w:proofErr w:type="spellStart"/>
      <w:r>
        <w:rPr>
          <w:rFonts w:ascii="Times New Roman" w:eastAsia="Times New Roman" w:hAnsi="Times New Roman" w:cs="Times New Roman"/>
          <w:i/>
          <w:color w:val="000000"/>
          <w:sz w:val="24"/>
        </w:rPr>
        <w:t>Zenodo</w:t>
      </w:r>
      <w:proofErr w:type="spellEnd"/>
      <w:r>
        <w:rPr>
          <w:rFonts w:ascii="Times New Roman" w:eastAsia="Times New Roman" w:hAnsi="Times New Roman" w:cs="Times New Roman"/>
          <w:i/>
          <w:color w:val="000000"/>
          <w:sz w:val="24"/>
        </w:rPr>
        <w:t xml:space="preserve"> (CERN European Organization for Nuclear Research)</w:t>
      </w:r>
      <w:r>
        <w:rPr>
          <w:rFonts w:ascii="Times New Roman" w:eastAsia="Times New Roman" w:hAnsi="Times New Roman" w:cs="Times New Roman"/>
          <w:color w:val="000000"/>
          <w:sz w:val="24"/>
        </w:rPr>
        <w:t>. https://doi.org/10.5281/zenodo.18000478</w:t>
      </w:r>
    </w:p>
    <w:p w14:paraId="4B1BFC05" w14:textId="4D1D6B88"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Mphangwe</w:t>
      </w:r>
      <w:proofErr w:type="spellEnd"/>
      <w:r>
        <w:rPr>
          <w:rFonts w:ascii="Times New Roman" w:eastAsia="Times New Roman" w:hAnsi="Times New Roman" w:cs="Times New Roman"/>
          <w:color w:val="000000"/>
          <w:sz w:val="24"/>
        </w:rPr>
        <w:t xml:space="preserve">, W., Nolan, A., </w:t>
      </w:r>
      <w:proofErr w:type="spellStart"/>
      <w:r>
        <w:rPr>
          <w:rFonts w:ascii="Times New Roman" w:eastAsia="Times New Roman" w:hAnsi="Times New Roman" w:cs="Times New Roman"/>
          <w:color w:val="000000"/>
          <w:sz w:val="24"/>
        </w:rPr>
        <w:t>Vallières</w:t>
      </w:r>
      <w:proofErr w:type="spellEnd"/>
      <w:r>
        <w:rPr>
          <w:rFonts w:ascii="Times New Roman" w:eastAsia="Times New Roman" w:hAnsi="Times New Roman" w:cs="Times New Roman"/>
          <w:color w:val="000000"/>
          <w:sz w:val="24"/>
        </w:rPr>
        <w:t xml:space="preserve">, F., &amp; Finn, M. (2023). How do gender norms contribute to stunting in </w:t>
      </w:r>
      <w:proofErr w:type="spellStart"/>
      <w:r>
        <w:rPr>
          <w:rFonts w:ascii="Times New Roman" w:eastAsia="Times New Roman" w:hAnsi="Times New Roman" w:cs="Times New Roman"/>
          <w:color w:val="000000"/>
          <w:sz w:val="24"/>
        </w:rPr>
        <w:t>Ntchisi</w:t>
      </w:r>
      <w:proofErr w:type="spellEnd"/>
      <w:r>
        <w:rPr>
          <w:rFonts w:ascii="Times New Roman" w:eastAsia="Times New Roman" w:hAnsi="Times New Roman" w:cs="Times New Roman"/>
          <w:color w:val="000000"/>
          <w:sz w:val="24"/>
        </w:rPr>
        <w:t xml:space="preserve"> District, Malawi? A qualitative study. </w:t>
      </w:r>
      <w:proofErr w:type="spellStart"/>
      <w:r>
        <w:rPr>
          <w:rFonts w:ascii="Times New Roman" w:eastAsia="Times New Roman" w:hAnsi="Times New Roman" w:cs="Times New Roman"/>
          <w:i/>
          <w:color w:val="000000"/>
          <w:sz w:val="24"/>
        </w:rPr>
        <w:t>medRxiv</w:t>
      </w:r>
      <w:proofErr w:type="spellEnd"/>
      <w:r>
        <w:rPr>
          <w:rFonts w:ascii="Times New Roman" w:eastAsia="Times New Roman" w:hAnsi="Times New Roman" w:cs="Times New Roman"/>
          <w:i/>
          <w:color w:val="000000"/>
          <w:sz w:val="24"/>
        </w:rPr>
        <w:t xml:space="preserve"> (Cold Spring Harbor Laboratory)</w:t>
      </w:r>
      <w:r>
        <w:rPr>
          <w:rFonts w:ascii="Times New Roman" w:eastAsia="Times New Roman" w:hAnsi="Times New Roman" w:cs="Times New Roman"/>
          <w:color w:val="000000"/>
          <w:sz w:val="24"/>
        </w:rPr>
        <w:t>. https://doi.org/10.1101/2023.08.04.23293655</w:t>
      </w:r>
    </w:p>
    <w:p w14:paraId="0BA03073"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Musyoka, M. M.,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S. A., Muga, G. O., </w:t>
      </w:r>
      <w:proofErr w:type="spellStart"/>
      <w:r>
        <w:rPr>
          <w:rFonts w:ascii="Times New Roman" w:eastAsia="Times New Roman" w:hAnsi="Times New Roman" w:cs="Times New Roman"/>
          <w:color w:val="000000"/>
          <w:sz w:val="24"/>
        </w:rPr>
        <w:t>Otiang</w:t>
      </w:r>
      <w:proofErr w:type="spellEnd"/>
      <w:r>
        <w:rPr>
          <w:rFonts w:ascii="Times New Roman" w:eastAsia="Times New Roman" w:hAnsi="Times New Roman" w:cs="Times New Roman"/>
          <w:color w:val="000000"/>
          <w:sz w:val="24"/>
        </w:rPr>
        <w:t xml:space="preserve">, E., </w:t>
      </w:r>
      <w:proofErr w:type="spellStart"/>
      <w:r>
        <w:rPr>
          <w:rFonts w:ascii="Times New Roman" w:eastAsia="Times New Roman" w:hAnsi="Times New Roman" w:cs="Times New Roman"/>
          <w:color w:val="000000"/>
          <w:sz w:val="24"/>
        </w:rPr>
        <w:t>Kwoba</w:t>
      </w:r>
      <w:proofErr w:type="spellEnd"/>
      <w:r>
        <w:rPr>
          <w:rFonts w:ascii="Times New Roman" w:eastAsia="Times New Roman" w:hAnsi="Times New Roman" w:cs="Times New Roman"/>
          <w:color w:val="000000"/>
          <w:sz w:val="24"/>
        </w:rPr>
        <w:t xml:space="preserve">, E., &amp; </w:t>
      </w:r>
      <w:proofErr w:type="spellStart"/>
      <w:r>
        <w:rPr>
          <w:rFonts w:ascii="Times New Roman" w:eastAsia="Times New Roman" w:hAnsi="Times New Roman" w:cs="Times New Roman"/>
          <w:color w:val="000000"/>
          <w:sz w:val="24"/>
        </w:rPr>
        <w:t>Thumbi</w:t>
      </w:r>
      <w:proofErr w:type="spellEnd"/>
      <w:r>
        <w:rPr>
          <w:rFonts w:ascii="Times New Roman" w:eastAsia="Times New Roman" w:hAnsi="Times New Roman" w:cs="Times New Roman"/>
          <w:color w:val="000000"/>
          <w:sz w:val="24"/>
        </w:rPr>
        <w:t xml:space="preserve">, S. M. (2023). Addressing child and maternal nutrition: a qualitative study on food prescriptions and proscriptions determining animal source food consumption in rural Kenya.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15</w:t>
      </w:r>
      <w:r>
        <w:rPr>
          <w:rFonts w:ascii="Times New Roman" w:eastAsia="Times New Roman" w:hAnsi="Times New Roman" w:cs="Times New Roman"/>
          <w:color w:val="000000"/>
          <w:sz w:val="24"/>
        </w:rPr>
        <w:t>(4), 901–917. https://doi.org/10.1007/s12571-023-01368-2</w:t>
      </w:r>
    </w:p>
    <w:p w14:paraId="1B6F5D15" w14:textId="7CB31C5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Muthiru</w:t>
      </w:r>
      <w:proofErr w:type="spellEnd"/>
      <w:r>
        <w:rPr>
          <w:rFonts w:ascii="Times New Roman" w:eastAsia="Times New Roman" w:hAnsi="Times New Roman" w:cs="Times New Roman"/>
          <w:color w:val="000000"/>
          <w:sz w:val="24"/>
        </w:rPr>
        <w:t xml:space="preserve">, A. W., &amp; </w:t>
      </w:r>
      <w:proofErr w:type="spellStart"/>
      <w:r>
        <w:rPr>
          <w:rFonts w:ascii="Times New Roman" w:eastAsia="Times New Roman" w:hAnsi="Times New Roman" w:cs="Times New Roman"/>
          <w:color w:val="000000"/>
          <w:sz w:val="24"/>
        </w:rPr>
        <w:t>Bukachi</w:t>
      </w:r>
      <w:proofErr w:type="spellEnd"/>
      <w:r>
        <w:rPr>
          <w:rFonts w:ascii="Times New Roman" w:eastAsia="Times New Roman" w:hAnsi="Times New Roman" w:cs="Times New Roman"/>
          <w:color w:val="000000"/>
          <w:sz w:val="24"/>
        </w:rPr>
        <w:t xml:space="preserve">, S. A. (2024). Male involvement in maternal and child nutrition in low-income informal settlements, Nairobi, Kenya. </w:t>
      </w:r>
      <w:r>
        <w:rPr>
          <w:rFonts w:ascii="Times New Roman" w:eastAsia="Times New Roman" w:hAnsi="Times New Roman" w:cs="Times New Roman"/>
          <w:i/>
          <w:color w:val="000000"/>
          <w:sz w:val="24"/>
        </w:rPr>
        <w:t>Journal of Health Population and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43</w:t>
      </w:r>
      <w:r>
        <w:rPr>
          <w:rFonts w:ascii="Times New Roman" w:eastAsia="Times New Roman" w:hAnsi="Times New Roman" w:cs="Times New Roman"/>
          <w:color w:val="000000"/>
          <w:sz w:val="24"/>
        </w:rPr>
        <w:t>(1). https://doi.org/10.1186/s41043-023-00476-1</w:t>
      </w:r>
    </w:p>
    <w:p w14:paraId="1A52B60A"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Ngendo, M., Bhagwat, S., &amp; Keding, G. B. (2016). Influence of Seasonal On-Farm Diversity on Dietary Diversity: A Case Study of Smallholder Farming Households in Western Kenya. </w:t>
      </w:r>
      <w:r>
        <w:rPr>
          <w:rFonts w:ascii="Times New Roman" w:eastAsia="Times New Roman" w:hAnsi="Times New Roman" w:cs="Times New Roman"/>
          <w:i/>
          <w:color w:val="000000"/>
          <w:sz w:val="24"/>
        </w:rPr>
        <w:t>Ecology of Food and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55</w:t>
      </w:r>
      <w:r>
        <w:rPr>
          <w:rFonts w:ascii="Times New Roman" w:eastAsia="Times New Roman" w:hAnsi="Times New Roman" w:cs="Times New Roman"/>
          <w:color w:val="000000"/>
          <w:sz w:val="24"/>
        </w:rPr>
        <w:t>(5), 403–427. https://doi.org/10.1080/03670244.2016.1200037</w:t>
      </w:r>
    </w:p>
    <w:p w14:paraId="721E551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Nisbett, N., Harris, J., </w:t>
      </w:r>
      <w:proofErr w:type="spellStart"/>
      <w:r>
        <w:rPr>
          <w:rFonts w:ascii="Times New Roman" w:eastAsia="Times New Roman" w:hAnsi="Times New Roman" w:cs="Times New Roman"/>
          <w:color w:val="000000"/>
          <w:sz w:val="24"/>
        </w:rPr>
        <w:t>Backholer</w:t>
      </w:r>
      <w:proofErr w:type="spellEnd"/>
      <w:r>
        <w:rPr>
          <w:rFonts w:ascii="Times New Roman" w:eastAsia="Times New Roman" w:hAnsi="Times New Roman" w:cs="Times New Roman"/>
          <w:color w:val="000000"/>
          <w:sz w:val="24"/>
        </w:rPr>
        <w:t xml:space="preserve">, K., Baker, P., Jernigan, V. B. B., &amp; Friel, S. (2021). Holding no one back: The Nutrition Equity Framework in theory and practice. </w:t>
      </w:r>
      <w:r>
        <w:rPr>
          <w:rFonts w:ascii="Times New Roman" w:eastAsia="Times New Roman" w:hAnsi="Times New Roman" w:cs="Times New Roman"/>
          <w:i/>
          <w:color w:val="000000"/>
          <w:sz w:val="24"/>
        </w:rPr>
        <w:t>Global 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32</w:t>
      </w:r>
      <w:r>
        <w:rPr>
          <w:rFonts w:ascii="Times New Roman" w:eastAsia="Times New Roman" w:hAnsi="Times New Roman" w:cs="Times New Roman"/>
          <w:color w:val="000000"/>
          <w:sz w:val="24"/>
        </w:rPr>
        <w:t>, 100605–100605. https://doi.org/10.1016/j.gfs.2021.100605</w:t>
      </w:r>
    </w:p>
    <w:p w14:paraId="10B2C9FE"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Njuki, J., Eissler, S., Malapit, H., </w:t>
      </w:r>
      <w:proofErr w:type="spellStart"/>
      <w:r>
        <w:rPr>
          <w:rFonts w:ascii="Times New Roman" w:eastAsia="Times New Roman" w:hAnsi="Times New Roman" w:cs="Times New Roman"/>
          <w:color w:val="000000"/>
          <w:sz w:val="24"/>
        </w:rPr>
        <w:t>Meinzen</w:t>
      </w:r>
      <w:proofErr w:type="spellEnd"/>
      <w:r>
        <w:rPr>
          <w:rFonts w:ascii="Times New Roman" w:eastAsia="Times New Roman" w:hAnsi="Times New Roman" w:cs="Times New Roman"/>
          <w:color w:val="000000"/>
          <w:sz w:val="24"/>
        </w:rPr>
        <w:t xml:space="preserve">‐Dick, R., Bryan, E., &amp; Quisumbing, A. (2022). A review of evidence on gender equality, women's empowerment, and food systems. </w:t>
      </w:r>
      <w:r>
        <w:rPr>
          <w:rFonts w:ascii="Times New Roman" w:eastAsia="Times New Roman" w:hAnsi="Times New Roman" w:cs="Times New Roman"/>
          <w:i/>
          <w:color w:val="000000"/>
          <w:sz w:val="24"/>
        </w:rPr>
        <w:t>Global 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33</w:t>
      </w:r>
      <w:r>
        <w:rPr>
          <w:rFonts w:ascii="Times New Roman" w:eastAsia="Times New Roman" w:hAnsi="Times New Roman" w:cs="Times New Roman"/>
          <w:color w:val="000000"/>
          <w:sz w:val="24"/>
        </w:rPr>
        <w:t>, 100622–100622. https://doi.org/10.1016/j.gfs.2022.100622</w:t>
      </w:r>
    </w:p>
    <w:p w14:paraId="35FBD42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Nyambura, M. A., Philomena, M., &amp; Susan, M. (2023). Influence of cultural norms and traditions on food insecurity among small-scale farmers in </w:t>
      </w:r>
      <w:proofErr w:type="spellStart"/>
      <w:r>
        <w:rPr>
          <w:rFonts w:ascii="Times New Roman" w:eastAsia="Times New Roman" w:hAnsi="Times New Roman" w:cs="Times New Roman"/>
          <w:color w:val="000000"/>
          <w:sz w:val="24"/>
        </w:rPr>
        <w:t>Marmanet</w:t>
      </w:r>
      <w:proofErr w:type="spellEnd"/>
      <w:r>
        <w:rPr>
          <w:rFonts w:ascii="Times New Roman" w:eastAsia="Times New Roman" w:hAnsi="Times New Roman" w:cs="Times New Roman"/>
          <w:color w:val="000000"/>
          <w:sz w:val="24"/>
        </w:rPr>
        <w:t xml:space="preserve"> Ward, Laikipia County, Kenya. </w:t>
      </w:r>
      <w:r>
        <w:rPr>
          <w:rFonts w:ascii="Times New Roman" w:eastAsia="Times New Roman" w:hAnsi="Times New Roman" w:cs="Times New Roman"/>
          <w:i/>
          <w:color w:val="000000"/>
          <w:sz w:val="24"/>
        </w:rPr>
        <w:t>International Journal of Agricultural Extension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11</w:t>
      </w:r>
      <w:r>
        <w:rPr>
          <w:rFonts w:ascii="Times New Roman" w:eastAsia="Times New Roman" w:hAnsi="Times New Roman" w:cs="Times New Roman"/>
          <w:color w:val="000000"/>
          <w:sz w:val="24"/>
        </w:rPr>
        <w:t>(1), 39–47. https://doi.org/10.33687/ijae.011.001.4492</w:t>
      </w:r>
    </w:p>
    <w:p w14:paraId="19062BC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Ochieng, J., Afari‐Sefa, V., </w:t>
      </w:r>
      <w:proofErr w:type="spellStart"/>
      <w:r>
        <w:rPr>
          <w:rFonts w:ascii="Times New Roman" w:eastAsia="Times New Roman" w:hAnsi="Times New Roman" w:cs="Times New Roman"/>
          <w:color w:val="000000"/>
          <w:sz w:val="24"/>
        </w:rPr>
        <w:t>Lukumay</w:t>
      </w:r>
      <w:proofErr w:type="spellEnd"/>
      <w:r>
        <w:rPr>
          <w:rFonts w:ascii="Times New Roman" w:eastAsia="Times New Roman" w:hAnsi="Times New Roman" w:cs="Times New Roman"/>
          <w:color w:val="000000"/>
          <w:sz w:val="24"/>
        </w:rPr>
        <w:t xml:space="preserve">, P. J., &amp; Dubois, T. (2017). Determinants of dietary diversity and the potential role of men in improving household nutrition in Tanzania. </w:t>
      </w:r>
      <w:proofErr w:type="spellStart"/>
      <w:r>
        <w:rPr>
          <w:rFonts w:ascii="Times New Roman" w:eastAsia="Times New Roman" w:hAnsi="Times New Roman" w:cs="Times New Roman"/>
          <w:i/>
          <w:color w:val="000000"/>
          <w:sz w:val="24"/>
        </w:rPr>
        <w:t>PLoS</w:t>
      </w:r>
      <w:proofErr w:type="spellEnd"/>
      <w:r>
        <w:rPr>
          <w:rFonts w:ascii="Times New Roman" w:eastAsia="Times New Roman" w:hAnsi="Times New Roman" w:cs="Times New Roman"/>
          <w:i/>
          <w:color w:val="000000"/>
          <w:sz w:val="24"/>
        </w:rPr>
        <w:t xml:space="preserve"> ONE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12</w:t>
      </w:r>
      <w:r>
        <w:rPr>
          <w:rFonts w:ascii="Times New Roman" w:eastAsia="Times New Roman" w:hAnsi="Times New Roman" w:cs="Times New Roman"/>
          <w:color w:val="000000"/>
          <w:sz w:val="24"/>
        </w:rPr>
        <w:t>(12). https://doi.org/10.1371/journal.pone.0189022</w:t>
      </w:r>
    </w:p>
    <w:p w14:paraId="1CC9CB02" w14:textId="5889406D"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lastRenderedPageBreak/>
        <w:t>Osabohien</w:t>
      </w:r>
      <w:proofErr w:type="spellEnd"/>
      <w:r>
        <w:rPr>
          <w:rFonts w:ascii="Times New Roman" w:eastAsia="Times New Roman" w:hAnsi="Times New Roman" w:cs="Times New Roman"/>
          <w:color w:val="000000"/>
          <w:sz w:val="24"/>
        </w:rPr>
        <w:t xml:space="preserve">, R., &amp; Matthew, O. (2024). Editorial: Nutrition and sustainable development goal 5: gender equality. </w:t>
      </w:r>
      <w:r>
        <w:rPr>
          <w:rFonts w:ascii="Times New Roman" w:eastAsia="Times New Roman" w:hAnsi="Times New Roman" w:cs="Times New Roman"/>
          <w:i/>
          <w:color w:val="000000"/>
          <w:sz w:val="24"/>
        </w:rPr>
        <w:t>Frontiers in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11</w:t>
      </w:r>
      <w:r>
        <w:rPr>
          <w:rFonts w:ascii="Times New Roman" w:eastAsia="Times New Roman" w:hAnsi="Times New Roman" w:cs="Times New Roman"/>
          <w:color w:val="000000"/>
          <w:sz w:val="24"/>
        </w:rPr>
        <w:t>. https://doi.org/10.3389/fnut.2024.1384066</w:t>
      </w:r>
    </w:p>
    <w:p w14:paraId="047DC62D" w14:textId="24797C54"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D. (2021). Food Taboos in Kenya are Hampering Dietary Diversification [Data set]. In </w:t>
      </w:r>
      <w:proofErr w:type="spellStart"/>
      <w:r>
        <w:rPr>
          <w:rFonts w:ascii="Times New Roman" w:eastAsia="Times New Roman" w:hAnsi="Times New Roman" w:cs="Times New Roman"/>
          <w:i/>
          <w:color w:val="000000"/>
          <w:sz w:val="24"/>
        </w:rPr>
        <w:t>Figshare</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Figshare</w:t>
      </w:r>
      <w:proofErr w:type="spellEnd"/>
      <w:r>
        <w:rPr>
          <w:rFonts w:ascii="Times New Roman" w:eastAsia="Times New Roman" w:hAnsi="Times New Roman" w:cs="Times New Roman"/>
          <w:color w:val="000000"/>
          <w:sz w:val="24"/>
        </w:rPr>
        <w:t xml:space="preserve"> (United Kingdom). https://doi.org/10.6084/m9.figshare.13554452</w:t>
      </w:r>
    </w:p>
    <w:p w14:paraId="68285388" w14:textId="0C51E102"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Peñafiel</w:t>
      </w:r>
      <w:proofErr w:type="spellEnd"/>
      <w:r>
        <w:rPr>
          <w:rFonts w:ascii="Times New Roman" w:eastAsia="Times New Roman" w:hAnsi="Times New Roman" w:cs="Times New Roman"/>
          <w:color w:val="000000"/>
          <w:sz w:val="24"/>
        </w:rPr>
        <w:t xml:space="preserve">, D., </w:t>
      </w:r>
      <w:proofErr w:type="spellStart"/>
      <w:r>
        <w:rPr>
          <w:rFonts w:ascii="Times New Roman" w:eastAsia="Times New Roman" w:hAnsi="Times New Roman" w:cs="Times New Roman"/>
          <w:color w:val="000000"/>
          <w:sz w:val="24"/>
        </w:rPr>
        <w:t>Termote</w:t>
      </w:r>
      <w:proofErr w:type="spellEnd"/>
      <w:r>
        <w:rPr>
          <w:rFonts w:ascii="Times New Roman" w:eastAsia="Times New Roman" w:hAnsi="Times New Roman" w:cs="Times New Roman"/>
          <w:color w:val="000000"/>
          <w:sz w:val="24"/>
        </w:rPr>
        <w:t xml:space="preserve">, C., &amp; Damme, P. V. (2022). Traditional Individual and Environmental Determinants of Healthy Eating in </w:t>
      </w:r>
      <w:proofErr w:type="spellStart"/>
      <w:r>
        <w:rPr>
          <w:rFonts w:ascii="Times New Roman" w:eastAsia="Times New Roman" w:hAnsi="Times New Roman" w:cs="Times New Roman"/>
          <w:color w:val="000000"/>
          <w:sz w:val="24"/>
        </w:rPr>
        <w:t>Vihiga</w:t>
      </w:r>
      <w:proofErr w:type="spellEnd"/>
      <w:r>
        <w:rPr>
          <w:rFonts w:ascii="Times New Roman" w:eastAsia="Times New Roman" w:hAnsi="Times New Roman" w:cs="Times New Roman"/>
          <w:color w:val="000000"/>
          <w:sz w:val="24"/>
        </w:rPr>
        <w:t xml:space="preserve"> County, Western Kenya. </w:t>
      </w:r>
      <w:r>
        <w:rPr>
          <w:rFonts w:ascii="Times New Roman" w:eastAsia="Times New Roman" w:hAnsi="Times New Roman" w:cs="Times New Roman"/>
          <w:i/>
          <w:color w:val="000000"/>
          <w:sz w:val="24"/>
        </w:rPr>
        <w:t>Nutrients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14</w:t>
      </w:r>
      <w:r>
        <w:rPr>
          <w:rFonts w:ascii="Times New Roman" w:eastAsia="Times New Roman" w:hAnsi="Times New Roman" w:cs="Times New Roman"/>
          <w:color w:val="000000"/>
          <w:sz w:val="24"/>
        </w:rPr>
        <w:t>(14), 2791–2791. https://doi.org/10.3390/nu14142791</w:t>
      </w:r>
    </w:p>
    <w:p w14:paraId="6E198888"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Percival, V., Thoms, O. T., Oppenheim, B., Rowlands, D., </w:t>
      </w:r>
      <w:proofErr w:type="spellStart"/>
      <w:r>
        <w:rPr>
          <w:rFonts w:ascii="Times New Roman" w:eastAsia="Times New Roman" w:hAnsi="Times New Roman" w:cs="Times New Roman"/>
          <w:color w:val="000000"/>
          <w:sz w:val="24"/>
        </w:rPr>
        <w:t>Chisadza</w:t>
      </w:r>
      <w:proofErr w:type="spellEnd"/>
      <w:r>
        <w:rPr>
          <w:rFonts w:ascii="Times New Roman" w:eastAsia="Times New Roman" w:hAnsi="Times New Roman" w:cs="Times New Roman"/>
          <w:color w:val="000000"/>
          <w:sz w:val="24"/>
        </w:rPr>
        <w:t xml:space="preserve">, C., Fewer, S., </w:t>
      </w:r>
      <w:proofErr w:type="spellStart"/>
      <w:r>
        <w:rPr>
          <w:rFonts w:ascii="Times New Roman" w:eastAsia="Times New Roman" w:hAnsi="Times New Roman" w:cs="Times New Roman"/>
          <w:color w:val="000000"/>
          <w:sz w:val="24"/>
        </w:rPr>
        <w:t>Yamey</w:t>
      </w:r>
      <w:proofErr w:type="spellEnd"/>
      <w:r>
        <w:rPr>
          <w:rFonts w:ascii="Times New Roman" w:eastAsia="Times New Roman" w:hAnsi="Times New Roman" w:cs="Times New Roman"/>
          <w:color w:val="000000"/>
          <w:sz w:val="24"/>
        </w:rPr>
        <w:t xml:space="preserve">, G., Alexander, A. C., Allaham, C. L., Causevic, S., Daudelin, F., Gloppen, S., Guha‐Sapir, D., </w:t>
      </w:r>
      <w:proofErr w:type="spellStart"/>
      <w:r>
        <w:rPr>
          <w:rFonts w:ascii="Times New Roman" w:eastAsia="Times New Roman" w:hAnsi="Times New Roman" w:cs="Times New Roman"/>
          <w:color w:val="000000"/>
          <w:sz w:val="24"/>
        </w:rPr>
        <w:t>Hadaf</w:t>
      </w:r>
      <w:proofErr w:type="spellEnd"/>
      <w:r>
        <w:rPr>
          <w:rFonts w:ascii="Times New Roman" w:eastAsia="Times New Roman" w:hAnsi="Times New Roman" w:cs="Times New Roman"/>
          <w:color w:val="000000"/>
          <w:sz w:val="24"/>
        </w:rPr>
        <w:t xml:space="preserve">, M., Henderson, S., Hoffman, S. J., Langer, A., </w:t>
      </w:r>
      <w:proofErr w:type="spellStart"/>
      <w:r>
        <w:rPr>
          <w:rFonts w:ascii="Times New Roman" w:eastAsia="Times New Roman" w:hAnsi="Times New Roman" w:cs="Times New Roman"/>
          <w:color w:val="000000"/>
          <w:sz w:val="24"/>
        </w:rPr>
        <w:t>Lebbos</w:t>
      </w:r>
      <w:proofErr w:type="spellEnd"/>
      <w:r>
        <w:rPr>
          <w:rFonts w:ascii="Times New Roman" w:eastAsia="Times New Roman" w:hAnsi="Times New Roman" w:cs="Times New Roman"/>
          <w:color w:val="000000"/>
          <w:sz w:val="24"/>
        </w:rPr>
        <w:t xml:space="preserve">, T. J., </w:t>
      </w:r>
      <w:proofErr w:type="spellStart"/>
      <w:r>
        <w:rPr>
          <w:rFonts w:ascii="Times New Roman" w:eastAsia="Times New Roman" w:hAnsi="Times New Roman" w:cs="Times New Roman"/>
          <w:color w:val="000000"/>
          <w:sz w:val="24"/>
        </w:rPr>
        <w:t>Leomil</w:t>
      </w:r>
      <w:proofErr w:type="spellEnd"/>
      <w:r>
        <w:rPr>
          <w:rFonts w:ascii="Times New Roman" w:eastAsia="Times New Roman" w:hAnsi="Times New Roman" w:cs="Times New Roman"/>
          <w:color w:val="000000"/>
          <w:sz w:val="24"/>
        </w:rPr>
        <w:t xml:space="preserve">, L., … Friberg, P. (2023). The Lancet Commission on peaceful societies through health equity and gender equality [Review of </w:t>
      </w:r>
      <w:r>
        <w:rPr>
          <w:rFonts w:ascii="Times New Roman" w:eastAsia="Times New Roman" w:hAnsi="Times New Roman" w:cs="Times New Roman"/>
          <w:i/>
          <w:color w:val="000000"/>
          <w:sz w:val="24"/>
        </w:rPr>
        <w:t>The Lancet Commission on peaceful societies through health equity and gender equality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The Lancet</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402</w:t>
      </w:r>
      <w:r>
        <w:rPr>
          <w:rFonts w:ascii="Times New Roman" w:eastAsia="Times New Roman" w:hAnsi="Times New Roman" w:cs="Times New Roman"/>
          <w:color w:val="000000"/>
          <w:sz w:val="24"/>
        </w:rPr>
        <w:t>(10413), 1661–1722. Elsevier BV. https://doi.org/10.1016/s0140-6736(23)01348-x</w:t>
      </w:r>
    </w:p>
    <w:p w14:paraId="6497BA79"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Picchioni, F., </w:t>
      </w:r>
      <w:proofErr w:type="spellStart"/>
      <w:r>
        <w:rPr>
          <w:rFonts w:ascii="Times New Roman" w:eastAsia="Times New Roman" w:hAnsi="Times New Roman" w:cs="Times New Roman"/>
          <w:color w:val="000000"/>
          <w:sz w:val="24"/>
        </w:rPr>
        <w:t>Aurino</w:t>
      </w:r>
      <w:proofErr w:type="spellEnd"/>
      <w:r>
        <w:rPr>
          <w:rFonts w:ascii="Times New Roman" w:eastAsia="Times New Roman" w:hAnsi="Times New Roman" w:cs="Times New Roman"/>
          <w:color w:val="000000"/>
          <w:sz w:val="24"/>
        </w:rPr>
        <w:t xml:space="preserve">, E., Aleksandrowicz, L., Bruce, M., Chesterman, S., Domínguez-Salas, P., Gersten, Z. P., </w:t>
      </w:r>
      <w:proofErr w:type="spellStart"/>
      <w:r>
        <w:rPr>
          <w:rFonts w:ascii="Times New Roman" w:eastAsia="Times New Roman" w:hAnsi="Times New Roman" w:cs="Times New Roman"/>
          <w:color w:val="000000"/>
          <w:sz w:val="24"/>
        </w:rPr>
        <w:t>Kalamatianou</w:t>
      </w:r>
      <w:proofErr w:type="spellEnd"/>
      <w:r>
        <w:rPr>
          <w:rFonts w:ascii="Times New Roman" w:eastAsia="Times New Roman" w:hAnsi="Times New Roman" w:cs="Times New Roman"/>
          <w:color w:val="000000"/>
          <w:sz w:val="24"/>
        </w:rPr>
        <w:t xml:space="preserve">, S., Turner, C., &amp; Yates, J. (2017). Roads to interdisciplinarity – working at the nexus among food systems, nutrition, and health.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9</w:t>
      </w:r>
      <w:r>
        <w:rPr>
          <w:rFonts w:ascii="Times New Roman" w:eastAsia="Times New Roman" w:hAnsi="Times New Roman" w:cs="Times New Roman"/>
          <w:color w:val="000000"/>
          <w:sz w:val="24"/>
        </w:rPr>
        <w:t>(1), 181–189. https://doi.org/10.1007/s12571-017-0658-2</w:t>
      </w:r>
    </w:p>
    <w:p w14:paraId="2BD9918B"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Pilla, L., &amp; Dantas, J. (2016). Intra-Household Nutritional Dynamics. </w:t>
      </w:r>
      <w:r>
        <w:rPr>
          <w:rFonts w:ascii="Times New Roman" w:eastAsia="Times New Roman" w:hAnsi="Times New Roman" w:cs="Times New Roman"/>
          <w:i/>
          <w:color w:val="000000"/>
          <w:sz w:val="24"/>
        </w:rPr>
        <w:t>Qualitative Health Research</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26</w:t>
      </w:r>
      <w:r>
        <w:rPr>
          <w:rFonts w:ascii="Times New Roman" w:eastAsia="Times New Roman" w:hAnsi="Times New Roman" w:cs="Times New Roman"/>
          <w:color w:val="000000"/>
          <w:sz w:val="24"/>
        </w:rPr>
        <w:t>(6), 793–806. https://doi.org/10.1177/1049732316629111</w:t>
      </w:r>
    </w:p>
    <w:p w14:paraId="54B15650"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Powell, B., Kerr, R. B., Young, S. L., &amp; Johns, T. (2017). The determinants of dietary diversity and nutrition: </w:t>
      </w:r>
      <w:proofErr w:type="spellStart"/>
      <w:r>
        <w:rPr>
          <w:rFonts w:ascii="Times New Roman" w:eastAsia="Times New Roman" w:hAnsi="Times New Roman" w:cs="Times New Roman"/>
          <w:color w:val="000000"/>
          <w:sz w:val="24"/>
        </w:rPr>
        <w:t>ethnonutrition</w:t>
      </w:r>
      <w:proofErr w:type="spellEnd"/>
      <w:r>
        <w:rPr>
          <w:rFonts w:ascii="Times New Roman" w:eastAsia="Times New Roman" w:hAnsi="Times New Roman" w:cs="Times New Roman"/>
          <w:color w:val="000000"/>
          <w:sz w:val="24"/>
        </w:rPr>
        <w:t xml:space="preserve"> knowledge of local people in the East </w:t>
      </w:r>
      <w:proofErr w:type="spellStart"/>
      <w:r>
        <w:rPr>
          <w:rFonts w:ascii="Times New Roman" w:eastAsia="Times New Roman" w:hAnsi="Times New Roman" w:cs="Times New Roman"/>
          <w:color w:val="000000"/>
          <w:sz w:val="24"/>
        </w:rPr>
        <w:t>Usambara</w:t>
      </w:r>
      <w:proofErr w:type="spellEnd"/>
      <w:r>
        <w:rPr>
          <w:rFonts w:ascii="Times New Roman" w:eastAsia="Times New Roman" w:hAnsi="Times New Roman" w:cs="Times New Roman"/>
          <w:color w:val="000000"/>
          <w:sz w:val="24"/>
        </w:rPr>
        <w:t xml:space="preserve"> Mountains, Tanzania. </w:t>
      </w:r>
      <w:r>
        <w:rPr>
          <w:rFonts w:ascii="Times New Roman" w:eastAsia="Times New Roman" w:hAnsi="Times New Roman" w:cs="Times New Roman"/>
          <w:i/>
          <w:color w:val="000000"/>
          <w:sz w:val="24"/>
        </w:rPr>
        <w:t>Journal of Ethnobiology and Ethnomedicine</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13</w:t>
      </w:r>
      <w:r>
        <w:rPr>
          <w:rFonts w:ascii="Times New Roman" w:eastAsia="Times New Roman" w:hAnsi="Times New Roman" w:cs="Times New Roman"/>
          <w:color w:val="000000"/>
          <w:sz w:val="24"/>
        </w:rPr>
        <w:t>(1). https://doi.org/10.1186/s13002-017-0150-2</w:t>
      </w:r>
    </w:p>
    <w:p w14:paraId="32492C94"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Rafanomezantsoa, A. S., Coral, C., Randrianarison, N., Kubitza, C., </w:t>
      </w:r>
      <w:proofErr w:type="spellStart"/>
      <w:r>
        <w:rPr>
          <w:rFonts w:ascii="Times New Roman" w:eastAsia="Times New Roman" w:hAnsi="Times New Roman" w:cs="Times New Roman"/>
          <w:color w:val="000000"/>
          <w:sz w:val="24"/>
        </w:rPr>
        <w:t>Randriamampionona</w:t>
      </w:r>
      <w:proofErr w:type="spellEnd"/>
      <w:r>
        <w:rPr>
          <w:rFonts w:ascii="Times New Roman" w:eastAsia="Times New Roman" w:hAnsi="Times New Roman" w:cs="Times New Roman"/>
          <w:color w:val="000000"/>
          <w:sz w:val="24"/>
        </w:rPr>
        <w:t xml:space="preserve">, D., </w:t>
      </w:r>
      <w:proofErr w:type="spellStart"/>
      <w:r>
        <w:rPr>
          <w:rFonts w:ascii="Times New Roman" w:eastAsia="Times New Roman" w:hAnsi="Times New Roman" w:cs="Times New Roman"/>
          <w:color w:val="000000"/>
          <w:sz w:val="24"/>
        </w:rPr>
        <w:t>Andriamaniraka</w:t>
      </w:r>
      <w:proofErr w:type="spellEnd"/>
      <w:r>
        <w:rPr>
          <w:rFonts w:ascii="Times New Roman" w:eastAsia="Times New Roman" w:hAnsi="Times New Roman" w:cs="Times New Roman"/>
          <w:color w:val="000000"/>
          <w:sz w:val="24"/>
        </w:rPr>
        <w:t>, H., Sieber, S., Tojo-</w:t>
      </w:r>
      <w:proofErr w:type="spellStart"/>
      <w:r>
        <w:rPr>
          <w:rFonts w:ascii="Times New Roman" w:eastAsia="Times New Roman" w:hAnsi="Times New Roman" w:cs="Times New Roman"/>
          <w:color w:val="000000"/>
          <w:sz w:val="24"/>
        </w:rPr>
        <w:t>Mandaharisoa</w:t>
      </w:r>
      <w:proofErr w:type="spellEnd"/>
      <w:r>
        <w:rPr>
          <w:rFonts w:ascii="Times New Roman" w:eastAsia="Times New Roman" w:hAnsi="Times New Roman" w:cs="Times New Roman"/>
          <w:color w:val="000000"/>
          <w:sz w:val="24"/>
        </w:rPr>
        <w:t xml:space="preserve">, S., &amp; Steinke, J. (2022). Identifying nutrition-sensitive development options in Madagascar through a positive deviance approach.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15</w:t>
      </w:r>
      <w:r>
        <w:rPr>
          <w:rFonts w:ascii="Times New Roman" w:eastAsia="Times New Roman" w:hAnsi="Times New Roman" w:cs="Times New Roman"/>
          <w:color w:val="000000"/>
          <w:sz w:val="24"/>
        </w:rPr>
        <w:t>(2), 519–534. https://doi.org/10.1007/s12571-022-01339-z</w:t>
      </w:r>
    </w:p>
    <w:p w14:paraId="3C400AB9" w14:textId="5D5F0C9A"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Ramenzoni</w:t>
      </w:r>
      <w:proofErr w:type="spellEnd"/>
      <w:r>
        <w:rPr>
          <w:rFonts w:ascii="Times New Roman" w:eastAsia="Times New Roman" w:hAnsi="Times New Roman" w:cs="Times New Roman"/>
          <w:color w:val="000000"/>
          <w:sz w:val="24"/>
        </w:rPr>
        <w:t xml:space="preserve">, V. C. (2023). Taboos, food avoidances, and diseases: Local epistemologies of health among Coastal </w:t>
      </w:r>
      <w:proofErr w:type="spellStart"/>
      <w:r>
        <w:rPr>
          <w:rFonts w:ascii="Times New Roman" w:eastAsia="Times New Roman" w:hAnsi="Times New Roman" w:cs="Times New Roman"/>
          <w:color w:val="000000"/>
          <w:sz w:val="24"/>
        </w:rPr>
        <w:t>Endenese</w:t>
      </w:r>
      <w:proofErr w:type="spellEnd"/>
      <w:r>
        <w:rPr>
          <w:rFonts w:ascii="Times New Roman" w:eastAsia="Times New Roman" w:hAnsi="Times New Roman" w:cs="Times New Roman"/>
          <w:color w:val="000000"/>
          <w:sz w:val="24"/>
        </w:rPr>
        <w:t xml:space="preserve"> in Eastern Indonesia. </w:t>
      </w:r>
      <w:r>
        <w:rPr>
          <w:rFonts w:ascii="Times New Roman" w:eastAsia="Times New Roman" w:hAnsi="Times New Roman" w:cs="Times New Roman"/>
          <w:i/>
          <w:color w:val="000000"/>
          <w:sz w:val="24"/>
        </w:rPr>
        <w:t>Frontiers in Sustainable Food Systems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7</w:t>
      </w:r>
      <w:r>
        <w:rPr>
          <w:rFonts w:ascii="Times New Roman" w:eastAsia="Times New Roman" w:hAnsi="Times New Roman" w:cs="Times New Roman"/>
          <w:color w:val="000000"/>
          <w:sz w:val="24"/>
        </w:rPr>
        <w:t>. https://doi.org/10.3389/fsufs.2023.977694</w:t>
      </w:r>
    </w:p>
    <w:p w14:paraId="7FE836B1"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lastRenderedPageBreak/>
        <w:t xml:space="preserve">Rao, N. (2020). Achieving food and nutrition security in South Asia is deeply gendered. </w:t>
      </w:r>
      <w:r>
        <w:rPr>
          <w:rFonts w:ascii="Times New Roman" w:eastAsia="Times New Roman" w:hAnsi="Times New Roman" w:cs="Times New Roman"/>
          <w:i/>
          <w:color w:val="000000"/>
          <w:sz w:val="24"/>
        </w:rPr>
        <w:t>Nature Food</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w:t>
      </w:r>
      <w:r>
        <w:rPr>
          <w:rFonts w:ascii="Times New Roman" w:eastAsia="Times New Roman" w:hAnsi="Times New Roman" w:cs="Times New Roman"/>
          <w:color w:val="000000"/>
          <w:sz w:val="24"/>
        </w:rPr>
        <w:t>(4), 206–209. https://doi.org/10.1038/s43016-020-0059-0</w:t>
      </w:r>
    </w:p>
    <w:p w14:paraId="0A871C31"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Ruben, R., </w:t>
      </w:r>
      <w:proofErr w:type="spellStart"/>
      <w:r>
        <w:rPr>
          <w:rFonts w:ascii="Times New Roman" w:eastAsia="Times New Roman" w:hAnsi="Times New Roman" w:cs="Times New Roman"/>
          <w:color w:val="000000"/>
          <w:sz w:val="24"/>
        </w:rPr>
        <w:t>Cavatassi</w:t>
      </w:r>
      <w:proofErr w:type="spellEnd"/>
      <w:r>
        <w:rPr>
          <w:rFonts w:ascii="Times New Roman" w:eastAsia="Times New Roman" w:hAnsi="Times New Roman" w:cs="Times New Roman"/>
          <w:color w:val="000000"/>
          <w:sz w:val="24"/>
        </w:rPr>
        <w:t xml:space="preserve">, R., Lipper, L., </w:t>
      </w:r>
      <w:proofErr w:type="spellStart"/>
      <w:r>
        <w:rPr>
          <w:rFonts w:ascii="Times New Roman" w:eastAsia="Times New Roman" w:hAnsi="Times New Roman" w:cs="Times New Roman"/>
          <w:color w:val="000000"/>
          <w:sz w:val="24"/>
        </w:rPr>
        <w:t>Smaling</w:t>
      </w:r>
      <w:proofErr w:type="spellEnd"/>
      <w:r>
        <w:rPr>
          <w:rFonts w:ascii="Times New Roman" w:eastAsia="Times New Roman" w:hAnsi="Times New Roman" w:cs="Times New Roman"/>
          <w:color w:val="000000"/>
          <w:sz w:val="24"/>
        </w:rPr>
        <w:t xml:space="preserve">, E. M. A., &amp; Winters, P. (2021). Towards food systems transformation—five paradigm shifts for healthy, inclusive and sustainable food systems. </w:t>
      </w:r>
      <w:r>
        <w:rPr>
          <w:rFonts w:ascii="Times New Roman" w:eastAsia="Times New Roman" w:hAnsi="Times New Roman" w:cs="Times New Roman"/>
          <w:i/>
          <w:color w:val="000000"/>
          <w:sz w:val="24"/>
        </w:rPr>
        <w:t>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13</w:t>
      </w:r>
      <w:r>
        <w:rPr>
          <w:rFonts w:ascii="Times New Roman" w:eastAsia="Times New Roman" w:hAnsi="Times New Roman" w:cs="Times New Roman"/>
          <w:color w:val="000000"/>
          <w:sz w:val="24"/>
        </w:rPr>
        <w:t>(6), 1423–1430. https://doi.org/10.1007/s12571-021-01221-4</w:t>
      </w:r>
    </w:p>
    <w:p w14:paraId="7C5128E3"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Sibanda, S., Munjoma-Muchinguri, P., Ohene‐Agyei, P., &amp; Murage, A. W. (2023). Policies for optimal nutrition-sensitive options: a study of food and nutrition security policies, strategies and programs in Ghana, Kenya and South Africa. </w:t>
      </w:r>
      <w:r>
        <w:rPr>
          <w:rFonts w:ascii="Times New Roman" w:eastAsia="Times New Roman" w:hAnsi="Times New Roman" w:cs="Times New Roman"/>
          <w:i/>
          <w:color w:val="000000"/>
          <w:sz w:val="24"/>
        </w:rPr>
        <w:t>Frontiers in Sustainable Food Systems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7</w:t>
      </w:r>
      <w:r>
        <w:rPr>
          <w:rFonts w:ascii="Times New Roman" w:eastAsia="Times New Roman" w:hAnsi="Times New Roman" w:cs="Times New Roman"/>
          <w:color w:val="000000"/>
          <w:sz w:val="24"/>
        </w:rPr>
        <w:t>. https://doi.org/10.3389/fsufs.2023.1088216</w:t>
      </w:r>
    </w:p>
    <w:p w14:paraId="509A894B"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Temesgen, H., &amp; </w:t>
      </w:r>
      <w:proofErr w:type="spellStart"/>
      <w:r>
        <w:rPr>
          <w:rFonts w:ascii="Times New Roman" w:eastAsia="Times New Roman" w:hAnsi="Times New Roman" w:cs="Times New Roman"/>
          <w:color w:val="000000"/>
          <w:sz w:val="24"/>
        </w:rPr>
        <w:t>Aweke</w:t>
      </w:r>
      <w:proofErr w:type="spellEnd"/>
      <w:r>
        <w:rPr>
          <w:rFonts w:ascii="Times New Roman" w:eastAsia="Times New Roman" w:hAnsi="Times New Roman" w:cs="Times New Roman"/>
          <w:color w:val="000000"/>
          <w:sz w:val="24"/>
        </w:rPr>
        <w:t xml:space="preserve">, C. S. (2023). A scoping review on the impacts of smallholder agriculture production on food and nutrition security: Evidence from the Ethiopian context [Review of </w:t>
      </w:r>
      <w:r>
        <w:rPr>
          <w:rFonts w:ascii="Times New Roman" w:eastAsia="Times New Roman" w:hAnsi="Times New Roman" w:cs="Times New Roman"/>
          <w:i/>
          <w:color w:val="000000"/>
          <w:sz w:val="24"/>
        </w:rPr>
        <w:t>A scoping review on the impacts of smallholder agriculture production on food and nutrition security: Evidence from Ethiopia context</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Agriculture &amp; Food Security</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12</w:t>
      </w:r>
      <w:r>
        <w:rPr>
          <w:rFonts w:ascii="Times New Roman" w:eastAsia="Times New Roman" w:hAnsi="Times New Roman" w:cs="Times New Roman"/>
          <w:color w:val="000000"/>
          <w:sz w:val="24"/>
        </w:rPr>
        <w:t>(1). BioMed Central. https://doi.org/10.1186/s40066-023-00449-x</w:t>
      </w:r>
    </w:p>
    <w:p w14:paraId="5391F3C3" w14:textId="77777777"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r>
        <w:rPr>
          <w:rFonts w:ascii="Times New Roman" w:eastAsia="Times New Roman" w:hAnsi="Times New Roman" w:cs="Times New Roman"/>
          <w:color w:val="000000"/>
          <w:sz w:val="24"/>
        </w:rPr>
        <w:t xml:space="preserve">Waswa, L. M., Jordan, I., </w:t>
      </w:r>
      <w:proofErr w:type="spellStart"/>
      <w:r>
        <w:rPr>
          <w:rFonts w:ascii="Times New Roman" w:eastAsia="Times New Roman" w:hAnsi="Times New Roman" w:cs="Times New Roman"/>
          <w:color w:val="000000"/>
          <w:sz w:val="24"/>
        </w:rPr>
        <w:t>Krawinkel</w:t>
      </w:r>
      <w:proofErr w:type="spellEnd"/>
      <w:r>
        <w:rPr>
          <w:rFonts w:ascii="Times New Roman" w:eastAsia="Times New Roman" w:hAnsi="Times New Roman" w:cs="Times New Roman"/>
          <w:color w:val="000000"/>
          <w:sz w:val="24"/>
        </w:rPr>
        <w:t xml:space="preserve">, M., &amp; Keding, G. B. (2021). Seasonal Variations in Dietary Diversity and Nutrient Intakes of Women and Their Children (6–23 Months) in Western Kenya. </w:t>
      </w:r>
      <w:r>
        <w:rPr>
          <w:rFonts w:ascii="Times New Roman" w:eastAsia="Times New Roman" w:hAnsi="Times New Roman" w:cs="Times New Roman"/>
          <w:i/>
          <w:color w:val="000000"/>
          <w:sz w:val="24"/>
        </w:rPr>
        <w:t>Frontiers in Nutrition</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8</w:t>
      </w:r>
      <w:r>
        <w:rPr>
          <w:rFonts w:ascii="Times New Roman" w:eastAsia="Times New Roman" w:hAnsi="Times New Roman" w:cs="Times New Roman"/>
          <w:color w:val="000000"/>
          <w:sz w:val="24"/>
        </w:rPr>
        <w:t>. https://doi.org/10.3389/fnut.2021.636872</w:t>
      </w:r>
    </w:p>
    <w:p w14:paraId="214160CD" w14:textId="3D5B04C0" w:rsidR="0061135C" w:rsidRDefault="00000000" w:rsidP="00907341">
      <w:pPr>
        <w:pBdr>
          <w:top w:val="none" w:sz="4" w:space="0" w:color="000000"/>
          <w:left w:val="none" w:sz="4" w:space="0" w:color="000000"/>
          <w:bottom w:val="none" w:sz="4" w:space="0" w:color="000000"/>
          <w:right w:val="none" w:sz="4" w:space="0" w:color="000000"/>
        </w:pBdr>
        <w:spacing w:before="120" w:after="120" w:line="360" w:lineRule="auto"/>
        <w:ind w:hanging="709"/>
        <w:jc w:val="both"/>
        <w:rPr>
          <w:rFonts w:ascii="Times New Roman" w:hAnsi="Times New Roman" w:cs="Times New Roman"/>
        </w:rPr>
      </w:pPr>
      <w:proofErr w:type="spellStart"/>
      <w:r>
        <w:rPr>
          <w:rFonts w:ascii="Times New Roman" w:eastAsia="Times New Roman" w:hAnsi="Times New Roman" w:cs="Times New Roman"/>
          <w:color w:val="000000"/>
          <w:sz w:val="24"/>
        </w:rPr>
        <w:t>Zemene</w:t>
      </w:r>
      <w:proofErr w:type="spellEnd"/>
      <w:r>
        <w:rPr>
          <w:rFonts w:ascii="Times New Roman" w:eastAsia="Times New Roman" w:hAnsi="Times New Roman" w:cs="Times New Roman"/>
          <w:color w:val="000000"/>
          <w:sz w:val="24"/>
        </w:rPr>
        <w:t xml:space="preserve">, M. A., Kebede, N., Anteneh, R. M., Moges, N., Tsega, S. S., Dessie, A. M., Belete, M. A., Anley, D. T., Alemayehu, E., Chanie, E. S., &amp; Gebeyehu, A. A. (2024). Determinants of animal source food consumption among children aged 6–23 months in sub-Saharan Africa: multilevel mixed effect model. </w:t>
      </w:r>
      <w:r>
        <w:rPr>
          <w:rFonts w:ascii="Times New Roman" w:eastAsia="Times New Roman" w:hAnsi="Times New Roman" w:cs="Times New Roman"/>
          <w:i/>
          <w:color w:val="000000"/>
          <w:sz w:val="24"/>
        </w:rPr>
        <w:t>Scientific Reports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14</w:t>
      </w:r>
      <w:r>
        <w:rPr>
          <w:rFonts w:ascii="Times New Roman" w:eastAsia="Times New Roman" w:hAnsi="Times New Roman" w:cs="Times New Roman"/>
          <w:color w:val="000000"/>
          <w:sz w:val="24"/>
        </w:rPr>
        <w:t>(1). https://doi.org/10.1038/s41598-024-73840-8</w:t>
      </w:r>
    </w:p>
    <w:p w14:paraId="642B4D98" w14:textId="77777777" w:rsidR="0061135C" w:rsidRDefault="0061135C" w:rsidP="00907341">
      <w:pPr>
        <w:spacing w:line="360" w:lineRule="auto"/>
        <w:ind w:hanging="709"/>
        <w:jc w:val="both"/>
        <w:rPr>
          <w:rFonts w:ascii="Times New Roman" w:hAnsi="Times New Roman" w:cs="Times New Roman"/>
        </w:rPr>
      </w:pPr>
    </w:p>
    <w:sectPr w:rsidR="0061135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F3CA" w14:textId="77777777" w:rsidR="006371D4" w:rsidRDefault="006371D4">
      <w:pPr>
        <w:spacing w:after="0" w:line="240" w:lineRule="auto"/>
      </w:pPr>
      <w:r>
        <w:separator/>
      </w:r>
    </w:p>
  </w:endnote>
  <w:endnote w:type="continuationSeparator" w:id="0">
    <w:p w14:paraId="377C0705" w14:textId="77777777" w:rsidR="006371D4" w:rsidRDefault="0063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59B0" w14:textId="77777777" w:rsidR="006371D4" w:rsidRDefault="006371D4">
      <w:pPr>
        <w:spacing w:after="0" w:line="240" w:lineRule="auto"/>
      </w:pPr>
      <w:r>
        <w:separator/>
      </w:r>
    </w:p>
  </w:footnote>
  <w:footnote w:type="continuationSeparator" w:id="0">
    <w:p w14:paraId="2E0D6BBE" w14:textId="77777777" w:rsidR="006371D4" w:rsidRDefault="00637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5C"/>
    <w:rsid w:val="000533C4"/>
    <w:rsid w:val="00076737"/>
    <w:rsid w:val="000B469E"/>
    <w:rsid w:val="000F7A11"/>
    <w:rsid w:val="00131FC9"/>
    <w:rsid w:val="00152276"/>
    <w:rsid w:val="001E5B18"/>
    <w:rsid w:val="00456CE4"/>
    <w:rsid w:val="0061135C"/>
    <w:rsid w:val="006371D4"/>
    <w:rsid w:val="00907341"/>
    <w:rsid w:val="00A21CD7"/>
    <w:rsid w:val="00A37B55"/>
    <w:rsid w:val="00BA46E8"/>
    <w:rsid w:val="00C03ED2"/>
    <w:rsid w:val="00DB4ADE"/>
    <w:rsid w:val="00ED7C30"/>
    <w:rsid w:val="00F10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A170"/>
  <w15:docId w15:val="{AD4F3113-E9BA-4FBC-BC35-9A11AE92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E5B18"/>
    <w:rPr>
      <w:sz w:val="16"/>
      <w:szCs w:val="16"/>
    </w:rPr>
  </w:style>
  <w:style w:type="paragraph" w:styleId="CommentText">
    <w:name w:val="annotation text"/>
    <w:basedOn w:val="Normal"/>
    <w:link w:val="CommentTextChar"/>
    <w:uiPriority w:val="99"/>
    <w:semiHidden/>
    <w:unhideWhenUsed/>
    <w:rsid w:val="001E5B18"/>
    <w:pPr>
      <w:spacing w:line="240" w:lineRule="auto"/>
    </w:pPr>
    <w:rPr>
      <w:sz w:val="20"/>
      <w:szCs w:val="20"/>
    </w:rPr>
  </w:style>
  <w:style w:type="character" w:customStyle="1" w:styleId="CommentTextChar">
    <w:name w:val="Comment Text Char"/>
    <w:basedOn w:val="DefaultParagraphFont"/>
    <w:link w:val="CommentText"/>
    <w:uiPriority w:val="99"/>
    <w:semiHidden/>
    <w:rsid w:val="001E5B18"/>
    <w:rPr>
      <w:sz w:val="20"/>
      <w:szCs w:val="20"/>
    </w:rPr>
  </w:style>
  <w:style w:type="paragraph" w:styleId="CommentSubject">
    <w:name w:val="annotation subject"/>
    <w:basedOn w:val="CommentText"/>
    <w:next w:val="CommentText"/>
    <w:link w:val="CommentSubjectChar"/>
    <w:uiPriority w:val="99"/>
    <w:semiHidden/>
    <w:unhideWhenUsed/>
    <w:rsid w:val="001E5B18"/>
    <w:rPr>
      <w:b/>
      <w:bCs/>
    </w:rPr>
  </w:style>
  <w:style w:type="character" w:customStyle="1" w:styleId="CommentSubjectChar">
    <w:name w:val="Comment Subject Char"/>
    <w:basedOn w:val="CommentTextChar"/>
    <w:link w:val="CommentSubject"/>
    <w:uiPriority w:val="99"/>
    <w:semiHidden/>
    <w:rsid w:val="001E5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prstGeom prst="rect">
          <a:avLst/>
        </a:prstGeom>
        <a:noFill/>
        <a:ln>
          <a:noFill/>
        </a:ln>
        <a:effectLst/>
      </c:spPr>
    </c:floor>
    <c:sideWall>
      <c:thickness val="0"/>
      <c:spPr>
        <a:prstGeom prst="rect">
          <a:avLst/>
        </a:prstGeom>
        <a:noFill/>
        <a:ln>
          <a:noFill/>
        </a:ln>
        <a:effectLst/>
      </c:spPr>
    </c:sideWall>
    <c:backWall>
      <c:thickness val="0"/>
      <c:spPr>
        <a:prstGeom prst="rect">
          <a:avLst/>
        </a:prstGeom>
        <a:noFill/>
        <a:ln>
          <a:noFill/>
        </a:ln>
        <a:effectLst/>
      </c:spPr>
    </c:backWall>
    <c:plotArea>
      <c:layout/>
      <c:pie3DChart>
        <c:varyColors val="1"/>
        <c:ser>
          <c:idx val="0"/>
          <c:order val="0"/>
          <c:dPt>
            <c:idx val="0"/>
            <c:bubble3D val="0"/>
            <c:spPr>
              <a:prstGeom prst="rect">
                <a:avLst/>
              </a:prstGeom>
              <a:solidFill>
                <a:schemeClr val="accent1"/>
              </a:solidFill>
              <a:ln w="25400">
                <a:solidFill>
                  <a:schemeClr val="lt1"/>
                </a:solidFill>
              </a:ln>
              <a:effectLst/>
            </c:spPr>
            <c:extLst>
              <c:ext xmlns:c16="http://schemas.microsoft.com/office/drawing/2014/chart" uri="{C3380CC4-5D6E-409C-BE32-E72D297353CC}">
                <c16:uniqueId val="{00000001-380C-4513-BF3C-1CAE77ECB0C1}"/>
              </c:ext>
            </c:extLst>
          </c:dPt>
          <c:dPt>
            <c:idx val="1"/>
            <c:bubble3D val="0"/>
            <c:spPr>
              <a:prstGeom prst="rect">
                <a:avLst/>
              </a:prstGeom>
              <a:solidFill>
                <a:schemeClr val="accent2"/>
              </a:solidFill>
              <a:ln w="25400">
                <a:solidFill>
                  <a:schemeClr val="lt1"/>
                </a:solidFill>
              </a:ln>
              <a:effectLst/>
            </c:spPr>
            <c:extLst>
              <c:ext xmlns:c16="http://schemas.microsoft.com/office/drawing/2014/chart" uri="{C3380CC4-5D6E-409C-BE32-E72D297353CC}">
                <c16:uniqueId val="{00000003-380C-4513-BF3C-1CAE77ECB0C1}"/>
              </c:ext>
            </c:extLst>
          </c:dPt>
          <c:dPt>
            <c:idx val="2"/>
            <c:bubble3D val="0"/>
            <c:spPr>
              <a:prstGeom prst="rect">
                <a:avLst/>
              </a:prstGeom>
              <a:solidFill>
                <a:schemeClr val="accent3"/>
              </a:solidFill>
              <a:ln w="25400">
                <a:solidFill>
                  <a:schemeClr val="lt1"/>
                </a:solidFill>
              </a:ln>
              <a:effectLst/>
            </c:spPr>
            <c:extLst>
              <c:ext xmlns:c16="http://schemas.microsoft.com/office/drawing/2014/chart" uri="{C3380CC4-5D6E-409C-BE32-E72D297353CC}">
                <c16:uniqueId val="{00000005-380C-4513-BF3C-1CAE77ECB0C1}"/>
              </c:ext>
            </c:extLst>
          </c:dPt>
          <c:dLbls>
            <c:spPr>
              <a:noFill/>
              <a:ln>
                <a:noFill/>
              </a:ln>
              <a:effectLst/>
            </c:spPr>
            <c:txPr>
              <a:bodyPr rot="0" spcFirstLastPara="1" vertOverflow="ellipsis" vert="horz" wrap="square" lIns="38099" tIns="19049" rIns="38099" bIns="19049" anchor="ctr" anchorCtr="1">
                <a:spAutoFit/>
              </a:bodyPr>
              <a:lstStyle/>
              <a:p>
                <a:pPr>
                  <a:defRPr sz="900" b="0" i="0" u="none" strike="noStrike">
                    <a:solidFill>
                      <a:schemeClr val="tx1">
                        <a:lumMod val="75000"/>
                        <a:lumOff val="25000"/>
                      </a:schemeClr>
                    </a:solidFill>
                    <a:latin typeface="+mn-lt"/>
                    <a:ea typeface="+mn-ea"/>
                    <a:cs typeface="+mn-cs"/>
                  </a:defRPr>
                </a:pPr>
                <a:endParaRPr lang="en-KE"/>
              </a:p>
            </c:txPr>
            <c:showLegendKey val="0"/>
            <c:showVal val="1"/>
            <c:showCatName val="0"/>
            <c:showSerName val="0"/>
            <c:showPercent val="0"/>
            <c:showBubbleSize val="0"/>
            <c:showLeaderLines val="1"/>
            <c:leaderLines>
              <c:spPr>
                <a:prstGeom prst="rect">
                  <a:avLst/>
                </a:prstGeom>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Sheet1!$D$5:$D$7</c:f>
              <c:strCache>
                <c:ptCount val="3"/>
                <c:pt idx="0">
                  <c:v>Gender inequality in resource control</c:v>
                </c:pt>
                <c:pt idx="1">
                  <c:v> Food taboos</c:v>
                </c:pt>
                <c:pt idx="2">
                  <c:v> Traditional eating habits</c:v>
                </c:pt>
              </c:strCache>
            </c:strRef>
          </c:cat>
          <c:val>
            <c:numRef>
              <c:f>Sheet1!$E$5:$E$7</c:f>
              <c:numCache>
                <c:formatCode>0%</c:formatCode>
                <c:ptCount val="3"/>
                <c:pt idx="0">
                  <c:v>0.54</c:v>
                </c:pt>
                <c:pt idx="1">
                  <c:v>0.18</c:v>
                </c:pt>
                <c:pt idx="2">
                  <c:v>0.28000000000000003</c:v>
                </c:pt>
              </c:numCache>
            </c:numRef>
          </c:val>
          <c:extLst>
            <c:ext xmlns:c16="http://schemas.microsoft.com/office/drawing/2014/chart" uri="{C3380CC4-5D6E-409C-BE32-E72D297353CC}">
              <c16:uniqueId val="{00000006-380C-4513-BF3C-1CAE77ECB0C1}"/>
            </c:ext>
          </c:extLst>
        </c:ser>
        <c:dLbls>
          <c:showLegendKey val="0"/>
          <c:showVal val="0"/>
          <c:showCatName val="0"/>
          <c:showSerName val="0"/>
          <c:showPercent val="0"/>
          <c:showBubbleSize val="0"/>
          <c:showLeaderLines val="1"/>
        </c:dLbls>
      </c:pie3DChart>
      <c:spPr>
        <a:prstGeom prst="rect">
          <a:avLst/>
        </a:prstGeom>
        <a:noFill/>
        <a:ln>
          <a:noFill/>
        </a:ln>
        <a:effectLst/>
      </c:spPr>
    </c:plotArea>
    <c:legend>
      <c:legendPos val="b"/>
      <c:legendEntry>
        <c:idx val="0"/>
        <c:txPr>
          <a:bodyPr rot="0" spcFirstLastPara="1" vertOverflow="ellipsis" vert="horz" wrap="square" anchor="ctr" anchorCtr="1"/>
          <a:lstStyle/>
          <a:p>
            <a:pPr>
              <a:defRPr sz="1200" b="0" i="0" u="none" strike="noStrike">
                <a:solidFill>
                  <a:sysClr val="windowText" lastClr="000000"/>
                </a:solidFill>
                <a:latin typeface="Times New Roman"/>
                <a:ea typeface="+mn-ea"/>
                <a:cs typeface="Times New Roman"/>
              </a:defRPr>
            </a:pPr>
            <a:endParaRPr lang="en-KE"/>
          </a:p>
        </c:txPr>
      </c:legendEntry>
      <c:legendEntry>
        <c:idx val="1"/>
        <c:txPr>
          <a:bodyPr rot="0" spcFirstLastPara="1" vertOverflow="ellipsis" vert="horz" wrap="square" anchor="ctr" anchorCtr="1"/>
          <a:lstStyle/>
          <a:p>
            <a:pPr>
              <a:defRPr sz="1200" b="0" i="0" u="none" strike="noStrike">
                <a:solidFill>
                  <a:sysClr val="windowText" lastClr="000000"/>
                </a:solidFill>
                <a:latin typeface="Times New Roman"/>
                <a:ea typeface="+mn-ea"/>
                <a:cs typeface="Times New Roman"/>
              </a:defRPr>
            </a:pPr>
            <a:endParaRPr lang="en-KE"/>
          </a:p>
        </c:txPr>
      </c:legendEntry>
      <c:legendEntry>
        <c:idx val="2"/>
        <c:txPr>
          <a:bodyPr rot="0" spcFirstLastPara="1" vertOverflow="ellipsis" vert="horz" wrap="square" anchor="ctr" anchorCtr="1"/>
          <a:lstStyle/>
          <a:p>
            <a:pPr>
              <a:defRPr sz="1200" b="0" i="0" u="none" strike="noStrike">
                <a:solidFill>
                  <a:sysClr val="windowText" lastClr="000000"/>
                </a:solidFill>
                <a:latin typeface="Times New Roman"/>
                <a:ea typeface="+mn-ea"/>
                <a:cs typeface="Times New Roman"/>
              </a:defRPr>
            </a:pPr>
            <a:endParaRPr lang="en-KE"/>
          </a:p>
        </c:txPr>
      </c:legendEntry>
      <c:overlay val="0"/>
      <c:spPr>
        <a:prstGeom prst="rect">
          <a:avLst/>
        </a:prstGeom>
        <a:noFill/>
        <a:ln>
          <a:noFill/>
        </a:ln>
        <a:effectLst/>
      </c:spPr>
      <c:txPr>
        <a:bodyPr rot="0" spcFirstLastPara="1" vertOverflow="ellipsis" vert="horz" wrap="square" anchor="ctr" anchorCtr="1"/>
        <a:lstStyle/>
        <a:p>
          <a:pPr>
            <a:defRPr sz="1200" b="0" i="0" u="none" strike="noStrike">
              <a:solidFill>
                <a:sysClr val="windowText" lastClr="000000"/>
              </a:solidFill>
              <a:latin typeface="Times New Roman"/>
              <a:ea typeface="+mn-ea"/>
              <a:cs typeface="Times New Roman"/>
            </a:defRPr>
          </a:pPr>
          <a:endParaRPr lang="en-KE"/>
        </a:p>
      </c:txPr>
    </c:legend>
    <c:plotVisOnly val="1"/>
    <c:dispBlanksAs val="gap"/>
    <c:showDLblsOverMax val="0"/>
  </c:chart>
  <c:spPr>
    <a:xfrm>
      <a:off x="0" y="0"/>
      <a:ext cx="4572000" cy="2743200"/>
    </a:xfrm>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2">
    <c:autoUpdate val="1"/>
  </c:externalData>
</c:chartSpace>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B7CE-EE18-4330-B341-D4BB0D9C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9034</Words>
  <Characters>51495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Onyancha</dc:creator>
  <cp:lastModifiedBy>RACHAEL Onyancha</cp:lastModifiedBy>
  <cp:revision>2</cp:revision>
  <dcterms:created xsi:type="dcterms:W3CDTF">2026-06-08T13:35:00Z</dcterms:created>
  <dcterms:modified xsi:type="dcterms:W3CDTF">2026-06-08T13:35:00Z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c9a6d488-8d4c-485b-9498-59e9d4670ed5</vt:lpwstr>
  </property>
</Properties>
</file>