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FF9F7">
      <w:pPr>
        <w:widowControl/>
        <w:kinsoku w:val="0"/>
        <w:autoSpaceDE w:val="0"/>
        <w:autoSpaceDN w:val="0"/>
        <w:adjustRightInd w:val="0"/>
        <w:snapToGrid w:val="0"/>
        <w:spacing w:line="246" w:lineRule="auto"/>
        <w:jc w:val="center"/>
        <w:textAlignment w:val="baseline"/>
        <w:rPr>
          <w:rFonts w:ascii="Arial" w:hAnsi="Arial" w:eastAsia="Arial" w:cs="Arial"/>
          <w:b/>
          <w:bCs/>
          <w:snapToGrid w:val="0"/>
          <w:color w:val="000000"/>
          <w:kern w:val="0"/>
          <w:sz w:val="28"/>
          <w:szCs w:val="28"/>
          <w:lang w:eastAsia="en-US"/>
        </w:rPr>
      </w:pPr>
      <w:r>
        <w:rPr>
          <w:rFonts w:ascii="Arial" w:hAnsi="Arial" w:eastAsia="Arial" w:cs="Arial"/>
          <w:b/>
          <w:bCs/>
          <w:snapToGrid w:val="0"/>
          <w:color w:val="000000"/>
          <w:kern w:val="0"/>
          <w:sz w:val="28"/>
          <w:szCs w:val="28"/>
          <w:lang w:eastAsia="en-US"/>
        </w:rPr>
        <w:t>AI-Driven Transformation Roadmap for Manufacturing SMEs</w:t>
      </w:r>
      <w:bookmarkStart w:id="0" w:name="bookmark3"/>
      <w:bookmarkEnd w:id="0"/>
      <w:bookmarkStart w:id="1" w:name="bookmark2"/>
      <w:bookmarkEnd w:id="1"/>
    </w:p>
    <w:p w14:paraId="6B671BD0">
      <w:pPr>
        <w:widowControl/>
        <w:kinsoku w:val="0"/>
        <w:autoSpaceDE w:val="0"/>
        <w:autoSpaceDN w:val="0"/>
        <w:adjustRightInd w:val="0"/>
        <w:snapToGrid w:val="0"/>
        <w:spacing w:line="246" w:lineRule="auto"/>
        <w:jc w:val="center"/>
        <w:textAlignment w:val="baseline"/>
        <w:rPr>
          <w:rFonts w:ascii="Arial" w:hAnsi="Arial" w:eastAsia="Arial" w:cs="Arial"/>
          <w:b/>
          <w:bCs/>
          <w:snapToGrid w:val="0"/>
          <w:color w:val="000000"/>
          <w:kern w:val="0"/>
          <w:sz w:val="28"/>
          <w:szCs w:val="28"/>
          <w:lang w:eastAsia="en-US"/>
        </w:rPr>
      </w:pPr>
    </w:p>
    <w:p w14:paraId="6B3B630F">
      <w:pPr>
        <w:widowControl/>
        <w:kinsoku w:val="0"/>
        <w:autoSpaceDE w:val="0"/>
        <w:autoSpaceDN w:val="0"/>
        <w:adjustRightInd w:val="0"/>
        <w:snapToGrid w:val="0"/>
        <w:spacing w:line="246" w:lineRule="auto"/>
        <w:jc w:val="both"/>
        <w:textAlignment w:val="baseline"/>
        <w:rPr>
          <w:rFonts w:hint="eastAsia" w:ascii="Arial" w:hAnsi="Arial" w:eastAsia="宋体" w:cs="Arial"/>
          <w:b/>
          <w:bCs/>
          <w:snapToGrid w:val="0"/>
          <w:color w:val="000000"/>
          <w:kern w:val="0"/>
          <w:sz w:val="21"/>
          <w:szCs w:val="21"/>
          <w:lang w:val="en-US" w:eastAsia="zh-CN"/>
        </w:rPr>
      </w:pPr>
      <w:r>
        <w:rPr>
          <w:rFonts w:hint="eastAsia" w:ascii="Arial" w:hAnsi="Arial" w:eastAsia="宋体" w:cs="Arial"/>
          <w:b/>
          <w:bCs/>
          <w:snapToGrid w:val="0"/>
          <w:color w:val="000000"/>
          <w:kern w:val="0"/>
          <w:sz w:val="28"/>
          <w:szCs w:val="28"/>
          <w:lang w:val="en-US" w:eastAsia="zh-CN"/>
        </w:rPr>
        <w:t xml:space="preserve"/>
      </w:r>
      <w:r>
        <w:rPr>
          <w:rFonts w:hint="eastAsia" w:ascii="Arial" w:hAnsi="Arial" w:eastAsia="宋体" w:cs="Arial"/>
          <w:b/>
          <w:bCs/>
          <w:snapToGrid w:val="0"/>
          <w:color w:val="000000"/>
          <w:kern w:val="0"/>
          <w:sz w:val="21"/>
          <w:szCs w:val="21"/>
          <w:lang w:val="en-US" w:eastAsia="zh-CN"/>
        </w:rPr>
        <w:t xml:space="preserve"/>
      </w:r>
    </w:p>
    <w:p w14:paraId="2E9007AC">
      <w:pPr>
        <w:widowControl/>
        <w:kinsoku w:val="0"/>
        <w:autoSpaceDE w:val="0"/>
        <w:autoSpaceDN w:val="0"/>
        <w:adjustRightInd w:val="0"/>
        <w:snapToGrid w:val="0"/>
        <w:spacing w:line="246" w:lineRule="auto"/>
        <w:jc w:val="both"/>
        <w:textAlignment w:val="baseline"/>
        <w:rPr>
          <w:rFonts w:hint="eastAsia" w:ascii="Arial" w:hAnsi="Arial" w:eastAsia="宋体" w:cs="Arial"/>
          <w:b/>
          <w:bCs/>
          <w:snapToGrid w:val="0"/>
          <w:color w:val="000000"/>
          <w:kern w:val="0"/>
          <w:sz w:val="21"/>
          <w:szCs w:val="21"/>
          <w:lang w:val="en-US" w:eastAsia="zh-CN"/>
        </w:rPr>
      </w:pPr>
      <w:r>
        <w:rPr>
          <w:rFonts w:hint="eastAsia" w:ascii="Arial" w:hAnsi="Arial" w:eastAsia="宋体" w:cs="Arial"/>
          <w:b/>
          <w:bCs/>
          <w:snapToGrid w:val="0"/>
          <w:color w:val="000000"/>
          <w:kern w:val="0"/>
          <w:sz w:val="21"/>
          <w:szCs w:val="21"/>
          <w:lang w:val="en-US" w:eastAsia="zh-CN"/>
        </w:rPr>
        <w:t xml:space="preserve">  </w:t>
      </w:r>
    </w:p>
    <w:p w14:paraId="3A96E289">
      <w:pPr>
        <w:widowControl/>
        <w:kinsoku w:val="0"/>
        <w:autoSpaceDE w:val="0"/>
        <w:autoSpaceDN w:val="0"/>
        <w:adjustRightInd w:val="0"/>
        <w:snapToGrid w:val="0"/>
        <w:spacing w:line="246" w:lineRule="auto"/>
        <w:ind w:firstLine="736" w:firstLineChars="350"/>
        <w:jc w:val="both"/>
        <w:textAlignment w:val="baseline"/>
        <w:rPr>
          <w:rFonts w:hint="default" w:ascii="Arial" w:hAnsi="Arial" w:eastAsia="宋体" w:cs="Arial"/>
          <w:b/>
          <w:bCs/>
          <w:snapToGrid w:val="0"/>
          <w:color w:val="000000"/>
          <w:kern w:val="0"/>
          <w:sz w:val="21"/>
          <w:szCs w:val="21"/>
          <w:lang w:val="en-US" w:eastAsia="zh-CN"/>
        </w:rPr>
      </w:pPr>
      <w:r>
        <w:rPr>
          <w:rFonts w:hint="eastAsia" w:ascii="Arial" w:hAnsi="Arial" w:eastAsia="宋体" w:cs="Arial"/>
          <w:b/>
          <w:bCs/>
          <w:snapToGrid w:val="0"/>
          <w:color w:val="000000"/>
          <w:kern w:val="0"/>
          <w:sz w:val="21"/>
          <w:szCs w:val="21"/>
          <w:lang w:val="en-US" w:eastAsia="zh-CN"/>
        </w:rPr>
        <w:t/>
      </w:r>
      <w:r>
        <w:rPr>
          <w:rFonts w:hint="default" w:ascii="Arial" w:hAnsi="Arial" w:eastAsia="宋体" w:cs="Arial"/>
          <w:b/>
          <w:bCs/>
          <w:snapToGrid w:val="0"/>
          <w:color w:val="000000"/>
          <w:kern w:val="0"/>
          <w:sz w:val="21"/>
          <w:szCs w:val="21"/>
          <w:lang w:val="en-US" w:eastAsia="zh-CN"/>
        </w:rPr>
        <w:t/>
      </w:r>
      <w:bookmarkStart w:id="2" w:name="_GoBack"/>
      <w:r>
        <w:rPr>
          <w:rFonts w:hint="default" w:ascii="Arial" w:hAnsi="Arial" w:eastAsia="宋体" w:cs="Arial"/>
          <w:b/>
          <w:bCs/>
          <w:snapToGrid w:val="0"/>
          <w:color w:val="000000"/>
          <w:kern w:val="0"/>
          <w:sz w:val="21"/>
          <w:szCs w:val="21"/>
          <w:lang w:val="en-US" w:eastAsia="zh-CN"/>
        </w:rPr>
        <w:t/>
      </w:r>
      <w:r>
        <w:rPr>
          <w:rFonts w:hint="eastAsia" w:ascii="Arial" w:hAnsi="Arial" w:eastAsia="宋体" w:cs="Arial"/>
          <w:b/>
          <w:bCs/>
          <w:snapToGrid w:val="0"/>
          <w:color w:val="000000"/>
          <w:kern w:val="0"/>
          <w:sz w:val="21"/>
          <w:szCs w:val="21"/>
          <w:lang w:val="en-US" w:eastAsia="zh-CN"/>
        </w:rPr>
        <w:t xml:space="preserve"/>
      </w:r>
      <w:r>
        <w:rPr>
          <w:rFonts w:hint="default" w:ascii="Arial" w:hAnsi="Arial" w:eastAsia="宋体" w:cs="Arial"/>
          <w:b/>
          <w:bCs/>
          <w:snapToGrid w:val="0"/>
          <w:color w:val="000000"/>
          <w:kern w:val="0"/>
          <w:sz w:val="21"/>
          <w:szCs w:val="21"/>
          <w:lang w:val="en-US" w:eastAsia="zh-CN"/>
        </w:rPr>
        <w:t/>
      </w:r>
    </w:p>
    <w:bookmarkEnd w:id="2"/>
    <w:p w14:paraId="31B878C9">
      <w:pPr>
        <w:widowControl/>
        <w:kinsoku w:val="0"/>
        <w:autoSpaceDE w:val="0"/>
        <w:autoSpaceDN w:val="0"/>
        <w:adjustRightInd w:val="0"/>
        <w:snapToGrid w:val="0"/>
        <w:spacing w:line="246" w:lineRule="auto"/>
        <w:jc w:val="both"/>
        <w:textAlignment w:val="baseline"/>
        <w:rPr>
          <w:rFonts w:hint="default" w:ascii="Arial" w:hAnsi="Arial" w:eastAsia="宋体" w:cs="Arial"/>
          <w:b/>
          <w:bCs/>
          <w:snapToGrid w:val="0"/>
          <w:color w:val="000000"/>
          <w:kern w:val="0"/>
          <w:sz w:val="21"/>
          <w:szCs w:val="21"/>
          <w:lang w:val="en-US" w:eastAsia="zh-CN"/>
        </w:rPr>
      </w:pPr>
      <w:r>
        <w:rPr>
          <w:rFonts w:hint="default" w:ascii="Arial" w:hAnsi="Arial" w:eastAsia="宋体" w:cs="Arial"/>
          <w:b/>
          <w:bCs/>
          <w:snapToGrid w:val="0"/>
          <w:color w:val="000000"/>
          <w:kern w:val="0"/>
          <w:sz w:val="21"/>
          <w:szCs w:val="21"/>
          <w:lang w:val="en-US" w:eastAsia="zh-CN"/>
        </w:rPr>
        <w:t xml:space="preserve">                </w:t>
      </w:r>
    </w:p>
    <w:p w14:paraId="2EEFEF48">
      <w:pPr>
        <w:widowControl/>
        <w:kinsoku w:val="0"/>
        <w:autoSpaceDE w:val="0"/>
        <w:autoSpaceDN w:val="0"/>
        <w:adjustRightInd w:val="0"/>
        <w:snapToGrid w:val="0"/>
        <w:spacing w:line="246" w:lineRule="auto"/>
        <w:jc w:val="both"/>
        <w:textAlignment w:val="baseline"/>
        <w:rPr>
          <w:rFonts w:hint="default" w:ascii="Arial" w:hAnsi="Arial" w:eastAsia="宋体" w:cs="Arial"/>
          <w:b/>
          <w:bCs/>
          <w:snapToGrid w:val="0"/>
          <w:color w:val="000000"/>
          <w:kern w:val="0"/>
          <w:sz w:val="21"/>
          <w:szCs w:val="21"/>
          <w:lang w:val="en-US" w:eastAsia="zh-CN"/>
        </w:rPr>
      </w:pPr>
      <w:r>
        <w:rPr>
          <w:rFonts w:hint="default" w:ascii="Arial" w:hAnsi="Arial" w:eastAsia="宋体" w:cs="Arial"/>
          <w:b/>
          <w:bCs/>
          <w:snapToGrid w:val="0"/>
          <w:color w:val="000000"/>
          <w:kern w:val="0"/>
          <w:sz w:val="21"/>
          <w:szCs w:val="21"/>
          <w:lang w:val="en-US" w:eastAsia="zh-CN"/>
        </w:rPr>
        <w:t xml:space="preserve"/>
      </w:r>
    </w:p>
    <w:p w14:paraId="1E17FF45">
      <w:pPr>
        <w:widowControl/>
        <w:kinsoku w:val="0"/>
        <w:autoSpaceDE w:val="0"/>
        <w:autoSpaceDN w:val="0"/>
        <w:adjustRightInd w:val="0"/>
        <w:snapToGrid w:val="0"/>
        <w:spacing w:line="246" w:lineRule="auto"/>
        <w:jc w:val="center"/>
        <w:textAlignment w:val="baseline"/>
        <w:rPr>
          <w:rFonts w:ascii="Arial" w:hAnsi="Arial" w:eastAsia="Arial" w:cs="Arial"/>
          <w:b/>
          <w:bCs/>
          <w:snapToGrid w:val="0"/>
          <w:color w:val="000000"/>
          <w:kern w:val="0"/>
          <w:sz w:val="28"/>
          <w:szCs w:val="28"/>
          <w:lang w:eastAsia="en-US"/>
        </w:rPr>
      </w:pPr>
    </w:p>
    <w:p w14:paraId="51066A5E">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宋体" w:cs="Times New Roman"/>
          <w:snapToGrid w:val="0"/>
          <w:color w:val="000000"/>
          <w:spacing w:val="-1"/>
          <w:kern w:val="0"/>
          <w:sz w:val="24"/>
          <w:szCs w:val="24"/>
          <w:lang w:val="en-US" w:eastAsia="zh-CN" w:bidi="ar-SA"/>
        </w:rPr>
      </w:pPr>
      <w:r>
        <w:rPr>
          <w:rFonts w:hint="eastAsia" w:ascii="Times New Roman" w:hAnsi="Times New Roman" w:eastAsia="宋体" w:cs="Times New Roman"/>
          <w:snapToGrid w:val="0"/>
          <w:color w:val="000000"/>
          <w:spacing w:val="-1"/>
          <w:kern w:val="0"/>
          <w:sz w:val="24"/>
          <w:szCs w:val="24"/>
          <w:lang w:val="en-US" w:eastAsia="zh-CN" w:bidi="ar-SA"/>
        </w:rPr>
        <w:t xml:space="preserve">                       ABSTRACT </w:t>
      </w:r>
    </w:p>
    <w:p w14:paraId="0AD19B58">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p>
    <w:p w14:paraId="67DC4231">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Manufacturing SMEs are increasingly pressured to adopt digital technologies and artificial intelligence (AI) to remain competitive in global export markets. However, many SMEs continue to experience weak innovation performance, poor commercialization outcomes, fragmented R&amp;D structures, and limited scalability despite substantial investment in digital transformation initiatives. This suggests that technological adoption alone is insufficient to generate sustainable export competitiveness when organizations lack integrated R&amp;D transformation strategies, governance alignment, and innovation capability maturity.</w:t>
      </w:r>
    </w:p>
    <w:p w14:paraId="202B0AC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eastAsia" w:ascii="Times New Roman" w:hAnsi="Times New Roman" w:eastAsia="宋体" w:cs="Times New Roman"/>
          <w:snapToGrid w:val="0"/>
          <w:color w:val="000000"/>
          <w:spacing w:val="-1"/>
          <w:kern w:val="0"/>
          <w:sz w:val="24"/>
          <w:szCs w:val="24"/>
          <w:lang w:val="en-US" w:eastAsia="zh-CN" w:bidi="ar-SA"/>
        </w:rPr>
        <w:t>S</w:t>
      </w:r>
      <w:r>
        <w:rPr>
          <w:rFonts w:hint="default" w:ascii="Times New Roman" w:hAnsi="Times New Roman" w:eastAsia="Times New Roman" w:cs="Times New Roman"/>
          <w:snapToGrid w:val="0"/>
          <w:color w:val="000000"/>
          <w:spacing w:val="-1"/>
          <w:kern w:val="0"/>
          <w:sz w:val="24"/>
          <w:szCs w:val="24"/>
          <w:lang w:val="en-US" w:eastAsia="en-US" w:bidi="ar-SA"/>
        </w:rPr>
        <w:t>trategic problem of weak AI-driven innovation transformation among manufacturing SMEs, particularly those operating within export-oriented industries. The study adopts an executive-level strategic consulting perspective and applies advanced R&amp;D and innovation management frameworks to diagnose the structural causes of underperformance. Rather than treating AI adoption as a purely technological issue, the analysis conceptualizes the problem as a broader organizational and strategic transformation challenge involving capability development, governance redesign, commercialization readiness, and ecosystem integration.</w:t>
      </w:r>
    </w:p>
    <w:p w14:paraId="094BDC42">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The project applies multiple analytical frameworks, including the CLIMB R&amp;D Maturity Framework, Innovation Ecosystem Analysis, Technology vs Market Matrix, and Innovation Governance Framework. The diagnostic findings reveal that many manufacturing SMEs suffer from fragmented innovation governance, low AI commercialization capability, weak cross-functional integration, talent shortages, reactive technology adoption, and insufficient strategic alignment between R&amp;D investments and export market requirements. Furthermore, digital initiatives are frequently implemented as isolated operational upgrades rather than as components of a coherent innovation strategy.</w:t>
      </w:r>
    </w:p>
    <w:p w14:paraId="64A66970">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Based on these findings, the report proposes a comprehensive AI-driven R&amp;D transformation roadmap designed to enhance export competitiveness. The proposed transformation model includes five strategic pillars:</w:t>
      </w:r>
    </w:p>
    <w:p w14:paraId="30C3BCBB">
      <w:pPr>
        <w:keepNext w:val="0"/>
        <w:keepLines w:val="0"/>
        <w:widowControl/>
        <w:numPr>
          <w:ilvl w:val="0"/>
          <w:numId w:val="1"/>
        </w:numPr>
        <w:suppressLineNumbers w:val="0"/>
        <w:kinsoku w:val="0"/>
        <w:autoSpaceDE w:val="0"/>
        <w:autoSpaceDN w:val="0"/>
        <w:adjustRightInd w:val="0"/>
        <w:snapToGrid w:val="0"/>
        <w:spacing w:before="0" w:beforeAutospacing="1" w:after="0" w:afterAutospacing="1" w:line="240" w:lineRule="auto"/>
        <w:ind w:left="720" w:hanging="360"/>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AI-integrated R&amp;D governance redesign </w:t>
      </w:r>
    </w:p>
    <w:p w14:paraId="79684149">
      <w:pPr>
        <w:keepNext w:val="0"/>
        <w:keepLines w:val="0"/>
        <w:widowControl/>
        <w:numPr>
          <w:ilvl w:val="0"/>
          <w:numId w:val="1"/>
        </w:numPr>
        <w:suppressLineNumbers w:val="0"/>
        <w:kinsoku w:val="0"/>
        <w:autoSpaceDE w:val="0"/>
        <w:autoSpaceDN w:val="0"/>
        <w:adjustRightInd w:val="0"/>
        <w:snapToGrid w:val="0"/>
        <w:spacing w:before="0" w:beforeAutospacing="1" w:after="0" w:afterAutospacing="1" w:line="240" w:lineRule="auto"/>
        <w:ind w:left="720" w:hanging="360"/>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Smart manufacturing capability development </w:t>
      </w:r>
    </w:p>
    <w:p w14:paraId="449641C3">
      <w:pPr>
        <w:keepNext w:val="0"/>
        <w:keepLines w:val="0"/>
        <w:widowControl/>
        <w:numPr>
          <w:ilvl w:val="0"/>
          <w:numId w:val="1"/>
        </w:numPr>
        <w:suppressLineNumbers w:val="0"/>
        <w:kinsoku w:val="0"/>
        <w:autoSpaceDE w:val="0"/>
        <w:autoSpaceDN w:val="0"/>
        <w:adjustRightInd w:val="0"/>
        <w:snapToGrid w:val="0"/>
        <w:spacing w:before="0" w:beforeAutospacing="1" w:after="0" w:afterAutospacing="1" w:line="240" w:lineRule="auto"/>
        <w:ind w:left="720" w:hanging="360"/>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Commercialization acceleration mechanisms </w:t>
      </w:r>
    </w:p>
    <w:p w14:paraId="1B29BE04">
      <w:pPr>
        <w:keepNext w:val="0"/>
        <w:keepLines w:val="0"/>
        <w:widowControl/>
        <w:numPr>
          <w:ilvl w:val="0"/>
          <w:numId w:val="1"/>
        </w:numPr>
        <w:suppressLineNumbers w:val="0"/>
        <w:kinsoku w:val="0"/>
        <w:autoSpaceDE w:val="0"/>
        <w:autoSpaceDN w:val="0"/>
        <w:adjustRightInd w:val="0"/>
        <w:snapToGrid w:val="0"/>
        <w:spacing w:before="0" w:beforeAutospacing="1" w:after="0" w:afterAutospacing="1" w:line="240" w:lineRule="auto"/>
        <w:ind w:left="720" w:hanging="360"/>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Innovation talent transformation </w:t>
      </w:r>
    </w:p>
    <w:p w14:paraId="4CDF9B5A">
      <w:pPr>
        <w:keepNext w:val="0"/>
        <w:keepLines w:val="0"/>
        <w:widowControl/>
        <w:numPr>
          <w:ilvl w:val="0"/>
          <w:numId w:val="1"/>
        </w:numPr>
        <w:suppressLineNumbers w:val="0"/>
        <w:kinsoku w:val="0"/>
        <w:autoSpaceDE w:val="0"/>
        <w:autoSpaceDN w:val="0"/>
        <w:adjustRightInd w:val="0"/>
        <w:snapToGrid w:val="0"/>
        <w:spacing w:before="0" w:beforeAutospacing="1" w:after="0" w:afterAutospacing="1" w:line="240" w:lineRule="auto"/>
        <w:ind w:left="720" w:hanging="360"/>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Data-driven ecosystem collaboration </w:t>
      </w:r>
    </w:p>
    <w:p w14:paraId="7D39D6EB">
      <w:pPr>
        <w:keepNext w:val="0"/>
        <w:keepLines w:val="0"/>
        <w:widowControl/>
        <w:suppressLineNumbers w:val="0"/>
        <w:kinsoku w:val="0"/>
        <w:autoSpaceDE w:val="0"/>
        <w:autoSpaceDN w:val="0"/>
        <w:adjustRightInd w:val="0"/>
        <w:snapToGrid w:val="0"/>
        <w:spacing w:before="0" w:beforeAutospacing="1" w:after="0" w:afterAutospacing="1" w:line="240" w:lineRule="auto"/>
        <w:ind w:left="0" w:right="0"/>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The proposal further incorporates phased implementation strategies, commercialization pathways, risk mitigation mechanisms, and governance review structures to ensure long-term scalability and sustainability.</w:t>
      </w:r>
    </w:p>
    <w:p w14:paraId="451BB5F8">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The study concludes that successful AI transformation within manufacturing SMEs requires more than technology investment. Sustainable export competitiveness depends on the organization’s ability to institutionalize innovation governance, integrate AI into strategic R&amp;D processes, and redesign decision-making structures capable of managing uncertainty, scalability, and market adaptation. The findings contribute to understanding of how innovation strategy, R&amp;D governance, and AI-enabled transformation intersect within contemporary manufacturing environments.</w:t>
      </w:r>
    </w:p>
    <w:p w14:paraId="709B002D">
      <w:pPr>
        <w:keepNext w:val="0"/>
        <w:keepLines w:val="0"/>
        <w:widowControl/>
        <w:suppressLineNumbers w:val="0"/>
        <w:kinsoku w:val="0"/>
        <w:autoSpaceDE w:val="0"/>
        <w:autoSpaceDN w:val="0"/>
        <w:adjustRightInd w:val="0"/>
        <w:snapToGrid w:val="0"/>
        <w:spacing w:line="240" w:lineRule="auto"/>
        <w:jc w:val="left"/>
        <w:textAlignment w:val="baseline"/>
        <w:rPr>
          <w:rFonts w:hint="default" w:ascii="Times New Roman Regular" w:hAnsi="Times New Roman Regular" w:eastAsia="Arial" w:cs="Times New Roman Regular"/>
          <w:snapToGrid w:val="0"/>
          <w:color w:val="000000"/>
          <w:kern w:val="0"/>
          <w:szCs w:val="21"/>
          <w:lang w:eastAsia="en-US"/>
        </w:rPr>
      </w:pPr>
    </w:p>
    <w:p w14:paraId="6EC92D7C">
      <w:pPr>
        <w:keepNext w:val="0"/>
        <w:keepLines w:val="0"/>
        <w:widowControl/>
        <w:suppressLineNumbers w:val="0"/>
        <w:kinsoku w:val="0"/>
        <w:autoSpaceDE w:val="0"/>
        <w:autoSpaceDN w:val="0"/>
        <w:adjustRightInd w:val="0"/>
        <w:snapToGrid w:val="0"/>
        <w:spacing w:before="0" w:beforeAutospacing="1" w:after="0" w:afterAutospacing="1" w:line="240" w:lineRule="auto"/>
        <w:jc w:val="left"/>
        <w:textAlignment w:val="baseline"/>
        <w:rPr>
          <w:rFonts w:hint="default" w:ascii="Times New Roman" w:hAnsi="Times New Roman" w:eastAsia="Times New Roman" w:cs="Times New Roman"/>
          <w:b/>
          <w:bCs/>
          <w:snapToGrid w:val="0"/>
          <w:color w:val="000000"/>
          <w:spacing w:val="-1"/>
          <w:kern w:val="0"/>
          <w:sz w:val="24"/>
          <w:szCs w:val="24"/>
          <w:lang w:val="en-US" w:eastAsia="zh-CN" w:bidi="ar-SA"/>
        </w:rPr>
      </w:pPr>
    </w:p>
    <w:p w14:paraId="10D66E23">
      <w:pPr>
        <w:keepNext w:val="0"/>
        <w:keepLines w:val="0"/>
        <w:widowControl/>
        <w:suppressLineNumbers w:val="0"/>
        <w:kinsoku w:val="0"/>
        <w:autoSpaceDE w:val="0"/>
        <w:autoSpaceDN w:val="0"/>
        <w:adjustRightInd w:val="0"/>
        <w:snapToGrid w:val="0"/>
        <w:spacing w:before="0" w:beforeAutospacing="1" w:after="0" w:afterAutospacing="1" w:line="240" w:lineRule="auto"/>
        <w:jc w:val="left"/>
        <w:textAlignment w:val="baseline"/>
        <w:rPr>
          <w:rFonts w:hint="default" w:ascii="Times New Roman" w:hAnsi="Times New Roman" w:eastAsia="Times New Roman" w:cs="Times New Roman"/>
          <w:b/>
          <w:bCs/>
          <w:snapToGrid w:val="0"/>
          <w:color w:val="000000"/>
          <w:spacing w:val="-1"/>
          <w:kern w:val="0"/>
          <w:sz w:val="24"/>
          <w:szCs w:val="24"/>
          <w:lang w:val="en-US" w:eastAsia="zh-CN" w:bidi="ar-SA"/>
        </w:rPr>
      </w:pPr>
    </w:p>
    <w:p w14:paraId="77880B84">
      <w:pPr>
        <w:keepNext w:val="0"/>
        <w:keepLines w:val="0"/>
        <w:widowControl/>
        <w:suppressLineNumbers w:val="0"/>
        <w:kinsoku w:val="0"/>
        <w:autoSpaceDE w:val="0"/>
        <w:autoSpaceDN w:val="0"/>
        <w:adjustRightInd w:val="0"/>
        <w:snapToGrid w:val="0"/>
        <w:spacing w:before="0" w:beforeAutospacing="1" w:after="0" w:afterAutospacing="1" w:line="240" w:lineRule="auto"/>
        <w:jc w:val="left"/>
        <w:textAlignment w:val="baseline"/>
        <w:rPr>
          <w:rFonts w:hint="default" w:ascii="Times New Roman" w:hAnsi="Times New Roman" w:eastAsia="Times New Roman" w:cs="Times New Roman"/>
          <w:b/>
          <w:bCs/>
          <w:snapToGrid w:val="0"/>
          <w:color w:val="000000"/>
          <w:spacing w:val="-1"/>
          <w:kern w:val="0"/>
          <w:sz w:val="24"/>
          <w:szCs w:val="24"/>
          <w:lang w:val="en-US" w:eastAsia="zh-CN" w:bidi="ar-SA"/>
        </w:rPr>
      </w:pPr>
    </w:p>
    <w:p w14:paraId="2D60FD27">
      <w:pPr>
        <w:keepNext w:val="0"/>
        <w:keepLines w:val="0"/>
        <w:widowControl/>
        <w:suppressLineNumbers w:val="0"/>
        <w:kinsoku w:val="0"/>
        <w:autoSpaceDE w:val="0"/>
        <w:autoSpaceDN w:val="0"/>
        <w:adjustRightInd w:val="0"/>
        <w:snapToGrid w:val="0"/>
        <w:spacing w:before="0" w:beforeAutospacing="1" w:after="0" w:afterAutospacing="1" w:line="240" w:lineRule="auto"/>
        <w:jc w:val="left"/>
        <w:textAlignment w:val="baseline"/>
        <w:rPr>
          <w:rFonts w:hint="default" w:ascii="Times New Roman" w:hAnsi="Times New Roman" w:eastAsia="Times New Roman" w:cs="Times New Roman"/>
          <w:b/>
          <w:bCs/>
          <w:snapToGrid w:val="0"/>
          <w:color w:val="000000"/>
          <w:spacing w:val="-1"/>
          <w:kern w:val="0"/>
          <w:sz w:val="24"/>
          <w:szCs w:val="24"/>
          <w:lang w:val="en-US" w:eastAsia="zh-CN" w:bidi="ar-SA"/>
        </w:rPr>
      </w:pPr>
    </w:p>
    <w:p w14:paraId="010F37BB">
      <w:pPr>
        <w:keepNext w:val="0"/>
        <w:keepLines w:val="0"/>
        <w:widowControl/>
        <w:suppressLineNumbers w:val="0"/>
        <w:kinsoku w:val="0"/>
        <w:autoSpaceDE w:val="0"/>
        <w:autoSpaceDN w:val="0"/>
        <w:adjustRightInd w:val="0"/>
        <w:snapToGrid w:val="0"/>
        <w:spacing w:before="0" w:beforeAutospacing="1" w:after="0" w:afterAutospacing="1" w:line="240" w:lineRule="auto"/>
        <w:jc w:val="left"/>
        <w:textAlignment w:val="baseline"/>
        <w:rPr>
          <w:rFonts w:hint="default" w:ascii="Times New Roman" w:hAnsi="Times New Roman" w:eastAsia="Times New Roman" w:cs="Times New Roman"/>
          <w:b/>
          <w:bCs/>
          <w:snapToGrid w:val="0"/>
          <w:color w:val="000000"/>
          <w:spacing w:val="-1"/>
          <w:kern w:val="0"/>
          <w:sz w:val="24"/>
          <w:szCs w:val="24"/>
          <w:lang w:val="en-US" w:eastAsia="zh-CN" w:bidi="ar-SA"/>
        </w:rPr>
      </w:pPr>
    </w:p>
    <w:p w14:paraId="0E75DBD0">
      <w:pPr>
        <w:keepNext w:val="0"/>
        <w:keepLines w:val="0"/>
        <w:widowControl/>
        <w:suppressLineNumbers w:val="0"/>
        <w:kinsoku w:val="0"/>
        <w:autoSpaceDE w:val="0"/>
        <w:autoSpaceDN w:val="0"/>
        <w:adjustRightInd w:val="0"/>
        <w:snapToGrid w:val="0"/>
        <w:spacing w:before="0" w:beforeAutospacing="1" w:after="0" w:afterAutospacing="1" w:line="240" w:lineRule="auto"/>
        <w:jc w:val="left"/>
        <w:textAlignment w:val="baseline"/>
        <w:rPr>
          <w:rFonts w:hint="default" w:ascii="Times New Roman" w:hAnsi="Times New Roman" w:eastAsia="Times New Roman" w:cs="Times New Roman"/>
          <w:b/>
          <w:bCs/>
          <w:snapToGrid w:val="0"/>
          <w:color w:val="000000"/>
          <w:spacing w:val="-1"/>
          <w:kern w:val="0"/>
          <w:sz w:val="24"/>
          <w:szCs w:val="24"/>
          <w:lang w:val="en-US" w:eastAsia="zh-CN" w:bidi="ar-SA"/>
        </w:rPr>
      </w:pPr>
    </w:p>
    <w:p w14:paraId="42E14AEB">
      <w:pPr>
        <w:keepNext w:val="0"/>
        <w:keepLines w:val="0"/>
        <w:widowControl/>
        <w:suppressLineNumbers w:val="0"/>
        <w:kinsoku w:val="0"/>
        <w:autoSpaceDE w:val="0"/>
        <w:autoSpaceDN w:val="0"/>
        <w:adjustRightInd w:val="0"/>
        <w:snapToGrid w:val="0"/>
        <w:spacing w:before="0" w:beforeAutospacing="1" w:after="0" w:afterAutospacing="1" w:line="240" w:lineRule="auto"/>
        <w:jc w:val="left"/>
        <w:textAlignment w:val="baseline"/>
        <w:rPr>
          <w:rFonts w:hint="default" w:ascii="Times New Roman" w:hAnsi="Times New Roman" w:eastAsia="Times New Roman" w:cs="Times New Roman"/>
          <w:b/>
          <w:bCs/>
          <w:snapToGrid w:val="0"/>
          <w:color w:val="000000"/>
          <w:spacing w:val="-1"/>
          <w:kern w:val="0"/>
          <w:sz w:val="24"/>
          <w:szCs w:val="24"/>
          <w:lang w:val="en-US" w:eastAsia="zh-CN" w:bidi="ar-SA"/>
        </w:rPr>
      </w:pPr>
    </w:p>
    <w:p w14:paraId="548C15B6">
      <w:pPr>
        <w:keepNext w:val="0"/>
        <w:keepLines w:val="0"/>
        <w:widowControl/>
        <w:suppressLineNumbers w:val="0"/>
        <w:kinsoku w:val="0"/>
        <w:autoSpaceDE w:val="0"/>
        <w:autoSpaceDN w:val="0"/>
        <w:adjustRightInd w:val="0"/>
        <w:snapToGrid w:val="0"/>
        <w:spacing w:before="0" w:beforeAutospacing="1" w:after="0" w:afterAutospacing="1" w:line="240" w:lineRule="auto"/>
        <w:jc w:val="left"/>
        <w:textAlignment w:val="baseline"/>
        <w:rPr>
          <w:rFonts w:hint="default" w:ascii="Times New Roman" w:hAnsi="Times New Roman" w:eastAsia="Times New Roman" w:cs="Times New Roman"/>
          <w:b/>
          <w:bCs/>
          <w:snapToGrid w:val="0"/>
          <w:color w:val="000000"/>
          <w:spacing w:val="-1"/>
          <w:kern w:val="0"/>
          <w:sz w:val="24"/>
          <w:szCs w:val="24"/>
          <w:lang w:val="en-US" w:eastAsia="zh-CN" w:bidi="ar-SA"/>
        </w:rPr>
      </w:pPr>
    </w:p>
    <w:p w14:paraId="114B7583">
      <w:pPr>
        <w:keepNext w:val="0"/>
        <w:keepLines w:val="0"/>
        <w:widowControl/>
        <w:suppressLineNumbers w:val="0"/>
        <w:kinsoku w:val="0"/>
        <w:autoSpaceDE w:val="0"/>
        <w:autoSpaceDN w:val="0"/>
        <w:adjustRightInd w:val="0"/>
        <w:snapToGrid w:val="0"/>
        <w:spacing w:before="0" w:beforeAutospacing="1" w:after="0" w:afterAutospacing="1" w:line="240" w:lineRule="auto"/>
        <w:jc w:val="left"/>
        <w:textAlignment w:val="baseline"/>
        <w:rPr>
          <w:rFonts w:hint="default" w:ascii="Times New Roman" w:hAnsi="Times New Roman" w:eastAsia="Times New Roman" w:cs="Times New Roman"/>
          <w:b/>
          <w:bCs/>
          <w:snapToGrid w:val="0"/>
          <w:color w:val="000000"/>
          <w:spacing w:val="-1"/>
          <w:kern w:val="0"/>
          <w:sz w:val="24"/>
          <w:szCs w:val="24"/>
          <w:lang w:val="en-US" w:eastAsia="zh-CN" w:bidi="ar-SA"/>
        </w:rPr>
      </w:pPr>
      <w:r>
        <w:rPr>
          <w:rFonts w:hint="default" w:ascii="Times New Roman" w:hAnsi="Times New Roman" w:eastAsia="Times New Roman" w:cs="Times New Roman"/>
          <w:b/>
          <w:bCs/>
          <w:snapToGrid w:val="0"/>
          <w:color w:val="000000"/>
          <w:spacing w:val="-1"/>
          <w:kern w:val="0"/>
          <w:sz w:val="24"/>
          <w:szCs w:val="24"/>
          <w:lang w:val="en-US" w:eastAsia="zh-CN" w:bidi="ar-SA"/>
        </w:rPr>
        <w:t>1.0 Introduction</w:t>
      </w:r>
    </w:p>
    <w:p w14:paraId="5C5FD5B9">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Global manufacturing industries are undergoing rapid transformation driven by digitalization, artificial intelligence (AI), automation, and evolving international market expectations. The emergence of Industry 4.0 technologies has fundamentally altered how organizations develop products, manage operations, commercialize innovations, and compete within export markets. For manufacturing SMEs, these changes present both significant opportunities and substantial strategic challenges.</w:t>
      </w:r>
    </w:p>
    <w:p w14:paraId="3F051D5F">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While large multinational corporations possess the financial resources, technological infrastructure, and organizational capabilities necessary to implement AI-driven innovation strategies at scale, many manufacturing SMEs continue to struggle with fragmented digital transformation initiatives, weak commercialization performance, and limited innovation scalability. Despite increasing awareness of AI technologies and government encouragement toward industrial digitalization, SMEs frequently encounter difficulties converting technological adoption into sustainable export competitiveness.</w:t>
      </w:r>
    </w:p>
    <w:p w14:paraId="4A86D900">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This problem is particularly critical within export-oriented manufacturing sectors where international competition increasingly depends on innovation speed, product customization, operational intelligence, and technological responsiveness. In such contexts, organizations that fail to integrate AI into their R&amp;D and innovation systems risk strategic stagnation, declining market relevance, and reduced long-term competitiveness.</w:t>
      </w:r>
    </w:p>
    <w:p w14:paraId="17E09FDC">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Accordingly, this project investigates the strategic transformation challenges faced by manufacturing SMEs and proposes an AI-driven R&amp;D transformation roadmap designed to strengthen innovation capability and export competitiveness.</w:t>
      </w:r>
    </w:p>
    <w:p w14:paraId="19368888">
      <w:pPr>
        <w:pStyle w:val="3"/>
        <w:keepNext w:val="0"/>
        <w:keepLines w:val="0"/>
        <w:widowControl/>
        <w:suppressLineNumbers w:val="0"/>
        <w:rPr>
          <w:rFonts w:hint="default"/>
          <w:lang w:val="en-US"/>
        </w:rPr>
      </w:pPr>
      <w:r>
        <w:rPr>
          <w:rFonts w:hint="default" w:ascii="Times New Roman" w:hAnsi="Times New Roman" w:eastAsia="Times New Roman" w:cs="Times New Roman"/>
          <w:snapToGrid w:val="0"/>
          <w:color w:val="000000"/>
          <w:spacing w:val="-1"/>
          <w:kern w:val="0"/>
          <w:sz w:val="24"/>
          <w:szCs w:val="24"/>
          <w:lang w:val="en-US" w:eastAsia="en-US" w:bidi="ar-SA"/>
        </w:rPr>
        <w:t>2.0 Review of Literature</w:t>
      </w:r>
    </w:p>
    <w:p w14:paraId="391C0362">
      <w:pPr>
        <w:pStyle w:val="2"/>
        <w:keepNext w:val="0"/>
        <w:keepLines w:val="0"/>
        <w:widowControl/>
        <w:suppressLineNumbers w:val="0"/>
        <w:rPr>
          <w:sz w:val="48"/>
          <w:szCs w:val="48"/>
        </w:rPr>
      </w:pPr>
      <w:r>
        <w:br w:type="textWrapping"/>
      </w:r>
    </w:p>
    <w:p w14:paraId="7238AFD3">
      <w:pPr>
        <w:keepNext w:val="0"/>
        <w:keepLines w:val="0"/>
        <w:widowControl/>
        <w:suppressLineNumbers w:val="0"/>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The TOE framework (Tornatzky &amp; Fleischer, 1990) provides a comprehensive lens for understanding technology adoption in organizations. This framework identifies three key dimensions:</w:t>
      </w:r>
    </w:p>
    <w:p w14:paraId="2E11CF64">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p>
    <w:p w14:paraId="7B41DABF">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Style w:val="8"/>
          <w:rFonts w:hint="default" w:ascii="Times New Roman Regular" w:hAnsi="Times New Roman Regular" w:eastAsia="宋体" w:cs="Times New Roman Regular"/>
          <w:b w:val="0"/>
          <w:kern w:val="0"/>
          <w:sz w:val="24"/>
          <w:szCs w:val="24"/>
          <w:lang w:val="en-US" w:eastAsia="zh-CN" w:bidi="ar"/>
        </w:rPr>
        <w:t>Technological factors:</w:t>
      </w:r>
      <w:r>
        <w:rPr>
          <w:rFonts w:hint="default" w:ascii="Times New Roman Regular" w:hAnsi="Times New Roman Regular" w:eastAsia="宋体" w:cs="Times New Roman Regular"/>
          <w:b w:val="0"/>
          <w:kern w:val="0"/>
          <w:sz w:val="24"/>
          <w:szCs w:val="24"/>
          <w:lang w:val="en-US" w:eastAsia="zh-CN" w:bidi="ar"/>
        </w:rPr>
        <w:t xml:space="preserve"> Including AI capabilities, infrastructure, and technical readiness</w:t>
      </w:r>
    </w:p>
    <w:p w14:paraId="41073395">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Style w:val="8"/>
          <w:rFonts w:hint="default" w:ascii="Times New Roman Regular" w:hAnsi="Times New Roman Regular" w:eastAsia="宋体" w:cs="Times New Roman Regular"/>
          <w:b w:val="0"/>
          <w:kern w:val="0"/>
          <w:sz w:val="24"/>
          <w:szCs w:val="24"/>
          <w:lang w:val="en-US" w:eastAsia="zh-CN" w:bidi="ar"/>
        </w:rPr>
        <w:t>Organizational factors:</w:t>
      </w:r>
      <w:r>
        <w:rPr>
          <w:rFonts w:hint="default" w:ascii="Times New Roman Regular" w:hAnsi="Times New Roman Regular" w:eastAsia="宋体" w:cs="Times New Roman Regular"/>
          <w:b w:val="0"/>
          <w:kern w:val="0"/>
          <w:sz w:val="24"/>
          <w:szCs w:val="24"/>
          <w:lang w:val="en-US" w:eastAsia="zh-CN" w:bidi="ar"/>
        </w:rPr>
        <w:t xml:space="preserve"> Encompassing governance structures, leadership, and resource availability</w:t>
      </w:r>
    </w:p>
    <w:p w14:paraId="57EF9369">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Style w:val="8"/>
          <w:rFonts w:hint="default" w:ascii="Times New Roman Regular" w:hAnsi="Times New Roman Regular" w:eastAsia="宋体" w:cs="Times New Roman Regular"/>
          <w:b w:val="0"/>
          <w:kern w:val="0"/>
          <w:sz w:val="24"/>
          <w:szCs w:val="24"/>
          <w:lang w:val="en-US" w:eastAsia="zh-CN" w:bidi="ar"/>
        </w:rPr>
        <w:t>Environmental factors:</w:t>
      </w:r>
      <w:r>
        <w:rPr>
          <w:rFonts w:hint="default" w:ascii="Times New Roman Regular" w:hAnsi="Times New Roman Regular" w:eastAsia="宋体" w:cs="Times New Roman Regular"/>
          <w:b w:val="0"/>
          <w:kern w:val="0"/>
          <w:sz w:val="24"/>
          <w:szCs w:val="24"/>
          <w:lang w:val="en-US" w:eastAsia="zh-CN" w:bidi="ar"/>
        </w:rPr>
        <w:t xml:space="preserve"> Covering market pressures, regulatory environment, and competitive dynamics</w:t>
      </w:r>
    </w:p>
    <w:p w14:paraId="0FA48C46">
      <w:pPr>
        <w:keepNext w:val="0"/>
        <w:keepLines w:val="0"/>
        <w:widowControl/>
        <w:suppressLineNumbers w:val="0"/>
        <w:jc w:val="left"/>
        <w:rPr>
          <w:rFonts w:hint="default" w:ascii="Times New Roman Regular" w:hAnsi="Times New Roman Regular" w:eastAsia="宋体" w:cs="Times New Roman Regular"/>
          <w:b w:val="0"/>
          <w:kern w:val="0"/>
          <w:sz w:val="24"/>
          <w:szCs w:val="24"/>
          <w:lang w:val="en-US" w:eastAsia="zh-CN" w:bidi="ar"/>
        </w:rPr>
      </w:pPr>
    </w:p>
    <w:p w14:paraId="2B761C45">
      <w:pPr>
        <w:keepNext w:val="0"/>
        <w:keepLines w:val="0"/>
        <w:widowControl/>
        <w:suppressLineNumbers w:val="0"/>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RBV theory (Barney, 1991) suggests that firms can achieve sustainable competitive advantage through the strategic deployment of valuable, rare, inimitable, and non-substitutable resources. In the context of AI-driven R&amp;D, this theory helps explain how manufacturing SMEs can develop unique capabilities through AI integration.</w:t>
      </w:r>
    </w:p>
    <w:p w14:paraId="62EC5441">
      <w:pPr>
        <w:keepNext w:val="0"/>
        <w:keepLines w:val="0"/>
        <w:widowControl/>
        <w:suppressLineNumbers w:val="0"/>
        <w:jc w:val="left"/>
        <w:rPr>
          <w:rFonts w:hint="default" w:ascii="Times New Roman Regular" w:hAnsi="Times New Roman Regular" w:eastAsia="宋体" w:cs="Times New Roman Regular"/>
          <w:b w:val="0"/>
          <w:kern w:val="0"/>
          <w:sz w:val="24"/>
          <w:szCs w:val="24"/>
          <w:lang w:val="en-US" w:eastAsia="zh-CN" w:bidi="ar"/>
        </w:rPr>
      </w:pPr>
    </w:p>
    <w:p w14:paraId="7D07DB66">
      <w:pPr>
        <w:keepNext w:val="0"/>
        <w:keepLines w:val="0"/>
        <w:widowControl/>
        <w:suppressLineNumbers w:val="0"/>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The concept of Industry 4.0 (Kagermann et al., 2013) has revolutionized manufacturing by integrating cyber-physical systems, IoT, and AI. Research by Lasi et al. (2014) highlights how these technologies enable smart manufacturing, characterized by increased flexibility, efficiency, and customization capabilities.</w:t>
      </w:r>
    </w:p>
    <w:p w14:paraId="340616C0">
      <w:pPr>
        <w:keepNext w:val="0"/>
        <w:keepLines w:val="0"/>
        <w:widowControl/>
        <w:suppressLineNumbers w:val="0"/>
        <w:jc w:val="left"/>
        <w:rPr>
          <w:rFonts w:hint="default" w:ascii="Times New Roman Regular" w:hAnsi="Times New Roman Regular" w:eastAsia="宋体" w:cs="Times New Roman Regular"/>
          <w:b w:val="0"/>
          <w:kern w:val="0"/>
          <w:sz w:val="24"/>
          <w:szCs w:val="24"/>
          <w:lang w:val="en-US" w:eastAsia="zh-CN" w:bidi="ar"/>
        </w:rPr>
      </w:pPr>
    </w:p>
    <w:p w14:paraId="015F7F9C">
      <w:pPr>
        <w:keepNext w:val="0"/>
        <w:keepLines w:val="0"/>
        <w:widowControl/>
        <w:suppressLineNumbers w:val="0"/>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Multiple studies have documented the applications of AI in manufacturing:</w:t>
      </w:r>
    </w:p>
    <w:p w14:paraId="6D1DA80C">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Style w:val="8"/>
          <w:rFonts w:hint="default" w:ascii="Times New Roman Regular" w:hAnsi="Times New Roman Regular" w:eastAsia="宋体" w:cs="Times New Roman Regular"/>
          <w:b w:val="0"/>
          <w:kern w:val="0"/>
          <w:sz w:val="24"/>
          <w:szCs w:val="24"/>
          <w:lang w:val="en-US" w:eastAsia="zh-CN" w:bidi="ar"/>
        </w:rPr>
        <w:t>Predictive maintenance:</w:t>
      </w:r>
      <w:r>
        <w:rPr>
          <w:rFonts w:hint="default" w:ascii="Times New Roman Regular" w:hAnsi="Times New Roman Regular" w:eastAsia="宋体" w:cs="Times New Roman Regular"/>
          <w:b w:val="0"/>
          <w:kern w:val="0"/>
          <w:sz w:val="24"/>
          <w:szCs w:val="24"/>
          <w:lang w:val="en-US" w:eastAsia="zh-CN" w:bidi="ar"/>
        </w:rPr>
        <w:t xml:space="preserve"> Using machine learning algorithms to predict equipment failures (Lee et al., 2014)</w:t>
      </w:r>
    </w:p>
    <w:p w14:paraId="6FC88F1E">
      <w:pPr>
        <w:keepNext w:val="0"/>
        <w:keepLines w:val="0"/>
        <w:widowControl/>
        <w:suppressLineNumbers w:val="0"/>
        <w:pBdr>
          <w:left w:val="none" w:color="auto" w:sz="0" w:space="0"/>
        </w:pBdr>
        <w:jc w:val="left"/>
        <w:rPr>
          <w:rStyle w:val="8"/>
          <w:rFonts w:hint="default" w:ascii="Times New Roman Regular" w:hAnsi="Times New Roman Regular" w:eastAsia="宋体" w:cs="Times New Roman Regular"/>
          <w:b w:val="0"/>
          <w:kern w:val="0"/>
          <w:sz w:val="24"/>
          <w:szCs w:val="24"/>
          <w:lang w:val="en-US" w:eastAsia="zh-CN" w:bidi="ar"/>
        </w:rPr>
      </w:pPr>
    </w:p>
    <w:p w14:paraId="703391DA">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Style w:val="8"/>
          <w:rFonts w:hint="default" w:ascii="Times New Roman Regular" w:hAnsi="Times New Roman Regular" w:eastAsia="宋体" w:cs="Times New Roman Regular"/>
          <w:b w:val="0"/>
          <w:kern w:val="0"/>
          <w:sz w:val="24"/>
          <w:szCs w:val="24"/>
          <w:lang w:val="en-US" w:eastAsia="zh-CN" w:bidi="ar"/>
        </w:rPr>
        <w:t>Quality control:</w:t>
      </w:r>
      <w:r>
        <w:rPr>
          <w:rFonts w:hint="default" w:ascii="Times New Roman Regular" w:hAnsi="Times New Roman Regular" w:eastAsia="宋体" w:cs="Times New Roman Regular"/>
          <w:b w:val="0"/>
          <w:kern w:val="0"/>
          <w:sz w:val="24"/>
          <w:szCs w:val="24"/>
          <w:lang w:val="en-US" w:eastAsia="zh-CN" w:bidi="ar"/>
        </w:rPr>
        <w:t xml:space="preserve"> Computer vision systems for defect detection (Zhou et al., 2018)</w:t>
      </w:r>
    </w:p>
    <w:p w14:paraId="104F8D9C">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p>
    <w:p w14:paraId="005F5F9B">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Style w:val="8"/>
          <w:rFonts w:hint="default" w:ascii="Times New Roman Regular" w:hAnsi="Times New Roman Regular" w:eastAsia="宋体" w:cs="Times New Roman Regular"/>
          <w:b w:val="0"/>
          <w:kern w:val="0"/>
          <w:sz w:val="24"/>
          <w:szCs w:val="24"/>
          <w:lang w:val="en-US" w:eastAsia="zh-CN" w:bidi="ar"/>
        </w:rPr>
        <w:t>Supply chain optimization:</w:t>
      </w:r>
      <w:r>
        <w:rPr>
          <w:rFonts w:hint="default" w:ascii="Times New Roman Regular" w:hAnsi="Times New Roman Regular" w:eastAsia="宋体" w:cs="Times New Roman Regular"/>
          <w:b w:val="0"/>
          <w:kern w:val="0"/>
          <w:sz w:val="24"/>
          <w:szCs w:val="24"/>
          <w:lang w:val="en-US" w:eastAsia="zh-CN" w:bidi="ar"/>
        </w:rPr>
        <w:t xml:space="preserve"> AI-driven demand forecasting and inventory management (Ivanov et al., 2019)</w:t>
      </w:r>
    </w:p>
    <w:p w14:paraId="4C7988BE">
      <w:pPr>
        <w:keepNext w:val="0"/>
        <w:keepLines w:val="0"/>
        <w:widowControl/>
        <w:suppressLineNumbers w:val="0"/>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Research by Westerman et al. (2014) identifies resource constraints as a major barrier to digital transformation in SMEs. These constraints include:</w:t>
      </w:r>
    </w:p>
    <w:p w14:paraId="34F65106">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Limited financial resources for technology investment</w:t>
      </w:r>
    </w:p>
    <w:p w14:paraId="1680C784">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Shortage of skilled personnel with AI expertise</w:t>
      </w:r>
    </w:p>
    <w:p w14:paraId="1F4AE152">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Insufficient infrastructure for data management</w:t>
      </w:r>
    </w:p>
    <w:p w14:paraId="3471804A">
      <w:pPr>
        <w:keepNext w:val="0"/>
        <w:keepLines w:val="0"/>
        <w:widowControl/>
        <w:suppressLineNumbers w:val="0"/>
        <w:jc w:val="left"/>
        <w:rPr>
          <w:rFonts w:hint="default" w:ascii="Times New Roman Regular" w:hAnsi="Times New Roman Regular" w:eastAsia="宋体" w:cs="Times New Roman Regular"/>
          <w:b w:val="0"/>
          <w:kern w:val="0"/>
          <w:sz w:val="24"/>
          <w:szCs w:val="24"/>
          <w:lang w:val="en-US" w:eastAsia="zh-CN" w:bidi="ar"/>
        </w:rPr>
      </w:pPr>
    </w:p>
    <w:p w14:paraId="0F243B3F">
      <w:pPr>
        <w:keepNext w:val="0"/>
        <w:keepLines w:val="0"/>
        <w:widowControl/>
        <w:suppressLineNumbers w:val="0"/>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A study by Vial (2019) emphasizes that organizational readiness is critical for successful digital transformation. Key factors include:</w:t>
      </w:r>
    </w:p>
    <w:p w14:paraId="75F4F85A">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p>
    <w:p w14:paraId="4FFFB48A">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Leadership commitment and vision</w:t>
      </w:r>
    </w:p>
    <w:p w14:paraId="52895500">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 Organizational culture and change readiness</w:t>
      </w:r>
    </w:p>
    <w:p w14:paraId="772973DF">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Existing technological infrastructure</w:t>
      </w:r>
    </w:p>
    <w:p w14:paraId="1045057A">
      <w:pPr>
        <w:keepNext w:val="0"/>
        <w:keepLines w:val="0"/>
        <w:widowControl/>
        <w:suppressLineNumbers w:val="0"/>
        <w:pBdr>
          <w:left w:val="none" w:color="auto" w:sz="0" w:space="0"/>
        </w:pBdr>
        <w:jc w:val="left"/>
        <w:rPr>
          <w:rFonts w:hint="default" w:ascii="Times New Roman Regular" w:hAnsi="Times New Roman Regular" w:cs="Times New Roman Regular" w:eastAsiaTheme="minorEastAsia"/>
          <w:b w:val="0"/>
          <w:sz w:val="24"/>
          <w:szCs w:val="24"/>
          <w:lang w:eastAsia="zh-CN"/>
        </w:rPr>
      </w:pPr>
      <w:r>
        <w:rPr>
          <w:rFonts w:hint="default" w:ascii="Times New Roman Regular" w:hAnsi="Times New Roman Regular" w:cs="Times New Roman Regular"/>
          <w:b w:val="0"/>
          <w:sz w:val="24"/>
          <w:szCs w:val="24"/>
          <w:lang w:val="en-US" w:eastAsia="zh-CN"/>
        </w:rPr>
        <w:t xml:space="preserve"> </w:t>
      </w:r>
    </w:p>
    <w:p w14:paraId="56AEC027">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Style w:val="8"/>
          <w:rFonts w:hint="default" w:ascii="Times New Roman Regular" w:hAnsi="Times New Roman Regular" w:eastAsia="宋体" w:cs="Times New Roman Regular"/>
          <w:b w:val="0"/>
          <w:kern w:val="0"/>
          <w:sz w:val="24"/>
          <w:szCs w:val="24"/>
          <w:lang w:val="en-US" w:eastAsia="zh-CN" w:bidi="ar"/>
        </w:rPr>
        <w:t>Gartner's Digital Maturity Model</w:t>
      </w:r>
      <w:r>
        <w:rPr>
          <w:rFonts w:hint="default" w:ascii="Times New Roman Regular" w:hAnsi="Times New Roman Regular" w:eastAsia="宋体" w:cs="Times New Roman Regular"/>
          <w:b w:val="0"/>
          <w:kern w:val="0"/>
          <w:sz w:val="24"/>
          <w:szCs w:val="24"/>
          <w:lang w:val="en-US" w:eastAsia="zh-CN" w:bidi="ar"/>
        </w:rPr>
        <w:t xml:space="preserve"> (Gartner, 2016)</w:t>
      </w:r>
    </w:p>
    <w:p w14:paraId="0EC2E53F">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p>
    <w:p w14:paraId="255AC1AE">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Style w:val="8"/>
          <w:rFonts w:hint="default" w:ascii="Times New Roman Regular" w:hAnsi="Times New Roman Regular" w:eastAsia="宋体" w:cs="Times New Roman Regular"/>
          <w:b w:val="0"/>
          <w:kern w:val="0"/>
          <w:sz w:val="24"/>
          <w:szCs w:val="24"/>
          <w:lang w:val="en-US" w:eastAsia="zh-CN" w:bidi="ar"/>
        </w:rPr>
        <w:t>MIT's Digital Transformation Framework</w:t>
      </w:r>
      <w:r>
        <w:rPr>
          <w:rFonts w:hint="default" w:ascii="Times New Roman Regular" w:hAnsi="Times New Roman Regular" w:eastAsia="宋体" w:cs="Times New Roman Regular"/>
          <w:b w:val="0"/>
          <w:kern w:val="0"/>
          <w:sz w:val="24"/>
          <w:szCs w:val="24"/>
          <w:lang w:val="en-US" w:eastAsia="zh-CN" w:bidi="ar"/>
        </w:rPr>
        <w:t xml:space="preserve"> (Westerman et al., 2014)</w:t>
      </w:r>
    </w:p>
    <w:p w14:paraId="3338228D">
      <w:pPr>
        <w:keepNext w:val="0"/>
        <w:keepLines w:val="0"/>
        <w:widowControl/>
        <w:suppressLineNumbers w:val="0"/>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These models provide structured approaches for organizations to evaluate their current state and plan their transformation journey.</w:t>
      </w:r>
    </w:p>
    <w:p w14:paraId="3969A4AE">
      <w:pPr>
        <w:keepNext w:val="0"/>
        <w:keepLines w:val="0"/>
        <w:widowControl/>
        <w:suppressLineNumbers w:val="0"/>
        <w:jc w:val="left"/>
        <w:rPr>
          <w:rFonts w:hint="default" w:ascii="Times New Roman Regular" w:hAnsi="Times New Roman Regular" w:eastAsia="宋体" w:cs="Times New Roman Regular"/>
          <w:b w:val="0"/>
          <w:kern w:val="0"/>
          <w:sz w:val="24"/>
          <w:szCs w:val="24"/>
          <w:lang w:val="en-US" w:eastAsia="zh-CN" w:bidi="ar"/>
        </w:rPr>
      </w:pPr>
    </w:p>
    <w:p w14:paraId="08BCE800">
      <w:pPr>
        <w:keepNext w:val="0"/>
        <w:keepLines w:val="0"/>
        <w:widowControl/>
        <w:suppressLineNumbers w:val="0"/>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The concept of innovation ecosystems (Adner, 2017) is particularly relevant for SMEs. Research shows that SMEs can overcome resource limitations by:</w:t>
      </w:r>
    </w:p>
    <w:p w14:paraId="49509E1E">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Collaborating with research institutions and universities</w:t>
      </w:r>
    </w:p>
    <w:p w14:paraId="130432AA">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p>
    <w:p w14:paraId="373BF2E6">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Partnering with technology vendors and service providers</w:t>
      </w:r>
    </w:p>
    <w:p w14:paraId="1015AB55">
      <w:pPr>
        <w:keepNext w:val="0"/>
        <w:keepLines w:val="0"/>
        <w:widowControl/>
        <w:suppressLineNumbers w:val="0"/>
        <w:pBdr>
          <w:left w:val="none" w:color="auto" w:sz="0" w:space="0"/>
        </w:pBdr>
        <w:jc w:val="left"/>
        <w:rPr>
          <w:rFonts w:hint="default" w:ascii="Times New Roman Regular" w:hAnsi="Times New Roman Regular" w:cs="Times New Roman Regular"/>
          <w:b w:val="0"/>
          <w:sz w:val="24"/>
          <w:szCs w:val="24"/>
        </w:rPr>
      </w:pPr>
      <w:r>
        <w:rPr>
          <w:rFonts w:hint="default" w:ascii="Times New Roman Regular" w:hAnsi="Times New Roman Regular" w:eastAsia="宋体" w:cs="Times New Roman Regular"/>
          <w:b w:val="0"/>
          <w:kern w:val="0"/>
          <w:sz w:val="24"/>
          <w:szCs w:val="24"/>
          <w:lang w:val="en-US" w:eastAsia="zh-CN" w:bidi="ar"/>
        </w:rPr>
        <w:t>Participating in industry consortia and networks</w:t>
      </w:r>
    </w:p>
    <w:p w14:paraId="4F3CA1C9">
      <w:pPr>
        <w:pStyle w:val="5"/>
        <w:keepNext w:val="0"/>
        <w:keepLines w:val="0"/>
        <w:widowControl/>
        <w:suppressLineNumbers w:val="0"/>
        <w:rPr>
          <w:rFonts w:hint="default" w:ascii="Times New Roman Regular" w:hAnsi="Times New Roman Regular" w:cs="Times New Roman Regular"/>
          <w:b w:val="0"/>
          <w:sz w:val="24"/>
          <w:szCs w:val="24"/>
          <w:lang w:val="en-US"/>
        </w:rPr>
      </w:pPr>
    </w:p>
    <w:p w14:paraId="37292CC6">
      <w:pPr>
        <w:kinsoku w:val="0"/>
        <w:autoSpaceDE w:val="0"/>
        <w:autoSpaceDN w:val="0"/>
        <w:adjustRightInd w:val="0"/>
        <w:snapToGrid w:val="0"/>
        <w:spacing w:before="244" w:line="403" w:lineRule="auto"/>
        <w:jc w:val="both"/>
        <w:textAlignment w:val="baseline"/>
        <w:rPr>
          <w:rFonts w:hint="default" w:ascii="Times New Roman Regular" w:hAnsi="Times New Roman Regular" w:eastAsia="Times New Roman" w:cs="Times New Roman Regular"/>
          <w:b w:val="0"/>
          <w:snapToGrid w:val="0"/>
          <w:color w:val="000000"/>
          <w:spacing w:val="-1"/>
          <w:kern w:val="0"/>
          <w:sz w:val="24"/>
          <w:szCs w:val="24"/>
          <w:lang w:val="en-US" w:eastAsia="en-US" w:bidi="ar-SA"/>
        </w:rPr>
      </w:pPr>
    </w:p>
    <w:p w14:paraId="5B4655DA">
      <w:pPr>
        <w:kinsoku w:val="0"/>
        <w:autoSpaceDE w:val="0"/>
        <w:autoSpaceDN w:val="0"/>
        <w:adjustRightInd w:val="0"/>
        <w:snapToGrid w:val="0"/>
        <w:spacing w:before="244" w:line="403" w:lineRule="auto"/>
        <w:ind w:firstLine="488"/>
        <w:jc w:val="both"/>
        <w:textAlignment w:val="baseline"/>
        <w:rPr>
          <w:rFonts w:hint="default" w:ascii="Times New Roman Regular" w:hAnsi="Times New Roman Regular" w:eastAsia="Times New Roman" w:cs="Times New Roman Regular"/>
          <w:b w:val="0"/>
          <w:snapToGrid w:val="0"/>
          <w:color w:val="000000"/>
          <w:spacing w:val="-1"/>
          <w:kern w:val="0"/>
          <w:sz w:val="24"/>
          <w:szCs w:val="24"/>
          <w:lang w:val="en-US" w:eastAsia="en-US" w:bidi="ar-SA"/>
        </w:rPr>
      </w:pPr>
    </w:p>
    <w:p w14:paraId="5D696BD5">
      <w:pPr>
        <w:kinsoku w:val="0"/>
        <w:autoSpaceDE w:val="0"/>
        <w:autoSpaceDN w:val="0"/>
        <w:adjustRightInd w:val="0"/>
        <w:snapToGrid w:val="0"/>
        <w:spacing w:before="244" w:line="403" w:lineRule="auto"/>
        <w:jc w:val="both"/>
        <w:textAlignment w:val="baseline"/>
        <w:rPr>
          <w:rFonts w:hint="default" w:ascii="Times New Roman Regular" w:hAnsi="Times New Roman Regular" w:eastAsia="Times New Roman" w:cs="Times New Roman Regular"/>
          <w:b w:val="0"/>
          <w:bCs/>
          <w:snapToGrid w:val="0"/>
          <w:color w:val="000000"/>
          <w:spacing w:val="-1"/>
          <w:kern w:val="0"/>
          <w:sz w:val="24"/>
          <w:szCs w:val="24"/>
          <w:lang w:val="en-US" w:eastAsia="en-US" w:bidi="ar-SA"/>
        </w:rPr>
      </w:pPr>
    </w:p>
    <w:p w14:paraId="77502E42">
      <w:pPr>
        <w:kinsoku w:val="0"/>
        <w:autoSpaceDE w:val="0"/>
        <w:autoSpaceDN w:val="0"/>
        <w:adjustRightInd w:val="0"/>
        <w:snapToGrid w:val="0"/>
        <w:spacing w:before="244" w:line="403" w:lineRule="auto"/>
        <w:jc w:val="both"/>
        <w:textAlignment w:val="baseline"/>
        <w:rPr>
          <w:rFonts w:hint="default" w:ascii="Times New Roman" w:hAnsi="Times New Roman" w:eastAsia="Times New Roman" w:cs="Times New Roman"/>
          <w:snapToGrid w:val="0"/>
          <w:color w:val="000000"/>
          <w:spacing w:val="-1"/>
          <w:kern w:val="0"/>
          <w:sz w:val="24"/>
          <w:szCs w:val="24"/>
          <w:lang w:val="en-US" w:eastAsia="zh-CN"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1</w:t>
      </w:r>
      <w:r>
        <w:rPr>
          <w:rFonts w:hint="default" w:ascii="Times New Roman" w:hAnsi="Times New Roman" w:eastAsia="Times New Roman" w:cs="Times New Roman"/>
          <w:b/>
          <w:bCs/>
          <w:snapToGrid w:val="0"/>
          <w:color w:val="000000"/>
          <w:spacing w:val="-1"/>
          <w:kern w:val="0"/>
          <w:sz w:val="24"/>
          <w:szCs w:val="24"/>
          <w:lang w:val="en-US" w:eastAsia="en-US" w:bidi="ar-SA"/>
        </w:rPr>
        <w:t xml:space="preserve"> </w:t>
      </w:r>
      <w:r>
        <w:rPr>
          <w:rFonts w:hint="default" w:ascii="Times New Roman" w:hAnsi="Times New Roman" w:eastAsia="Times New Roman" w:cs="Times New Roman"/>
          <w:b/>
          <w:bCs/>
          <w:snapToGrid w:val="0"/>
          <w:color w:val="000000"/>
          <w:spacing w:val="-1"/>
          <w:kern w:val="0"/>
          <w:sz w:val="24"/>
          <w:szCs w:val="24"/>
          <w:lang w:val="en-US" w:eastAsia="zh-CN" w:bidi="ar-SA"/>
        </w:rPr>
        <w:t>CLIMB² R&amp;D Maturity Framework Analysis</w:t>
      </w:r>
    </w:p>
    <w:p w14:paraId="5E36867E">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zh-CN" w:bidi="ar-SA"/>
        </w:rPr>
      </w:pPr>
      <w:r>
        <w:rPr>
          <w:rFonts w:hint="default" w:ascii="Times New Roman" w:hAnsi="Times New Roman" w:eastAsia="Times New Roman" w:cs="Times New Roman"/>
          <w:snapToGrid w:val="0"/>
          <w:color w:val="000000"/>
          <w:spacing w:val="-1"/>
          <w:kern w:val="0"/>
          <w:sz w:val="24"/>
          <w:szCs w:val="24"/>
          <w:lang w:val="en-US" w:eastAsia="zh-CN" w:bidi="ar-SA"/>
        </w:rPr>
        <w:drawing>
          <wp:inline distT="0" distB="0" distL="114300" distR="114300">
            <wp:extent cx="5380355" cy="3140075"/>
            <wp:effectExtent l="0" t="0" r="4445" b="9525"/>
            <wp:docPr id="5" name="图片 5" descr="94fdf517-e1d8-4e7f-b7f8-8d2fdcc2f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4fdf517-e1d8-4e7f-b7f8-8d2fdcc2fab9"/>
                    <pic:cNvPicPr>
                      <a:picLocks noChangeAspect="1"/>
                    </pic:cNvPicPr>
                  </pic:nvPicPr>
                  <pic:blipFill>
                    <a:blip r:embed="rId4"/>
                    <a:stretch>
                      <a:fillRect/>
                    </a:stretch>
                  </pic:blipFill>
                  <pic:spPr>
                    <a:xfrm>
                      <a:off x="0" y="0"/>
                      <a:ext cx="5380355" cy="3140075"/>
                    </a:xfrm>
                    <a:prstGeom prst="rect">
                      <a:avLst/>
                    </a:prstGeom>
                  </pic:spPr>
                </pic:pic>
              </a:graphicData>
            </a:graphic>
          </wp:inline>
        </w:drawing>
      </w:r>
    </w:p>
    <w:p w14:paraId="14DA8F4B">
      <w:pPr>
        <w:kinsoku w:val="0"/>
        <w:autoSpaceDE w:val="0"/>
        <w:autoSpaceDN w:val="0"/>
        <w:adjustRightInd w:val="0"/>
        <w:snapToGrid w:val="0"/>
        <w:spacing w:before="244" w:line="403" w:lineRule="auto"/>
        <w:ind w:firstLine="476" w:firstLineChars="200"/>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1</w:t>
      </w:r>
      <w:r>
        <w:rPr>
          <w:rFonts w:hint="default" w:ascii="Times New Roman" w:hAnsi="Times New Roman" w:eastAsia="Times New Roman" w:cs="Times New Roman"/>
          <w:b/>
          <w:bCs/>
          <w:snapToGrid w:val="0"/>
          <w:color w:val="000000"/>
          <w:spacing w:val="-1"/>
          <w:kern w:val="0"/>
          <w:sz w:val="24"/>
          <w:szCs w:val="24"/>
          <w:lang w:val="en-US" w:eastAsia="en-US" w:bidi="ar-SA"/>
        </w:rPr>
        <w:t>.1 Capability Deficiency</w:t>
      </w:r>
    </w:p>
    <w:p w14:paraId="1E0CFFAC">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Many manufacturing SMEs possess limited internal AI capability. Technology adoption often depends heavily on external vendors, creating dependency rather than organizational learning. Internal R&amp;D teams frequently lack expertise in:</w:t>
      </w:r>
    </w:p>
    <w:p w14:paraId="3055219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AI integration </w:t>
      </w:r>
    </w:p>
    <w:p w14:paraId="0317D09B">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predictive analytics </w:t>
      </w:r>
    </w:p>
    <w:p w14:paraId="0A3D24B1">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smart manufacturing systems </w:t>
      </w:r>
    </w:p>
    <w:p w14:paraId="33CEF3C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digital process optimization </w:t>
      </w:r>
    </w:p>
    <w:p w14:paraId="6FC58A7F">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Consequently, technological implementation becomes fragmented and operationally isolated.</w:t>
      </w:r>
    </w:p>
    <w:p w14:paraId="1216771D">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1</w:t>
      </w:r>
      <w:r>
        <w:rPr>
          <w:rFonts w:hint="default" w:ascii="Times New Roman" w:hAnsi="Times New Roman" w:eastAsia="Times New Roman" w:cs="Times New Roman"/>
          <w:b/>
          <w:bCs/>
          <w:snapToGrid w:val="0"/>
          <w:color w:val="000000"/>
          <w:spacing w:val="-1"/>
          <w:kern w:val="0"/>
          <w:sz w:val="24"/>
          <w:szCs w:val="24"/>
          <w:lang w:val="en-US" w:eastAsia="en-US" w:bidi="ar-SA"/>
        </w:rPr>
        <w:t>.2 Leadership and Strategic Alignment Weakness</w:t>
      </w:r>
    </w:p>
    <w:p w14:paraId="78740B25">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A major structural weakness lies in leadership orientation toward digital transformation. Many SME leaders perceive AI primarily as a productivity tool rather than as a strategic innovation capability.</w:t>
      </w:r>
    </w:p>
    <w:p w14:paraId="5955A759">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This creates several consequences:</w:t>
      </w:r>
    </w:p>
    <w:p w14:paraId="57BA773E">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weak long-term innovation planning </w:t>
      </w:r>
    </w:p>
    <w:p w14:paraId="4145616C">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underinvestment in R&amp;D capability development </w:t>
      </w:r>
    </w:p>
    <w:p w14:paraId="75E0F22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short-term decision orientation </w:t>
      </w:r>
    </w:p>
    <w:p w14:paraId="356039A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reactive rather than proactive transformation behavior </w:t>
      </w:r>
    </w:p>
    <w:p w14:paraId="27FBE829">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Without executive-level innovation vision, AI adoption remains tactical rather than transformational.</w:t>
      </w:r>
    </w:p>
    <w:p w14:paraId="5E5D0192">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1</w:t>
      </w:r>
      <w:r>
        <w:rPr>
          <w:rFonts w:hint="default" w:ascii="Times New Roman" w:hAnsi="Times New Roman" w:eastAsia="Times New Roman" w:cs="Times New Roman"/>
          <w:b/>
          <w:bCs/>
          <w:snapToGrid w:val="0"/>
          <w:color w:val="000000"/>
          <w:spacing w:val="-1"/>
          <w:kern w:val="0"/>
          <w:sz w:val="24"/>
          <w:szCs w:val="24"/>
          <w:lang w:val="en-US" w:eastAsia="en-US" w:bidi="ar-SA"/>
        </w:rPr>
        <w:t>.3 Innovation Process Fragmentation</w:t>
      </w:r>
    </w:p>
    <w:p w14:paraId="40DA923F">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Innovation activities within SMEs are often disconnected from commercialization pathways and export market requirements. Product innovation, operational improvement, and digital initiatives operate in separate silos, reducing organizational synergy.</w:t>
      </w:r>
    </w:p>
    <w:p w14:paraId="7C84D01B">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As a result:</w:t>
      </w:r>
    </w:p>
    <w:p w14:paraId="7BC4DF92">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innovation cycles become slow </w:t>
      </w:r>
    </w:p>
    <w:p w14:paraId="780312F9">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commercialization success rates remain low </w:t>
      </w:r>
    </w:p>
    <w:p w14:paraId="67AFCC44">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technological experimentation lacks strategic direction </w:t>
      </w:r>
    </w:p>
    <w:p w14:paraId="52658DC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The absence of integrated innovation governance prevents organizations from converting technological potential into market value.</w:t>
      </w:r>
    </w:p>
    <w:p w14:paraId="7D3F009F">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p>
    <w:p w14:paraId="32E56667">
      <w:pPr>
        <w:kinsoku w:val="0"/>
        <w:autoSpaceDE w:val="0"/>
        <w:autoSpaceDN w:val="0"/>
        <w:adjustRightInd w:val="0"/>
        <w:snapToGrid w:val="0"/>
        <w:spacing w:before="244" w:line="403" w:lineRule="auto"/>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2</w:t>
      </w:r>
      <w:r>
        <w:rPr>
          <w:rFonts w:hint="default" w:ascii="Times New Roman" w:hAnsi="Times New Roman" w:eastAsia="Times New Roman" w:cs="Times New Roman"/>
          <w:b/>
          <w:bCs/>
          <w:snapToGrid w:val="0"/>
          <w:color w:val="000000"/>
          <w:spacing w:val="-1"/>
          <w:kern w:val="0"/>
          <w:sz w:val="24"/>
          <w:szCs w:val="24"/>
          <w:lang w:val="en-US" w:eastAsia="en-US" w:bidi="ar-SA"/>
        </w:rPr>
        <w:t xml:space="preserve"> Innovation Ecosystem Analysis</w:t>
      </w:r>
    </w:p>
    <w:p w14:paraId="67619E8D">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Manufacturing SMEs operate within broader innovation ecosystems involving suppliers, logistics providers, universities, government agencies, AI vendors, and export platforms.</w:t>
      </w:r>
    </w:p>
    <w:p w14:paraId="56C271F1">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However, ecosystem collaboration remains weak in many SME environments.</w:t>
      </w:r>
    </w:p>
    <w:p w14:paraId="52152259">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2</w:t>
      </w:r>
      <w:r>
        <w:rPr>
          <w:rFonts w:hint="default" w:ascii="Times New Roman" w:hAnsi="Times New Roman" w:eastAsia="Times New Roman" w:cs="Times New Roman"/>
          <w:b/>
          <w:bCs/>
          <w:snapToGrid w:val="0"/>
          <w:color w:val="000000"/>
          <w:spacing w:val="-1"/>
          <w:kern w:val="0"/>
          <w:sz w:val="24"/>
          <w:szCs w:val="24"/>
          <w:lang w:val="en-US" w:eastAsia="en-US" w:bidi="ar-SA"/>
        </w:rPr>
        <w:t>.1 Weak External Collaboration</w:t>
      </w:r>
    </w:p>
    <w:p w14:paraId="2FA27008">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Many SMEs maintain transactional rather than strategic relationships with ecosystem partners. Collaboration with universities, research institutions, and technology providers is limited, reducing knowledge transfer and innovation capability development.</w:t>
      </w:r>
    </w:p>
    <w:p w14:paraId="7E88615B">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This weak ecosystem integration restricts:</w:t>
      </w:r>
    </w:p>
    <w:p w14:paraId="21930D64">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technology diffusion </w:t>
      </w:r>
    </w:p>
    <w:p w14:paraId="185332CD">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AI experimentation capability </w:t>
      </w:r>
    </w:p>
    <w:p w14:paraId="2D8EBD3D">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commercialization acceleration </w:t>
      </w:r>
    </w:p>
    <w:p w14:paraId="06339E81">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access to innovation funding </w:t>
      </w:r>
    </w:p>
    <w:p w14:paraId="6199C97A">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p>
    <w:p w14:paraId="686B03B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2</w:t>
      </w:r>
      <w:r>
        <w:rPr>
          <w:rFonts w:hint="default" w:ascii="Times New Roman" w:hAnsi="Times New Roman" w:eastAsia="Times New Roman" w:cs="Times New Roman"/>
          <w:b/>
          <w:bCs/>
          <w:snapToGrid w:val="0"/>
          <w:color w:val="000000"/>
          <w:spacing w:val="-1"/>
          <w:kern w:val="0"/>
          <w:sz w:val="24"/>
          <w:szCs w:val="24"/>
          <w:lang w:val="en-US" w:eastAsia="en-US" w:bidi="ar-SA"/>
        </w:rPr>
        <w:t>.2 Export Market Misalignment</w:t>
      </w:r>
    </w:p>
    <w:p w14:paraId="6BACE5A5">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Many SMEs adopt AI technologies without adequately understanding export market expectations. Consequently, technological investments may improve operational efficiency while failing to enhance customer value or international differentiation.</w:t>
      </w:r>
    </w:p>
    <w:p w14:paraId="5F0E282D">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This reflects a broader strategic gap between:</w:t>
      </w:r>
    </w:p>
    <w:p w14:paraId="1A2F747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technology adoption</w:t>
      </w:r>
      <w:r>
        <w:rPr>
          <w:rFonts w:hint="eastAsia" w:ascii="Times New Roman" w:hAnsi="Times New Roman" w:eastAsia="宋体" w:cs="Times New Roman"/>
          <w:snapToGrid w:val="0"/>
          <w:color w:val="000000"/>
          <w:spacing w:val="-1"/>
          <w:kern w:val="0"/>
          <w:sz w:val="24"/>
          <w:szCs w:val="24"/>
          <w:lang w:val="en-US" w:eastAsia="zh-CN" w:bidi="ar-SA"/>
        </w:rPr>
        <w:t xml:space="preserve"> </w:t>
      </w:r>
      <w:r>
        <w:rPr>
          <w:rFonts w:hint="default" w:ascii="Times New Roman" w:hAnsi="Times New Roman" w:eastAsia="Times New Roman" w:cs="Times New Roman"/>
          <w:snapToGrid w:val="0"/>
          <w:color w:val="000000"/>
          <w:spacing w:val="-1"/>
          <w:kern w:val="0"/>
          <w:sz w:val="24"/>
          <w:szCs w:val="24"/>
          <w:lang w:val="en-US" w:eastAsia="en-US" w:bidi="ar-SA"/>
        </w:rPr>
        <w:t xml:space="preserve">and market-oriented innovation strategy </w:t>
      </w:r>
    </w:p>
    <w:p w14:paraId="49962423">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Such misalignment reduces the commercial effectiveness of AI transformation initiatives.</w:t>
      </w:r>
    </w:p>
    <w:p w14:paraId="4F695A11">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p>
    <w:p w14:paraId="66019B22">
      <w:pPr>
        <w:kinsoku w:val="0"/>
        <w:autoSpaceDE w:val="0"/>
        <w:autoSpaceDN w:val="0"/>
        <w:adjustRightInd w:val="0"/>
        <w:snapToGrid w:val="0"/>
        <w:spacing w:before="244" w:line="403" w:lineRule="auto"/>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3</w:t>
      </w:r>
      <w:r>
        <w:rPr>
          <w:rFonts w:hint="default" w:ascii="Times New Roman" w:hAnsi="Times New Roman" w:eastAsia="Times New Roman" w:cs="Times New Roman"/>
          <w:b/>
          <w:bCs/>
          <w:snapToGrid w:val="0"/>
          <w:color w:val="000000"/>
          <w:spacing w:val="-1"/>
          <w:kern w:val="0"/>
          <w:sz w:val="24"/>
          <w:szCs w:val="24"/>
          <w:lang w:val="en-US" w:eastAsia="en-US" w:bidi="ar-SA"/>
        </w:rPr>
        <w:t xml:space="preserve"> Technology vs Market Matrix Analysis</w:t>
      </w:r>
    </w:p>
    <w:p w14:paraId="153E2E3A">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The Technology vs Market Matrix is applied to evaluate whether manufacturing SMEs possess sufficient alignment between technological readiness and market readiness. A recurring problem observed among SMEs is that technology adoption frequently progresses faster than commercialization capability.</w:t>
      </w:r>
    </w:p>
    <w:p w14:paraId="0FB78497">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This imbalance creates a strategic condition where organizations become technologically active but commercially underprepared.</w:t>
      </w:r>
    </w:p>
    <w:p w14:paraId="3EC4D0D1">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zh-CN" w:bidi="ar-SA"/>
        </w:rPr>
      </w:pPr>
      <w:r>
        <w:rPr>
          <w:rFonts w:hint="default" w:ascii="Times New Roman" w:hAnsi="Times New Roman" w:eastAsia="Times New Roman" w:cs="Times New Roman"/>
          <w:snapToGrid w:val="0"/>
          <w:color w:val="000000"/>
          <w:spacing w:val="-1"/>
          <w:kern w:val="0"/>
          <w:sz w:val="24"/>
          <w:szCs w:val="24"/>
          <w:lang w:val="en-US" w:eastAsia="zh-CN" w:bidi="ar-SA"/>
        </w:rPr>
        <w:drawing>
          <wp:inline distT="0" distB="0" distL="114300" distR="114300">
            <wp:extent cx="5266690" cy="3511550"/>
            <wp:effectExtent l="0" t="0" r="16510" b="19050"/>
            <wp:docPr id="6" name="图片 6" descr="7a8b6018-13ea-4582-85e3-fa5b220b5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a8b6018-13ea-4582-85e3-fa5b220b56f0"/>
                    <pic:cNvPicPr>
                      <a:picLocks noChangeAspect="1"/>
                    </pic:cNvPicPr>
                  </pic:nvPicPr>
                  <pic:blipFill>
                    <a:blip r:embed="rId5"/>
                    <a:stretch>
                      <a:fillRect/>
                    </a:stretch>
                  </pic:blipFill>
                  <pic:spPr>
                    <a:xfrm>
                      <a:off x="0" y="0"/>
                      <a:ext cx="5266690" cy="3511550"/>
                    </a:xfrm>
                    <a:prstGeom prst="rect">
                      <a:avLst/>
                    </a:prstGeom>
                  </pic:spPr>
                </pic:pic>
              </a:graphicData>
            </a:graphic>
          </wp:inline>
        </w:drawing>
      </w:r>
    </w:p>
    <w:p w14:paraId="59D50CA3">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p>
    <w:p w14:paraId="4E9BFC50">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Most manufacturing SMEs currently occupy the “Technology-Commercialization Gap” quadrant. In this position:</w:t>
      </w:r>
    </w:p>
    <w:p w14:paraId="40F46715">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AI tools are implemented internally </w:t>
      </w:r>
    </w:p>
    <w:p w14:paraId="4BB2F9CE">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automation systems are partially operational </w:t>
      </w:r>
    </w:p>
    <w:p w14:paraId="64B13F90">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data collection capabilities exist </w:t>
      </w:r>
    </w:p>
    <w:p w14:paraId="4D6D47AE">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However:</w:t>
      </w:r>
    </w:p>
    <w:p w14:paraId="2F9DF02B">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export differentiation remains weak </w:t>
      </w:r>
    </w:p>
    <w:p w14:paraId="4C529CFF">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customer value creation is unclear </w:t>
      </w:r>
    </w:p>
    <w:p w14:paraId="12F4A56D">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commercialization scalability is limited </w:t>
      </w:r>
    </w:p>
    <w:p w14:paraId="60E2D290">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This indicates that technological modernization alone does not automatically translate into export competitiveness.</w:t>
      </w:r>
    </w:p>
    <w:p w14:paraId="2478BD53">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Furthermore, organizations frequently overestimate the strategic value of technology while underestimating the importance of commercialization ecosystems, customer adaptation, and innovation governance.</w:t>
      </w:r>
    </w:p>
    <w:p w14:paraId="780F04D1">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Consequently, many SMEs become trapped in what may be described as “operational digitalization without strategic transformation.”</w:t>
      </w:r>
    </w:p>
    <w:p w14:paraId="0AB807E8">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p>
    <w:p w14:paraId="6D794AF6">
      <w:pPr>
        <w:kinsoku w:val="0"/>
        <w:autoSpaceDE w:val="0"/>
        <w:autoSpaceDN w:val="0"/>
        <w:adjustRightInd w:val="0"/>
        <w:snapToGrid w:val="0"/>
        <w:spacing w:before="244" w:line="403" w:lineRule="auto"/>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4</w:t>
      </w:r>
      <w:r>
        <w:rPr>
          <w:rFonts w:hint="default" w:ascii="Times New Roman" w:hAnsi="Times New Roman" w:eastAsia="Times New Roman" w:cs="Times New Roman"/>
          <w:b/>
          <w:bCs/>
          <w:snapToGrid w:val="0"/>
          <w:color w:val="000000"/>
          <w:spacing w:val="-1"/>
          <w:kern w:val="0"/>
          <w:sz w:val="24"/>
          <w:szCs w:val="24"/>
          <w:lang w:val="en-US" w:eastAsia="en-US" w:bidi="ar-SA"/>
        </w:rPr>
        <w:t xml:space="preserve"> Innovation Governance Analysis</w:t>
      </w:r>
    </w:p>
    <w:p w14:paraId="2C753DE8">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Innovation governance refers to the structures, leadership mechanisms, accountability systems, and strategic processes through which innovation activities are coordinated and evaluated.</w:t>
      </w:r>
    </w:p>
    <w:p w14:paraId="7868E47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The diagnostic analysis reveals that many manufacturing SMEs lack formal innovation governance systems capable of managing AI-driven transformation effectively.</w:t>
      </w:r>
    </w:p>
    <w:p w14:paraId="1B2ED323">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p>
    <w:p w14:paraId="24FD487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p>
    <w:p w14:paraId="5D09FCE0">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4</w:t>
      </w:r>
      <w:r>
        <w:rPr>
          <w:rFonts w:hint="default" w:ascii="Times New Roman" w:hAnsi="Times New Roman" w:eastAsia="Times New Roman" w:cs="Times New Roman"/>
          <w:b/>
          <w:bCs/>
          <w:snapToGrid w:val="0"/>
          <w:color w:val="000000"/>
          <w:spacing w:val="-1"/>
          <w:kern w:val="0"/>
          <w:sz w:val="24"/>
          <w:szCs w:val="24"/>
          <w:lang w:val="en-US" w:eastAsia="en-US" w:bidi="ar-SA"/>
        </w:rPr>
        <w:t>.1 Fragmented Decision-Making Structures</w:t>
      </w:r>
    </w:p>
    <w:p w14:paraId="04822E20">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Digital transformation decisions are often decentralized across departments without strategic integration. Production teams, IT functions, marketing divisions, and R&amp;D units operate independently, leading to fragmented implementation priorities.</w:t>
      </w:r>
    </w:p>
    <w:p w14:paraId="3419FF7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This fragmentation generates several operational inefficiencies:</w:t>
      </w:r>
    </w:p>
    <w:p w14:paraId="4687E700">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duplicated technology investment </w:t>
      </w:r>
    </w:p>
    <w:p w14:paraId="2305FC25">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inconsistent innovation objectives </w:t>
      </w:r>
    </w:p>
    <w:p w14:paraId="02B07707">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poor cross-functional communication </w:t>
      </w:r>
    </w:p>
    <w:p w14:paraId="23FCFD58">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weak strategic coordination </w:t>
      </w:r>
    </w:p>
    <w:p w14:paraId="65BDC29F">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Without centralized innovation governance, AI initiatives become disconnected operational projects rather than components of a coherent transformation strategy.</w:t>
      </w:r>
    </w:p>
    <w:p w14:paraId="24031F72">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p>
    <w:p w14:paraId="7F981009">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b/>
          <w:bCs/>
          <w:snapToGrid w:val="0"/>
          <w:color w:val="000000"/>
          <w:spacing w:val="-1"/>
          <w:kern w:val="0"/>
          <w:sz w:val="24"/>
          <w:szCs w:val="24"/>
          <w:lang w:val="en-US" w:eastAsia="en-US" w:bidi="ar-SA"/>
        </w:rPr>
      </w:pPr>
      <w:r>
        <w:rPr>
          <w:rFonts w:hint="default" w:ascii="Times New Roman" w:hAnsi="Times New Roman" w:eastAsia="Times New Roman" w:cs="Times New Roman"/>
          <w:b/>
          <w:bCs/>
          <w:snapToGrid w:val="0"/>
          <w:color w:val="000000"/>
          <w:spacing w:val="-1"/>
          <w:kern w:val="0"/>
          <w:sz w:val="24"/>
          <w:szCs w:val="24"/>
          <w:lang w:val="en-US" w:eastAsia="en-US" w:bidi="ar-SA"/>
        </w:rPr>
        <w:t>2.</w:t>
      </w:r>
      <w:r>
        <w:rPr>
          <w:rFonts w:hint="eastAsia" w:ascii="Times New Roman" w:hAnsi="Times New Roman" w:eastAsia="宋体" w:cs="Times New Roman"/>
          <w:b/>
          <w:bCs/>
          <w:snapToGrid w:val="0"/>
          <w:color w:val="000000"/>
          <w:spacing w:val="-1"/>
          <w:kern w:val="0"/>
          <w:sz w:val="24"/>
          <w:szCs w:val="24"/>
          <w:lang w:val="en-US" w:eastAsia="zh-CN" w:bidi="ar-SA"/>
        </w:rPr>
        <w:t>4</w:t>
      </w:r>
      <w:r>
        <w:rPr>
          <w:rFonts w:hint="default" w:ascii="Times New Roman" w:hAnsi="Times New Roman" w:eastAsia="Times New Roman" w:cs="Times New Roman"/>
          <w:b/>
          <w:bCs/>
          <w:snapToGrid w:val="0"/>
          <w:color w:val="000000"/>
          <w:spacing w:val="-1"/>
          <w:kern w:val="0"/>
          <w:sz w:val="24"/>
          <w:szCs w:val="24"/>
          <w:lang w:val="en-US" w:eastAsia="en-US" w:bidi="ar-SA"/>
        </w:rPr>
        <w:t>.2 Weak Innovation Performance Metrics</w:t>
      </w:r>
    </w:p>
    <w:p w14:paraId="493F126F">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Another major weakness involves the measurement of innovation success.</w:t>
      </w:r>
    </w:p>
    <w:p w14:paraId="5413AABD">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Many SMEs evaluate digital transformation primarily through short-term operational indicators such as:</w:t>
      </w:r>
    </w:p>
    <w:p w14:paraId="3E3D9696">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cost reduction </w:t>
      </w:r>
      <w:r>
        <w:rPr>
          <w:rFonts w:hint="eastAsia" w:ascii="Times New Roman" w:hAnsi="Times New Roman" w:eastAsia="宋体" w:cs="Times New Roman"/>
          <w:snapToGrid w:val="0"/>
          <w:color w:val="000000"/>
          <w:spacing w:val="-1"/>
          <w:kern w:val="0"/>
          <w:sz w:val="24"/>
          <w:szCs w:val="24"/>
          <w:lang w:val="en-US" w:eastAsia="zh-CN" w:bidi="ar-SA"/>
        </w:rPr>
        <w:t xml:space="preserve"> </w:t>
      </w:r>
      <w:r>
        <w:rPr>
          <w:rFonts w:hint="default" w:ascii="Times New Roman" w:hAnsi="Times New Roman" w:eastAsia="Times New Roman" w:cs="Times New Roman"/>
          <w:snapToGrid w:val="0"/>
          <w:color w:val="000000"/>
          <w:spacing w:val="-1"/>
          <w:kern w:val="0"/>
          <w:sz w:val="24"/>
          <w:szCs w:val="24"/>
          <w:lang w:val="en-US" w:eastAsia="en-US" w:bidi="ar-SA"/>
        </w:rPr>
        <w:t xml:space="preserve">automation efficiency </w:t>
      </w:r>
      <w:r>
        <w:rPr>
          <w:rFonts w:hint="eastAsia" w:ascii="Times New Roman" w:hAnsi="Times New Roman" w:eastAsia="宋体" w:cs="Times New Roman"/>
          <w:snapToGrid w:val="0"/>
          <w:color w:val="000000"/>
          <w:spacing w:val="-1"/>
          <w:kern w:val="0"/>
          <w:sz w:val="24"/>
          <w:szCs w:val="24"/>
          <w:lang w:val="en-US" w:eastAsia="zh-CN" w:bidi="ar-SA"/>
        </w:rPr>
        <w:t xml:space="preserve"> </w:t>
      </w:r>
      <w:r>
        <w:rPr>
          <w:rFonts w:hint="default" w:ascii="Times New Roman" w:hAnsi="Times New Roman" w:eastAsia="Times New Roman" w:cs="Times New Roman"/>
          <w:snapToGrid w:val="0"/>
          <w:color w:val="000000"/>
          <w:spacing w:val="-1"/>
          <w:kern w:val="0"/>
          <w:sz w:val="24"/>
          <w:szCs w:val="24"/>
          <w:lang w:val="en-US" w:eastAsia="en-US" w:bidi="ar-SA"/>
        </w:rPr>
        <w:t xml:space="preserve">production speed </w:t>
      </w:r>
    </w:p>
    <w:p w14:paraId="604D41CE">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While these indicators are important, they fail to capture broader strategic outcomes including:</w:t>
      </w:r>
    </w:p>
    <w:p w14:paraId="107F8851">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export competitiveness </w:t>
      </w:r>
      <w:r>
        <w:rPr>
          <w:rFonts w:hint="eastAsia" w:ascii="Times New Roman" w:hAnsi="Times New Roman" w:eastAsia="宋体" w:cs="Times New Roman"/>
          <w:snapToGrid w:val="0"/>
          <w:color w:val="000000"/>
          <w:spacing w:val="-1"/>
          <w:kern w:val="0"/>
          <w:sz w:val="24"/>
          <w:szCs w:val="24"/>
          <w:lang w:val="en-US" w:eastAsia="zh-CN" w:bidi="ar-SA"/>
        </w:rPr>
        <w:t xml:space="preserve"> </w:t>
      </w:r>
      <w:r>
        <w:rPr>
          <w:rFonts w:hint="default" w:ascii="Times New Roman" w:hAnsi="Times New Roman" w:eastAsia="Times New Roman" w:cs="Times New Roman"/>
          <w:snapToGrid w:val="0"/>
          <w:color w:val="000000"/>
          <w:spacing w:val="-1"/>
          <w:kern w:val="0"/>
          <w:sz w:val="24"/>
          <w:szCs w:val="24"/>
          <w:lang w:val="en-US" w:eastAsia="en-US" w:bidi="ar-SA"/>
        </w:rPr>
        <w:t xml:space="preserve">commercialization scalability </w:t>
      </w:r>
      <w:r>
        <w:rPr>
          <w:rFonts w:hint="eastAsia" w:ascii="Times New Roman" w:hAnsi="Times New Roman" w:eastAsia="宋体" w:cs="Times New Roman"/>
          <w:snapToGrid w:val="0"/>
          <w:color w:val="000000"/>
          <w:spacing w:val="-1"/>
          <w:kern w:val="0"/>
          <w:sz w:val="24"/>
          <w:szCs w:val="24"/>
          <w:lang w:val="en-US" w:eastAsia="zh-CN" w:bidi="ar-SA"/>
        </w:rPr>
        <w:t xml:space="preserve"> </w:t>
      </w:r>
      <w:r>
        <w:rPr>
          <w:rFonts w:hint="default" w:ascii="Times New Roman" w:hAnsi="Times New Roman" w:eastAsia="Times New Roman" w:cs="Times New Roman"/>
          <w:snapToGrid w:val="0"/>
          <w:color w:val="000000"/>
          <w:spacing w:val="-1"/>
          <w:kern w:val="0"/>
          <w:sz w:val="24"/>
          <w:szCs w:val="24"/>
          <w:lang w:val="en-US" w:eastAsia="en-US" w:bidi="ar-SA"/>
        </w:rPr>
        <w:t xml:space="preserve">innovation adaptability </w:t>
      </w:r>
    </w:p>
    <w:p w14:paraId="4B62888E">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 xml:space="preserve">ecosystem integration </w:t>
      </w:r>
      <w:r>
        <w:rPr>
          <w:rFonts w:hint="eastAsia" w:ascii="Times New Roman" w:hAnsi="Times New Roman" w:eastAsia="宋体" w:cs="Times New Roman"/>
          <w:snapToGrid w:val="0"/>
          <w:color w:val="000000"/>
          <w:spacing w:val="-1"/>
          <w:kern w:val="0"/>
          <w:sz w:val="24"/>
          <w:szCs w:val="24"/>
          <w:lang w:val="en-US" w:eastAsia="zh-CN" w:bidi="ar-SA"/>
        </w:rPr>
        <w:t xml:space="preserve"> </w:t>
      </w:r>
      <w:r>
        <w:rPr>
          <w:rFonts w:hint="default" w:ascii="Times New Roman" w:hAnsi="Times New Roman" w:eastAsia="Times New Roman" w:cs="Times New Roman"/>
          <w:snapToGrid w:val="0"/>
          <w:color w:val="000000"/>
          <w:spacing w:val="-1"/>
          <w:kern w:val="0"/>
          <w:sz w:val="24"/>
          <w:szCs w:val="24"/>
          <w:lang w:val="en-US" w:eastAsia="en-US" w:bidi="ar-SA"/>
        </w:rPr>
        <w:t xml:space="preserve">long-term resilience </w:t>
      </w:r>
    </w:p>
    <w:p w14:paraId="75FE16DF">
      <w:pPr>
        <w:kinsoku w:val="0"/>
        <w:autoSpaceDE w:val="0"/>
        <w:autoSpaceDN w:val="0"/>
        <w:adjustRightInd w:val="0"/>
        <w:snapToGrid w:val="0"/>
        <w:spacing w:before="244" w:line="403" w:lineRule="auto"/>
        <w:ind w:firstLine="488"/>
        <w:jc w:val="both"/>
        <w:textAlignment w:val="baseline"/>
        <w:rPr>
          <w:rFonts w:hint="default" w:ascii="Times New Roman" w:hAnsi="Times New Roman" w:eastAsia="Times New Roman" w:cs="Times New Roman"/>
          <w:snapToGrid w:val="0"/>
          <w:color w:val="000000"/>
          <w:spacing w:val="-1"/>
          <w:kern w:val="0"/>
          <w:sz w:val="24"/>
          <w:szCs w:val="24"/>
          <w:lang w:val="en-US" w:eastAsia="en-US" w:bidi="ar-SA"/>
        </w:rPr>
      </w:pPr>
      <w:r>
        <w:rPr>
          <w:rFonts w:hint="default" w:ascii="Times New Roman" w:hAnsi="Times New Roman" w:eastAsia="Times New Roman" w:cs="Times New Roman"/>
          <w:snapToGrid w:val="0"/>
          <w:color w:val="000000"/>
          <w:spacing w:val="-1"/>
          <w:kern w:val="0"/>
          <w:sz w:val="24"/>
          <w:szCs w:val="24"/>
          <w:lang w:val="en-US" w:eastAsia="en-US" w:bidi="ar-SA"/>
        </w:rPr>
        <w:t>This narrow evaluation logic encourages short-term optimization rather than sustainable innovation capability development.</w:t>
      </w:r>
    </w:p>
    <w:p w14:paraId="6D1CE7B5">
      <w:pPr>
        <w:keepNext w:val="0"/>
        <w:keepLines w:val="0"/>
        <w:widowControl/>
        <w:suppressLineNumbers w:val="0"/>
        <w:jc w:val="left"/>
        <w:rPr>
          <w:rFonts w:ascii="宋体" w:hAnsi="宋体" w:eastAsia="宋体" w:cs="宋体"/>
          <w:kern w:val="0"/>
          <w:sz w:val="24"/>
          <w:szCs w:val="24"/>
          <w:lang w:val="en-US" w:eastAsia="zh-CN" w:bidi="ar"/>
        </w:rPr>
      </w:pPr>
    </w:p>
    <w:p w14:paraId="39A8FD82">
      <w:pPr>
        <w:pStyle w:val="3"/>
        <w:keepNext w:val="0"/>
        <w:keepLines w:val="0"/>
        <w:widowControl/>
        <w:suppressLineNumbers w:val="0"/>
        <w:rPr>
          <w:rFonts w:hint="default" w:ascii="Times New Roman Regular" w:hAnsi="Times New Roman Regular" w:cs="Times New Roman Regular"/>
          <w:sz w:val="24"/>
          <w:szCs w:val="24"/>
        </w:rPr>
      </w:pPr>
      <w:r>
        <w:rPr>
          <w:rStyle w:val="8"/>
          <w:rFonts w:hint="eastAsia" w:ascii="Times New Roman Regular" w:hAnsi="Times New Roman Regular" w:cs="Times New Roman Regular"/>
          <w:b/>
          <w:sz w:val="24"/>
          <w:szCs w:val="24"/>
          <w:lang w:val="en-US" w:eastAsia="zh-CN"/>
        </w:rPr>
        <w:t xml:space="preserve">3.0 </w:t>
      </w:r>
      <w:r>
        <w:rPr>
          <w:rStyle w:val="8"/>
          <w:rFonts w:hint="default" w:ascii="Times New Roman Regular" w:hAnsi="Times New Roman Regular" w:cs="Times New Roman Regular"/>
          <w:b/>
          <w:sz w:val="24"/>
          <w:szCs w:val="24"/>
        </w:rPr>
        <w:t>Conclusion</w:t>
      </w:r>
    </w:p>
    <w:p w14:paraId="16486F0C">
      <w:pPr>
        <w:pStyle w:val="5"/>
        <w:keepNext w:val="0"/>
        <w:keepLines w:val="0"/>
        <w:widowControl/>
        <w:suppressLineNumbers w:val="0"/>
        <w:rPr>
          <w:rFonts w:hint="default" w:ascii="Times New Roman" w:hAnsi="Times New Roman" w:cs="Times New Roman"/>
          <w:b w:val="0"/>
          <w:bCs w:val="0"/>
          <w:sz w:val="24"/>
          <w:szCs w:val="24"/>
        </w:rPr>
      </w:pPr>
      <w:r>
        <w:rPr>
          <w:rFonts w:hint="default" w:ascii="Times New Roman Regular" w:hAnsi="Times New Roman Regular" w:cs="Times New Roman Regular"/>
          <w:sz w:val="24"/>
          <w:szCs w:val="24"/>
        </w:rPr>
        <w:t xml:space="preserve">The transition to Industry 4.0 is not merely a technological upgrade; it is an existential imperative for manufacturing SMEs seeking to survive in global export markets. This research has demonstrated that the current approach of "operational digitalization" is insufficient. It creates a "Technology-Commercialization Gap" where SMEs possess advanced tools but lack the strategic capability to monetize them in international </w:t>
      </w:r>
      <w:r>
        <w:rPr>
          <w:rFonts w:hint="default" w:ascii="Times New Roman" w:hAnsi="Times New Roman" w:cs="Times New Roman"/>
          <w:b w:val="0"/>
          <w:bCs w:val="0"/>
          <w:sz w:val="24"/>
          <w:szCs w:val="24"/>
        </w:rPr>
        <w:t>markets.</w:t>
      </w:r>
    </w:p>
    <w:p w14:paraId="151C9D68">
      <w:pPr>
        <w:pStyle w:val="5"/>
        <w:keepNext w:val="0"/>
        <w:keepLines w:val="0"/>
        <w:widowControl/>
        <w:suppressLineNumbers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 proposed </w:t>
      </w:r>
      <w:r>
        <w:rPr>
          <w:rStyle w:val="8"/>
          <w:rFonts w:hint="default" w:ascii="Times New Roman" w:hAnsi="Times New Roman" w:cs="Times New Roman"/>
          <w:b w:val="0"/>
          <w:bCs w:val="0"/>
          <w:sz w:val="24"/>
          <w:szCs w:val="24"/>
        </w:rPr>
        <w:t>AI-Driven R&amp;D Transformation Roadmap</w:t>
      </w:r>
      <w:r>
        <w:rPr>
          <w:rFonts w:hint="default" w:ascii="Times New Roman" w:hAnsi="Times New Roman" w:cs="Times New Roman"/>
          <w:b w:val="0"/>
          <w:bCs w:val="0"/>
          <w:sz w:val="24"/>
          <w:szCs w:val="24"/>
        </w:rPr>
        <w:t xml:space="preserve"> offers a solution. By realigning </w:t>
      </w:r>
      <w:r>
        <w:rPr>
          <w:rStyle w:val="8"/>
          <w:rFonts w:hint="default" w:ascii="Times New Roman" w:hAnsi="Times New Roman" w:cs="Times New Roman"/>
          <w:b w:val="0"/>
          <w:bCs w:val="0"/>
          <w:sz w:val="24"/>
          <w:szCs w:val="24"/>
        </w:rPr>
        <w:t>Governance</w:t>
      </w:r>
      <w:r>
        <w:rPr>
          <w:rFonts w:hint="default" w:ascii="Times New Roman" w:hAnsi="Times New Roman" w:cs="Times New Roman"/>
          <w:b w:val="0"/>
          <w:bCs w:val="0"/>
          <w:sz w:val="24"/>
          <w:szCs w:val="24"/>
        </w:rPr>
        <w:t xml:space="preserve">, developing </w:t>
      </w:r>
      <w:r>
        <w:rPr>
          <w:rStyle w:val="8"/>
          <w:rFonts w:hint="default" w:ascii="Times New Roman" w:hAnsi="Times New Roman" w:cs="Times New Roman"/>
          <w:b w:val="0"/>
          <w:bCs w:val="0"/>
          <w:sz w:val="24"/>
          <w:szCs w:val="24"/>
        </w:rPr>
        <w:t>Smart Manufacturing Capabilities</w:t>
      </w:r>
      <w:r>
        <w:rPr>
          <w:rFonts w:hint="default" w:ascii="Times New Roman" w:hAnsi="Times New Roman" w:cs="Times New Roman"/>
          <w:b w:val="0"/>
          <w:bCs w:val="0"/>
          <w:sz w:val="24"/>
          <w:szCs w:val="24"/>
        </w:rPr>
        <w:t xml:space="preserve">, accelerating </w:t>
      </w:r>
      <w:r>
        <w:rPr>
          <w:rStyle w:val="8"/>
          <w:rFonts w:hint="default" w:ascii="Times New Roman" w:hAnsi="Times New Roman" w:cs="Times New Roman"/>
          <w:b w:val="0"/>
          <w:bCs w:val="0"/>
          <w:sz w:val="24"/>
          <w:szCs w:val="24"/>
        </w:rPr>
        <w:t>Commercialization</w:t>
      </w:r>
      <w:r>
        <w:rPr>
          <w:rFonts w:hint="default" w:ascii="Times New Roman" w:hAnsi="Times New Roman" w:cs="Times New Roman"/>
          <w:b w:val="0"/>
          <w:bCs w:val="0"/>
          <w:sz w:val="24"/>
          <w:szCs w:val="24"/>
        </w:rPr>
        <w:t xml:space="preserve">, transforming </w:t>
      </w:r>
      <w:r>
        <w:rPr>
          <w:rStyle w:val="8"/>
          <w:rFonts w:hint="default" w:ascii="Times New Roman" w:hAnsi="Times New Roman" w:cs="Times New Roman"/>
          <w:b w:val="0"/>
          <w:bCs w:val="0"/>
          <w:sz w:val="24"/>
          <w:szCs w:val="24"/>
        </w:rPr>
        <w:t>Talent</w:t>
      </w:r>
      <w:r>
        <w:rPr>
          <w:rFonts w:hint="default" w:ascii="Times New Roman" w:hAnsi="Times New Roman" w:cs="Times New Roman"/>
          <w:b w:val="0"/>
          <w:bCs w:val="0"/>
          <w:sz w:val="24"/>
          <w:szCs w:val="24"/>
        </w:rPr>
        <w:t xml:space="preserve">, and leveraging the </w:t>
      </w:r>
      <w:r>
        <w:rPr>
          <w:rStyle w:val="8"/>
          <w:rFonts w:hint="default" w:ascii="Times New Roman" w:hAnsi="Times New Roman" w:cs="Times New Roman"/>
          <w:b w:val="0"/>
          <w:bCs w:val="0"/>
          <w:sz w:val="24"/>
          <w:szCs w:val="24"/>
        </w:rPr>
        <w:t>Ecosystem</w:t>
      </w:r>
      <w:r>
        <w:rPr>
          <w:rFonts w:hint="default" w:ascii="Times New Roman" w:hAnsi="Times New Roman" w:cs="Times New Roman"/>
          <w:b w:val="0"/>
          <w:bCs w:val="0"/>
          <w:sz w:val="24"/>
          <w:szCs w:val="24"/>
        </w:rPr>
        <w:t>, SMEs can close this gap.</w:t>
      </w:r>
    </w:p>
    <w:p w14:paraId="369DAE69">
      <w:pPr>
        <w:pStyle w:val="5"/>
        <w:keepNext w:val="0"/>
        <w:keepLines w:val="0"/>
        <w:widowControl/>
        <w:suppressLineNumbers w:val="0"/>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Ultimately, sustainable export competitiveness in the AI era will not belong to the company with the most robots, but to the company with the most integrated strategy. It belongs to the organization that can successfully institutionalize innovation governance and redesign its decision-making structures to manage uncertainty, scalability, and market adaptation. This roadmap provides the blueprint for that transformation.</w:t>
      </w:r>
    </w:p>
    <w:p w14:paraId="54D3A680">
      <w:pPr>
        <w:keepNext w:val="0"/>
        <w:keepLines w:val="0"/>
        <w:widowControl/>
        <w:suppressLineNumbers w:val="0"/>
        <w:jc w:val="left"/>
        <w:rPr>
          <w:rFonts w:hint="eastAsia" w:ascii="宋体" w:hAnsi="宋体" w:eastAsia="宋体" w:cs="宋体"/>
          <w:kern w:val="0"/>
          <w:sz w:val="24"/>
          <w:szCs w:val="24"/>
          <w:lang w:val="en-US" w:eastAsia="zh-CN" w:bidi="ar"/>
        </w:rPr>
      </w:pPr>
      <w:r>
        <w:rPr>
          <w:rStyle w:val="8"/>
          <w:rFonts w:hint="eastAsia" w:eastAsia="宋体"/>
          <w:b/>
          <w:lang w:val="en-US" w:eastAsia="zh-CN"/>
        </w:rPr>
        <w:t xml:space="preserve"> </w:t>
      </w:r>
    </w:p>
    <w:p w14:paraId="1F9FC2BE">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5FD4863C">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34793331">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36A77C2F">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6909E5E2">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6F2C265A">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20B525E8">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58E1AE3F">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47D6078C">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3C350619">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2E968851">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45D3773A">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3389A326">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1B90A98C">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755CAE15">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2CEC11C0">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4D991898">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196A0A03">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000D5F9E">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39773619">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6067D7DC">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5092AD7A">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2CB91F72">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541C78F0">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5D4F2A64">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7CB72E6D">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190AB2DF">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311A40E6">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07D7B8B7">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77655CA2">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15610C46">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77F07B34">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1516D9B5">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268061B8">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4A59D271">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10F9C89C">
      <w:pPr>
        <w:keepNext w:val="0"/>
        <w:keepLines w:val="0"/>
        <w:widowControl/>
        <w:suppressLineNumbers w:val="0"/>
        <w:ind w:firstLine="2643" w:firstLineChars="1100"/>
        <w:jc w:val="left"/>
        <w:rPr>
          <w:rFonts w:hint="eastAsia" w:ascii="宋体" w:hAnsi="宋体" w:eastAsia="宋体" w:cs="宋体"/>
          <w:b/>
          <w:bCs/>
          <w:kern w:val="0"/>
          <w:sz w:val="24"/>
          <w:szCs w:val="24"/>
          <w:lang w:val="en-US" w:eastAsia="zh-CN" w:bidi="ar"/>
        </w:rPr>
      </w:pPr>
    </w:p>
    <w:p w14:paraId="2EDF7C7A">
      <w:pPr>
        <w:keepNext w:val="0"/>
        <w:keepLines w:val="0"/>
        <w:widowControl/>
        <w:suppressLineNumbers w:val="0"/>
        <w:ind w:firstLine="2643" w:firstLineChars="1100"/>
        <w:jc w:val="left"/>
        <w:rPr>
          <w:rFonts w:hint="default"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R</w:t>
      </w:r>
      <w:r>
        <w:rPr>
          <w:rFonts w:hint="default" w:ascii="宋体" w:hAnsi="宋体" w:eastAsia="宋体" w:cs="宋体"/>
          <w:b/>
          <w:bCs/>
          <w:kern w:val="0"/>
          <w:sz w:val="24"/>
          <w:szCs w:val="24"/>
          <w:lang w:val="en-US" w:eastAsia="zh-CN" w:bidi="ar"/>
        </w:rPr>
        <w:t>eferences</w:t>
      </w:r>
    </w:p>
    <w:p w14:paraId="2E009D5F">
      <w:pPr>
        <w:rPr>
          <w:rFonts w:hint="eastAsia" w:ascii="宋体" w:hAnsi="宋体" w:eastAsia="宋体" w:cs="宋体"/>
          <w:kern w:val="0"/>
          <w:sz w:val="24"/>
          <w:szCs w:val="24"/>
          <w:lang w:val="en-US" w:eastAsia="zh-CN" w:bidi="ar"/>
        </w:rPr>
      </w:pPr>
    </w:p>
    <w:p w14:paraId="3612998E">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Barney, J. (1991). Firm resources and sustained competitive advantage. Journal of Management, 17(1), 99‑120.</w:t>
      </w:r>
    </w:p>
    <w:p w14:paraId="24EDF618">
      <w:pPr>
        <w:rPr>
          <w:rFonts w:hint="eastAsia" w:ascii="宋体" w:hAnsi="宋体" w:eastAsia="宋体" w:cs="宋体"/>
          <w:kern w:val="0"/>
          <w:sz w:val="24"/>
          <w:szCs w:val="24"/>
          <w:lang w:val="en-US" w:eastAsia="zh-CN" w:bidi="ar"/>
        </w:rPr>
      </w:pPr>
    </w:p>
    <w:p w14:paraId="420C9544">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Bharadwaj, A., El Sawy, O. A., Pavlou, P. A., &amp; Venkatraman, N. (2013). Digital business strategy: Toward a next generation of insights. MIS Quarterly, 37(2), 471‑482.</w:t>
      </w:r>
    </w:p>
    <w:p w14:paraId="4C627411">
      <w:pPr>
        <w:rPr>
          <w:rFonts w:hint="eastAsia" w:ascii="宋体" w:hAnsi="宋体" w:eastAsia="宋体" w:cs="宋体"/>
          <w:kern w:val="0"/>
          <w:sz w:val="24"/>
          <w:szCs w:val="24"/>
          <w:lang w:val="en-US" w:eastAsia="zh-CN" w:bidi="ar"/>
        </w:rPr>
      </w:pPr>
    </w:p>
    <w:p w14:paraId="680B85DF">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Gartner. (2016). Gartner's digital maturity model. Gartner Research.</w:t>
      </w:r>
    </w:p>
    <w:p w14:paraId="44DCAE48">
      <w:pPr>
        <w:rPr>
          <w:rFonts w:hint="eastAsia" w:ascii="宋体" w:hAnsi="宋体" w:eastAsia="宋体" w:cs="宋体"/>
          <w:kern w:val="0"/>
          <w:sz w:val="24"/>
          <w:szCs w:val="24"/>
          <w:lang w:val="en-US" w:eastAsia="zh-CN" w:bidi="ar"/>
        </w:rPr>
      </w:pPr>
    </w:p>
    <w:p w14:paraId="17742A42">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Ivanov, D., Dolgui, A., &amp; Sokolov, B. (2019). The impact of digital technology and Industry 4.0 on the ripple effect and supply chain risk analytics. International Journal of Production Research, 57(3), 829‑846.</w:t>
      </w:r>
    </w:p>
    <w:p w14:paraId="7FDA4397">
      <w:pPr>
        <w:rPr>
          <w:rFonts w:hint="eastAsia" w:ascii="宋体" w:hAnsi="宋体" w:eastAsia="宋体" w:cs="宋体"/>
          <w:kern w:val="0"/>
          <w:sz w:val="24"/>
          <w:szCs w:val="24"/>
          <w:lang w:val="en-US" w:eastAsia="zh-CN" w:bidi="ar"/>
        </w:rPr>
      </w:pPr>
    </w:p>
    <w:p w14:paraId="43C0C801">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Kagermann, H., Wahlster, W., &amp; Helbig, J. (2013). Recommendations for implementing the strategic initiative INDUSTRIE 4.0. Final report of the Industrie 4.0 Working Group.</w:t>
      </w:r>
    </w:p>
    <w:p w14:paraId="75C44A74">
      <w:pPr>
        <w:rPr>
          <w:rFonts w:hint="eastAsia" w:ascii="宋体" w:hAnsi="宋体" w:eastAsia="宋体" w:cs="宋体"/>
          <w:kern w:val="0"/>
          <w:sz w:val="24"/>
          <w:szCs w:val="24"/>
          <w:lang w:val="en-US" w:eastAsia="zh-CN" w:bidi="ar"/>
        </w:rPr>
      </w:pPr>
    </w:p>
    <w:p w14:paraId="0D05E927">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Lasi, H., Fettke, P., Kemper, H.‑G., Feld, T., &amp; Hoffmann, M. (2014). Industry 4.0. Business &amp; Information Systems Engineering, 6(4), 239‑242.</w:t>
      </w:r>
    </w:p>
    <w:p w14:paraId="7CBA8A5F">
      <w:pPr>
        <w:rPr>
          <w:rFonts w:hint="eastAsia" w:ascii="宋体" w:hAnsi="宋体" w:eastAsia="宋体" w:cs="宋体"/>
          <w:kern w:val="0"/>
          <w:sz w:val="24"/>
          <w:szCs w:val="24"/>
          <w:lang w:val="en-US" w:eastAsia="zh-CN" w:bidi="ar"/>
        </w:rPr>
      </w:pPr>
    </w:p>
    <w:p w14:paraId="2DB3A951">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Lee, J., Bagheri, B., &amp; Kao, H.‑A. (2014). A cyber‑physical systems architecture for industry 4.0‑based manufacturing systems. Manufacturing Letters, 3, 18‑23.</w:t>
      </w:r>
    </w:p>
    <w:p w14:paraId="40DE0B51">
      <w:pPr>
        <w:rPr>
          <w:rFonts w:hint="eastAsia" w:ascii="宋体" w:hAnsi="宋体" w:eastAsia="宋体" w:cs="宋体"/>
          <w:kern w:val="0"/>
          <w:sz w:val="24"/>
          <w:szCs w:val="24"/>
          <w:lang w:val="en-US" w:eastAsia="zh-CN" w:bidi="ar"/>
        </w:rPr>
      </w:pPr>
    </w:p>
    <w:p w14:paraId="6BAE0259">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Porter, M. E. (1990). The competitive advantage of nations. Free Press.</w:t>
      </w:r>
    </w:p>
    <w:p w14:paraId="6FD0ADAE">
      <w:pPr>
        <w:rPr>
          <w:rFonts w:hint="eastAsia" w:ascii="宋体" w:hAnsi="宋体" w:eastAsia="宋体" w:cs="宋体"/>
          <w:kern w:val="0"/>
          <w:sz w:val="24"/>
          <w:szCs w:val="24"/>
          <w:lang w:val="en-US" w:eastAsia="zh-CN" w:bidi="ar"/>
        </w:rPr>
      </w:pPr>
    </w:p>
    <w:p w14:paraId="6ED088BB">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Tornatzky, L. G., &amp; Fleischer, M. (1990). The processes of technological innovation. Lexington Books.</w:t>
      </w:r>
    </w:p>
    <w:p w14:paraId="31856618">
      <w:pPr>
        <w:rPr>
          <w:rFonts w:hint="eastAsia" w:ascii="宋体" w:hAnsi="宋体" w:eastAsia="宋体" w:cs="宋体"/>
          <w:kern w:val="0"/>
          <w:sz w:val="24"/>
          <w:szCs w:val="24"/>
          <w:lang w:val="en-US" w:eastAsia="zh-CN" w:bidi="ar"/>
        </w:rPr>
      </w:pPr>
    </w:p>
    <w:p w14:paraId="2684AFC5">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Vial, G. (2019). Understanding digital transformation: A review and a research agenda. The Journal of Strategic Information Systems, 28(2), 118‑144.</w:t>
      </w:r>
    </w:p>
    <w:p w14:paraId="70FD7E2E">
      <w:pPr>
        <w:rPr>
          <w:rFonts w:hint="eastAsia" w:ascii="宋体" w:hAnsi="宋体" w:eastAsia="宋体" w:cs="宋体"/>
          <w:kern w:val="0"/>
          <w:sz w:val="24"/>
          <w:szCs w:val="24"/>
          <w:lang w:val="en-US" w:eastAsia="zh-CN" w:bidi="ar"/>
        </w:rPr>
      </w:pPr>
    </w:p>
    <w:p w14:paraId="639F5FE5">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Westerman, G., Bonnet, D., &amp; McAfee, A. (2014). Leading digital: Turning technology into business transformation. Harvard Business Review Press.</w:t>
      </w:r>
    </w:p>
    <w:p w14:paraId="430C2855">
      <w:pPr>
        <w:rPr>
          <w:rFonts w:hint="eastAsia" w:ascii="宋体" w:hAnsi="宋体" w:eastAsia="宋体" w:cs="宋体"/>
          <w:kern w:val="0"/>
          <w:sz w:val="24"/>
          <w:szCs w:val="24"/>
          <w:lang w:val="en-US" w:eastAsia="zh-CN" w:bidi="ar"/>
        </w:rPr>
      </w:pPr>
    </w:p>
    <w:p w14:paraId="38001277">
      <w:pP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Zhou, L., Liu, Q., &amp; Zhang, C. (2018). Deep learning for smart manufacturing: Methods and applications. Journal of Manufacturing Systems, 48, 144‑156.</w:t>
      </w:r>
    </w:p>
    <w:p w14:paraId="52A30914">
      <w:pPr>
        <w:rPr>
          <w:rFonts w:hint="eastAsia" w:ascii="宋体" w:hAnsi="宋体" w:eastAsia="宋体" w:cs="宋体"/>
          <w:kern w:val="0"/>
          <w:sz w:val="24"/>
          <w:szCs w:val="24"/>
          <w:lang w:val="en-US" w:eastAsia="zh-CN" w:bidi="ar"/>
        </w:rPr>
      </w:pPr>
    </w:p>
    <w:p w14:paraId="6794E281">
      <w:pP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Regular">
    <w:panose1 w:val="02020503050405090304"/>
    <w:charset w:val="00"/>
    <w:family w:val="auto"/>
    <w:pitch w:val="default"/>
    <w:sig w:usb0="E0000AFF" w:usb1="0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E08D4"/>
    <w:multiLevelType w:val="multilevel"/>
    <w:tmpl w:val="BFFE08D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8EF7E891"/>
    <w:rsid w:val="37DFD135"/>
    <w:rsid w:val="6FF7F814"/>
    <w:rsid w:val="7DD5C5D4"/>
    <w:rsid w:val="7ECF5B1A"/>
    <w:rsid w:val="8EF7E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201</TotalTime>
  <ScaleCrop>false</ScaleCrop>
  <LinksUpToDate>false</LinksUpToDate>
  <CharactersWithSpaces>0</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2026-06-21T20:35:00Z</dcterms:created>
  <dc:creator>　nirvana</dc:creator>
  <cp:lastModifiedBy>　nirvana</cp:lastModifiedBy>
  <dcterms:modified xsi:type="dcterms:W3CDTF">2026-06-20T19:58:03Z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81856C27F77F47F86551366AA9E1767D_43</vt:lpwstr>
  </property>
</Properties>
</file>