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41299" w14:textId="53B2004E" w:rsidR="00AC1FA9" w:rsidRDefault="00000000" w:rsidP="00AC1FA9">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Transforming Consulting Operations: A Modular Ensemble Machine Learning Framework for Hierarchical Decision Support</w:t>
      </w:r>
    </w:p>
    <w:p w14:paraId="4B23D6D6" w14:textId="2A787114" w:rsidR="00020D61" w:rsidRPr="00AC1FA9" w:rsidRDefault="007E17CA" w:rsidP="00AC1FA9">
      <w:pPr>
        <w:jc w:val="center"/>
        <w:rPr>
          <w:rFonts w:ascii="Times New Roman" w:eastAsia="Times New Roman" w:hAnsi="Times New Roman" w:cs="Times New Roman"/>
          <w:b/>
          <w:bCs/>
          <w:sz w:val="32"/>
          <w:szCs w:val="32"/>
          <w:highlight w:val="white"/>
        </w:rPr>
      </w:pPr>
      <w:r w:rsidRPr="0029574B">
        <w:rPr>
          <w:rFonts w:ascii="Times New Roman" w:eastAsia="Times New Roman" w:hAnsi="Times New Roman" w:cs="Times New Roman"/>
          <w:noProof/>
          <w:sz w:val="24"/>
          <w:szCs w:val="24"/>
        </w:rPr>
        <mc:AlternateContent>
          <mc:Choice Requires="wps">
            <w:drawing>
              <wp:anchor distT="45720" distB="45720" distL="114300" distR="114300" simplePos="0" relativeHeight="251662336" behindDoc="1" locked="0" layoutInCell="1" allowOverlap="1" wp14:anchorId="1120D8A6" wp14:editId="136A9283">
                <wp:simplePos x="0" y="0"/>
                <wp:positionH relativeFrom="margin">
                  <wp:posOffset>3108960</wp:posOffset>
                </wp:positionH>
                <wp:positionV relativeFrom="paragraph">
                  <wp:posOffset>171450</wp:posOffset>
                </wp:positionV>
                <wp:extent cx="3154680" cy="1760220"/>
                <wp:effectExtent l="0" t="0" r="26670" b="11430"/>
                <wp:wrapTight wrapText="bothSides">
                  <wp:wrapPolygon edited="0">
                    <wp:start x="0" y="0"/>
                    <wp:lineTo x="0" y="21506"/>
                    <wp:lineTo x="21652" y="21506"/>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760220"/>
                        </a:xfrm>
                        <a:prstGeom prst="rect">
                          <a:avLst/>
                        </a:prstGeom>
                        <a:solidFill>
                          <a:srgbClr val="FFFFFF"/>
                        </a:solidFill>
                        <a:ln w="9525">
                          <a:solidFill>
                            <a:schemeClr val="bg1"/>
                          </a:solidFill>
                          <a:miter lim="800000"/>
                          <a:headEnd/>
                          <a:tailEnd/>
                        </a:ln>
                      </wps:spPr>
                      <wps:txbx>
                        <w:txbxContent>
                          <w:p w14:paraId="61BE887B" w14:textId="68B013F2"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Hiren Kodwani</w:t>
                            </w:r>
                          </w:p>
                          <w:p w14:paraId="6A03198B" w14:textId="32FA57B6"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Department of Computer Science and Engineering – Data Science</w:t>
                            </w:r>
                          </w:p>
                          <w:p w14:paraId="2593A1DE" w14:textId="22079AD1"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Acropolis Institute of Technology and Research</w:t>
                            </w:r>
                          </w:p>
                          <w:p w14:paraId="3F4267EA" w14:textId="20B714C0"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Aff</w:t>
                            </w:r>
                            <w:r w:rsidR="007E17CA">
                              <w:rPr>
                                <w:rFonts w:ascii="Times New Roman" w:hAnsi="Times New Roman" w:cs="Times New Roman"/>
                                <w:sz w:val="24"/>
                                <w:szCs w:val="24"/>
                              </w:rPr>
                              <w:t>:</w:t>
                            </w:r>
                            <w:r w:rsidRPr="00020D61">
                              <w:rPr>
                                <w:rFonts w:ascii="Times New Roman" w:hAnsi="Times New Roman" w:cs="Times New Roman"/>
                                <w:sz w:val="24"/>
                                <w:szCs w:val="24"/>
                              </w:rPr>
                              <w:t xml:space="preserve"> R.G.P.V</w:t>
                            </w:r>
                          </w:p>
                          <w:p w14:paraId="756E1A60" w14:textId="4F0F0C07" w:rsidR="0029574B" w:rsidRPr="007E17CA" w:rsidRDefault="0029574B" w:rsidP="0029574B">
                            <w:pPr>
                              <w:jc w:val="center"/>
                              <w:rPr>
                                <w:rFonts w:ascii="Times New Roman" w:hAnsi="Times New Roman" w:cs="Times New Roman"/>
                                <w:i/>
                                <w:iCs/>
                                <w:sz w:val="24"/>
                                <w:szCs w:val="24"/>
                              </w:rPr>
                            </w:pPr>
                            <w:r w:rsidRPr="007E17CA">
                              <w:rPr>
                                <w:rFonts w:ascii="Times New Roman" w:hAnsi="Times New Roman" w:cs="Times New Roman"/>
                                <w:i/>
                                <w:iCs/>
                                <w:sz w:val="24"/>
                                <w:szCs w:val="24"/>
                              </w:rPr>
                              <w:t>Indore, M.P. India</w:t>
                            </w:r>
                          </w:p>
                          <w:p w14:paraId="242BE1ED" w14:textId="3D5EAD08" w:rsidR="0029574B" w:rsidRPr="00020D61" w:rsidRDefault="007E17CA" w:rsidP="007E17CA">
                            <w:pPr>
                              <w:jc w:val="center"/>
                              <w:rPr>
                                <w:rFonts w:ascii="Times New Roman" w:hAnsi="Times New Roman" w:cs="Times New Roman"/>
                                <w:sz w:val="24"/>
                                <w:szCs w:val="24"/>
                              </w:rPr>
                            </w:pPr>
                            <w:r>
                              <w:rPr>
                                <w:rFonts w:ascii="Times New Roman" w:hAnsi="Times New Roman" w:cs="Times New Roman"/>
                                <w:sz w:val="24"/>
                                <w:szCs w:val="24"/>
                              </w:rPr>
                              <w:t>hirenkodwani@gmail.com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0D8A6" id="_x0000_t202" coordsize="21600,21600" o:spt="202" path="m,l,21600r21600,l21600,xe">
                <v:stroke joinstyle="miter"/>
                <v:path gradientshapeok="t" o:connecttype="rect"/>
              </v:shapetype>
              <v:shape id="Text Box 2" o:spid="_x0000_s1026" type="#_x0000_t202" style="position:absolute;left:0;text-align:left;margin-left:244.8pt;margin-top:13.5pt;width:248.4pt;height:138.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" strokecolor="white [3212]">
                <v:textbox>
                  <w:txbxContent>
                    <w:p w14:paraId="61BE887B" w14:textId="68B013F2"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Hiren Kodwani</w:t>
                      </w:r>
                    </w:p>
                    <w:p w14:paraId="6A03198B" w14:textId="32FA57B6"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Department of Computer Science and Engineering – Data Science</w:t>
                      </w:r>
                    </w:p>
                    <w:p w14:paraId="2593A1DE" w14:textId="22079AD1"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Acropolis Institute of Technology and Research</w:t>
                      </w:r>
                    </w:p>
                    <w:p w14:paraId="3F4267EA" w14:textId="20B714C0" w:rsidR="0029574B" w:rsidRPr="00020D61" w:rsidRDefault="0029574B" w:rsidP="0029574B">
                      <w:pPr>
                        <w:jc w:val="center"/>
                        <w:rPr>
                          <w:rFonts w:ascii="Times New Roman" w:hAnsi="Times New Roman" w:cs="Times New Roman"/>
                          <w:sz w:val="24"/>
                          <w:szCs w:val="24"/>
                        </w:rPr>
                      </w:pPr>
                      <w:r w:rsidRPr="00020D61">
                        <w:rPr>
                          <w:rFonts w:ascii="Times New Roman" w:hAnsi="Times New Roman" w:cs="Times New Roman"/>
                          <w:sz w:val="24"/>
                          <w:szCs w:val="24"/>
                        </w:rPr>
                        <w:t>Aff</w:t>
                      </w:r>
                      <w:r w:rsidR="007E17CA">
                        <w:rPr>
                          <w:rFonts w:ascii="Times New Roman" w:hAnsi="Times New Roman" w:cs="Times New Roman"/>
                          <w:sz w:val="24"/>
                          <w:szCs w:val="24"/>
                        </w:rPr>
                        <w:t>:</w:t>
                      </w:r>
                      <w:r w:rsidRPr="00020D61">
                        <w:rPr>
                          <w:rFonts w:ascii="Times New Roman" w:hAnsi="Times New Roman" w:cs="Times New Roman"/>
                          <w:sz w:val="24"/>
                          <w:szCs w:val="24"/>
                        </w:rPr>
                        <w:t xml:space="preserve"> R.G.P.V</w:t>
                      </w:r>
                    </w:p>
                    <w:p w14:paraId="756E1A60" w14:textId="4F0F0C07" w:rsidR="0029574B" w:rsidRPr="007E17CA" w:rsidRDefault="0029574B" w:rsidP="0029574B">
                      <w:pPr>
                        <w:jc w:val="center"/>
                        <w:rPr>
                          <w:rFonts w:ascii="Times New Roman" w:hAnsi="Times New Roman" w:cs="Times New Roman"/>
                          <w:i/>
                          <w:iCs/>
                          <w:sz w:val="24"/>
                          <w:szCs w:val="24"/>
                        </w:rPr>
                      </w:pPr>
                      <w:r w:rsidRPr="007E17CA">
                        <w:rPr>
                          <w:rFonts w:ascii="Times New Roman" w:hAnsi="Times New Roman" w:cs="Times New Roman"/>
                          <w:i/>
                          <w:iCs/>
                          <w:sz w:val="24"/>
                          <w:szCs w:val="24"/>
                        </w:rPr>
                        <w:t>Indore, M.P. India</w:t>
                      </w:r>
                    </w:p>
                    <w:p w14:paraId="242BE1ED" w14:textId="3D5EAD08" w:rsidR="0029574B" w:rsidRPr="00020D61" w:rsidRDefault="007E17CA" w:rsidP="007E17CA">
                      <w:pPr>
                        <w:jc w:val="center"/>
                        <w:rPr>
                          <w:rFonts w:ascii="Times New Roman" w:hAnsi="Times New Roman" w:cs="Times New Roman"/>
                          <w:sz w:val="24"/>
                          <w:szCs w:val="24"/>
                        </w:rPr>
                      </w:pPr>
                      <w:r>
                        <w:rPr>
                          <w:rFonts w:ascii="Times New Roman" w:hAnsi="Times New Roman" w:cs="Times New Roman"/>
                          <w:sz w:val="24"/>
                          <w:szCs w:val="24"/>
                        </w:rPr>
                        <w:t>hirenkodwani@gmail.com</w:t>
                      </w:r>
                    </w:p>
                  </w:txbxContent>
                </v:textbox>
                <w10:wrap type="tight" anchorx="margin"/>
              </v:shape>
            </w:pict>
          </mc:Fallback>
        </mc:AlternateContent>
      </w:r>
    </w:p>
    <w:p w14:paraId="2E9ADDEC" w14:textId="72726ACF" w:rsidR="0029574B" w:rsidRDefault="0029574B" w:rsidP="00AC1FA9">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Rajasi</w:t>
      </w:r>
      <w:proofErr w:type="spellEnd"/>
      <w:r>
        <w:rPr>
          <w:rFonts w:ascii="Times New Roman" w:eastAsia="Times New Roman" w:hAnsi="Times New Roman" w:cs="Times New Roman"/>
          <w:sz w:val="24"/>
          <w:szCs w:val="24"/>
        </w:rPr>
        <w:t xml:space="preserve"> Deshpande</w:t>
      </w:r>
    </w:p>
    <w:p w14:paraId="2B5F6643" w14:textId="46B0804B" w:rsidR="00020D61" w:rsidRDefault="00020D61" w:rsidP="00AC1F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Computer Science and Engineering</w:t>
      </w:r>
    </w:p>
    <w:p w14:paraId="6C3706F6" w14:textId="7C43FD97" w:rsidR="0029574B" w:rsidRDefault="0029574B" w:rsidP="00AC1F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Acropolis Institute of Technology and Research</w:t>
      </w:r>
    </w:p>
    <w:p w14:paraId="64648B0A" w14:textId="413B1561" w:rsidR="0029574B" w:rsidRDefault="007E17CA" w:rsidP="00AC1F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9574B">
        <w:rPr>
          <w:rFonts w:ascii="Times New Roman" w:eastAsia="Times New Roman" w:hAnsi="Times New Roman" w:cs="Times New Roman"/>
          <w:sz w:val="24"/>
          <w:szCs w:val="24"/>
        </w:rPr>
        <w:t>ff: R.G.P.V</w:t>
      </w:r>
    </w:p>
    <w:p w14:paraId="6D7455A9" w14:textId="6C352EFB" w:rsidR="0029574B" w:rsidRPr="007E17CA" w:rsidRDefault="0029574B" w:rsidP="00AC1FA9">
      <w:pPr>
        <w:jc w:val="center"/>
        <w:rPr>
          <w:rFonts w:ascii="Times New Roman" w:eastAsia="Times New Roman" w:hAnsi="Times New Roman" w:cs="Times New Roman"/>
          <w:i/>
          <w:iCs/>
          <w:sz w:val="24"/>
          <w:szCs w:val="24"/>
        </w:rPr>
      </w:pPr>
      <w:r w:rsidRPr="007E17CA">
        <w:rPr>
          <w:rFonts w:ascii="Times New Roman" w:eastAsia="Times New Roman" w:hAnsi="Times New Roman" w:cs="Times New Roman"/>
          <w:i/>
          <w:iCs/>
          <w:sz w:val="24"/>
          <w:szCs w:val="24"/>
        </w:rPr>
        <w:t>Indore, M.P. India</w:t>
      </w:r>
    </w:p>
    <w:p w14:paraId="417501F3" w14:textId="7420DD5A" w:rsidR="00020D61" w:rsidRPr="007E17CA" w:rsidRDefault="007E17CA" w:rsidP="007E17CA">
      <w:pPr>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d</w:t>
      </w:r>
      <w:r w:rsidR="0029574B">
        <w:rPr>
          <w:rFonts w:ascii="Times New Roman" w:eastAsia="Times New Roman" w:hAnsi="Times New Roman" w:cs="Times New Roman"/>
          <w:sz w:val="24"/>
          <w:szCs w:val="24"/>
        </w:rPr>
        <w:t>eshpanderajasi04@gmail.com</w:t>
      </w:r>
    </w:p>
    <w:p w14:paraId="564AA08F" w14:textId="38F59C2B" w:rsidR="00C07E08" w:rsidRDefault="00000000">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Abstract</w:t>
      </w:r>
    </w:p>
    <w:p w14:paraId="07FE7594"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Despite the leading management consulting agencies designing digital transformations to clients worldwide, they often face challenges in their own operational efficiency levels, with retrospective reporting and monolithic analytics services.</w:t>
      </w:r>
    </w:p>
    <w:p w14:paraId="47F16A42"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operational needs of such firms are very stratified; Engagement Managers are in need of tactical, deterministic forecasts (e.g., consultant utilization, burn-rates), and Partners are in need of strategic, probabilistic forecasts (e.g. revenue forecasting, market sentiment). In a bid to preserve this "Hierarchy-Information Gap" this study suggests a Hierarchical-Modular Microservices Architecture to combine role-conscious Business Intelligence (BI) with a decoupled Machine Learning (ML) backend.</w:t>
      </w:r>
    </w:p>
    <w:p w14:paraId="1386485C"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framework uses a mapping of specific predictive algorithms to organizational levels and uses discrete model groupings to deploy Analysts, Manager and Partner clusters. In order to reduce the stochasticity of consulting data, to protect against which a shared Dynamic Ensemble Learning Module is a meta-learner, a shared Dynamic Ensemble Learning Module combines outputs on each role to achieve statistical robustness.</w:t>
      </w:r>
    </w:p>
    <w:p w14:paraId="2192B7DB" w14:textId="77777777" w:rsidR="00C07E08" w:rsidRPr="007E17CA" w:rsidRDefault="00000000">
      <w:pPr>
        <w:spacing w:after="240"/>
        <w:jc w:val="both"/>
        <w:rPr>
          <w:rFonts w:ascii="Times New Roman" w:eastAsia="Times New Roman" w:hAnsi="Times New Roman" w:cs="Times New Roman"/>
          <w:sz w:val="24"/>
          <w:szCs w:val="24"/>
          <w:highlight w:val="white"/>
        </w:rPr>
      </w:pPr>
      <w:r w:rsidRPr="007E17CA">
        <w:rPr>
          <w:rFonts w:ascii="Times New Roman" w:eastAsia="Times New Roman" w:hAnsi="Times New Roman" w:cs="Times New Roman"/>
          <w:sz w:val="24"/>
          <w:szCs w:val="24"/>
          <w:highlight w:val="white"/>
        </w:rPr>
        <w:t>The framework also improves the efficiency of the operations by providing automated data preparation, real-time monitoring and governance using role-based access and auditability.</w:t>
      </w:r>
    </w:p>
    <w:p w14:paraId="14A41C83" w14:textId="4CD2F345" w:rsidR="00C07E08" w:rsidRPr="007E17CA" w:rsidRDefault="00000000">
      <w:pPr>
        <w:spacing w:after="240"/>
        <w:jc w:val="both"/>
        <w:rPr>
          <w:rFonts w:ascii="Times New Roman" w:eastAsia="Times New Roman" w:hAnsi="Times New Roman" w:cs="Times New Roman"/>
          <w:b/>
          <w:bCs/>
          <w:sz w:val="24"/>
          <w:szCs w:val="24"/>
          <w:highlight w:val="white"/>
        </w:rPr>
      </w:pPr>
      <w:r w:rsidRPr="007E17CA">
        <w:rPr>
          <w:rFonts w:ascii="Times New Roman" w:eastAsia="Times New Roman" w:hAnsi="Times New Roman" w:cs="Times New Roman"/>
          <w:sz w:val="24"/>
          <w:szCs w:val="24"/>
          <w:highlight w:val="white"/>
        </w:rPr>
        <w:t xml:space="preserve">The study adds conceptual value by formalizing a </w:t>
      </w:r>
      <w:r w:rsidR="004F466D" w:rsidRPr="007E17CA">
        <w:rPr>
          <w:rFonts w:ascii="Times New Roman" w:eastAsia="Times New Roman" w:hAnsi="Times New Roman" w:cs="Times New Roman"/>
          <w:sz w:val="24"/>
          <w:szCs w:val="24"/>
          <w:highlight w:val="white"/>
        </w:rPr>
        <w:t>hierarchy-based</w:t>
      </w:r>
      <w:r w:rsidRPr="007E17CA">
        <w:rPr>
          <w:rFonts w:ascii="Times New Roman" w:eastAsia="Times New Roman" w:hAnsi="Times New Roman" w:cs="Times New Roman"/>
          <w:sz w:val="24"/>
          <w:szCs w:val="24"/>
          <w:highlight w:val="white"/>
        </w:rPr>
        <w:t xml:space="preserve"> analytics design, architecturally through a scalable modular microservice design and practically through the improvement of the quality of decisions across multiple levels within the organization. The suggested system represents a platform on which internal consulting operations can be transformed into an active, AI-based control tower, which balances tactical implementation with a strategic plan.</w:t>
      </w:r>
    </w:p>
    <w:p w14:paraId="76E679CB" w14:textId="77777777" w:rsidR="00C07E08" w:rsidRDefault="00000000">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b/>
          <w:bCs/>
          <w:sz w:val="20"/>
          <w:szCs w:val="20"/>
          <w:highlight w:val="white"/>
        </w:rPr>
        <w:br/>
      </w:r>
      <w:r>
        <w:rPr>
          <w:rFonts w:ascii="Times New Roman" w:eastAsia="Times New Roman" w:hAnsi="Times New Roman" w:cs="Times New Roman"/>
          <w:sz w:val="24"/>
          <w:szCs w:val="24"/>
          <w:highlight w:val="white"/>
        </w:rPr>
        <w:t xml:space="preserve">Hierarchy-Aware Analytics; Business Intelligence (BI); Machine Learning in Consulting; </w:t>
      </w:r>
      <w:r>
        <w:rPr>
          <w:rFonts w:ascii="Times New Roman" w:eastAsia="Times New Roman" w:hAnsi="Times New Roman" w:cs="Times New Roman"/>
          <w:sz w:val="24"/>
          <w:szCs w:val="24"/>
          <w:highlight w:val="white"/>
        </w:rPr>
        <w:lastRenderedPageBreak/>
        <w:t xml:space="preserve">Predictive Analytics; Microservices Architecture; Ensemble Learning; Role-Based Decision Support; AI in Professional Services; Operational Efficiency; Management Consulting Analytics; Feature Store; </w:t>
      </w:r>
      <w:proofErr w:type="spellStart"/>
      <w:r>
        <w:rPr>
          <w:rFonts w:ascii="Times New Roman" w:eastAsia="Times New Roman" w:hAnsi="Times New Roman" w:cs="Times New Roman"/>
          <w:sz w:val="24"/>
          <w:szCs w:val="24"/>
          <w:highlight w:val="white"/>
        </w:rPr>
        <w:t>MLOps</w:t>
      </w:r>
      <w:proofErr w:type="spellEnd"/>
    </w:p>
    <w:p w14:paraId="02DB6765" w14:textId="77777777" w:rsidR="00C07E08" w:rsidRDefault="000000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361A50E7"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consulting management market in the whole world is valued at more than 700 billion dollars and contributes significantly to contemporary business. Some of the top companies such as McKinsey &amp; Company, Boston Consulting Group (BCG) and Bain and Company are the strategic partners of Fortune 500 organizations and governments across the globe.  [27][28]</w:t>
      </w:r>
    </w:p>
    <w:p w14:paraId="2A9E8523" w14:textId="77777777" w:rsidR="00C07E0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82BB79" wp14:editId="2B5EF044">
            <wp:extent cx="2562225" cy="30575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49840"/>
                    <a:stretch>
                      <a:fillRect/>
                    </a:stretch>
                  </pic:blipFill>
                  <pic:spPr>
                    <a:xfrm>
                      <a:off x="0" y="0"/>
                      <a:ext cx="2562225" cy="3057525"/>
                    </a:xfrm>
                    <a:prstGeom prst="rect">
                      <a:avLst/>
                    </a:prstGeom>
                    <a:ln/>
                  </pic:spPr>
                </pic:pic>
              </a:graphicData>
            </a:graphic>
          </wp:inline>
        </w:drawing>
      </w:r>
    </w:p>
    <w:p w14:paraId="1E666AAE" w14:textId="77777777" w:rsidR="00C07E08" w:rsidRDefault="00000000">
      <w:pPr>
        <w:jc w:val="center"/>
        <w:rPr>
          <w:rFonts w:ascii="Times New Roman" w:eastAsia="Times New Roman" w:hAnsi="Times New Roman" w:cs="Times New Roman"/>
          <w:sz w:val="24"/>
          <w:szCs w:val="24"/>
        </w:rPr>
      </w:pPr>
      <w:r w:rsidRPr="0000011E">
        <w:rPr>
          <w:rFonts w:ascii="Times New Roman" w:eastAsia="Times New Roman" w:hAnsi="Times New Roman" w:cs="Times New Roman"/>
          <w:b/>
          <w:bCs/>
          <w:sz w:val="24"/>
          <w:szCs w:val="24"/>
        </w:rPr>
        <w:t>Figure 1: Corporate structure</w:t>
      </w:r>
      <w:r>
        <w:rPr>
          <w:rFonts w:ascii="Times New Roman" w:eastAsia="Times New Roman" w:hAnsi="Times New Roman" w:cs="Times New Roman"/>
          <w:sz w:val="24"/>
          <w:szCs w:val="24"/>
        </w:rPr>
        <w:t xml:space="preserve"> [25]</w:t>
      </w:r>
    </w:p>
    <w:p w14:paraId="5A175C51" w14:textId="77777777" w:rsidR="00C07E08" w:rsidRDefault="00C07E08">
      <w:pPr>
        <w:jc w:val="both"/>
        <w:rPr>
          <w:rFonts w:ascii="Times New Roman" w:eastAsia="Times New Roman" w:hAnsi="Times New Roman" w:cs="Times New Roman"/>
          <w:sz w:val="24"/>
          <w:szCs w:val="24"/>
        </w:rPr>
      </w:pPr>
    </w:p>
    <w:p w14:paraId="4D3D77B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structure of these consulting companies is complicated and includes Junior Consultants, Directors and Partners as indicated in </w:t>
      </w:r>
      <w:r w:rsidRPr="00A358ED">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 xml:space="preserve">. The responsibility of each level, the power to make decisions and the performance measure is specific. Although they can be quite effective in enhancing the operation of the clients, the consulting firms are not efficient in their operations. Their issues include resource allocation, project profitability analysis, talent management, and strategic decision-making on different levels. Such difficulties are also marked with problems of scalability and adaptability, hierarchy complexity, barriers to integration, as well as the necessity of context specific decision support as in </w:t>
      </w:r>
      <w:r w:rsidRPr="00A358ED">
        <w:rPr>
          <w:rFonts w:ascii="Times New Roman" w:eastAsia="Times New Roman" w:hAnsi="Times New Roman" w:cs="Times New Roman"/>
          <w:sz w:val="24"/>
          <w:szCs w:val="24"/>
        </w:rPr>
        <w:t>Figure 2</w:t>
      </w:r>
      <w:r>
        <w:rPr>
          <w:rFonts w:ascii="Times New Roman" w:eastAsia="Times New Roman" w:hAnsi="Times New Roman" w:cs="Times New Roman"/>
          <w:sz w:val="24"/>
          <w:szCs w:val="24"/>
        </w:rPr>
        <w:t>.</w:t>
      </w:r>
    </w:p>
    <w:p w14:paraId="4A26EE6A"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74343C56" wp14:editId="36EE0282">
            <wp:simplePos x="0" y="0"/>
            <wp:positionH relativeFrom="margin">
              <wp:posOffset>213360</wp:posOffset>
            </wp:positionH>
            <wp:positionV relativeFrom="paragraph">
              <wp:posOffset>0</wp:posOffset>
            </wp:positionV>
            <wp:extent cx="5608320" cy="3869055"/>
            <wp:effectExtent l="0" t="0" r="0" b="0"/>
            <wp:wrapTight wrapText="bothSides">
              <wp:wrapPolygon edited="0">
                <wp:start x="0" y="0"/>
                <wp:lineTo x="0" y="21483"/>
                <wp:lineTo x="21497" y="21483"/>
                <wp:lineTo x="21497" y="0"/>
                <wp:lineTo x="0" y="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a:extLst>
                        <a:ext uri="{28A0092B-C50C-407E-A947-70E740481C1C}">
                          <a14:useLocalDpi xmlns:a14="http://schemas.microsoft.com/office/drawing/2010/main" val="0"/>
                        </a:ext>
                      </a:extLst>
                    </a:blip>
                    <a:srcRect l="2051" t="14396" r="3570" b="6923"/>
                    <a:stretch>
                      <a:fillRect/>
                    </a:stretch>
                  </pic:blipFill>
                  <pic:spPr bwMode="auto">
                    <a:xfrm>
                      <a:off x="0" y="0"/>
                      <a:ext cx="5608320" cy="3869055"/>
                    </a:xfrm>
                    <a:prstGeom prst="rect">
                      <a:avLst/>
                    </a:prstGeom>
                    <a:ln>
                      <a:noFill/>
                    </a:ln>
                    <a:extLst>
                      <a:ext uri="{53640926-AAD7-44D8-BBD7-CCE9431645EC}">
                        <a14:shadowObscured xmlns:a14="http://schemas.microsoft.com/office/drawing/2010/main"/>
                      </a:ext>
                    </a:extLst>
                  </pic:spPr>
                </pic:pic>
              </a:graphicData>
            </a:graphic>
          </wp:anchor>
        </w:drawing>
      </w:r>
    </w:p>
    <w:p w14:paraId="52953C29" w14:textId="77777777" w:rsidR="00C07E08" w:rsidRPr="0000011E" w:rsidRDefault="00000000">
      <w:pPr>
        <w:ind w:left="2160" w:firstLine="720"/>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Figure 2: Operational Challenges</w:t>
      </w:r>
    </w:p>
    <w:p w14:paraId="4231E110" w14:textId="77777777" w:rsidR="00C07E08" w:rsidRDefault="00C07E08">
      <w:pPr>
        <w:rPr>
          <w:rFonts w:ascii="Times New Roman" w:eastAsia="Times New Roman" w:hAnsi="Times New Roman" w:cs="Times New Roman"/>
        </w:rPr>
      </w:pPr>
    </w:p>
    <w:p w14:paraId="0E93F96F"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the management of operations in consulting firms has majorly depended on the examination of past performance. They were reporting manually and used experience in making decisions. The fast expansion of organizational data, however, and the development of technologies in machine learning (ML) and business intelligence (BI) offer new possibilities to transform the way consulting companies analyze, forecast and optimize their activities. These firms have a hierarchical structure, which causes a considerable number of differences in the operational issues and the key performance indicators (KPIs) at various levels. The junior consultants are oriented on accomplishing the tasks and the acquisition of skills whereas the senior managers are oriented to the effective project delivery and satisfied clients. Partners and Directors on the other hand are in charge of revenue, line of service performance as well as long term survival of business.</w:t>
      </w:r>
    </w:p>
    <w:p w14:paraId="5DD4C9E6" w14:textId="77777777" w:rsidR="00C07E08" w:rsidRDefault="00C07E08">
      <w:pPr>
        <w:jc w:val="both"/>
        <w:rPr>
          <w:rFonts w:ascii="Times New Roman" w:eastAsia="Times New Roman" w:hAnsi="Times New Roman" w:cs="Times New Roman"/>
          <w:sz w:val="24"/>
          <w:szCs w:val="24"/>
        </w:rPr>
      </w:pPr>
    </w:p>
    <w:p w14:paraId="47526DB2"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much as these firms can be seen as having a great strategic insight, their manner of operation management remains outdated. Growth of organizational data along with the development of ML and BI provides a highly significant chance to the consulting firms to change the way they analyze, predict as well as improve their operations.</w:t>
      </w:r>
    </w:p>
    <w:p w14:paraId="40472A25" w14:textId="77777777" w:rsidR="00C07E08" w:rsidRDefault="00C07E08">
      <w:pPr>
        <w:jc w:val="both"/>
        <w:rPr>
          <w:rFonts w:ascii="Times New Roman" w:eastAsia="Times New Roman" w:hAnsi="Times New Roman" w:cs="Times New Roman"/>
          <w:sz w:val="24"/>
          <w:szCs w:val="24"/>
        </w:rPr>
      </w:pPr>
    </w:p>
    <w:p w14:paraId="0528972D" w14:textId="77777777" w:rsidR="00C07E08"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In order to deal with these issues, this study presents a machine learning integration framework which works in the layered structure of consulting firms. The framework employs ML models that are based on data to assist in role-specific performance analysis and forecasting as well as strategic decisions at every level of the organization, starting with the level of Junior Consultants and moving upwards to Directors and Partners. The framework aims to enhance operational efficiency in a company, increase project profitability, better utilization of talent, and enhance strategic planning within the company by linking ML-informed insights to the current corporate hierarchies.</w:t>
      </w:r>
    </w:p>
    <w:p w14:paraId="013C42A3" w14:textId="77777777" w:rsidR="00C07E08" w:rsidRDefault="00C07E08">
      <w:pPr>
        <w:rPr>
          <w:rFonts w:ascii="Times New Roman" w:eastAsia="Times New Roman" w:hAnsi="Times New Roman" w:cs="Times New Roman"/>
          <w:color w:val="FF0000"/>
        </w:rPr>
      </w:pPr>
    </w:p>
    <w:p w14:paraId="7FD51DE9" w14:textId="77777777" w:rsidR="00C07E08" w:rsidRDefault="00000000">
      <w:pPr>
        <w:rPr>
          <w:rFonts w:ascii="Times New Roman" w:eastAsia="Times New Roman" w:hAnsi="Times New Roman" w:cs="Times New Roman"/>
        </w:rPr>
      </w:pPr>
      <w:r>
        <w:rPr>
          <w:rFonts w:ascii="Times New Roman" w:eastAsia="Times New Roman" w:hAnsi="Times New Roman" w:cs="Times New Roman"/>
          <w:b/>
          <w:bCs/>
          <w:sz w:val="28"/>
          <w:szCs w:val="28"/>
        </w:rPr>
        <w:t>Literature Review:</w:t>
      </w:r>
      <w:r>
        <w:rPr>
          <w:rFonts w:ascii="Times New Roman" w:eastAsia="Times New Roman" w:hAnsi="Times New Roman" w:cs="Times New Roman"/>
          <w:b/>
          <w:bCs/>
          <w:sz w:val="32"/>
          <w:szCs w:val="32"/>
        </w:rPr>
        <w:br/>
      </w:r>
      <w:r>
        <w:rPr>
          <w:rFonts w:ascii="Times New Roman" w:eastAsia="Times New Roman" w:hAnsi="Times New Roman" w:cs="Times New Roman"/>
          <w:b/>
          <w:bCs/>
          <w:sz w:val="28"/>
          <w:szCs w:val="28"/>
        </w:rPr>
        <w:br/>
      </w:r>
      <w:r>
        <w:rPr>
          <w:rFonts w:ascii="Times New Roman" w:eastAsia="Times New Roman" w:hAnsi="Times New Roman" w:cs="Times New Roman"/>
          <w:b/>
          <w:bCs/>
          <w:sz w:val="24"/>
          <w:szCs w:val="24"/>
        </w:rPr>
        <w:t>2.1 Machine Learning, Predictive Analytics, and Business Intelligence in Enterprise Contexts</w:t>
      </w:r>
      <w:r>
        <w:rPr>
          <w:rFonts w:ascii="Times New Roman" w:eastAsia="Times New Roman" w:hAnsi="Times New Roman" w:cs="Times New Roman"/>
          <w:b/>
          <w:bCs/>
          <w:sz w:val="28"/>
          <w:szCs w:val="28"/>
        </w:rPr>
        <w:br/>
      </w:r>
    </w:p>
    <w:p w14:paraId="2DE9646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Investigations demonstrate the tangible advantages of such a combination: it has been reported that processing speed has improved 42% and that the correctness of the analytical results has increased 31% in AIML-enhanced BI systems. In its simplest definition, Business Intelligence can be defined as the combination of data of different origins to give insights, and Predictive Analytics is the statistical models and machine learning algorithms to forecast the future trends based on the past data. </w:t>
      </w:r>
    </w:p>
    <w:p w14:paraId="37DFDF98" w14:textId="77777777" w:rsidR="0000011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Effectiveness, however, is a precondition of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preparedness. The challenge of combining AI outputs with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culture and decision-making frameworks, workforce skills disjunction, change resistance, and sustainability of progress in dynamic situations remain major challenges.</w:t>
      </w:r>
    </w:p>
    <w:p w14:paraId="6DBE03C2" w14:textId="22919620"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EB87CFB" w14:textId="77777777" w:rsidR="004F46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rPr>
        <w:br/>
      </w:r>
      <w:r>
        <w:rPr>
          <w:rFonts w:ascii="Times New Roman" w:eastAsia="Times New Roman" w:hAnsi="Times New Roman" w:cs="Times New Roman"/>
          <w:b/>
          <w:bCs/>
          <w:sz w:val="24"/>
          <w:szCs w:val="24"/>
        </w:rPr>
        <w:t>2.2 Operational Efficiency and Decision-Making Impact</w:t>
      </w:r>
    </w:p>
    <w:p w14:paraId="2DA30DBB" w14:textId="7052B046"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reports significant efficiency gains due to the AIML-driven BI systems on a regular basis. Increased processing speed (up to 42%), reduced reporting time (75% in ESG reporting cases), and increased decision correctness (45% in autonomous BI decisions) are all measurable benefits.</w:t>
      </w:r>
    </w:p>
    <w:p w14:paraId="63529A45" w14:textId="77777777" w:rsidR="00C07E08" w:rsidRDefault="00C07E08">
      <w:pPr>
        <w:jc w:val="both"/>
        <w:rPr>
          <w:rFonts w:ascii="Times New Roman" w:eastAsia="Times New Roman" w:hAnsi="Times New Roman" w:cs="Times New Roman"/>
          <w:sz w:val="24"/>
          <w:szCs w:val="24"/>
        </w:rPr>
      </w:pPr>
    </w:p>
    <w:p w14:paraId="775208A2" w14:textId="77777777" w:rsidR="004F46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of routine tasks and real-time analytics accelerate the decision-making process, which enhances the output and strategic responsiveness. Better strategic agility, risk management, and resource allocation have been observed across a wide range of sectors, such as manufacturing, health care, and finance.</w:t>
      </w:r>
    </w:p>
    <w:p w14:paraId="72F53303" w14:textId="21222F48" w:rsidR="00C07E08" w:rsidRDefault="00000000">
      <w:pPr>
        <w:jc w:val="both"/>
        <w:rPr>
          <w:rFonts w:ascii="Times New Roman" w:eastAsia="Times New Roman" w:hAnsi="Times New Roman" w:cs="Times New Roman"/>
        </w:rPr>
      </w:pPr>
      <w:r>
        <w:rPr>
          <w:rFonts w:ascii="Times New Roman" w:eastAsia="Times New Roman" w:hAnsi="Times New Roman" w:cs="Times New Roman"/>
          <w:sz w:val="24"/>
          <w:szCs w:val="24"/>
        </w:rPr>
        <w:t>[13][1]</w:t>
      </w:r>
      <w:r>
        <w:rPr>
          <w:rFonts w:ascii="Times New Roman" w:eastAsia="Times New Roman" w:hAnsi="Times New Roman" w:cs="Times New Roman"/>
          <w:sz w:val="24"/>
          <w:szCs w:val="24"/>
        </w:rPr>
        <w:br/>
      </w:r>
    </w:p>
    <w:p w14:paraId="43B2F426" w14:textId="77777777" w:rsidR="00C07E08" w:rsidRDefault="00C07E08">
      <w:pPr>
        <w:jc w:val="both"/>
        <w:rPr>
          <w:rFonts w:ascii="Times New Roman" w:eastAsia="Times New Roman" w:hAnsi="Times New Roman" w:cs="Times New Roman"/>
          <w:sz w:val="26"/>
          <w:szCs w:val="26"/>
        </w:rPr>
      </w:pPr>
    </w:p>
    <w:p w14:paraId="42B3D248" w14:textId="77777777" w:rsidR="004F466D" w:rsidRDefault="004F466D">
      <w:pPr>
        <w:jc w:val="both"/>
        <w:rPr>
          <w:rFonts w:ascii="Times New Roman" w:eastAsia="Times New Roman" w:hAnsi="Times New Roman" w:cs="Times New Roman"/>
          <w:sz w:val="26"/>
          <w:szCs w:val="26"/>
        </w:rPr>
      </w:pPr>
    </w:p>
    <w:p w14:paraId="416681A4" w14:textId="77777777" w:rsidR="004F466D" w:rsidRDefault="004F466D">
      <w:pPr>
        <w:jc w:val="both"/>
        <w:rPr>
          <w:rFonts w:ascii="Times New Roman" w:eastAsia="Times New Roman" w:hAnsi="Times New Roman" w:cs="Times New Roman"/>
          <w:sz w:val="26"/>
          <w:szCs w:val="26"/>
        </w:rPr>
      </w:pPr>
    </w:p>
    <w:p w14:paraId="434D2B99" w14:textId="77777777" w:rsidR="00C07E08"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2.3 Role-Hierarchical Decision Support: The Consultancy Context (Research Gap)</w:t>
      </w:r>
    </w:p>
    <w:p w14:paraId="028E659A"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br/>
      </w:r>
      <w:r>
        <w:rPr>
          <w:rFonts w:ascii="Times New Roman" w:eastAsia="Times New Roman" w:hAnsi="Times New Roman" w:cs="Times New Roman"/>
          <w:sz w:val="24"/>
          <w:szCs w:val="24"/>
        </w:rPr>
        <w:t>The majority of research is centered on generic data-science platforms or client-specific, engagement-specific solutions, which do not consider internal hierarchies and unique decision-making situations within consulting firms.</w:t>
      </w:r>
    </w:p>
    <w:p w14:paraId="2BDC7055"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Consulting firms operate on various governance levels, starting with junior analysts and project managers and going as high as senior partners and C-suite executives, and each of them requires analytical support and KPI arrangements that are tailored to the environment.</w:t>
      </w:r>
      <w:r>
        <w:rPr>
          <w:rFonts w:ascii="Times New Roman" w:eastAsia="Times New Roman" w:hAnsi="Times New Roman" w:cs="Times New Roman"/>
          <w:sz w:val="24"/>
          <w:szCs w:val="24"/>
        </w:rPr>
        <w:br/>
        <w:t>[9][15][16]</w:t>
      </w:r>
      <w:r>
        <w:rPr>
          <w:rFonts w:ascii="Times New Roman" w:eastAsia="Times New Roman" w:hAnsi="Times New Roman" w:cs="Times New Roman"/>
        </w:rPr>
        <w:br/>
      </w:r>
      <w:r>
        <w:rPr>
          <w:rFonts w:ascii="Times New Roman" w:eastAsia="Times New Roman" w:hAnsi="Times New Roman" w:cs="Times New Roman"/>
          <w:sz w:val="20"/>
          <w:szCs w:val="20"/>
        </w:rPr>
        <w:br/>
      </w:r>
      <w:r>
        <w:rPr>
          <w:rFonts w:ascii="Times New Roman" w:eastAsia="Times New Roman" w:hAnsi="Times New Roman" w:cs="Times New Roman"/>
          <w:b/>
          <w:bCs/>
          <w:sz w:val="24"/>
          <w:szCs w:val="24"/>
        </w:rPr>
        <w:t>2.4 Current Analytics and AI Systems for Enterprise Decision Support and Consulting:</w:t>
      </w:r>
      <w:r>
        <w:rPr>
          <w:rFonts w:ascii="Times New Roman" w:eastAsia="Times New Roman" w:hAnsi="Times New Roman" w:cs="Times New Roman"/>
          <w:b/>
          <w:bCs/>
          <w:sz w:val="24"/>
          <w:szCs w:val="24"/>
        </w:rPr>
        <w:br/>
      </w:r>
      <w:r>
        <w:rPr>
          <w:rFonts w:ascii="Times New Roman" w:eastAsia="Times New Roman" w:hAnsi="Times New Roman" w:cs="Times New Roman"/>
          <w:b/>
          <w:bCs/>
          <w:sz w:val="26"/>
          <w:szCs w:val="26"/>
        </w:rPr>
        <w:br/>
      </w:r>
      <w:r>
        <w:rPr>
          <w:rFonts w:ascii="Times New Roman" w:eastAsia="Times New Roman" w:hAnsi="Times New Roman" w:cs="Times New Roman"/>
          <w:sz w:val="24"/>
          <w:szCs w:val="24"/>
        </w:rPr>
        <w:t>As evidenced by a substantial body of industry practice; yet, current solutions are still focused on either:</w:t>
      </w:r>
    </w:p>
    <w:p w14:paraId="4AB5C6E4" w14:textId="3A9BE2A2" w:rsidR="004F466D" w:rsidRPr="004F466D" w:rsidRDefault="00000000" w:rsidP="004F466D">
      <w:pPr>
        <w:pStyle w:val="ListParagraph"/>
        <w:numPr>
          <w:ilvl w:val="0"/>
          <w:numId w:val="5"/>
        </w:numPr>
        <w:jc w:val="both"/>
        <w:rPr>
          <w:rFonts w:ascii="Times New Roman" w:eastAsia="Times New Roman" w:hAnsi="Times New Roman" w:cs="Times New Roman"/>
          <w:sz w:val="24"/>
          <w:szCs w:val="24"/>
        </w:rPr>
      </w:pPr>
      <w:r w:rsidRPr="004F466D">
        <w:rPr>
          <w:rFonts w:ascii="Times New Roman" w:eastAsia="Times New Roman" w:hAnsi="Times New Roman" w:cs="Times New Roman"/>
          <w:sz w:val="24"/>
          <w:szCs w:val="24"/>
        </w:rPr>
        <w:t>platforms focused on data science,</w:t>
      </w:r>
    </w:p>
    <w:p w14:paraId="42CE26E0" w14:textId="25BFF14E" w:rsidR="00C07E08" w:rsidRPr="004F466D" w:rsidRDefault="00000000" w:rsidP="004F466D">
      <w:pPr>
        <w:pStyle w:val="ListParagraph"/>
        <w:numPr>
          <w:ilvl w:val="0"/>
          <w:numId w:val="5"/>
        </w:numPr>
        <w:jc w:val="both"/>
        <w:rPr>
          <w:rFonts w:ascii="Times New Roman" w:eastAsia="Times New Roman" w:hAnsi="Times New Roman" w:cs="Times New Roman"/>
          <w:sz w:val="24"/>
          <w:szCs w:val="24"/>
        </w:rPr>
      </w:pPr>
      <w:r w:rsidRPr="004F466D">
        <w:rPr>
          <w:rFonts w:ascii="Times New Roman" w:eastAsia="Times New Roman" w:hAnsi="Times New Roman" w:cs="Times New Roman"/>
          <w:sz w:val="24"/>
          <w:szCs w:val="24"/>
        </w:rPr>
        <w:t>custom, engagement-specific solutions for clients.</w:t>
      </w:r>
    </w:p>
    <w:p w14:paraId="79B6407B" w14:textId="77777777" w:rsidR="00C07E08" w:rsidRDefault="00C07E08">
      <w:pPr>
        <w:jc w:val="both"/>
        <w:rPr>
          <w:rFonts w:ascii="Times New Roman" w:eastAsia="Times New Roman" w:hAnsi="Times New Roman" w:cs="Times New Roman"/>
          <w:sz w:val="24"/>
          <w:szCs w:val="24"/>
        </w:rPr>
      </w:pPr>
    </w:p>
    <w:p w14:paraId="5FD4981B"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None of the systems provides a role-conscious, unified, plug-and-play ML+BI environment specifically tailored to the internal consulting hierarchy.</w:t>
      </w:r>
    </w:p>
    <w:p w14:paraId="79DC3386" w14:textId="77777777" w:rsidR="00C07E08" w:rsidRDefault="00000000">
      <w:pPr>
        <w:rPr>
          <w:rFonts w:ascii="Times New Roman" w:eastAsia="Times New Roman" w:hAnsi="Times New Roman" w:cs="Times New Roman"/>
        </w:rPr>
      </w:pPr>
      <w:r>
        <w:rPr>
          <w:rFonts w:ascii="Times New Roman" w:eastAsia="Times New Roman" w:hAnsi="Times New Roman" w:cs="Times New Roman"/>
        </w:rPr>
        <w:t>[26]</w:t>
      </w:r>
    </w:p>
    <w:p w14:paraId="43C92CF9" w14:textId="79A92BFE" w:rsidR="004F466D" w:rsidRDefault="00000000" w:rsidP="004F466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Existing Systems</w:t>
      </w:r>
    </w:p>
    <w:tbl>
      <w:tblPr>
        <w:tblStyle w:val="TableGrid"/>
        <w:tblW w:w="0" w:type="auto"/>
        <w:tblLook w:val="04A0" w:firstRow="1" w:lastRow="0" w:firstColumn="1" w:lastColumn="0" w:noHBand="0" w:noVBand="1"/>
      </w:tblPr>
      <w:tblGrid>
        <w:gridCol w:w="1670"/>
        <w:gridCol w:w="1824"/>
        <w:gridCol w:w="2162"/>
        <w:gridCol w:w="2771"/>
        <w:gridCol w:w="923"/>
      </w:tblGrid>
      <w:tr w:rsidR="004F466D" w14:paraId="7D7D68BC" w14:textId="77777777" w:rsidTr="00B37A93">
        <w:tc>
          <w:tcPr>
            <w:tcW w:w="1555" w:type="dxa"/>
            <w:shd w:val="clear" w:color="auto" w:fill="D9D9D9" w:themeFill="background1" w:themeFillShade="D9"/>
            <w:vAlign w:val="center"/>
          </w:tcPr>
          <w:p w14:paraId="30420165" w14:textId="7BEB0962" w:rsidR="004F466D" w:rsidRPr="00CE46A0" w:rsidRDefault="004F466D"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System</w:t>
            </w:r>
          </w:p>
        </w:tc>
        <w:tc>
          <w:tcPr>
            <w:tcW w:w="1842" w:type="dxa"/>
            <w:shd w:val="clear" w:color="auto" w:fill="D9D9D9" w:themeFill="background1" w:themeFillShade="D9"/>
            <w:vAlign w:val="center"/>
          </w:tcPr>
          <w:p w14:paraId="6F3C5E40" w14:textId="270E7106" w:rsidR="004F466D" w:rsidRPr="00CE46A0" w:rsidRDefault="004F466D"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Primary use &amp; typical user</w:t>
            </w:r>
          </w:p>
        </w:tc>
        <w:tc>
          <w:tcPr>
            <w:tcW w:w="2213" w:type="dxa"/>
            <w:shd w:val="clear" w:color="auto" w:fill="D9D9D9" w:themeFill="background1" w:themeFillShade="D9"/>
            <w:vAlign w:val="center"/>
          </w:tcPr>
          <w:p w14:paraId="79F89FED" w14:textId="2FD31F2E"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Public key features</w:t>
            </w:r>
          </w:p>
        </w:tc>
        <w:tc>
          <w:tcPr>
            <w:tcW w:w="2890" w:type="dxa"/>
            <w:shd w:val="clear" w:color="auto" w:fill="D9D9D9" w:themeFill="background1" w:themeFillShade="D9"/>
            <w:vAlign w:val="center"/>
          </w:tcPr>
          <w:p w14:paraId="521C4FD7" w14:textId="2BF9ABD0"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Gaps/limitations</w:t>
            </w:r>
          </w:p>
        </w:tc>
        <w:tc>
          <w:tcPr>
            <w:tcW w:w="850" w:type="dxa"/>
            <w:shd w:val="clear" w:color="auto" w:fill="D9D9D9" w:themeFill="background1" w:themeFillShade="D9"/>
            <w:vAlign w:val="center"/>
          </w:tcPr>
          <w:p w14:paraId="232FD7FA" w14:textId="0D72BCE2" w:rsidR="004F466D" w:rsidRPr="00CE46A0" w:rsidRDefault="00B37A93" w:rsidP="004F466D">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b/>
                <w:bCs/>
                <w:sz w:val="24"/>
                <w:szCs w:val="24"/>
              </w:rPr>
              <w:t>Source</w:t>
            </w:r>
          </w:p>
        </w:tc>
      </w:tr>
      <w:tr w:rsidR="00B37A93" w14:paraId="35D34CF7" w14:textId="77777777" w:rsidTr="00B37A93">
        <w:tc>
          <w:tcPr>
            <w:tcW w:w="1555" w:type="dxa"/>
            <w:vAlign w:val="center"/>
          </w:tcPr>
          <w:p w14:paraId="4F27E91C" w14:textId="3BD9F505"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“AI by McKinsey” - </w:t>
            </w:r>
            <w:proofErr w:type="spellStart"/>
            <w:r w:rsidRPr="00CE46A0">
              <w:rPr>
                <w:rFonts w:ascii="Times New Roman" w:eastAsia="Times New Roman" w:hAnsi="Times New Roman" w:cs="Times New Roman"/>
                <w:sz w:val="24"/>
                <w:szCs w:val="24"/>
              </w:rPr>
              <w:t>QuantumBlack</w:t>
            </w:r>
            <w:proofErr w:type="spellEnd"/>
          </w:p>
        </w:tc>
        <w:tc>
          <w:tcPr>
            <w:tcW w:w="1842" w:type="dxa"/>
            <w:vAlign w:val="center"/>
          </w:tcPr>
          <w:p w14:paraId="4926B7E7" w14:textId="783EEEF1"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McKinsey’s advanced analytics arm for client AI transformation; used by enterprise clients and McKinsey engagement teams.</w:t>
            </w:r>
          </w:p>
        </w:tc>
        <w:tc>
          <w:tcPr>
            <w:tcW w:w="2213" w:type="dxa"/>
            <w:vAlign w:val="center"/>
          </w:tcPr>
          <w:p w14:paraId="6D6A05DC" w14:textId="35E0F3C1"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End-to-end AI advisory + engineering, production ML/</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model deployment, domain consulting, case studies showing retail/clinical deployments. Strong emphasis on hybrid intelligence and embedding AI into operations. </w:t>
            </w:r>
          </w:p>
        </w:tc>
        <w:tc>
          <w:tcPr>
            <w:tcW w:w="2890" w:type="dxa"/>
            <w:vAlign w:val="center"/>
          </w:tcPr>
          <w:p w14:paraId="176FCD2C" w14:textId="5010B33A" w:rsidR="00B37A93" w:rsidRPr="00CE46A0" w:rsidRDefault="00B37A93" w:rsidP="00B37A93">
            <w:pPr>
              <w:jc w:val="center"/>
              <w:rPr>
                <w:rFonts w:ascii="Times New Roman" w:eastAsia="Times New Roman" w:hAnsi="Times New Roman" w:cs="Times New Roman"/>
                <w:b/>
                <w:bCs/>
                <w:sz w:val="24"/>
                <w:szCs w:val="24"/>
              </w:rPr>
            </w:pPr>
            <w:r w:rsidRPr="00CE46A0">
              <w:rPr>
                <w:rFonts w:ascii="Times New Roman" w:eastAsia="Times New Roman" w:hAnsi="Times New Roman" w:cs="Times New Roman"/>
                <w:sz w:val="24"/>
                <w:szCs w:val="24"/>
              </w:rPr>
              <w:t xml:space="preserve">Focus is enterprise transformation and bespoke engagements; public materials emphasize bespoke projects and </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but do not describe a consulting-hierarchy UX or packaged role-based plug-and-play module catalog.</w:t>
            </w:r>
          </w:p>
        </w:tc>
        <w:tc>
          <w:tcPr>
            <w:tcW w:w="850" w:type="dxa"/>
            <w:vAlign w:val="center"/>
          </w:tcPr>
          <w:p w14:paraId="371EDB64" w14:textId="6C98D9D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[17]</w:t>
            </w:r>
          </w:p>
        </w:tc>
      </w:tr>
      <w:tr w:rsidR="00B37A93" w14:paraId="37D3678E" w14:textId="77777777" w:rsidTr="00B37A93">
        <w:tc>
          <w:tcPr>
            <w:tcW w:w="1555" w:type="dxa"/>
            <w:vAlign w:val="center"/>
          </w:tcPr>
          <w:p w14:paraId="063C7E12" w14:textId="48FA4F2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BCG GAMMA</w:t>
            </w:r>
          </w:p>
        </w:tc>
        <w:tc>
          <w:tcPr>
            <w:tcW w:w="1842" w:type="dxa"/>
            <w:vAlign w:val="center"/>
          </w:tcPr>
          <w:p w14:paraId="59BD1FF3" w14:textId="6CCEC50C"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BCG’s analytics / data-science practice - applies ML for strategy and </w:t>
            </w:r>
            <w:r w:rsidRPr="00CE46A0">
              <w:rPr>
                <w:rFonts w:ascii="Times New Roman" w:eastAsia="Times New Roman" w:hAnsi="Times New Roman" w:cs="Times New Roman"/>
                <w:sz w:val="24"/>
                <w:szCs w:val="24"/>
              </w:rPr>
              <w:lastRenderedPageBreak/>
              <w:t>operations; staff data scientists embedded in projects.</w:t>
            </w:r>
          </w:p>
        </w:tc>
        <w:tc>
          <w:tcPr>
            <w:tcW w:w="2213" w:type="dxa"/>
            <w:vAlign w:val="center"/>
          </w:tcPr>
          <w:p w14:paraId="477F9BF2" w14:textId="19C7A6A2"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 xml:space="preserve">Advanced ML/AI, predictive modelling, productized use-case playbooks, </w:t>
            </w:r>
            <w:r w:rsidRPr="00CE46A0">
              <w:rPr>
                <w:rFonts w:ascii="Times New Roman" w:eastAsia="Times New Roman" w:hAnsi="Times New Roman" w:cs="Times New Roman"/>
                <w:sz w:val="24"/>
                <w:szCs w:val="24"/>
              </w:rPr>
              <w:lastRenderedPageBreak/>
              <w:t>strong applied-science focus.</w:t>
            </w:r>
          </w:p>
        </w:tc>
        <w:tc>
          <w:tcPr>
            <w:tcW w:w="2890" w:type="dxa"/>
            <w:vAlign w:val="center"/>
          </w:tcPr>
          <w:p w14:paraId="058E779F" w14:textId="79CB57D4"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 xml:space="preserve">Strong at deep analytics &amp; project staffing; less public evidence of standardized multi-tenant, per-role dashboards that </w:t>
            </w:r>
            <w:r w:rsidRPr="00CE46A0">
              <w:rPr>
                <w:rFonts w:ascii="Times New Roman" w:eastAsia="Times New Roman" w:hAnsi="Times New Roman" w:cs="Times New Roman"/>
                <w:sz w:val="24"/>
                <w:szCs w:val="24"/>
              </w:rPr>
              <w:lastRenderedPageBreak/>
              <w:t>automatically switch ML models/KPIs depending on the consulting role (e.g., project manager vs partner). Our system: modular catalog of role-mapped models + BI front end.</w:t>
            </w:r>
          </w:p>
        </w:tc>
        <w:tc>
          <w:tcPr>
            <w:tcW w:w="850" w:type="dxa"/>
            <w:vAlign w:val="center"/>
          </w:tcPr>
          <w:p w14:paraId="458FC708" w14:textId="2BB45864"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[18]</w:t>
            </w:r>
          </w:p>
        </w:tc>
      </w:tr>
      <w:tr w:rsidR="00B37A93" w14:paraId="13172A91" w14:textId="77777777" w:rsidTr="00B37A93">
        <w:tc>
          <w:tcPr>
            <w:tcW w:w="1555" w:type="dxa"/>
            <w:vAlign w:val="center"/>
          </w:tcPr>
          <w:p w14:paraId="443890C5" w14:textId="4E9FAE0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Vector / Advanced Analytics - Bain</w:t>
            </w:r>
          </w:p>
        </w:tc>
        <w:tc>
          <w:tcPr>
            <w:tcW w:w="1842" w:type="dxa"/>
            <w:vAlign w:val="center"/>
          </w:tcPr>
          <w:p w14:paraId="4916BBC5" w14:textId="6E3DE1AB"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Bain’s digital and analytics capability - delivering data strategy, analytics transformation and product engineering.</w:t>
            </w:r>
          </w:p>
        </w:tc>
        <w:tc>
          <w:tcPr>
            <w:tcW w:w="2213" w:type="dxa"/>
            <w:vAlign w:val="center"/>
          </w:tcPr>
          <w:p w14:paraId="082E451E" w14:textId="154FABE8"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End-to-end analytics transformation, prebuilt use-case products, integration with client workflows, digital product engineering.</w:t>
            </w:r>
          </w:p>
        </w:tc>
        <w:tc>
          <w:tcPr>
            <w:tcW w:w="2890" w:type="dxa"/>
            <w:vAlign w:val="center"/>
          </w:tcPr>
          <w:p w14:paraId="721E4D7D" w14:textId="535A616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Emphasizes client transformation and bespoke solutions; public docs highlight productized “use cases” but do not show a consultant-hierarchy adaptive UI that re-configures available ML modules by role. Our research adds per-persona module orchestration and dynamic KPI aggregation for consulting hierarchies.</w:t>
            </w:r>
          </w:p>
        </w:tc>
        <w:tc>
          <w:tcPr>
            <w:tcW w:w="850" w:type="dxa"/>
            <w:vAlign w:val="center"/>
          </w:tcPr>
          <w:p w14:paraId="0F8F9A17" w14:textId="78ACA558"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[19]</w:t>
            </w:r>
          </w:p>
        </w:tc>
      </w:tr>
      <w:tr w:rsidR="00B37A93" w14:paraId="21639F0D" w14:textId="77777777" w:rsidTr="00B37A93">
        <w:tc>
          <w:tcPr>
            <w:tcW w:w="1555" w:type="dxa"/>
            <w:vAlign w:val="center"/>
          </w:tcPr>
          <w:p w14:paraId="7AC8B7B7" w14:textId="3DB87FC2"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Accenture Applied Intelligence</w:t>
            </w:r>
          </w:p>
        </w:tc>
        <w:tc>
          <w:tcPr>
            <w:tcW w:w="1842" w:type="dxa"/>
            <w:vAlign w:val="center"/>
          </w:tcPr>
          <w:p w14:paraId="013CECC8" w14:textId="3E937C2C"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Accenture’s platform &amp; services unify analytics, AI, automation for clients (used by large enterprises and consulting teams).</w:t>
            </w:r>
          </w:p>
        </w:tc>
        <w:tc>
          <w:tcPr>
            <w:tcW w:w="2213" w:type="dxa"/>
            <w:vAlign w:val="center"/>
          </w:tcPr>
          <w:p w14:paraId="19546D88" w14:textId="7A8D507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Productized AI offerings, accelerators, managed AI services, low-code/accelerator tooling for faster time-to-value.</w:t>
            </w:r>
          </w:p>
        </w:tc>
        <w:tc>
          <w:tcPr>
            <w:tcW w:w="2890" w:type="dxa"/>
            <w:vAlign w:val="center"/>
          </w:tcPr>
          <w:p w14:paraId="56FAA8B6" w14:textId="7FAF590F"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Platform is broad and acceleration-focused but oriented to client engagements and managed services rather than an internal consulting-hierarchy UX. Our design: lightweight front end for consultants + per-role model selection.</w:t>
            </w:r>
          </w:p>
        </w:tc>
        <w:tc>
          <w:tcPr>
            <w:tcW w:w="850" w:type="dxa"/>
            <w:vAlign w:val="center"/>
          </w:tcPr>
          <w:p w14:paraId="69273D32" w14:textId="588828A1"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[20]</w:t>
            </w:r>
          </w:p>
        </w:tc>
      </w:tr>
      <w:tr w:rsidR="00B37A93" w14:paraId="64616F47" w14:textId="77777777" w:rsidTr="00B37A93">
        <w:tc>
          <w:tcPr>
            <w:tcW w:w="1555" w:type="dxa"/>
            <w:vAlign w:val="center"/>
          </w:tcPr>
          <w:p w14:paraId="05D9812E" w14:textId="73CBC41B"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Deloitte - Omnia / Deloitte Analytics Platform (DAP)</w:t>
            </w:r>
          </w:p>
        </w:tc>
        <w:tc>
          <w:tcPr>
            <w:tcW w:w="1842" w:type="dxa"/>
            <w:vAlign w:val="center"/>
          </w:tcPr>
          <w:p w14:paraId="043D71D2" w14:textId="7F56FA9E"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Deloitte’s cloud audit/analytics and enterprise analytics platform for audit, risk, and consulting workflows.</w:t>
            </w:r>
          </w:p>
        </w:tc>
        <w:tc>
          <w:tcPr>
            <w:tcW w:w="2213" w:type="dxa"/>
            <w:vAlign w:val="center"/>
          </w:tcPr>
          <w:p w14:paraId="444429EE" w14:textId="0829013E"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Cloud data orchestration for audit, data retrieval &amp; analysis, </w:t>
            </w:r>
            <w:proofErr w:type="spellStart"/>
            <w:r w:rsidRPr="00CE46A0">
              <w:rPr>
                <w:rFonts w:ascii="Times New Roman" w:eastAsia="Times New Roman" w:hAnsi="Times New Roman" w:cs="Times New Roman"/>
                <w:sz w:val="24"/>
                <w:szCs w:val="24"/>
              </w:rPr>
              <w:t>platformized</w:t>
            </w:r>
            <w:proofErr w:type="spellEnd"/>
            <w:r w:rsidRPr="00CE46A0">
              <w:rPr>
                <w:rFonts w:ascii="Times New Roman" w:eastAsia="Times New Roman" w:hAnsi="Times New Roman" w:cs="Times New Roman"/>
                <w:sz w:val="24"/>
                <w:szCs w:val="24"/>
              </w:rPr>
              <w:t xml:space="preserve"> analytics (DAP) with reference architectures for 24/7 analytics. Emphasis on governance, security, and auditability.</w:t>
            </w:r>
          </w:p>
        </w:tc>
        <w:tc>
          <w:tcPr>
            <w:tcW w:w="2890" w:type="dxa"/>
            <w:vAlign w:val="center"/>
          </w:tcPr>
          <w:p w14:paraId="0609627C" w14:textId="65C15E9D"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Strong governance and audit capabilities (good for compliance-heavy workflows) but Omni­a/DAP are audit/enterprise-centric rather than consulting-persona </w:t>
            </w:r>
            <w:proofErr w:type="spellStart"/>
            <w:proofErr w:type="gramStart"/>
            <w:r w:rsidRPr="00CE46A0">
              <w:rPr>
                <w:rFonts w:ascii="Times New Roman" w:eastAsia="Times New Roman" w:hAnsi="Times New Roman" w:cs="Times New Roman"/>
                <w:sz w:val="24"/>
                <w:szCs w:val="24"/>
              </w:rPr>
              <w:t>oriented.Our</w:t>
            </w:r>
            <w:proofErr w:type="spellEnd"/>
            <w:proofErr w:type="gramEnd"/>
            <w:r w:rsidRPr="00CE46A0">
              <w:rPr>
                <w:rFonts w:ascii="Times New Roman" w:eastAsia="Times New Roman" w:hAnsi="Times New Roman" w:cs="Times New Roman"/>
                <w:sz w:val="24"/>
                <w:szCs w:val="24"/>
              </w:rPr>
              <w:t xml:space="preserve"> system: combines governance with persona-aware model switching and simplified </w:t>
            </w:r>
            <w:proofErr w:type="spellStart"/>
            <w:r w:rsidRPr="00CE46A0">
              <w:rPr>
                <w:rFonts w:ascii="Times New Roman" w:eastAsia="Times New Roman" w:hAnsi="Times New Roman" w:cs="Times New Roman"/>
                <w:sz w:val="24"/>
                <w:szCs w:val="24"/>
              </w:rPr>
              <w:t>MLOps</w:t>
            </w:r>
            <w:proofErr w:type="spellEnd"/>
            <w:r w:rsidRPr="00CE46A0">
              <w:rPr>
                <w:rFonts w:ascii="Times New Roman" w:eastAsia="Times New Roman" w:hAnsi="Times New Roman" w:cs="Times New Roman"/>
                <w:sz w:val="24"/>
                <w:szCs w:val="24"/>
              </w:rPr>
              <w:t xml:space="preserve"> for consultants.</w:t>
            </w:r>
          </w:p>
        </w:tc>
        <w:tc>
          <w:tcPr>
            <w:tcW w:w="850" w:type="dxa"/>
            <w:vAlign w:val="center"/>
          </w:tcPr>
          <w:p w14:paraId="3113EC6A" w14:textId="2BE0E3B6"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[21]</w:t>
            </w:r>
          </w:p>
        </w:tc>
      </w:tr>
      <w:tr w:rsidR="00B37A93" w14:paraId="42848D25" w14:textId="77777777" w:rsidTr="00B37A93">
        <w:tc>
          <w:tcPr>
            <w:tcW w:w="1555" w:type="dxa"/>
            <w:vAlign w:val="center"/>
          </w:tcPr>
          <w:p w14:paraId="74632A3C" w14:textId="4AE2F6B9"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lastRenderedPageBreak/>
              <w:t>Lighthouse - KPMG</w:t>
            </w:r>
          </w:p>
        </w:tc>
        <w:tc>
          <w:tcPr>
            <w:tcW w:w="1842" w:type="dxa"/>
            <w:vAlign w:val="center"/>
          </w:tcPr>
          <w:p w14:paraId="1B5836B6" w14:textId="6B800C73"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KPMG’s analytics &amp; AI center for council, advisory, and internal augmentation.</w:t>
            </w:r>
          </w:p>
        </w:tc>
        <w:tc>
          <w:tcPr>
            <w:tcW w:w="2213" w:type="dxa"/>
            <w:vAlign w:val="center"/>
          </w:tcPr>
          <w:p w14:paraId="2237A1C9" w14:textId="15C39671"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Data science, AI accelerators, solution portfolio, internal AI assistants/case references (</w:t>
            </w:r>
            <w:proofErr w:type="spellStart"/>
            <w:r w:rsidRPr="00CE46A0">
              <w:rPr>
                <w:rFonts w:ascii="Times New Roman" w:eastAsia="Times New Roman" w:hAnsi="Times New Roman" w:cs="Times New Roman"/>
                <w:sz w:val="24"/>
                <w:szCs w:val="24"/>
              </w:rPr>
              <w:t>KymChat</w:t>
            </w:r>
            <w:proofErr w:type="spellEnd"/>
            <w:r w:rsidRPr="00CE46A0">
              <w:rPr>
                <w:rFonts w:ascii="Times New Roman" w:eastAsia="Times New Roman" w:hAnsi="Times New Roman" w:cs="Times New Roman"/>
                <w:sz w:val="24"/>
                <w:szCs w:val="24"/>
              </w:rPr>
              <w:t xml:space="preserve"> example). Focus on building trusted data, solution catalog.</w:t>
            </w:r>
          </w:p>
        </w:tc>
        <w:tc>
          <w:tcPr>
            <w:tcW w:w="2890" w:type="dxa"/>
            <w:vAlign w:val="center"/>
          </w:tcPr>
          <w:p w14:paraId="241511DF" w14:textId="739B0E0A"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 xml:space="preserve">Lighthouse targets a broad set of solutions and internal assistants; public examples emphasize discovery and productivity but don’t show a standardized, granular mapping of ML models to consulting hierarchy roles </w:t>
            </w:r>
          </w:p>
          <w:p w14:paraId="4B46624D" w14:textId="575B70E0"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We supply: an explicit role-model mapping and modular marketplace.</w:t>
            </w:r>
          </w:p>
        </w:tc>
        <w:tc>
          <w:tcPr>
            <w:tcW w:w="850" w:type="dxa"/>
            <w:vAlign w:val="center"/>
          </w:tcPr>
          <w:p w14:paraId="66360C59" w14:textId="7EE007E0" w:rsidR="00B37A93" w:rsidRPr="00CE46A0" w:rsidRDefault="00B37A93" w:rsidP="00B37A93">
            <w:pPr>
              <w:jc w:val="center"/>
              <w:rPr>
                <w:rFonts w:ascii="Times New Roman" w:eastAsia="Times New Roman" w:hAnsi="Times New Roman" w:cs="Times New Roman"/>
                <w:sz w:val="24"/>
                <w:szCs w:val="24"/>
              </w:rPr>
            </w:pPr>
            <w:r w:rsidRPr="00CE46A0">
              <w:rPr>
                <w:rFonts w:ascii="Times New Roman" w:eastAsia="Times New Roman" w:hAnsi="Times New Roman" w:cs="Times New Roman"/>
                <w:sz w:val="24"/>
                <w:szCs w:val="24"/>
              </w:rPr>
              <w:t>[21]</w:t>
            </w:r>
          </w:p>
        </w:tc>
      </w:tr>
    </w:tbl>
    <w:p w14:paraId="34E2A1A8" w14:textId="77777777" w:rsidR="004F46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br/>
      </w:r>
      <w:r>
        <w:rPr>
          <w:rFonts w:ascii="Times New Roman" w:eastAsia="Times New Roman" w:hAnsi="Times New Roman" w:cs="Times New Roman"/>
          <w:sz w:val="24"/>
          <w:szCs w:val="24"/>
        </w:rPr>
        <w:t xml:space="preserve">From the given above </w:t>
      </w:r>
      <w:r w:rsidRPr="00A358ED">
        <w:rPr>
          <w:rFonts w:ascii="Times New Roman" w:eastAsia="Times New Roman" w:hAnsi="Times New Roman" w:cs="Times New Roman"/>
          <w:sz w:val="24"/>
          <w:szCs w:val="24"/>
        </w:rPr>
        <w:t>Table 1</w:t>
      </w:r>
      <w:r>
        <w:rPr>
          <w:rFonts w:ascii="Times New Roman" w:eastAsia="Times New Roman" w:hAnsi="Times New Roman" w:cs="Times New Roman"/>
          <w:sz w:val="24"/>
          <w:szCs w:val="24"/>
        </w:rPr>
        <w:t xml:space="preserve">, the most technologically advanced side of the strategy-consulting spectrum is Bain Vector, BCG GAMMA, and </w:t>
      </w:r>
      <w:proofErr w:type="spellStart"/>
      <w:r>
        <w:rPr>
          <w:rFonts w:ascii="Times New Roman" w:eastAsia="Times New Roman" w:hAnsi="Times New Roman" w:cs="Times New Roman"/>
          <w:sz w:val="24"/>
          <w:szCs w:val="24"/>
        </w:rPr>
        <w:t>QuantumBlack</w:t>
      </w:r>
      <w:proofErr w:type="spellEnd"/>
      <w:r>
        <w:rPr>
          <w:rFonts w:ascii="Times New Roman" w:eastAsia="Times New Roman" w:hAnsi="Times New Roman" w:cs="Times New Roman"/>
          <w:sz w:val="24"/>
          <w:szCs w:val="24"/>
        </w:rPr>
        <w:t xml:space="preserve"> (McKinsey). </w:t>
      </w:r>
      <w:proofErr w:type="spellStart"/>
      <w:r>
        <w:rPr>
          <w:rFonts w:ascii="Times New Roman" w:eastAsia="Times New Roman" w:hAnsi="Times New Roman" w:cs="Times New Roman"/>
          <w:sz w:val="24"/>
          <w:szCs w:val="24"/>
        </w:rPr>
        <w:t>QuantumBlack</w:t>
      </w:r>
      <w:proofErr w:type="spellEnd"/>
      <w:r>
        <w:rPr>
          <w:rFonts w:ascii="Times New Roman" w:eastAsia="Times New Roman" w:hAnsi="Times New Roman" w:cs="Times New Roman"/>
          <w:sz w:val="24"/>
          <w:szCs w:val="24"/>
        </w:rPr>
        <w:t xml:space="preserve"> specializes in the integration of AI in the customer operating activities (hybrid intelligence), end-to-end AI advisory, production-scale </w:t>
      </w:r>
      <w:proofErr w:type="spellStart"/>
      <w:r>
        <w:rPr>
          <w:rFonts w:ascii="Times New Roman" w:eastAsia="Times New Roman" w:hAnsi="Times New Roman" w:cs="Times New Roman"/>
          <w:sz w:val="24"/>
          <w:szCs w:val="24"/>
        </w:rPr>
        <w:t>MLOps</w:t>
      </w:r>
      <w:proofErr w:type="spellEnd"/>
      <w:r>
        <w:rPr>
          <w:rFonts w:ascii="Times New Roman" w:eastAsia="Times New Roman" w:hAnsi="Times New Roman" w:cs="Times New Roman"/>
          <w:sz w:val="24"/>
          <w:szCs w:val="24"/>
        </w:rPr>
        <w:t xml:space="preserve">, and domain-specific AI deployments. However, instead of a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multi-tenant solution for internal consultants with a hierarchy-aware user experience, public descriptions concentrate on custom transformation programs and engineering pipelines. Similar to this, BCG GAMMA uses advanced machine learning and predictive modelling through embedded data scientists and playbooks. However, its offerings are based on project-specific analytics instead of a per-role dashboard layer that dynamically changes models and KPIs for, say, a partner versus an associate.</w:t>
      </w:r>
    </w:p>
    <w:p w14:paraId="71CBF2D0" w14:textId="756084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Bain's Vector and digital analytics capabilities are similar in that they offer clients pre-built use cases and digital product engineering. However, the available content talks about "use-case products" and workflow integration rather than an adaptive user interface that changes the available machine learning modules according to a consultant's role or grade.</w:t>
      </w:r>
      <w:r>
        <w:rPr>
          <w:rFonts w:ascii="Times New Roman" w:eastAsia="Times New Roman" w:hAnsi="Times New Roman" w:cs="Times New Roman"/>
          <w:sz w:val="24"/>
          <w:szCs w:val="24"/>
        </w:rPr>
        <w:br/>
      </w:r>
    </w:p>
    <w:p w14:paraId="382F0AC0" w14:textId="3970CDEB"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Deloitte Omnia/DAP, KPMG Lighthouse and PwC Halo too are advanced analytics platforms but targeted at audit, risk and finance, not at a </w:t>
      </w:r>
      <w:r w:rsidR="004F466D">
        <w:rPr>
          <w:rFonts w:ascii="Times New Roman" w:eastAsia="Times New Roman" w:hAnsi="Times New Roman" w:cs="Times New Roman"/>
          <w:sz w:val="24"/>
          <w:szCs w:val="24"/>
        </w:rPr>
        <w:t>broader</w:t>
      </w:r>
      <w:r>
        <w:rPr>
          <w:rFonts w:ascii="Times New Roman" w:eastAsia="Times New Roman" w:hAnsi="Times New Roman" w:cs="Times New Roman"/>
          <w:sz w:val="24"/>
          <w:szCs w:val="24"/>
        </w:rPr>
        <w:t xml:space="preserve"> application in general consulting role-based decision support.</w:t>
      </w:r>
    </w:p>
    <w:p w14:paraId="7FBC44E2" w14:textId="39BBCFEF"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Taken together, this literature on existing systems indicates that while advanced AI and analytics capabilities are mature in consulting and enterprise </w:t>
      </w:r>
      <w:r w:rsidR="004F466D">
        <w:rPr>
          <w:rFonts w:ascii="Times New Roman" w:eastAsia="Times New Roman" w:hAnsi="Times New Roman" w:cs="Times New Roman"/>
          <w:sz w:val="24"/>
          <w:szCs w:val="24"/>
        </w:rPr>
        <w:t>contexts. Strategy</w:t>
      </w:r>
      <w:r>
        <w:rPr>
          <w:rFonts w:ascii="Times New Roman" w:eastAsia="Times New Roman" w:hAnsi="Times New Roman" w:cs="Times New Roman"/>
          <w:sz w:val="24"/>
          <w:szCs w:val="24"/>
        </w:rPr>
        <w:t xml:space="preserve"> consulting firms and the Big Four have strong domain expertise solutions but largely only at the engagement or audit/finance organizational level, and not at a standardized, internal, consulting-hierarchy-aware product level. </w:t>
      </w:r>
    </w:p>
    <w:p w14:paraId="74AB89D6" w14:textId="77777777" w:rsidR="00C07E0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Horizontal AI platforms have strong </w:t>
      </w:r>
      <w:proofErr w:type="spellStart"/>
      <w:r>
        <w:rPr>
          <w:rFonts w:ascii="Times New Roman" w:eastAsia="Times New Roman" w:hAnsi="Times New Roman" w:cs="Times New Roman"/>
          <w:sz w:val="24"/>
          <w:szCs w:val="24"/>
        </w:rPr>
        <w:t>AutoML</w:t>
      </w:r>
      <w:proofErr w:type="spellEnd"/>
      <w:r>
        <w:rPr>
          <w:rFonts w:ascii="Times New Roman" w:eastAsia="Times New Roman" w:hAnsi="Times New Roman" w:cs="Times New Roman"/>
          <w:sz w:val="24"/>
          <w:szCs w:val="24"/>
        </w:rPr>
        <w:t xml:space="preserve"> and governance capabilities, but these are limited to the data science level and do not include an out-of-the-box role-aware UX layer for consultants.</w:t>
      </w:r>
      <w:r>
        <w:rPr>
          <w:rFonts w:ascii="Times New Roman" w:eastAsia="Times New Roman" w:hAnsi="Times New Roman" w:cs="Times New Roman"/>
          <w:sz w:val="24"/>
          <w:szCs w:val="24"/>
        </w:rPr>
        <w:br/>
        <w:t>[1][9][4]</w:t>
      </w:r>
    </w:p>
    <w:p w14:paraId="1B8FD304" w14:textId="77777777" w:rsidR="00CE46A0" w:rsidRDefault="00CE46A0">
      <w:pPr>
        <w:rPr>
          <w:rFonts w:ascii="Times New Roman" w:eastAsia="Times New Roman" w:hAnsi="Times New Roman" w:cs="Times New Roman"/>
          <w:sz w:val="24"/>
          <w:szCs w:val="24"/>
        </w:rPr>
      </w:pPr>
    </w:p>
    <w:p w14:paraId="2903777F" w14:textId="77777777" w:rsidR="00CE46A0" w:rsidRDefault="00CE46A0">
      <w:pPr>
        <w:rPr>
          <w:rFonts w:ascii="Times New Roman" w:eastAsia="Times New Roman" w:hAnsi="Times New Roman" w:cs="Times New Roman"/>
          <w:sz w:val="24"/>
          <w:szCs w:val="24"/>
        </w:rPr>
      </w:pPr>
    </w:p>
    <w:p w14:paraId="1CB1044A" w14:textId="77777777" w:rsidR="00C07E08"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Problem Statement</w:t>
      </w:r>
    </w:p>
    <w:p w14:paraId="4DFE53F0" w14:textId="01528861"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 working needs in a consulting firm are not consistent; they change radically with rising up the pyramid.</w:t>
      </w:r>
      <w:r>
        <w:rPr>
          <w:rFonts w:ascii="Times New Roman" w:eastAsia="Times New Roman" w:hAnsi="Times New Roman" w:cs="Times New Roman"/>
          <w:sz w:val="24"/>
          <w:szCs w:val="24"/>
          <w:highlight w:val="white"/>
        </w:rPr>
        <w:t xml:space="preserve"> </w:t>
      </w:r>
      <w:r w:rsidR="00A358ED">
        <w:rPr>
          <w:rFonts w:ascii="Times New Roman" w:eastAsia="Times New Roman" w:hAnsi="Times New Roman" w:cs="Times New Roman"/>
          <w:sz w:val="24"/>
          <w:szCs w:val="24"/>
          <w:highlight w:val="white"/>
        </w:rPr>
        <w:t xml:space="preserve">Given below Figure 3 shows the challenges in Consulting Firm Efficiency. </w:t>
      </w:r>
      <w:r>
        <w:rPr>
          <w:rFonts w:ascii="Times New Roman" w:eastAsia="Times New Roman" w:hAnsi="Times New Roman" w:cs="Times New Roman"/>
          <w:color w:val="111111"/>
          <w:sz w:val="24"/>
          <w:szCs w:val="24"/>
          <w:highlight w:val="white"/>
        </w:rPr>
        <w:t>A single dashboard that is supposed to be applicable to everyone on the hierarchy is failing since the meaning of the word efficiency varies at every stage of the hierarchy:</w:t>
      </w:r>
    </w:p>
    <w:p w14:paraId="30E6FBD9"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Gap: </w:t>
      </w:r>
    </w:p>
    <w:p w14:paraId="28588F9F" w14:textId="77777777" w:rsidR="00C07E08" w:rsidRDefault="00000000">
      <w:pPr>
        <w:numPr>
          <w:ilvl w:val="0"/>
          <w:numId w:val="3"/>
        </w:num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Existing tools tend to offer retrospective data (what is going to happen next week) instead of providing predictive warnings (e.g., "This project will go above its budget in 3 days at its current burn rate).</w:t>
      </w:r>
    </w:p>
    <w:p w14:paraId="688A8DCB" w14:textId="77777777" w:rsidR="00C07E08" w:rsidRDefault="00000000">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They do not have an integrated Control Tower vision.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They have to do it manually, adding up dozens of project managers to get a forecast, which is likely to have human bias and error.</w:t>
      </w:r>
    </w:p>
    <w:p w14:paraId="266E8614"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Current solutions in the case of architectural rigidity do not solve this dichotomy.</w:t>
      </w:r>
    </w:p>
    <w:p w14:paraId="16CCA48C" w14:textId="7EB9DC62"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Absence of Modularity Commercial Professional Services Automation (PSA) systems are monolithic. When a company would like to replace its current revenue forecasting approach, which is a basic linear regression model, with a sophisticated deep learning one, they typically cannot because the vendor has hard-coded logic. A way to solve this is the urgent necessity of a Modular Architecture where individual ML models may be replaced as a "microservice" without affecting the entire platform.</w:t>
      </w:r>
    </w:p>
    <w:p w14:paraId="43D13D8A" w14:textId="77777777" w:rsidR="00C07E08" w:rsidRDefault="00000000">
      <w:pPr>
        <w:jc w:val="both"/>
        <w:rPr>
          <w:rFonts w:ascii="Times New Roman" w:eastAsia="Times New Roman" w:hAnsi="Times New Roman" w:cs="Times New Roman"/>
          <w:color w:val="111111"/>
          <w:sz w:val="24"/>
          <w:szCs w:val="24"/>
          <w:highlight w:val="white"/>
        </w:rPr>
      </w:pPr>
      <w:r>
        <w:rPr>
          <w:noProof/>
        </w:rPr>
        <w:drawing>
          <wp:anchor distT="114300" distB="114300" distL="114300" distR="114300" simplePos="0" relativeHeight="251658240" behindDoc="0" locked="0" layoutInCell="1" hidden="0" allowOverlap="1" wp14:anchorId="5D5E1089" wp14:editId="7CAD3CEB">
            <wp:simplePos x="0" y="0"/>
            <wp:positionH relativeFrom="column">
              <wp:posOffset>600075</wp:posOffset>
            </wp:positionH>
            <wp:positionV relativeFrom="paragraph">
              <wp:posOffset>200025</wp:posOffset>
            </wp:positionV>
            <wp:extent cx="5343525" cy="308610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0096" t="16296" b="5618"/>
                    <a:stretch>
                      <a:fillRect/>
                    </a:stretch>
                  </pic:blipFill>
                  <pic:spPr>
                    <a:xfrm>
                      <a:off x="0" y="0"/>
                      <a:ext cx="5343525" cy="3086100"/>
                    </a:xfrm>
                    <a:prstGeom prst="rect">
                      <a:avLst/>
                    </a:prstGeom>
                    <a:ln/>
                  </pic:spPr>
                </pic:pic>
              </a:graphicData>
            </a:graphic>
          </wp:anchor>
        </w:drawing>
      </w:r>
    </w:p>
    <w:p w14:paraId="4D32B731" w14:textId="77777777" w:rsidR="00C07E08" w:rsidRPr="0000011E" w:rsidRDefault="00000000">
      <w:pPr>
        <w:ind w:left="1710"/>
        <w:rPr>
          <w:rFonts w:ascii="Times New Roman" w:eastAsia="Times New Roman" w:hAnsi="Times New Roman" w:cs="Times New Roman"/>
          <w:b/>
          <w:bCs/>
          <w:color w:val="111111"/>
          <w:sz w:val="24"/>
          <w:szCs w:val="24"/>
          <w:highlight w:val="white"/>
        </w:rPr>
      </w:pPr>
      <w:r w:rsidRPr="0000011E">
        <w:rPr>
          <w:rFonts w:ascii="Times New Roman" w:eastAsia="Times New Roman" w:hAnsi="Times New Roman" w:cs="Times New Roman"/>
          <w:b/>
          <w:bCs/>
          <w:color w:val="111111"/>
          <w:sz w:val="24"/>
          <w:szCs w:val="24"/>
          <w:highlight w:val="white"/>
        </w:rPr>
        <w:t xml:space="preserve">           Figure 3: Challenges in Consulting Firm Efficiency</w:t>
      </w:r>
    </w:p>
    <w:p w14:paraId="2DAAA765" w14:textId="77777777" w:rsidR="00C07E08" w:rsidRDefault="00C07E08">
      <w:pPr>
        <w:jc w:val="center"/>
        <w:rPr>
          <w:rFonts w:ascii="Times New Roman" w:eastAsia="Times New Roman" w:hAnsi="Times New Roman" w:cs="Times New Roman"/>
          <w:color w:val="111111"/>
          <w:sz w:val="24"/>
          <w:szCs w:val="24"/>
          <w:highlight w:val="white"/>
        </w:rPr>
      </w:pPr>
    </w:p>
    <w:p w14:paraId="06E4AA4E" w14:textId="5B26B7CE"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Single-Model Approaches: Gestation of inadequacy: The consulting data is very stochastic-revenue is lumpy (large irregular contracts) and affected by many factors (seasonality, market </w:t>
      </w:r>
      <w:r>
        <w:rPr>
          <w:rFonts w:ascii="Times New Roman" w:eastAsia="Times New Roman" w:hAnsi="Times New Roman" w:cs="Times New Roman"/>
          <w:color w:val="111111"/>
          <w:sz w:val="24"/>
          <w:szCs w:val="24"/>
          <w:highlight w:val="white"/>
        </w:rPr>
        <w:lastRenderedPageBreak/>
        <w:t xml:space="preserve">trends, client merger, </w:t>
      </w:r>
      <w:r w:rsidR="004F466D">
        <w:rPr>
          <w:rFonts w:ascii="Times New Roman" w:eastAsia="Times New Roman" w:hAnsi="Times New Roman" w:cs="Times New Roman"/>
          <w:color w:val="111111"/>
          <w:sz w:val="24"/>
          <w:szCs w:val="24"/>
          <w:highlight w:val="white"/>
        </w:rPr>
        <w:t>etc.</w:t>
      </w:r>
      <w:r>
        <w:rPr>
          <w:rFonts w:ascii="Times New Roman" w:eastAsia="Times New Roman" w:hAnsi="Times New Roman" w:cs="Times New Roman"/>
          <w:color w:val="111111"/>
          <w:sz w:val="24"/>
          <w:szCs w:val="24"/>
          <w:highlight w:val="white"/>
        </w:rPr>
        <w:t>). This complexity is not usually evident in single machine learning models. The issue requires Ensemble Learning Techniques - combining many models (e.g., LSTM to forecast trends of data over time with Random Forest to predict the probability) in order to decrease the variance and raise the predictive power.</w:t>
      </w:r>
    </w:p>
    <w:p w14:paraId="0D66394C"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Consulting companies do not have a cohesive, role conscious, and modular data infrastructure that can intersect the tactical project implementation with strategic business planning. No operational system exists that can facilitate the dynamic Modular combination of sophisticated Ensemble ML models to use specific hierarchical user requirements on one interface.</w:t>
      </w:r>
    </w:p>
    <w:p w14:paraId="25B0CC9D" w14:textId="77777777" w:rsidR="00C07E08" w:rsidRDefault="00C07E08">
      <w:pPr>
        <w:rPr>
          <w:rFonts w:ascii="Times New Roman" w:eastAsia="Times New Roman" w:hAnsi="Times New Roman" w:cs="Times New Roman"/>
          <w:color w:val="111111"/>
          <w:sz w:val="24"/>
          <w:szCs w:val="24"/>
          <w:shd w:val="clear" w:color="auto" w:fill="D4EDDA"/>
        </w:rPr>
      </w:pPr>
    </w:p>
    <w:p w14:paraId="0AA658C3" w14:textId="77777777" w:rsidR="00C07E08" w:rsidRDefault="00000000">
      <w:pPr>
        <w:jc w:val="both"/>
        <w:rPr>
          <w:rFonts w:ascii="Times New Roman" w:eastAsia="Times New Roman" w:hAnsi="Times New Roman" w:cs="Times New Roman"/>
          <w:b/>
          <w:bCs/>
          <w:color w:val="111111"/>
          <w:sz w:val="28"/>
          <w:szCs w:val="28"/>
          <w:highlight w:val="white"/>
        </w:rPr>
      </w:pPr>
      <w:r>
        <w:rPr>
          <w:rFonts w:ascii="Times New Roman" w:eastAsia="Times New Roman" w:hAnsi="Times New Roman" w:cs="Times New Roman"/>
          <w:b/>
          <w:bCs/>
          <w:color w:val="111111"/>
          <w:sz w:val="28"/>
          <w:szCs w:val="28"/>
          <w:highlight w:val="white"/>
        </w:rPr>
        <w:t>Methodology</w:t>
      </w:r>
    </w:p>
    <w:p w14:paraId="2AA7ED62" w14:textId="77777777" w:rsidR="00C07E08" w:rsidRDefault="00000000">
      <w:pPr>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4.1 System Architecture</w:t>
      </w:r>
    </w:p>
    <w:p w14:paraId="53EDAA3E" w14:textId="6C4DD081"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In order to overcome the weaknesses of the current monolithic frameworks that have been noted in the literature review, the proposed study will present a Hierarchical-Modular Microservices Architecture. The design does not follow the trend of one-size-fits-all analytics but separates the physical capability of problem-solving into microservices dedicated to particular roles.</w:t>
      </w:r>
    </w:p>
    <w:p w14:paraId="6943667A" w14:textId="77777777" w:rsidR="00CE46A0" w:rsidRDefault="00CE46A0">
      <w:pPr>
        <w:jc w:val="both"/>
        <w:rPr>
          <w:rFonts w:ascii="Times New Roman" w:eastAsia="Times New Roman" w:hAnsi="Times New Roman" w:cs="Times New Roman"/>
          <w:color w:val="111111"/>
          <w:sz w:val="24"/>
          <w:szCs w:val="24"/>
          <w:highlight w:val="white"/>
        </w:rPr>
      </w:pPr>
    </w:p>
    <w:p w14:paraId="5FA8E1B7"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architecture has two principles upon which it is developed:</w:t>
      </w:r>
    </w:p>
    <w:p w14:paraId="6CE81779" w14:textId="77777777" w:rsidR="00C07E08" w:rsidRDefault="00C07E08">
      <w:pPr>
        <w:jc w:val="both"/>
        <w:rPr>
          <w:rFonts w:ascii="Times New Roman" w:eastAsia="Times New Roman" w:hAnsi="Times New Roman" w:cs="Times New Roman"/>
          <w:color w:val="111111"/>
          <w:sz w:val="24"/>
          <w:szCs w:val="24"/>
          <w:highlight w:val="white"/>
        </w:rPr>
      </w:pPr>
    </w:p>
    <w:p w14:paraId="1ED96FAD"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1)Vertical Separation (Hierarchy-Specific Clusters)</w:t>
      </w:r>
      <w:r>
        <w:rPr>
          <w:rFonts w:ascii="Times New Roman" w:eastAsia="Times New Roman" w:hAnsi="Times New Roman" w:cs="Times New Roman"/>
          <w:color w:val="111111"/>
          <w:sz w:val="24"/>
          <w:szCs w:val="24"/>
          <w:highlight w:val="white"/>
        </w:rPr>
        <w:t>: Given that the operational reality of an Analyst and that of a Partner is fundamentally different, it is proposed to segregate the operational reality of the partners by separating it into different clusters associated with the corporate hierarchy.</w:t>
      </w:r>
    </w:p>
    <w:p w14:paraId="169DF6EC" w14:textId="77777777" w:rsidR="00C07E08" w:rsidRDefault="00C07E08">
      <w:pPr>
        <w:jc w:val="both"/>
        <w:rPr>
          <w:rFonts w:ascii="Times New Roman" w:eastAsia="Times New Roman" w:hAnsi="Times New Roman" w:cs="Times New Roman"/>
          <w:color w:val="111111"/>
          <w:sz w:val="24"/>
          <w:szCs w:val="24"/>
          <w:highlight w:val="white"/>
        </w:rPr>
      </w:pPr>
    </w:p>
    <w:p w14:paraId="71A006A1" w14:textId="3B489C2E" w:rsidR="00CE46A0"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2)Horizontal Integration (Dynamic Ensemble)</w:t>
      </w:r>
      <w:r>
        <w:rPr>
          <w:rFonts w:ascii="Times New Roman" w:eastAsia="Times New Roman" w:hAnsi="Times New Roman" w:cs="Times New Roman"/>
          <w:color w:val="111111"/>
          <w:sz w:val="24"/>
          <w:szCs w:val="24"/>
          <w:highlight w:val="white"/>
        </w:rPr>
        <w:t>: To address the instability of consulting data, a common, dynamic, so-called Meta-Learner combines the results of whichever cluster is currently in use to have statistical strength.</w:t>
      </w:r>
    </w:p>
    <w:p w14:paraId="1FBE3F96" w14:textId="31627472" w:rsidR="00CE46A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0D630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illustrates the complete system interaction, detailing the flow from user authentication to dynamic model orchestration. Highlighting the separation of role-based Model Clusters and the shared Dynamic Ensemble Module.</w:t>
      </w:r>
    </w:p>
    <w:p w14:paraId="1172CCCE" w14:textId="77777777" w:rsidR="00CE46A0" w:rsidRDefault="00CE46A0">
      <w:pPr>
        <w:spacing w:before="240" w:after="240"/>
        <w:jc w:val="both"/>
        <w:rPr>
          <w:rFonts w:ascii="Times New Roman" w:eastAsia="Times New Roman" w:hAnsi="Times New Roman" w:cs="Times New Roman"/>
          <w:sz w:val="24"/>
          <w:szCs w:val="24"/>
        </w:rPr>
      </w:pPr>
    </w:p>
    <w:p w14:paraId="0B9DBACC" w14:textId="609A105E" w:rsidR="00C07E08" w:rsidRDefault="00000000">
      <w:pPr>
        <w:spacing w:before="240" w:after="240"/>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59264" behindDoc="0" locked="0" layoutInCell="1" hidden="0" allowOverlap="1" wp14:anchorId="1D070BD1" wp14:editId="325D21ED">
            <wp:simplePos x="0" y="0"/>
            <wp:positionH relativeFrom="column">
              <wp:posOffset>685800</wp:posOffset>
            </wp:positionH>
            <wp:positionV relativeFrom="paragraph">
              <wp:posOffset>857250</wp:posOffset>
            </wp:positionV>
            <wp:extent cx="5167313" cy="2812923"/>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140" b="140"/>
                    <a:stretch>
                      <a:fillRect/>
                    </a:stretch>
                  </pic:blipFill>
                  <pic:spPr>
                    <a:xfrm>
                      <a:off x="0" y="0"/>
                      <a:ext cx="5167313" cy="2812923"/>
                    </a:xfrm>
                    <a:prstGeom prst="rect">
                      <a:avLst/>
                    </a:prstGeom>
                    <a:ln/>
                  </pic:spPr>
                </pic:pic>
              </a:graphicData>
            </a:graphic>
          </wp:anchor>
        </w:drawing>
      </w:r>
    </w:p>
    <w:p w14:paraId="3D13DDF4" w14:textId="77777777" w:rsidR="00C07E08"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p>
    <w:p w14:paraId="3E36BC2C" w14:textId="77777777" w:rsidR="00C07E08" w:rsidRDefault="00C07E08">
      <w:pPr>
        <w:spacing w:before="240" w:after="240"/>
        <w:jc w:val="both"/>
        <w:rPr>
          <w:rFonts w:ascii="Times New Roman" w:eastAsia="Times New Roman" w:hAnsi="Times New Roman" w:cs="Times New Roman"/>
          <w:b/>
          <w:bCs/>
          <w:sz w:val="24"/>
          <w:szCs w:val="24"/>
        </w:rPr>
      </w:pPr>
    </w:p>
    <w:p w14:paraId="54DDB85A" w14:textId="77777777" w:rsidR="00C07E08" w:rsidRDefault="00C07E08">
      <w:pPr>
        <w:spacing w:before="240" w:after="240"/>
        <w:jc w:val="both"/>
        <w:rPr>
          <w:rFonts w:ascii="Times New Roman" w:eastAsia="Times New Roman" w:hAnsi="Times New Roman" w:cs="Times New Roman"/>
          <w:b/>
          <w:bCs/>
          <w:sz w:val="24"/>
          <w:szCs w:val="24"/>
        </w:rPr>
      </w:pPr>
    </w:p>
    <w:p w14:paraId="58F642C4" w14:textId="77777777" w:rsidR="00C07E08" w:rsidRDefault="00C07E08">
      <w:pPr>
        <w:spacing w:before="240" w:after="240"/>
        <w:jc w:val="both"/>
        <w:rPr>
          <w:rFonts w:ascii="Times New Roman" w:eastAsia="Times New Roman" w:hAnsi="Times New Roman" w:cs="Times New Roman"/>
          <w:b/>
          <w:bCs/>
          <w:sz w:val="24"/>
          <w:szCs w:val="24"/>
        </w:rPr>
      </w:pPr>
    </w:p>
    <w:p w14:paraId="7A6C2C85" w14:textId="77777777" w:rsidR="00C07E08" w:rsidRDefault="00C07E08">
      <w:pPr>
        <w:spacing w:before="240" w:after="240"/>
        <w:jc w:val="both"/>
        <w:rPr>
          <w:rFonts w:ascii="Times New Roman" w:eastAsia="Times New Roman" w:hAnsi="Times New Roman" w:cs="Times New Roman"/>
          <w:b/>
          <w:bCs/>
          <w:sz w:val="24"/>
          <w:szCs w:val="24"/>
        </w:rPr>
      </w:pPr>
    </w:p>
    <w:p w14:paraId="22F4E9EC" w14:textId="77777777" w:rsidR="00C07E08" w:rsidRDefault="00C07E08">
      <w:pPr>
        <w:spacing w:before="240" w:after="240"/>
        <w:jc w:val="both"/>
        <w:rPr>
          <w:rFonts w:ascii="Times New Roman" w:eastAsia="Times New Roman" w:hAnsi="Times New Roman" w:cs="Times New Roman"/>
          <w:b/>
          <w:bCs/>
          <w:sz w:val="24"/>
          <w:szCs w:val="24"/>
        </w:rPr>
      </w:pPr>
    </w:p>
    <w:p w14:paraId="28BEC319" w14:textId="77777777" w:rsidR="00C07E08" w:rsidRDefault="00C07E08">
      <w:pPr>
        <w:spacing w:before="240" w:after="240"/>
        <w:jc w:val="both"/>
        <w:rPr>
          <w:rFonts w:ascii="Times New Roman" w:eastAsia="Times New Roman" w:hAnsi="Times New Roman" w:cs="Times New Roman"/>
          <w:b/>
          <w:bCs/>
          <w:sz w:val="24"/>
          <w:szCs w:val="24"/>
        </w:rPr>
      </w:pPr>
    </w:p>
    <w:p w14:paraId="394F710C" w14:textId="77777777" w:rsidR="00C07E08" w:rsidRDefault="00C07E08">
      <w:pPr>
        <w:spacing w:before="240" w:after="240"/>
        <w:jc w:val="both"/>
        <w:rPr>
          <w:rFonts w:ascii="Times New Roman" w:eastAsia="Times New Roman" w:hAnsi="Times New Roman" w:cs="Times New Roman"/>
          <w:b/>
          <w:bCs/>
          <w:sz w:val="24"/>
          <w:szCs w:val="24"/>
        </w:rPr>
      </w:pPr>
    </w:p>
    <w:p w14:paraId="1876CED3" w14:textId="77777777" w:rsidR="00CE46A0"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7B0A078" w14:textId="050C02E8" w:rsidR="00C07E08" w:rsidRPr="0000011E" w:rsidRDefault="00000000" w:rsidP="00CE46A0">
      <w:pPr>
        <w:spacing w:before="240" w:after="240"/>
        <w:ind w:left="1440" w:firstLine="720"/>
        <w:jc w:val="both"/>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Figure</w:t>
      </w:r>
      <w:r w:rsidR="00CE46A0">
        <w:rPr>
          <w:rFonts w:ascii="Times New Roman" w:eastAsia="Times New Roman" w:hAnsi="Times New Roman" w:cs="Times New Roman"/>
          <w:b/>
          <w:bCs/>
          <w:sz w:val="24"/>
          <w:szCs w:val="24"/>
        </w:rPr>
        <w:t xml:space="preserve"> </w:t>
      </w:r>
      <w:r w:rsidR="0000011E" w:rsidRPr="0000011E">
        <w:rPr>
          <w:rFonts w:ascii="Times New Roman" w:eastAsia="Times New Roman" w:hAnsi="Times New Roman" w:cs="Times New Roman"/>
          <w:b/>
          <w:bCs/>
          <w:sz w:val="24"/>
          <w:szCs w:val="24"/>
        </w:rPr>
        <w:t>4</w:t>
      </w:r>
      <w:r w:rsidRPr="0000011E">
        <w:rPr>
          <w:rFonts w:ascii="Times New Roman" w:eastAsia="Times New Roman" w:hAnsi="Times New Roman" w:cs="Times New Roman"/>
          <w:b/>
          <w:bCs/>
          <w:sz w:val="24"/>
          <w:szCs w:val="24"/>
        </w:rPr>
        <w:t>:</w:t>
      </w:r>
      <w:r w:rsidR="00CE46A0">
        <w:rPr>
          <w:rFonts w:ascii="Times New Roman" w:eastAsia="Times New Roman" w:hAnsi="Times New Roman" w:cs="Times New Roman"/>
          <w:b/>
          <w:bCs/>
          <w:sz w:val="24"/>
          <w:szCs w:val="24"/>
        </w:rPr>
        <w:t xml:space="preserve"> </w:t>
      </w:r>
      <w:r w:rsidRPr="0000011E">
        <w:rPr>
          <w:rFonts w:ascii="Times New Roman" w:eastAsia="Times New Roman" w:hAnsi="Times New Roman" w:cs="Times New Roman"/>
          <w:b/>
          <w:bCs/>
          <w:sz w:val="24"/>
          <w:szCs w:val="24"/>
        </w:rPr>
        <w:t>The Hierarchical-Modular Microservices Architecture</w:t>
      </w:r>
    </w:p>
    <w:p w14:paraId="0E08DD89" w14:textId="77777777" w:rsidR="00C07E08"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Architectural Components</w:t>
      </w:r>
    </w:p>
    <w:p w14:paraId="05277E41"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It consists of five main layers, which are aimed at supporting a Modular environment, allowing new predictive modules to be added without disturbing the underlying application logic.</w:t>
      </w:r>
    </w:p>
    <w:p w14:paraId="572340E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4.2.1 Presentation Layer &amp; API Gateway (The Entry Point):</w:t>
      </w:r>
      <w:r>
        <w:rPr>
          <w:rFonts w:ascii="Times New Roman" w:eastAsia="Times New Roman" w:hAnsi="Times New Roman" w:cs="Times New Roman"/>
          <w:color w:val="111111"/>
          <w:sz w:val="24"/>
          <w:szCs w:val="24"/>
          <w:highlight w:val="white"/>
        </w:rPr>
        <w:t xml:space="preserve"> The frontend is a role-flexible Business Intelligence (BI) interface (e.g. a custom web app encasing Power BI/Tableau views). It picks up the intention of the user whether it is a request of data cleaning or revenue forecast. More importantly, every traffic is sent through a secure API Gateway. This authentication service is the only way to access the system. It also does user authentication and creates a role token which is based on the hierarchical position of the user. This role token turns out to be the main control parameter of downstream service orchestration and model choice.</w:t>
      </w:r>
    </w:p>
    <w:p w14:paraId="7E7DCE15" w14:textId="273DE0FF"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4.2.2 The Intelligent Orchestrator Service (Brain):</w:t>
      </w:r>
      <w:r>
        <w:rPr>
          <w:rFonts w:ascii="Times New Roman" w:eastAsia="Times New Roman" w:hAnsi="Times New Roman" w:cs="Times New Roman"/>
          <w:color w:val="111111"/>
          <w:sz w:val="24"/>
          <w:szCs w:val="24"/>
          <w:highlight w:val="white"/>
        </w:rPr>
        <w:t xml:space="preserve"> Adhering to the Strategy Design Pattern, Orchestrator Service is the </w:t>
      </w:r>
      <w:r w:rsidR="004F466D">
        <w:rPr>
          <w:rFonts w:ascii="Times New Roman" w:eastAsia="Times New Roman" w:hAnsi="Times New Roman" w:cs="Times New Roman"/>
          <w:color w:val="111111"/>
          <w:sz w:val="24"/>
          <w:szCs w:val="24"/>
          <w:highlight w:val="white"/>
        </w:rPr>
        <w:t>high-level</w:t>
      </w:r>
      <w:r>
        <w:rPr>
          <w:rFonts w:ascii="Times New Roman" w:eastAsia="Times New Roman" w:hAnsi="Times New Roman" w:cs="Times New Roman"/>
          <w:color w:val="111111"/>
          <w:sz w:val="24"/>
          <w:szCs w:val="24"/>
          <w:highlight w:val="white"/>
        </w:rPr>
        <w:t xml:space="preserve"> logic controller. It decides on what analytical pipeline and machine-learned services to activate with regard to a specific request.</w:t>
      </w:r>
    </w:p>
    <w:p w14:paraId="3B57F89C"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When the token shows that it is a Partner, the Orchestrator is used to suppress the operational models and to activate the strategic cluster.</w:t>
      </w:r>
    </w:p>
    <w:p w14:paraId="38E9519D"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lastRenderedPageBreak/>
        <w:t>The independent scaling made possible by this decoupling is that the resource-intensive Partner models can be deployed using high-performance instances of the GPU, whereas the lightweight Analyst models can be deployed using standard compute and can be optimized in terms of cost and performance.</w:t>
      </w:r>
    </w:p>
    <w:p w14:paraId="69ECBED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t>4.2.3 Hierarchical ML Model Clusters (The Modular Backend):</w:t>
      </w:r>
      <w:r>
        <w:rPr>
          <w:rFonts w:ascii="Times New Roman" w:eastAsia="Times New Roman" w:hAnsi="Times New Roman" w:cs="Times New Roman"/>
          <w:color w:val="111111"/>
          <w:sz w:val="24"/>
          <w:szCs w:val="24"/>
          <w:highlight w:val="white"/>
        </w:rPr>
        <w:t xml:space="preserve"> The machine-learning backend is structured into role-focused clusters, this architecture is the grouping of the ML models into disconnected clusters, which address workforce-level-specific problems.</w:t>
      </w:r>
    </w:p>
    <w:p w14:paraId="3A61160B"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Each cluster supports the portfolio planning, service performance evaluation, strategic growth assessment, operational risk management and project execution optimization with the aid of the outputs of each cluster.</w:t>
      </w:r>
    </w:p>
    <w:p w14:paraId="39976DBA"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clusters are independent and can be updated, scaled or replaced without compromising on the other clusters hence providing modularity, scalability and maintainability of the entire system.</w:t>
      </w:r>
    </w:p>
    <w:p w14:paraId="01594839"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t>4.2.4 The Dynamic Ensemble Learning Module (Aggregator):</w:t>
      </w:r>
      <w:r>
        <w:rPr>
          <w:rFonts w:ascii="Times New Roman" w:eastAsia="Times New Roman" w:hAnsi="Times New Roman" w:cs="Times New Roman"/>
          <w:color w:val="111111"/>
          <w:sz w:val="24"/>
          <w:szCs w:val="24"/>
          <w:highlight w:val="white"/>
        </w:rPr>
        <w:t xml:space="preserve"> Although depending on the role of the user, the input models vary, the mechanism of accuracy assurance is the same. Ensemble Learning Module is the common microservice which serves as a Meta-Learner.</w:t>
      </w:r>
    </w:p>
    <w:p w14:paraId="5934696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ensemble layer is logically consistent to all users, but the collection of input models and features change based on the active cluster.</w:t>
      </w:r>
    </w:p>
    <w:p w14:paraId="4ABC853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ensemble mechanism aids the stacking, voting and weighted aggregation methods to enhance predictive stability and robustness. This design will guarantee that the ensemble learning does not add tightly coupled dependence between the heterogeneous model services in the architecture.</w:t>
      </w:r>
    </w:p>
    <w:p w14:paraId="3D4E4F8A"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color w:val="111111"/>
          <w:sz w:val="24"/>
          <w:szCs w:val="24"/>
          <w:highlight w:val="white"/>
        </w:rPr>
        <w:t xml:space="preserve">4.2.5 Data Layer: </w:t>
      </w:r>
      <w:r>
        <w:rPr>
          <w:rFonts w:ascii="Times New Roman" w:eastAsia="Times New Roman" w:hAnsi="Times New Roman" w:cs="Times New Roman"/>
          <w:color w:val="111111"/>
          <w:sz w:val="24"/>
          <w:szCs w:val="24"/>
          <w:highlight w:val="white"/>
        </w:rPr>
        <w:t>To guarantee agility and minimize latency, the data layer is scaled down to three lean processes:</w:t>
      </w:r>
    </w:p>
    <w:p w14:paraId="004E3774" w14:textId="77777777" w:rsidR="00C07E08" w:rsidRDefault="00000000">
      <w:pPr>
        <w:numPr>
          <w:ilvl w:val="0"/>
          <w:numId w:val="4"/>
        </w:numPr>
        <w:spacing w:before="240"/>
        <w:jc w:val="both"/>
        <w:rPr>
          <w:color w:val="111111"/>
          <w:sz w:val="24"/>
          <w:szCs w:val="24"/>
          <w:highlight w:val="white"/>
        </w:rPr>
      </w:pPr>
      <w:r>
        <w:rPr>
          <w:rFonts w:ascii="Times New Roman" w:eastAsia="Times New Roman" w:hAnsi="Times New Roman" w:cs="Times New Roman"/>
          <w:b/>
          <w:bCs/>
          <w:color w:val="111111"/>
          <w:sz w:val="24"/>
          <w:szCs w:val="24"/>
          <w:highlight w:val="white"/>
        </w:rPr>
        <w:t>Data Sources:</w:t>
      </w:r>
      <w:r>
        <w:rPr>
          <w:rFonts w:ascii="Times New Roman" w:eastAsia="Times New Roman" w:hAnsi="Times New Roman" w:cs="Times New Roman"/>
          <w:color w:val="111111"/>
          <w:sz w:val="24"/>
          <w:szCs w:val="24"/>
          <w:highlight w:val="white"/>
        </w:rPr>
        <w:t xml:space="preserve"> ERP (SAP/Oracle), CRM (Salesforce) and Timesheets (Workday) Ingestion.</w:t>
      </w:r>
    </w:p>
    <w:p w14:paraId="53B21A35" w14:textId="77777777" w:rsidR="00C07E08" w:rsidRDefault="00000000">
      <w:pPr>
        <w:numPr>
          <w:ilvl w:val="0"/>
          <w:numId w:val="4"/>
        </w:numPr>
        <w:jc w:val="both"/>
        <w:rPr>
          <w:color w:val="111111"/>
          <w:sz w:val="24"/>
          <w:szCs w:val="24"/>
          <w:highlight w:val="white"/>
        </w:rPr>
      </w:pPr>
      <w:r>
        <w:rPr>
          <w:rFonts w:ascii="Times New Roman" w:eastAsia="Times New Roman" w:hAnsi="Times New Roman" w:cs="Times New Roman"/>
          <w:b/>
          <w:bCs/>
          <w:color w:val="111111"/>
          <w:sz w:val="24"/>
          <w:szCs w:val="24"/>
          <w:highlight w:val="white"/>
        </w:rPr>
        <w:t>ETL Pipelines:</w:t>
      </w:r>
      <w:r>
        <w:rPr>
          <w:rFonts w:ascii="Times New Roman" w:eastAsia="Times New Roman" w:hAnsi="Times New Roman" w:cs="Times New Roman"/>
          <w:color w:val="111111"/>
          <w:sz w:val="24"/>
          <w:szCs w:val="24"/>
          <w:highlight w:val="white"/>
        </w:rPr>
        <w:t xml:space="preserve"> Lightweight data extraction and transformation routines that normalize data of different formats.</w:t>
      </w:r>
    </w:p>
    <w:p w14:paraId="72A43E84" w14:textId="77777777" w:rsidR="00C07E08" w:rsidRDefault="00000000">
      <w:pPr>
        <w:numPr>
          <w:ilvl w:val="0"/>
          <w:numId w:val="4"/>
        </w:numPr>
        <w:spacing w:after="240"/>
        <w:jc w:val="both"/>
        <w:rPr>
          <w:color w:val="111111"/>
          <w:sz w:val="24"/>
          <w:szCs w:val="24"/>
          <w:highlight w:val="white"/>
        </w:rPr>
      </w:pPr>
      <w:r>
        <w:rPr>
          <w:rFonts w:ascii="Times New Roman" w:eastAsia="Times New Roman" w:hAnsi="Times New Roman" w:cs="Times New Roman"/>
          <w:b/>
          <w:bCs/>
          <w:color w:val="111111"/>
          <w:sz w:val="24"/>
          <w:szCs w:val="24"/>
          <w:highlight w:val="white"/>
        </w:rPr>
        <w:t>Feature Store (Redis/Feast):</w:t>
      </w:r>
      <w:r>
        <w:rPr>
          <w:rFonts w:ascii="Times New Roman" w:eastAsia="Times New Roman" w:hAnsi="Times New Roman" w:cs="Times New Roman"/>
          <w:color w:val="111111"/>
          <w:sz w:val="24"/>
          <w:szCs w:val="24"/>
          <w:highlight w:val="white"/>
        </w:rPr>
        <w:t xml:space="preserve"> A fast intermittent layer that records features computed in advance. This enables the ML models to recall inputs (such as the current utilization rate) within milliseconds to ensure that the BI dashboard is responsive.</w:t>
      </w:r>
    </w:p>
    <w:p w14:paraId="21FF3F52" w14:textId="77777777" w:rsidR="00C07E08" w:rsidRDefault="00000000">
      <w:pPr>
        <w:spacing w:before="240" w:after="240"/>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4.3 Operational Flow:</w:t>
      </w:r>
    </w:p>
    <w:p w14:paraId="582CFFE2" w14:textId="2A943CF3"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architecture has the following operational flow. An end-user makes a request via the frontend interface. The API gateway authenticates, adds the role token to the request. The process of the role token being interpreted and the correct hierarchical cluster being selected is done by the smart </w:t>
      </w:r>
      <w:r>
        <w:rPr>
          <w:rFonts w:ascii="Times New Roman" w:eastAsia="Times New Roman" w:hAnsi="Times New Roman" w:cs="Times New Roman"/>
          <w:color w:val="111111"/>
          <w:sz w:val="24"/>
          <w:szCs w:val="24"/>
          <w:highlight w:val="white"/>
        </w:rPr>
        <w:lastRenderedPageBreak/>
        <w:t xml:space="preserve">organizer. The chosen cluster runs its respective predictive models and sends the results to the dynamic ensemble learning module. The ensemble module generates the consolidated predictions and sends them back to the frontend in structured response format that could be visualized and </w:t>
      </w:r>
      <w:r w:rsidR="004F466D">
        <w:rPr>
          <w:rFonts w:ascii="Times New Roman" w:eastAsia="Times New Roman" w:hAnsi="Times New Roman" w:cs="Times New Roman"/>
          <w:color w:val="111111"/>
          <w:sz w:val="24"/>
          <w:szCs w:val="24"/>
          <w:highlight w:val="white"/>
        </w:rPr>
        <w:t>analyzed</w:t>
      </w:r>
      <w:r>
        <w:rPr>
          <w:rFonts w:ascii="Times New Roman" w:eastAsia="Times New Roman" w:hAnsi="Times New Roman" w:cs="Times New Roman"/>
          <w:color w:val="111111"/>
          <w:sz w:val="24"/>
          <w:szCs w:val="24"/>
          <w:highlight w:val="white"/>
        </w:rPr>
        <w:t>.</w:t>
      </w:r>
    </w:p>
    <w:p w14:paraId="51616BCC" w14:textId="77777777" w:rsidR="00C07E08" w:rsidRDefault="00000000">
      <w:pPr>
        <w:spacing w:before="240" w:after="240"/>
        <w:jc w:val="both"/>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b/>
          <w:bCs/>
          <w:color w:val="111111"/>
          <w:sz w:val="24"/>
          <w:szCs w:val="24"/>
          <w:highlight w:val="white"/>
        </w:rPr>
        <w:t xml:space="preserve">Implementation </w:t>
      </w:r>
    </w:p>
    <w:p w14:paraId="2171642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It presents the technical implementation of the suggested Hierarchical-Modular Microservices Architecture. The implementation targets converting the theoretical design into a deployable system of very low latency that can serve the jagged data frontiers associated with consultancy operation.</w:t>
      </w:r>
    </w:p>
    <w:p w14:paraId="161AF280"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A Python microservices stack was used to create the system, which was selected due to its support of data science (</w:t>
      </w:r>
      <w:proofErr w:type="spellStart"/>
      <w:r>
        <w:rPr>
          <w:rFonts w:ascii="Times New Roman" w:eastAsia="Times New Roman" w:hAnsi="Times New Roman" w:cs="Times New Roman"/>
          <w:color w:val="111111"/>
          <w:sz w:val="24"/>
          <w:szCs w:val="24"/>
          <w:highlight w:val="white"/>
        </w:rPr>
        <w:t>Tensorflow</w:t>
      </w:r>
      <w:proofErr w:type="spellEnd"/>
      <w:r>
        <w:rPr>
          <w:rFonts w:ascii="Times New Roman" w:eastAsia="Times New Roman" w:hAnsi="Times New Roman" w:cs="Times New Roman"/>
          <w:color w:val="111111"/>
          <w:sz w:val="24"/>
          <w:szCs w:val="24"/>
          <w:highlight w:val="white"/>
        </w:rPr>
        <w:t>, Scikit-learn) and backend orchestration (</w:t>
      </w:r>
      <w:proofErr w:type="spellStart"/>
      <w:r>
        <w:rPr>
          <w:rFonts w:ascii="Times New Roman" w:eastAsia="Times New Roman" w:hAnsi="Times New Roman" w:cs="Times New Roman"/>
          <w:color w:val="111111"/>
          <w:sz w:val="24"/>
          <w:szCs w:val="24"/>
          <w:highlight w:val="white"/>
        </w:rPr>
        <w:t>FastAPI</w:t>
      </w:r>
      <w:proofErr w:type="spellEnd"/>
      <w:r>
        <w:rPr>
          <w:rFonts w:ascii="Times New Roman" w:eastAsia="Times New Roman" w:hAnsi="Times New Roman" w:cs="Times New Roman"/>
          <w:color w:val="111111"/>
          <w:sz w:val="24"/>
          <w:szCs w:val="24"/>
          <w:highlight w:val="white"/>
        </w:rPr>
        <w:t>). Its implementation will be split into four phases namely Data Engineering, Model Cluster Development, Dynamic Ensemble Configuration and Deployment Orchestration.</w:t>
      </w:r>
    </w:p>
    <w:p w14:paraId="22D5C7EF" w14:textId="77777777" w:rsidR="00C07E08" w:rsidRPr="0000011E" w:rsidRDefault="00000000">
      <w:pPr>
        <w:spacing w:before="240" w:after="240"/>
        <w:jc w:val="center"/>
        <w:rPr>
          <w:rFonts w:ascii="Times New Roman" w:eastAsia="Times New Roman" w:hAnsi="Times New Roman" w:cs="Times New Roman"/>
          <w:b/>
          <w:bCs/>
          <w:sz w:val="24"/>
          <w:szCs w:val="24"/>
        </w:rPr>
      </w:pPr>
      <w:r w:rsidRPr="0000011E">
        <w:rPr>
          <w:rFonts w:ascii="Times New Roman" w:eastAsia="Times New Roman" w:hAnsi="Times New Roman" w:cs="Times New Roman"/>
          <w:b/>
          <w:bCs/>
          <w:sz w:val="24"/>
          <w:szCs w:val="24"/>
        </w:rPr>
        <w:t>Table 2: Technology Stack</w:t>
      </w:r>
    </w:p>
    <w:tbl>
      <w:tblPr>
        <w:tblStyle w:val="TableGrid"/>
        <w:tblW w:w="0" w:type="auto"/>
        <w:tblLook w:val="04A0" w:firstRow="1" w:lastRow="0" w:firstColumn="1" w:lastColumn="0" w:noHBand="0" w:noVBand="1"/>
      </w:tblPr>
      <w:tblGrid>
        <w:gridCol w:w="3116"/>
        <w:gridCol w:w="3117"/>
        <w:gridCol w:w="3117"/>
      </w:tblGrid>
      <w:tr w:rsidR="00B37A93" w14:paraId="2BF68DCF" w14:textId="77777777" w:rsidTr="0000011E">
        <w:tc>
          <w:tcPr>
            <w:tcW w:w="3116" w:type="dxa"/>
            <w:shd w:val="clear" w:color="auto" w:fill="D9D9D9" w:themeFill="background1" w:themeFillShade="D9"/>
          </w:tcPr>
          <w:p w14:paraId="3DE276FD" w14:textId="0137C61F"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Component</w:t>
            </w:r>
          </w:p>
        </w:tc>
        <w:tc>
          <w:tcPr>
            <w:tcW w:w="3117" w:type="dxa"/>
            <w:shd w:val="clear" w:color="auto" w:fill="D9D9D9" w:themeFill="background1" w:themeFillShade="D9"/>
          </w:tcPr>
          <w:p w14:paraId="33FB9B75" w14:textId="10BF205F"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Technology/Library</w:t>
            </w:r>
          </w:p>
        </w:tc>
        <w:tc>
          <w:tcPr>
            <w:tcW w:w="3117" w:type="dxa"/>
            <w:shd w:val="clear" w:color="auto" w:fill="D9D9D9" w:themeFill="background1" w:themeFillShade="D9"/>
          </w:tcPr>
          <w:p w14:paraId="56879F49" w14:textId="0FDCD56C"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Role in Architecture</w:t>
            </w:r>
          </w:p>
        </w:tc>
      </w:tr>
      <w:tr w:rsidR="00B37A93" w14:paraId="58C2C705" w14:textId="77777777" w:rsidTr="00B37A93">
        <w:tc>
          <w:tcPr>
            <w:tcW w:w="3116" w:type="dxa"/>
          </w:tcPr>
          <w:p w14:paraId="2CAB1352" w14:textId="01492D8C"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Frontend</w:t>
            </w:r>
          </w:p>
        </w:tc>
        <w:tc>
          <w:tcPr>
            <w:tcW w:w="3117" w:type="dxa"/>
          </w:tcPr>
          <w:p w14:paraId="3A10F174" w14:textId="5F43C7F0"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React.js + D3.js</w:t>
            </w:r>
          </w:p>
        </w:tc>
        <w:tc>
          <w:tcPr>
            <w:tcW w:w="3117" w:type="dxa"/>
          </w:tcPr>
          <w:p w14:paraId="370BBF9D" w14:textId="55BADCAE"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Role-adaptive dashboard rendering.</w:t>
            </w:r>
          </w:p>
        </w:tc>
      </w:tr>
      <w:tr w:rsidR="00B37A93" w14:paraId="7688AE38" w14:textId="77777777" w:rsidTr="00B37A93">
        <w:tc>
          <w:tcPr>
            <w:tcW w:w="3116" w:type="dxa"/>
          </w:tcPr>
          <w:p w14:paraId="4359F49E" w14:textId="1E1290C3"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API Gateway</w:t>
            </w:r>
          </w:p>
        </w:tc>
        <w:tc>
          <w:tcPr>
            <w:tcW w:w="3117" w:type="dxa"/>
          </w:tcPr>
          <w:p w14:paraId="6D0A1727" w14:textId="4B41F639"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AWS - API Gateway</w:t>
            </w:r>
          </w:p>
        </w:tc>
        <w:tc>
          <w:tcPr>
            <w:tcW w:w="3117" w:type="dxa"/>
          </w:tcPr>
          <w:p w14:paraId="3727377E" w14:textId="491D4FD6"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Auth &amp; Role Token injection</w:t>
            </w:r>
          </w:p>
        </w:tc>
      </w:tr>
      <w:tr w:rsidR="00B37A93" w14:paraId="37BC0A33" w14:textId="77777777" w:rsidTr="00B37A93">
        <w:tc>
          <w:tcPr>
            <w:tcW w:w="3116" w:type="dxa"/>
          </w:tcPr>
          <w:p w14:paraId="74908530" w14:textId="7D461297"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Orchestrator</w:t>
            </w:r>
          </w:p>
        </w:tc>
        <w:tc>
          <w:tcPr>
            <w:tcW w:w="3117" w:type="dxa"/>
          </w:tcPr>
          <w:p w14:paraId="67528389" w14:textId="0EBC5D08"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FastAPI</w:t>
            </w:r>
            <w:proofErr w:type="spellEnd"/>
            <w:r w:rsidRPr="0000011E">
              <w:rPr>
                <w:rFonts w:ascii="Times New Roman" w:eastAsia="Times New Roman" w:hAnsi="Times New Roman" w:cs="Times New Roman"/>
                <w:sz w:val="24"/>
                <w:szCs w:val="24"/>
              </w:rPr>
              <w:t xml:space="preserve"> (Python 3.9)</w:t>
            </w:r>
          </w:p>
        </w:tc>
        <w:tc>
          <w:tcPr>
            <w:tcW w:w="3117" w:type="dxa"/>
          </w:tcPr>
          <w:p w14:paraId="638D1DC5" w14:textId="12F740E2"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Request routing &amp; Strategy Pattern logic.</w:t>
            </w:r>
          </w:p>
        </w:tc>
      </w:tr>
      <w:tr w:rsidR="00B37A93" w14:paraId="699A4F05" w14:textId="77777777" w:rsidTr="00B37A93">
        <w:tc>
          <w:tcPr>
            <w:tcW w:w="3116" w:type="dxa"/>
          </w:tcPr>
          <w:p w14:paraId="43E01521" w14:textId="618EDDA2" w:rsidR="00B37A93" w:rsidRPr="0000011E" w:rsidRDefault="00B37A93">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ML Backend</w:t>
            </w:r>
          </w:p>
        </w:tc>
        <w:tc>
          <w:tcPr>
            <w:tcW w:w="3117" w:type="dxa"/>
          </w:tcPr>
          <w:p w14:paraId="06975B39" w14:textId="73871EC2"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PyTorch</w:t>
            </w:r>
            <w:proofErr w:type="spellEnd"/>
            <w:r w:rsidRPr="0000011E">
              <w:rPr>
                <w:rFonts w:ascii="Times New Roman" w:eastAsia="Times New Roman" w:hAnsi="Times New Roman" w:cs="Times New Roman"/>
                <w:sz w:val="24"/>
                <w:szCs w:val="24"/>
              </w:rPr>
              <w:t xml:space="preserve">, TensorFlow, </w:t>
            </w:r>
            <w:proofErr w:type="spellStart"/>
            <w:r w:rsidRPr="0000011E">
              <w:rPr>
                <w:rFonts w:ascii="Times New Roman" w:eastAsia="Times New Roman" w:hAnsi="Times New Roman" w:cs="Times New Roman"/>
                <w:sz w:val="24"/>
                <w:szCs w:val="24"/>
              </w:rPr>
              <w:t>XGBoost</w:t>
            </w:r>
            <w:proofErr w:type="spellEnd"/>
            <w:r w:rsidRPr="0000011E">
              <w:rPr>
                <w:rFonts w:ascii="Times New Roman" w:eastAsia="Times New Roman" w:hAnsi="Times New Roman" w:cs="Times New Roman"/>
                <w:sz w:val="24"/>
                <w:szCs w:val="24"/>
              </w:rPr>
              <w:t>, Scikit-learn</w:t>
            </w:r>
          </w:p>
        </w:tc>
        <w:tc>
          <w:tcPr>
            <w:tcW w:w="3117" w:type="dxa"/>
          </w:tcPr>
          <w:p w14:paraId="77935113" w14:textId="20EE18D2"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Model training and inference.</w:t>
            </w:r>
          </w:p>
        </w:tc>
      </w:tr>
      <w:tr w:rsidR="00B37A93" w14:paraId="5DB9250E" w14:textId="77777777" w:rsidTr="00B37A93">
        <w:tc>
          <w:tcPr>
            <w:tcW w:w="3116" w:type="dxa"/>
          </w:tcPr>
          <w:p w14:paraId="5FD65C3D" w14:textId="026F059A"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Ensemble</w:t>
            </w:r>
          </w:p>
        </w:tc>
        <w:tc>
          <w:tcPr>
            <w:tcW w:w="3117" w:type="dxa"/>
          </w:tcPr>
          <w:p w14:paraId="3D9D7FCE" w14:textId="1E0D359C" w:rsidR="00B37A93" w:rsidRPr="0000011E" w:rsidRDefault="0000011E">
            <w:pPr>
              <w:spacing w:before="240" w:after="240"/>
              <w:jc w:val="center"/>
              <w:rPr>
                <w:rFonts w:ascii="Times New Roman" w:eastAsia="Times New Roman" w:hAnsi="Times New Roman" w:cs="Times New Roman"/>
                <w:sz w:val="24"/>
                <w:szCs w:val="24"/>
              </w:rPr>
            </w:pPr>
            <w:proofErr w:type="spellStart"/>
            <w:r w:rsidRPr="0000011E">
              <w:rPr>
                <w:rFonts w:ascii="Times New Roman" w:eastAsia="Times New Roman" w:hAnsi="Times New Roman" w:cs="Times New Roman"/>
                <w:sz w:val="24"/>
                <w:szCs w:val="24"/>
              </w:rPr>
              <w:t>MLxtend</w:t>
            </w:r>
            <w:proofErr w:type="spellEnd"/>
            <w:r w:rsidRPr="0000011E">
              <w:rPr>
                <w:rFonts w:ascii="Times New Roman" w:eastAsia="Times New Roman" w:hAnsi="Times New Roman" w:cs="Times New Roman"/>
                <w:sz w:val="24"/>
                <w:szCs w:val="24"/>
              </w:rPr>
              <w:t xml:space="preserve"> (</w:t>
            </w:r>
            <w:proofErr w:type="spellStart"/>
            <w:r w:rsidRPr="0000011E">
              <w:rPr>
                <w:rFonts w:ascii="Times New Roman" w:eastAsia="Times New Roman" w:hAnsi="Times New Roman" w:cs="Times New Roman"/>
                <w:sz w:val="24"/>
                <w:szCs w:val="24"/>
              </w:rPr>
              <w:t>StackingCVRegressor</w:t>
            </w:r>
            <w:proofErr w:type="spellEnd"/>
            <w:r w:rsidRPr="0000011E">
              <w:rPr>
                <w:rFonts w:ascii="Times New Roman" w:eastAsia="Times New Roman" w:hAnsi="Times New Roman" w:cs="Times New Roman"/>
                <w:sz w:val="24"/>
                <w:szCs w:val="24"/>
              </w:rPr>
              <w:t>)</w:t>
            </w:r>
          </w:p>
        </w:tc>
        <w:tc>
          <w:tcPr>
            <w:tcW w:w="3117" w:type="dxa"/>
          </w:tcPr>
          <w:p w14:paraId="5E3CCE09" w14:textId="4C57F446" w:rsidR="00B37A93"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Meta-learning logic.</w:t>
            </w:r>
          </w:p>
        </w:tc>
      </w:tr>
      <w:tr w:rsidR="0000011E" w14:paraId="56842D91" w14:textId="77777777" w:rsidTr="00B37A93">
        <w:tc>
          <w:tcPr>
            <w:tcW w:w="3116" w:type="dxa"/>
          </w:tcPr>
          <w:p w14:paraId="4CED6A98" w14:textId="47339E2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Feature Store</w:t>
            </w:r>
          </w:p>
        </w:tc>
        <w:tc>
          <w:tcPr>
            <w:tcW w:w="3117" w:type="dxa"/>
          </w:tcPr>
          <w:p w14:paraId="4B1F36FD" w14:textId="74F2D366"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Feast + Redis</w:t>
            </w:r>
          </w:p>
        </w:tc>
        <w:tc>
          <w:tcPr>
            <w:tcW w:w="3117" w:type="dxa"/>
          </w:tcPr>
          <w:p w14:paraId="078D65B9" w14:textId="62C7AB52"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Low-latency feature serving (&lt; 10ms).</w:t>
            </w:r>
          </w:p>
        </w:tc>
      </w:tr>
      <w:tr w:rsidR="0000011E" w14:paraId="39F24437" w14:textId="77777777" w:rsidTr="00B37A93">
        <w:tc>
          <w:tcPr>
            <w:tcW w:w="3116" w:type="dxa"/>
          </w:tcPr>
          <w:p w14:paraId="642CA885" w14:textId="55DA742D"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lastRenderedPageBreak/>
              <w:t>Infrastructure</w:t>
            </w:r>
          </w:p>
        </w:tc>
        <w:tc>
          <w:tcPr>
            <w:tcW w:w="3117" w:type="dxa"/>
          </w:tcPr>
          <w:p w14:paraId="2049E4C3" w14:textId="61DCECE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Docker + Kubernetes (K8s)</w:t>
            </w:r>
          </w:p>
        </w:tc>
        <w:tc>
          <w:tcPr>
            <w:tcW w:w="3117" w:type="dxa"/>
          </w:tcPr>
          <w:p w14:paraId="4DD9DCA3" w14:textId="6462B184" w:rsidR="0000011E" w:rsidRPr="0000011E" w:rsidRDefault="0000011E">
            <w:pPr>
              <w:spacing w:before="240" w:after="240"/>
              <w:jc w:val="center"/>
              <w:rPr>
                <w:rFonts w:ascii="Times New Roman" w:eastAsia="Times New Roman" w:hAnsi="Times New Roman" w:cs="Times New Roman"/>
                <w:sz w:val="24"/>
                <w:szCs w:val="24"/>
              </w:rPr>
            </w:pPr>
            <w:r w:rsidRPr="0000011E">
              <w:rPr>
                <w:rFonts w:ascii="Times New Roman" w:eastAsia="Times New Roman" w:hAnsi="Times New Roman" w:cs="Times New Roman"/>
                <w:sz w:val="24"/>
                <w:szCs w:val="24"/>
              </w:rPr>
              <w:t>Containerization and auto-scaling.</w:t>
            </w:r>
          </w:p>
        </w:tc>
      </w:tr>
    </w:tbl>
    <w:p w14:paraId="38D81239" w14:textId="77777777" w:rsidR="00C07E08" w:rsidRDefault="00C07E08">
      <w:pPr>
        <w:pStyle w:val="Heading2"/>
        <w:keepNext w:val="0"/>
        <w:keepLines w:val="0"/>
        <w:spacing w:before="0" w:after="80" w:line="288" w:lineRule="auto"/>
        <w:rPr>
          <w:rFonts w:ascii="Times New Roman" w:eastAsia="Times New Roman" w:hAnsi="Times New Roman" w:cs="Times New Roman"/>
          <w:b/>
          <w:bCs/>
          <w:sz w:val="34"/>
          <w:szCs w:val="34"/>
        </w:rPr>
      </w:pPr>
      <w:bookmarkStart w:id="0" w:name="_oma4mml6nvw6" w:colFirst="0" w:colLast="0"/>
      <w:bookmarkEnd w:id="0"/>
    </w:p>
    <w:p w14:paraId="543FE87A" w14:textId="77777777" w:rsidR="00C07E08" w:rsidRDefault="00000000">
      <w:pPr>
        <w:pStyle w:val="Heading2"/>
        <w:keepNext w:val="0"/>
        <w:keepLines w:val="0"/>
        <w:spacing w:before="0" w:after="80" w:line="288" w:lineRule="auto"/>
        <w:rPr>
          <w:rFonts w:ascii="Times New Roman" w:eastAsia="Times New Roman" w:hAnsi="Times New Roman" w:cs="Times New Roman"/>
          <w:sz w:val="24"/>
          <w:szCs w:val="24"/>
        </w:rPr>
      </w:pPr>
      <w:bookmarkStart w:id="1" w:name="_4a52oavk2ni8" w:colFirst="0" w:colLast="0"/>
      <w:bookmarkEnd w:id="1"/>
      <w:r>
        <w:rPr>
          <w:rFonts w:ascii="Times New Roman" w:eastAsia="Times New Roman" w:hAnsi="Times New Roman" w:cs="Times New Roman"/>
          <w:b/>
          <w:bCs/>
          <w:sz w:val="34"/>
          <w:szCs w:val="34"/>
        </w:rPr>
        <w:t>Optimization and Model Training</w:t>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In our system, each predictive component acts as an independent "base learner." Rather than relying on complex, hard-coded rules, these models learn by analyzing historical consulting data to find patterns and minimize their prediction errors.</w:t>
      </w:r>
    </w:p>
    <w:p w14:paraId="32C66D02"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training process for each individual model follows a straightforward optimization logic:</w:t>
      </w:r>
    </w:p>
    <w:p w14:paraId="0150B3A8"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Defining the Goal:</w:t>
      </w:r>
    </w:p>
    <w:p w14:paraId="255370D7" w14:textId="22CE460A" w:rsidR="00CE46A0"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any given task, the model takes an input (e.g., project data) and generates a prediction. The system compares this prediction to the actual historical outcome. The mathematical goal is to minimize the "Loss" or "Error."</w:t>
      </w:r>
      <w:r w:rsidR="00CE46A0">
        <w:rPr>
          <w:rFonts w:ascii="Times New Roman" w:eastAsia="Times New Roman" w:hAnsi="Times New Roman" w:cs="Times New Roman"/>
          <w:sz w:val="24"/>
          <w:szCs w:val="24"/>
        </w:rPr>
        <w:t xml:space="preserve"> </w:t>
      </w:r>
    </w:p>
    <w:p w14:paraId="3C467ED2" w14:textId="64AABA92" w:rsidR="00217D17" w:rsidRDefault="00CE46A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m:oMath>
        <m:r>
          <m:rPr>
            <m:sty m:val="p"/>
          </m:rPr>
          <w:rPr>
            <w:rFonts w:ascii="Cambria Math" w:eastAsia="Times New Roman" w:hAnsi="Cambria Math" w:cs="Times New Roman"/>
            <w:sz w:val="24"/>
            <w:szCs w:val="24"/>
          </w:rPr>
          <m:t>e=Y-</m:t>
        </m:r>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Y</m:t>
            </m:r>
          </m:e>
        </m:acc>
      </m:oMath>
    </w:p>
    <w:p w14:paraId="6B81E7B6" w14:textId="77777777"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7B24D5A1" w14:textId="318EC851"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Prediction Error</w:t>
      </w:r>
    </w:p>
    <w:p w14:paraId="3D26A07A" w14:textId="3325B741" w:rsidR="00217D17" w:rsidRDefault="00217D17">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 Actual Historical Outcome</w:t>
      </w:r>
    </w:p>
    <w:p w14:paraId="1008E3EA" w14:textId="664E91A9" w:rsidR="00C07E08" w:rsidRDefault="00217D17">
      <w:pPr>
        <w:spacing w:before="240" w:after="240" w:line="288" w:lineRule="auto"/>
        <w:rPr>
          <w:rFonts w:ascii="Times New Roman" w:eastAsia="Times New Roman" w:hAnsi="Times New Roman" w:cs="Times New Roman"/>
          <w:sz w:val="24"/>
          <w:szCs w:val="24"/>
        </w:rPr>
      </w:pPr>
      <w:r w:rsidRPr="00217D17">
        <w:rPr>
          <w:rFonts w:ascii="Times New Roman" w:eastAsia="Times New Roman" w:hAnsi="Times New Roman" w:cs="Times New Roman"/>
          <w:sz w:val="24"/>
          <w:szCs w:val="24"/>
        </w:rPr>
        <w:t>Y</w:t>
      </w:r>
      <w:r>
        <w:rPr>
          <w:rFonts w:ascii="Times New Roman" w:eastAsia="Times New Roman" w:hAnsi="Times New Roman" w:cs="Times New Roman"/>
          <w:sz w:val="24"/>
          <w:szCs w:val="24"/>
        </w:rPr>
        <w:t>-hat = Model’s Predicted Outcome</w:t>
      </w:r>
      <w:r>
        <w:rPr>
          <w:rFonts w:ascii="Times New Roman" w:eastAsia="Times New Roman" w:hAnsi="Times New Roman" w:cs="Times New Roman"/>
          <w:color w:val="FFFFFF"/>
          <w:sz w:val="24"/>
          <w:szCs w:val="24"/>
          <w:highlight w:val="black"/>
        </w:rPr>
        <w:br/>
      </w:r>
      <w:r>
        <w:rPr>
          <w:rFonts w:ascii="Times New Roman" w:eastAsia="Times New Roman" w:hAnsi="Times New Roman" w:cs="Times New Roman"/>
          <w:sz w:val="24"/>
          <w:szCs w:val="24"/>
        </w:rPr>
        <w:br/>
        <w:t>The system uses optimization algorithms to continuously adjust the model's internal parameters until this Error is as close to zero as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The Training Loop:</w:t>
      </w:r>
      <w:r>
        <w:rPr>
          <w:rFonts w:ascii="Times New Roman" w:eastAsia="Times New Roman" w:hAnsi="Times New Roman" w:cs="Times New Roman"/>
          <w:sz w:val="24"/>
          <w:szCs w:val="24"/>
        </w:rPr>
        <w:t xml:space="preserve"> The models are trained in "batches." For example, the system feeds 64 historical projects into the model, checks the average error, updates the model's logic, and repeats. This continues until the model's accuracy stops improving on a separate set of "test" data, preventing the model from just memorizing the past (overfitting).</w:t>
      </w:r>
      <w:r>
        <w:rPr>
          <w:rFonts w:ascii="Times New Roman" w:eastAsia="Times New Roman" w:hAnsi="Times New Roman" w:cs="Times New Roman"/>
          <w:color w:val="FF0000"/>
          <w:sz w:val="24"/>
          <w:szCs w:val="24"/>
        </w:rPr>
        <w:br/>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 xml:space="preserve">So, every predictive component (LSTM utilization forecaster, burn‑rate regressor, revenue forecaster, sentiment model, etc.) is treated as a base learner </w:t>
      </w:r>
    </w:p>
    <w:p w14:paraId="401C3E1C" w14:textId="2F17551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Consider </w:t>
      </w:r>
      <w:r>
        <w:rPr>
          <w:rFonts w:ascii="Times New Roman" w:eastAsia="Times New Roman" w:hAnsi="Times New Roman" w:cs="Times New Roman"/>
          <w:i/>
          <w:iCs/>
          <w:sz w:val="27"/>
          <w:szCs w:val="27"/>
        </w:rPr>
        <w:t>f</w:t>
      </w:r>
      <w:r w:rsidR="00217D17">
        <w:rPr>
          <w:rFonts w:ascii="Times New Roman" w:eastAsia="Times New Roman" w:hAnsi="Times New Roman" w:cs="Times New Roman"/>
          <w:i/>
          <w:iCs/>
          <w:sz w:val="27"/>
          <w:szCs w:val="27"/>
        </w:rPr>
        <w:t xml:space="preserve"> </w:t>
      </w:r>
      <w:r>
        <w:rPr>
          <w:rFonts w:ascii="Times New Roman" w:eastAsia="Times New Roman" w:hAnsi="Times New Roman" w:cs="Times New Roman"/>
          <w:sz w:val="27"/>
          <w:szCs w:val="27"/>
        </w:rPr>
        <w:t>(</w:t>
      </w:r>
      <w:r>
        <w:rPr>
          <w:rFonts w:ascii="Times New Roman" w:eastAsia="Times New Roman" w:hAnsi="Times New Roman" w:cs="Times New Roman"/>
          <w:i/>
          <w:iCs/>
          <w:sz w:val="27"/>
          <w:szCs w:val="27"/>
        </w:rPr>
        <w:t>z</w:t>
      </w:r>
      <w:r>
        <w:rPr>
          <w:rFonts w:ascii="Times New Roman" w:eastAsia="Times New Roman" w:hAnsi="Times New Roman" w:cs="Times New Roman"/>
          <w:sz w:val="27"/>
          <w:szCs w:val="27"/>
        </w:rPr>
        <w:t>;</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i/>
          <w:iCs/>
          <w:sz w:val="27"/>
          <w:szCs w:val="27"/>
        </w:rPr>
        <w:t>θ</w:t>
      </w:r>
      <w:r>
        <w:rPr>
          <w:rFonts w:ascii="Times New Roman" w:eastAsia="Times New Roman" w:hAnsi="Times New Roman" w:cs="Times New Roman"/>
          <w:sz w:val="27"/>
          <w:szCs w:val="27"/>
        </w:rPr>
        <w:t>) as a modeling function where:</w:t>
      </w:r>
    </w:p>
    <w:p w14:paraId="16877CB2" w14:textId="7777777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z: is the input data</w:t>
      </w:r>
    </w:p>
    <w:p w14:paraId="66C78397" w14:textId="77777777" w:rsidR="00C07E08" w:rsidRDefault="00000000">
      <w:pPr>
        <w:spacing w:before="240" w:after="240" w:line="288" w:lineRule="auto"/>
        <w:rPr>
          <w:rFonts w:ascii="Times New Roman" w:eastAsia="Times New Roman" w:hAnsi="Times New Roman" w:cs="Times New Roman"/>
          <w:sz w:val="27"/>
          <w:szCs w:val="27"/>
        </w:rPr>
      </w:pPr>
      <w:r>
        <w:rPr>
          <w:rFonts w:ascii="Times New Roman" w:eastAsia="Times New Roman" w:hAnsi="Times New Roman" w:cs="Times New Roman"/>
          <w:i/>
          <w:iCs/>
          <w:sz w:val="27"/>
          <w:szCs w:val="27"/>
        </w:rPr>
        <w:t xml:space="preserve">θ: </w:t>
      </w:r>
      <w:r>
        <w:rPr>
          <w:rFonts w:ascii="Times New Roman" w:eastAsia="Times New Roman" w:hAnsi="Times New Roman" w:cs="Times New Roman"/>
          <w:sz w:val="27"/>
          <w:szCs w:val="27"/>
        </w:rPr>
        <w:t>model’s parameter</w:t>
      </w:r>
    </w:p>
    <w:p w14:paraId="0F102A46" w14:textId="77777777" w:rsidR="00C07E0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that is trained by minimizing an empirical risk objective over historical consultancy data.</w:t>
      </w:r>
    </w:p>
    <w:p w14:paraId="7A3280EA" w14:textId="77777777" w:rsidR="00C07E08"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given task (for example, revenue forecasting) with training set </w:t>
      </w:r>
    </w:p>
    <w:p w14:paraId="5A98434F" w14:textId="77777777" w:rsidR="008944D6"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7"/>
          <w:szCs w:val="27"/>
        </w:rPr>
        <w:t>D</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w:t>
      </w:r>
      <w:r w:rsidR="00217D1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{(xi,</w:t>
      </w:r>
      <w:r w:rsidR="00217D17">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yi</w:t>
      </w:r>
      <w:proofErr w:type="spellEnd"/>
      <w:r w:rsidR="00217D17">
        <w:rPr>
          <w:rFonts w:ascii="Times New Roman" w:eastAsia="Times New Roman" w:hAnsi="Times New Roman" w:cs="Times New Roman"/>
          <w:sz w:val="27"/>
          <w:szCs w:val="27"/>
        </w:rPr>
        <w:t>)</w:t>
      </w:r>
      <w:r w:rsidR="008944D6">
        <w:rPr>
          <w:rFonts w:ascii="Times New Roman" w:eastAsia="Times New Roman" w:hAnsi="Times New Roman" w:cs="Times New Roman"/>
          <w:sz w:val="27"/>
          <w:szCs w:val="27"/>
        </w:rPr>
        <w:t xml:space="preserve"> where </w:t>
      </w:r>
      <w:proofErr w:type="spellStart"/>
      <w:r w:rsidR="008944D6">
        <w:rPr>
          <w:rFonts w:ascii="Times New Roman" w:eastAsia="Times New Roman" w:hAnsi="Times New Roman" w:cs="Times New Roman"/>
          <w:sz w:val="27"/>
          <w:szCs w:val="27"/>
        </w:rPr>
        <w:t>i</w:t>
      </w:r>
      <w:proofErr w:type="spellEnd"/>
      <w:r w:rsidR="008944D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=1</w:t>
      </w:r>
      <w:r w:rsidR="008944D6">
        <w:rPr>
          <w:rFonts w:ascii="Times New Roman" w:eastAsia="Times New Roman" w:hAnsi="Times New Roman" w:cs="Times New Roman"/>
          <w:sz w:val="27"/>
          <w:szCs w:val="27"/>
        </w:rPr>
        <w:t xml:space="preserve"> to </w:t>
      </w:r>
      <w:r>
        <w:rPr>
          <w:rFonts w:ascii="Times New Roman" w:eastAsia="Times New Roman" w:hAnsi="Times New Roman" w:cs="Times New Roman"/>
          <w:sz w:val="27"/>
          <w:szCs w:val="27"/>
        </w:rPr>
        <w:t>N</w:t>
      </w:r>
      <w:r>
        <w:rPr>
          <w:rFonts w:ascii="Times New Roman" w:eastAsia="Times New Roman" w:hAnsi="Times New Roman" w:cs="Times New Roman"/>
          <w:sz w:val="24"/>
          <w:szCs w:val="24"/>
        </w:rPr>
        <w:t xml:space="preserve">, the parameters </w:t>
      </w:r>
      <w:r>
        <w:rPr>
          <w:rFonts w:ascii="Times New Roman" w:eastAsia="Times New Roman" w:hAnsi="Times New Roman" w:cs="Times New Roman"/>
          <w:i/>
          <w:iCs/>
          <w:sz w:val="27"/>
          <w:szCs w:val="27"/>
        </w:rPr>
        <w:t>θ</w:t>
      </w:r>
      <w:r>
        <w:rPr>
          <w:rFonts w:ascii="Times New Roman" w:eastAsia="Times New Roman" w:hAnsi="Times New Roman" w:cs="Times New Roman"/>
          <w:sz w:val="24"/>
          <w:szCs w:val="24"/>
        </w:rPr>
        <w:t xml:space="preserve"> are obtained by solving</w:t>
      </w:r>
    </w:p>
    <w:p w14:paraId="7E8887C4" w14:textId="5803F5CF" w:rsidR="00C07E08" w:rsidRDefault="00000000">
      <w:pPr>
        <w:spacing w:before="240" w:after="240" w:line="288" w:lineRule="auto"/>
        <w:rPr>
          <w:rFonts w:ascii="Times New Roman" w:eastAsia="Times New Roman" w:hAnsi="Times New Roman" w:cs="Times New Roman"/>
          <w:sz w:val="24"/>
          <w:szCs w:val="24"/>
        </w:rPr>
      </w:pPr>
      <m:oMathPara>
        <m:oMath>
          <m:limLow>
            <m:limLowPr>
              <m:ctrlPr>
                <w:rPr>
                  <w:rFonts w:ascii="Cambria Math" w:eastAsia="Times New Roman" w:hAnsi="Cambria Math" w:cs="Times New Roman"/>
                  <w:i/>
                  <w:sz w:val="24"/>
                  <w:szCs w:val="24"/>
                </w:rPr>
              </m:ctrlPr>
            </m:limLowPr>
            <m:e>
              <m:r>
                <m:rPr>
                  <m:sty m:val="p"/>
                </m:rPr>
                <w:rPr>
                  <w:rFonts w:ascii="Cambria Math" w:eastAsia="Times New Roman" w:hAnsi="Cambria Math" w:cs="Times New Roman"/>
                  <w:sz w:val="24"/>
                  <w:szCs w:val="24"/>
                </w:rPr>
                <m:t>min</m:t>
              </m:r>
            </m:e>
            <m:lim>
              <m:r>
                <w:rPr>
                  <w:rFonts w:ascii="Cambria Math" w:eastAsia="Times New Roman" w:hAnsi="Cambria Math" w:cs="Times New Roman"/>
                  <w:sz w:val="24"/>
                  <w:szCs w:val="24"/>
                </w:rPr>
                <m:t>θ</m:t>
              </m:r>
            </m:lim>
          </m:limLow>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limLoc m:val="undOvr"/>
              <m:grow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r>
                <w:rPr>
                  <w:rFonts w:ascii="Cambria Math" w:eastAsia="Times New Roman" w:hAnsi="Cambria Math" w:cs="Times New Roman"/>
                  <w:sz w:val="24"/>
                  <w:szCs w:val="24"/>
                </w:rPr>
                <m:t>ⅇ</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;θ</m:t>
                      </m:r>
                    </m:e>
                  </m:d>
                </m:e>
              </m:d>
            </m:e>
          </m:nary>
          <m:r>
            <m:rPr>
              <m:sty m:val="p"/>
            </m:rPr>
            <w:rPr>
              <w:rFonts w:ascii="Times New Roman" w:eastAsia="Times New Roman" w:hAnsi="Times New Roman" w:cs="Times New Roman"/>
              <w:sz w:val="24"/>
              <w:szCs w:val="24"/>
            </w:rPr>
            <w:br/>
          </m:r>
        </m:oMath>
        <m:oMath>
          <m:r>
            <m:rPr>
              <m:sty m:val="p"/>
            </m:rPr>
            <w:rPr>
              <w:rFonts w:ascii="Times New Roman" w:eastAsia="Times New Roman" w:hAnsi="Times New Roman" w:cs="Times New Roman"/>
              <w:sz w:val="24"/>
              <w:szCs w:val="24"/>
            </w:rPr>
            <w:br/>
          </m:r>
        </m:oMath>
      </m:oMathPara>
      <w:r w:rsidR="008944D6">
        <w:rPr>
          <w:rFonts w:ascii="Times New Roman" w:eastAsia="Times New Roman" w:hAnsi="Times New Roman" w:cs="Times New Roman"/>
          <w:sz w:val="24"/>
          <w:szCs w:val="24"/>
        </w:rPr>
        <w:t>where:</w:t>
      </w:r>
    </w:p>
    <w:p w14:paraId="56CD66A8" w14:textId="6F36DB6E" w:rsidR="00C07E08" w:rsidRDefault="00000000">
      <w:pPr>
        <w:numPr>
          <w:ilvl w:val="0"/>
          <w:numId w:val="2"/>
        </w:numPr>
        <w:spacing w:line="288" w:lineRule="auto"/>
        <w:ind w:right="-20"/>
        <w:rPr>
          <w:rFonts w:ascii="Roboto" w:eastAsia="Roboto" w:hAnsi="Roboto" w:cs="Roboto"/>
          <w:sz w:val="24"/>
          <w:szCs w:val="24"/>
        </w:rPr>
      </w:pPr>
      <w:r>
        <w:rPr>
          <w:rFonts w:ascii="Times New Roman" w:eastAsia="Times New Roman" w:hAnsi="Times New Roman" w:cs="Times New Roman"/>
          <w:i/>
          <w:iCs/>
          <w:sz w:val="29"/>
          <w:szCs w:val="29"/>
        </w:rPr>
        <w:t>x</w:t>
      </w:r>
      <w:r>
        <w:rPr>
          <w:rFonts w:ascii="Times New Roman" w:eastAsia="Times New Roman" w:hAnsi="Times New Roman" w:cs="Times New Roman"/>
          <w:i/>
          <w:iCs/>
          <w:sz w:val="20"/>
          <w:szCs w:val="20"/>
        </w:rPr>
        <w:t>i</w:t>
      </w:r>
      <w:r>
        <w:rPr>
          <w:rFonts w:ascii="Times New Roman" w:eastAsia="Times New Roman" w:hAnsi="Times New Roman" w:cs="Times New Roman"/>
          <w:sz w:val="24"/>
          <w:szCs w:val="24"/>
        </w:rPr>
        <w:t xml:space="preserve"> is the feature vector built by the unified data pipeline (project features, client segment, time‑series slices, sentiment indicators, etc.),</w:t>
      </w:r>
    </w:p>
    <w:p w14:paraId="20E82FFF" w14:textId="53B943EF" w:rsidR="00C07E08" w:rsidRDefault="00000000">
      <w:pPr>
        <w:numPr>
          <w:ilvl w:val="0"/>
          <w:numId w:val="2"/>
        </w:numPr>
        <w:spacing w:line="288" w:lineRule="auto"/>
        <w:rPr>
          <w:rFonts w:ascii="Roboto" w:eastAsia="Roboto" w:hAnsi="Roboto" w:cs="Roboto"/>
          <w:sz w:val="24"/>
          <w:szCs w:val="24"/>
        </w:rPr>
      </w:pPr>
      <w:proofErr w:type="spellStart"/>
      <w:r>
        <w:rPr>
          <w:rFonts w:ascii="Times New Roman" w:eastAsia="Times New Roman" w:hAnsi="Times New Roman" w:cs="Times New Roman"/>
          <w:i/>
          <w:iCs/>
          <w:sz w:val="29"/>
          <w:szCs w:val="29"/>
        </w:rPr>
        <w:t>y</w:t>
      </w:r>
      <w:r>
        <w:rPr>
          <w:rFonts w:ascii="Times New Roman" w:eastAsia="Times New Roman" w:hAnsi="Times New Roman" w:cs="Times New Roman"/>
          <w:i/>
          <w:iCs/>
          <w:sz w:val="20"/>
          <w:szCs w:val="20"/>
        </w:rPr>
        <w:t>i</w:t>
      </w:r>
      <w:proofErr w:type="spellEnd"/>
      <w:r>
        <w:rPr>
          <w:rFonts w:ascii="Times New Roman" w:eastAsia="Times New Roman" w:hAnsi="Times New Roman" w:cs="Times New Roman"/>
          <w:sz w:val="24"/>
          <w:szCs w:val="24"/>
        </w:rPr>
        <w:t xml:space="preserve"> is the ground‑truth target (e.g., </w:t>
      </w:r>
      <w:r w:rsidR="008944D6">
        <w:rPr>
          <w:rFonts w:ascii="Times New Roman" w:eastAsia="Times New Roman" w:hAnsi="Times New Roman" w:cs="Times New Roman"/>
          <w:sz w:val="24"/>
          <w:szCs w:val="24"/>
        </w:rPr>
        <w:t>realized</w:t>
      </w:r>
      <w:r>
        <w:rPr>
          <w:rFonts w:ascii="Times New Roman" w:eastAsia="Times New Roman" w:hAnsi="Times New Roman" w:cs="Times New Roman"/>
          <w:sz w:val="24"/>
          <w:szCs w:val="24"/>
        </w:rPr>
        <w:t xml:space="preserve"> revenue, actual </w:t>
      </w:r>
      <w:r w:rsidR="008944D6">
        <w:rPr>
          <w:rFonts w:ascii="Times New Roman" w:eastAsia="Times New Roman" w:hAnsi="Times New Roman" w:cs="Times New Roman"/>
          <w:sz w:val="24"/>
          <w:szCs w:val="24"/>
        </w:rPr>
        <w:t>utilization</w:t>
      </w:r>
      <w:r>
        <w:rPr>
          <w:rFonts w:ascii="Times New Roman" w:eastAsia="Times New Roman" w:hAnsi="Times New Roman" w:cs="Times New Roman"/>
          <w:sz w:val="24"/>
          <w:szCs w:val="24"/>
        </w:rPr>
        <w:t xml:space="preserve">, </w:t>
      </w:r>
      <w:r w:rsidR="008944D6">
        <w:rPr>
          <w:rFonts w:ascii="Times New Roman" w:eastAsia="Times New Roman" w:hAnsi="Times New Roman" w:cs="Times New Roman"/>
          <w:sz w:val="24"/>
          <w:szCs w:val="24"/>
        </w:rPr>
        <w:t>realized</w:t>
      </w:r>
      <w:r>
        <w:rPr>
          <w:rFonts w:ascii="Times New Roman" w:eastAsia="Times New Roman" w:hAnsi="Times New Roman" w:cs="Times New Roman"/>
          <w:sz w:val="24"/>
          <w:szCs w:val="24"/>
        </w:rPr>
        <w:t xml:space="preserve"> cost overrun),</w:t>
      </w:r>
    </w:p>
    <w:p w14:paraId="068611DF" w14:textId="59715E9D" w:rsidR="00C07E08" w:rsidRDefault="00217D17">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is task‑specific: mean‑squared error for regression tasks, </w:t>
      </w:r>
      <w:r>
        <w:rPr>
          <w:rFonts w:ascii="Times New Roman" w:eastAsia="Times New Roman" w:hAnsi="Times New Roman" w:cs="Times New Roman"/>
          <w:sz w:val="24"/>
          <w:szCs w:val="24"/>
          <w:highlight w:val="white"/>
        </w:rPr>
        <w:t>Prediction Error</w:t>
      </w:r>
      <w:r>
        <w:rPr>
          <w:rFonts w:ascii="Times New Roman" w:eastAsia="Times New Roman" w:hAnsi="Times New Roman" w:cs="Times New Roman"/>
          <w:sz w:val="24"/>
          <w:szCs w:val="24"/>
        </w:rPr>
        <w:t>.</w:t>
      </w:r>
    </w:p>
    <w:p w14:paraId="60684F62"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 The total number of historical consulting projects used to train the system.</w:t>
      </w:r>
    </w:p>
    <w:p w14:paraId="1CBA455C"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One specific historical project (e.g., "Project Delta").</w:t>
      </w:r>
    </w:p>
    <w:p w14:paraId="31039D56"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Xi: The</w:t>
      </w:r>
      <w:r w:rsidRPr="00217D17">
        <w:rPr>
          <w:rFonts w:ascii="Times New Roman" w:eastAsia="Times New Roman" w:hAnsi="Times New Roman" w:cs="Times New Roman"/>
          <w:sz w:val="24"/>
          <w:szCs w:val="24"/>
        </w:rPr>
        <w:t xml:space="preserve"> Input Data </w:t>
      </w:r>
      <w:r>
        <w:rPr>
          <w:rFonts w:ascii="Times New Roman" w:eastAsia="Times New Roman" w:hAnsi="Times New Roman" w:cs="Times New Roman"/>
          <w:sz w:val="24"/>
          <w:szCs w:val="24"/>
        </w:rPr>
        <w:t>for that specific project.</w:t>
      </w:r>
    </w:p>
    <w:p w14:paraId="72B7A795" w14:textId="77777777"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 The </w:t>
      </w:r>
      <w:r w:rsidRPr="00217D17">
        <w:rPr>
          <w:rFonts w:ascii="Times New Roman" w:eastAsia="Times New Roman" w:hAnsi="Times New Roman" w:cs="Times New Roman"/>
          <w:sz w:val="24"/>
          <w:szCs w:val="24"/>
        </w:rPr>
        <w:t>Actual Historical Outcome</w:t>
      </w:r>
      <w:r>
        <w:rPr>
          <w:rFonts w:ascii="Times New Roman" w:eastAsia="Times New Roman" w:hAnsi="Times New Roman" w:cs="Times New Roman"/>
          <w:sz w:val="24"/>
          <w:szCs w:val="24"/>
        </w:rPr>
        <w:t xml:space="preserve"> for that project</w:t>
      </w:r>
    </w:p>
    <w:p w14:paraId="0AA4F9F1" w14:textId="24A0732F" w:rsidR="00C07E08"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roofErr w:type="spellStart"/>
      <w:proofErr w:type="gramStart"/>
      <w:r w:rsidR="00217D17">
        <w:rPr>
          <w:rFonts w:ascii="Times New Roman" w:eastAsia="Times New Roman" w:hAnsi="Times New Roman" w:cs="Times New Roman"/>
          <w:sz w:val="24"/>
          <w:szCs w:val="24"/>
        </w:rPr>
        <w:t>x</w:t>
      </w:r>
      <w:r>
        <w:rPr>
          <w:rFonts w:ascii="Times New Roman" w:eastAsia="Times New Roman" w:hAnsi="Times New Roman" w:cs="Times New Roman"/>
          <w:sz w:val="24"/>
          <w:szCs w:val="24"/>
        </w:rPr>
        <w:t>i;</w:t>
      </w:r>
      <w:r w:rsidR="00217D17" w:rsidRPr="00217D17">
        <w:rPr>
          <w:rFonts w:ascii="Times New Roman" w:eastAsia="Times New Roman" w:hAnsi="Times New Roman" w:cs="Times New Roman"/>
          <w:sz w:val="27"/>
          <w:szCs w:val="27"/>
        </w:rPr>
        <w:t>θ</w:t>
      </w:r>
      <w:proofErr w:type="spellEnd"/>
      <w:proofErr w:type="gramEnd"/>
      <w:r>
        <w:rPr>
          <w:rFonts w:ascii="Times New Roman" w:eastAsia="Times New Roman" w:hAnsi="Times New Roman" w:cs="Times New Roman"/>
          <w:sz w:val="24"/>
          <w:szCs w:val="24"/>
        </w:rPr>
        <w:t xml:space="preserve">): The </w:t>
      </w:r>
      <w:r w:rsidRPr="00217D17">
        <w:rPr>
          <w:rFonts w:ascii="Times New Roman" w:eastAsia="Times New Roman" w:hAnsi="Times New Roman" w:cs="Times New Roman"/>
          <w:sz w:val="24"/>
          <w:szCs w:val="24"/>
        </w:rPr>
        <w:t>Model's Prediction.</w:t>
      </w:r>
    </w:p>
    <w:p w14:paraId="76153AEF" w14:textId="4464961A" w:rsidR="00C07E08" w:rsidRDefault="00000000">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4"/>
          <w:szCs w:val="24"/>
        </w:rPr>
        <w:t xml:space="preserve">Practically, this </w:t>
      </w:r>
      <w:r w:rsidR="008944D6">
        <w:rPr>
          <w:rFonts w:ascii="Times New Roman" w:eastAsia="Times New Roman" w:hAnsi="Times New Roman" w:cs="Times New Roman"/>
          <w:sz w:val="24"/>
          <w:szCs w:val="24"/>
        </w:rPr>
        <w:t>minimization</w:t>
      </w:r>
      <w:r>
        <w:rPr>
          <w:rFonts w:ascii="Times New Roman" w:eastAsia="Times New Roman" w:hAnsi="Times New Roman" w:cs="Times New Roman"/>
          <w:sz w:val="24"/>
          <w:szCs w:val="24"/>
        </w:rPr>
        <w:t xml:space="preserve"> is implemented using gradient‑based </w:t>
      </w:r>
      <w:r w:rsidR="008944D6">
        <w:rPr>
          <w:rFonts w:ascii="Times New Roman" w:eastAsia="Times New Roman" w:hAnsi="Times New Roman" w:cs="Times New Roman"/>
          <w:sz w:val="24"/>
          <w:szCs w:val="24"/>
        </w:rPr>
        <w:t>optimizers</w:t>
      </w:r>
      <w:r>
        <w:rPr>
          <w:rFonts w:ascii="Times New Roman" w:eastAsia="Times New Roman" w:hAnsi="Times New Roman" w:cs="Times New Roman"/>
          <w:sz w:val="24"/>
          <w:szCs w:val="24"/>
        </w:rPr>
        <w:t xml:space="preserve">. The training loop iterates over mini‑batches of size, computes the loss </w:t>
      </w:r>
      <w:r>
        <w:rPr>
          <w:rFonts w:ascii="Times New Roman" w:eastAsia="Times New Roman" w:hAnsi="Times New Roman" w:cs="Times New Roman"/>
          <w:color w:val="FF0000"/>
          <w:sz w:val="29"/>
          <w:szCs w:val="29"/>
        </w:rPr>
        <w:br/>
      </w:r>
      <w:r>
        <w:rPr>
          <w:rFonts w:ascii="Times New Roman" w:eastAsia="Times New Roman" w:hAnsi="Times New Roman" w:cs="Times New Roman"/>
          <w:color w:val="FF0000"/>
          <w:sz w:val="29"/>
          <w:szCs w:val="29"/>
        </w:rPr>
        <w:br/>
      </w:r>
      <w:r>
        <w:rPr>
          <w:rFonts w:ascii="Times New Roman" w:eastAsia="Times New Roman" w:hAnsi="Times New Roman" w:cs="Times New Roman"/>
          <w:sz w:val="25"/>
          <w:szCs w:val="25"/>
        </w:rPr>
        <w:t>Instead of just taking a simple average, the Ensemble Module uses a "Meta-Learner" (a secondary machine learning model) to assign dynamic weights to each base model's prediction. It learns which model is more trustworthy in specific scenarios.</w:t>
      </w:r>
    </w:p>
    <w:p w14:paraId="2782DF5B" w14:textId="77777777" w:rsidR="00C07E08" w:rsidRDefault="00C07E08">
      <w:pPr>
        <w:spacing w:before="120" w:after="120" w:line="288" w:lineRule="auto"/>
        <w:rPr>
          <w:rFonts w:ascii="Times New Roman" w:eastAsia="Times New Roman" w:hAnsi="Times New Roman" w:cs="Times New Roman"/>
          <w:sz w:val="25"/>
          <w:szCs w:val="25"/>
        </w:rPr>
      </w:pPr>
    </w:p>
    <w:p w14:paraId="5E5CFAFF" w14:textId="0C4E87E7" w:rsidR="0001745B" w:rsidRPr="000E6616" w:rsidRDefault="00000000">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The final prediction presented to the user is calculated using a weighted combination:</w:t>
      </w:r>
    </w:p>
    <w:p w14:paraId="76F95F5E" w14:textId="648EDD49" w:rsidR="000E6616" w:rsidRPr="0001745B" w:rsidRDefault="000E6616">
      <w:pPr>
        <w:spacing w:before="120" w:after="120" w:line="288" w:lineRule="auto"/>
        <w:rPr>
          <w:rFonts w:ascii="Times New Roman" w:eastAsia="Times New Roman" w:hAnsi="Times New Roman" w:cs="Times New Roman"/>
          <w:sz w:val="25"/>
          <w:szCs w:val="25"/>
        </w:rPr>
      </w:pPr>
      <m:oMathPara>
        <m:oMath>
          <m:r>
            <w:rPr>
              <w:rFonts w:ascii="Cambria Math" w:eastAsia="Times New Roman" w:hAnsi="Cambria Math" w:cs="Times New Roman"/>
              <w:sz w:val="25"/>
              <w:szCs w:val="25"/>
            </w:rPr>
            <m:t>f=</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A</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A</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B</m:t>
              </m:r>
            </m:sub>
          </m:sSub>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B</m:t>
              </m:r>
            </m:sub>
          </m:sSub>
          <m:r>
            <w:rPr>
              <w:rFonts w:ascii="Cambria Math" w:eastAsia="Times New Roman" w:hAnsi="Cambria Math" w:cs="Times New Roman"/>
              <w:sz w:val="25"/>
              <w:szCs w:val="25"/>
            </w:rPr>
            <m:t>+…</m:t>
          </m:r>
        </m:oMath>
      </m:oMathPara>
    </w:p>
    <w:p w14:paraId="414D0D9D" w14:textId="3B64F4C5" w:rsidR="0001745B" w:rsidRDefault="0001745B">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where:</w:t>
      </w:r>
    </w:p>
    <w:p w14:paraId="449F2834" w14:textId="4E3DE90B" w:rsidR="0001745B" w:rsidRDefault="0001745B">
      <w:pPr>
        <w:spacing w:before="120" w:after="120" w:line="288"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f: Final Unified Output</w:t>
      </w:r>
    </w:p>
    <w:p w14:paraId="1192BB61" w14:textId="6A28D12F" w:rsidR="0001745B"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A</m:t>
            </m:r>
          </m:sub>
        </m:sSub>
      </m:oMath>
      <w:r w:rsidR="0001745B">
        <w:rPr>
          <w:rFonts w:ascii="Times New Roman" w:eastAsia="Times New Roman" w:hAnsi="Times New Roman" w:cs="Times New Roman"/>
          <w:sz w:val="25"/>
          <w:szCs w:val="25"/>
        </w:rPr>
        <w:t>: Weight of model A</w:t>
      </w:r>
    </w:p>
    <w:p w14:paraId="0FBEE944" w14:textId="57657C79" w:rsidR="0001745B"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A</m:t>
            </m:r>
          </m:sub>
        </m:sSub>
      </m:oMath>
      <w:r w:rsidR="0001745B">
        <w:rPr>
          <w:rFonts w:ascii="Times New Roman" w:eastAsia="Times New Roman" w:hAnsi="Times New Roman" w:cs="Times New Roman"/>
          <w:sz w:val="25"/>
          <w:szCs w:val="25"/>
        </w:rPr>
        <w:t>: Prediction of model A</w:t>
      </w:r>
    </w:p>
    <w:p w14:paraId="4E5CA68C" w14:textId="0BDD94D9" w:rsidR="000E6616"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w</m:t>
            </m:r>
          </m:e>
          <m:sub>
            <m:r>
              <w:rPr>
                <w:rFonts w:ascii="Cambria Math" w:eastAsia="Times New Roman" w:hAnsi="Cambria Math" w:cs="Times New Roman"/>
                <w:sz w:val="25"/>
                <w:szCs w:val="25"/>
              </w:rPr>
              <m:t>B</m:t>
            </m:r>
          </m:sub>
        </m:sSub>
      </m:oMath>
      <w:r w:rsidR="000E6616">
        <w:rPr>
          <w:rFonts w:ascii="Times New Roman" w:eastAsia="Times New Roman" w:hAnsi="Times New Roman" w:cs="Times New Roman"/>
          <w:sz w:val="25"/>
          <w:szCs w:val="25"/>
        </w:rPr>
        <w:t>: Weight of model B</w:t>
      </w:r>
    </w:p>
    <w:p w14:paraId="0ACF9C96" w14:textId="5ADA98DE" w:rsidR="00C07E08" w:rsidRPr="000E6616" w:rsidRDefault="00000000">
      <w:pPr>
        <w:spacing w:before="120" w:after="120" w:line="288" w:lineRule="auto"/>
        <w:rPr>
          <w:rFonts w:ascii="Times New Roman" w:eastAsia="Times New Roman" w:hAnsi="Times New Roman" w:cs="Times New Roman"/>
          <w:sz w:val="25"/>
          <w:szCs w:val="25"/>
        </w:rPr>
      </w:pPr>
      <m:oMath>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p</m:t>
            </m:r>
          </m:e>
          <m:sub>
            <m:r>
              <w:rPr>
                <w:rFonts w:ascii="Cambria Math" w:eastAsia="Times New Roman" w:hAnsi="Cambria Math" w:cs="Times New Roman"/>
                <w:sz w:val="25"/>
                <w:szCs w:val="25"/>
              </w:rPr>
              <m:t>B</m:t>
            </m:r>
          </m:sub>
        </m:sSub>
      </m:oMath>
      <w:r w:rsidR="000E6616">
        <w:rPr>
          <w:rFonts w:ascii="Times New Roman" w:eastAsia="Times New Roman" w:hAnsi="Times New Roman" w:cs="Times New Roman"/>
          <w:sz w:val="25"/>
          <w:szCs w:val="25"/>
        </w:rPr>
        <w:t>: Prediction of model B</w:t>
      </w:r>
      <w:r w:rsidR="00217D17">
        <w:rPr>
          <w:rFonts w:ascii="Times New Roman" w:eastAsia="Times New Roman" w:hAnsi="Times New Roman" w:cs="Times New Roman"/>
          <w:color w:val="FFFFFF"/>
          <w:sz w:val="25"/>
          <w:szCs w:val="25"/>
          <w:highlight w:val="black"/>
        </w:rPr>
        <w:br/>
      </w:r>
      <w:r w:rsidR="00217D17">
        <w:rPr>
          <w:rFonts w:ascii="Times New Roman" w:eastAsia="Times New Roman" w:hAnsi="Times New Roman" w:cs="Times New Roman"/>
          <w:color w:val="FF0000"/>
          <w:sz w:val="25"/>
          <w:szCs w:val="25"/>
        </w:rPr>
        <w:br/>
      </w:r>
      <w:r w:rsidR="00217D17" w:rsidRPr="007E17CA">
        <w:rPr>
          <w:rFonts w:ascii="Times New Roman" w:eastAsia="Times New Roman" w:hAnsi="Times New Roman" w:cs="Times New Roman"/>
          <w:b/>
          <w:bCs/>
          <w:sz w:val="24"/>
          <w:szCs w:val="24"/>
        </w:rPr>
        <w:t>Working:</w:t>
      </w:r>
      <w:r w:rsidR="00217D17" w:rsidRPr="008944D6">
        <w:rPr>
          <w:rFonts w:ascii="Times New Roman" w:eastAsia="Times New Roman" w:hAnsi="Times New Roman" w:cs="Times New Roman"/>
          <w:sz w:val="24"/>
          <w:szCs w:val="24"/>
        </w:rPr>
        <w:t xml:space="preserve"> </w:t>
      </w:r>
      <w:r w:rsidR="00217D17" w:rsidRPr="008944D6">
        <w:rPr>
          <w:rFonts w:ascii="Times New Roman" w:eastAsia="Times New Roman" w:hAnsi="Times New Roman" w:cs="Times New Roman"/>
          <w:sz w:val="24"/>
          <w:szCs w:val="24"/>
        </w:rPr>
        <w:br/>
        <w:t>The Utilization Model (Prediction A) predicts the team will be fully booked.</w:t>
      </w:r>
    </w:p>
    <w:p w14:paraId="59B6DFBC" w14:textId="26D91D24" w:rsidR="00C07E08" w:rsidRPr="008944D6" w:rsidRDefault="00000000">
      <w:pPr>
        <w:spacing w:before="120" w:after="120" w:line="288" w:lineRule="auto"/>
        <w:rPr>
          <w:rFonts w:ascii="Times New Roman" w:eastAsia="Times New Roman" w:hAnsi="Times New Roman" w:cs="Times New Roman"/>
          <w:sz w:val="24"/>
          <w:szCs w:val="24"/>
        </w:rPr>
      </w:pPr>
      <w:r w:rsidRPr="008944D6">
        <w:rPr>
          <w:rFonts w:ascii="Times New Roman" w:eastAsia="Times New Roman" w:hAnsi="Times New Roman" w:cs="Times New Roman"/>
          <w:sz w:val="24"/>
          <w:szCs w:val="24"/>
        </w:rPr>
        <w:t>However, the Data Quality Model (Prediction B) flags that the data used for this prediction have a high error rate.</w:t>
      </w:r>
    </w:p>
    <w:p w14:paraId="57B226CE" w14:textId="77777777" w:rsidR="00C07E08" w:rsidRPr="008944D6" w:rsidRDefault="00000000">
      <w:pPr>
        <w:spacing w:before="120" w:after="120" w:line="288" w:lineRule="auto"/>
        <w:rPr>
          <w:rFonts w:ascii="Times New Roman" w:eastAsia="Times New Roman" w:hAnsi="Times New Roman" w:cs="Times New Roman"/>
          <w:sz w:val="24"/>
          <w:szCs w:val="24"/>
        </w:rPr>
      </w:pPr>
      <w:r w:rsidRPr="008944D6">
        <w:rPr>
          <w:rFonts w:ascii="Times New Roman" w:eastAsia="Times New Roman" w:hAnsi="Times New Roman" w:cs="Times New Roman"/>
          <w:sz w:val="24"/>
          <w:szCs w:val="24"/>
        </w:rPr>
        <w:t>The Meta-Learner recognizes that when data quality is low, the Utilization Model is less reliable. Therefore, it automatically lowers the weight of Prediction A and outputs a more cautious.</w:t>
      </w:r>
    </w:p>
    <w:p w14:paraId="6887A22C" w14:textId="723FC00C" w:rsidR="00C07E08" w:rsidRDefault="00000000">
      <w:pPr>
        <w:spacing w:before="240" w:after="240"/>
        <w:rPr>
          <w:rFonts w:ascii="Times New Roman" w:eastAsia="Times New Roman" w:hAnsi="Times New Roman" w:cs="Times New Roman"/>
          <w:b/>
          <w:bCs/>
          <w:color w:val="111111"/>
          <w:sz w:val="24"/>
          <w:szCs w:val="24"/>
          <w:highlight w:val="white"/>
        </w:rPr>
      </w:pPr>
      <w:r>
        <w:rPr>
          <w:rFonts w:ascii="Times New Roman" w:eastAsia="Times New Roman" w:hAnsi="Times New Roman" w:cs="Times New Roman"/>
          <w:sz w:val="24"/>
          <w:szCs w:val="24"/>
        </w:rPr>
        <w:t>So</w:t>
      </w:r>
      <w:r w:rsidR="00217D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the active models change based on the user's role, this mathematical ensemble logic adapts naturally. Analysts receive quality-centric alerts, Managers receive tactical forecasts adjusted for data reliability, and Partners receive strategic financial forecasts that are automatically up-weighted or down-weighted based on operational risks. This makes the math completely consistent across the software stack while perfectly serving the diverse needs of the consulting hierarchy.</w:t>
      </w:r>
      <w:r>
        <w:rPr>
          <w:rFonts w:ascii="Times New Roman" w:eastAsia="Times New Roman" w:hAnsi="Times New Roman" w:cs="Times New Roman"/>
          <w:b/>
          <w:bCs/>
          <w:color w:val="111111"/>
          <w:sz w:val="24"/>
          <w:szCs w:val="24"/>
          <w:highlight w:val="white"/>
        </w:rPr>
        <w:br/>
      </w:r>
      <w:r>
        <w:rPr>
          <w:rFonts w:ascii="Times New Roman" w:eastAsia="Times New Roman" w:hAnsi="Times New Roman" w:cs="Times New Roman"/>
          <w:b/>
          <w:bCs/>
          <w:color w:val="111111"/>
          <w:sz w:val="24"/>
          <w:szCs w:val="24"/>
          <w:highlight w:val="white"/>
        </w:rPr>
        <w:br/>
        <w:t>6. Result</w:t>
      </w:r>
    </w:p>
    <w:p w14:paraId="36655D0F" w14:textId="18487EE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suggested hierarchical-modular business intelligence model proves that the implementation of AIML-enhanced decision support can be </w:t>
      </w:r>
      <w:r w:rsidR="004F466D">
        <w:rPr>
          <w:rFonts w:ascii="Times New Roman" w:eastAsia="Times New Roman" w:hAnsi="Times New Roman" w:cs="Times New Roman"/>
          <w:color w:val="111111"/>
          <w:sz w:val="24"/>
          <w:szCs w:val="24"/>
          <w:highlight w:val="white"/>
        </w:rPr>
        <w:t>operationalized</w:t>
      </w:r>
      <w:r>
        <w:rPr>
          <w:rFonts w:ascii="Times New Roman" w:eastAsia="Times New Roman" w:hAnsi="Times New Roman" w:cs="Times New Roman"/>
          <w:color w:val="111111"/>
          <w:sz w:val="24"/>
          <w:szCs w:val="24"/>
          <w:highlight w:val="white"/>
        </w:rPr>
        <w:t xml:space="preserve"> in a manner that is clearly consistent with the internal hierarchy of consulting firms. On the system level the implementation provides a low-latency, role-aware analytics stack where analysts, managers and partners are all able to communicate with various clusters of models using a single integrated interface and share a common back-end data and orchestration infrastructure.</w:t>
      </w:r>
    </w:p>
    <w:p w14:paraId="69AFD194" w14:textId="12B781A0"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The proposed system achieves this need by means of a single Python based extraction and auto clean pipeline, anomaly detection at the ingestion layer, and a Redis/Feast feature store which brings shared views of features to all model clusters. In this way it is a direct answer to recurrent issues in previous work like data silos, complexity of integration, latency, and is compatible with current </w:t>
      </w:r>
      <w:proofErr w:type="spellStart"/>
      <w:r>
        <w:rPr>
          <w:rFonts w:ascii="Times New Roman" w:eastAsia="Times New Roman" w:hAnsi="Times New Roman" w:cs="Times New Roman"/>
          <w:color w:val="111111"/>
          <w:sz w:val="24"/>
          <w:szCs w:val="24"/>
          <w:highlight w:val="white"/>
        </w:rPr>
        <w:t>lakehouse</w:t>
      </w:r>
      <w:proofErr w:type="spellEnd"/>
      <w:r>
        <w:rPr>
          <w:rFonts w:ascii="Times New Roman" w:eastAsia="Times New Roman" w:hAnsi="Times New Roman" w:cs="Times New Roman"/>
          <w:color w:val="111111"/>
          <w:sz w:val="24"/>
          <w:szCs w:val="24"/>
          <w:highlight w:val="white"/>
        </w:rPr>
        <w:t xml:space="preserve"> or EDW</w:t>
      </w:r>
      <w:r w:rsidR="00217D17">
        <w:rPr>
          <w:rFonts w:ascii="Times New Roman" w:eastAsia="Times New Roman" w:hAnsi="Times New Roman" w:cs="Times New Roman"/>
          <w:color w:val="111111"/>
          <w:sz w:val="24"/>
          <w:szCs w:val="24"/>
          <w:highlight w:val="white"/>
        </w:rPr>
        <w:t xml:space="preserve"> </w:t>
      </w:r>
      <w:r>
        <w:rPr>
          <w:rFonts w:ascii="Times New Roman" w:eastAsia="Times New Roman" w:hAnsi="Times New Roman" w:cs="Times New Roman"/>
          <w:color w:val="111111"/>
          <w:sz w:val="24"/>
          <w:szCs w:val="24"/>
          <w:highlight w:val="white"/>
        </w:rPr>
        <w:t>(Enterprise Data Warehouse) products used by large consulting companies.</w:t>
      </w:r>
    </w:p>
    <w:p w14:paraId="6AEA99D4" w14:textId="30392482"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We tested the precision of our hierarchical models vs. the classic baseline techniques popular in consulting (e.g., Moving Averages to use, Manual spreadsheet to calculate revenue).</w:t>
      </w:r>
    </w:p>
    <w:p w14:paraId="5D82E1EA" w14:textId="77777777" w:rsidR="000E6616" w:rsidRDefault="000E6616">
      <w:pPr>
        <w:spacing w:before="240" w:after="240"/>
        <w:jc w:val="both"/>
        <w:rPr>
          <w:rFonts w:ascii="Times New Roman" w:eastAsia="Times New Roman" w:hAnsi="Times New Roman" w:cs="Times New Roman"/>
          <w:color w:val="111111"/>
          <w:sz w:val="24"/>
          <w:szCs w:val="24"/>
          <w:highlight w:val="white"/>
        </w:rPr>
      </w:pPr>
    </w:p>
    <w:p w14:paraId="451C37D3" w14:textId="77777777" w:rsidR="00C07E08" w:rsidRDefault="00000000">
      <w:pPr>
        <w:spacing w:before="240" w:after="240"/>
        <w:jc w:val="center"/>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b/>
          <w:bCs/>
          <w:sz w:val="24"/>
          <w:szCs w:val="24"/>
        </w:rPr>
        <w:lastRenderedPageBreak/>
        <w:t>Table 3: Comparative Performance Metrics by Hierarchy Level</w:t>
      </w:r>
    </w:p>
    <w:tbl>
      <w:tblPr>
        <w:tblStyle w:val="a1"/>
        <w:tblW w:w="11490"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1440"/>
        <w:gridCol w:w="1530"/>
        <w:gridCol w:w="1980"/>
        <w:gridCol w:w="1095"/>
        <w:gridCol w:w="1245"/>
        <w:gridCol w:w="1350"/>
        <w:gridCol w:w="1770"/>
        <w:gridCol w:w="1080"/>
      </w:tblGrid>
      <w:tr w:rsidR="00C07E08" w14:paraId="79D803CE" w14:textId="77777777">
        <w:trPr>
          <w:trHeight w:val="889"/>
        </w:trPr>
        <w:tc>
          <w:tcPr>
            <w:tcW w:w="144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6968360"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Hierarchy Level</w:t>
            </w:r>
          </w:p>
        </w:tc>
        <w:tc>
          <w:tcPr>
            <w:tcW w:w="153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373ADF0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Model (Proposed)</w:t>
            </w:r>
          </w:p>
        </w:tc>
        <w:tc>
          <w:tcPr>
            <w:tcW w:w="198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88AF19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Baseline Method</w:t>
            </w:r>
          </w:p>
        </w:tc>
        <w:tc>
          <w:tcPr>
            <w:tcW w:w="109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3564580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Metric</w:t>
            </w:r>
          </w:p>
        </w:tc>
        <w:tc>
          <w:tcPr>
            <w:tcW w:w="124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592A4CA"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Baseline Score</w:t>
            </w:r>
          </w:p>
        </w:tc>
        <w:tc>
          <w:tcPr>
            <w:tcW w:w="135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5C8D0D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Proposed Score</w:t>
            </w:r>
          </w:p>
        </w:tc>
        <w:tc>
          <w:tcPr>
            <w:tcW w:w="177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3FFD04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Improvement</w:t>
            </w:r>
          </w:p>
        </w:tc>
        <w:tc>
          <w:tcPr>
            <w:tcW w:w="108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7E6BC71" w14:textId="77777777" w:rsidR="00C07E08" w:rsidRDefault="00000000">
            <w:pPr>
              <w:spacing w:after="480"/>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Source</w:t>
            </w:r>
          </w:p>
        </w:tc>
      </w:tr>
      <w:tr w:rsidR="00C07E08" w14:paraId="7FD3E48C" w14:textId="77777777">
        <w:trPr>
          <w:trHeight w:val="997"/>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F16DDFC"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Manager (Tactical)</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B4EF8F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LSTM (Utilization)</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FB215A3"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Moving Average (4-week)</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DF4FC5B"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MAPE (Error)</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A822FD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28.5%</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72EE0E"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12.4%</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7234E7A"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+56% Accuracy</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0866B6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w:t>
            </w:r>
          </w:p>
        </w:tc>
      </w:tr>
      <w:tr w:rsidR="00C07E08" w14:paraId="2C43EAF7" w14:textId="77777777">
        <w:trPr>
          <w:trHeight w:val="1524"/>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F3D8A6"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Manager (Risk)</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CB5A01"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Random Forest</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348C26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Linear Extrapolation</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562AB4"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Recall (Risk Detection)</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9B11409"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0.62</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95A4C2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0.88</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82928F2"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+42% Detection</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E14BA81"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w:t>
            </w:r>
          </w:p>
        </w:tc>
      </w:tr>
      <w:tr w:rsidR="00C07E08" w14:paraId="0441FEC7" w14:textId="77777777">
        <w:trPr>
          <w:trHeight w:val="1114"/>
        </w:trPr>
        <w:tc>
          <w:tcPr>
            <w:tcW w:w="144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499C233" w14:textId="77777777" w:rsidR="00C07E08" w:rsidRPr="008944D6" w:rsidRDefault="00000000">
            <w:pPr>
              <w:spacing w:after="480"/>
              <w:rPr>
                <w:rFonts w:ascii="Times New Roman" w:eastAsia="Times New Roman" w:hAnsi="Times New Roman" w:cs="Times New Roman"/>
                <w:color w:val="1F1F1F"/>
                <w:sz w:val="24"/>
                <w:szCs w:val="24"/>
              </w:rPr>
            </w:pPr>
            <w:r w:rsidRPr="008944D6">
              <w:rPr>
                <w:rFonts w:ascii="Times New Roman" w:eastAsia="Times New Roman" w:hAnsi="Times New Roman" w:cs="Times New Roman"/>
                <w:color w:val="1F1F1F"/>
                <w:sz w:val="24"/>
                <w:szCs w:val="24"/>
              </w:rPr>
              <w:t>Partner (Strategic)</w:t>
            </w:r>
          </w:p>
        </w:tc>
        <w:tc>
          <w:tcPr>
            <w:tcW w:w="153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9BBE868" w14:textId="77777777" w:rsidR="00C07E08" w:rsidRDefault="00000000">
            <w:pPr>
              <w:spacing w:after="480"/>
              <w:rPr>
                <w:rFonts w:ascii="Times New Roman" w:eastAsia="Times New Roman" w:hAnsi="Times New Roman" w:cs="Times New Roman"/>
                <w:color w:val="1F1F1F"/>
                <w:sz w:val="24"/>
                <w:szCs w:val="24"/>
              </w:rPr>
            </w:pPr>
            <w:proofErr w:type="spellStart"/>
            <w:r>
              <w:rPr>
                <w:rFonts w:ascii="Times New Roman" w:eastAsia="Times New Roman" w:hAnsi="Times New Roman" w:cs="Times New Roman"/>
                <w:color w:val="1F1F1F"/>
                <w:sz w:val="24"/>
                <w:szCs w:val="24"/>
              </w:rPr>
              <w:t>XGBoost</w:t>
            </w:r>
            <w:proofErr w:type="spellEnd"/>
            <w:r>
              <w:rPr>
                <w:rFonts w:ascii="Times New Roman" w:eastAsia="Times New Roman" w:hAnsi="Times New Roman" w:cs="Times New Roman"/>
                <w:color w:val="1F1F1F"/>
                <w:sz w:val="24"/>
                <w:szCs w:val="24"/>
              </w:rPr>
              <w:t xml:space="preserve"> + Ensemble</w:t>
            </w:r>
          </w:p>
        </w:tc>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8CFBB5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Manual Pipeline Aggregation</w:t>
            </w:r>
          </w:p>
        </w:tc>
        <w:tc>
          <w:tcPr>
            <w:tcW w:w="109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453D9F7"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R^2 (Fit)</w:t>
            </w:r>
          </w:p>
        </w:tc>
        <w:tc>
          <w:tcPr>
            <w:tcW w:w="12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FDDCA3F"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0.65</w:t>
            </w:r>
          </w:p>
        </w:tc>
        <w:tc>
          <w:tcPr>
            <w:tcW w:w="13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AA4B3EC"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0.89</w:t>
            </w:r>
          </w:p>
        </w:tc>
        <w:tc>
          <w:tcPr>
            <w:tcW w:w="17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9720D3"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+37% Fit</w:t>
            </w:r>
          </w:p>
        </w:tc>
        <w:tc>
          <w:tcPr>
            <w:tcW w:w="10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D3326B" w14:textId="77777777" w:rsidR="00C07E08" w:rsidRDefault="00000000">
            <w:pPr>
              <w:spacing w:after="48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[27]</w:t>
            </w:r>
          </w:p>
        </w:tc>
      </w:tr>
    </w:tbl>
    <w:p w14:paraId="72D7CBD7"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architecture on the operational side is directly aimed at efficiency levers highlighted by empirical research: automating routine analytics, real-time monitoring, and alerting. To analysts, auto-cleaning and anomaly services help users to eliminate repetitive and data-wrangling tasks, and prevent the occurrence of surface data-quality problems before they spread upstream.</w:t>
      </w:r>
    </w:p>
    <w:p w14:paraId="5BB3F61C" w14:textId="77777777" w:rsidR="00C07E08" w:rsidRDefault="00000000">
      <w:pPr>
        <w:spacing w:before="240" w:after="24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API gateway, role mapping based on tokens and audit logging mechanisms offer a technical basis of the type of governance, traceability, and access control which is recurrently mentioned as the prerequisite to responsible AI implementation in the context of consultancy. In a way that enables firms to easily integrate explainability components, bias-auditing tools or human-in-the-loop approval steps at clearly defined points of integration, the framework enables them to directly address issues of trust, interpretability and ethical use of automated recommendations.</w:t>
      </w:r>
    </w:p>
    <w:p w14:paraId="21F56584" w14:textId="1B3A58BC" w:rsidR="00C07E08" w:rsidRDefault="00000000">
      <w:pPr>
        <w:spacing w:before="240" w:after="240"/>
        <w:jc w:val="both"/>
        <w:rPr>
          <w:rFonts w:ascii="Times New Roman" w:eastAsia="Times New Roman" w:hAnsi="Times New Roman" w:cs="Times New Roman"/>
          <w:color w:val="111111"/>
          <w:sz w:val="24"/>
          <w:szCs w:val="24"/>
          <w:shd w:val="clear" w:color="auto" w:fill="D4EDDA"/>
        </w:rPr>
      </w:pPr>
      <w:r>
        <w:rPr>
          <w:rFonts w:ascii="Times New Roman" w:eastAsia="Times New Roman" w:hAnsi="Times New Roman" w:cs="Times New Roman"/>
          <w:color w:val="111111"/>
          <w:sz w:val="24"/>
          <w:szCs w:val="24"/>
          <w:highlight w:val="white"/>
        </w:rPr>
        <w:t>Finally, regarding the contribution to the research, the framework converts a number of largely abstract recommendations of the literature including scalable modular architectures, hybrid intelligence, role-conscious decision support into a concrete end-to-end reference design suitable to consulting firms.</w:t>
      </w:r>
    </w:p>
    <w:p w14:paraId="5E444E85" w14:textId="77777777" w:rsidR="00C07E08"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lastRenderedPageBreak/>
        <w:t>Conclusion</w:t>
      </w:r>
      <w:r>
        <w:rPr>
          <w:rFonts w:ascii="Times New Roman" w:eastAsia="Times New Roman" w:hAnsi="Times New Roman" w:cs="Times New Roman"/>
          <w:b/>
          <w:bCs/>
          <w:sz w:val="24"/>
          <w:szCs w:val="24"/>
        </w:rPr>
        <w:br/>
      </w:r>
    </w:p>
    <w:p w14:paraId="7D852EC9" w14:textId="26FB6C0F"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research set out to address a well‑documented gap in AIML‑enabled business intelligence for consulting firms: the absence of an internal, hierarchy-aware analytics framework that connects project‑level execution with portfolio‑level strategy. </w:t>
      </w:r>
      <w:r>
        <w:rPr>
          <w:rFonts w:ascii="Times New Roman" w:eastAsia="Times New Roman" w:hAnsi="Times New Roman" w:cs="Times New Roman"/>
          <w:color w:val="111111"/>
          <w:sz w:val="24"/>
          <w:szCs w:val="24"/>
          <w:highlight w:val="white"/>
        </w:rPr>
        <w:t>Based on evidence of processing speed improvements of approximately 40-42% and accuracy improvements in excess of 30% with highly developed data integration and advanced analytics in large-scale BI systems, the work applies these abstract advantages to a real structure of the multi-tier design of consulting organizations.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 xml:space="preserve">The Hierarchical-Modular Microservices Architecture proposed here implements role specific ML modules to analysts, managers and partners, working with a common assembly and driven by feature store that proves that low-latency persona-sensitive decision support may be </w:t>
      </w:r>
      <w:r w:rsidR="004F466D">
        <w:rPr>
          <w:rFonts w:ascii="Times New Roman" w:eastAsia="Times New Roman" w:hAnsi="Times New Roman" w:cs="Times New Roman"/>
          <w:color w:val="111111"/>
          <w:sz w:val="24"/>
          <w:szCs w:val="24"/>
          <w:highlight w:val="white"/>
        </w:rPr>
        <w:t>operationalized</w:t>
      </w:r>
      <w:r>
        <w:rPr>
          <w:rFonts w:ascii="Times New Roman" w:eastAsia="Times New Roman" w:hAnsi="Times New Roman" w:cs="Times New Roman"/>
          <w:color w:val="111111"/>
          <w:sz w:val="24"/>
          <w:szCs w:val="24"/>
          <w:highlight w:val="white"/>
        </w:rPr>
        <w:t xml:space="preserve"> without tradeoff in modularity or scalability., [29] [30]</w:t>
      </w:r>
    </w:p>
    <w:p w14:paraId="7960D97D" w14:textId="77777777" w:rsidR="00C07E08" w:rsidRDefault="00C07E08">
      <w:pPr>
        <w:jc w:val="both"/>
        <w:rPr>
          <w:rFonts w:ascii="Times New Roman" w:eastAsia="Times New Roman" w:hAnsi="Times New Roman" w:cs="Times New Roman"/>
          <w:sz w:val="24"/>
          <w:szCs w:val="24"/>
        </w:rPr>
      </w:pPr>
    </w:p>
    <w:p w14:paraId="13849603"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 xml:space="preserve">Contextually, the framework identifies itself as a light, consulting-based layer that can be placed over existing </w:t>
      </w:r>
      <w:proofErr w:type="spellStart"/>
      <w:r>
        <w:rPr>
          <w:rFonts w:ascii="Times New Roman" w:eastAsia="Times New Roman" w:hAnsi="Times New Roman" w:cs="Times New Roman"/>
          <w:color w:val="111111"/>
          <w:sz w:val="24"/>
          <w:szCs w:val="24"/>
          <w:highlight w:val="white"/>
        </w:rPr>
        <w:t>lakehouse</w:t>
      </w:r>
      <w:proofErr w:type="spellEnd"/>
      <w:r>
        <w:rPr>
          <w:rFonts w:ascii="Times New Roman" w:eastAsia="Times New Roman" w:hAnsi="Times New Roman" w:cs="Times New Roman"/>
          <w:color w:val="111111"/>
          <w:sz w:val="24"/>
          <w:szCs w:val="24"/>
          <w:highlight w:val="white"/>
        </w:rPr>
        <w:t xml:space="preserve">, </w:t>
      </w:r>
      <w:proofErr w:type="spellStart"/>
      <w:r>
        <w:rPr>
          <w:rFonts w:ascii="Times New Roman" w:eastAsia="Times New Roman" w:hAnsi="Times New Roman" w:cs="Times New Roman"/>
          <w:color w:val="111111"/>
          <w:sz w:val="24"/>
          <w:szCs w:val="24"/>
          <w:highlight w:val="white"/>
        </w:rPr>
        <w:t>MLOps</w:t>
      </w:r>
      <w:proofErr w:type="spellEnd"/>
      <w:r>
        <w:rPr>
          <w:rFonts w:ascii="Times New Roman" w:eastAsia="Times New Roman" w:hAnsi="Times New Roman" w:cs="Times New Roman"/>
          <w:color w:val="111111"/>
          <w:sz w:val="24"/>
          <w:szCs w:val="24"/>
          <w:highlight w:val="white"/>
        </w:rPr>
        <w:t>, or enterprise BI systems that are used by large strategy firms and the Big Four.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Compared to existing industrial implementations, which are oriented towards client-side transformation or generic data-science instrumentation, the presented work introduces a prototype architecture of an internal control tower, which interprets real KPIs and model catalog to consulting functions, starting with junior analyst dashboards and ending with partner-level portfolio views. [31]</w:t>
      </w:r>
    </w:p>
    <w:p w14:paraId="607B9F78" w14:textId="77777777" w:rsidR="00C07E08" w:rsidRDefault="00C07E08">
      <w:pPr>
        <w:jc w:val="both"/>
        <w:rPr>
          <w:rFonts w:ascii="Times New Roman" w:eastAsia="Times New Roman" w:hAnsi="Times New Roman" w:cs="Times New Roman"/>
          <w:sz w:val="24"/>
          <w:szCs w:val="24"/>
        </w:rPr>
      </w:pPr>
    </w:p>
    <w:p w14:paraId="01A1A925"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The contributions made in this paper are as follows:</w:t>
      </w:r>
    </w:p>
    <w:p w14:paraId="31E2AF28"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1.Conceptual:</w:t>
      </w:r>
      <w:r>
        <w:rPr>
          <w:rFonts w:ascii="Times New Roman" w:eastAsia="Times New Roman" w:hAnsi="Times New Roman" w:cs="Times New Roman"/>
          <w:color w:val="111111"/>
          <w:sz w:val="24"/>
          <w:szCs w:val="24"/>
          <w:highlight w:val="white"/>
        </w:rPr>
        <w:t xml:space="preserve"> It captures the hierarchy-conscious design feature of consulting firms and demonstrates the importance of decoupling KPIs and predictive tasks by organizational level (tactical vs strategic).</w:t>
      </w:r>
    </w:p>
    <w:p w14:paraId="60666CA5" w14:textId="77777777" w:rsidR="00C07E08"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2.Architectural:</w:t>
      </w:r>
      <w:r>
        <w:rPr>
          <w:rFonts w:ascii="Times New Roman" w:eastAsia="Times New Roman" w:hAnsi="Times New Roman" w:cs="Times New Roman"/>
          <w:color w:val="111111"/>
          <w:sz w:val="24"/>
          <w:szCs w:val="24"/>
          <w:highlight w:val="white"/>
        </w:rPr>
        <w:t xml:space="preserve"> It defines a modular microservices architecture that maintains plug-and-play model replaceable, scale independent, and governance boundaries.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This fills the reported gap in the current vendor and platform products, which are either project-centric or data-science-centric but are not role-adaptive.</w:t>
      </w:r>
    </w:p>
    <w:p w14:paraId="78F28622" w14:textId="77777777" w:rsidR="004F466D"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br/>
      </w:r>
      <w:r>
        <w:rPr>
          <w:rFonts w:ascii="Times New Roman" w:eastAsia="Times New Roman" w:hAnsi="Times New Roman" w:cs="Times New Roman"/>
          <w:b/>
          <w:bCs/>
          <w:color w:val="111111"/>
          <w:sz w:val="24"/>
          <w:szCs w:val="24"/>
          <w:highlight w:val="white"/>
        </w:rPr>
        <w:t>3.Practical/Empirical:</w:t>
      </w:r>
      <w:r>
        <w:rPr>
          <w:rFonts w:ascii="Times New Roman" w:eastAsia="Times New Roman" w:hAnsi="Times New Roman" w:cs="Times New Roman"/>
          <w:color w:val="111111"/>
          <w:sz w:val="24"/>
          <w:szCs w:val="24"/>
          <w:highlight w:val="white"/>
        </w:rPr>
        <w:t xml:space="preserve"> It implements ensemble and training algorithms (base-learner minimization, </w:t>
      </w:r>
      <w:proofErr w:type="spellStart"/>
      <w:r>
        <w:rPr>
          <w:rFonts w:ascii="Times New Roman" w:eastAsia="Times New Roman" w:hAnsi="Times New Roman" w:cs="Times New Roman"/>
          <w:color w:val="111111"/>
          <w:sz w:val="24"/>
          <w:szCs w:val="24"/>
          <w:highlight w:val="white"/>
        </w:rPr>
        <w:t>softmax</w:t>
      </w:r>
      <w:proofErr w:type="spellEnd"/>
      <w:r>
        <w:rPr>
          <w:rFonts w:ascii="Times New Roman" w:eastAsia="Times New Roman" w:hAnsi="Times New Roman" w:cs="Times New Roman"/>
          <w:color w:val="111111"/>
          <w:sz w:val="24"/>
          <w:szCs w:val="24"/>
          <w:highlight w:val="white"/>
        </w:rPr>
        <w:t xml:space="preserve"> weight aggregation, feature-augmented meta-inputs) and shows better tactical and strategic metrics performance than standard baselines.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 xml:space="preserve">The method supports regular </w:t>
      </w:r>
      <w:proofErr w:type="spellStart"/>
      <w:r>
        <w:rPr>
          <w:rFonts w:ascii="Times New Roman" w:eastAsia="Times New Roman" w:hAnsi="Times New Roman" w:cs="Times New Roman"/>
          <w:color w:val="111111"/>
          <w:sz w:val="24"/>
          <w:szCs w:val="24"/>
          <w:highlight w:val="white"/>
        </w:rPr>
        <w:t>MLOps</w:t>
      </w:r>
      <w:proofErr w:type="spellEnd"/>
      <w:r>
        <w:rPr>
          <w:rFonts w:ascii="Times New Roman" w:eastAsia="Times New Roman" w:hAnsi="Times New Roman" w:cs="Times New Roman"/>
          <w:color w:val="111111"/>
          <w:sz w:val="24"/>
          <w:szCs w:val="24"/>
          <w:highlight w:val="white"/>
        </w:rPr>
        <w:t xml:space="preserve"> stacks and feature stores to serve low latency.</w:t>
      </w:r>
    </w:p>
    <w:p w14:paraId="6ECB41CA" w14:textId="77777777" w:rsidR="00C07E08" w:rsidRDefault="00000000">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In the case of consulting firms (the top strategy practice including McKinsey and Company, Boston Consulting Group (BCG) and Bain and Company), the framework offers direction to:</w:t>
      </w:r>
    </w:p>
    <w:p w14:paraId="06A7CE0F" w14:textId="77777777" w:rsidR="00C07E08" w:rsidRDefault="00000000">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Reduce repetitive analyst workload through automated data-cleaning and anomaly detection.</w:t>
      </w:r>
    </w:p>
    <w:p w14:paraId="6E98C9AC" w14:textId="77777777" w:rsidR="00C07E08"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Enhance tactical forecasting (utilization, burn rate) to enable the engagement managers to act proactively to avoid overruns</w:t>
      </w:r>
      <w:r>
        <w:rPr>
          <w:rFonts w:ascii="Times New Roman" w:eastAsia="Times New Roman" w:hAnsi="Times New Roman" w:cs="Times New Roman"/>
          <w:sz w:val="24"/>
          <w:szCs w:val="24"/>
          <w:highlight w:val="white"/>
        </w:rPr>
        <w:t>.</w:t>
      </w:r>
    </w:p>
    <w:p w14:paraId="767DBC79" w14:textId="77777777" w:rsidR="00C07E08"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highlight w:val="white"/>
        </w:rPr>
        <w:t>Create reduced bias strategic forecasts of partners by harmonizing operation cues and market moods and revenue models.</w:t>
      </w:r>
    </w:p>
    <w:p w14:paraId="724DC990" w14:textId="77777777" w:rsidR="004F466D" w:rsidRDefault="00000000">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Maintain governance, auditability and traceability via the API gateway / token model and isolated microservices.</w:t>
      </w:r>
    </w:p>
    <w:p w14:paraId="50B46ADD" w14:textId="386F3A9E" w:rsidR="00C07E08" w:rsidRDefault="00C07E08" w:rsidP="004F466D">
      <w:pPr>
        <w:ind w:left="720"/>
        <w:jc w:val="both"/>
        <w:rPr>
          <w:rFonts w:ascii="Times New Roman" w:eastAsia="Times New Roman" w:hAnsi="Times New Roman" w:cs="Times New Roman"/>
          <w:sz w:val="24"/>
          <w:szCs w:val="24"/>
          <w:highlight w:val="white"/>
        </w:rPr>
      </w:pPr>
    </w:p>
    <w:p w14:paraId="34747255" w14:textId="77777777" w:rsidR="00C07E08" w:rsidRDefault="00000000">
      <w:pPr>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Hierarchical-Modular Microservices Architecture fills a provable void between the AIML-enhanced BI promise and the reality of how consulting firms operate.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 framework provides low-latency context-sensitive predictions of a model topology that aligns with organizational hierarchy and incorporates modular model clusters with a shared ensemble meta-learner, which is vital to consulting organizations.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The key to achieving its full potential will lie in the consideration of data quality, integration patterns, human factors, and governance: these aspects are recognized as the high-priority research and implementation activities in the literature.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All of these aspects are indicative of a practical roadmap towards changing the internal consultancy processes and making them a quantifiable, AI-based competitive edge.</w:t>
      </w:r>
    </w:p>
    <w:p w14:paraId="7252FCBE" w14:textId="77777777" w:rsidR="00C07E08" w:rsidRDefault="00C07E08">
      <w:pPr>
        <w:rPr>
          <w:rFonts w:ascii="Times New Roman" w:eastAsia="Times New Roman" w:hAnsi="Times New Roman" w:cs="Times New Roman"/>
          <w:color w:val="111111"/>
          <w:sz w:val="24"/>
          <w:szCs w:val="24"/>
          <w:highlight w:val="white"/>
        </w:rPr>
      </w:pPr>
    </w:p>
    <w:p w14:paraId="74B70B5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[1] F. Abuhashish and I. Ismail, "Integration of artificial intelligence and machine learning in business intelligence," 2025.</w:t>
      </w:r>
    </w:p>
    <w:p w14:paraId="2D3C0937" w14:textId="77777777" w:rsidR="00C07E08" w:rsidRDefault="00C07E08">
      <w:pPr>
        <w:rPr>
          <w:rFonts w:ascii="Times New Roman" w:eastAsia="Times New Roman" w:hAnsi="Times New Roman" w:cs="Times New Roman"/>
          <w:sz w:val="24"/>
          <w:szCs w:val="24"/>
        </w:rPr>
      </w:pPr>
    </w:p>
    <w:p w14:paraId="733A4464"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 </w:t>
      </w:r>
      <w:proofErr w:type="spellStart"/>
      <w:r>
        <w:rPr>
          <w:rFonts w:ascii="Times New Roman" w:eastAsia="Times New Roman" w:hAnsi="Times New Roman" w:cs="Times New Roman"/>
          <w:sz w:val="24"/>
          <w:szCs w:val="24"/>
        </w:rPr>
        <w:t>Saidkhujaev</w:t>
      </w:r>
      <w:proofErr w:type="spellEnd"/>
      <w:r>
        <w:rPr>
          <w:rFonts w:ascii="Times New Roman" w:eastAsia="Times New Roman" w:hAnsi="Times New Roman" w:cs="Times New Roman"/>
          <w:sz w:val="24"/>
          <w:szCs w:val="24"/>
        </w:rPr>
        <w:t>, "From dashboards to decision-making agents: Integrating agentic AI into business intelligence systems for enterprise transformation," 2025.</w:t>
      </w:r>
    </w:p>
    <w:p w14:paraId="1D5EA020" w14:textId="77777777" w:rsidR="00C07E08" w:rsidRDefault="00C07E08">
      <w:pPr>
        <w:rPr>
          <w:rFonts w:ascii="Times New Roman" w:eastAsia="Times New Roman" w:hAnsi="Times New Roman" w:cs="Times New Roman"/>
          <w:sz w:val="24"/>
          <w:szCs w:val="24"/>
        </w:rPr>
      </w:pPr>
    </w:p>
    <w:p w14:paraId="52319F66"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 Badmus, S. Rajput, J. B. </w:t>
      </w:r>
      <w:proofErr w:type="spellStart"/>
      <w:r>
        <w:rPr>
          <w:rFonts w:ascii="Times New Roman" w:eastAsia="Times New Roman" w:hAnsi="Times New Roman" w:cs="Times New Roman"/>
          <w:sz w:val="24"/>
          <w:szCs w:val="24"/>
        </w:rPr>
        <w:t>Arogundade</w:t>
      </w:r>
      <w:proofErr w:type="spellEnd"/>
      <w:r>
        <w:rPr>
          <w:rFonts w:ascii="Times New Roman" w:eastAsia="Times New Roman" w:hAnsi="Times New Roman" w:cs="Times New Roman"/>
          <w:sz w:val="24"/>
          <w:szCs w:val="24"/>
        </w:rPr>
        <w:t>, and M. H. Williams, "AI-driven business analytics and decision making," 2024.</w:t>
      </w:r>
    </w:p>
    <w:p w14:paraId="54BCF999" w14:textId="77777777" w:rsidR="00C07E08" w:rsidRDefault="00C07E08">
      <w:pPr>
        <w:rPr>
          <w:rFonts w:ascii="Times New Roman" w:eastAsia="Times New Roman" w:hAnsi="Times New Roman" w:cs="Times New Roman"/>
          <w:sz w:val="24"/>
          <w:szCs w:val="24"/>
        </w:rPr>
      </w:pPr>
    </w:p>
    <w:p w14:paraId="70C051D9"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 V., "Enterprise data-driven decision making: A framework for digital transformation and organizational excellence," International Journal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Multidisciplinary Research, vol. 6, no. 6, 2024.</w:t>
      </w:r>
    </w:p>
    <w:p w14:paraId="1D10E7EC" w14:textId="77777777" w:rsidR="00C07E08" w:rsidRDefault="00C07E08">
      <w:pPr>
        <w:rPr>
          <w:rFonts w:ascii="Times New Roman" w:eastAsia="Times New Roman" w:hAnsi="Times New Roman" w:cs="Times New Roman"/>
          <w:sz w:val="24"/>
          <w:szCs w:val="24"/>
        </w:rPr>
      </w:pPr>
    </w:p>
    <w:p w14:paraId="2C9E06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 A. G. Kesarkar, T. Patel, and P. Deshmukh, "Hybrid intelligence in business analytics: Integrating large language models with traditional predictive analytics," 2025.</w:t>
      </w:r>
    </w:p>
    <w:p w14:paraId="456863B3" w14:textId="77777777" w:rsidR="00C07E08" w:rsidRDefault="00C07E08">
      <w:pPr>
        <w:rPr>
          <w:rFonts w:ascii="Times New Roman" w:eastAsia="Times New Roman" w:hAnsi="Times New Roman" w:cs="Times New Roman"/>
          <w:sz w:val="24"/>
          <w:szCs w:val="24"/>
        </w:rPr>
      </w:pPr>
    </w:p>
    <w:p w14:paraId="50C5B2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 A. Osman, O. O. </w:t>
      </w:r>
      <w:proofErr w:type="spellStart"/>
      <w:r>
        <w:rPr>
          <w:rFonts w:ascii="Times New Roman" w:eastAsia="Times New Roman" w:hAnsi="Times New Roman" w:cs="Times New Roman"/>
          <w:sz w:val="24"/>
          <w:szCs w:val="24"/>
        </w:rPr>
        <w:t>Fowowe</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Agboluaje</w:t>
      </w:r>
      <w:proofErr w:type="spellEnd"/>
      <w:r>
        <w:rPr>
          <w:rFonts w:ascii="Times New Roman" w:eastAsia="Times New Roman" w:hAnsi="Times New Roman" w:cs="Times New Roman"/>
          <w:sz w:val="24"/>
          <w:szCs w:val="24"/>
        </w:rPr>
        <w:t xml:space="preserve">, and P. O. </w:t>
      </w:r>
      <w:proofErr w:type="spellStart"/>
      <w:r>
        <w:rPr>
          <w:rFonts w:ascii="Times New Roman" w:eastAsia="Times New Roman" w:hAnsi="Times New Roman" w:cs="Times New Roman"/>
          <w:sz w:val="24"/>
          <w:szCs w:val="24"/>
        </w:rPr>
        <w:t>Orekha</w:t>
      </w:r>
      <w:proofErr w:type="spellEnd"/>
      <w:r>
        <w:rPr>
          <w:rFonts w:ascii="Times New Roman" w:eastAsia="Times New Roman" w:hAnsi="Times New Roman" w:cs="Times New Roman"/>
          <w:sz w:val="24"/>
          <w:szCs w:val="24"/>
        </w:rPr>
        <w:t>, "Integrating machine learning in business analytics consulting for proactive decision-making and innovation," 2025.</w:t>
      </w:r>
    </w:p>
    <w:p w14:paraId="4B59F43B" w14:textId="77777777" w:rsidR="00C07E08" w:rsidRDefault="00C07E08">
      <w:pPr>
        <w:rPr>
          <w:rFonts w:ascii="Times New Roman" w:eastAsia="Times New Roman" w:hAnsi="Times New Roman" w:cs="Times New Roman"/>
          <w:sz w:val="24"/>
          <w:szCs w:val="24"/>
        </w:rPr>
      </w:pPr>
    </w:p>
    <w:p w14:paraId="54FB5AF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G. Dhanalakshmi, C. Kalyani, and K. Shaik, "Data-driven decision making: The power of business intelligence," 2025.</w:t>
      </w:r>
    </w:p>
    <w:p w14:paraId="49DDA646" w14:textId="77777777" w:rsidR="00C07E08" w:rsidRDefault="00C07E08">
      <w:pPr>
        <w:rPr>
          <w:rFonts w:ascii="Times New Roman" w:eastAsia="Times New Roman" w:hAnsi="Times New Roman" w:cs="Times New Roman"/>
          <w:sz w:val="24"/>
          <w:szCs w:val="24"/>
        </w:rPr>
      </w:pPr>
    </w:p>
    <w:p w14:paraId="57409E86"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 S. R. Keshireddy, "Bridging the gap: The synergy of AI, data integration, and data science in driving innovation," 2024.</w:t>
      </w:r>
    </w:p>
    <w:p w14:paraId="650E6560" w14:textId="77777777" w:rsidR="00C07E08" w:rsidRDefault="00C07E08">
      <w:pPr>
        <w:rPr>
          <w:rFonts w:ascii="Times New Roman" w:eastAsia="Times New Roman" w:hAnsi="Times New Roman" w:cs="Times New Roman"/>
          <w:sz w:val="24"/>
          <w:szCs w:val="24"/>
        </w:rPr>
      </w:pPr>
    </w:p>
    <w:p w14:paraId="745406E3"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D. Lavanya, D. </w:t>
      </w:r>
      <w:proofErr w:type="spellStart"/>
      <w:r>
        <w:rPr>
          <w:rFonts w:ascii="Times New Roman" w:eastAsia="Times New Roman" w:hAnsi="Times New Roman" w:cs="Times New Roman"/>
          <w:sz w:val="24"/>
          <w:szCs w:val="24"/>
        </w:rPr>
        <w:t>Marupaka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Rangineni</w:t>
      </w:r>
      <w:proofErr w:type="spellEnd"/>
      <w:r>
        <w:rPr>
          <w:rFonts w:ascii="Times New Roman" w:eastAsia="Times New Roman" w:hAnsi="Times New Roman" w:cs="Times New Roman"/>
          <w:sz w:val="24"/>
          <w:szCs w:val="24"/>
        </w:rPr>
        <w:t>, S. Agarwal, L. T. Reddi, and T. Shynu, "Evolving business intelligence on data integration, ETL procedures, and the power of predictive analytics," 2023.</w:t>
      </w:r>
    </w:p>
    <w:p w14:paraId="56992BB3" w14:textId="77777777" w:rsidR="00C07E08" w:rsidRDefault="00C07E08">
      <w:pPr>
        <w:rPr>
          <w:rFonts w:ascii="Times New Roman" w:eastAsia="Times New Roman" w:hAnsi="Times New Roman" w:cs="Times New Roman"/>
          <w:sz w:val="24"/>
          <w:szCs w:val="24"/>
        </w:rPr>
      </w:pPr>
    </w:p>
    <w:p w14:paraId="4D2E47F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O. Alapini, "Implementing AI-driven performance monitoring for enhanced decision-making," 2025.</w:t>
      </w:r>
    </w:p>
    <w:p w14:paraId="038BDC0D" w14:textId="77777777" w:rsidR="00C07E08" w:rsidRDefault="00C07E08">
      <w:pPr>
        <w:rPr>
          <w:rFonts w:ascii="Times New Roman" w:eastAsia="Times New Roman" w:hAnsi="Times New Roman" w:cs="Times New Roman"/>
          <w:sz w:val="24"/>
          <w:szCs w:val="24"/>
        </w:rPr>
      </w:pPr>
    </w:p>
    <w:p w14:paraId="278581D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A. </w:t>
      </w:r>
      <w:proofErr w:type="spellStart"/>
      <w:r>
        <w:rPr>
          <w:rFonts w:ascii="Times New Roman" w:eastAsia="Times New Roman" w:hAnsi="Times New Roman" w:cs="Times New Roman"/>
          <w:sz w:val="24"/>
          <w:szCs w:val="24"/>
        </w:rPr>
        <w:t>Okuboye</w:t>
      </w:r>
      <w:proofErr w:type="spellEnd"/>
      <w:r>
        <w:rPr>
          <w:rFonts w:ascii="Times New Roman" w:eastAsia="Times New Roman" w:hAnsi="Times New Roman" w:cs="Times New Roman"/>
          <w:sz w:val="24"/>
          <w:szCs w:val="24"/>
        </w:rPr>
        <w:t xml:space="preserve">, "Integrating AI into global business process management: Implications for workforce roles and operational efficiency," International Journal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Multidisciplinary Research, vol. 2, no. 1, pp. 25-34, 2021,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10.54660/ijmfd.2021.2.1.25-34.</w:t>
      </w:r>
    </w:p>
    <w:p w14:paraId="47D3DC64" w14:textId="77777777" w:rsidR="00C07E08" w:rsidRDefault="00C07E08">
      <w:pPr>
        <w:rPr>
          <w:rFonts w:ascii="Times New Roman" w:eastAsia="Times New Roman" w:hAnsi="Times New Roman" w:cs="Times New Roman"/>
          <w:sz w:val="24"/>
          <w:szCs w:val="24"/>
        </w:rPr>
      </w:pPr>
    </w:p>
    <w:p w14:paraId="25BAD1C1"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M. U. Tariq, "Integration of artificial intelligence and machine learning in business intelligence," 2025.</w:t>
      </w:r>
    </w:p>
    <w:p w14:paraId="0B0DA266" w14:textId="77777777" w:rsidR="00C07E08" w:rsidRDefault="00C07E08">
      <w:pPr>
        <w:rPr>
          <w:rFonts w:ascii="Times New Roman" w:eastAsia="Times New Roman" w:hAnsi="Times New Roman" w:cs="Times New Roman"/>
          <w:sz w:val="24"/>
          <w:szCs w:val="24"/>
        </w:rPr>
      </w:pPr>
    </w:p>
    <w:p w14:paraId="251BC8E5"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M. Sharma, P. Kumar, and S. </w:t>
      </w:r>
      <w:proofErr w:type="spellStart"/>
      <w:r>
        <w:rPr>
          <w:rFonts w:ascii="Times New Roman" w:eastAsia="Times New Roman" w:hAnsi="Times New Roman" w:cs="Times New Roman"/>
          <w:sz w:val="24"/>
          <w:szCs w:val="24"/>
        </w:rPr>
        <w:t>Gundewar</w:t>
      </w:r>
      <w:proofErr w:type="spellEnd"/>
      <w:r>
        <w:rPr>
          <w:rFonts w:ascii="Times New Roman" w:eastAsia="Times New Roman" w:hAnsi="Times New Roman" w:cs="Times New Roman"/>
          <w:sz w:val="24"/>
          <w:szCs w:val="24"/>
        </w:rPr>
        <w:t>, "Leveraging AI and machine learning for predictive analytics in business intelligence," 2024.</w:t>
      </w:r>
    </w:p>
    <w:p w14:paraId="35F6C89E" w14:textId="77777777" w:rsidR="00C07E08" w:rsidRDefault="00C07E08">
      <w:pPr>
        <w:rPr>
          <w:rFonts w:ascii="Times New Roman" w:eastAsia="Times New Roman" w:hAnsi="Times New Roman" w:cs="Times New Roman"/>
          <w:sz w:val="24"/>
          <w:szCs w:val="24"/>
        </w:rPr>
      </w:pPr>
    </w:p>
    <w:p w14:paraId="577B1D8E"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 P. S. A. Malla, "Data-driven business decision making: Leveraging predictive analytics and BI dashboards," 2025.</w:t>
      </w:r>
    </w:p>
    <w:p w14:paraId="2929A75B" w14:textId="77777777" w:rsidR="00C07E08" w:rsidRDefault="00C07E08">
      <w:pPr>
        <w:rPr>
          <w:rFonts w:ascii="Times New Roman" w:eastAsia="Times New Roman" w:hAnsi="Times New Roman" w:cs="Times New Roman"/>
          <w:sz w:val="24"/>
          <w:szCs w:val="24"/>
        </w:rPr>
      </w:pPr>
    </w:p>
    <w:p w14:paraId="3E060E93"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 N. Goswami, "Integrating AI into enterprise data warehouses for enhanced operational intelligence and decision-making," 2025.</w:t>
      </w:r>
    </w:p>
    <w:p w14:paraId="0969DFF1" w14:textId="77777777" w:rsidR="00C07E08" w:rsidRDefault="00C07E08">
      <w:pPr>
        <w:rPr>
          <w:rFonts w:ascii="Times New Roman" w:eastAsia="Times New Roman" w:hAnsi="Times New Roman" w:cs="Times New Roman"/>
          <w:sz w:val="24"/>
          <w:szCs w:val="24"/>
        </w:rPr>
      </w:pPr>
    </w:p>
    <w:p w14:paraId="3DC0DF6B"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 N. Rodrigues, "Predictive analytics and artificial intelligence: Advancing business analytics in the medical devices industry," 2025.</w:t>
      </w:r>
    </w:p>
    <w:p w14:paraId="2B47CE8F" w14:textId="77777777" w:rsidR="00C07E08" w:rsidRDefault="00C07E08">
      <w:pPr>
        <w:rPr>
          <w:rFonts w:ascii="Times New Roman" w:eastAsia="Times New Roman" w:hAnsi="Times New Roman" w:cs="Times New Roman"/>
          <w:sz w:val="24"/>
          <w:szCs w:val="24"/>
        </w:rPr>
      </w:pPr>
    </w:p>
    <w:p w14:paraId="7CCC10BF"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[17] McKinsey &amp; Company. [Online]. Available: https://www.mckinsey.com/capabilities/quantumblack/how-we-help-clients</w:t>
      </w:r>
    </w:p>
    <w:p w14:paraId="3BAB768F" w14:textId="77777777" w:rsidR="00C07E08" w:rsidRDefault="00C07E08">
      <w:pPr>
        <w:rPr>
          <w:rFonts w:ascii="Times New Roman" w:eastAsia="Times New Roman" w:hAnsi="Times New Roman" w:cs="Times New Roman"/>
          <w:sz w:val="24"/>
          <w:szCs w:val="24"/>
        </w:rPr>
      </w:pPr>
    </w:p>
    <w:p w14:paraId="3BF01980"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 Rocket Blocks. [Online]. Available: https://www.rocketblocks.me/blog/bcg-gamma-overview.php</w:t>
      </w:r>
    </w:p>
    <w:p w14:paraId="050F1D45" w14:textId="77777777" w:rsidR="00C07E08" w:rsidRDefault="00C07E08">
      <w:pPr>
        <w:rPr>
          <w:rFonts w:ascii="Times New Roman" w:eastAsia="Times New Roman" w:hAnsi="Times New Roman" w:cs="Times New Roman"/>
          <w:sz w:val="24"/>
          <w:szCs w:val="24"/>
        </w:rPr>
      </w:pPr>
    </w:p>
    <w:p w14:paraId="2FE2846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[19] Bain &amp; Company. [Online]. Available: https://www.bain.com/vector-digital/</w:t>
      </w:r>
    </w:p>
    <w:p w14:paraId="1FFE674B" w14:textId="77777777" w:rsidR="00C07E08" w:rsidRDefault="00C07E08">
      <w:pPr>
        <w:rPr>
          <w:rFonts w:ascii="Times New Roman" w:eastAsia="Times New Roman" w:hAnsi="Times New Roman" w:cs="Times New Roman"/>
          <w:sz w:val="24"/>
          <w:szCs w:val="24"/>
        </w:rPr>
      </w:pPr>
    </w:p>
    <w:p w14:paraId="7DCD7618"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 Accenture, "Accenture launches Applied Intelligence platform to help clients use artificial intelligence without need for deep data science expertise," Newsroom. [Online]. Available: https://newsroom.accenture.com/news/2019/accenture-launches-applied-intelligence-platform-to-help-clients-use-artificial-intelligence-without-need-for-deep-data-science-expertise</w:t>
      </w:r>
    </w:p>
    <w:p w14:paraId="4E386C5B" w14:textId="77777777" w:rsidR="00C07E08" w:rsidRDefault="00C07E08">
      <w:pPr>
        <w:rPr>
          <w:rFonts w:ascii="Times New Roman" w:eastAsia="Times New Roman" w:hAnsi="Times New Roman" w:cs="Times New Roman"/>
          <w:sz w:val="24"/>
          <w:szCs w:val="24"/>
        </w:rPr>
      </w:pPr>
    </w:p>
    <w:p w14:paraId="65A1BFCA"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 Deloitte. "Audit Technology Solutions." [Online]. Available: https://www.deloitte.com/us/en/services/audit-assurance/about/audit-technology-solutions.html</w:t>
      </w:r>
    </w:p>
    <w:p w14:paraId="09479555" w14:textId="77777777" w:rsidR="00C07E08" w:rsidRDefault="00C07E08">
      <w:pPr>
        <w:rPr>
          <w:rFonts w:ascii="Times New Roman" w:eastAsia="Times New Roman" w:hAnsi="Times New Roman" w:cs="Times New Roman"/>
          <w:sz w:val="24"/>
          <w:szCs w:val="24"/>
        </w:rPr>
      </w:pPr>
    </w:p>
    <w:p w14:paraId="1A389567"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[22] KPMG. "KPMG Lighthouse." [Online]. Available: https://kpmg.com/ae/en/services/advisory/digital-and-innovation/kpmg-lighthouse.html</w:t>
      </w:r>
    </w:p>
    <w:p w14:paraId="07C85AC0" w14:textId="77777777" w:rsidR="00C07E08" w:rsidRDefault="00C07E08">
      <w:pPr>
        <w:rPr>
          <w:rFonts w:ascii="Times New Roman" w:eastAsia="Times New Roman" w:hAnsi="Times New Roman" w:cs="Times New Roman"/>
          <w:sz w:val="24"/>
          <w:szCs w:val="24"/>
        </w:rPr>
      </w:pPr>
    </w:p>
    <w:p w14:paraId="2C4E326C"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 Fortune Business Insights, "Management consulting services market size, share," 2024. [Online]. Available: https://www.fortunebusinessinsights.com/management-consulting-services-market-114734</w:t>
      </w:r>
    </w:p>
    <w:p w14:paraId="4EF11554" w14:textId="77777777" w:rsidR="00C07E08" w:rsidRDefault="00C07E08">
      <w:pPr>
        <w:rPr>
          <w:rFonts w:ascii="Times New Roman" w:eastAsia="Times New Roman" w:hAnsi="Times New Roman" w:cs="Times New Roman"/>
          <w:sz w:val="24"/>
          <w:szCs w:val="24"/>
        </w:rPr>
      </w:pPr>
    </w:p>
    <w:p w14:paraId="11CC04EB"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 Custom Market Insights, "Global management consulting market size, share 2034," 2026. [Online]. Available:  https://www.custommarketinsights.com/report/management-consulting-market/</w:t>
      </w:r>
    </w:p>
    <w:p w14:paraId="5AE57732" w14:textId="77777777" w:rsidR="00C07E08" w:rsidRDefault="00C07E08">
      <w:pPr>
        <w:rPr>
          <w:rFonts w:ascii="Times New Roman" w:eastAsia="Times New Roman" w:hAnsi="Times New Roman" w:cs="Times New Roman"/>
          <w:sz w:val="24"/>
          <w:szCs w:val="24"/>
        </w:rPr>
      </w:pPr>
    </w:p>
    <w:p w14:paraId="301AB279" w14:textId="7777777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roofErr w:type="spellStart"/>
      <w:r>
        <w:rPr>
          <w:rFonts w:ascii="Times New Roman" w:eastAsia="Times New Roman" w:hAnsi="Times New Roman" w:cs="Times New Roman"/>
          <w:sz w:val="24"/>
          <w:szCs w:val="24"/>
        </w:rPr>
        <w:t>MConsulting</w:t>
      </w:r>
      <w:proofErr w:type="spellEnd"/>
      <w:r>
        <w:rPr>
          <w:rFonts w:ascii="Times New Roman" w:eastAsia="Times New Roman" w:hAnsi="Times New Roman" w:cs="Times New Roman"/>
          <w:sz w:val="24"/>
          <w:szCs w:val="24"/>
        </w:rPr>
        <w:t xml:space="preserve"> Prep, "What is a consulting firm?" Accessed: Mar. 02, 2026. </w:t>
      </w:r>
    </w:p>
    <w:p w14:paraId="289177C9" w14:textId="4CB18609"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Available: </w:t>
      </w:r>
      <w:hyperlink r:id="rId12">
        <w:r w:rsidR="00C07E08">
          <w:rPr>
            <w:rFonts w:ascii="Times New Roman" w:eastAsia="Times New Roman" w:hAnsi="Times New Roman" w:cs="Times New Roman"/>
            <w:color w:val="1155CC"/>
            <w:sz w:val="24"/>
            <w:szCs w:val="24"/>
            <w:u w:val="single"/>
          </w:rPr>
          <w:t>https://mconsultingprep.com/what-is-a-consulting-firm</w:t>
        </w:r>
      </w:hyperlink>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[26] C. Willmott and K. Matsuura, "Advantages of the mean absolute error (MAE) over the root mean square error (RMSE) in assessing average model performance," Climate Research, vol. 30, no. 1, pp. 79–82, 2005.</w:t>
      </w:r>
    </w:p>
    <w:p w14:paraId="6FAD107D" w14:textId="77777777" w:rsidR="00C07E08" w:rsidRDefault="00C07E08">
      <w:pPr>
        <w:rPr>
          <w:rFonts w:ascii="Times New Roman" w:eastAsia="Times New Roman" w:hAnsi="Times New Roman" w:cs="Times New Roman"/>
          <w:sz w:val="24"/>
          <w:szCs w:val="24"/>
        </w:rPr>
      </w:pPr>
    </w:p>
    <w:p w14:paraId="4EB8FEEF" w14:textId="267438DB"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D. M. Powers, "Evaluation: from precision, recall and F-measure to ROC, </w:t>
      </w:r>
      <w:proofErr w:type="spellStart"/>
      <w:r>
        <w:rPr>
          <w:rFonts w:ascii="Times New Roman" w:eastAsia="Times New Roman" w:hAnsi="Times New Roman" w:cs="Times New Roman"/>
          <w:sz w:val="24"/>
          <w:szCs w:val="24"/>
        </w:rPr>
        <w:t>informedness</w:t>
      </w:r>
      <w:proofErr w:type="spellEnd"/>
      <w:r>
        <w:rPr>
          <w:rFonts w:ascii="Times New Roman" w:eastAsia="Times New Roman" w:hAnsi="Times New Roman" w:cs="Times New Roman"/>
          <w:sz w:val="24"/>
          <w:szCs w:val="24"/>
        </w:rPr>
        <w:t>, markedness &amp; correlation," Journal of Machine Learning Technologies, vol. 2, no. 1, pp. 37–63, 2011.</w:t>
      </w:r>
    </w:p>
    <w:p w14:paraId="2A18E6ED" w14:textId="77777777" w:rsidR="00C07E08" w:rsidRDefault="00C07E08">
      <w:pPr>
        <w:rPr>
          <w:rFonts w:ascii="Times New Roman" w:eastAsia="Times New Roman" w:hAnsi="Times New Roman" w:cs="Times New Roman"/>
          <w:sz w:val="24"/>
          <w:szCs w:val="24"/>
        </w:rPr>
      </w:pPr>
    </w:p>
    <w:p w14:paraId="2E2B3E91" w14:textId="0F7E9CA7"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A. Gelman, J. B. Carlin, H. S. Stern, and D. B. Rubin, Bayesian Data Analysis. 3rd </w:t>
      </w:r>
      <w:proofErr w:type="spellStart"/>
      <w:r>
        <w:rPr>
          <w:rFonts w:ascii="Times New Roman" w:eastAsia="Times New Roman" w:hAnsi="Times New Roman" w:cs="Times New Roman"/>
          <w:sz w:val="24"/>
          <w:szCs w:val="24"/>
        </w:rPr>
        <w:t>edn</w:t>
      </w:r>
      <w:proofErr w:type="spellEnd"/>
      <w:r>
        <w:rPr>
          <w:rFonts w:ascii="Times New Roman" w:eastAsia="Times New Roman" w:hAnsi="Times New Roman" w:cs="Times New Roman"/>
          <w:sz w:val="24"/>
          <w:szCs w:val="24"/>
        </w:rPr>
        <w:t>. Boca Raton, FL: CRC Press, 2013.</w:t>
      </w:r>
    </w:p>
    <w:p w14:paraId="4C0C048F" w14:textId="77777777" w:rsidR="00C07E08" w:rsidRDefault="00C07E08">
      <w:pPr>
        <w:rPr>
          <w:rFonts w:ascii="Times New Roman" w:eastAsia="Times New Roman" w:hAnsi="Times New Roman" w:cs="Times New Roman"/>
          <w:sz w:val="24"/>
          <w:szCs w:val="24"/>
        </w:rPr>
      </w:pPr>
    </w:p>
    <w:p w14:paraId="0B9514C5" w14:textId="7C12E150"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S. </w:t>
      </w:r>
      <w:proofErr w:type="spellStart"/>
      <w:r>
        <w:rPr>
          <w:rFonts w:ascii="Times New Roman" w:eastAsia="Times New Roman" w:hAnsi="Times New Roman" w:cs="Times New Roman"/>
          <w:sz w:val="24"/>
          <w:szCs w:val="24"/>
        </w:rPr>
        <w:t>Makridakis</w:t>
      </w:r>
      <w:proofErr w:type="spellEnd"/>
      <w:r>
        <w:rPr>
          <w:rFonts w:ascii="Times New Roman" w:eastAsia="Times New Roman" w:hAnsi="Times New Roman" w:cs="Times New Roman"/>
          <w:sz w:val="24"/>
          <w:szCs w:val="24"/>
        </w:rPr>
        <w:t xml:space="preserve">, E. Spiliotis, and V. </w:t>
      </w:r>
      <w:proofErr w:type="spellStart"/>
      <w:r>
        <w:rPr>
          <w:rFonts w:ascii="Times New Roman" w:eastAsia="Times New Roman" w:hAnsi="Times New Roman" w:cs="Times New Roman"/>
          <w:sz w:val="24"/>
          <w:szCs w:val="24"/>
        </w:rPr>
        <w:t>Assimakopoulos</w:t>
      </w:r>
      <w:proofErr w:type="spellEnd"/>
      <w:r>
        <w:rPr>
          <w:rFonts w:ascii="Times New Roman" w:eastAsia="Times New Roman" w:hAnsi="Times New Roman" w:cs="Times New Roman"/>
          <w:sz w:val="24"/>
          <w:szCs w:val="24"/>
        </w:rPr>
        <w:t xml:space="preserve">, "Statistical and machine learning forecasting methods: Concerns and ways forward,"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vol. 13, no. 3, p. e0194889, Mar. 2018.</w:t>
      </w:r>
    </w:p>
    <w:p w14:paraId="714A9158" w14:textId="77777777" w:rsidR="00C07E08" w:rsidRDefault="00C07E08">
      <w:pPr>
        <w:rPr>
          <w:rFonts w:ascii="Times New Roman" w:eastAsia="Times New Roman" w:hAnsi="Times New Roman" w:cs="Times New Roman"/>
          <w:sz w:val="24"/>
          <w:szCs w:val="24"/>
        </w:rPr>
      </w:pPr>
    </w:p>
    <w:p w14:paraId="0660F1F6" w14:textId="17AB0C72"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 A. V. Oppenheim and R. W. Schafer, Discrete-Time Signal Processing, 3rd ed. Hoboken, NJ: Pearson, 2009.</w:t>
      </w:r>
    </w:p>
    <w:p w14:paraId="502F0BA2" w14:textId="77777777" w:rsidR="00C07E08" w:rsidRDefault="00C07E08">
      <w:pPr>
        <w:rPr>
          <w:rFonts w:ascii="Times New Roman" w:eastAsia="Times New Roman" w:hAnsi="Times New Roman" w:cs="Times New Roman"/>
          <w:sz w:val="24"/>
          <w:szCs w:val="24"/>
        </w:rPr>
      </w:pPr>
    </w:p>
    <w:p w14:paraId="632CF009" w14:textId="1D3D2558" w:rsidR="00C07E0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 D. H. Wolpert, "Stacked generalization," Neural Networks, vol. 5, no. 2, pp. 241–259, 1992.</w:t>
      </w:r>
    </w:p>
    <w:p w14:paraId="4E016F8C" w14:textId="77777777" w:rsidR="00C07E08" w:rsidRDefault="00C07E08">
      <w:pPr>
        <w:rPr>
          <w:rFonts w:ascii="Times New Roman" w:eastAsia="Times New Roman" w:hAnsi="Times New Roman" w:cs="Times New Roman"/>
          <w:sz w:val="24"/>
          <w:szCs w:val="24"/>
        </w:rPr>
      </w:pPr>
    </w:p>
    <w:p w14:paraId="28212561" w14:textId="77777777" w:rsidR="00C07E08" w:rsidRDefault="00C07E08">
      <w:pPr>
        <w:rPr>
          <w:rFonts w:ascii="Times New Roman" w:eastAsia="Times New Roman" w:hAnsi="Times New Roman" w:cs="Times New Roman"/>
        </w:rPr>
      </w:pPr>
    </w:p>
    <w:p w14:paraId="1AA3B3B6" w14:textId="77777777" w:rsidR="00C07E08" w:rsidRDefault="00C07E08"/>
    <w:p w14:paraId="15320CCF" w14:textId="77777777" w:rsidR="00C07E08" w:rsidRDefault="00C07E08"/>
    <w:p w14:paraId="3C2223D0" w14:textId="77777777" w:rsidR="00C07E08" w:rsidRDefault="00C07E08"/>
    <w:p w14:paraId="04C4A866" w14:textId="77777777" w:rsidR="00C07E08" w:rsidRDefault="00C07E08"/>
    <w:p w14:paraId="077D0FA0" w14:textId="77777777" w:rsidR="00C07E08" w:rsidRDefault="00C07E08">
      <w:pPr>
        <w:rPr>
          <w:rFonts w:ascii="Times New Roman" w:eastAsia="Times New Roman" w:hAnsi="Times New Roman" w:cs="Times New Roman"/>
          <w:sz w:val="24"/>
          <w:szCs w:val="24"/>
        </w:rPr>
      </w:pPr>
    </w:p>
    <w:p w14:paraId="63CD13F0" w14:textId="77777777" w:rsidR="00C07E08" w:rsidRDefault="00C07E08"/>
    <w:sectPr w:rsidR="00C07E08">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53E01" w14:textId="77777777" w:rsidR="006303A1" w:rsidRDefault="006303A1">
      <w:pPr>
        <w:spacing w:line="240" w:lineRule="auto"/>
      </w:pPr>
      <w:r>
        <w:separator/>
      </w:r>
    </w:p>
  </w:endnote>
  <w:endnote w:type="continuationSeparator" w:id="0">
    <w:p w14:paraId="3051D158" w14:textId="77777777" w:rsidR="006303A1" w:rsidRDefault="006303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3A37C114-7D8A-488E-A2C8-ACC222A92EF4}"/>
  </w:font>
  <w:font w:name="Cambria Math">
    <w:panose1 w:val="02040503050406030204"/>
    <w:charset w:val="00"/>
    <w:family w:val="roman"/>
    <w:pitch w:val="variable"/>
    <w:sig w:usb0="E00006FF" w:usb1="420024FF" w:usb2="02000000" w:usb3="00000000" w:csb0="0000019F" w:csb1="00000000"/>
    <w:embedRegular r:id="rId2" w:fontKey="{A43735EB-D043-4233-B121-4027B9D99C05}"/>
    <w:embedItalic r:id="rId3" w:fontKey="{46EC3BCD-DB27-446A-B6FA-9A4027AD52FF}"/>
  </w:font>
  <w:font w:name="Roboto">
    <w:charset w:val="00"/>
    <w:family w:val="auto"/>
    <w:pitch w:val="variable"/>
    <w:sig w:usb0="E0000AFF" w:usb1="5000217F" w:usb2="00000021" w:usb3="00000000" w:csb0="0000019F" w:csb1="00000000"/>
    <w:embedRegular r:id="rId4" w:fontKey="{5AE06064-1F0D-4556-8074-CEA02AF276ED}"/>
  </w:font>
  <w:font w:name="Calibri">
    <w:panose1 w:val="020F0502020204030204"/>
    <w:charset w:val="00"/>
    <w:family w:val="swiss"/>
    <w:pitch w:val="variable"/>
    <w:sig w:usb0="E4002EFF" w:usb1="C200247B" w:usb2="00000009" w:usb3="00000000" w:csb0="000001FF" w:csb1="00000000"/>
    <w:embedRegular r:id="rId5" w:fontKey="{7EDEDEF1-2F8A-4E10-B3F5-FC429B127615}"/>
  </w:font>
  <w:font w:name="Cambria">
    <w:panose1 w:val="02040503050406030204"/>
    <w:charset w:val="00"/>
    <w:family w:val="roman"/>
    <w:pitch w:val="variable"/>
    <w:sig w:usb0="E00006FF" w:usb1="420024FF" w:usb2="02000000" w:usb3="00000000" w:csb0="0000019F" w:csb1="00000000"/>
    <w:embedRegular r:id="rId6" w:fontKey="{BAC049EA-3394-48DE-8514-808B786902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63AD" w14:textId="77777777" w:rsidR="00C07E08" w:rsidRDefault="00C07E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FF230" w14:textId="77777777" w:rsidR="006303A1" w:rsidRDefault="006303A1">
      <w:pPr>
        <w:spacing w:line="240" w:lineRule="auto"/>
      </w:pPr>
      <w:r>
        <w:separator/>
      </w:r>
    </w:p>
  </w:footnote>
  <w:footnote w:type="continuationSeparator" w:id="0">
    <w:p w14:paraId="42338C40" w14:textId="77777777" w:rsidR="006303A1" w:rsidRDefault="006303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164D" w14:textId="77777777" w:rsidR="00C07E08" w:rsidRDefault="00C07E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4155C"/>
    <w:multiLevelType w:val="multilevel"/>
    <w:tmpl w:val="34AE7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5F502F"/>
    <w:multiLevelType w:val="multilevel"/>
    <w:tmpl w:val="08C4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445452"/>
    <w:multiLevelType w:val="multilevel"/>
    <w:tmpl w:val="3792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7B7ED9"/>
    <w:multiLevelType w:val="hybridMultilevel"/>
    <w:tmpl w:val="F9E0C658"/>
    <w:lvl w:ilvl="0" w:tplc="79F416F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D375E0"/>
    <w:multiLevelType w:val="multilevel"/>
    <w:tmpl w:val="C9509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990740">
    <w:abstractNumId w:val="1"/>
  </w:num>
  <w:num w:numId="2" w16cid:durableId="467673998">
    <w:abstractNumId w:val="4"/>
  </w:num>
  <w:num w:numId="3" w16cid:durableId="1062875361">
    <w:abstractNumId w:val="0"/>
  </w:num>
  <w:num w:numId="4" w16cid:durableId="15422664">
    <w:abstractNumId w:val="2"/>
  </w:num>
  <w:num w:numId="5" w16cid:durableId="2070566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E08"/>
    <w:rsid w:val="0000011E"/>
    <w:rsid w:val="0001745B"/>
    <w:rsid w:val="00020D61"/>
    <w:rsid w:val="000D630B"/>
    <w:rsid w:val="000E6616"/>
    <w:rsid w:val="0010786F"/>
    <w:rsid w:val="00217D17"/>
    <w:rsid w:val="0029574B"/>
    <w:rsid w:val="0049470A"/>
    <w:rsid w:val="004F466D"/>
    <w:rsid w:val="005330A6"/>
    <w:rsid w:val="0055090B"/>
    <w:rsid w:val="00612067"/>
    <w:rsid w:val="006303A1"/>
    <w:rsid w:val="007E17CA"/>
    <w:rsid w:val="008944D6"/>
    <w:rsid w:val="009961F3"/>
    <w:rsid w:val="009A2838"/>
    <w:rsid w:val="00A358ED"/>
    <w:rsid w:val="00AC1FA9"/>
    <w:rsid w:val="00B336E0"/>
    <w:rsid w:val="00B37A93"/>
    <w:rsid w:val="00C07E08"/>
    <w:rsid w:val="00C74638"/>
    <w:rsid w:val="00CE46A0"/>
    <w:rsid w:val="00DC6D3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2E66"/>
  <w15:docId w15:val="{27B23150-B282-46B8-814F-7CEA7B0B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4F466D"/>
    <w:pPr>
      <w:ind w:left="720"/>
      <w:contextualSpacing/>
    </w:pPr>
    <w:rPr>
      <w:rFonts w:cs="Mangal"/>
      <w:szCs w:val="20"/>
    </w:rPr>
  </w:style>
  <w:style w:type="table" w:styleId="TableGrid">
    <w:name w:val="Table Grid"/>
    <w:basedOn w:val="TableNormal"/>
    <w:uiPriority w:val="39"/>
    <w:rsid w:val="004F46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46A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consultingprep.com/what-is-a-consulting-fir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A03FC-832E-46B0-A823-4DC2F375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21</Pages>
  <Words>5732</Words>
  <Characters>32679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RAJASI DESHPANDE</cp:lastModifiedBy>
  <cp:revision>25</cp:revision>
  <dcterms:created xsi:type="dcterms:W3CDTF">2026-03-03T07:40:00Z</dcterms:created>
  <dcterms:modified xsi:type="dcterms:W3CDTF">2026-03-03T15:37:00Z</dcterms:modified>
</cp:coreProperties>
</file>