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5E34" w14:textId="77777777" w:rsidR="00BD50AB" w:rsidRPr="00BD50AB" w:rsidRDefault="00BD50AB" w:rsidP="00BD50AB">
      <w:pPr>
        <w:spacing w:line="360" w:lineRule="auto"/>
        <w:jc w:val="both"/>
        <w:rPr>
          <w:rFonts w:ascii="Times New Roman" w:hAnsi="Times New Roman" w:cs="Times New Roman"/>
          <w:sz w:val="24"/>
          <w:szCs w:val="24"/>
        </w:rPr>
      </w:pPr>
    </w:p>
    <w:p w14:paraId="132A5BC0" w14:textId="77777777" w:rsidR="00BD50AB" w:rsidRPr="00BD50AB" w:rsidRDefault="00BD50AB" w:rsidP="00BD50AB">
      <w:pPr>
        <w:spacing w:line="360" w:lineRule="auto"/>
        <w:jc w:val="both"/>
        <w:rPr>
          <w:rFonts w:ascii="Times New Roman" w:hAnsi="Times New Roman" w:cs="Times New Roman"/>
          <w:sz w:val="24"/>
          <w:szCs w:val="24"/>
        </w:rPr>
      </w:pPr>
    </w:p>
    <w:p w14:paraId="1C62C2DF" w14:textId="627BD3EB" w:rsidR="00846FA5" w:rsidRPr="00BD50AB" w:rsidRDefault="006F2839" w:rsidP="00BD50AB">
      <w:pPr>
        <w:spacing w:line="360" w:lineRule="auto"/>
        <w:jc w:val="center"/>
        <w:rPr>
          <w:rFonts w:ascii="Times New Roman" w:hAnsi="Times New Roman" w:cs="Times New Roman"/>
          <w:b/>
          <w:bCs/>
          <w:sz w:val="24"/>
          <w:szCs w:val="24"/>
        </w:rPr>
      </w:pPr>
      <w:r w:rsidRPr="00BD50AB">
        <w:rPr>
          <w:rFonts w:ascii="Times New Roman" w:hAnsi="Times New Roman" w:cs="Times New Roman"/>
          <w:b/>
          <w:bCs/>
          <w:sz w:val="24"/>
          <w:szCs w:val="24"/>
        </w:rPr>
        <w:t xml:space="preserve">A STUDY ON </w:t>
      </w:r>
      <w:r w:rsidRPr="006F2839">
        <w:rPr>
          <w:rFonts w:ascii="Times New Roman" w:hAnsi="Times New Roman" w:cs="Times New Roman"/>
          <w:b/>
          <w:bCs/>
          <w:sz w:val="24"/>
          <w:szCs w:val="24"/>
        </w:rPr>
        <w:t>OCCUPATIONAL STRESS IN THE SEAFARING INDUSTRY</w:t>
      </w:r>
    </w:p>
    <w:p w14:paraId="48D2EEA3" w14:textId="77777777" w:rsidR="00846FA5" w:rsidRPr="00BD50AB" w:rsidRDefault="00846FA5" w:rsidP="00BD50AB">
      <w:pPr>
        <w:spacing w:line="360" w:lineRule="auto"/>
        <w:jc w:val="center"/>
        <w:rPr>
          <w:rFonts w:ascii="Times New Roman" w:hAnsi="Times New Roman" w:cs="Times New Roman"/>
          <w:b/>
          <w:bCs/>
          <w:sz w:val="24"/>
          <w:szCs w:val="24"/>
        </w:rPr>
      </w:pPr>
    </w:p>
    <w:p w14:paraId="16835A51" w14:textId="5264733F" w:rsidR="00BD50AB" w:rsidRPr="00BD50AB" w:rsidRDefault="00BD50AB" w:rsidP="00BD50AB">
      <w:pPr>
        <w:spacing w:line="360" w:lineRule="auto"/>
        <w:jc w:val="center"/>
        <w:rPr>
          <w:rFonts w:ascii="Times New Roman" w:hAnsi="Times New Roman" w:cs="Times New Roman"/>
          <w:color w:val="000000" w:themeColor="text1"/>
          <w:sz w:val="24"/>
          <w:szCs w:val="24"/>
        </w:rPr>
      </w:pPr>
      <w:r w:rsidRPr="00BD50AB">
        <w:rPr>
          <w:rFonts w:ascii="Times New Roman" w:hAnsi="Times New Roman" w:cs="Times New Roman"/>
          <w:color w:val="000000" w:themeColor="text1"/>
          <w:sz w:val="24"/>
          <w:szCs w:val="24"/>
        </w:rPr>
        <w:t>Dr. Anthony P. D’Souza</w:t>
      </w:r>
    </w:p>
    <w:p w14:paraId="6E36C6FA" w14:textId="71FCA10B" w:rsidR="00BD50AB" w:rsidRPr="00BD50AB" w:rsidRDefault="00BD50AB" w:rsidP="00BD50AB">
      <w:pPr>
        <w:spacing w:line="360" w:lineRule="auto"/>
        <w:jc w:val="center"/>
        <w:rPr>
          <w:rFonts w:ascii="Times New Roman" w:eastAsia="Times New Roman" w:hAnsi="Times New Roman" w:cs="Times New Roman"/>
          <w:color w:val="000000" w:themeColor="text1"/>
          <w:sz w:val="24"/>
          <w:szCs w:val="24"/>
        </w:rPr>
      </w:pPr>
      <w:r w:rsidRPr="00BD50AB">
        <w:rPr>
          <w:rFonts w:ascii="Times New Roman" w:hAnsi="Times New Roman" w:cs="Times New Roman"/>
          <w:color w:val="000000" w:themeColor="text1"/>
          <w:sz w:val="24"/>
          <w:szCs w:val="24"/>
        </w:rPr>
        <w:t>Associate Professor, Commerce Department, Fr. Agnel College of Arts and Commerce, Pilar Goa</w:t>
      </w:r>
    </w:p>
    <w:p w14:paraId="781AC367" w14:textId="77777777" w:rsidR="00846FA5" w:rsidRPr="00BD50AB" w:rsidRDefault="00846FA5" w:rsidP="00BD50AB">
      <w:pPr>
        <w:spacing w:line="360" w:lineRule="auto"/>
        <w:jc w:val="both"/>
        <w:rPr>
          <w:rFonts w:ascii="Times New Roman" w:hAnsi="Times New Roman" w:cs="Times New Roman"/>
          <w:sz w:val="24"/>
          <w:szCs w:val="24"/>
        </w:rPr>
      </w:pPr>
    </w:p>
    <w:p w14:paraId="3A88B646" w14:textId="3BFBFC8C" w:rsidR="00BD50AB" w:rsidRPr="00BD50AB" w:rsidRDefault="00BD50AB" w:rsidP="00BD50AB">
      <w:pPr>
        <w:spacing w:line="360" w:lineRule="auto"/>
        <w:jc w:val="both"/>
        <w:rPr>
          <w:rFonts w:ascii="Times New Roman" w:hAnsi="Times New Roman" w:cs="Times New Roman"/>
          <w:i/>
          <w:iCs/>
          <w:sz w:val="24"/>
          <w:szCs w:val="24"/>
        </w:rPr>
      </w:pPr>
      <w:r w:rsidRPr="00BD50AB">
        <w:rPr>
          <w:rFonts w:ascii="Times New Roman" w:hAnsi="Times New Roman" w:cs="Times New Roman"/>
          <w:i/>
          <w:iCs/>
          <w:sz w:val="24"/>
          <w:szCs w:val="24"/>
        </w:rPr>
        <w:t xml:space="preserve">Abstract </w:t>
      </w:r>
    </w:p>
    <w:p w14:paraId="17FFA06E" w14:textId="69532F1C" w:rsidR="00BD50AB" w:rsidRPr="00BD50AB" w:rsidRDefault="00BD50AB" w:rsidP="00BD50AB">
      <w:pPr>
        <w:spacing w:line="360" w:lineRule="auto"/>
        <w:jc w:val="both"/>
        <w:rPr>
          <w:rFonts w:ascii="Times New Roman" w:hAnsi="Times New Roman" w:cs="Times New Roman"/>
          <w:i/>
          <w:iCs/>
          <w:sz w:val="24"/>
          <w:szCs w:val="24"/>
        </w:rPr>
      </w:pPr>
      <w:r w:rsidRPr="00BD50AB">
        <w:rPr>
          <w:rFonts w:ascii="Times New Roman" w:hAnsi="Times New Roman" w:cs="Times New Roman"/>
          <w:i/>
          <w:iCs/>
          <w:sz w:val="24"/>
          <w:szCs w:val="24"/>
        </w:rPr>
        <w:t xml:space="preserve">The purpose of this study is to examine the relationship of occupational stress and quality of life </w:t>
      </w:r>
      <w:r w:rsidRPr="00BD50AB">
        <w:rPr>
          <w:rFonts w:ascii="Times New Roman" w:hAnsi="Times New Roman" w:cs="Times New Roman"/>
          <w:i/>
          <w:iCs/>
          <w:sz w:val="24"/>
          <w:szCs w:val="24"/>
        </w:rPr>
        <w:t>o</w:t>
      </w:r>
      <w:r w:rsidRPr="00BD50AB">
        <w:rPr>
          <w:rFonts w:ascii="Times New Roman" w:hAnsi="Times New Roman" w:cs="Times New Roman"/>
          <w:i/>
          <w:iCs/>
          <w:sz w:val="24"/>
          <w:szCs w:val="24"/>
        </w:rPr>
        <w:t xml:space="preserve">f Indian seafarers. A cross-sectional design methodology was employed which involved demographic, occupational, and standardized measures. Inferential statistics, involving analysis of variance, showed there was a significant relationship (p&lt;.001) of the independent variable to the dependent variable. Ship type, rank, and the domain of working conditions (e.g. workload and promotion) are significantly related to occupational stress (p&lt;.025), while the </w:t>
      </w:r>
      <w:r w:rsidR="006F2839" w:rsidRPr="00BD50AB">
        <w:rPr>
          <w:rFonts w:ascii="Times New Roman" w:hAnsi="Times New Roman" w:cs="Times New Roman"/>
          <w:i/>
          <w:iCs/>
          <w:sz w:val="24"/>
          <w:szCs w:val="24"/>
        </w:rPr>
        <w:t>quality-of-life</w:t>
      </w:r>
      <w:r w:rsidRPr="00BD50AB">
        <w:rPr>
          <w:rFonts w:ascii="Times New Roman" w:hAnsi="Times New Roman" w:cs="Times New Roman"/>
          <w:i/>
          <w:iCs/>
          <w:sz w:val="24"/>
          <w:szCs w:val="24"/>
        </w:rPr>
        <w:t xml:space="preserve"> measure (which included physical, social, and psychological </w:t>
      </w:r>
      <w:proofErr w:type="spellStart"/>
      <w:r w:rsidRPr="00BD50AB">
        <w:rPr>
          <w:rFonts w:ascii="Times New Roman" w:hAnsi="Times New Roman" w:cs="Times New Roman"/>
          <w:i/>
          <w:iCs/>
          <w:sz w:val="24"/>
          <w:szCs w:val="24"/>
        </w:rPr>
        <w:t>behavior</w:t>
      </w:r>
      <w:proofErr w:type="spellEnd"/>
      <w:r w:rsidRPr="00BD50AB">
        <w:rPr>
          <w:rFonts w:ascii="Times New Roman" w:hAnsi="Times New Roman" w:cs="Times New Roman"/>
          <w:i/>
          <w:iCs/>
          <w:sz w:val="24"/>
          <w:szCs w:val="24"/>
        </w:rPr>
        <w:t xml:space="preserve">) were all significantly related to working condition measures (p&lt;.020 and .001). Role overload and ship social-political issues were noted to be the two most frequent operational stressors that have significant impact on quality of life. Characteristics of an individual's seafaring occupation, including working conditions, explained a significant portion of the seafarer’s QOL. A full factorial analysis of the stress factors which displayed the details of how individuals perceived their stressors and how that worked their working conditions and subjective overall QOL experiences would provide the empirical evidence that could provide practice direction for health promotion interventions in busy and demanding maritime workplaces.  </w:t>
      </w:r>
    </w:p>
    <w:p w14:paraId="38D8F457" w14:textId="03128093" w:rsidR="00846FA5" w:rsidRPr="00BD50AB" w:rsidRDefault="00BD50AB" w:rsidP="00BD50AB">
      <w:pPr>
        <w:spacing w:line="360" w:lineRule="auto"/>
        <w:jc w:val="both"/>
        <w:rPr>
          <w:rFonts w:ascii="Times New Roman" w:hAnsi="Times New Roman" w:cs="Times New Roman"/>
          <w:i/>
          <w:iCs/>
          <w:sz w:val="24"/>
          <w:szCs w:val="24"/>
        </w:rPr>
      </w:pPr>
      <w:r w:rsidRPr="00BD50AB">
        <w:rPr>
          <w:rFonts w:ascii="Times New Roman" w:hAnsi="Times New Roman" w:cs="Times New Roman"/>
          <w:i/>
          <w:iCs/>
          <w:sz w:val="24"/>
          <w:szCs w:val="24"/>
        </w:rPr>
        <w:t>Keywords</w:t>
      </w:r>
      <w:r w:rsidRPr="00BD50AB">
        <w:rPr>
          <w:rFonts w:ascii="Times New Roman" w:hAnsi="Times New Roman" w:cs="Times New Roman"/>
          <w:i/>
          <w:iCs/>
          <w:sz w:val="24"/>
          <w:szCs w:val="24"/>
        </w:rPr>
        <w:t xml:space="preserve">: </w:t>
      </w:r>
      <w:r w:rsidRPr="00BD50AB">
        <w:rPr>
          <w:rFonts w:ascii="Times New Roman" w:hAnsi="Times New Roman" w:cs="Times New Roman"/>
          <w:i/>
          <w:iCs/>
          <w:sz w:val="24"/>
          <w:szCs w:val="24"/>
        </w:rPr>
        <w:t>Seafarers, Occupational Stress, Quality of Life, Maritime Psychology, Working Conditions, Factor Analysis</w:t>
      </w:r>
      <w:r w:rsidRPr="00BD50AB">
        <w:rPr>
          <w:rFonts w:ascii="Times New Roman" w:hAnsi="Times New Roman" w:cs="Times New Roman"/>
          <w:i/>
          <w:iCs/>
          <w:sz w:val="24"/>
          <w:szCs w:val="24"/>
        </w:rPr>
        <w:t>.</w:t>
      </w:r>
    </w:p>
    <w:p w14:paraId="2434A34A" w14:textId="77777777" w:rsidR="00846FA5" w:rsidRPr="00BD50AB" w:rsidRDefault="00846FA5" w:rsidP="00BD50AB">
      <w:pPr>
        <w:spacing w:line="360" w:lineRule="auto"/>
        <w:jc w:val="both"/>
        <w:rPr>
          <w:rFonts w:ascii="Times New Roman" w:hAnsi="Times New Roman" w:cs="Times New Roman"/>
          <w:sz w:val="24"/>
          <w:szCs w:val="24"/>
        </w:rPr>
      </w:pPr>
    </w:p>
    <w:p w14:paraId="62FE25BA" w14:textId="77777777" w:rsidR="00846FA5" w:rsidRPr="00BD50AB" w:rsidRDefault="00846FA5" w:rsidP="00BD50AB">
      <w:pPr>
        <w:spacing w:line="360" w:lineRule="auto"/>
        <w:jc w:val="both"/>
        <w:rPr>
          <w:rFonts w:ascii="Times New Roman" w:hAnsi="Times New Roman" w:cs="Times New Roman"/>
          <w:sz w:val="24"/>
          <w:szCs w:val="24"/>
        </w:rPr>
      </w:pPr>
    </w:p>
    <w:p w14:paraId="7E729F30" w14:textId="77777777" w:rsidR="00846FA5" w:rsidRPr="00BD50AB" w:rsidRDefault="00846FA5" w:rsidP="00BD50AB">
      <w:pPr>
        <w:spacing w:line="360" w:lineRule="auto"/>
        <w:jc w:val="both"/>
        <w:rPr>
          <w:rFonts w:ascii="Times New Roman" w:hAnsi="Times New Roman" w:cs="Times New Roman"/>
          <w:sz w:val="24"/>
          <w:szCs w:val="24"/>
        </w:rPr>
      </w:pPr>
    </w:p>
    <w:p w14:paraId="76D2E3F7" w14:textId="77777777" w:rsidR="00846FA5" w:rsidRPr="00BD50AB" w:rsidRDefault="00846FA5" w:rsidP="00BD50AB">
      <w:pPr>
        <w:spacing w:line="360" w:lineRule="auto"/>
        <w:jc w:val="both"/>
        <w:rPr>
          <w:rFonts w:ascii="Times New Roman" w:hAnsi="Times New Roman" w:cs="Times New Roman"/>
          <w:sz w:val="24"/>
          <w:szCs w:val="24"/>
        </w:rPr>
      </w:pPr>
    </w:p>
    <w:p w14:paraId="3EF102ED" w14:textId="77777777" w:rsidR="00846FA5" w:rsidRPr="00BD50AB" w:rsidRDefault="00846FA5" w:rsidP="00BD50AB">
      <w:pPr>
        <w:spacing w:line="360" w:lineRule="auto"/>
        <w:jc w:val="both"/>
        <w:rPr>
          <w:rFonts w:ascii="Times New Roman" w:hAnsi="Times New Roman" w:cs="Times New Roman"/>
          <w:sz w:val="24"/>
          <w:szCs w:val="24"/>
        </w:rPr>
      </w:pPr>
    </w:p>
    <w:p w14:paraId="3854294A" w14:textId="77777777" w:rsidR="00846FA5" w:rsidRPr="00BD50AB" w:rsidRDefault="00846FA5" w:rsidP="00BD50AB">
      <w:pPr>
        <w:spacing w:line="360" w:lineRule="auto"/>
        <w:jc w:val="both"/>
        <w:rPr>
          <w:rFonts w:ascii="Times New Roman" w:hAnsi="Times New Roman" w:cs="Times New Roman"/>
          <w:b/>
          <w:bCs/>
          <w:sz w:val="24"/>
          <w:szCs w:val="24"/>
        </w:rPr>
      </w:pPr>
    </w:p>
    <w:p w14:paraId="07698311" w14:textId="06565053" w:rsidR="00846FA5" w:rsidRPr="00BD50AB" w:rsidRDefault="00846FA5"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lastRenderedPageBreak/>
        <w:t xml:space="preserve">Introduction </w:t>
      </w:r>
    </w:p>
    <w:p w14:paraId="29544E57" w14:textId="352C4A10" w:rsidR="004E638B" w:rsidRPr="00BD50AB" w:rsidRDefault="00846FA5"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Seafaring is among the most challenging professions, with long voyages, loneliness, irregular working hours, and hazardous working environments. These contribute to increased occupational stress levels, which can cause severe damage to the physical, psychological, and social health of seafarers. This research examines the complex relationship between occupational stress and quality of life (QOL) of seafarers, with a focus on how demographic factors (e.g., age, experience, and birth order) and work conditions (e.g., ship type, job function, and working environment) shape this interaction. It is essential to know these determinants to design targeted interventions to enhance seafarers' overall health, job satisfaction, and quality of life. </w:t>
      </w:r>
    </w:p>
    <w:p w14:paraId="621561C2" w14:textId="77777777" w:rsidR="004E638B" w:rsidRPr="00BD50AB" w:rsidRDefault="004E638B"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Literature Review</w:t>
      </w:r>
    </w:p>
    <w:p w14:paraId="30E65B2E" w14:textId="77777777" w:rsidR="004E638B" w:rsidRPr="00BD50AB" w:rsidRDefault="004E638B"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The relationship between occupational stress and quality of life (QOL) among seafarers has been the focus of extensive research recently, largely due to the complex and demanding nature of maritime work environments. Studies indicate that the combined effects of prolonged working hours, separation from loved ones, physical dangers, and limited access to psychological support are significant contributors to elevated stress levels and decreased life satisfaction. Jensen and Oldenburg (2021) emphasized the need for both objective and subjective measures to assess stress in seafarers, noting that stress perceptions vary significantly depending on individual resilience and the specific circumstances onboard. They highlighted the importance of developing customized stress assessment tools tailored to the unique conditions of seafaring. </w:t>
      </w:r>
      <w:proofErr w:type="spellStart"/>
      <w:r w:rsidRPr="00BD50AB">
        <w:rPr>
          <w:rFonts w:ascii="Times New Roman" w:hAnsi="Times New Roman" w:cs="Times New Roman"/>
          <w:sz w:val="24"/>
          <w:szCs w:val="24"/>
        </w:rPr>
        <w:t>Baygi</w:t>
      </w:r>
      <w:proofErr w:type="spellEnd"/>
      <w:r w:rsidRPr="00BD50AB">
        <w:rPr>
          <w:rFonts w:ascii="Times New Roman" w:hAnsi="Times New Roman" w:cs="Times New Roman"/>
          <w:sz w:val="24"/>
          <w:szCs w:val="24"/>
        </w:rPr>
        <w:t xml:space="preserve"> et al. (2022) employed structural equation </w:t>
      </w:r>
      <w:proofErr w:type="spellStart"/>
      <w:r w:rsidRPr="00BD50AB">
        <w:rPr>
          <w:rFonts w:ascii="Times New Roman" w:hAnsi="Times New Roman" w:cs="Times New Roman"/>
          <w:sz w:val="24"/>
          <w:szCs w:val="24"/>
        </w:rPr>
        <w:t>modeling</w:t>
      </w:r>
      <w:proofErr w:type="spellEnd"/>
      <w:r w:rsidRPr="00BD50AB">
        <w:rPr>
          <w:rFonts w:ascii="Times New Roman" w:hAnsi="Times New Roman" w:cs="Times New Roman"/>
          <w:sz w:val="24"/>
          <w:szCs w:val="24"/>
        </w:rPr>
        <w:t xml:space="preserve"> to explore seafarers' life satisfaction and mental health, concluding that both demographic factors (such as rank and age) and mental health status are vital predictors of perceived life satisfaction, supporting the notion that psychological well-being is essential for QOL. Kim and Jang (2018) investigated the influence of self-efficacy and organizational culture on perceived fatigue and QOL. Their findings revealed that cultural support at the unit level significantly mitigates job stress, acting as a protective factor against burnout, which aligns with the theory that organizational and environmental factors influence stress outcomes.</w:t>
      </w:r>
    </w:p>
    <w:p w14:paraId="441153B6" w14:textId="77777777" w:rsidR="004E638B" w:rsidRPr="00BD50AB" w:rsidRDefault="004E638B"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Xiao et al. (2017) examined the importance of social support and found a strong, positive correlation between social integration and health-related QOL among Chinese seafarers. Their study underscores the critical protective role of supportive relationships in alleviating occupational stress. Slišković and </w:t>
      </w:r>
      <w:proofErr w:type="spellStart"/>
      <w:r w:rsidRPr="00BD50AB">
        <w:rPr>
          <w:rFonts w:ascii="Times New Roman" w:hAnsi="Times New Roman" w:cs="Times New Roman"/>
          <w:sz w:val="24"/>
          <w:szCs w:val="24"/>
        </w:rPr>
        <w:t>Penezić</w:t>
      </w:r>
      <w:proofErr w:type="spellEnd"/>
      <w:r w:rsidRPr="00BD50AB">
        <w:rPr>
          <w:rFonts w:ascii="Times New Roman" w:hAnsi="Times New Roman" w:cs="Times New Roman"/>
          <w:sz w:val="24"/>
          <w:szCs w:val="24"/>
        </w:rPr>
        <w:t xml:space="preserve"> (2015) conducted one of the initial substantial assessments of occupational stressors, hazards, and health issues affecting maritime workers, identifying various psychosocial stressors, including isolation, boredom, and exposure to hazardous situations, that collectively affect seafarers' physical and mental health. Building on this, Buscema et al. (2023) integrated lifestyle factors with work life quality (</w:t>
      </w:r>
      <w:proofErr w:type="spellStart"/>
      <w:r w:rsidRPr="00BD50AB">
        <w:rPr>
          <w:rFonts w:ascii="Times New Roman" w:hAnsi="Times New Roman" w:cs="Times New Roman"/>
          <w:sz w:val="24"/>
          <w:szCs w:val="24"/>
        </w:rPr>
        <w:t>QoWL</w:t>
      </w:r>
      <w:proofErr w:type="spellEnd"/>
      <w:r w:rsidRPr="00BD50AB">
        <w:rPr>
          <w:rFonts w:ascii="Times New Roman" w:hAnsi="Times New Roman" w:cs="Times New Roman"/>
          <w:sz w:val="24"/>
          <w:szCs w:val="24"/>
        </w:rPr>
        <w:t xml:space="preserve">), demonstrating that sleep quality, nutrition, and substance use significantly influence seafarers' perceived work-related stress and overall QOL, highlighting the interaction of personal lifestyle elements with occupational factors. Ali et al. (2023) performed a qualitative review of psychometric instruments used to measure work stress </w:t>
      </w:r>
      <w:r w:rsidRPr="00BD50AB">
        <w:rPr>
          <w:rFonts w:ascii="Times New Roman" w:hAnsi="Times New Roman" w:cs="Times New Roman"/>
          <w:sz w:val="24"/>
          <w:szCs w:val="24"/>
        </w:rPr>
        <w:lastRenderedPageBreak/>
        <w:t>in seafarers, concluding that most existing tools lack specificity for the unique conditions of the maritime environment, suggesting the development of measures specifically for seafarers to improve validity and reliability.</w:t>
      </w:r>
    </w:p>
    <w:p w14:paraId="48FE4575" w14:textId="66B338FC" w:rsidR="00D23A8D" w:rsidRPr="00BD50AB" w:rsidRDefault="004E638B"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Finally, Carotenuto et al. (2012) provided a conclusive overview of psychological stressors on ships, identifying emotional exhaustion, limited peer support, and restricted autonomy as common factors contributing to mental health decline in seafarers. They argued that resilience-building programs and organizational interventions are crucial. </w:t>
      </w:r>
      <w:r w:rsidR="00D23A8D" w:rsidRPr="00BD50AB">
        <w:rPr>
          <w:rFonts w:ascii="Times New Roman" w:hAnsi="Times New Roman" w:cs="Times New Roman"/>
          <w:sz w:val="24"/>
          <w:szCs w:val="24"/>
        </w:rPr>
        <w:t>The</w:t>
      </w:r>
      <w:r w:rsidRPr="00BD50AB">
        <w:rPr>
          <w:rFonts w:ascii="Times New Roman" w:hAnsi="Times New Roman" w:cs="Times New Roman"/>
          <w:sz w:val="24"/>
          <w:szCs w:val="24"/>
        </w:rPr>
        <w:t xml:space="preserve"> literature supports the view that occupational stress within the seafaring sector is multidimensional, resulting from work overload, psychological pressures, environmental challenges, and inadequate support systems. These stressors detrimentally affect quality of life. Research consistently validates a negative relationship between occupational stress and QOL, reinforcing Ha1 of this study. Furthermore, the evidence advocates for demographic-specific interventions and emphasizes the need for more advanced assessment tools </w:t>
      </w:r>
      <w:r w:rsidR="00D23A8D" w:rsidRPr="00BD50AB">
        <w:rPr>
          <w:rFonts w:ascii="Times New Roman" w:hAnsi="Times New Roman" w:cs="Times New Roman"/>
          <w:sz w:val="24"/>
          <w:szCs w:val="24"/>
        </w:rPr>
        <w:t>to understand better</w:t>
      </w:r>
      <w:r w:rsidRPr="00BD50AB">
        <w:rPr>
          <w:rFonts w:ascii="Times New Roman" w:hAnsi="Times New Roman" w:cs="Times New Roman"/>
          <w:sz w:val="24"/>
          <w:szCs w:val="24"/>
        </w:rPr>
        <w:t xml:space="preserve"> and address seafarers' health outcomes.</w:t>
      </w:r>
    </w:p>
    <w:p w14:paraId="5DBB6DCC" w14:textId="77777777" w:rsidR="00D23A8D" w:rsidRPr="00BD50AB" w:rsidRDefault="00D23A8D" w:rsidP="00BD50AB">
      <w:pPr>
        <w:widowControl w:val="0"/>
        <w:autoSpaceDE w:val="0"/>
        <w:autoSpaceDN w:val="0"/>
        <w:adjustRightInd w:val="0"/>
        <w:spacing w:after="0" w:line="360" w:lineRule="auto"/>
        <w:ind w:left="142"/>
        <w:jc w:val="both"/>
        <w:rPr>
          <w:rFonts w:ascii="Times New Roman" w:eastAsia="Calibri" w:hAnsi="Times New Roman" w:cs="Times New Roman"/>
          <w:b/>
          <w:bCs/>
          <w:sz w:val="24"/>
          <w:szCs w:val="24"/>
        </w:rPr>
      </w:pPr>
      <w:r w:rsidRPr="00BD50AB">
        <w:rPr>
          <w:rFonts w:ascii="Times New Roman" w:eastAsia="Calibri" w:hAnsi="Times New Roman" w:cs="Times New Roman"/>
          <w:b/>
          <w:bCs/>
          <w:sz w:val="24"/>
          <w:szCs w:val="24"/>
        </w:rPr>
        <w:t>Objectives of the Study</w:t>
      </w:r>
    </w:p>
    <w:p w14:paraId="7A701DAC" w14:textId="77777777" w:rsidR="00D23A8D" w:rsidRPr="00BD50AB" w:rsidRDefault="00D23A8D" w:rsidP="00BD50AB">
      <w:pPr>
        <w:widowControl w:val="0"/>
        <w:numPr>
          <w:ilvl w:val="0"/>
          <w:numId w:val="10"/>
        </w:numPr>
        <w:autoSpaceDE w:val="0"/>
        <w:autoSpaceDN w:val="0"/>
        <w:adjustRightInd w:val="0"/>
        <w:spacing w:after="0" w:line="360" w:lineRule="auto"/>
        <w:ind w:left="142"/>
        <w:jc w:val="both"/>
        <w:rPr>
          <w:rFonts w:ascii="Times New Roman" w:eastAsia="Calibri" w:hAnsi="Times New Roman" w:cs="Times New Roman"/>
          <w:sz w:val="24"/>
          <w:szCs w:val="24"/>
        </w:rPr>
      </w:pPr>
      <w:r w:rsidRPr="00BD50AB">
        <w:rPr>
          <w:rFonts w:ascii="Times New Roman" w:eastAsia="Calibri" w:hAnsi="Times New Roman" w:cs="Times New Roman"/>
          <w:sz w:val="24"/>
          <w:szCs w:val="24"/>
        </w:rPr>
        <w:t>To examine the relationship between occupational stress and quality of life among seafarers.</w:t>
      </w:r>
    </w:p>
    <w:p w14:paraId="3A2F4546" w14:textId="77777777" w:rsidR="00D23A8D" w:rsidRPr="00BD50AB" w:rsidRDefault="00D23A8D" w:rsidP="00BD50AB">
      <w:pPr>
        <w:widowControl w:val="0"/>
        <w:numPr>
          <w:ilvl w:val="0"/>
          <w:numId w:val="10"/>
        </w:numPr>
        <w:autoSpaceDE w:val="0"/>
        <w:autoSpaceDN w:val="0"/>
        <w:adjustRightInd w:val="0"/>
        <w:spacing w:after="0" w:line="360" w:lineRule="auto"/>
        <w:ind w:left="142"/>
        <w:jc w:val="both"/>
        <w:rPr>
          <w:rFonts w:ascii="Times New Roman" w:eastAsia="Calibri" w:hAnsi="Times New Roman" w:cs="Times New Roman"/>
          <w:sz w:val="24"/>
          <w:szCs w:val="24"/>
        </w:rPr>
      </w:pPr>
      <w:r w:rsidRPr="00BD50AB">
        <w:rPr>
          <w:rFonts w:ascii="Times New Roman" w:eastAsia="Calibri" w:hAnsi="Times New Roman" w:cs="Times New Roman"/>
          <w:sz w:val="24"/>
          <w:szCs w:val="24"/>
        </w:rPr>
        <w:t xml:space="preserve">To </w:t>
      </w:r>
      <w:proofErr w:type="spellStart"/>
      <w:r w:rsidRPr="00BD50AB">
        <w:rPr>
          <w:rFonts w:ascii="Times New Roman" w:eastAsia="Calibri" w:hAnsi="Times New Roman" w:cs="Times New Roman"/>
          <w:sz w:val="24"/>
          <w:szCs w:val="24"/>
        </w:rPr>
        <w:t>analyze</w:t>
      </w:r>
      <w:proofErr w:type="spellEnd"/>
      <w:r w:rsidRPr="00BD50AB">
        <w:rPr>
          <w:rFonts w:ascii="Times New Roman" w:eastAsia="Calibri" w:hAnsi="Times New Roman" w:cs="Times New Roman"/>
          <w:sz w:val="24"/>
          <w:szCs w:val="24"/>
        </w:rPr>
        <w:t xml:space="preserve"> the distribution and levels of quality of life within the sample group using descriptive and percentage-based measures.</w:t>
      </w:r>
    </w:p>
    <w:p w14:paraId="42815696" w14:textId="77777777" w:rsidR="00D23A8D" w:rsidRPr="00BD50AB" w:rsidRDefault="00D23A8D" w:rsidP="00BD50AB">
      <w:pPr>
        <w:widowControl w:val="0"/>
        <w:numPr>
          <w:ilvl w:val="0"/>
          <w:numId w:val="10"/>
        </w:numPr>
        <w:autoSpaceDE w:val="0"/>
        <w:autoSpaceDN w:val="0"/>
        <w:adjustRightInd w:val="0"/>
        <w:spacing w:after="0" w:line="360" w:lineRule="auto"/>
        <w:ind w:left="142"/>
        <w:jc w:val="both"/>
        <w:rPr>
          <w:rFonts w:ascii="Times New Roman" w:eastAsia="Calibri" w:hAnsi="Times New Roman" w:cs="Times New Roman"/>
          <w:sz w:val="24"/>
          <w:szCs w:val="24"/>
        </w:rPr>
      </w:pPr>
      <w:r w:rsidRPr="00BD50AB">
        <w:rPr>
          <w:rFonts w:ascii="Times New Roman" w:eastAsia="Calibri" w:hAnsi="Times New Roman" w:cs="Times New Roman"/>
          <w:sz w:val="24"/>
          <w:szCs w:val="24"/>
        </w:rPr>
        <w:t>To assess the influence of demographic variables (such as age, educational qualification, birth order, type of cargo ship, designation, years of experience, and frequency of home visits) and work-related factors (including work distribution, working conditions, bonuses and incentives, promotion scope, salary satisfaction, and career continuation) on occupational stress and quality of life.</w:t>
      </w:r>
    </w:p>
    <w:p w14:paraId="76E38F42" w14:textId="26887D11" w:rsidR="00D23A8D" w:rsidRPr="00BD50AB" w:rsidRDefault="00D23A8D" w:rsidP="00BD50AB">
      <w:pPr>
        <w:widowControl w:val="0"/>
        <w:numPr>
          <w:ilvl w:val="0"/>
          <w:numId w:val="10"/>
        </w:numPr>
        <w:autoSpaceDE w:val="0"/>
        <w:autoSpaceDN w:val="0"/>
        <w:adjustRightInd w:val="0"/>
        <w:spacing w:after="0" w:line="360" w:lineRule="auto"/>
        <w:ind w:left="142"/>
        <w:jc w:val="both"/>
        <w:rPr>
          <w:rFonts w:ascii="Times New Roman" w:eastAsia="Calibri" w:hAnsi="Times New Roman" w:cs="Times New Roman"/>
          <w:sz w:val="24"/>
          <w:szCs w:val="24"/>
        </w:rPr>
      </w:pPr>
      <w:r w:rsidRPr="00BD50AB">
        <w:rPr>
          <w:rFonts w:ascii="Times New Roman" w:eastAsia="Calibri" w:hAnsi="Times New Roman" w:cs="Times New Roman"/>
          <w:sz w:val="24"/>
          <w:szCs w:val="24"/>
        </w:rPr>
        <w:t>To evaluate the interaction effects of selected workplace variables on seafarers' quality of life.</w:t>
      </w:r>
    </w:p>
    <w:p w14:paraId="12FBBDDB" w14:textId="77777777" w:rsidR="00D23A8D" w:rsidRPr="00BD50AB" w:rsidRDefault="00D23A8D" w:rsidP="00BD50AB">
      <w:pPr>
        <w:widowControl w:val="0"/>
        <w:numPr>
          <w:ilvl w:val="0"/>
          <w:numId w:val="10"/>
        </w:numPr>
        <w:autoSpaceDE w:val="0"/>
        <w:autoSpaceDN w:val="0"/>
        <w:adjustRightInd w:val="0"/>
        <w:spacing w:after="0" w:line="360" w:lineRule="auto"/>
        <w:ind w:left="142"/>
        <w:jc w:val="both"/>
        <w:rPr>
          <w:rFonts w:ascii="Times New Roman" w:eastAsia="Calibri" w:hAnsi="Times New Roman" w:cs="Times New Roman"/>
          <w:sz w:val="24"/>
          <w:szCs w:val="24"/>
        </w:rPr>
      </w:pPr>
      <w:r w:rsidRPr="00BD50AB">
        <w:rPr>
          <w:rFonts w:ascii="Times New Roman" w:eastAsia="Calibri" w:hAnsi="Times New Roman" w:cs="Times New Roman"/>
          <w:sz w:val="24"/>
          <w:szCs w:val="24"/>
        </w:rPr>
        <w:t>To identify underlying dimensions of occupational stress through exploratory factor analysis and to propose evidence-based intervention strategies tailored to the needs of the sample group.</w:t>
      </w:r>
    </w:p>
    <w:p w14:paraId="5EAF3D2B" w14:textId="75EC70F7" w:rsidR="00D23A8D" w:rsidRPr="00BD50AB" w:rsidRDefault="00D23A8D" w:rsidP="00BD50AB">
      <w:pPr>
        <w:widowControl w:val="0"/>
        <w:autoSpaceDE w:val="0"/>
        <w:autoSpaceDN w:val="0"/>
        <w:adjustRightInd w:val="0"/>
        <w:spacing w:after="0" w:line="360" w:lineRule="auto"/>
        <w:ind w:left="720"/>
        <w:jc w:val="both"/>
        <w:rPr>
          <w:rFonts w:ascii="Times New Roman" w:eastAsia="Calibri" w:hAnsi="Times New Roman" w:cs="Times New Roman"/>
          <w:sz w:val="24"/>
          <w:szCs w:val="24"/>
        </w:rPr>
      </w:pPr>
    </w:p>
    <w:p w14:paraId="2C7C54E6" w14:textId="77777777" w:rsidR="00D23A8D" w:rsidRPr="00BD50AB" w:rsidRDefault="00D23A8D" w:rsidP="00BD50AB">
      <w:pPr>
        <w:widowControl w:val="0"/>
        <w:autoSpaceDE w:val="0"/>
        <w:autoSpaceDN w:val="0"/>
        <w:adjustRightInd w:val="0"/>
        <w:spacing w:after="0" w:line="360" w:lineRule="auto"/>
        <w:ind w:left="720"/>
        <w:jc w:val="both"/>
        <w:rPr>
          <w:rFonts w:ascii="Times New Roman" w:eastAsia="Calibri" w:hAnsi="Times New Roman" w:cs="Times New Roman"/>
          <w:sz w:val="24"/>
          <w:szCs w:val="24"/>
        </w:rPr>
      </w:pPr>
    </w:p>
    <w:p w14:paraId="162BA386" w14:textId="3E335598" w:rsidR="00846FA5" w:rsidRPr="00BD50AB" w:rsidRDefault="00846FA5" w:rsidP="00BD50AB">
      <w:pPr>
        <w:spacing w:line="360" w:lineRule="auto"/>
        <w:jc w:val="both"/>
        <w:rPr>
          <w:rFonts w:ascii="Times New Roman" w:eastAsia="Calibri" w:hAnsi="Times New Roman" w:cs="Times New Roman"/>
          <w:b/>
          <w:sz w:val="24"/>
          <w:szCs w:val="24"/>
        </w:rPr>
      </w:pPr>
      <w:r w:rsidRPr="00BD50AB">
        <w:rPr>
          <w:rFonts w:ascii="Times New Roman" w:eastAsia="Calibri" w:hAnsi="Times New Roman" w:cs="Times New Roman"/>
          <w:b/>
          <w:sz w:val="24"/>
          <w:szCs w:val="24"/>
        </w:rPr>
        <w:t xml:space="preserve"> Hypotheses of the study</w:t>
      </w:r>
    </w:p>
    <w:p w14:paraId="72615952" w14:textId="74D69CB4" w:rsidR="00E47ECF" w:rsidRPr="00BD50AB" w:rsidRDefault="00E47ECF"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This study </w:t>
      </w:r>
      <w:r w:rsidR="00D23A8D" w:rsidRPr="00BD50AB">
        <w:rPr>
          <w:rFonts w:ascii="Times New Roman" w:hAnsi="Times New Roman" w:cs="Times New Roman"/>
          <w:sz w:val="24"/>
          <w:szCs w:val="24"/>
        </w:rPr>
        <w:t>examines</w:t>
      </w:r>
      <w:r w:rsidRPr="00BD50AB">
        <w:rPr>
          <w:rFonts w:ascii="Times New Roman" w:hAnsi="Times New Roman" w:cs="Times New Roman"/>
          <w:sz w:val="24"/>
          <w:szCs w:val="24"/>
        </w:rPr>
        <w:t xml:space="preserve"> the association between occupational stress and quality of life (QOL) among seafarers, </w:t>
      </w:r>
      <w:r w:rsidR="00D23A8D" w:rsidRPr="00BD50AB">
        <w:rPr>
          <w:rFonts w:ascii="Times New Roman" w:hAnsi="Times New Roman" w:cs="Times New Roman"/>
          <w:sz w:val="24"/>
          <w:szCs w:val="24"/>
        </w:rPr>
        <w:t>explicitly</w:t>
      </w:r>
      <w:r w:rsidRPr="00BD50AB">
        <w:rPr>
          <w:rFonts w:ascii="Times New Roman" w:hAnsi="Times New Roman" w:cs="Times New Roman"/>
          <w:sz w:val="24"/>
          <w:szCs w:val="24"/>
        </w:rPr>
        <w:t xml:space="preserve"> focusing on the influence of demographic and work-related variables. The hypotheses are framed to test individual and interactive effects, and to explore the underlying structure of occupational stress indicators.</w:t>
      </w:r>
    </w:p>
    <w:p w14:paraId="1BAC86DE"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Research Hypotheses</w:t>
      </w:r>
    </w:p>
    <w:p w14:paraId="44BEB1AA"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Primary Hypothesis</w:t>
      </w:r>
    </w:p>
    <w:p w14:paraId="62B29761" w14:textId="77777777" w:rsidR="00E47ECF" w:rsidRPr="00BD50AB" w:rsidRDefault="00E47ECF" w:rsidP="00BD50AB">
      <w:pPr>
        <w:numPr>
          <w:ilvl w:val="0"/>
          <w:numId w:val="4"/>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w:t>
      </w:r>
      <w:r w:rsidRPr="00BD50AB">
        <w:rPr>
          <w:rFonts w:ascii="Times New Roman" w:hAnsi="Times New Roman" w:cs="Times New Roman"/>
          <w:sz w:val="24"/>
          <w:szCs w:val="24"/>
        </w:rPr>
        <w:t>: There is no significant relationship between occupational stress and quality of life among seafarers.</w:t>
      </w:r>
    </w:p>
    <w:p w14:paraId="1F8CDEAB" w14:textId="76448C0F" w:rsidR="00D23A8D" w:rsidRPr="00BD50AB" w:rsidRDefault="00E47ECF" w:rsidP="00BD50AB">
      <w:pPr>
        <w:numPr>
          <w:ilvl w:val="0"/>
          <w:numId w:val="4"/>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lastRenderedPageBreak/>
        <w:t>H₁₁</w:t>
      </w:r>
      <w:r w:rsidRPr="00BD50AB">
        <w:rPr>
          <w:rFonts w:ascii="Times New Roman" w:hAnsi="Times New Roman" w:cs="Times New Roman"/>
          <w:sz w:val="24"/>
          <w:szCs w:val="24"/>
        </w:rPr>
        <w:t>: There is a significant relationship between occupational stress and quality of life among seafarers.</w:t>
      </w:r>
    </w:p>
    <w:p w14:paraId="07F7B974" w14:textId="0E31977A"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Demographic Factors</w:t>
      </w:r>
    </w:p>
    <w:p w14:paraId="45925DCC"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H₀₂</w:t>
      </w:r>
      <w:r w:rsidRPr="00BD50AB">
        <w:rPr>
          <w:rFonts w:ascii="Times New Roman" w:hAnsi="Times New Roman" w:cs="Times New Roman"/>
          <w:sz w:val="24"/>
          <w:szCs w:val="24"/>
        </w:rPr>
        <w:t>: There is no significant difference in occupational stress levels among seafarers based on birth order.</w:t>
      </w:r>
    </w:p>
    <w:p w14:paraId="1B253FF7"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H₁₂</w:t>
      </w:r>
      <w:r w:rsidRPr="00BD50AB">
        <w:rPr>
          <w:rFonts w:ascii="Times New Roman" w:hAnsi="Times New Roman" w:cs="Times New Roman"/>
          <w:sz w:val="24"/>
          <w:szCs w:val="24"/>
        </w:rPr>
        <w:t>: There is a significant difference in occupational stress levels among seafarers based on birth order.</w:t>
      </w:r>
    </w:p>
    <w:p w14:paraId="7F13ACEF"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H₀₃</w:t>
      </w:r>
      <w:r w:rsidRPr="00BD50AB">
        <w:rPr>
          <w:rFonts w:ascii="Times New Roman" w:hAnsi="Times New Roman" w:cs="Times New Roman"/>
          <w:sz w:val="24"/>
          <w:szCs w:val="24"/>
        </w:rPr>
        <w:t>: There is no significant difference in quality of life among seafarers based on birth order.</w:t>
      </w:r>
    </w:p>
    <w:p w14:paraId="30DE5498"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H₁₃</w:t>
      </w:r>
      <w:r w:rsidRPr="00BD50AB">
        <w:rPr>
          <w:rFonts w:ascii="Times New Roman" w:hAnsi="Times New Roman" w:cs="Times New Roman"/>
          <w:sz w:val="24"/>
          <w:szCs w:val="24"/>
        </w:rPr>
        <w:t>: There is a significant difference in quality of life among seafarers based on birth order.</w:t>
      </w:r>
    </w:p>
    <w:p w14:paraId="5C602A27"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H₀₄</w:t>
      </w:r>
      <w:r w:rsidRPr="00BD50AB">
        <w:rPr>
          <w:rFonts w:ascii="Times New Roman" w:hAnsi="Times New Roman" w:cs="Times New Roman"/>
          <w:sz w:val="24"/>
          <w:szCs w:val="24"/>
        </w:rPr>
        <w:t>: There is no significant relationship between years of experience and occupational stress among seafarers.</w:t>
      </w:r>
    </w:p>
    <w:p w14:paraId="703DF953"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H₁₄</w:t>
      </w:r>
      <w:r w:rsidRPr="00BD50AB">
        <w:rPr>
          <w:rFonts w:ascii="Times New Roman" w:hAnsi="Times New Roman" w:cs="Times New Roman"/>
          <w:sz w:val="24"/>
          <w:szCs w:val="24"/>
        </w:rPr>
        <w:t>: There is a significant relationship between years of experience and occupational stress among seafarers.</w:t>
      </w:r>
    </w:p>
    <w:p w14:paraId="1492D938"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Work-Related Factors</w:t>
      </w:r>
    </w:p>
    <w:p w14:paraId="60A3FAC1"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H₀₅</w:t>
      </w:r>
      <w:r w:rsidRPr="00BD50AB">
        <w:rPr>
          <w:rFonts w:ascii="Times New Roman" w:hAnsi="Times New Roman" w:cs="Times New Roman"/>
          <w:sz w:val="24"/>
          <w:szCs w:val="24"/>
        </w:rPr>
        <w:t>: Type of cargo ship does not significantly influence the occupational stress levels among seafarers.</w:t>
      </w:r>
    </w:p>
    <w:p w14:paraId="0DD7ADE9"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H₁₅</w:t>
      </w:r>
      <w:r w:rsidRPr="00BD50AB">
        <w:rPr>
          <w:rFonts w:ascii="Times New Roman" w:hAnsi="Times New Roman" w:cs="Times New Roman"/>
          <w:sz w:val="24"/>
          <w:szCs w:val="24"/>
        </w:rPr>
        <w:t>: Type of cargo ship significantly influences the occupational stress levels among seafarers.</w:t>
      </w:r>
    </w:p>
    <w:p w14:paraId="2637776C"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H₀₆</w:t>
      </w:r>
      <w:r w:rsidRPr="00BD50AB">
        <w:rPr>
          <w:rFonts w:ascii="Times New Roman" w:hAnsi="Times New Roman" w:cs="Times New Roman"/>
          <w:sz w:val="24"/>
          <w:szCs w:val="24"/>
        </w:rPr>
        <w:t>: Designation on board does not significantly influence the occupational stress levels among seafarers.</w:t>
      </w:r>
    </w:p>
    <w:p w14:paraId="38ED316B"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H₁₆</w:t>
      </w:r>
      <w:r w:rsidRPr="00BD50AB">
        <w:rPr>
          <w:rFonts w:ascii="Times New Roman" w:hAnsi="Times New Roman" w:cs="Times New Roman"/>
          <w:sz w:val="24"/>
          <w:szCs w:val="24"/>
        </w:rPr>
        <w:t>: Designation on board significantly influences the occupational stress levels among seafarers.</w:t>
      </w:r>
    </w:p>
    <w:p w14:paraId="7E8D9EC6"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H₀₇</w:t>
      </w:r>
      <w:r w:rsidRPr="00BD50AB">
        <w:rPr>
          <w:rFonts w:ascii="Times New Roman" w:hAnsi="Times New Roman" w:cs="Times New Roman"/>
          <w:sz w:val="24"/>
          <w:szCs w:val="24"/>
        </w:rPr>
        <w:t>: Frequency of home visits does not significantly influence the occupational stress levels among seafarers.</w:t>
      </w:r>
    </w:p>
    <w:p w14:paraId="1A110805"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H₁₇</w:t>
      </w:r>
      <w:r w:rsidRPr="00BD50AB">
        <w:rPr>
          <w:rFonts w:ascii="Times New Roman" w:hAnsi="Times New Roman" w:cs="Times New Roman"/>
          <w:sz w:val="24"/>
          <w:szCs w:val="24"/>
        </w:rPr>
        <w:t>: Frequency of home visits significantly influences the occupational stress levels among seafarers.</w:t>
      </w:r>
    </w:p>
    <w:p w14:paraId="1A6D657C"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H₀₈</w:t>
      </w:r>
      <w:r w:rsidRPr="00BD50AB">
        <w:rPr>
          <w:rFonts w:ascii="Times New Roman" w:hAnsi="Times New Roman" w:cs="Times New Roman"/>
          <w:sz w:val="24"/>
          <w:szCs w:val="24"/>
        </w:rPr>
        <w:t>: Conflicts at the workplace do not significantly influence occupational stress among seafarers.</w:t>
      </w:r>
    </w:p>
    <w:p w14:paraId="71DB0C54"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H₁₈</w:t>
      </w:r>
      <w:r w:rsidRPr="00BD50AB">
        <w:rPr>
          <w:rFonts w:ascii="Times New Roman" w:hAnsi="Times New Roman" w:cs="Times New Roman"/>
          <w:sz w:val="24"/>
          <w:szCs w:val="24"/>
        </w:rPr>
        <w:t>: Conflicts at the workplace significantly influence occupational stress among seafarers.</w:t>
      </w:r>
    </w:p>
    <w:p w14:paraId="7B74DAE3"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H₀₉</w:t>
      </w:r>
      <w:r w:rsidRPr="00BD50AB">
        <w:rPr>
          <w:rFonts w:ascii="Times New Roman" w:hAnsi="Times New Roman" w:cs="Times New Roman"/>
          <w:sz w:val="24"/>
          <w:szCs w:val="24"/>
        </w:rPr>
        <w:t>: Work distribution does not significantly influence occupational stress among seafarers.</w:t>
      </w:r>
    </w:p>
    <w:p w14:paraId="4CFE37B7"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H₁₉</w:t>
      </w:r>
      <w:r w:rsidRPr="00BD50AB">
        <w:rPr>
          <w:rFonts w:ascii="Times New Roman" w:hAnsi="Times New Roman" w:cs="Times New Roman"/>
          <w:sz w:val="24"/>
          <w:szCs w:val="24"/>
        </w:rPr>
        <w:t>: Work distribution significantly influences occupational stress among seafarers.</w:t>
      </w:r>
    </w:p>
    <w:p w14:paraId="4FAC4E0F"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H₀₁₀</w:t>
      </w:r>
      <w:r w:rsidRPr="00BD50AB">
        <w:rPr>
          <w:rFonts w:ascii="Times New Roman" w:hAnsi="Times New Roman" w:cs="Times New Roman"/>
          <w:sz w:val="24"/>
          <w:szCs w:val="24"/>
        </w:rPr>
        <w:t>: Working conditions do not significantly influence the quality of life of seafarers.</w:t>
      </w:r>
    </w:p>
    <w:p w14:paraId="203B627A"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lastRenderedPageBreak/>
        <w:t>H₁₁₀</w:t>
      </w:r>
      <w:r w:rsidRPr="00BD50AB">
        <w:rPr>
          <w:rFonts w:ascii="Times New Roman" w:hAnsi="Times New Roman" w:cs="Times New Roman"/>
          <w:sz w:val="24"/>
          <w:szCs w:val="24"/>
        </w:rPr>
        <w:t>: Working conditions significantly influence the quality of life of seafarers.</w:t>
      </w:r>
    </w:p>
    <w:p w14:paraId="213DB1AC"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H₀₁₁</w:t>
      </w:r>
      <w:r w:rsidRPr="00BD50AB">
        <w:rPr>
          <w:rFonts w:ascii="Times New Roman" w:hAnsi="Times New Roman" w:cs="Times New Roman"/>
          <w:sz w:val="24"/>
          <w:szCs w:val="24"/>
        </w:rPr>
        <w:t>: Bonuses and incentives do not significantly influence the quality of life of seafarers.</w:t>
      </w:r>
    </w:p>
    <w:p w14:paraId="56D5D4AC"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H₁₁₁</w:t>
      </w:r>
      <w:r w:rsidRPr="00BD50AB">
        <w:rPr>
          <w:rFonts w:ascii="Times New Roman" w:hAnsi="Times New Roman" w:cs="Times New Roman"/>
          <w:sz w:val="24"/>
          <w:szCs w:val="24"/>
        </w:rPr>
        <w:t>: Bonuses and incentives significantly influence the quality of life of seafarers.</w:t>
      </w:r>
    </w:p>
    <w:p w14:paraId="644CA55F"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H₀₁₂</w:t>
      </w:r>
      <w:r w:rsidRPr="00BD50AB">
        <w:rPr>
          <w:rFonts w:ascii="Times New Roman" w:hAnsi="Times New Roman" w:cs="Times New Roman"/>
          <w:sz w:val="24"/>
          <w:szCs w:val="24"/>
        </w:rPr>
        <w:t>: Promotion scope does not significantly influence occupational stress among seafarers.</w:t>
      </w:r>
    </w:p>
    <w:p w14:paraId="6B711403"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H₁₁₂</w:t>
      </w:r>
      <w:r w:rsidRPr="00BD50AB">
        <w:rPr>
          <w:rFonts w:ascii="Times New Roman" w:hAnsi="Times New Roman" w:cs="Times New Roman"/>
          <w:sz w:val="24"/>
          <w:szCs w:val="24"/>
        </w:rPr>
        <w:t>: Promotion scope significantly influences occupational stress among seafarers.</w:t>
      </w:r>
    </w:p>
    <w:p w14:paraId="6C19A382"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H₀₁₃</w:t>
      </w:r>
      <w:r w:rsidRPr="00BD50AB">
        <w:rPr>
          <w:rFonts w:ascii="Times New Roman" w:hAnsi="Times New Roman" w:cs="Times New Roman"/>
          <w:sz w:val="24"/>
          <w:szCs w:val="24"/>
        </w:rPr>
        <w:t>: Salary satisfaction does not significantly influence occupational stress among seafarers.</w:t>
      </w:r>
    </w:p>
    <w:p w14:paraId="2EA2AC23"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H₁₁₃</w:t>
      </w:r>
      <w:r w:rsidRPr="00BD50AB">
        <w:rPr>
          <w:rFonts w:ascii="Times New Roman" w:hAnsi="Times New Roman" w:cs="Times New Roman"/>
          <w:sz w:val="24"/>
          <w:szCs w:val="24"/>
        </w:rPr>
        <w:t>: Salary satisfaction significantly influences occupational stress among seafarers.</w:t>
      </w:r>
    </w:p>
    <w:p w14:paraId="31B28293"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H₀₁₄</w:t>
      </w:r>
      <w:r w:rsidRPr="00BD50AB">
        <w:rPr>
          <w:rFonts w:ascii="Times New Roman" w:hAnsi="Times New Roman" w:cs="Times New Roman"/>
          <w:sz w:val="24"/>
          <w:szCs w:val="24"/>
        </w:rPr>
        <w:t>: Career continuation intentions do not significantly influence occupational stress among seafarers.</w:t>
      </w:r>
    </w:p>
    <w:p w14:paraId="2847FC4C"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H₁₁₄</w:t>
      </w:r>
      <w:r w:rsidRPr="00BD50AB">
        <w:rPr>
          <w:rFonts w:ascii="Times New Roman" w:hAnsi="Times New Roman" w:cs="Times New Roman"/>
          <w:sz w:val="24"/>
          <w:szCs w:val="24"/>
        </w:rPr>
        <w:t>: Career continuation intentions significantly influence occupational stress among seafarers.</w:t>
      </w:r>
    </w:p>
    <w:p w14:paraId="6CA6C09B"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Interaction Effects</w:t>
      </w:r>
    </w:p>
    <w:p w14:paraId="5437E1B5"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H₀₁₅</w:t>
      </w:r>
      <w:r w:rsidRPr="00BD50AB">
        <w:rPr>
          <w:rFonts w:ascii="Times New Roman" w:hAnsi="Times New Roman" w:cs="Times New Roman"/>
          <w:sz w:val="24"/>
          <w:szCs w:val="24"/>
        </w:rPr>
        <w:t>: There is no significant interaction effect between working conditions and bonuses on quality of life among seafarers.</w:t>
      </w:r>
    </w:p>
    <w:p w14:paraId="7EDAD011"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H₁₁₅</w:t>
      </w:r>
      <w:r w:rsidRPr="00BD50AB">
        <w:rPr>
          <w:rFonts w:ascii="Times New Roman" w:hAnsi="Times New Roman" w:cs="Times New Roman"/>
          <w:sz w:val="24"/>
          <w:szCs w:val="24"/>
        </w:rPr>
        <w:t>: There is a significant interaction effect between working conditions and bonuses on quality of life among seafarers.</w:t>
      </w:r>
    </w:p>
    <w:p w14:paraId="2B6D0AEC"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H₀₁₆</w:t>
      </w:r>
      <w:r w:rsidRPr="00BD50AB">
        <w:rPr>
          <w:rFonts w:ascii="Times New Roman" w:hAnsi="Times New Roman" w:cs="Times New Roman"/>
          <w:sz w:val="24"/>
          <w:szCs w:val="24"/>
        </w:rPr>
        <w:t>: There is no significant interaction effect between type of cargo ship and promotion scope on quality of life among seafarers.</w:t>
      </w:r>
    </w:p>
    <w:p w14:paraId="1148C532"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H₁₁₆</w:t>
      </w:r>
      <w:r w:rsidRPr="00BD50AB">
        <w:rPr>
          <w:rFonts w:ascii="Times New Roman" w:hAnsi="Times New Roman" w:cs="Times New Roman"/>
          <w:sz w:val="24"/>
          <w:szCs w:val="24"/>
        </w:rPr>
        <w:t>: There is a significant interaction effect between type of cargo ship and promotion scope on quality of life among seafarers.</w:t>
      </w:r>
    </w:p>
    <w:p w14:paraId="2FC1D141"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H₀₁₇</w:t>
      </w:r>
      <w:r w:rsidRPr="00BD50AB">
        <w:rPr>
          <w:rFonts w:ascii="Times New Roman" w:hAnsi="Times New Roman" w:cs="Times New Roman"/>
          <w:sz w:val="24"/>
          <w:szCs w:val="24"/>
        </w:rPr>
        <w:t>: There is no significant interaction effect between home visit frequency and workplace conflict on the quality of life of seafarers.</w:t>
      </w:r>
    </w:p>
    <w:p w14:paraId="39856608"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H₁₁₇</w:t>
      </w:r>
      <w:r w:rsidRPr="00BD50AB">
        <w:rPr>
          <w:rFonts w:ascii="Times New Roman" w:hAnsi="Times New Roman" w:cs="Times New Roman"/>
          <w:sz w:val="24"/>
          <w:szCs w:val="24"/>
        </w:rPr>
        <w:t>: There is a significant interaction effect between home visit frequency and workplace conflict on the quality of life of seafarers.</w:t>
      </w:r>
    </w:p>
    <w:p w14:paraId="4DA81C51"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Factor Structure Hypothesis</w:t>
      </w:r>
    </w:p>
    <w:p w14:paraId="45534058" w14:textId="77777777" w:rsidR="00E47ECF" w:rsidRPr="00BD50AB" w:rsidRDefault="00E47ECF" w:rsidP="00BD50AB">
      <w:pPr>
        <w:numPr>
          <w:ilvl w:val="0"/>
          <w:numId w:val="8"/>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H₀₁₈</w:t>
      </w:r>
      <w:r w:rsidRPr="00BD50AB">
        <w:rPr>
          <w:rFonts w:ascii="Times New Roman" w:hAnsi="Times New Roman" w:cs="Times New Roman"/>
          <w:sz w:val="24"/>
          <w:szCs w:val="24"/>
        </w:rPr>
        <w:t>: There are no underlying latent factors within the occupational stress indicators measured in this study.</w:t>
      </w:r>
    </w:p>
    <w:p w14:paraId="0F51DA44" w14:textId="3A097472" w:rsidR="00E47ECF" w:rsidRPr="00BD50AB" w:rsidRDefault="00E47ECF" w:rsidP="00BD50AB">
      <w:pPr>
        <w:numPr>
          <w:ilvl w:val="0"/>
          <w:numId w:val="8"/>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H₁₁₈</w:t>
      </w:r>
      <w:r w:rsidRPr="00BD50AB">
        <w:rPr>
          <w:rFonts w:ascii="Times New Roman" w:hAnsi="Times New Roman" w:cs="Times New Roman"/>
          <w:sz w:val="24"/>
          <w:szCs w:val="24"/>
        </w:rPr>
        <w:t>: There are one or more latent factors underlying the occupational stress indicators measured in this study.</w:t>
      </w:r>
    </w:p>
    <w:p w14:paraId="53E6A861"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Research Questions</w:t>
      </w:r>
    </w:p>
    <w:p w14:paraId="52D678DD" w14:textId="77777777" w:rsidR="00E47ECF" w:rsidRPr="00BD50AB" w:rsidRDefault="00E47ECF" w:rsidP="00BD50AB">
      <w:pPr>
        <w:numPr>
          <w:ilvl w:val="0"/>
          <w:numId w:val="9"/>
        </w:num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What is the nature of the relationship between occupational stress and quality of life among seafarers?</w:t>
      </w:r>
    </w:p>
    <w:p w14:paraId="08E79825" w14:textId="77777777" w:rsidR="00E47ECF" w:rsidRPr="00BD50AB" w:rsidRDefault="00E47ECF" w:rsidP="00BD50AB">
      <w:pPr>
        <w:numPr>
          <w:ilvl w:val="0"/>
          <w:numId w:val="9"/>
        </w:num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Do demographic characteristics, such as birth order and years of experience, influence occupational stress and quality of life?</w:t>
      </w:r>
    </w:p>
    <w:p w14:paraId="37C47F76" w14:textId="77777777" w:rsidR="00E47ECF" w:rsidRPr="00BD50AB" w:rsidRDefault="00E47ECF" w:rsidP="00BD50AB">
      <w:pPr>
        <w:numPr>
          <w:ilvl w:val="0"/>
          <w:numId w:val="9"/>
        </w:num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How do work-related factors—such as type of cargo ship, designation, promotion opportunities, working conditions, and incentives—impact occupational stress and quality of life?</w:t>
      </w:r>
    </w:p>
    <w:p w14:paraId="085A984E" w14:textId="77777777" w:rsidR="00E47ECF" w:rsidRPr="00BD50AB" w:rsidRDefault="00E47ECF" w:rsidP="00BD50AB">
      <w:pPr>
        <w:numPr>
          <w:ilvl w:val="0"/>
          <w:numId w:val="9"/>
        </w:num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Are there significant interaction effects among selected workplace variables (e.g., working conditions, bonuses, promotion scope) on the quality of life of seafarers?</w:t>
      </w:r>
    </w:p>
    <w:p w14:paraId="552E3BB6" w14:textId="2FE2FA90" w:rsidR="00846FA5" w:rsidRPr="00BD50AB" w:rsidRDefault="00E47ECF" w:rsidP="00BD50AB">
      <w:pPr>
        <w:numPr>
          <w:ilvl w:val="0"/>
          <w:numId w:val="9"/>
        </w:num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What latent constructs can be identified within occupational stress dimensions through factor analysis?</w:t>
      </w:r>
    </w:p>
    <w:p w14:paraId="66EA3731" w14:textId="3A9B1A4D" w:rsidR="00846FA5" w:rsidRPr="00BD50AB" w:rsidRDefault="00E47ECF" w:rsidP="00BD50AB">
      <w:pPr>
        <w:tabs>
          <w:tab w:val="left" w:pos="300"/>
        </w:tabs>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xml:space="preserve">Research Methodology </w:t>
      </w:r>
    </w:p>
    <w:p w14:paraId="7ECE5DE1" w14:textId="3EBE0A6B" w:rsidR="00E47ECF" w:rsidRPr="00BD50AB" w:rsidRDefault="00E47ECF" w:rsidP="00BD50AB">
      <w:pPr>
        <w:tabs>
          <w:tab w:val="left" w:pos="300"/>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The research evaluated occupational stress and quality of life (QOL) in 80 male seafarers in Goa, aged 21 to 60, using a convenience sampling technique. Grouping variables included demographic and occupational factors such as age, qualification, birth order, ship type, designation, experience, home visits, insurance, pension, work distribution, working conditions, bonuses, promotion scope, salary benefits, and career duration. Dr. A. K. Srivastav and Dr. A. P. Singh's Occupational Stress Index (OSI) was employed, consisting of 46 items across 12 dimensions (for instance, role overload, ambiguity, conflict, group pressures, under participation, etc.), demonstrating high reliability (Cronbach's α = 0.90) and established validity. Quality of life was assessed using the WHOQOL-BREF from the World Health Organization, covering physical, psychological, social, and environmental aspects, with high reliability in most areas (α &gt; 0.8) and validated discriminant validity. Data was collected via a personal data sheet and standardized questionnaires, and subsequently </w:t>
      </w:r>
      <w:proofErr w:type="spellStart"/>
      <w:r w:rsidRPr="00BD50AB">
        <w:rPr>
          <w:rFonts w:ascii="Times New Roman" w:hAnsi="Times New Roman" w:cs="Times New Roman"/>
          <w:sz w:val="24"/>
          <w:szCs w:val="24"/>
        </w:rPr>
        <w:t>analyzed</w:t>
      </w:r>
      <w:proofErr w:type="spellEnd"/>
      <w:r w:rsidRPr="00BD50AB">
        <w:rPr>
          <w:rFonts w:ascii="Times New Roman" w:hAnsi="Times New Roman" w:cs="Times New Roman"/>
          <w:sz w:val="24"/>
          <w:szCs w:val="24"/>
        </w:rPr>
        <w:t xml:space="preserve"> with </w:t>
      </w:r>
      <w:proofErr w:type="spellStart"/>
      <w:r w:rsidRPr="00BD50AB">
        <w:rPr>
          <w:rFonts w:ascii="Times New Roman" w:hAnsi="Times New Roman" w:cs="Times New Roman"/>
          <w:sz w:val="24"/>
          <w:szCs w:val="24"/>
        </w:rPr>
        <w:t>Jamovi</w:t>
      </w:r>
      <w:proofErr w:type="spellEnd"/>
      <w:r w:rsidRPr="00BD50AB">
        <w:rPr>
          <w:rFonts w:ascii="Times New Roman" w:hAnsi="Times New Roman" w:cs="Times New Roman"/>
          <w:sz w:val="24"/>
          <w:szCs w:val="24"/>
        </w:rPr>
        <w:t xml:space="preserve">  and Microsoft Excel. The methodologies included descriptive statistics, Pearson correlation, one-way and two-way ANOVA, t-tests, and Exploratory factor analysis to test  hypotheses and assess stress-QOL associations, subgroup differences, and interaction effects.</w:t>
      </w:r>
    </w:p>
    <w:p w14:paraId="221DF02E" w14:textId="04A48AC9" w:rsidR="00AE14E3" w:rsidRPr="00BD50AB" w:rsidRDefault="00D23A8D"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DATA ANALYSIS AND INTERPRETAION</w:t>
      </w:r>
    </w:p>
    <w:p w14:paraId="5B17819E" w14:textId="44AF5980" w:rsidR="00AE14E3" w:rsidRPr="00BD50AB" w:rsidRDefault="00AE14E3"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DESCRIPTIVE STATISTICS OF OSI </w:t>
      </w:r>
    </w:p>
    <w:tbl>
      <w:tblPr>
        <w:tblStyle w:val="TableGrid"/>
        <w:tblW w:w="10767" w:type="dxa"/>
        <w:tblInd w:w="-572" w:type="dxa"/>
        <w:tblLook w:val="04A0" w:firstRow="1" w:lastRow="0" w:firstColumn="1" w:lastColumn="0" w:noHBand="0" w:noVBand="1"/>
      </w:tblPr>
      <w:tblGrid>
        <w:gridCol w:w="743"/>
        <w:gridCol w:w="482"/>
        <w:gridCol w:w="656"/>
        <w:gridCol w:w="729"/>
        <w:gridCol w:w="604"/>
        <w:gridCol w:w="867"/>
        <w:gridCol w:w="900"/>
        <w:gridCol w:w="1110"/>
        <w:gridCol w:w="900"/>
        <w:gridCol w:w="663"/>
        <w:gridCol w:w="992"/>
        <w:gridCol w:w="505"/>
        <w:gridCol w:w="690"/>
        <w:gridCol w:w="926"/>
      </w:tblGrid>
      <w:tr w:rsidR="00C80E04" w:rsidRPr="00BD50AB" w14:paraId="3AC3C397" w14:textId="77777777" w:rsidTr="00D23A8D">
        <w:tc>
          <w:tcPr>
            <w:tcW w:w="10767" w:type="dxa"/>
            <w:gridSpan w:val="14"/>
            <w:hideMark/>
          </w:tcPr>
          <w:p w14:paraId="7254D030"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sz w:val="24"/>
                <w:szCs w:val="24"/>
              </w:rPr>
              <w:t>Descriptives</w:t>
            </w:r>
          </w:p>
        </w:tc>
      </w:tr>
      <w:tr w:rsidR="00CF166F" w:rsidRPr="00BD50AB" w14:paraId="54BEE7F9" w14:textId="77777777" w:rsidTr="00D23A8D">
        <w:tc>
          <w:tcPr>
            <w:tcW w:w="743" w:type="dxa"/>
            <w:hideMark/>
          </w:tcPr>
          <w:p w14:paraId="03333EF7" w14:textId="1E631652" w:rsidR="00C80E04" w:rsidRPr="00BD50AB" w:rsidRDefault="00C80E04" w:rsidP="00BD50AB">
            <w:pPr>
              <w:spacing w:line="360" w:lineRule="auto"/>
              <w:jc w:val="both"/>
              <w:rPr>
                <w:rFonts w:ascii="Times New Roman" w:hAnsi="Times New Roman" w:cs="Times New Roman"/>
                <w:sz w:val="24"/>
                <w:szCs w:val="24"/>
              </w:rPr>
            </w:pPr>
          </w:p>
        </w:tc>
        <w:tc>
          <w:tcPr>
            <w:tcW w:w="482" w:type="dxa"/>
            <w:hideMark/>
          </w:tcPr>
          <w:p w14:paraId="60034BAA"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OSI</w:t>
            </w:r>
          </w:p>
        </w:tc>
        <w:tc>
          <w:tcPr>
            <w:tcW w:w="0" w:type="auto"/>
            <w:hideMark/>
          </w:tcPr>
          <w:p w14:paraId="797AB2F7"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Role Ove</w:t>
            </w:r>
            <w:r w:rsidRPr="00BD50AB">
              <w:rPr>
                <w:rFonts w:ascii="Times New Roman" w:hAnsi="Times New Roman" w:cs="Times New Roman"/>
                <w:sz w:val="24"/>
                <w:szCs w:val="24"/>
              </w:rPr>
              <w:lastRenderedPageBreak/>
              <w:t>rload</w:t>
            </w:r>
          </w:p>
        </w:tc>
        <w:tc>
          <w:tcPr>
            <w:tcW w:w="0" w:type="auto"/>
            <w:hideMark/>
          </w:tcPr>
          <w:p w14:paraId="7330A863"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Role Ambiguity</w:t>
            </w:r>
          </w:p>
        </w:tc>
        <w:tc>
          <w:tcPr>
            <w:tcW w:w="0" w:type="auto"/>
            <w:hideMark/>
          </w:tcPr>
          <w:p w14:paraId="2CB8C525"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Role Co</w:t>
            </w:r>
            <w:r w:rsidRPr="00BD50AB">
              <w:rPr>
                <w:rFonts w:ascii="Times New Roman" w:hAnsi="Times New Roman" w:cs="Times New Roman"/>
                <w:sz w:val="24"/>
                <w:szCs w:val="24"/>
              </w:rPr>
              <w:lastRenderedPageBreak/>
              <w:t>nflict</w:t>
            </w:r>
          </w:p>
        </w:tc>
        <w:tc>
          <w:tcPr>
            <w:tcW w:w="0" w:type="auto"/>
            <w:hideMark/>
          </w:tcPr>
          <w:p w14:paraId="476FD490"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 xml:space="preserve">Unreasonable Group </w:t>
            </w:r>
            <w:r w:rsidRPr="00BD50AB">
              <w:rPr>
                <w:rFonts w:ascii="Times New Roman" w:hAnsi="Times New Roman" w:cs="Times New Roman"/>
                <w:sz w:val="24"/>
                <w:szCs w:val="24"/>
              </w:rPr>
              <w:lastRenderedPageBreak/>
              <w:t>And Political Pressures</w:t>
            </w:r>
          </w:p>
        </w:tc>
        <w:tc>
          <w:tcPr>
            <w:tcW w:w="0" w:type="auto"/>
            <w:hideMark/>
          </w:tcPr>
          <w:p w14:paraId="283A7407"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 xml:space="preserve">Responsibility For </w:t>
            </w:r>
            <w:r w:rsidRPr="00BD50AB">
              <w:rPr>
                <w:rFonts w:ascii="Times New Roman" w:hAnsi="Times New Roman" w:cs="Times New Roman"/>
                <w:sz w:val="24"/>
                <w:szCs w:val="24"/>
              </w:rPr>
              <w:lastRenderedPageBreak/>
              <w:t>Persons</w:t>
            </w:r>
          </w:p>
        </w:tc>
        <w:tc>
          <w:tcPr>
            <w:tcW w:w="0" w:type="auto"/>
            <w:hideMark/>
          </w:tcPr>
          <w:p w14:paraId="6581F09B" w14:textId="77777777" w:rsidR="00C80E04" w:rsidRPr="00BD50AB" w:rsidRDefault="00C80E04" w:rsidP="00BD50AB">
            <w:pPr>
              <w:spacing w:line="360" w:lineRule="auto"/>
              <w:jc w:val="both"/>
              <w:rPr>
                <w:rFonts w:ascii="Times New Roman" w:hAnsi="Times New Roman" w:cs="Times New Roman"/>
                <w:sz w:val="24"/>
                <w:szCs w:val="24"/>
              </w:rPr>
            </w:pPr>
            <w:proofErr w:type="spellStart"/>
            <w:r w:rsidRPr="00BD50AB">
              <w:rPr>
                <w:rFonts w:ascii="Times New Roman" w:hAnsi="Times New Roman" w:cs="Times New Roman"/>
                <w:sz w:val="24"/>
                <w:szCs w:val="24"/>
              </w:rPr>
              <w:lastRenderedPageBreak/>
              <w:t>Underparticipation</w:t>
            </w:r>
            <w:proofErr w:type="spellEnd"/>
          </w:p>
        </w:tc>
        <w:tc>
          <w:tcPr>
            <w:tcW w:w="0" w:type="auto"/>
            <w:hideMark/>
          </w:tcPr>
          <w:p w14:paraId="44F84FC3"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Powerlessness</w:t>
            </w:r>
          </w:p>
        </w:tc>
        <w:tc>
          <w:tcPr>
            <w:tcW w:w="0" w:type="auto"/>
            <w:hideMark/>
          </w:tcPr>
          <w:p w14:paraId="0518C36F"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Poor Peer Rela</w:t>
            </w:r>
            <w:r w:rsidRPr="00BD50AB">
              <w:rPr>
                <w:rFonts w:ascii="Times New Roman" w:hAnsi="Times New Roman" w:cs="Times New Roman"/>
                <w:sz w:val="24"/>
                <w:szCs w:val="24"/>
              </w:rPr>
              <w:lastRenderedPageBreak/>
              <w:t>tions</w:t>
            </w:r>
          </w:p>
        </w:tc>
        <w:tc>
          <w:tcPr>
            <w:tcW w:w="0" w:type="auto"/>
            <w:hideMark/>
          </w:tcPr>
          <w:p w14:paraId="220E39C4"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Intrinsic Impove</w:t>
            </w:r>
            <w:r w:rsidRPr="00BD50AB">
              <w:rPr>
                <w:rFonts w:ascii="Times New Roman" w:hAnsi="Times New Roman" w:cs="Times New Roman"/>
                <w:sz w:val="24"/>
                <w:szCs w:val="24"/>
              </w:rPr>
              <w:lastRenderedPageBreak/>
              <w:t>rishment</w:t>
            </w:r>
          </w:p>
        </w:tc>
        <w:tc>
          <w:tcPr>
            <w:tcW w:w="0" w:type="auto"/>
            <w:hideMark/>
          </w:tcPr>
          <w:p w14:paraId="16CACFC6"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Low St</w:t>
            </w:r>
            <w:r w:rsidRPr="00BD50AB">
              <w:rPr>
                <w:rFonts w:ascii="Times New Roman" w:hAnsi="Times New Roman" w:cs="Times New Roman"/>
                <w:sz w:val="24"/>
                <w:szCs w:val="24"/>
              </w:rPr>
              <w:lastRenderedPageBreak/>
              <w:t>atus</w:t>
            </w:r>
          </w:p>
        </w:tc>
        <w:tc>
          <w:tcPr>
            <w:tcW w:w="0" w:type="auto"/>
            <w:hideMark/>
          </w:tcPr>
          <w:p w14:paraId="7D91A1EA"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Strenuous Wor</w:t>
            </w:r>
            <w:r w:rsidRPr="00BD50AB">
              <w:rPr>
                <w:rFonts w:ascii="Times New Roman" w:hAnsi="Times New Roman" w:cs="Times New Roman"/>
                <w:sz w:val="24"/>
                <w:szCs w:val="24"/>
              </w:rPr>
              <w:lastRenderedPageBreak/>
              <w:t>king Condition</w:t>
            </w:r>
          </w:p>
        </w:tc>
        <w:tc>
          <w:tcPr>
            <w:tcW w:w="0" w:type="auto"/>
            <w:hideMark/>
          </w:tcPr>
          <w:p w14:paraId="56FD76AE"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Unprofitability</w:t>
            </w:r>
          </w:p>
        </w:tc>
      </w:tr>
      <w:tr w:rsidR="00CF166F" w:rsidRPr="00BD50AB" w14:paraId="776E48AD" w14:textId="77777777" w:rsidTr="00D23A8D">
        <w:tc>
          <w:tcPr>
            <w:tcW w:w="743" w:type="dxa"/>
            <w:hideMark/>
          </w:tcPr>
          <w:p w14:paraId="3AD6117A"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N</w:t>
            </w:r>
          </w:p>
        </w:tc>
        <w:tc>
          <w:tcPr>
            <w:tcW w:w="482" w:type="dxa"/>
            <w:hideMark/>
          </w:tcPr>
          <w:p w14:paraId="41693CE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7D51491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326F0BB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69225E0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667D080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65A8FEA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1F3F3DC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583158E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782C617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59A32FD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646F8527"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2554038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2318547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r>
      <w:tr w:rsidR="00CF166F" w:rsidRPr="00BD50AB" w14:paraId="65E60444" w14:textId="77777777" w:rsidTr="00D23A8D">
        <w:tc>
          <w:tcPr>
            <w:tcW w:w="743" w:type="dxa"/>
            <w:hideMark/>
          </w:tcPr>
          <w:p w14:paraId="5CE70C0F"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Missing</w:t>
            </w:r>
          </w:p>
        </w:tc>
        <w:tc>
          <w:tcPr>
            <w:tcW w:w="482" w:type="dxa"/>
            <w:hideMark/>
          </w:tcPr>
          <w:p w14:paraId="26C674F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2682EA1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075A9E6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3A7C153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454778A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61EBD6E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2F9F9BD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192AEEC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1F1760C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5EE857E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1281402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03875FC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7B722AE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r>
      <w:tr w:rsidR="00CF166F" w:rsidRPr="00BD50AB" w14:paraId="0D2DAACC" w14:textId="77777777" w:rsidTr="00D23A8D">
        <w:tc>
          <w:tcPr>
            <w:tcW w:w="743" w:type="dxa"/>
            <w:hideMark/>
          </w:tcPr>
          <w:p w14:paraId="443E7ED8"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Mean</w:t>
            </w:r>
          </w:p>
        </w:tc>
        <w:tc>
          <w:tcPr>
            <w:tcW w:w="482" w:type="dxa"/>
            <w:hideMark/>
          </w:tcPr>
          <w:p w14:paraId="2C94EBA7"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128</w:t>
            </w:r>
          </w:p>
        </w:tc>
        <w:tc>
          <w:tcPr>
            <w:tcW w:w="0" w:type="auto"/>
            <w:hideMark/>
          </w:tcPr>
          <w:p w14:paraId="68212E9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19.0</w:t>
            </w:r>
          </w:p>
        </w:tc>
        <w:tc>
          <w:tcPr>
            <w:tcW w:w="0" w:type="auto"/>
            <w:hideMark/>
          </w:tcPr>
          <w:p w14:paraId="5C048D2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7.83</w:t>
            </w:r>
          </w:p>
        </w:tc>
        <w:tc>
          <w:tcPr>
            <w:tcW w:w="0" w:type="auto"/>
            <w:hideMark/>
          </w:tcPr>
          <w:p w14:paraId="35A6E8A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14.1</w:t>
            </w:r>
          </w:p>
        </w:tc>
        <w:tc>
          <w:tcPr>
            <w:tcW w:w="0" w:type="auto"/>
            <w:hideMark/>
          </w:tcPr>
          <w:p w14:paraId="5F383B5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12.3</w:t>
            </w:r>
          </w:p>
        </w:tc>
        <w:tc>
          <w:tcPr>
            <w:tcW w:w="0" w:type="auto"/>
            <w:hideMark/>
          </w:tcPr>
          <w:p w14:paraId="0B48547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11.9</w:t>
            </w:r>
          </w:p>
        </w:tc>
        <w:tc>
          <w:tcPr>
            <w:tcW w:w="0" w:type="auto"/>
            <w:hideMark/>
          </w:tcPr>
          <w:p w14:paraId="70DC277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10.3</w:t>
            </w:r>
          </w:p>
        </w:tc>
        <w:tc>
          <w:tcPr>
            <w:tcW w:w="0" w:type="auto"/>
            <w:hideMark/>
          </w:tcPr>
          <w:p w14:paraId="48E4390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7.85</w:t>
            </w:r>
          </w:p>
        </w:tc>
        <w:tc>
          <w:tcPr>
            <w:tcW w:w="0" w:type="auto"/>
            <w:hideMark/>
          </w:tcPr>
          <w:p w14:paraId="766CD885"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12.1</w:t>
            </w:r>
          </w:p>
        </w:tc>
        <w:tc>
          <w:tcPr>
            <w:tcW w:w="0" w:type="auto"/>
            <w:hideMark/>
          </w:tcPr>
          <w:p w14:paraId="48BB66B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11.2</w:t>
            </w:r>
          </w:p>
        </w:tc>
        <w:tc>
          <w:tcPr>
            <w:tcW w:w="0" w:type="auto"/>
            <w:hideMark/>
          </w:tcPr>
          <w:p w14:paraId="58616DC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6.05</w:t>
            </w:r>
          </w:p>
        </w:tc>
        <w:tc>
          <w:tcPr>
            <w:tcW w:w="0" w:type="auto"/>
            <w:hideMark/>
          </w:tcPr>
          <w:p w14:paraId="2CBC39B7"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11.2</w:t>
            </w:r>
          </w:p>
        </w:tc>
        <w:tc>
          <w:tcPr>
            <w:tcW w:w="0" w:type="auto"/>
            <w:hideMark/>
          </w:tcPr>
          <w:p w14:paraId="4BFEE89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4.66</w:t>
            </w:r>
          </w:p>
        </w:tc>
      </w:tr>
      <w:tr w:rsidR="00CF166F" w:rsidRPr="00BD50AB" w14:paraId="218DD5D5" w14:textId="77777777" w:rsidTr="00D23A8D">
        <w:tc>
          <w:tcPr>
            <w:tcW w:w="743" w:type="dxa"/>
            <w:hideMark/>
          </w:tcPr>
          <w:p w14:paraId="2BFE0198"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Median</w:t>
            </w:r>
          </w:p>
        </w:tc>
        <w:tc>
          <w:tcPr>
            <w:tcW w:w="482" w:type="dxa"/>
            <w:hideMark/>
          </w:tcPr>
          <w:p w14:paraId="4A8FE18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128</w:t>
            </w:r>
          </w:p>
        </w:tc>
        <w:tc>
          <w:tcPr>
            <w:tcW w:w="0" w:type="auto"/>
            <w:hideMark/>
          </w:tcPr>
          <w:p w14:paraId="0CCB286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19.0</w:t>
            </w:r>
          </w:p>
        </w:tc>
        <w:tc>
          <w:tcPr>
            <w:tcW w:w="0" w:type="auto"/>
            <w:hideMark/>
          </w:tcPr>
          <w:p w14:paraId="68D9814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7.00</w:t>
            </w:r>
          </w:p>
        </w:tc>
        <w:tc>
          <w:tcPr>
            <w:tcW w:w="0" w:type="auto"/>
            <w:hideMark/>
          </w:tcPr>
          <w:p w14:paraId="7B428CA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14.0</w:t>
            </w:r>
          </w:p>
        </w:tc>
        <w:tc>
          <w:tcPr>
            <w:tcW w:w="0" w:type="auto"/>
            <w:hideMark/>
          </w:tcPr>
          <w:p w14:paraId="431A3A5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13.0</w:t>
            </w:r>
          </w:p>
        </w:tc>
        <w:tc>
          <w:tcPr>
            <w:tcW w:w="0" w:type="auto"/>
            <w:hideMark/>
          </w:tcPr>
          <w:p w14:paraId="603D99B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12.0</w:t>
            </w:r>
          </w:p>
        </w:tc>
        <w:tc>
          <w:tcPr>
            <w:tcW w:w="0" w:type="auto"/>
            <w:hideMark/>
          </w:tcPr>
          <w:p w14:paraId="363DCC9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10.0</w:t>
            </w:r>
          </w:p>
        </w:tc>
        <w:tc>
          <w:tcPr>
            <w:tcW w:w="0" w:type="auto"/>
            <w:hideMark/>
          </w:tcPr>
          <w:p w14:paraId="7BDF1DB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8.00</w:t>
            </w:r>
          </w:p>
        </w:tc>
        <w:tc>
          <w:tcPr>
            <w:tcW w:w="0" w:type="auto"/>
            <w:hideMark/>
          </w:tcPr>
          <w:p w14:paraId="3983D34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12.0</w:t>
            </w:r>
          </w:p>
        </w:tc>
        <w:tc>
          <w:tcPr>
            <w:tcW w:w="0" w:type="auto"/>
            <w:hideMark/>
          </w:tcPr>
          <w:p w14:paraId="114DA79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11.0</w:t>
            </w:r>
          </w:p>
        </w:tc>
        <w:tc>
          <w:tcPr>
            <w:tcW w:w="0" w:type="auto"/>
            <w:hideMark/>
          </w:tcPr>
          <w:p w14:paraId="6B23CA7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6.00</w:t>
            </w:r>
          </w:p>
        </w:tc>
        <w:tc>
          <w:tcPr>
            <w:tcW w:w="0" w:type="auto"/>
            <w:hideMark/>
          </w:tcPr>
          <w:p w14:paraId="571AF2F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11.0</w:t>
            </w:r>
          </w:p>
        </w:tc>
        <w:tc>
          <w:tcPr>
            <w:tcW w:w="0" w:type="auto"/>
            <w:hideMark/>
          </w:tcPr>
          <w:p w14:paraId="3FE7254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4.00</w:t>
            </w:r>
          </w:p>
        </w:tc>
      </w:tr>
      <w:tr w:rsidR="00CF166F" w:rsidRPr="00BD50AB" w14:paraId="7D23768D" w14:textId="77777777" w:rsidTr="00D23A8D">
        <w:tc>
          <w:tcPr>
            <w:tcW w:w="743" w:type="dxa"/>
            <w:hideMark/>
          </w:tcPr>
          <w:p w14:paraId="59511954"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Standard deviation</w:t>
            </w:r>
          </w:p>
        </w:tc>
        <w:tc>
          <w:tcPr>
            <w:tcW w:w="482" w:type="dxa"/>
            <w:hideMark/>
          </w:tcPr>
          <w:p w14:paraId="17459A4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9.87</w:t>
            </w:r>
          </w:p>
        </w:tc>
        <w:tc>
          <w:tcPr>
            <w:tcW w:w="0" w:type="auto"/>
            <w:hideMark/>
          </w:tcPr>
          <w:p w14:paraId="643BC1A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3.37</w:t>
            </w:r>
          </w:p>
        </w:tc>
        <w:tc>
          <w:tcPr>
            <w:tcW w:w="0" w:type="auto"/>
            <w:hideMark/>
          </w:tcPr>
          <w:p w14:paraId="6380D7D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2.47</w:t>
            </w:r>
          </w:p>
        </w:tc>
        <w:tc>
          <w:tcPr>
            <w:tcW w:w="0" w:type="auto"/>
            <w:hideMark/>
          </w:tcPr>
          <w:p w14:paraId="60E456F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2.08</w:t>
            </w:r>
          </w:p>
        </w:tc>
        <w:tc>
          <w:tcPr>
            <w:tcW w:w="0" w:type="auto"/>
            <w:hideMark/>
          </w:tcPr>
          <w:p w14:paraId="32E882F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2.63</w:t>
            </w:r>
          </w:p>
        </w:tc>
        <w:tc>
          <w:tcPr>
            <w:tcW w:w="0" w:type="auto"/>
            <w:hideMark/>
          </w:tcPr>
          <w:p w14:paraId="1CF4292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2.10</w:t>
            </w:r>
          </w:p>
        </w:tc>
        <w:tc>
          <w:tcPr>
            <w:tcW w:w="0" w:type="auto"/>
            <w:hideMark/>
          </w:tcPr>
          <w:p w14:paraId="5DDB693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2.72</w:t>
            </w:r>
          </w:p>
        </w:tc>
        <w:tc>
          <w:tcPr>
            <w:tcW w:w="0" w:type="auto"/>
            <w:hideMark/>
          </w:tcPr>
          <w:p w14:paraId="4560A86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1.41</w:t>
            </w:r>
          </w:p>
        </w:tc>
        <w:tc>
          <w:tcPr>
            <w:tcW w:w="0" w:type="auto"/>
            <w:hideMark/>
          </w:tcPr>
          <w:p w14:paraId="2829DC4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1.70</w:t>
            </w:r>
          </w:p>
        </w:tc>
        <w:tc>
          <w:tcPr>
            <w:tcW w:w="0" w:type="auto"/>
            <w:hideMark/>
          </w:tcPr>
          <w:p w14:paraId="68F352B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1.32</w:t>
            </w:r>
          </w:p>
        </w:tc>
        <w:tc>
          <w:tcPr>
            <w:tcW w:w="0" w:type="auto"/>
            <w:hideMark/>
          </w:tcPr>
          <w:p w14:paraId="59BA5ED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1.71</w:t>
            </w:r>
          </w:p>
        </w:tc>
        <w:tc>
          <w:tcPr>
            <w:tcW w:w="0" w:type="auto"/>
            <w:hideMark/>
          </w:tcPr>
          <w:p w14:paraId="5DD68A05"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2.21</w:t>
            </w:r>
          </w:p>
        </w:tc>
        <w:tc>
          <w:tcPr>
            <w:tcW w:w="0" w:type="auto"/>
            <w:hideMark/>
          </w:tcPr>
          <w:p w14:paraId="0A79C91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1.56</w:t>
            </w:r>
          </w:p>
        </w:tc>
      </w:tr>
      <w:tr w:rsidR="00CF166F" w:rsidRPr="00BD50AB" w14:paraId="342744A7" w14:textId="77777777" w:rsidTr="00D23A8D">
        <w:tc>
          <w:tcPr>
            <w:tcW w:w="743" w:type="dxa"/>
            <w:hideMark/>
          </w:tcPr>
          <w:p w14:paraId="5487F635"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Minimum</w:t>
            </w:r>
          </w:p>
        </w:tc>
        <w:tc>
          <w:tcPr>
            <w:tcW w:w="482" w:type="dxa"/>
            <w:hideMark/>
          </w:tcPr>
          <w:p w14:paraId="7EFD3A2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99</w:t>
            </w:r>
          </w:p>
        </w:tc>
        <w:tc>
          <w:tcPr>
            <w:tcW w:w="0" w:type="auto"/>
            <w:hideMark/>
          </w:tcPr>
          <w:p w14:paraId="53ADB1E7"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w:t>
            </w:r>
          </w:p>
        </w:tc>
        <w:tc>
          <w:tcPr>
            <w:tcW w:w="0" w:type="auto"/>
            <w:hideMark/>
          </w:tcPr>
          <w:p w14:paraId="498ED7F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07FEF70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9</w:t>
            </w:r>
          </w:p>
        </w:tc>
        <w:tc>
          <w:tcPr>
            <w:tcW w:w="0" w:type="auto"/>
            <w:hideMark/>
          </w:tcPr>
          <w:p w14:paraId="5B58273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5FE4D74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w:t>
            </w:r>
          </w:p>
        </w:tc>
        <w:tc>
          <w:tcPr>
            <w:tcW w:w="0" w:type="auto"/>
            <w:hideMark/>
          </w:tcPr>
          <w:p w14:paraId="69245D8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w:t>
            </w:r>
          </w:p>
        </w:tc>
        <w:tc>
          <w:tcPr>
            <w:tcW w:w="0" w:type="auto"/>
            <w:hideMark/>
          </w:tcPr>
          <w:p w14:paraId="33257CA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402C06B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w:t>
            </w:r>
          </w:p>
        </w:tc>
        <w:tc>
          <w:tcPr>
            <w:tcW w:w="0" w:type="auto"/>
            <w:hideMark/>
          </w:tcPr>
          <w:p w14:paraId="740B1BA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w:t>
            </w:r>
          </w:p>
        </w:tc>
        <w:tc>
          <w:tcPr>
            <w:tcW w:w="0" w:type="auto"/>
            <w:hideMark/>
          </w:tcPr>
          <w:p w14:paraId="692FFEAD"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3</w:t>
            </w:r>
          </w:p>
        </w:tc>
        <w:tc>
          <w:tcPr>
            <w:tcW w:w="0" w:type="auto"/>
            <w:hideMark/>
          </w:tcPr>
          <w:p w14:paraId="714A112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7</w:t>
            </w:r>
          </w:p>
        </w:tc>
        <w:tc>
          <w:tcPr>
            <w:tcW w:w="0" w:type="auto"/>
            <w:hideMark/>
          </w:tcPr>
          <w:p w14:paraId="418205D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r>
      <w:tr w:rsidR="00CF166F" w:rsidRPr="00BD50AB" w14:paraId="16F82AFF" w14:textId="77777777" w:rsidTr="00D23A8D">
        <w:tc>
          <w:tcPr>
            <w:tcW w:w="743" w:type="dxa"/>
            <w:hideMark/>
          </w:tcPr>
          <w:p w14:paraId="618186F1"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Maximum</w:t>
            </w:r>
          </w:p>
        </w:tc>
        <w:tc>
          <w:tcPr>
            <w:tcW w:w="482" w:type="dxa"/>
            <w:hideMark/>
          </w:tcPr>
          <w:p w14:paraId="4122C84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157</w:t>
            </w:r>
          </w:p>
        </w:tc>
        <w:tc>
          <w:tcPr>
            <w:tcW w:w="0" w:type="auto"/>
            <w:hideMark/>
          </w:tcPr>
          <w:p w14:paraId="6E6B42B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25</w:t>
            </w:r>
          </w:p>
        </w:tc>
        <w:tc>
          <w:tcPr>
            <w:tcW w:w="0" w:type="auto"/>
            <w:hideMark/>
          </w:tcPr>
          <w:p w14:paraId="23EBFD7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16</w:t>
            </w:r>
          </w:p>
        </w:tc>
        <w:tc>
          <w:tcPr>
            <w:tcW w:w="0" w:type="auto"/>
            <w:hideMark/>
          </w:tcPr>
          <w:p w14:paraId="2F66951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19</w:t>
            </w:r>
          </w:p>
        </w:tc>
        <w:tc>
          <w:tcPr>
            <w:tcW w:w="0" w:type="auto"/>
            <w:hideMark/>
          </w:tcPr>
          <w:p w14:paraId="0D737B2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17</w:t>
            </w:r>
          </w:p>
        </w:tc>
        <w:tc>
          <w:tcPr>
            <w:tcW w:w="0" w:type="auto"/>
            <w:hideMark/>
          </w:tcPr>
          <w:p w14:paraId="2248B6E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19</w:t>
            </w:r>
          </w:p>
        </w:tc>
        <w:tc>
          <w:tcPr>
            <w:tcW w:w="0" w:type="auto"/>
            <w:hideMark/>
          </w:tcPr>
          <w:p w14:paraId="5A9C873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20</w:t>
            </w:r>
          </w:p>
        </w:tc>
        <w:tc>
          <w:tcPr>
            <w:tcW w:w="0" w:type="auto"/>
            <w:hideMark/>
          </w:tcPr>
          <w:p w14:paraId="41FB3825"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w:t>
            </w:r>
          </w:p>
        </w:tc>
        <w:tc>
          <w:tcPr>
            <w:tcW w:w="0" w:type="auto"/>
            <w:hideMark/>
          </w:tcPr>
          <w:p w14:paraId="5DA5B90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16</w:t>
            </w:r>
          </w:p>
        </w:tc>
        <w:tc>
          <w:tcPr>
            <w:tcW w:w="0" w:type="auto"/>
            <w:hideMark/>
          </w:tcPr>
          <w:p w14:paraId="39B76C3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15</w:t>
            </w:r>
          </w:p>
        </w:tc>
        <w:tc>
          <w:tcPr>
            <w:tcW w:w="0" w:type="auto"/>
            <w:hideMark/>
          </w:tcPr>
          <w:p w14:paraId="4CBEBEA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w:t>
            </w:r>
          </w:p>
        </w:tc>
        <w:tc>
          <w:tcPr>
            <w:tcW w:w="0" w:type="auto"/>
            <w:hideMark/>
          </w:tcPr>
          <w:p w14:paraId="4CA4527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16</w:t>
            </w:r>
          </w:p>
        </w:tc>
        <w:tc>
          <w:tcPr>
            <w:tcW w:w="0" w:type="auto"/>
            <w:hideMark/>
          </w:tcPr>
          <w:p w14:paraId="56FBDA7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10</w:t>
            </w:r>
          </w:p>
        </w:tc>
      </w:tr>
      <w:tr w:rsidR="00CF166F" w:rsidRPr="00BD50AB" w14:paraId="4B02CDB5" w14:textId="77777777" w:rsidTr="00D23A8D">
        <w:tc>
          <w:tcPr>
            <w:tcW w:w="743" w:type="dxa"/>
            <w:hideMark/>
          </w:tcPr>
          <w:p w14:paraId="49963B79"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Skewness</w:t>
            </w:r>
          </w:p>
        </w:tc>
        <w:tc>
          <w:tcPr>
            <w:tcW w:w="482" w:type="dxa"/>
            <w:hideMark/>
          </w:tcPr>
          <w:p w14:paraId="23746BB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0.218</w:t>
            </w:r>
          </w:p>
        </w:tc>
        <w:tc>
          <w:tcPr>
            <w:tcW w:w="0" w:type="auto"/>
            <w:hideMark/>
          </w:tcPr>
          <w:p w14:paraId="4454643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-1.03</w:t>
            </w:r>
          </w:p>
        </w:tc>
        <w:tc>
          <w:tcPr>
            <w:tcW w:w="0" w:type="auto"/>
            <w:hideMark/>
          </w:tcPr>
          <w:p w14:paraId="7495F9B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0.895</w:t>
            </w:r>
          </w:p>
        </w:tc>
        <w:tc>
          <w:tcPr>
            <w:tcW w:w="0" w:type="auto"/>
            <w:hideMark/>
          </w:tcPr>
          <w:p w14:paraId="389A7405"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0.105</w:t>
            </w:r>
          </w:p>
        </w:tc>
        <w:tc>
          <w:tcPr>
            <w:tcW w:w="0" w:type="auto"/>
            <w:hideMark/>
          </w:tcPr>
          <w:p w14:paraId="1861ABAD"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-0.848</w:t>
            </w:r>
          </w:p>
        </w:tc>
        <w:tc>
          <w:tcPr>
            <w:tcW w:w="0" w:type="auto"/>
            <w:hideMark/>
          </w:tcPr>
          <w:p w14:paraId="7603C6BD"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-0.329</w:t>
            </w:r>
          </w:p>
        </w:tc>
        <w:tc>
          <w:tcPr>
            <w:tcW w:w="0" w:type="auto"/>
            <w:hideMark/>
          </w:tcPr>
          <w:p w14:paraId="09EC380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1.29</w:t>
            </w:r>
          </w:p>
        </w:tc>
        <w:tc>
          <w:tcPr>
            <w:tcW w:w="0" w:type="auto"/>
            <w:hideMark/>
          </w:tcPr>
          <w:p w14:paraId="462DFF4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0.0213</w:t>
            </w:r>
          </w:p>
        </w:tc>
        <w:tc>
          <w:tcPr>
            <w:tcW w:w="0" w:type="auto"/>
            <w:hideMark/>
          </w:tcPr>
          <w:p w14:paraId="6DA7B42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-0.853</w:t>
            </w:r>
          </w:p>
        </w:tc>
        <w:tc>
          <w:tcPr>
            <w:tcW w:w="0" w:type="auto"/>
            <w:hideMark/>
          </w:tcPr>
          <w:p w14:paraId="55B799E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0.186</w:t>
            </w:r>
          </w:p>
        </w:tc>
        <w:tc>
          <w:tcPr>
            <w:tcW w:w="0" w:type="auto"/>
            <w:hideMark/>
          </w:tcPr>
          <w:p w14:paraId="7F9738D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0.943</w:t>
            </w:r>
          </w:p>
        </w:tc>
        <w:tc>
          <w:tcPr>
            <w:tcW w:w="0" w:type="auto"/>
            <w:hideMark/>
          </w:tcPr>
          <w:p w14:paraId="676D2DE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0.170</w:t>
            </w:r>
          </w:p>
        </w:tc>
        <w:tc>
          <w:tcPr>
            <w:tcW w:w="0" w:type="auto"/>
            <w:hideMark/>
          </w:tcPr>
          <w:p w14:paraId="6286088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0.996</w:t>
            </w:r>
          </w:p>
        </w:tc>
      </w:tr>
      <w:tr w:rsidR="00CF166F" w:rsidRPr="00BD50AB" w14:paraId="044AA9C1" w14:textId="77777777" w:rsidTr="00D23A8D">
        <w:tc>
          <w:tcPr>
            <w:tcW w:w="743" w:type="dxa"/>
            <w:hideMark/>
          </w:tcPr>
          <w:p w14:paraId="459A7358"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Std. error skewness</w:t>
            </w:r>
          </w:p>
        </w:tc>
        <w:tc>
          <w:tcPr>
            <w:tcW w:w="482" w:type="dxa"/>
            <w:hideMark/>
          </w:tcPr>
          <w:p w14:paraId="5147C19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48DAE12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0FFB5A9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38CF6E7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08CE48C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6CCB3AA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4B953D1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3756102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7BB6456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1A90E107"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431578F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29CEC17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7BE110B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r>
      <w:tr w:rsidR="00CF166F" w:rsidRPr="00BD50AB" w14:paraId="06FE0070" w14:textId="77777777" w:rsidTr="00D23A8D">
        <w:tc>
          <w:tcPr>
            <w:tcW w:w="743" w:type="dxa"/>
            <w:hideMark/>
          </w:tcPr>
          <w:p w14:paraId="3F5EF501"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Kurtosis</w:t>
            </w:r>
          </w:p>
        </w:tc>
        <w:tc>
          <w:tcPr>
            <w:tcW w:w="482" w:type="dxa"/>
            <w:hideMark/>
          </w:tcPr>
          <w:p w14:paraId="38EA016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0.485</w:t>
            </w:r>
          </w:p>
        </w:tc>
        <w:tc>
          <w:tcPr>
            <w:tcW w:w="0" w:type="auto"/>
            <w:hideMark/>
          </w:tcPr>
          <w:p w14:paraId="0445992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3.21</w:t>
            </w:r>
          </w:p>
        </w:tc>
        <w:tc>
          <w:tcPr>
            <w:tcW w:w="0" w:type="auto"/>
            <w:hideMark/>
          </w:tcPr>
          <w:p w14:paraId="7D12205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0.696</w:t>
            </w:r>
          </w:p>
        </w:tc>
        <w:tc>
          <w:tcPr>
            <w:tcW w:w="0" w:type="auto"/>
            <w:hideMark/>
          </w:tcPr>
          <w:p w14:paraId="3B70D23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0.522</w:t>
            </w:r>
          </w:p>
        </w:tc>
        <w:tc>
          <w:tcPr>
            <w:tcW w:w="0" w:type="auto"/>
            <w:hideMark/>
          </w:tcPr>
          <w:p w14:paraId="723DBC55"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0.626</w:t>
            </w:r>
          </w:p>
        </w:tc>
        <w:tc>
          <w:tcPr>
            <w:tcW w:w="0" w:type="auto"/>
            <w:hideMark/>
          </w:tcPr>
          <w:p w14:paraId="456EEAB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1.99</w:t>
            </w:r>
          </w:p>
        </w:tc>
        <w:tc>
          <w:tcPr>
            <w:tcW w:w="0" w:type="auto"/>
            <w:hideMark/>
          </w:tcPr>
          <w:p w14:paraId="4B3010D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1.76</w:t>
            </w:r>
          </w:p>
        </w:tc>
        <w:tc>
          <w:tcPr>
            <w:tcW w:w="0" w:type="auto"/>
            <w:hideMark/>
          </w:tcPr>
          <w:p w14:paraId="0E02696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-0.0725</w:t>
            </w:r>
          </w:p>
        </w:tc>
        <w:tc>
          <w:tcPr>
            <w:tcW w:w="0" w:type="auto"/>
            <w:hideMark/>
          </w:tcPr>
          <w:p w14:paraId="0D91C2AD"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2.30</w:t>
            </w:r>
          </w:p>
        </w:tc>
        <w:tc>
          <w:tcPr>
            <w:tcW w:w="0" w:type="auto"/>
            <w:hideMark/>
          </w:tcPr>
          <w:p w14:paraId="2BE613C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-0.325</w:t>
            </w:r>
          </w:p>
        </w:tc>
        <w:tc>
          <w:tcPr>
            <w:tcW w:w="0" w:type="auto"/>
            <w:hideMark/>
          </w:tcPr>
          <w:p w14:paraId="34929F1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1.51</w:t>
            </w:r>
          </w:p>
        </w:tc>
        <w:tc>
          <w:tcPr>
            <w:tcW w:w="0" w:type="auto"/>
            <w:hideMark/>
          </w:tcPr>
          <w:p w14:paraId="77ED828D"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-0.790</w:t>
            </w:r>
          </w:p>
        </w:tc>
        <w:tc>
          <w:tcPr>
            <w:tcW w:w="0" w:type="auto"/>
            <w:hideMark/>
          </w:tcPr>
          <w:p w14:paraId="6DB6559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1.28</w:t>
            </w:r>
          </w:p>
        </w:tc>
      </w:tr>
      <w:tr w:rsidR="00CF166F" w:rsidRPr="00BD50AB" w14:paraId="6A66E583" w14:textId="77777777" w:rsidTr="00D23A8D">
        <w:tc>
          <w:tcPr>
            <w:tcW w:w="743" w:type="dxa"/>
            <w:hideMark/>
          </w:tcPr>
          <w:p w14:paraId="59636AEE"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lastRenderedPageBreak/>
              <w:t>Std. error kurtosis</w:t>
            </w:r>
          </w:p>
        </w:tc>
        <w:tc>
          <w:tcPr>
            <w:tcW w:w="482" w:type="dxa"/>
            <w:hideMark/>
          </w:tcPr>
          <w:p w14:paraId="560A06A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59AEE8F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262D69C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3740141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3050A36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2099A4D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4154F68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7382D55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7D3F2FD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7C1B1EA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3773B48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6CE15A0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1C46FD0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r>
      <w:tr w:rsidR="00CF166F" w:rsidRPr="00BD50AB" w14:paraId="2C35D706" w14:textId="77777777" w:rsidTr="00D23A8D">
        <w:tc>
          <w:tcPr>
            <w:tcW w:w="743" w:type="dxa"/>
            <w:hideMark/>
          </w:tcPr>
          <w:p w14:paraId="087FD438"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Shapiro-Wilk W</w:t>
            </w:r>
          </w:p>
        </w:tc>
        <w:tc>
          <w:tcPr>
            <w:tcW w:w="482" w:type="dxa"/>
            <w:hideMark/>
          </w:tcPr>
          <w:p w14:paraId="2AFD24F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0.985</w:t>
            </w:r>
          </w:p>
        </w:tc>
        <w:tc>
          <w:tcPr>
            <w:tcW w:w="0" w:type="auto"/>
            <w:hideMark/>
          </w:tcPr>
          <w:p w14:paraId="4C7FC92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0.899</w:t>
            </w:r>
          </w:p>
        </w:tc>
        <w:tc>
          <w:tcPr>
            <w:tcW w:w="0" w:type="auto"/>
            <w:hideMark/>
          </w:tcPr>
          <w:p w14:paraId="5D55E56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0.933</w:t>
            </w:r>
          </w:p>
        </w:tc>
        <w:tc>
          <w:tcPr>
            <w:tcW w:w="0" w:type="auto"/>
            <w:hideMark/>
          </w:tcPr>
          <w:p w14:paraId="434F0F7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0.947</w:t>
            </w:r>
          </w:p>
        </w:tc>
        <w:tc>
          <w:tcPr>
            <w:tcW w:w="0" w:type="auto"/>
            <w:hideMark/>
          </w:tcPr>
          <w:p w14:paraId="4B10262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0.933</w:t>
            </w:r>
          </w:p>
        </w:tc>
        <w:tc>
          <w:tcPr>
            <w:tcW w:w="0" w:type="auto"/>
            <w:hideMark/>
          </w:tcPr>
          <w:p w14:paraId="4594D10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0.916</w:t>
            </w:r>
          </w:p>
        </w:tc>
        <w:tc>
          <w:tcPr>
            <w:tcW w:w="0" w:type="auto"/>
            <w:hideMark/>
          </w:tcPr>
          <w:p w14:paraId="7922F29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0.886</w:t>
            </w:r>
          </w:p>
        </w:tc>
        <w:tc>
          <w:tcPr>
            <w:tcW w:w="0" w:type="auto"/>
            <w:hideMark/>
          </w:tcPr>
          <w:p w14:paraId="4CC1AC4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0.928</w:t>
            </w:r>
          </w:p>
        </w:tc>
        <w:tc>
          <w:tcPr>
            <w:tcW w:w="0" w:type="auto"/>
            <w:hideMark/>
          </w:tcPr>
          <w:p w14:paraId="3CF9F6F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0.917</w:t>
            </w:r>
          </w:p>
        </w:tc>
        <w:tc>
          <w:tcPr>
            <w:tcW w:w="0" w:type="auto"/>
            <w:hideMark/>
          </w:tcPr>
          <w:p w14:paraId="5C84CBF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0.921</w:t>
            </w:r>
          </w:p>
        </w:tc>
        <w:tc>
          <w:tcPr>
            <w:tcW w:w="0" w:type="auto"/>
            <w:hideMark/>
          </w:tcPr>
          <w:p w14:paraId="6D91487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0.912</w:t>
            </w:r>
          </w:p>
        </w:tc>
        <w:tc>
          <w:tcPr>
            <w:tcW w:w="0" w:type="auto"/>
            <w:hideMark/>
          </w:tcPr>
          <w:p w14:paraId="79972FD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0.959</w:t>
            </w:r>
          </w:p>
        </w:tc>
        <w:tc>
          <w:tcPr>
            <w:tcW w:w="0" w:type="auto"/>
            <w:hideMark/>
          </w:tcPr>
          <w:p w14:paraId="38122C2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0.885</w:t>
            </w:r>
          </w:p>
        </w:tc>
      </w:tr>
    </w:tbl>
    <w:p w14:paraId="754E3841" w14:textId="77777777" w:rsidR="00D23A8D" w:rsidRPr="00BD50AB" w:rsidRDefault="00D23A8D"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Authors Compilation </w:t>
      </w:r>
    </w:p>
    <w:tbl>
      <w:tblPr>
        <w:tblStyle w:val="TableGrid"/>
        <w:tblpPr w:leftFromText="180" w:rightFromText="180" w:vertAnchor="text" w:horzAnchor="margin" w:tblpXSpec="center" w:tblpY="437"/>
        <w:tblW w:w="10481" w:type="dxa"/>
        <w:tblLook w:val="04A0" w:firstRow="1" w:lastRow="0" w:firstColumn="1" w:lastColumn="0" w:noHBand="0" w:noVBand="1"/>
      </w:tblPr>
      <w:tblGrid>
        <w:gridCol w:w="2040"/>
        <w:gridCol w:w="1682"/>
        <w:gridCol w:w="2215"/>
        <w:gridCol w:w="2151"/>
        <w:gridCol w:w="1572"/>
        <w:gridCol w:w="821"/>
      </w:tblGrid>
      <w:tr w:rsidR="00D23A8D" w:rsidRPr="00BD50AB" w14:paraId="5F56AB31" w14:textId="77777777" w:rsidTr="00D23A8D">
        <w:tc>
          <w:tcPr>
            <w:tcW w:w="0" w:type="auto"/>
            <w:gridSpan w:val="6"/>
            <w:hideMark/>
          </w:tcPr>
          <w:p w14:paraId="575B2992"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sz w:val="24"/>
                <w:szCs w:val="24"/>
              </w:rPr>
              <w:t>Descriptives</w:t>
            </w:r>
          </w:p>
        </w:tc>
      </w:tr>
      <w:tr w:rsidR="00D23A8D" w:rsidRPr="00BD50AB" w14:paraId="2720B941" w14:textId="77777777" w:rsidTr="00D23A8D">
        <w:tc>
          <w:tcPr>
            <w:tcW w:w="0" w:type="auto"/>
            <w:hideMark/>
          </w:tcPr>
          <w:p w14:paraId="1AF258E2"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5E48A706"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Physical Health</w:t>
            </w:r>
          </w:p>
        </w:tc>
        <w:tc>
          <w:tcPr>
            <w:tcW w:w="0" w:type="auto"/>
            <w:hideMark/>
          </w:tcPr>
          <w:p w14:paraId="243C719D"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Psychological Health</w:t>
            </w:r>
          </w:p>
        </w:tc>
        <w:tc>
          <w:tcPr>
            <w:tcW w:w="0" w:type="auto"/>
            <w:hideMark/>
          </w:tcPr>
          <w:p w14:paraId="3DDF651C"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Social Relationships</w:t>
            </w:r>
          </w:p>
        </w:tc>
        <w:tc>
          <w:tcPr>
            <w:tcW w:w="0" w:type="auto"/>
            <w:hideMark/>
          </w:tcPr>
          <w:p w14:paraId="3E36AB2E"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Environment</w:t>
            </w:r>
          </w:p>
        </w:tc>
        <w:tc>
          <w:tcPr>
            <w:tcW w:w="0" w:type="auto"/>
            <w:hideMark/>
          </w:tcPr>
          <w:p w14:paraId="5251CC8A"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QOL</w:t>
            </w:r>
          </w:p>
        </w:tc>
      </w:tr>
      <w:tr w:rsidR="00D23A8D" w:rsidRPr="00BD50AB" w14:paraId="451B4DFE" w14:textId="77777777" w:rsidTr="00D23A8D">
        <w:tc>
          <w:tcPr>
            <w:tcW w:w="0" w:type="auto"/>
            <w:hideMark/>
          </w:tcPr>
          <w:p w14:paraId="2D6FB467"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N</w:t>
            </w:r>
          </w:p>
        </w:tc>
        <w:tc>
          <w:tcPr>
            <w:tcW w:w="0" w:type="auto"/>
            <w:hideMark/>
          </w:tcPr>
          <w:p w14:paraId="31689954"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14CEF10D"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620248C7"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0CAED7F5"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2A9F876E"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r>
      <w:tr w:rsidR="00D23A8D" w:rsidRPr="00BD50AB" w14:paraId="1B2FD587" w14:textId="77777777" w:rsidTr="00D23A8D">
        <w:tc>
          <w:tcPr>
            <w:tcW w:w="0" w:type="auto"/>
            <w:hideMark/>
          </w:tcPr>
          <w:p w14:paraId="438BEA9B"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Missing</w:t>
            </w:r>
          </w:p>
        </w:tc>
        <w:tc>
          <w:tcPr>
            <w:tcW w:w="0" w:type="auto"/>
            <w:hideMark/>
          </w:tcPr>
          <w:p w14:paraId="69B4144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3C7AA4B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480DA771"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4EDD854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234EA580"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r>
      <w:tr w:rsidR="00D23A8D" w:rsidRPr="00BD50AB" w14:paraId="5CA539B4" w14:textId="77777777" w:rsidTr="00D23A8D">
        <w:tc>
          <w:tcPr>
            <w:tcW w:w="0" w:type="auto"/>
            <w:hideMark/>
          </w:tcPr>
          <w:p w14:paraId="151F4E19"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Mean</w:t>
            </w:r>
          </w:p>
        </w:tc>
        <w:tc>
          <w:tcPr>
            <w:tcW w:w="0" w:type="auto"/>
            <w:hideMark/>
          </w:tcPr>
          <w:p w14:paraId="6D03D571"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24.6</w:t>
            </w:r>
          </w:p>
        </w:tc>
        <w:tc>
          <w:tcPr>
            <w:tcW w:w="0" w:type="auto"/>
            <w:hideMark/>
          </w:tcPr>
          <w:p w14:paraId="47205160"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23.3</w:t>
            </w:r>
          </w:p>
        </w:tc>
        <w:tc>
          <w:tcPr>
            <w:tcW w:w="0" w:type="auto"/>
            <w:hideMark/>
          </w:tcPr>
          <w:p w14:paraId="3DDEBD7F"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13.2</w:t>
            </w:r>
          </w:p>
        </w:tc>
        <w:tc>
          <w:tcPr>
            <w:tcW w:w="0" w:type="auto"/>
            <w:hideMark/>
          </w:tcPr>
          <w:p w14:paraId="25188103"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31.6</w:t>
            </w:r>
          </w:p>
        </w:tc>
        <w:tc>
          <w:tcPr>
            <w:tcW w:w="0" w:type="auto"/>
            <w:hideMark/>
          </w:tcPr>
          <w:p w14:paraId="381A1BB1"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101</w:t>
            </w:r>
          </w:p>
        </w:tc>
      </w:tr>
      <w:tr w:rsidR="00D23A8D" w:rsidRPr="00BD50AB" w14:paraId="1AAB65AB" w14:textId="77777777" w:rsidTr="00D23A8D">
        <w:tc>
          <w:tcPr>
            <w:tcW w:w="0" w:type="auto"/>
            <w:hideMark/>
          </w:tcPr>
          <w:p w14:paraId="49A39784"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Median</w:t>
            </w:r>
          </w:p>
        </w:tc>
        <w:tc>
          <w:tcPr>
            <w:tcW w:w="0" w:type="auto"/>
            <w:hideMark/>
          </w:tcPr>
          <w:p w14:paraId="23F876BA"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25.0</w:t>
            </w:r>
          </w:p>
        </w:tc>
        <w:tc>
          <w:tcPr>
            <w:tcW w:w="0" w:type="auto"/>
            <w:hideMark/>
          </w:tcPr>
          <w:p w14:paraId="0DEF73E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24.0</w:t>
            </w:r>
          </w:p>
        </w:tc>
        <w:tc>
          <w:tcPr>
            <w:tcW w:w="0" w:type="auto"/>
            <w:hideMark/>
          </w:tcPr>
          <w:p w14:paraId="363DE61E"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13.0</w:t>
            </w:r>
          </w:p>
        </w:tc>
        <w:tc>
          <w:tcPr>
            <w:tcW w:w="0" w:type="auto"/>
            <w:hideMark/>
          </w:tcPr>
          <w:p w14:paraId="7FB1E323"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32.0</w:t>
            </w:r>
          </w:p>
        </w:tc>
        <w:tc>
          <w:tcPr>
            <w:tcW w:w="0" w:type="auto"/>
            <w:hideMark/>
          </w:tcPr>
          <w:p w14:paraId="6663B88A"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102</w:t>
            </w:r>
          </w:p>
        </w:tc>
      </w:tr>
      <w:tr w:rsidR="00D23A8D" w:rsidRPr="00BD50AB" w14:paraId="5766570A" w14:textId="77777777" w:rsidTr="00D23A8D">
        <w:tc>
          <w:tcPr>
            <w:tcW w:w="0" w:type="auto"/>
            <w:hideMark/>
          </w:tcPr>
          <w:p w14:paraId="3C681B4D"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Standard deviation</w:t>
            </w:r>
          </w:p>
        </w:tc>
        <w:tc>
          <w:tcPr>
            <w:tcW w:w="0" w:type="auto"/>
            <w:hideMark/>
          </w:tcPr>
          <w:p w14:paraId="00EC2C13"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2.27</w:t>
            </w:r>
          </w:p>
        </w:tc>
        <w:tc>
          <w:tcPr>
            <w:tcW w:w="0" w:type="auto"/>
            <w:hideMark/>
          </w:tcPr>
          <w:p w14:paraId="7F6372DF"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2.53</w:t>
            </w:r>
          </w:p>
        </w:tc>
        <w:tc>
          <w:tcPr>
            <w:tcW w:w="0" w:type="auto"/>
            <w:hideMark/>
          </w:tcPr>
          <w:p w14:paraId="253AC808"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1.40</w:t>
            </w:r>
          </w:p>
        </w:tc>
        <w:tc>
          <w:tcPr>
            <w:tcW w:w="0" w:type="auto"/>
            <w:hideMark/>
          </w:tcPr>
          <w:p w14:paraId="5B189307"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3.61</w:t>
            </w:r>
          </w:p>
        </w:tc>
        <w:tc>
          <w:tcPr>
            <w:tcW w:w="0" w:type="auto"/>
            <w:hideMark/>
          </w:tcPr>
          <w:p w14:paraId="58CD4F41"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8.55</w:t>
            </w:r>
          </w:p>
        </w:tc>
      </w:tr>
      <w:tr w:rsidR="00D23A8D" w:rsidRPr="00BD50AB" w14:paraId="14DDFA0C" w14:textId="77777777" w:rsidTr="00D23A8D">
        <w:tc>
          <w:tcPr>
            <w:tcW w:w="0" w:type="auto"/>
            <w:hideMark/>
          </w:tcPr>
          <w:p w14:paraId="0C260017"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Minimum</w:t>
            </w:r>
          </w:p>
        </w:tc>
        <w:tc>
          <w:tcPr>
            <w:tcW w:w="0" w:type="auto"/>
            <w:hideMark/>
          </w:tcPr>
          <w:p w14:paraId="28DE239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19</w:t>
            </w:r>
          </w:p>
        </w:tc>
        <w:tc>
          <w:tcPr>
            <w:tcW w:w="0" w:type="auto"/>
            <w:hideMark/>
          </w:tcPr>
          <w:p w14:paraId="6D07F1EE"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16</w:t>
            </w:r>
          </w:p>
        </w:tc>
        <w:tc>
          <w:tcPr>
            <w:tcW w:w="0" w:type="auto"/>
            <w:hideMark/>
          </w:tcPr>
          <w:p w14:paraId="64D91964"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9</w:t>
            </w:r>
          </w:p>
        </w:tc>
        <w:tc>
          <w:tcPr>
            <w:tcW w:w="0" w:type="auto"/>
            <w:hideMark/>
          </w:tcPr>
          <w:p w14:paraId="77AFFAC0"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20</w:t>
            </w:r>
          </w:p>
        </w:tc>
        <w:tc>
          <w:tcPr>
            <w:tcW w:w="0" w:type="auto"/>
            <w:hideMark/>
          </w:tcPr>
          <w:p w14:paraId="35338765"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73</w:t>
            </w:r>
          </w:p>
        </w:tc>
      </w:tr>
      <w:tr w:rsidR="00D23A8D" w:rsidRPr="00BD50AB" w14:paraId="47BA9772" w14:textId="77777777" w:rsidTr="00D23A8D">
        <w:tc>
          <w:tcPr>
            <w:tcW w:w="0" w:type="auto"/>
            <w:hideMark/>
          </w:tcPr>
          <w:p w14:paraId="22CE555C"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Maximum</w:t>
            </w:r>
          </w:p>
        </w:tc>
        <w:tc>
          <w:tcPr>
            <w:tcW w:w="0" w:type="auto"/>
            <w:hideMark/>
          </w:tcPr>
          <w:p w14:paraId="60AD6A5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29</w:t>
            </w:r>
          </w:p>
        </w:tc>
        <w:tc>
          <w:tcPr>
            <w:tcW w:w="0" w:type="auto"/>
            <w:hideMark/>
          </w:tcPr>
          <w:p w14:paraId="77D53CC1"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28</w:t>
            </w:r>
          </w:p>
        </w:tc>
        <w:tc>
          <w:tcPr>
            <w:tcW w:w="0" w:type="auto"/>
            <w:hideMark/>
          </w:tcPr>
          <w:p w14:paraId="4A88BE4F"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15</w:t>
            </w:r>
          </w:p>
        </w:tc>
        <w:tc>
          <w:tcPr>
            <w:tcW w:w="0" w:type="auto"/>
            <w:hideMark/>
          </w:tcPr>
          <w:p w14:paraId="7AF9C2D3"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40</w:t>
            </w:r>
          </w:p>
        </w:tc>
        <w:tc>
          <w:tcPr>
            <w:tcW w:w="0" w:type="auto"/>
            <w:hideMark/>
          </w:tcPr>
          <w:p w14:paraId="5AB40898"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118</w:t>
            </w:r>
          </w:p>
        </w:tc>
      </w:tr>
      <w:tr w:rsidR="00D23A8D" w:rsidRPr="00BD50AB" w14:paraId="06CABDE0" w14:textId="77777777" w:rsidTr="00D23A8D">
        <w:tc>
          <w:tcPr>
            <w:tcW w:w="0" w:type="auto"/>
            <w:hideMark/>
          </w:tcPr>
          <w:p w14:paraId="5C50BD4A"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Skewness</w:t>
            </w:r>
          </w:p>
        </w:tc>
        <w:tc>
          <w:tcPr>
            <w:tcW w:w="0" w:type="auto"/>
            <w:hideMark/>
          </w:tcPr>
          <w:p w14:paraId="207AA7A9"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-0.217</w:t>
            </w:r>
          </w:p>
        </w:tc>
        <w:tc>
          <w:tcPr>
            <w:tcW w:w="0" w:type="auto"/>
            <w:hideMark/>
          </w:tcPr>
          <w:p w14:paraId="1C7EC7D4"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-0.790</w:t>
            </w:r>
          </w:p>
        </w:tc>
        <w:tc>
          <w:tcPr>
            <w:tcW w:w="0" w:type="auto"/>
            <w:hideMark/>
          </w:tcPr>
          <w:p w14:paraId="46C4C3CA"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-0.813</w:t>
            </w:r>
          </w:p>
        </w:tc>
        <w:tc>
          <w:tcPr>
            <w:tcW w:w="0" w:type="auto"/>
            <w:hideMark/>
          </w:tcPr>
          <w:p w14:paraId="059809EF"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-0.617</w:t>
            </w:r>
          </w:p>
        </w:tc>
        <w:tc>
          <w:tcPr>
            <w:tcW w:w="0" w:type="auto"/>
            <w:hideMark/>
          </w:tcPr>
          <w:p w14:paraId="34C1B85E"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-0.774</w:t>
            </w:r>
          </w:p>
        </w:tc>
      </w:tr>
      <w:tr w:rsidR="00D23A8D" w:rsidRPr="00BD50AB" w14:paraId="6A885769" w14:textId="77777777" w:rsidTr="00D23A8D">
        <w:tc>
          <w:tcPr>
            <w:tcW w:w="0" w:type="auto"/>
            <w:hideMark/>
          </w:tcPr>
          <w:p w14:paraId="2AE2F80B"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Std. error skewness</w:t>
            </w:r>
          </w:p>
        </w:tc>
        <w:tc>
          <w:tcPr>
            <w:tcW w:w="0" w:type="auto"/>
            <w:hideMark/>
          </w:tcPr>
          <w:p w14:paraId="60528447"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58A9802B"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79A6CC6E"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0EFD9DDC"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329DCB2D"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r>
      <w:tr w:rsidR="00D23A8D" w:rsidRPr="00BD50AB" w14:paraId="56827B50" w14:textId="77777777" w:rsidTr="00D23A8D">
        <w:tc>
          <w:tcPr>
            <w:tcW w:w="0" w:type="auto"/>
            <w:hideMark/>
          </w:tcPr>
          <w:p w14:paraId="0B8E3DBA"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Kurtosis</w:t>
            </w:r>
          </w:p>
        </w:tc>
        <w:tc>
          <w:tcPr>
            <w:tcW w:w="0" w:type="auto"/>
            <w:hideMark/>
          </w:tcPr>
          <w:p w14:paraId="6AE2AF3B"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-0.474</w:t>
            </w:r>
          </w:p>
        </w:tc>
        <w:tc>
          <w:tcPr>
            <w:tcW w:w="0" w:type="auto"/>
            <w:hideMark/>
          </w:tcPr>
          <w:p w14:paraId="1569602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0.408</w:t>
            </w:r>
          </w:p>
        </w:tc>
        <w:tc>
          <w:tcPr>
            <w:tcW w:w="0" w:type="auto"/>
            <w:hideMark/>
          </w:tcPr>
          <w:p w14:paraId="069A5312"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0.736</w:t>
            </w:r>
          </w:p>
        </w:tc>
        <w:tc>
          <w:tcPr>
            <w:tcW w:w="0" w:type="auto"/>
            <w:hideMark/>
          </w:tcPr>
          <w:p w14:paraId="69719508"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1.17</w:t>
            </w:r>
          </w:p>
        </w:tc>
        <w:tc>
          <w:tcPr>
            <w:tcW w:w="0" w:type="auto"/>
            <w:hideMark/>
          </w:tcPr>
          <w:p w14:paraId="456F3649"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0.840</w:t>
            </w:r>
          </w:p>
        </w:tc>
      </w:tr>
      <w:tr w:rsidR="00D23A8D" w:rsidRPr="00BD50AB" w14:paraId="4955067F" w14:textId="77777777" w:rsidTr="00D23A8D">
        <w:tc>
          <w:tcPr>
            <w:tcW w:w="0" w:type="auto"/>
            <w:hideMark/>
          </w:tcPr>
          <w:p w14:paraId="66C1A25F"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Std. error kurtosis</w:t>
            </w:r>
          </w:p>
        </w:tc>
        <w:tc>
          <w:tcPr>
            <w:tcW w:w="0" w:type="auto"/>
            <w:hideMark/>
          </w:tcPr>
          <w:p w14:paraId="2D7F0F73"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7E8068B2"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1F3D5E2A"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10524182"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3EA7E04F"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r>
    </w:tbl>
    <w:p w14:paraId="4E5F6081" w14:textId="497DAC77" w:rsidR="00AE14E3" w:rsidRPr="00BD50AB" w:rsidRDefault="00AE14E3" w:rsidP="00BD50AB">
      <w:pPr>
        <w:spacing w:line="360" w:lineRule="auto"/>
        <w:ind w:left="-567"/>
        <w:jc w:val="both"/>
        <w:rPr>
          <w:rFonts w:ascii="Times New Roman" w:hAnsi="Times New Roman" w:cs="Times New Roman"/>
          <w:sz w:val="24"/>
          <w:szCs w:val="24"/>
        </w:rPr>
      </w:pPr>
      <w:r w:rsidRPr="00BD50AB">
        <w:rPr>
          <w:rFonts w:ascii="Times New Roman" w:hAnsi="Times New Roman" w:cs="Times New Roman"/>
          <w:sz w:val="24"/>
          <w:szCs w:val="24"/>
        </w:rPr>
        <w:t>DESCRIPTIVE STATISTICS OF QOL</w:t>
      </w:r>
    </w:p>
    <w:p w14:paraId="146F2182" w14:textId="00D5F082" w:rsidR="00AE14E3" w:rsidRPr="00BD50AB" w:rsidRDefault="00AE14E3"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r w:rsidR="00D23A8D" w:rsidRPr="00BD50AB">
        <w:rPr>
          <w:rFonts w:ascii="Times New Roman" w:hAnsi="Times New Roman" w:cs="Times New Roman"/>
          <w:sz w:val="24"/>
          <w:szCs w:val="24"/>
        </w:rPr>
        <w:t xml:space="preserve">Authors Compilation </w:t>
      </w:r>
    </w:p>
    <w:p w14:paraId="29DBE2D1" w14:textId="2AFDDCF1" w:rsidR="005A4B5D" w:rsidRPr="00BD50AB" w:rsidRDefault="005A4B5D"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The descriptive statistics of the Occupational Stress Index (OSI) indicate that the mean OSI score of the sample of 80 seafarers is 128, denoting a high to moderate occupational stress level. Of the 12 OSI sub-dimensions, Role Overload (Mean = 19.0), Role Conflict (Mean = 14.1), and Unreasonable Group and Political Pressures (Mean = 12.3) had higher mean scores, and this indicates that they are major stress-causing elements in the marine work environment. Conversely, Unprofitability (Mean = 4.66) and Low Status (Mean = 6.05) had comparatively smaller mean values, though Unprofitability had significant skewness (0.996) and kurtosis (1.28) and was indicated to have a positively skewed distribution with clustering towards lower scores and limited outliers rating high stress on this dimension.</w:t>
      </w:r>
    </w:p>
    <w:p w14:paraId="19679399" w14:textId="0029483A" w:rsidR="005A4B5D" w:rsidRPr="00BD50AB" w:rsidRDefault="005A4B5D"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Skewness and kurtosis values reveal that several stress variables, including Under participation (Skewness = 1.29), Low Status (0.943), and Role Ambiguity (0.895), are far from normal. This is also evident from the Shapiro-Wilk test, which reveals significant p-values (p &lt; 0.001) for the majority of dimensions, establishing that the distribution of many OSI subscales is not normal. Yet, the total OSI score indicates a non-significant Shapiro-Wilk value (W = 0.985, p = 0.449); hence, total stress scores can be assumed to be approximately normally distributed for further analysis.</w:t>
      </w:r>
    </w:p>
    <w:p w14:paraId="3F6710B4" w14:textId="28519761" w:rsidR="005A4B5D" w:rsidRPr="00BD50AB" w:rsidRDefault="005A4B5D"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For Quality of Life (QOL), the average total score is 101, with Environment (Mean = 31.6) and Physical Health (Mean = 24.6) being the highest of the four WHOQOL-BREF domains, indicating comparatively satisfactory living conditions and physical health among seafarers. Psychological Health (Mean = 23.3) and especially Social Relationships (Mean = 13.2) indicate comparatively lower averages, indicating possible psychosocial vulnerabilities and few interpersonal interactions, perhaps because of isolation during trips. Skewness measures for QOL variables are negative across the board, which suggests left-skewed distributions where more participants had higher quality of life scores. However, the Shapiro-Wilk test identifies substantial departures from normality in Psychological, Social, and Environmental domains (p &lt; 0.05). At the same time, the total QOL index is nearly normal, which confirms its application to parametric analysis.</w:t>
      </w:r>
    </w:p>
    <w:p w14:paraId="6499EACC" w14:textId="7C4FB7A6" w:rsidR="00D23A8D" w:rsidRPr="00BD50AB" w:rsidRDefault="005A4B5D"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In summary, the descriptive results show seafarers experience significant stress related explicitly to workload, role ambiguity, and social-political pressure onboard. However, they experience a relatively stable physical and environmental quality of life. However, social and psychological well-being seem to be less favourable. These preliminary results correspond with Objective 1 and Objective 2 and set a foundation for further inferential analysis regarding the effect of demographic and occupational variables on stress and quality of life.</w:t>
      </w:r>
    </w:p>
    <w:p w14:paraId="26DEEF6D" w14:textId="2F9BCF16" w:rsidR="00B83678" w:rsidRPr="00BD50AB" w:rsidRDefault="00B83678"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 One-Way ANOVA </w:t>
      </w:r>
      <w:r w:rsidR="005A4B5D" w:rsidRPr="00BD50AB">
        <w:rPr>
          <w:rFonts w:ascii="Times New Roman" w:hAnsi="Times New Roman" w:cs="Times New Roman"/>
          <w:sz w:val="24"/>
          <w:szCs w:val="24"/>
        </w:rPr>
        <w:t xml:space="preserve">OSI </w:t>
      </w:r>
      <w:r w:rsidRPr="00BD50AB">
        <w:rPr>
          <w:rFonts w:ascii="Times New Roman" w:hAnsi="Times New Roman" w:cs="Times New Roman"/>
          <w:sz w:val="24"/>
          <w:szCs w:val="24"/>
        </w:rPr>
        <w:t xml:space="preserve">(Welch's) </w:t>
      </w:r>
    </w:p>
    <w:tbl>
      <w:tblPr>
        <w:tblStyle w:val="TableGrid"/>
        <w:tblW w:w="9311" w:type="dxa"/>
        <w:tblLook w:val="04A0" w:firstRow="1" w:lastRow="0" w:firstColumn="1" w:lastColumn="0" w:noHBand="0" w:noVBand="1"/>
      </w:tblPr>
      <w:tblGrid>
        <w:gridCol w:w="1339"/>
        <w:gridCol w:w="3664"/>
        <w:gridCol w:w="1116"/>
        <w:gridCol w:w="812"/>
        <w:gridCol w:w="938"/>
        <w:gridCol w:w="1442"/>
      </w:tblGrid>
      <w:tr w:rsidR="00B83678" w:rsidRPr="00BD50AB" w14:paraId="2CB306C9" w14:textId="77777777" w:rsidTr="005A4B5D">
        <w:trPr>
          <w:trHeight w:val="547"/>
        </w:trPr>
        <w:tc>
          <w:tcPr>
            <w:tcW w:w="0" w:type="auto"/>
            <w:hideMark/>
          </w:tcPr>
          <w:p w14:paraId="5193E42A"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Sr. No.</w:t>
            </w:r>
          </w:p>
        </w:tc>
        <w:tc>
          <w:tcPr>
            <w:tcW w:w="0" w:type="auto"/>
            <w:hideMark/>
          </w:tcPr>
          <w:p w14:paraId="31A5089C"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Variable</w:t>
            </w:r>
          </w:p>
        </w:tc>
        <w:tc>
          <w:tcPr>
            <w:tcW w:w="0" w:type="auto"/>
            <w:hideMark/>
          </w:tcPr>
          <w:p w14:paraId="23480AFC"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F</w:t>
            </w:r>
          </w:p>
        </w:tc>
        <w:tc>
          <w:tcPr>
            <w:tcW w:w="0" w:type="auto"/>
            <w:hideMark/>
          </w:tcPr>
          <w:p w14:paraId="1DDA35DF"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df1</w:t>
            </w:r>
          </w:p>
        </w:tc>
        <w:tc>
          <w:tcPr>
            <w:tcW w:w="0" w:type="auto"/>
            <w:hideMark/>
          </w:tcPr>
          <w:p w14:paraId="57517B0F"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df2</w:t>
            </w:r>
          </w:p>
        </w:tc>
        <w:tc>
          <w:tcPr>
            <w:tcW w:w="0" w:type="auto"/>
            <w:hideMark/>
          </w:tcPr>
          <w:p w14:paraId="6BEAE07D"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p-value</w:t>
            </w:r>
          </w:p>
        </w:tc>
      </w:tr>
      <w:tr w:rsidR="00B83678" w:rsidRPr="00BD50AB" w14:paraId="35B8BBB0" w14:textId="77777777" w:rsidTr="005A4B5D">
        <w:trPr>
          <w:trHeight w:val="535"/>
        </w:trPr>
        <w:tc>
          <w:tcPr>
            <w:tcW w:w="0" w:type="auto"/>
            <w:hideMark/>
          </w:tcPr>
          <w:p w14:paraId="6B180BB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1487066A"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Type of Cargo Ship</w:t>
            </w:r>
          </w:p>
        </w:tc>
        <w:tc>
          <w:tcPr>
            <w:tcW w:w="0" w:type="auto"/>
            <w:hideMark/>
          </w:tcPr>
          <w:p w14:paraId="1B0DBF31"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0.652</w:t>
            </w:r>
          </w:p>
        </w:tc>
        <w:tc>
          <w:tcPr>
            <w:tcW w:w="0" w:type="auto"/>
            <w:hideMark/>
          </w:tcPr>
          <w:p w14:paraId="796C747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w:t>
            </w:r>
          </w:p>
        </w:tc>
        <w:tc>
          <w:tcPr>
            <w:tcW w:w="0" w:type="auto"/>
            <w:hideMark/>
          </w:tcPr>
          <w:p w14:paraId="50BE00B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28.0</w:t>
            </w:r>
          </w:p>
        </w:tc>
        <w:tc>
          <w:tcPr>
            <w:tcW w:w="0" w:type="auto"/>
            <w:hideMark/>
          </w:tcPr>
          <w:p w14:paraId="242EE29F"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0.663</w:t>
            </w:r>
          </w:p>
        </w:tc>
      </w:tr>
      <w:tr w:rsidR="00B83678" w:rsidRPr="00BD50AB" w14:paraId="1FF4AC44" w14:textId="77777777" w:rsidTr="005A4B5D">
        <w:trPr>
          <w:trHeight w:val="547"/>
        </w:trPr>
        <w:tc>
          <w:tcPr>
            <w:tcW w:w="0" w:type="auto"/>
            <w:hideMark/>
          </w:tcPr>
          <w:p w14:paraId="0B05252F"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2</w:t>
            </w:r>
          </w:p>
        </w:tc>
        <w:tc>
          <w:tcPr>
            <w:tcW w:w="0" w:type="auto"/>
            <w:hideMark/>
          </w:tcPr>
          <w:p w14:paraId="5F70322C"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Designation</w:t>
            </w:r>
          </w:p>
        </w:tc>
        <w:tc>
          <w:tcPr>
            <w:tcW w:w="0" w:type="auto"/>
            <w:hideMark/>
          </w:tcPr>
          <w:p w14:paraId="6E41A15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1.15</w:t>
            </w:r>
          </w:p>
        </w:tc>
        <w:tc>
          <w:tcPr>
            <w:tcW w:w="0" w:type="auto"/>
            <w:hideMark/>
          </w:tcPr>
          <w:p w14:paraId="66D875C1"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9</w:t>
            </w:r>
          </w:p>
        </w:tc>
        <w:tc>
          <w:tcPr>
            <w:tcW w:w="0" w:type="auto"/>
            <w:hideMark/>
          </w:tcPr>
          <w:p w14:paraId="192A4874"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21.0</w:t>
            </w:r>
          </w:p>
        </w:tc>
        <w:tc>
          <w:tcPr>
            <w:tcW w:w="0" w:type="auto"/>
            <w:hideMark/>
          </w:tcPr>
          <w:p w14:paraId="062A4DB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0.373</w:t>
            </w:r>
          </w:p>
        </w:tc>
      </w:tr>
      <w:tr w:rsidR="00B83678" w:rsidRPr="00BD50AB" w14:paraId="7D2473BA" w14:textId="77777777" w:rsidTr="005A4B5D">
        <w:trPr>
          <w:trHeight w:val="547"/>
        </w:trPr>
        <w:tc>
          <w:tcPr>
            <w:tcW w:w="0" w:type="auto"/>
            <w:hideMark/>
          </w:tcPr>
          <w:p w14:paraId="0881826D"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w:t>
            </w:r>
          </w:p>
        </w:tc>
        <w:tc>
          <w:tcPr>
            <w:tcW w:w="0" w:type="auto"/>
            <w:hideMark/>
          </w:tcPr>
          <w:p w14:paraId="6B753B47"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Experience</w:t>
            </w:r>
          </w:p>
        </w:tc>
        <w:tc>
          <w:tcPr>
            <w:tcW w:w="0" w:type="auto"/>
            <w:hideMark/>
          </w:tcPr>
          <w:p w14:paraId="0B700F07"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0.827</w:t>
            </w:r>
          </w:p>
        </w:tc>
        <w:tc>
          <w:tcPr>
            <w:tcW w:w="0" w:type="auto"/>
            <w:hideMark/>
          </w:tcPr>
          <w:p w14:paraId="64FD3950"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618C8DA0"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27.2</w:t>
            </w:r>
          </w:p>
        </w:tc>
        <w:tc>
          <w:tcPr>
            <w:tcW w:w="0" w:type="auto"/>
            <w:hideMark/>
          </w:tcPr>
          <w:p w14:paraId="68220B9D"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0.519</w:t>
            </w:r>
          </w:p>
        </w:tc>
      </w:tr>
      <w:tr w:rsidR="00B83678" w:rsidRPr="00BD50AB" w14:paraId="48FBC3DC" w14:textId="77777777" w:rsidTr="005A4B5D">
        <w:trPr>
          <w:trHeight w:val="535"/>
        </w:trPr>
        <w:tc>
          <w:tcPr>
            <w:tcW w:w="0" w:type="auto"/>
            <w:hideMark/>
          </w:tcPr>
          <w:p w14:paraId="7A78A3C6"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012FD0D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Home Visit Frequency</w:t>
            </w:r>
          </w:p>
        </w:tc>
        <w:tc>
          <w:tcPr>
            <w:tcW w:w="0" w:type="auto"/>
            <w:hideMark/>
          </w:tcPr>
          <w:p w14:paraId="226C00A8"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1.52</w:t>
            </w:r>
          </w:p>
        </w:tc>
        <w:tc>
          <w:tcPr>
            <w:tcW w:w="0" w:type="auto"/>
            <w:hideMark/>
          </w:tcPr>
          <w:p w14:paraId="2461EF1F"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5C1F3F2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45.0</w:t>
            </w:r>
          </w:p>
        </w:tc>
        <w:tc>
          <w:tcPr>
            <w:tcW w:w="0" w:type="auto"/>
            <w:hideMark/>
          </w:tcPr>
          <w:p w14:paraId="35C7B1C6"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0.230</w:t>
            </w:r>
          </w:p>
        </w:tc>
      </w:tr>
      <w:tr w:rsidR="00B83678" w:rsidRPr="00BD50AB" w14:paraId="3381D5CF" w14:textId="77777777" w:rsidTr="005A4B5D">
        <w:trPr>
          <w:trHeight w:val="547"/>
        </w:trPr>
        <w:tc>
          <w:tcPr>
            <w:tcW w:w="0" w:type="auto"/>
            <w:hideMark/>
          </w:tcPr>
          <w:p w14:paraId="7D959AF8"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w:t>
            </w:r>
          </w:p>
        </w:tc>
        <w:tc>
          <w:tcPr>
            <w:tcW w:w="0" w:type="auto"/>
            <w:hideMark/>
          </w:tcPr>
          <w:p w14:paraId="6F672A4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Conflicts at Workplace</w:t>
            </w:r>
          </w:p>
        </w:tc>
        <w:tc>
          <w:tcPr>
            <w:tcW w:w="0" w:type="auto"/>
            <w:hideMark/>
          </w:tcPr>
          <w:p w14:paraId="63CEE93F"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0.165</w:t>
            </w:r>
          </w:p>
        </w:tc>
        <w:tc>
          <w:tcPr>
            <w:tcW w:w="0" w:type="auto"/>
            <w:hideMark/>
          </w:tcPr>
          <w:p w14:paraId="13D6F9E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393E72A8"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48.6</w:t>
            </w:r>
          </w:p>
        </w:tc>
        <w:tc>
          <w:tcPr>
            <w:tcW w:w="0" w:type="auto"/>
            <w:hideMark/>
          </w:tcPr>
          <w:p w14:paraId="2BC1590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0.848</w:t>
            </w:r>
          </w:p>
        </w:tc>
      </w:tr>
      <w:tr w:rsidR="00B83678" w:rsidRPr="00BD50AB" w14:paraId="251074F6" w14:textId="77777777" w:rsidTr="005A4B5D">
        <w:trPr>
          <w:trHeight w:val="547"/>
        </w:trPr>
        <w:tc>
          <w:tcPr>
            <w:tcW w:w="0" w:type="auto"/>
            <w:hideMark/>
          </w:tcPr>
          <w:p w14:paraId="16F445BC"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6</w:t>
            </w:r>
          </w:p>
        </w:tc>
        <w:tc>
          <w:tcPr>
            <w:tcW w:w="0" w:type="auto"/>
            <w:hideMark/>
          </w:tcPr>
          <w:p w14:paraId="3424077A"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Work Distribution</w:t>
            </w:r>
          </w:p>
        </w:tc>
        <w:tc>
          <w:tcPr>
            <w:tcW w:w="0" w:type="auto"/>
            <w:hideMark/>
          </w:tcPr>
          <w:p w14:paraId="653FA66A"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1.20</w:t>
            </w:r>
          </w:p>
        </w:tc>
        <w:tc>
          <w:tcPr>
            <w:tcW w:w="0" w:type="auto"/>
            <w:hideMark/>
          </w:tcPr>
          <w:p w14:paraId="55E01B34"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11808CE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46.5</w:t>
            </w:r>
          </w:p>
        </w:tc>
        <w:tc>
          <w:tcPr>
            <w:tcW w:w="0" w:type="auto"/>
            <w:hideMark/>
          </w:tcPr>
          <w:p w14:paraId="0BAA7328"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0.309</w:t>
            </w:r>
          </w:p>
        </w:tc>
      </w:tr>
      <w:tr w:rsidR="00B83678" w:rsidRPr="00BD50AB" w14:paraId="77533EB8" w14:textId="77777777" w:rsidTr="005A4B5D">
        <w:trPr>
          <w:trHeight w:val="535"/>
        </w:trPr>
        <w:tc>
          <w:tcPr>
            <w:tcW w:w="0" w:type="auto"/>
            <w:hideMark/>
          </w:tcPr>
          <w:p w14:paraId="0363DA63"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w:t>
            </w:r>
          </w:p>
        </w:tc>
        <w:tc>
          <w:tcPr>
            <w:tcW w:w="0" w:type="auto"/>
            <w:hideMark/>
          </w:tcPr>
          <w:p w14:paraId="28BDB35A"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Working Conditions</w:t>
            </w:r>
          </w:p>
        </w:tc>
        <w:tc>
          <w:tcPr>
            <w:tcW w:w="0" w:type="auto"/>
            <w:hideMark/>
          </w:tcPr>
          <w:p w14:paraId="10963DB1"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0.262</w:t>
            </w:r>
          </w:p>
        </w:tc>
        <w:tc>
          <w:tcPr>
            <w:tcW w:w="0" w:type="auto"/>
            <w:hideMark/>
          </w:tcPr>
          <w:p w14:paraId="6EC97967"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424356E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2.77</w:t>
            </w:r>
          </w:p>
        </w:tc>
        <w:tc>
          <w:tcPr>
            <w:tcW w:w="0" w:type="auto"/>
            <w:hideMark/>
          </w:tcPr>
          <w:p w14:paraId="2C69F11A"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0.787</w:t>
            </w:r>
          </w:p>
        </w:tc>
      </w:tr>
      <w:tr w:rsidR="00B83678" w:rsidRPr="00BD50AB" w14:paraId="6420F638" w14:textId="77777777" w:rsidTr="005A4B5D">
        <w:trPr>
          <w:trHeight w:val="547"/>
        </w:trPr>
        <w:tc>
          <w:tcPr>
            <w:tcW w:w="0" w:type="auto"/>
            <w:hideMark/>
          </w:tcPr>
          <w:p w14:paraId="4F9A159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w:t>
            </w:r>
          </w:p>
        </w:tc>
        <w:tc>
          <w:tcPr>
            <w:tcW w:w="0" w:type="auto"/>
            <w:hideMark/>
          </w:tcPr>
          <w:p w14:paraId="653B790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Bonuses and Incentives</w:t>
            </w:r>
          </w:p>
        </w:tc>
        <w:tc>
          <w:tcPr>
            <w:tcW w:w="0" w:type="auto"/>
            <w:hideMark/>
          </w:tcPr>
          <w:p w14:paraId="359FEC32"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0.605</w:t>
            </w:r>
          </w:p>
        </w:tc>
        <w:tc>
          <w:tcPr>
            <w:tcW w:w="0" w:type="auto"/>
            <w:hideMark/>
          </w:tcPr>
          <w:p w14:paraId="53351966"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371C32B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77.9</w:t>
            </w:r>
          </w:p>
        </w:tc>
        <w:tc>
          <w:tcPr>
            <w:tcW w:w="0" w:type="auto"/>
            <w:hideMark/>
          </w:tcPr>
          <w:p w14:paraId="4FD2C6C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0.439</w:t>
            </w:r>
          </w:p>
        </w:tc>
      </w:tr>
      <w:tr w:rsidR="00B83678" w:rsidRPr="00BD50AB" w14:paraId="7D6E7AD6" w14:textId="77777777" w:rsidTr="005A4B5D">
        <w:trPr>
          <w:trHeight w:val="547"/>
        </w:trPr>
        <w:tc>
          <w:tcPr>
            <w:tcW w:w="0" w:type="auto"/>
            <w:hideMark/>
          </w:tcPr>
          <w:p w14:paraId="5F929D15"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9</w:t>
            </w:r>
          </w:p>
        </w:tc>
        <w:tc>
          <w:tcPr>
            <w:tcW w:w="0" w:type="auto"/>
            <w:hideMark/>
          </w:tcPr>
          <w:p w14:paraId="16A10732"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Promotion Scope</w:t>
            </w:r>
          </w:p>
        </w:tc>
        <w:tc>
          <w:tcPr>
            <w:tcW w:w="0" w:type="auto"/>
            <w:hideMark/>
          </w:tcPr>
          <w:p w14:paraId="3A9DD777"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4.02</w:t>
            </w:r>
          </w:p>
        </w:tc>
        <w:tc>
          <w:tcPr>
            <w:tcW w:w="0" w:type="auto"/>
            <w:hideMark/>
          </w:tcPr>
          <w:p w14:paraId="545FC2F3"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78C6D27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76.5</w:t>
            </w:r>
          </w:p>
        </w:tc>
        <w:tc>
          <w:tcPr>
            <w:tcW w:w="0" w:type="auto"/>
            <w:hideMark/>
          </w:tcPr>
          <w:p w14:paraId="7E863364"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0.049</w:t>
            </w:r>
          </w:p>
        </w:tc>
      </w:tr>
      <w:tr w:rsidR="00B83678" w:rsidRPr="00BD50AB" w14:paraId="0AF8978C" w14:textId="77777777" w:rsidTr="005A4B5D">
        <w:trPr>
          <w:trHeight w:val="535"/>
        </w:trPr>
        <w:tc>
          <w:tcPr>
            <w:tcW w:w="0" w:type="auto"/>
            <w:hideMark/>
          </w:tcPr>
          <w:p w14:paraId="126B5928"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10</w:t>
            </w:r>
          </w:p>
        </w:tc>
        <w:tc>
          <w:tcPr>
            <w:tcW w:w="0" w:type="auto"/>
            <w:hideMark/>
          </w:tcPr>
          <w:p w14:paraId="3B481F4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Salary Satisfaction</w:t>
            </w:r>
          </w:p>
        </w:tc>
        <w:tc>
          <w:tcPr>
            <w:tcW w:w="0" w:type="auto"/>
            <w:hideMark/>
          </w:tcPr>
          <w:p w14:paraId="58E4FF7F"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3.75</w:t>
            </w:r>
          </w:p>
        </w:tc>
        <w:tc>
          <w:tcPr>
            <w:tcW w:w="0" w:type="auto"/>
            <w:hideMark/>
          </w:tcPr>
          <w:p w14:paraId="642A8C04"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4F4A7056"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76.6</w:t>
            </w:r>
          </w:p>
        </w:tc>
        <w:tc>
          <w:tcPr>
            <w:tcW w:w="0" w:type="auto"/>
            <w:hideMark/>
          </w:tcPr>
          <w:p w14:paraId="75C468E2"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0.057</w:t>
            </w:r>
          </w:p>
        </w:tc>
      </w:tr>
      <w:tr w:rsidR="00B83678" w:rsidRPr="00BD50AB" w14:paraId="61030100" w14:textId="77777777" w:rsidTr="005A4B5D">
        <w:trPr>
          <w:trHeight w:val="547"/>
        </w:trPr>
        <w:tc>
          <w:tcPr>
            <w:tcW w:w="0" w:type="auto"/>
            <w:hideMark/>
          </w:tcPr>
          <w:p w14:paraId="7DDA89A2"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11</w:t>
            </w:r>
          </w:p>
        </w:tc>
        <w:tc>
          <w:tcPr>
            <w:tcW w:w="0" w:type="auto"/>
            <w:hideMark/>
          </w:tcPr>
          <w:p w14:paraId="43DEF966"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Career Continuation</w:t>
            </w:r>
          </w:p>
        </w:tc>
        <w:tc>
          <w:tcPr>
            <w:tcW w:w="0" w:type="auto"/>
            <w:hideMark/>
          </w:tcPr>
          <w:p w14:paraId="5C12871C"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0.829</w:t>
            </w:r>
          </w:p>
        </w:tc>
        <w:tc>
          <w:tcPr>
            <w:tcW w:w="0" w:type="auto"/>
            <w:hideMark/>
          </w:tcPr>
          <w:p w14:paraId="4DD61AD5"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29D0392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56.2</w:t>
            </w:r>
          </w:p>
        </w:tc>
        <w:tc>
          <w:tcPr>
            <w:tcW w:w="0" w:type="auto"/>
            <w:hideMark/>
          </w:tcPr>
          <w:p w14:paraId="342DEDA7"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0.366</w:t>
            </w:r>
          </w:p>
        </w:tc>
      </w:tr>
    </w:tbl>
    <w:p w14:paraId="4A3D24D5" w14:textId="77777777" w:rsidR="005A4B5D" w:rsidRPr="00BD50AB" w:rsidRDefault="005A4B5D"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Interpretation of One-Way ANOVA (Welch's) on Occupational Stress Index (OSI):</w:t>
      </w:r>
    </w:p>
    <w:p w14:paraId="26BAD746" w14:textId="77777777" w:rsidR="005A4B5D" w:rsidRPr="00BD50AB" w:rsidRDefault="005A4B5D"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The Welch's ANOVA was conducted to assess the impact of various demographic and work-related factors on Occupational Stress Index (OSI) among seafarers. The results revealed that most of the tested variables—type of cargo ship (p = 0.663), designation (p = 0.373), years of experience (p = 0.519), frequency of home visits (p = 0.230), conflicts at workplace (p = 0.848), work distribution (p = 0.309), working conditions (p = 0.787), bonuses and incentives (p = 0.439), and career continuation (p = 0.366)—did not exhibit a statistically significant influence on occupational stress, indicating that stress levels remained relatively stable across these subgroups. However, promotion scope (F = 4.02, p = 0.049) was found to have a statistically significant effect on OSI at the 5% level, suggesting that the availability of promotion opportunities may impact stress perception among seafarers. Salary satisfaction approached significance (F = 3.75, p = 0.057) and may warrant further exploration. Overall, the findings partially support the rejection of some null hypotheses, specifically H₀₁₂, while others remain accepted, underlining the selective influence of work-related variables on seafarers’ occupational stress levels.</w:t>
      </w:r>
    </w:p>
    <w:p w14:paraId="68E9B29B" w14:textId="77777777" w:rsidR="00F12977" w:rsidRPr="00BD50AB" w:rsidRDefault="00F12977" w:rsidP="00BD50AB">
      <w:pPr>
        <w:tabs>
          <w:tab w:val="left" w:pos="984"/>
        </w:tabs>
        <w:spacing w:line="360" w:lineRule="auto"/>
        <w:jc w:val="both"/>
        <w:rPr>
          <w:rFonts w:ascii="Times New Roman" w:hAnsi="Times New Roman" w:cs="Times New Roman"/>
          <w:sz w:val="24"/>
          <w:szCs w:val="24"/>
        </w:rPr>
      </w:pPr>
    </w:p>
    <w:p w14:paraId="0A7F2D49" w14:textId="4D6FFEC6" w:rsidR="00F12977" w:rsidRPr="00BD50AB" w:rsidRDefault="00F12977"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TWO WAY ANOVA QOL </w:t>
      </w:r>
    </w:p>
    <w:tbl>
      <w:tblPr>
        <w:tblStyle w:val="TableGrid"/>
        <w:tblW w:w="0" w:type="auto"/>
        <w:tblLook w:val="04A0" w:firstRow="1" w:lastRow="0" w:firstColumn="1" w:lastColumn="0" w:noHBand="0" w:noVBand="1"/>
      </w:tblPr>
      <w:tblGrid>
        <w:gridCol w:w="4288"/>
        <w:gridCol w:w="1826"/>
        <w:gridCol w:w="456"/>
        <w:gridCol w:w="1592"/>
        <w:gridCol w:w="756"/>
        <w:gridCol w:w="756"/>
      </w:tblGrid>
      <w:tr w:rsidR="00F12977" w:rsidRPr="00BD50AB" w14:paraId="27BD4EF3" w14:textId="77777777" w:rsidTr="00F12977">
        <w:tc>
          <w:tcPr>
            <w:tcW w:w="0" w:type="auto"/>
            <w:gridSpan w:val="6"/>
            <w:hideMark/>
          </w:tcPr>
          <w:p w14:paraId="66CB7E68"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sz w:val="24"/>
                <w:szCs w:val="24"/>
              </w:rPr>
              <w:t>ANOVA - QOL</w:t>
            </w:r>
          </w:p>
        </w:tc>
      </w:tr>
      <w:tr w:rsidR="00F12977" w:rsidRPr="00BD50AB" w14:paraId="5612FEC1" w14:textId="77777777" w:rsidTr="00F12977">
        <w:tc>
          <w:tcPr>
            <w:tcW w:w="0" w:type="auto"/>
            <w:hideMark/>
          </w:tcPr>
          <w:p w14:paraId="248A7AB9"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6F92D8C1"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Sum of Squares</w:t>
            </w:r>
          </w:p>
        </w:tc>
        <w:tc>
          <w:tcPr>
            <w:tcW w:w="0" w:type="auto"/>
            <w:hideMark/>
          </w:tcPr>
          <w:p w14:paraId="6F92643D"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df</w:t>
            </w:r>
            <w:proofErr w:type="spellEnd"/>
          </w:p>
        </w:tc>
        <w:tc>
          <w:tcPr>
            <w:tcW w:w="0" w:type="auto"/>
            <w:hideMark/>
          </w:tcPr>
          <w:p w14:paraId="5E1C6960"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Mean Square</w:t>
            </w:r>
          </w:p>
        </w:tc>
        <w:tc>
          <w:tcPr>
            <w:tcW w:w="0" w:type="auto"/>
            <w:hideMark/>
          </w:tcPr>
          <w:p w14:paraId="03037367"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F</w:t>
            </w:r>
          </w:p>
        </w:tc>
        <w:tc>
          <w:tcPr>
            <w:tcW w:w="0" w:type="auto"/>
            <w:hideMark/>
          </w:tcPr>
          <w:p w14:paraId="366EDCA2"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w:t>
            </w:r>
          </w:p>
        </w:tc>
      </w:tr>
      <w:tr w:rsidR="00F12977" w:rsidRPr="00BD50AB" w14:paraId="0E216EF0" w14:textId="77777777" w:rsidTr="00F12977">
        <w:tc>
          <w:tcPr>
            <w:tcW w:w="0" w:type="auto"/>
            <w:hideMark/>
          </w:tcPr>
          <w:p w14:paraId="31C42308"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Type of Cargo Ship</w:t>
            </w:r>
          </w:p>
        </w:tc>
        <w:tc>
          <w:tcPr>
            <w:tcW w:w="0" w:type="auto"/>
            <w:hideMark/>
          </w:tcPr>
          <w:p w14:paraId="4C80B97B"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366.2</w:t>
            </w:r>
          </w:p>
        </w:tc>
        <w:tc>
          <w:tcPr>
            <w:tcW w:w="0" w:type="auto"/>
            <w:hideMark/>
          </w:tcPr>
          <w:p w14:paraId="015879C8"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w:t>
            </w:r>
          </w:p>
        </w:tc>
        <w:tc>
          <w:tcPr>
            <w:tcW w:w="0" w:type="auto"/>
            <w:hideMark/>
          </w:tcPr>
          <w:p w14:paraId="3A4495D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73.2</w:t>
            </w:r>
          </w:p>
        </w:tc>
        <w:tc>
          <w:tcPr>
            <w:tcW w:w="0" w:type="auto"/>
            <w:hideMark/>
          </w:tcPr>
          <w:p w14:paraId="74345A8D"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0.945</w:t>
            </w:r>
          </w:p>
        </w:tc>
        <w:tc>
          <w:tcPr>
            <w:tcW w:w="0" w:type="auto"/>
            <w:hideMark/>
          </w:tcPr>
          <w:p w14:paraId="1782C08C"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0.458</w:t>
            </w:r>
          </w:p>
        </w:tc>
      </w:tr>
      <w:tr w:rsidR="00F12977" w:rsidRPr="00BD50AB" w14:paraId="1D382BD9" w14:textId="77777777" w:rsidTr="00F12977">
        <w:tc>
          <w:tcPr>
            <w:tcW w:w="0" w:type="auto"/>
            <w:hideMark/>
          </w:tcPr>
          <w:p w14:paraId="33A9A9E1"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lastRenderedPageBreak/>
              <w:t>Promotion Scope</w:t>
            </w:r>
          </w:p>
        </w:tc>
        <w:tc>
          <w:tcPr>
            <w:tcW w:w="0" w:type="auto"/>
            <w:hideMark/>
          </w:tcPr>
          <w:p w14:paraId="0EE6FB87"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13.6</w:t>
            </w:r>
          </w:p>
        </w:tc>
        <w:tc>
          <w:tcPr>
            <w:tcW w:w="0" w:type="auto"/>
            <w:hideMark/>
          </w:tcPr>
          <w:p w14:paraId="4E4C14E7"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57CAB7DC"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13.6</w:t>
            </w:r>
          </w:p>
        </w:tc>
        <w:tc>
          <w:tcPr>
            <w:tcW w:w="0" w:type="auto"/>
            <w:hideMark/>
          </w:tcPr>
          <w:p w14:paraId="16FC59E0"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0.175</w:t>
            </w:r>
          </w:p>
        </w:tc>
        <w:tc>
          <w:tcPr>
            <w:tcW w:w="0" w:type="auto"/>
            <w:hideMark/>
          </w:tcPr>
          <w:p w14:paraId="6A10AFE1"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0.677</w:t>
            </w:r>
          </w:p>
        </w:tc>
      </w:tr>
      <w:tr w:rsidR="00F12977" w:rsidRPr="00BD50AB" w14:paraId="01C55F17" w14:textId="77777777" w:rsidTr="00F12977">
        <w:tc>
          <w:tcPr>
            <w:tcW w:w="0" w:type="auto"/>
            <w:hideMark/>
          </w:tcPr>
          <w:p w14:paraId="0EF6E6E5"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xml:space="preserve">Type of Cargo Ship </w:t>
            </w:r>
            <w:r w:rsidRPr="00BD50AB">
              <w:rPr>
                <w:rFonts w:ascii="Segoe UI Symbol" w:hAnsi="Segoe UI Symbol" w:cs="Segoe UI Symbol"/>
                <w:b/>
                <w:bCs/>
                <w:sz w:val="24"/>
                <w:szCs w:val="24"/>
              </w:rPr>
              <w:t>✻</w:t>
            </w:r>
            <w:r w:rsidRPr="00BD50AB">
              <w:rPr>
                <w:rFonts w:ascii="Times New Roman" w:hAnsi="Times New Roman" w:cs="Times New Roman"/>
                <w:b/>
                <w:bCs/>
                <w:sz w:val="24"/>
                <w:szCs w:val="24"/>
              </w:rPr>
              <w:t xml:space="preserve"> Promotion Scope</w:t>
            </w:r>
          </w:p>
        </w:tc>
        <w:tc>
          <w:tcPr>
            <w:tcW w:w="0" w:type="auto"/>
            <w:hideMark/>
          </w:tcPr>
          <w:p w14:paraId="3104A879"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284.0</w:t>
            </w:r>
          </w:p>
        </w:tc>
        <w:tc>
          <w:tcPr>
            <w:tcW w:w="0" w:type="auto"/>
            <w:hideMark/>
          </w:tcPr>
          <w:p w14:paraId="1ABFF629"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w:t>
            </w:r>
          </w:p>
        </w:tc>
        <w:tc>
          <w:tcPr>
            <w:tcW w:w="0" w:type="auto"/>
            <w:hideMark/>
          </w:tcPr>
          <w:p w14:paraId="51535251"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56.8</w:t>
            </w:r>
          </w:p>
        </w:tc>
        <w:tc>
          <w:tcPr>
            <w:tcW w:w="0" w:type="auto"/>
            <w:hideMark/>
          </w:tcPr>
          <w:p w14:paraId="0489DBF3"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0.733</w:t>
            </w:r>
          </w:p>
        </w:tc>
        <w:tc>
          <w:tcPr>
            <w:tcW w:w="0" w:type="auto"/>
            <w:hideMark/>
          </w:tcPr>
          <w:p w14:paraId="37C7A9AF"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0.601</w:t>
            </w:r>
          </w:p>
        </w:tc>
      </w:tr>
      <w:tr w:rsidR="00F12977" w:rsidRPr="00BD50AB" w14:paraId="27DD79AD" w14:textId="77777777" w:rsidTr="00F12977">
        <w:tc>
          <w:tcPr>
            <w:tcW w:w="0" w:type="auto"/>
            <w:hideMark/>
          </w:tcPr>
          <w:p w14:paraId="0BDDB7E5"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Residuals</w:t>
            </w:r>
          </w:p>
        </w:tc>
        <w:tc>
          <w:tcPr>
            <w:tcW w:w="0" w:type="auto"/>
            <w:hideMark/>
          </w:tcPr>
          <w:p w14:paraId="53E48B0F"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5269.5</w:t>
            </w:r>
          </w:p>
        </w:tc>
        <w:tc>
          <w:tcPr>
            <w:tcW w:w="0" w:type="auto"/>
            <w:hideMark/>
          </w:tcPr>
          <w:p w14:paraId="01B7982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68</w:t>
            </w:r>
          </w:p>
        </w:tc>
        <w:tc>
          <w:tcPr>
            <w:tcW w:w="0" w:type="auto"/>
            <w:hideMark/>
          </w:tcPr>
          <w:p w14:paraId="7B5404CC"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77.5</w:t>
            </w:r>
          </w:p>
        </w:tc>
        <w:tc>
          <w:tcPr>
            <w:tcW w:w="0" w:type="auto"/>
            <w:hideMark/>
          </w:tcPr>
          <w:p w14:paraId="61490C0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4A5E89E9"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r>
    </w:tbl>
    <w:p w14:paraId="7691A701" w14:textId="77777777" w:rsidR="00F12977" w:rsidRPr="00BD50AB" w:rsidRDefault="00F12977"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bl>
      <w:tblPr>
        <w:tblStyle w:val="TableGrid"/>
        <w:tblW w:w="0" w:type="auto"/>
        <w:tblLook w:val="04A0" w:firstRow="1" w:lastRow="0" w:firstColumn="1" w:lastColumn="0" w:noHBand="0" w:noVBand="1"/>
      </w:tblPr>
      <w:tblGrid>
        <w:gridCol w:w="4913"/>
        <w:gridCol w:w="1769"/>
        <w:gridCol w:w="456"/>
        <w:gridCol w:w="1545"/>
        <w:gridCol w:w="756"/>
        <w:gridCol w:w="756"/>
      </w:tblGrid>
      <w:tr w:rsidR="00F12977" w:rsidRPr="00BD50AB" w14:paraId="2AF17C80" w14:textId="77777777" w:rsidTr="00F12977">
        <w:tc>
          <w:tcPr>
            <w:tcW w:w="0" w:type="auto"/>
            <w:gridSpan w:val="6"/>
            <w:hideMark/>
          </w:tcPr>
          <w:p w14:paraId="2838ED39"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sz w:val="24"/>
                <w:szCs w:val="24"/>
              </w:rPr>
              <w:t>ANOVA - QOL</w:t>
            </w:r>
          </w:p>
        </w:tc>
      </w:tr>
      <w:tr w:rsidR="00F12977" w:rsidRPr="00BD50AB" w14:paraId="7CA238F7" w14:textId="77777777" w:rsidTr="00F12977">
        <w:tc>
          <w:tcPr>
            <w:tcW w:w="0" w:type="auto"/>
            <w:hideMark/>
          </w:tcPr>
          <w:p w14:paraId="0D41F758"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36BAB154"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Sum of Squares</w:t>
            </w:r>
          </w:p>
        </w:tc>
        <w:tc>
          <w:tcPr>
            <w:tcW w:w="0" w:type="auto"/>
            <w:hideMark/>
          </w:tcPr>
          <w:p w14:paraId="3331AC7F"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df</w:t>
            </w:r>
            <w:proofErr w:type="spellEnd"/>
          </w:p>
        </w:tc>
        <w:tc>
          <w:tcPr>
            <w:tcW w:w="0" w:type="auto"/>
            <w:hideMark/>
          </w:tcPr>
          <w:p w14:paraId="13B35AD5"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Mean Square</w:t>
            </w:r>
          </w:p>
        </w:tc>
        <w:tc>
          <w:tcPr>
            <w:tcW w:w="0" w:type="auto"/>
            <w:hideMark/>
          </w:tcPr>
          <w:p w14:paraId="62B056EC"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F</w:t>
            </w:r>
          </w:p>
        </w:tc>
        <w:tc>
          <w:tcPr>
            <w:tcW w:w="0" w:type="auto"/>
            <w:hideMark/>
          </w:tcPr>
          <w:p w14:paraId="220388C2"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w:t>
            </w:r>
          </w:p>
        </w:tc>
      </w:tr>
      <w:tr w:rsidR="00F12977" w:rsidRPr="00BD50AB" w14:paraId="16768444" w14:textId="77777777" w:rsidTr="00F12977">
        <w:tc>
          <w:tcPr>
            <w:tcW w:w="0" w:type="auto"/>
            <w:hideMark/>
          </w:tcPr>
          <w:p w14:paraId="7670484C"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Overall model</w:t>
            </w:r>
          </w:p>
        </w:tc>
        <w:tc>
          <w:tcPr>
            <w:tcW w:w="0" w:type="auto"/>
            <w:hideMark/>
          </w:tcPr>
          <w:p w14:paraId="4C929374"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154.3</w:t>
            </w:r>
          </w:p>
        </w:tc>
        <w:tc>
          <w:tcPr>
            <w:tcW w:w="0" w:type="auto"/>
            <w:hideMark/>
          </w:tcPr>
          <w:p w14:paraId="2E2FAF1F"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w:t>
            </w:r>
          </w:p>
        </w:tc>
        <w:tc>
          <w:tcPr>
            <w:tcW w:w="0" w:type="auto"/>
            <w:hideMark/>
          </w:tcPr>
          <w:p w14:paraId="765DF3E7"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19.29</w:t>
            </w:r>
          </w:p>
        </w:tc>
        <w:tc>
          <w:tcPr>
            <w:tcW w:w="0" w:type="auto"/>
            <w:hideMark/>
          </w:tcPr>
          <w:p w14:paraId="0D62D53D"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0.249</w:t>
            </w:r>
          </w:p>
        </w:tc>
        <w:tc>
          <w:tcPr>
            <w:tcW w:w="0" w:type="auto"/>
            <w:hideMark/>
          </w:tcPr>
          <w:p w14:paraId="239B436D"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0.980</w:t>
            </w:r>
          </w:p>
        </w:tc>
      </w:tr>
      <w:tr w:rsidR="00F12977" w:rsidRPr="00BD50AB" w14:paraId="6FB13DC4" w14:textId="77777777" w:rsidTr="00F12977">
        <w:tc>
          <w:tcPr>
            <w:tcW w:w="0" w:type="auto"/>
            <w:hideMark/>
          </w:tcPr>
          <w:p w14:paraId="5BBCEC1C"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Conflicts at Workplace</w:t>
            </w:r>
          </w:p>
        </w:tc>
        <w:tc>
          <w:tcPr>
            <w:tcW w:w="0" w:type="auto"/>
            <w:hideMark/>
          </w:tcPr>
          <w:p w14:paraId="79BACBFB"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18.1</w:t>
            </w:r>
          </w:p>
        </w:tc>
        <w:tc>
          <w:tcPr>
            <w:tcW w:w="0" w:type="auto"/>
            <w:hideMark/>
          </w:tcPr>
          <w:p w14:paraId="0E3045E9"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6CF6BA8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9.04</w:t>
            </w:r>
          </w:p>
        </w:tc>
        <w:tc>
          <w:tcPr>
            <w:tcW w:w="0" w:type="auto"/>
            <w:hideMark/>
          </w:tcPr>
          <w:p w14:paraId="505DF646"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0.114</w:t>
            </w:r>
          </w:p>
        </w:tc>
        <w:tc>
          <w:tcPr>
            <w:tcW w:w="0" w:type="auto"/>
            <w:hideMark/>
          </w:tcPr>
          <w:p w14:paraId="3FBDCEBF"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0.892</w:t>
            </w:r>
          </w:p>
        </w:tc>
      </w:tr>
      <w:tr w:rsidR="00F12977" w:rsidRPr="00BD50AB" w14:paraId="1FB155DC" w14:textId="77777777" w:rsidTr="00F12977">
        <w:tc>
          <w:tcPr>
            <w:tcW w:w="0" w:type="auto"/>
            <w:hideMark/>
          </w:tcPr>
          <w:p w14:paraId="7D9B73DF"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Home Visit Frequency</w:t>
            </w:r>
          </w:p>
        </w:tc>
        <w:tc>
          <w:tcPr>
            <w:tcW w:w="0" w:type="auto"/>
            <w:hideMark/>
          </w:tcPr>
          <w:p w14:paraId="4FB932F6"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51.0</w:t>
            </w:r>
          </w:p>
        </w:tc>
        <w:tc>
          <w:tcPr>
            <w:tcW w:w="0" w:type="auto"/>
            <w:hideMark/>
          </w:tcPr>
          <w:p w14:paraId="0EE4F870"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011B97D7"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25.52</w:t>
            </w:r>
          </w:p>
        </w:tc>
        <w:tc>
          <w:tcPr>
            <w:tcW w:w="0" w:type="auto"/>
            <w:hideMark/>
          </w:tcPr>
          <w:p w14:paraId="1A9CBA98"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0.322</w:t>
            </w:r>
          </w:p>
        </w:tc>
        <w:tc>
          <w:tcPr>
            <w:tcW w:w="0" w:type="auto"/>
            <w:hideMark/>
          </w:tcPr>
          <w:p w14:paraId="09AF287F"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0.725</w:t>
            </w:r>
          </w:p>
        </w:tc>
      </w:tr>
      <w:tr w:rsidR="00F12977" w:rsidRPr="00BD50AB" w14:paraId="3BC52435" w14:textId="77777777" w:rsidTr="00F12977">
        <w:tc>
          <w:tcPr>
            <w:tcW w:w="0" w:type="auto"/>
            <w:hideMark/>
          </w:tcPr>
          <w:p w14:paraId="7137A037"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xml:space="preserve">Conflicts at Workplace </w:t>
            </w:r>
            <w:r w:rsidRPr="00BD50AB">
              <w:rPr>
                <w:rFonts w:ascii="Segoe UI Symbol" w:hAnsi="Segoe UI Symbol" w:cs="Segoe UI Symbol"/>
                <w:b/>
                <w:bCs/>
                <w:sz w:val="24"/>
                <w:szCs w:val="24"/>
              </w:rPr>
              <w:t>✻</w:t>
            </w:r>
            <w:r w:rsidRPr="00BD50AB">
              <w:rPr>
                <w:rFonts w:ascii="Times New Roman" w:hAnsi="Times New Roman" w:cs="Times New Roman"/>
                <w:b/>
                <w:bCs/>
                <w:sz w:val="24"/>
                <w:szCs w:val="24"/>
              </w:rPr>
              <w:t xml:space="preserve"> Home Visit Frequency</w:t>
            </w:r>
          </w:p>
        </w:tc>
        <w:tc>
          <w:tcPr>
            <w:tcW w:w="0" w:type="auto"/>
            <w:hideMark/>
          </w:tcPr>
          <w:p w14:paraId="7E0A4484"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85.2</w:t>
            </w:r>
          </w:p>
        </w:tc>
        <w:tc>
          <w:tcPr>
            <w:tcW w:w="0" w:type="auto"/>
            <w:hideMark/>
          </w:tcPr>
          <w:p w14:paraId="6AF37F26"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1A61D71C"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21.31</w:t>
            </w:r>
          </w:p>
        </w:tc>
        <w:tc>
          <w:tcPr>
            <w:tcW w:w="0" w:type="auto"/>
            <w:hideMark/>
          </w:tcPr>
          <w:p w14:paraId="3685FBDA"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4D1BBA41"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0.897</w:t>
            </w:r>
          </w:p>
        </w:tc>
      </w:tr>
      <w:tr w:rsidR="00F12977" w:rsidRPr="00BD50AB" w14:paraId="609E174D" w14:textId="77777777" w:rsidTr="00F12977">
        <w:tc>
          <w:tcPr>
            <w:tcW w:w="0" w:type="auto"/>
            <w:hideMark/>
          </w:tcPr>
          <w:p w14:paraId="150AE1DE"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Residuals</w:t>
            </w:r>
          </w:p>
        </w:tc>
        <w:tc>
          <w:tcPr>
            <w:tcW w:w="0" w:type="auto"/>
            <w:hideMark/>
          </w:tcPr>
          <w:p w14:paraId="5D87C89B"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5620.6</w:t>
            </w:r>
          </w:p>
        </w:tc>
        <w:tc>
          <w:tcPr>
            <w:tcW w:w="0" w:type="auto"/>
            <w:hideMark/>
          </w:tcPr>
          <w:p w14:paraId="3D27BCAC"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71</w:t>
            </w:r>
          </w:p>
        </w:tc>
        <w:tc>
          <w:tcPr>
            <w:tcW w:w="0" w:type="auto"/>
            <w:hideMark/>
          </w:tcPr>
          <w:p w14:paraId="387DEE9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79.16</w:t>
            </w:r>
          </w:p>
        </w:tc>
        <w:tc>
          <w:tcPr>
            <w:tcW w:w="0" w:type="auto"/>
            <w:hideMark/>
          </w:tcPr>
          <w:p w14:paraId="523639F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559C9C4"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r>
    </w:tbl>
    <w:p w14:paraId="2BF0E088" w14:textId="77777777" w:rsidR="00F12977" w:rsidRPr="00BD50AB" w:rsidRDefault="00F12977"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bl>
      <w:tblPr>
        <w:tblStyle w:val="TableGrid"/>
        <w:tblW w:w="0" w:type="auto"/>
        <w:tblLook w:val="04A0" w:firstRow="1" w:lastRow="0" w:firstColumn="1" w:lastColumn="0" w:noHBand="0" w:noVBand="1"/>
      </w:tblPr>
      <w:tblGrid>
        <w:gridCol w:w="4580"/>
        <w:gridCol w:w="1826"/>
        <w:gridCol w:w="456"/>
        <w:gridCol w:w="1592"/>
        <w:gridCol w:w="636"/>
        <w:gridCol w:w="756"/>
      </w:tblGrid>
      <w:tr w:rsidR="00685F30" w:rsidRPr="00BD50AB" w14:paraId="0B1FC8E0" w14:textId="77777777" w:rsidTr="00685F30">
        <w:tc>
          <w:tcPr>
            <w:tcW w:w="0" w:type="auto"/>
            <w:gridSpan w:val="6"/>
            <w:hideMark/>
          </w:tcPr>
          <w:p w14:paraId="0BEFD735"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sz w:val="24"/>
                <w:szCs w:val="24"/>
              </w:rPr>
              <w:t>ANOVA - QOL</w:t>
            </w:r>
          </w:p>
        </w:tc>
      </w:tr>
      <w:tr w:rsidR="00685F30" w:rsidRPr="00BD50AB" w14:paraId="25AE10D5" w14:textId="77777777" w:rsidTr="00685F30">
        <w:tc>
          <w:tcPr>
            <w:tcW w:w="0" w:type="auto"/>
            <w:hideMark/>
          </w:tcPr>
          <w:p w14:paraId="5D69EAD4"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43629C5C"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Sum of Squares</w:t>
            </w:r>
          </w:p>
        </w:tc>
        <w:tc>
          <w:tcPr>
            <w:tcW w:w="0" w:type="auto"/>
            <w:hideMark/>
          </w:tcPr>
          <w:p w14:paraId="39154AFE"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df</w:t>
            </w:r>
            <w:proofErr w:type="spellEnd"/>
          </w:p>
        </w:tc>
        <w:tc>
          <w:tcPr>
            <w:tcW w:w="0" w:type="auto"/>
            <w:hideMark/>
          </w:tcPr>
          <w:p w14:paraId="00EAB663"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Mean Square</w:t>
            </w:r>
          </w:p>
        </w:tc>
        <w:tc>
          <w:tcPr>
            <w:tcW w:w="0" w:type="auto"/>
            <w:hideMark/>
          </w:tcPr>
          <w:p w14:paraId="4763ABB6"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F</w:t>
            </w:r>
          </w:p>
        </w:tc>
        <w:tc>
          <w:tcPr>
            <w:tcW w:w="0" w:type="auto"/>
            <w:hideMark/>
          </w:tcPr>
          <w:p w14:paraId="55BF445A"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w:t>
            </w:r>
          </w:p>
        </w:tc>
      </w:tr>
      <w:tr w:rsidR="00685F30" w:rsidRPr="00BD50AB" w14:paraId="7D1C0F2E" w14:textId="77777777" w:rsidTr="00685F30">
        <w:tc>
          <w:tcPr>
            <w:tcW w:w="0" w:type="auto"/>
            <w:hideMark/>
          </w:tcPr>
          <w:p w14:paraId="21C87095"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Overall model</w:t>
            </w:r>
          </w:p>
        </w:tc>
        <w:tc>
          <w:tcPr>
            <w:tcW w:w="0" w:type="auto"/>
            <w:hideMark/>
          </w:tcPr>
          <w:p w14:paraId="2193B642"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963</w:t>
            </w:r>
          </w:p>
        </w:tc>
        <w:tc>
          <w:tcPr>
            <w:tcW w:w="0" w:type="auto"/>
            <w:hideMark/>
          </w:tcPr>
          <w:p w14:paraId="3AC3C94F"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w:t>
            </w:r>
          </w:p>
        </w:tc>
        <w:tc>
          <w:tcPr>
            <w:tcW w:w="0" w:type="auto"/>
            <w:hideMark/>
          </w:tcPr>
          <w:p w14:paraId="040EB28C"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192.7</w:t>
            </w:r>
          </w:p>
        </w:tc>
        <w:tc>
          <w:tcPr>
            <w:tcW w:w="0" w:type="auto"/>
            <w:hideMark/>
          </w:tcPr>
          <w:p w14:paraId="42E445FA"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2.10</w:t>
            </w:r>
          </w:p>
        </w:tc>
        <w:tc>
          <w:tcPr>
            <w:tcW w:w="0" w:type="auto"/>
            <w:hideMark/>
          </w:tcPr>
          <w:p w14:paraId="4A5D6C99"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0.075</w:t>
            </w:r>
          </w:p>
        </w:tc>
      </w:tr>
      <w:tr w:rsidR="00685F30" w:rsidRPr="00BD50AB" w14:paraId="154E192D" w14:textId="77777777" w:rsidTr="00685F30">
        <w:tc>
          <w:tcPr>
            <w:tcW w:w="0" w:type="auto"/>
            <w:hideMark/>
          </w:tcPr>
          <w:p w14:paraId="387F639A"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Bonuses/Incentives</w:t>
            </w:r>
          </w:p>
        </w:tc>
        <w:tc>
          <w:tcPr>
            <w:tcW w:w="0" w:type="auto"/>
            <w:hideMark/>
          </w:tcPr>
          <w:p w14:paraId="0A1CE995"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120</w:t>
            </w:r>
          </w:p>
        </w:tc>
        <w:tc>
          <w:tcPr>
            <w:tcW w:w="0" w:type="auto"/>
            <w:hideMark/>
          </w:tcPr>
          <w:p w14:paraId="1239BC6B"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4BFE0CB1"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119.7</w:t>
            </w:r>
          </w:p>
        </w:tc>
        <w:tc>
          <w:tcPr>
            <w:tcW w:w="0" w:type="auto"/>
            <w:hideMark/>
          </w:tcPr>
          <w:p w14:paraId="6C39C880"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1.75</w:t>
            </w:r>
          </w:p>
        </w:tc>
        <w:tc>
          <w:tcPr>
            <w:tcW w:w="0" w:type="auto"/>
            <w:hideMark/>
          </w:tcPr>
          <w:p w14:paraId="7FCDCD68"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0.190</w:t>
            </w:r>
          </w:p>
        </w:tc>
      </w:tr>
      <w:tr w:rsidR="00685F30" w:rsidRPr="00BD50AB" w14:paraId="72A45874" w14:textId="77777777" w:rsidTr="00685F30">
        <w:tc>
          <w:tcPr>
            <w:tcW w:w="0" w:type="auto"/>
            <w:hideMark/>
          </w:tcPr>
          <w:p w14:paraId="702899B4"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Working Conditions</w:t>
            </w:r>
          </w:p>
        </w:tc>
        <w:tc>
          <w:tcPr>
            <w:tcW w:w="0" w:type="auto"/>
            <w:hideMark/>
          </w:tcPr>
          <w:p w14:paraId="609D7DBB"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487</w:t>
            </w:r>
          </w:p>
        </w:tc>
        <w:tc>
          <w:tcPr>
            <w:tcW w:w="0" w:type="auto"/>
            <w:hideMark/>
          </w:tcPr>
          <w:p w14:paraId="14ED6C24"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735A688F"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243.7</w:t>
            </w:r>
          </w:p>
        </w:tc>
        <w:tc>
          <w:tcPr>
            <w:tcW w:w="0" w:type="auto"/>
            <w:hideMark/>
          </w:tcPr>
          <w:p w14:paraId="6E6A1ABA"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3.56</w:t>
            </w:r>
          </w:p>
        </w:tc>
        <w:tc>
          <w:tcPr>
            <w:tcW w:w="0" w:type="auto"/>
            <w:hideMark/>
          </w:tcPr>
          <w:p w14:paraId="7790373F"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0.033</w:t>
            </w:r>
          </w:p>
        </w:tc>
      </w:tr>
      <w:tr w:rsidR="00685F30" w:rsidRPr="00BD50AB" w14:paraId="2AB82D94" w14:textId="77777777" w:rsidTr="00685F30">
        <w:tc>
          <w:tcPr>
            <w:tcW w:w="0" w:type="auto"/>
            <w:hideMark/>
          </w:tcPr>
          <w:p w14:paraId="25E261FD"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xml:space="preserve">Bonuses/Incentives </w:t>
            </w:r>
            <w:r w:rsidRPr="00BD50AB">
              <w:rPr>
                <w:rFonts w:ascii="Segoe UI Symbol" w:hAnsi="Segoe UI Symbol" w:cs="Segoe UI Symbol"/>
                <w:b/>
                <w:bCs/>
                <w:sz w:val="24"/>
                <w:szCs w:val="24"/>
              </w:rPr>
              <w:t>✻</w:t>
            </w:r>
            <w:r w:rsidRPr="00BD50AB">
              <w:rPr>
                <w:rFonts w:ascii="Times New Roman" w:hAnsi="Times New Roman" w:cs="Times New Roman"/>
                <w:b/>
                <w:bCs/>
                <w:sz w:val="24"/>
                <w:szCs w:val="24"/>
              </w:rPr>
              <w:t xml:space="preserve"> Working Conditions</w:t>
            </w:r>
          </w:p>
        </w:tc>
        <w:tc>
          <w:tcPr>
            <w:tcW w:w="0" w:type="auto"/>
            <w:hideMark/>
          </w:tcPr>
          <w:p w14:paraId="78D5E685"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356</w:t>
            </w:r>
          </w:p>
        </w:tc>
        <w:tc>
          <w:tcPr>
            <w:tcW w:w="0" w:type="auto"/>
            <w:hideMark/>
          </w:tcPr>
          <w:p w14:paraId="40F984B0"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3F641DE4"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178.2</w:t>
            </w:r>
          </w:p>
        </w:tc>
        <w:tc>
          <w:tcPr>
            <w:tcW w:w="0" w:type="auto"/>
            <w:hideMark/>
          </w:tcPr>
          <w:p w14:paraId="7EDB9861"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2.60</w:t>
            </w:r>
          </w:p>
        </w:tc>
        <w:tc>
          <w:tcPr>
            <w:tcW w:w="0" w:type="auto"/>
            <w:hideMark/>
          </w:tcPr>
          <w:p w14:paraId="4971B84D"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0.081</w:t>
            </w:r>
          </w:p>
        </w:tc>
      </w:tr>
      <w:tr w:rsidR="00685F30" w:rsidRPr="00BD50AB" w14:paraId="3E80C573" w14:textId="77777777" w:rsidTr="00685F30">
        <w:tc>
          <w:tcPr>
            <w:tcW w:w="0" w:type="auto"/>
            <w:hideMark/>
          </w:tcPr>
          <w:p w14:paraId="76B944CE"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Residuals</w:t>
            </w:r>
          </w:p>
        </w:tc>
        <w:tc>
          <w:tcPr>
            <w:tcW w:w="0" w:type="auto"/>
            <w:hideMark/>
          </w:tcPr>
          <w:p w14:paraId="3C917BF6"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5061</w:t>
            </w:r>
          </w:p>
        </w:tc>
        <w:tc>
          <w:tcPr>
            <w:tcW w:w="0" w:type="auto"/>
            <w:hideMark/>
          </w:tcPr>
          <w:p w14:paraId="344D6037"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74</w:t>
            </w:r>
          </w:p>
        </w:tc>
        <w:tc>
          <w:tcPr>
            <w:tcW w:w="0" w:type="auto"/>
            <w:hideMark/>
          </w:tcPr>
          <w:p w14:paraId="1770DB46"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68.4</w:t>
            </w:r>
          </w:p>
        </w:tc>
        <w:tc>
          <w:tcPr>
            <w:tcW w:w="0" w:type="auto"/>
            <w:hideMark/>
          </w:tcPr>
          <w:p w14:paraId="5F98D63C"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55F926B"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r>
    </w:tbl>
    <w:p w14:paraId="6D23978E" w14:textId="557E0779" w:rsidR="00685F30" w:rsidRPr="00BD50AB" w:rsidRDefault="00685F30"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r w:rsidR="00471AAB" w:rsidRPr="00BD50AB">
        <w:rPr>
          <w:rFonts w:ascii="Times New Roman" w:hAnsi="Times New Roman" w:cs="Times New Roman"/>
          <w:sz w:val="24"/>
          <w:szCs w:val="24"/>
        </w:rPr>
        <w:t xml:space="preserve">Authors Compilation </w:t>
      </w:r>
    </w:p>
    <w:p w14:paraId="34C3B56B" w14:textId="77777777" w:rsidR="00471AAB" w:rsidRPr="00BD50AB" w:rsidRDefault="00471AAB"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Interpretation of Two-Way ANOVA for Quality of Life (QOL):</w:t>
      </w:r>
    </w:p>
    <w:p w14:paraId="5313873D" w14:textId="77777777" w:rsidR="00471AAB" w:rsidRPr="00BD50AB" w:rsidRDefault="00471AAB"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To examine how work-related variables and their interactions influence seafarers' Quality of Life (QOL), a series of Two-Way ANOVA tests were conducted, aligned with the study’s objectives and hypotheses.</w:t>
      </w:r>
    </w:p>
    <w:p w14:paraId="2F37FFEF" w14:textId="77777777" w:rsidR="00471AAB" w:rsidRPr="00BD50AB" w:rsidRDefault="00471AAB" w:rsidP="00BD50AB">
      <w:pPr>
        <w:numPr>
          <w:ilvl w:val="0"/>
          <w:numId w:val="11"/>
        </w:numPr>
        <w:tabs>
          <w:tab w:val="clear" w:pos="720"/>
          <w:tab w:val="num" w:pos="360"/>
          <w:tab w:val="left" w:pos="984"/>
        </w:tabs>
        <w:spacing w:line="360" w:lineRule="auto"/>
        <w:ind w:left="0" w:firstLine="0"/>
        <w:jc w:val="both"/>
        <w:rPr>
          <w:rFonts w:ascii="Times New Roman" w:hAnsi="Times New Roman" w:cs="Times New Roman"/>
          <w:sz w:val="24"/>
          <w:szCs w:val="24"/>
        </w:rPr>
      </w:pPr>
      <w:r w:rsidRPr="00BD50AB">
        <w:rPr>
          <w:rFonts w:ascii="Times New Roman" w:hAnsi="Times New Roman" w:cs="Times New Roman"/>
          <w:sz w:val="24"/>
          <w:szCs w:val="24"/>
        </w:rPr>
        <w:t>Type of Cargo Ship and Promotion Scope Interaction:</w:t>
      </w:r>
      <w:r w:rsidRPr="00BD50AB">
        <w:rPr>
          <w:rFonts w:ascii="Times New Roman" w:hAnsi="Times New Roman" w:cs="Times New Roman"/>
          <w:sz w:val="24"/>
          <w:szCs w:val="24"/>
        </w:rPr>
        <w:br/>
        <w:t xml:space="preserve">The analysis assessing the main effects of </w:t>
      </w:r>
      <w:r w:rsidRPr="00BD50AB">
        <w:rPr>
          <w:rFonts w:ascii="Times New Roman" w:hAnsi="Times New Roman" w:cs="Times New Roman"/>
          <w:i/>
          <w:iCs/>
          <w:sz w:val="24"/>
          <w:szCs w:val="24"/>
        </w:rPr>
        <w:t>type of cargo ship</w:t>
      </w:r>
      <w:r w:rsidRPr="00BD50AB">
        <w:rPr>
          <w:rFonts w:ascii="Times New Roman" w:hAnsi="Times New Roman" w:cs="Times New Roman"/>
          <w:sz w:val="24"/>
          <w:szCs w:val="24"/>
        </w:rPr>
        <w:t xml:space="preserve"> and </w:t>
      </w:r>
      <w:r w:rsidRPr="00BD50AB">
        <w:rPr>
          <w:rFonts w:ascii="Times New Roman" w:hAnsi="Times New Roman" w:cs="Times New Roman"/>
          <w:i/>
          <w:iCs/>
          <w:sz w:val="24"/>
          <w:szCs w:val="24"/>
        </w:rPr>
        <w:t>promotion scope</w:t>
      </w:r>
      <w:r w:rsidRPr="00BD50AB">
        <w:rPr>
          <w:rFonts w:ascii="Times New Roman" w:hAnsi="Times New Roman" w:cs="Times New Roman"/>
          <w:sz w:val="24"/>
          <w:szCs w:val="24"/>
        </w:rPr>
        <w:t xml:space="preserve">, as well as their </w:t>
      </w:r>
      <w:r w:rsidRPr="00BD50AB">
        <w:rPr>
          <w:rFonts w:ascii="Times New Roman" w:hAnsi="Times New Roman" w:cs="Times New Roman"/>
          <w:sz w:val="24"/>
          <w:szCs w:val="24"/>
        </w:rPr>
        <w:lastRenderedPageBreak/>
        <w:t xml:space="preserve">interaction on QOL, revealed no statistically significant results. The </w:t>
      </w:r>
      <w:r w:rsidRPr="00BD50AB">
        <w:rPr>
          <w:rFonts w:ascii="Times New Roman" w:hAnsi="Times New Roman" w:cs="Times New Roman"/>
          <w:i/>
          <w:iCs/>
          <w:sz w:val="24"/>
          <w:szCs w:val="24"/>
        </w:rPr>
        <w:t>type of cargo ship</w:t>
      </w:r>
      <w:r w:rsidRPr="00BD50AB">
        <w:rPr>
          <w:rFonts w:ascii="Times New Roman" w:hAnsi="Times New Roman" w:cs="Times New Roman"/>
          <w:sz w:val="24"/>
          <w:szCs w:val="24"/>
        </w:rPr>
        <w:t xml:space="preserve"> (F = 0.945, p = 0.458), </w:t>
      </w:r>
      <w:r w:rsidRPr="00BD50AB">
        <w:rPr>
          <w:rFonts w:ascii="Times New Roman" w:hAnsi="Times New Roman" w:cs="Times New Roman"/>
          <w:i/>
          <w:iCs/>
          <w:sz w:val="24"/>
          <w:szCs w:val="24"/>
        </w:rPr>
        <w:t>promotion scope</w:t>
      </w:r>
      <w:r w:rsidRPr="00BD50AB">
        <w:rPr>
          <w:rFonts w:ascii="Times New Roman" w:hAnsi="Times New Roman" w:cs="Times New Roman"/>
          <w:sz w:val="24"/>
          <w:szCs w:val="24"/>
        </w:rPr>
        <w:t xml:space="preserve"> (F = 0.175, p = 0.677), and their interaction effect (F = 0.733, p = 0.601) all showed p-values well above the 0.05 threshold. These results lead us to retain the null hypotheses H₀₁₀, H₀₁₁, and H₀₁₆, indicating that neither ship type, promotion opportunities, nor their interaction significantly affect seafarers’ quality of life.</w:t>
      </w:r>
    </w:p>
    <w:p w14:paraId="12624653" w14:textId="77777777" w:rsidR="00471AAB" w:rsidRPr="00BD50AB" w:rsidRDefault="00471AAB" w:rsidP="00BD50AB">
      <w:pPr>
        <w:numPr>
          <w:ilvl w:val="0"/>
          <w:numId w:val="11"/>
        </w:numPr>
        <w:tabs>
          <w:tab w:val="clear" w:pos="720"/>
          <w:tab w:val="num" w:pos="360"/>
          <w:tab w:val="left" w:pos="984"/>
        </w:tabs>
        <w:spacing w:line="360" w:lineRule="auto"/>
        <w:ind w:left="0" w:firstLine="0"/>
        <w:jc w:val="both"/>
        <w:rPr>
          <w:rFonts w:ascii="Times New Roman" w:hAnsi="Times New Roman" w:cs="Times New Roman"/>
          <w:sz w:val="24"/>
          <w:szCs w:val="24"/>
        </w:rPr>
      </w:pPr>
      <w:r w:rsidRPr="00BD50AB">
        <w:rPr>
          <w:rFonts w:ascii="Times New Roman" w:hAnsi="Times New Roman" w:cs="Times New Roman"/>
          <w:sz w:val="24"/>
          <w:szCs w:val="24"/>
        </w:rPr>
        <w:t>Conflicts at Workplace and Home Visit Frequency Interaction:</w:t>
      </w:r>
      <w:r w:rsidRPr="00BD50AB">
        <w:rPr>
          <w:rFonts w:ascii="Times New Roman" w:hAnsi="Times New Roman" w:cs="Times New Roman"/>
          <w:sz w:val="24"/>
          <w:szCs w:val="24"/>
        </w:rPr>
        <w:br/>
        <w:t xml:space="preserve">Similarly, no significant effects were found when testing </w:t>
      </w:r>
      <w:r w:rsidRPr="00BD50AB">
        <w:rPr>
          <w:rFonts w:ascii="Times New Roman" w:hAnsi="Times New Roman" w:cs="Times New Roman"/>
          <w:i/>
          <w:iCs/>
          <w:sz w:val="24"/>
          <w:szCs w:val="24"/>
        </w:rPr>
        <w:t>conflicts at the workplace</w:t>
      </w:r>
      <w:r w:rsidRPr="00BD50AB">
        <w:rPr>
          <w:rFonts w:ascii="Times New Roman" w:hAnsi="Times New Roman" w:cs="Times New Roman"/>
          <w:sz w:val="24"/>
          <w:szCs w:val="24"/>
        </w:rPr>
        <w:t xml:space="preserve"> (F = 0.114, p = 0.892), </w:t>
      </w:r>
      <w:r w:rsidRPr="00BD50AB">
        <w:rPr>
          <w:rFonts w:ascii="Times New Roman" w:hAnsi="Times New Roman" w:cs="Times New Roman"/>
          <w:i/>
          <w:iCs/>
          <w:sz w:val="24"/>
          <w:szCs w:val="24"/>
        </w:rPr>
        <w:t>home visit frequency</w:t>
      </w:r>
      <w:r w:rsidRPr="00BD50AB">
        <w:rPr>
          <w:rFonts w:ascii="Times New Roman" w:hAnsi="Times New Roman" w:cs="Times New Roman"/>
          <w:sz w:val="24"/>
          <w:szCs w:val="24"/>
        </w:rPr>
        <w:t xml:space="preserve"> (F = 0.322, p = 0.725), or their interaction (F = 0.269, p = 0.897) on QOL. The very high p-values suggest minimal to no variance in QOL attributable to these factors or their combined influence. Thus, hypotheses H₀₁₇ and related nulls remain accepted, indicating that QOL is not significantly impacted by workplace conflict or how often seafarers visit home.</w:t>
      </w:r>
    </w:p>
    <w:p w14:paraId="653B8010" w14:textId="4B70FF48" w:rsidR="00471AAB" w:rsidRPr="00BD50AB" w:rsidRDefault="00471AAB" w:rsidP="00BD50AB">
      <w:pPr>
        <w:numPr>
          <w:ilvl w:val="0"/>
          <w:numId w:val="11"/>
        </w:numPr>
        <w:tabs>
          <w:tab w:val="clear" w:pos="720"/>
          <w:tab w:val="num" w:pos="360"/>
          <w:tab w:val="left" w:pos="984"/>
        </w:tabs>
        <w:spacing w:line="360" w:lineRule="auto"/>
        <w:ind w:left="0" w:firstLine="0"/>
        <w:jc w:val="both"/>
        <w:rPr>
          <w:rFonts w:ascii="Times New Roman" w:hAnsi="Times New Roman" w:cs="Times New Roman"/>
          <w:sz w:val="24"/>
          <w:szCs w:val="24"/>
        </w:rPr>
      </w:pPr>
      <w:r w:rsidRPr="00BD50AB">
        <w:rPr>
          <w:rFonts w:ascii="Times New Roman" w:hAnsi="Times New Roman" w:cs="Times New Roman"/>
          <w:sz w:val="24"/>
          <w:szCs w:val="24"/>
        </w:rPr>
        <w:t>Bonuses/Incentives and Working Conditions Interaction:</w:t>
      </w:r>
      <w:r w:rsidRPr="00BD50AB">
        <w:rPr>
          <w:rFonts w:ascii="Times New Roman" w:hAnsi="Times New Roman" w:cs="Times New Roman"/>
          <w:sz w:val="24"/>
          <w:szCs w:val="24"/>
        </w:rPr>
        <w:br/>
        <w:t xml:space="preserve">The third Two-Way ANOVA yielded more nuanced findings. While the overall model approached significance (F = 2.10, p = 0.075), one individual factor—working conditions—showed a statistically significant main effect (F = 3.56, p = 0.033). This suggests that better or worse working conditions do affect seafarers’ perceived quality of life, supporting H₁₁₀ and leading to rejection of the null H₀₁₀. However, </w:t>
      </w:r>
      <w:r w:rsidRPr="00BD50AB">
        <w:rPr>
          <w:rFonts w:ascii="Times New Roman" w:hAnsi="Times New Roman" w:cs="Times New Roman"/>
          <w:i/>
          <w:iCs/>
          <w:sz w:val="24"/>
          <w:szCs w:val="24"/>
        </w:rPr>
        <w:t>bonuses and incentives</w:t>
      </w:r>
      <w:r w:rsidRPr="00BD50AB">
        <w:rPr>
          <w:rFonts w:ascii="Times New Roman" w:hAnsi="Times New Roman" w:cs="Times New Roman"/>
          <w:sz w:val="24"/>
          <w:szCs w:val="24"/>
        </w:rPr>
        <w:t xml:space="preserve"> did not have a significant independent effect (F = 1.75, p = 0.190), and the interaction between </w:t>
      </w:r>
      <w:r w:rsidRPr="00BD50AB">
        <w:rPr>
          <w:rFonts w:ascii="Times New Roman" w:hAnsi="Times New Roman" w:cs="Times New Roman"/>
          <w:i/>
          <w:iCs/>
          <w:sz w:val="24"/>
          <w:szCs w:val="24"/>
        </w:rPr>
        <w:t>bonuses/incentives and working conditions</w:t>
      </w:r>
      <w:r w:rsidRPr="00BD50AB">
        <w:rPr>
          <w:rFonts w:ascii="Times New Roman" w:hAnsi="Times New Roman" w:cs="Times New Roman"/>
          <w:sz w:val="24"/>
          <w:szCs w:val="24"/>
        </w:rPr>
        <w:t xml:space="preserve"> was only marginally significant (F = 2.60, p = 0.081), suggesting a potential but inconclusive interaction effect (H₁₁₅ remains tentative).</w:t>
      </w:r>
      <w:r w:rsidRPr="00BD50AB">
        <w:rPr>
          <w:rFonts w:ascii="Times New Roman" w:hAnsi="Times New Roman" w:cs="Times New Roman"/>
          <w:sz w:val="24"/>
          <w:szCs w:val="24"/>
        </w:rPr>
        <w:br/>
        <w:t>Across the tested models, only working conditions significantly influenced quality of life, providing empirical support for targeted interventions in improving seafarers’ workplace environments. Other demographic and work-related factors, including promotions, bonuses, ship type, and home visits, showed no statistically significant impact, highlighting the robustness of working conditions as a key determinant in occupational well-being.</w:t>
      </w:r>
    </w:p>
    <w:p w14:paraId="76312AB9" w14:textId="77777777" w:rsidR="00471AAB" w:rsidRPr="00BD50AB" w:rsidRDefault="00471AAB" w:rsidP="00BD50AB">
      <w:pPr>
        <w:tabs>
          <w:tab w:val="left" w:pos="984"/>
        </w:tabs>
        <w:spacing w:line="360" w:lineRule="auto"/>
        <w:jc w:val="both"/>
        <w:rPr>
          <w:rFonts w:ascii="Times New Roman" w:hAnsi="Times New Roman" w:cs="Times New Roman"/>
          <w:sz w:val="24"/>
          <w:szCs w:val="24"/>
        </w:rPr>
      </w:pPr>
    </w:p>
    <w:p w14:paraId="5B714652" w14:textId="0A76895E" w:rsidR="00685F30" w:rsidRPr="00BD50AB" w:rsidRDefault="00685F30"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noProof/>
          <w:sz w:val="24"/>
          <w:szCs w:val="24"/>
        </w:rPr>
        <w:lastRenderedPageBreak/>
        <w:drawing>
          <wp:inline distT="0" distB="0" distL="0" distR="0" wp14:anchorId="528BE231" wp14:editId="32BF0EC1">
            <wp:extent cx="6480175" cy="3577590"/>
            <wp:effectExtent l="76200" t="76200" r="130175" b="137160"/>
            <wp:docPr id="1195067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35775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025161" w14:textId="7B963F95" w:rsidR="00F12977" w:rsidRPr="00BD50AB" w:rsidRDefault="00685F30"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Working Conditions clearly influence QOL</w:t>
      </w:r>
      <w:r w:rsidRPr="00BD50AB">
        <w:rPr>
          <w:rFonts w:ascii="Times New Roman" w:hAnsi="Times New Roman" w:cs="Times New Roman"/>
          <w:sz w:val="24"/>
          <w:szCs w:val="24"/>
        </w:rPr>
        <w:t xml:space="preserve"> (as seen in your ANOVA p = 0.033).There’s </w:t>
      </w:r>
      <w:r w:rsidRPr="00BD50AB">
        <w:rPr>
          <w:rFonts w:ascii="Times New Roman" w:hAnsi="Times New Roman" w:cs="Times New Roman"/>
          <w:b/>
          <w:bCs/>
          <w:sz w:val="24"/>
          <w:szCs w:val="24"/>
        </w:rPr>
        <w:t>some interaction</w:t>
      </w:r>
      <w:r w:rsidRPr="00BD50AB">
        <w:rPr>
          <w:rFonts w:ascii="Times New Roman" w:hAnsi="Times New Roman" w:cs="Times New Roman"/>
          <w:sz w:val="24"/>
          <w:szCs w:val="24"/>
        </w:rPr>
        <w:t xml:space="preserve"> happening</w:t>
      </w:r>
      <w:r w:rsidR="00BD50AB">
        <w:rPr>
          <w:rFonts w:ascii="Times New Roman" w:hAnsi="Times New Roman" w:cs="Times New Roman"/>
          <w:sz w:val="24"/>
          <w:szCs w:val="24"/>
        </w:rPr>
        <w:t xml:space="preserve"> </w:t>
      </w:r>
      <w:r w:rsidRPr="00BD50AB">
        <w:rPr>
          <w:rFonts w:ascii="Times New Roman" w:hAnsi="Times New Roman" w:cs="Times New Roman"/>
          <w:sz w:val="24"/>
          <w:szCs w:val="24"/>
        </w:rPr>
        <w:t xml:space="preserve">seen visually, though the p = 0.081 isn’t quite below 0.05. This suggests: </w:t>
      </w:r>
      <w:r w:rsidRPr="00BD50AB">
        <w:rPr>
          <w:rFonts w:ascii="Times New Roman" w:hAnsi="Times New Roman" w:cs="Times New Roman"/>
          <w:b/>
          <w:bCs/>
          <w:sz w:val="24"/>
          <w:szCs w:val="24"/>
        </w:rPr>
        <w:t>bonuses only help when working conditions are good</w:t>
      </w:r>
      <w:r w:rsidRPr="00BD50AB">
        <w:rPr>
          <w:rFonts w:ascii="Times New Roman" w:hAnsi="Times New Roman" w:cs="Times New Roman"/>
          <w:sz w:val="24"/>
          <w:szCs w:val="24"/>
        </w:rPr>
        <w:t>. If the conditions are poor (like level 2), bonuses may not be enough to boost QOL.</w:t>
      </w:r>
    </w:p>
    <w:p w14:paraId="59ABE838" w14:textId="473AC058" w:rsidR="00685F30"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proofErr w:type="spellStart"/>
      <w:r w:rsidRPr="00BD50AB">
        <w:rPr>
          <w:rFonts w:ascii="Times New Roman" w:hAnsi="Times New Roman" w:cs="Times New Roman"/>
          <w:sz w:val="24"/>
          <w:szCs w:val="24"/>
        </w:rPr>
        <w:t>Exploartory</w:t>
      </w:r>
      <w:proofErr w:type="spellEnd"/>
      <w:r w:rsidRPr="00BD50AB">
        <w:rPr>
          <w:rFonts w:ascii="Times New Roman" w:hAnsi="Times New Roman" w:cs="Times New Roman"/>
          <w:sz w:val="24"/>
          <w:szCs w:val="24"/>
        </w:rPr>
        <w:t xml:space="preserve"> </w:t>
      </w:r>
      <w:r w:rsidR="00685F30" w:rsidRPr="00BD50AB">
        <w:rPr>
          <w:rFonts w:ascii="Times New Roman" w:hAnsi="Times New Roman" w:cs="Times New Roman"/>
          <w:sz w:val="24"/>
          <w:szCs w:val="24"/>
        </w:rPr>
        <w:t xml:space="preserve">Factor Analysis </w:t>
      </w:r>
    </w:p>
    <w:tbl>
      <w:tblPr>
        <w:tblStyle w:val="TableGrid"/>
        <w:tblW w:w="0" w:type="auto"/>
        <w:tblLook w:val="04A0" w:firstRow="1" w:lastRow="0" w:firstColumn="1" w:lastColumn="0" w:noHBand="0" w:noVBand="1"/>
      </w:tblPr>
      <w:tblGrid>
        <w:gridCol w:w="3652"/>
        <w:gridCol w:w="1483"/>
        <w:gridCol w:w="1483"/>
        <w:gridCol w:w="1483"/>
        <w:gridCol w:w="2094"/>
      </w:tblGrid>
      <w:tr w:rsidR="009F57CD" w:rsidRPr="00BD50AB" w14:paraId="68991D55" w14:textId="77777777" w:rsidTr="009F57CD">
        <w:tc>
          <w:tcPr>
            <w:tcW w:w="0" w:type="auto"/>
            <w:gridSpan w:val="5"/>
            <w:hideMark/>
          </w:tcPr>
          <w:p w14:paraId="04451090"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sz w:val="24"/>
                <w:szCs w:val="24"/>
              </w:rPr>
              <w:t>Factor Loadings</w:t>
            </w:r>
          </w:p>
        </w:tc>
      </w:tr>
      <w:tr w:rsidR="009F57CD" w:rsidRPr="00BD50AB" w14:paraId="56A141EB" w14:textId="77777777" w:rsidTr="009F57CD">
        <w:tc>
          <w:tcPr>
            <w:tcW w:w="0" w:type="auto"/>
            <w:hideMark/>
          </w:tcPr>
          <w:p w14:paraId="5507287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p>
        </w:tc>
        <w:tc>
          <w:tcPr>
            <w:tcW w:w="0" w:type="auto"/>
            <w:gridSpan w:val="3"/>
            <w:hideMark/>
          </w:tcPr>
          <w:p w14:paraId="0EA8F863"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Factor</w:t>
            </w:r>
          </w:p>
        </w:tc>
        <w:tc>
          <w:tcPr>
            <w:tcW w:w="0" w:type="auto"/>
            <w:hideMark/>
          </w:tcPr>
          <w:p w14:paraId="034DB18E"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p>
        </w:tc>
      </w:tr>
      <w:tr w:rsidR="009F57CD" w:rsidRPr="00BD50AB" w14:paraId="62ACCB6C" w14:textId="77777777" w:rsidTr="009F57CD">
        <w:tc>
          <w:tcPr>
            <w:tcW w:w="0" w:type="auto"/>
            <w:hideMark/>
          </w:tcPr>
          <w:p w14:paraId="036AAA1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2E0C1D6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1</w:t>
            </w:r>
          </w:p>
        </w:tc>
        <w:tc>
          <w:tcPr>
            <w:tcW w:w="0" w:type="auto"/>
            <w:hideMark/>
          </w:tcPr>
          <w:p w14:paraId="21D0EB9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2</w:t>
            </w:r>
          </w:p>
        </w:tc>
        <w:tc>
          <w:tcPr>
            <w:tcW w:w="0" w:type="auto"/>
            <w:hideMark/>
          </w:tcPr>
          <w:p w14:paraId="66EA93E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3</w:t>
            </w:r>
          </w:p>
        </w:tc>
        <w:tc>
          <w:tcPr>
            <w:tcW w:w="0" w:type="auto"/>
            <w:hideMark/>
          </w:tcPr>
          <w:p w14:paraId="503A2BB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Uniqueness</w:t>
            </w:r>
          </w:p>
        </w:tc>
      </w:tr>
      <w:tr w:rsidR="009F57CD" w:rsidRPr="00BD50AB" w14:paraId="727BE754" w14:textId="77777777" w:rsidTr="009F57CD">
        <w:tc>
          <w:tcPr>
            <w:tcW w:w="0" w:type="auto"/>
            <w:hideMark/>
          </w:tcPr>
          <w:p w14:paraId="1A04DF4E"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Underparticipation</w:t>
            </w:r>
            <w:proofErr w:type="spellEnd"/>
          </w:p>
        </w:tc>
        <w:tc>
          <w:tcPr>
            <w:tcW w:w="0" w:type="auto"/>
            <w:hideMark/>
          </w:tcPr>
          <w:p w14:paraId="47F76A7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0.774</w:t>
            </w:r>
          </w:p>
        </w:tc>
        <w:tc>
          <w:tcPr>
            <w:tcW w:w="0" w:type="auto"/>
            <w:hideMark/>
          </w:tcPr>
          <w:p w14:paraId="79BCE4E5"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-0.319</w:t>
            </w:r>
          </w:p>
        </w:tc>
        <w:tc>
          <w:tcPr>
            <w:tcW w:w="0" w:type="auto"/>
            <w:hideMark/>
          </w:tcPr>
          <w:p w14:paraId="5EA61AD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256017C0"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0.217</w:t>
            </w:r>
          </w:p>
        </w:tc>
      </w:tr>
      <w:tr w:rsidR="009F57CD" w:rsidRPr="00BD50AB" w14:paraId="10C820AB" w14:textId="77777777" w:rsidTr="009F57CD">
        <w:tc>
          <w:tcPr>
            <w:tcW w:w="0" w:type="auto"/>
            <w:hideMark/>
          </w:tcPr>
          <w:p w14:paraId="166685C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Responsibility For Persons</w:t>
            </w:r>
          </w:p>
        </w:tc>
        <w:tc>
          <w:tcPr>
            <w:tcW w:w="0" w:type="auto"/>
            <w:hideMark/>
          </w:tcPr>
          <w:p w14:paraId="76267A9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-0.704</w:t>
            </w:r>
          </w:p>
        </w:tc>
        <w:tc>
          <w:tcPr>
            <w:tcW w:w="0" w:type="auto"/>
            <w:hideMark/>
          </w:tcPr>
          <w:p w14:paraId="3D3A744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68CD90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646EFC0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0.421</w:t>
            </w:r>
          </w:p>
        </w:tc>
      </w:tr>
      <w:tr w:rsidR="009F57CD" w:rsidRPr="00BD50AB" w14:paraId="0C3D8F05" w14:textId="77777777" w:rsidTr="009F57CD">
        <w:tc>
          <w:tcPr>
            <w:tcW w:w="0" w:type="auto"/>
            <w:hideMark/>
          </w:tcPr>
          <w:p w14:paraId="6899FE7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Low Status</w:t>
            </w:r>
          </w:p>
        </w:tc>
        <w:tc>
          <w:tcPr>
            <w:tcW w:w="0" w:type="auto"/>
            <w:hideMark/>
          </w:tcPr>
          <w:p w14:paraId="76C3D380"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0.663</w:t>
            </w:r>
          </w:p>
        </w:tc>
        <w:tc>
          <w:tcPr>
            <w:tcW w:w="0" w:type="auto"/>
            <w:hideMark/>
          </w:tcPr>
          <w:p w14:paraId="5195BF2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78D2F323"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4FC679D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0.485</w:t>
            </w:r>
          </w:p>
        </w:tc>
      </w:tr>
      <w:tr w:rsidR="009F57CD" w:rsidRPr="00BD50AB" w14:paraId="025A6E60" w14:textId="77777777" w:rsidTr="009F57CD">
        <w:tc>
          <w:tcPr>
            <w:tcW w:w="0" w:type="auto"/>
            <w:hideMark/>
          </w:tcPr>
          <w:p w14:paraId="30A458B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Ambiguity</w:t>
            </w:r>
          </w:p>
        </w:tc>
        <w:tc>
          <w:tcPr>
            <w:tcW w:w="0" w:type="auto"/>
            <w:hideMark/>
          </w:tcPr>
          <w:p w14:paraId="2BECD45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0.644</w:t>
            </w:r>
          </w:p>
        </w:tc>
        <w:tc>
          <w:tcPr>
            <w:tcW w:w="0" w:type="auto"/>
            <w:hideMark/>
          </w:tcPr>
          <w:p w14:paraId="379A5E8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382A1E5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42DBB92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0.462</w:t>
            </w:r>
          </w:p>
        </w:tc>
      </w:tr>
      <w:tr w:rsidR="009F57CD" w:rsidRPr="00BD50AB" w14:paraId="4272ED04" w14:textId="77777777" w:rsidTr="009F57CD">
        <w:tc>
          <w:tcPr>
            <w:tcW w:w="0" w:type="auto"/>
            <w:hideMark/>
          </w:tcPr>
          <w:p w14:paraId="6249199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Unprofitability</w:t>
            </w:r>
          </w:p>
        </w:tc>
        <w:tc>
          <w:tcPr>
            <w:tcW w:w="0" w:type="auto"/>
            <w:hideMark/>
          </w:tcPr>
          <w:p w14:paraId="2968737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0.543</w:t>
            </w:r>
          </w:p>
        </w:tc>
        <w:tc>
          <w:tcPr>
            <w:tcW w:w="0" w:type="auto"/>
            <w:hideMark/>
          </w:tcPr>
          <w:p w14:paraId="2722FF3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4A4B58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0.412</w:t>
            </w:r>
          </w:p>
        </w:tc>
        <w:tc>
          <w:tcPr>
            <w:tcW w:w="0" w:type="auto"/>
            <w:hideMark/>
          </w:tcPr>
          <w:p w14:paraId="3DD57EE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0.535</w:t>
            </w:r>
          </w:p>
        </w:tc>
      </w:tr>
      <w:tr w:rsidR="009F57CD" w:rsidRPr="00BD50AB" w14:paraId="378A5978" w14:textId="77777777" w:rsidTr="009F57CD">
        <w:tc>
          <w:tcPr>
            <w:tcW w:w="0" w:type="auto"/>
            <w:hideMark/>
          </w:tcPr>
          <w:p w14:paraId="4DFB7EA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Strenuous Working Condition</w:t>
            </w:r>
          </w:p>
        </w:tc>
        <w:tc>
          <w:tcPr>
            <w:tcW w:w="0" w:type="auto"/>
            <w:hideMark/>
          </w:tcPr>
          <w:p w14:paraId="4436C275"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0.362</w:t>
            </w:r>
          </w:p>
        </w:tc>
        <w:tc>
          <w:tcPr>
            <w:tcW w:w="0" w:type="auto"/>
            <w:hideMark/>
          </w:tcPr>
          <w:p w14:paraId="03CECAA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2F418C2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0AAE7C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0.842</w:t>
            </w:r>
          </w:p>
        </w:tc>
      </w:tr>
      <w:tr w:rsidR="009F57CD" w:rsidRPr="00BD50AB" w14:paraId="163C62E8" w14:textId="77777777" w:rsidTr="009F57CD">
        <w:tc>
          <w:tcPr>
            <w:tcW w:w="0" w:type="auto"/>
            <w:hideMark/>
          </w:tcPr>
          <w:p w14:paraId="51970F7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lastRenderedPageBreak/>
              <w:t>Unreasonable Group And Political Pressures</w:t>
            </w:r>
          </w:p>
        </w:tc>
        <w:tc>
          <w:tcPr>
            <w:tcW w:w="0" w:type="auto"/>
            <w:hideMark/>
          </w:tcPr>
          <w:p w14:paraId="2B38F005"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425CB49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0.786</w:t>
            </w:r>
          </w:p>
        </w:tc>
        <w:tc>
          <w:tcPr>
            <w:tcW w:w="0" w:type="auto"/>
            <w:hideMark/>
          </w:tcPr>
          <w:p w14:paraId="7989480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229DAE8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0.364</w:t>
            </w:r>
          </w:p>
        </w:tc>
      </w:tr>
      <w:tr w:rsidR="009F57CD" w:rsidRPr="00BD50AB" w14:paraId="211D1A1E" w14:textId="77777777" w:rsidTr="009F57CD">
        <w:tc>
          <w:tcPr>
            <w:tcW w:w="0" w:type="auto"/>
            <w:hideMark/>
          </w:tcPr>
          <w:p w14:paraId="25AB222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Overload</w:t>
            </w:r>
          </w:p>
        </w:tc>
        <w:tc>
          <w:tcPr>
            <w:tcW w:w="0" w:type="auto"/>
            <w:hideMark/>
          </w:tcPr>
          <w:p w14:paraId="314A94D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153C4E4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0.606</w:t>
            </w:r>
          </w:p>
        </w:tc>
        <w:tc>
          <w:tcPr>
            <w:tcW w:w="0" w:type="auto"/>
            <w:hideMark/>
          </w:tcPr>
          <w:p w14:paraId="4592C0C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29FB19E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0.539</w:t>
            </w:r>
          </w:p>
        </w:tc>
      </w:tr>
      <w:tr w:rsidR="009F57CD" w:rsidRPr="00BD50AB" w14:paraId="0C2B0AD2" w14:textId="77777777" w:rsidTr="009F57CD">
        <w:tc>
          <w:tcPr>
            <w:tcW w:w="0" w:type="auto"/>
            <w:hideMark/>
          </w:tcPr>
          <w:p w14:paraId="747FC60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Conflict</w:t>
            </w:r>
          </w:p>
        </w:tc>
        <w:tc>
          <w:tcPr>
            <w:tcW w:w="0" w:type="auto"/>
            <w:hideMark/>
          </w:tcPr>
          <w:p w14:paraId="64DC6E7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0.331</w:t>
            </w:r>
          </w:p>
        </w:tc>
        <w:tc>
          <w:tcPr>
            <w:tcW w:w="0" w:type="auto"/>
            <w:hideMark/>
          </w:tcPr>
          <w:p w14:paraId="7787353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0.515</w:t>
            </w:r>
          </w:p>
        </w:tc>
        <w:tc>
          <w:tcPr>
            <w:tcW w:w="0" w:type="auto"/>
            <w:hideMark/>
          </w:tcPr>
          <w:p w14:paraId="1911FC6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620C47C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0.578</w:t>
            </w:r>
          </w:p>
        </w:tc>
      </w:tr>
      <w:tr w:rsidR="009F57CD" w:rsidRPr="00BD50AB" w14:paraId="7A377ABD" w14:textId="77777777" w:rsidTr="009F57CD">
        <w:tc>
          <w:tcPr>
            <w:tcW w:w="0" w:type="auto"/>
            <w:hideMark/>
          </w:tcPr>
          <w:p w14:paraId="6A4AC61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Poor Peer Relations</w:t>
            </w:r>
          </w:p>
        </w:tc>
        <w:tc>
          <w:tcPr>
            <w:tcW w:w="0" w:type="auto"/>
            <w:hideMark/>
          </w:tcPr>
          <w:p w14:paraId="519F771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6DA79EE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52886BB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-0.627</w:t>
            </w:r>
          </w:p>
        </w:tc>
        <w:tc>
          <w:tcPr>
            <w:tcW w:w="0" w:type="auto"/>
            <w:hideMark/>
          </w:tcPr>
          <w:p w14:paraId="569A583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0.572</w:t>
            </w:r>
          </w:p>
        </w:tc>
      </w:tr>
      <w:tr w:rsidR="009F57CD" w:rsidRPr="00BD50AB" w14:paraId="03743E89" w14:textId="77777777" w:rsidTr="009F57CD">
        <w:tc>
          <w:tcPr>
            <w:tcW w:w="0" w:type="auto"/>
            <w:hideMark/>
          </w:tcPr>
          <w:p w14:paraId="3D6CA46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Powerlessness</w:t>
            </w:r>
          </w:p>
        </w:tc>
        <w:tc>
          <w:tcPr>
            <w:tcW w:w="0" w:type="auto"/>
            <w:hideMark/>
          </w:tcPr>
          <w:p w14:paraId="0BEC44D0"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2188BE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2BCA49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-0.494</w:t>
            </w:r>
          </w:p>
        </w:tc>
        <w:tc>
          <w:tcPr>
            <w:tcW w:w="0" w:type="auto"/>
            <w:hideMark/>
          </w:tcPr>
          <w:p w14:paraId="1A03161E"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0.743</w:t>
            </w:r>
          </w:p>
        </w:tc>
      </w:tr>
      <w:tr w:rsidR="009F57CD" w:rsidRPr="00BD50AB" w14:paraId="75ADA2EE" w14:textId="77777777" w:rsidTr="009F57CD">
        <w:tc>
          <w:tcPr>
            <w:tcW w:w="0" w:type="auto"/>
            <w:hideMark/>
          </w:tcPr>
          <w:p w14:paraId="1D8FBE1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Intrinsic Impoverishment</w:t>
            </w:r>
          </w:p>
        </w:tc>
        <w:tc>
          <w:tcPr>
            <w:tcW w:w="0" w:type="auto"/>
            <w:hideMark/>
          </w:tcPr>
          <w:p w14:paraId="2E7D5CF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1A640563"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A2F6D67"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0.370</w:t>
            </w:r>
          </w:p>
        </w:tc>
        <w:tc>
          <w:tcPr>
            <w:tcW w:w="0" w:type="auto"/>
            <w:hideMark/>
          </w:tcPr>
          <w:p w14:paraId="5884B20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0.808</w:t>
            </w:r>
          </w:p>
        </w:tc>
      </w:tr>
      <w:tr w:rsidR="009F57CD" w:rsidRPr="00BD50AB" w14:paraId="29F57462" w14:textId="77777777" w:rsidTr="009F57CD">
        <w:tc>
          <w:tcPr>
            <w:tcW w:w="0" w:type="auto"/>
            <w:gridSpan w:val="5"/>
            <w:hideMark/>
          </w:tcPr>
          <w:p w14:paraId="21508B1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Note. 'Minimum residual' extraction method was used in combination with a 'varimax' rotation</w:t>
            </w:r>
          </w:p>
        </w:tc>
      </w:tr>
    </w:tbl>
    <w:p w14:paraId="487EAAD1" w14:textId="77777777"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p w14:paraId="08378D09" w14:textId="77777777"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p>
    <w:p w14:paraId="310CE7AD" w14:textId="77777777"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80"/>
        <w:gridCol w:w="1160"/>
        <w:gridCol w:w="1476"/>
      </w:tblGrid>
      <w:tr w:rsidR="009F57CD" w:rsidRPr="00BD50AB" w14:paraId="4A2BE11A" w14:textId="77777777" w:rsidTr="009F57CD">
        <w:tc>
          <w:tcPr>
            <w:tcW w:w="0" w:type="auto"/>
            <w:gridSpan w:val="3"/>
            <w:hideMark/>
          </w:tcPr>
          <w:p w14:paraId="07F7D82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sz w:val="24"/>
                <w:szCs w:val="24"/>
              </w:rPr>
              <w:t>Bartlett's Test of Sphericity</w:t>
            </w:r>
          </w:p>
        </w:tc>
      </w:tr>
      <w:tr w:rsidR="009F57CD" w:rsidRPr="00BD50AB" w14:paraId="3336D660" w14:textId="77777777" w:rsidTr="009F57CD">
        <w:tc>
          <w:tcPr>
            <w:tcW w:w="0" w:type="auto"/>
            <w:hideMark/>
          </w:tcPr>
          <w:p w14:paraId="10677E3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χ²</w:t>
            </w:r>
          </w:p>
        </w:tc>
        <w:tc>
          <w:tcPr>
            <w:tcW w:w="0" w:type="auto"/>
            <w:hideMark/>
          </w:tcPr>
          <w:p w14:paraId="6D628AD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df</w:t>
            </w:r>
            <w:proofErr w:type="spellEnd"/>
          </w:p>
        </w:tc>
        <w:tc>
          <w:tcPr>
            <w:tcW w:w="0" w:type="auto"/>
            <w:hideMark/>
          </w:tcPr>
          <w:p w14:paraId="7874C85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p</w:t>
            </w:r>
          </w:p>
        </w:tc>
      </w:tr>
      <w:tr w:rsidR="009F57CD" w:rsidRPr="00BD50AB" w14:paraId="20CC9DF8" w14:textId="77777777" w:rsidTr="009F57CD">
        <w:tc>
          <w:tcPr>
            <w:tcW w:w="0" w:type="auto"/>
            <w:hideMark/>
          </w:tcPr>
          <w:p w14:paraId="59CAE4D5"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267</w:t>
            </w:r>
          </w:p>
        </w:tc>
        <w:tc>
          <w:tcPr>
            <w:tcW w:w="0" w:type="auto"/>
            <w:hideMark/>
          </w:tcPr>
          <w:p w14:paraId="57B9B5E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66</w:t>
            </w:r>
          </w:p>
        </w:tc>
        <w:tc>
          <w:tcPr>
            <w:tcW w:w="0" w:type="auto"/>
            <w:hideMark/>
          </w:tcPr>
          <w:p w14:paraId="0A84B97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&lt;.001</w:t>
            </w:r>
          </w:p>
        </w:tc>
      </w:tr>
    </w:tbl>
    <w:p w14:paraId="64D4F75A" w14:textId="77777777"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bl>
      <w:tblPr>
        <w:tblStyle w:val="TableGrid"/>
        <w:tblW w:w="0" w:type="auto"/>
        <w:tblLook w:val="04A0" w:firstRow="1" w:lastRow="0" w:firstColumn="1" w:lastColumn="0" w:noHBand="0" w:noVBand="1"/>
      </w:tblPr>
      <w:tblGrid>
        <w:gridCol w:w="5490"/>
        <w:gridCol w:w="1460"/>
      </w:tblGrid>
      <w:tr w:rsidR="009F57CD" w:rsidRPr="00BD50AB" w14:paraId="2D77A41C" w14:textId="77777777" w:rsidTr="009F57CD">
        <w:tc>
          <w:tcPr>
            <w:tcW w:w="0" w:type="auto"/>
            <w:gridSpan w:val="2"/>
            <w:hideMark/>
          </w:tcPr>
          <w:p w14:paraId="2A878EA2"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sz w:val="24"/>
                <w:szCs w:val="24"/>
              </w:rPr>
              <w:t>KMO Measure of Sampling Adequacy</w:t>
            </w:r>
          </w:p>
        </w:tc>
      </w:tr>
      <w:tr w:rsidR="009F57CD" w:rsidRPr="00BD50AB" w14:paraId="6E3362C5" w14:textId="77777777" w:rsidTr="009F57CD">
        <w:tc>
          <w:tcPr>
            <w:tcW w:w="0" w:type="auto"/>
            <w:hideMark/>
          </w:tcPr>
          <w:p w14:paraId="61DF960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598C15F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MSA</w:t>
            </w:r>
          </w:p>
        </w:tc>
      </w:tr>
      <w:tr w:rsidR="009F57CD" w:rsidRPr="00BD50AB" w14:paraId="1AD16919" w14:textId="77777777" w:rsidTr="009F57CD">
        <w:tc>
          <w:tcPr>
            <w:tcW w:w="0" w:type="auto"/>
            <w:hideMark/>
          </w:tcPr>
          <w:p w14:paraId="446108B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Overall</w:t>
            </w:r>
          </w:p>
        </w:tc>
        <w:tc>
          <w:tcPr>
            <w:tcW w:w="0" w:type="auto"/>
            <w:hideMark/>
          </w:tcPr>
          <w:p w14:paraId="59974225"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0.713</w:t>
            </w:r>
          </w:p>
        </w:tc>
      </w:tr>
      <w:tr w:rsidR="009F57CD" w:rsidRPr="00BD50AB" w14:paraId="07196293" w14:textId="77777777" w:rsidTr="009F57CD">
        <w:tc>
          <w:tcPr>
            <w:tcW w:w="0" w:type="auto"/>
            <w:hideMark/>
          </w:tcPr>
          <w:p w14:paraId="6EB9ADE2"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Overload</w:t>
            </w:r>
          </w:p>
        </w:tc>
        <w:tc>
          <w:tcPr>
            <w:tcW w:w="0" w:type="auto"/>
            <w:hideMark/>
          </w:tcPr>
          <w:p w14:paraId="6450B41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0.723</w:t>
            </w:r>
          </w:p>
        </w:tc>
      </w:tr>
      <w:tr w:rsidR="009F57CD" w:rsidRPr="00BD50AB" w14:paraId="43B62A96" w14:textId="77777777" w:rsidTr="009F57CD">
        <w:tc>
          <w:tcPr>
            <w:tcW w:w="0" w:type="auto"/>
            <w:hideMark/>
          </w:tcPr>
          <w:p w14:paraId="73E745D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Ambiguity</w:t>
            </w:r>
          </w:p>
        </w:tc>
        <w:tc>
          <w:tcPr>
            <w:tcW w:w="0" w:type="auto"/>
            <w:hideMark/>
          </w:tcPr>
          <w:p w14:paraId="0A6E4769"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0.743</w:t>
            </w:r>
          </w:p>
        </w:tc>
      </w:tr>
      <w:tr w:rsidR="009F57CD" w:rsidRPr="00BD50AB" w14:paraId="09CA8D51" w14:textId="77777777" w:rsidTr="009F57CD">
        <w:tc>
          <w:tcPr>
            <w:tcW w:w="0" w:type="auto"/>
            <w:hideMark/>
          </w:tcPr>
          <w:p w14:paraId="3E8C931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Conflict</w:t>
            </w:r>
          </w:p>
        </w:tc>
        <w:tc>
          <w:tcPr>
            <w:tcW w:w="0" w:type="auto"/>
            <w:hideMark/>
          </w:tcPr>
          <w:p w14:paraId="31F4721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0.745</w:t>
            </w:r>
          </w:p>
        </w:tc>
      </w:tr>
      <w:tr w:rsidR="009F57CD" w:rsidRPr="00BD50AB" w14:paraId="1D8250B9" w14:textId="77777777" w:rsidTr="009F57CD">
        <w:tc>
          <w:tcPr>
            <w:tcW w:w="0" w:type="auto"/>
            <w:hideMark/>
          </w:tcPr>
          <w:p w14:paraId="3A9C1A8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Unreasonable Group And Political Pressures</w:t>
            </w:r>
          </w:p>
        </w:tc>
        <w:tc>
          <w:tcPr>
            <w:tcW w:w="0" w:type="auto"/>
            <w:hideMark/>
          </w:tcPr>
          <w:p w14:paraId="11B3103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0.494</w:t>
            </w:r>
          </w:p>
        </w:tc>
      </w:tr>
      <w:tr w:rsidR="009F57CD" w:rsidRPr="00BD50AB" w14:paraId="5A3F6E93" w14:textId="77777777" w:rsidTr="009F57CD">
        <w:tc>
          <w:tcPr>
            <w:tcW w:w="0" w:type="auto"/>
            <w:hideMark/>
          </w:tcPr>
          <w:p w14:paraId="2B5F7FE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Responsibility For Persons</w:t>
            </w:r>
          </w:p>
        </w:tc>
        <w:tc>
          <w:tcPr>
            <w:tcW w:w="0" w:type="auto"/>
            <w:hideMark/>
          </w:tcPr>
          <w:p w14:paraId="09BAB1B0"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0.746</w:t>
            </w:r>
          </w:p>
        </w:tc>
      </w:tr>
      <w:tr w:rsidR="009F57CD" w:rsidRPr="00BD50AB" w14:paraId="7B7223FD" w14:textId="77777777" w:rsidTr="009F57CD">
        <w:tc>
          <w:tcPr>
            <w:tcW w:w="0" w:type="auto"/>
            <w:hideMark/>
          </w:tcPr>
          <w:p w14:paraId="4E81DBB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Underparticipation</w:t>
            </w:r>
            <w:proofErr w:type="spellEnd"/>
          </w:p>
        </w:tc>
        <w:tc>
          <w:tcPr>
            <w:tcW w:w="0" w:type="auto"/>
            <w:hideMark/>
          </w:tcPr>
          <w:p w14:paraId="66D7AF6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0.613</w:t>
            </w:r>
          </w:p>
        </w:tc>
      </w:tr>
      <w:tr w:rsidR="009F57CD" w:rsidRPr="00BD50AB" w14:paraId="67BD6FCA" w14:textId="77777777" w:rsidTr="009F57CD">
        <w:tc>
          <w:tcPr>
            <w:tcW w:w="0" w:type="auto"/>
            <w:hideMark/>
          </w:tcPr>
          <w:p w14:paraId="64DBABF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Powerlessness</w:t>
            </w:r>
          </w:p>
        </w:tc>
        <w:tc>
          <w:tcPr>
            <w:tcW w:w="0" w:type="auto"/>
            <w:hideMark/>
          </w:tcPr>
          <w:p w14:paraId="5A61747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0.594</w:t>
            </w:r>
          </w:p>
        </w:tc>
      </w:tr>
      <w:tr w:rsidR="009F57CD" w:rsidRPr="00BD50AB" w14:paraId="67A34E49" w14:textId="77777777" w:rsidTr="009F57CD">
        <w:tc>
          <w:tcPr>
            <w:tcW w:w="0" w:type="auto"/>
            <w:hideMark/>
          </w:tcPr>
          <w:p w14:paraId="6976769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Poor Peer Relations</w:t>
            </w:r>
          </w:p>
        </w:tc>
        <w:tc>
          <w:tcPr>
            <w:tcW w:w="0" w:type="auto"/>
            <w:hideMark/>
          </w:tcPr>
          <w:p w14:paraId="00AF7EE2"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0.649</w:t>
            </w:r>
          </w:p>
        </w:tc>
      </w:tr>
      <w:tr w:rsidR="009F57CD" w:rsidRPr="00BD50AB" w14:paraId="008684B7" w14:textId="77777777" w:rsidTr="009F57CD">
        <w:tc>
          <w:tcPr>
            <w:tcW w:w="0" w:type="auto"/>
            <w:hideMark/>
          </w:tcPr>
          <w:p w14:paraId="7EFF2A79"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lastRenderedPageBreak/>
              <w:t>Intrinsic Impoverishment</w:t>
            </w:r>
          </w:p>
        </w:tc>
        <w:tc>
          <w:tcPr>
            <w:tcW w:w="0" w:type="auto"/>
            <w:hideMark/>
          </w:tcPr>
          <w:p w14:paraId="1E0D551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0.704</w:t>
            </w:r>
          </w:p>
        </w:tc>
      </w:tr>
      <w:tr w:rsidR="009F57CD" w:rsidRPr="00BD50AB" w14:paraId="507F25DF" w14:textId="77777777" w:rsidTr="009F57CD">
        <w:tc>
          <w:tcPr>
            <w:tcW w:w="0" w:type="auto"/>
            <w:hideMark/>
          </w:tcPr>
          <w:p w14:paraId="439E11C9"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Low Status</w:t>
            </w:r>
          </w:p>
        </w:tc>
        <w:tc>
          <w:tcPr>
            <w:tcW w:w="0" w:type="auto"/>
            <w:hideMark/>
          </w:tcPr>
          <w:p w14:paraId="221D136E"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0.871</w:t>
            </w:r>
          </w:p>
        </w:tc>
      </w:tr>
      <w:tr w:rsidR="009F57CD" w:rsidRPr="00BD50AB" w14:paraId="17E8B58F" w14:textId="77777777" w:rsidTr="009F57CD">
        <w:tc>
          <w:tcPr>
            <w:tcW w:w="0" w:type="auto"/>
            <w:hideMark/>
          </w:tcPr>
          <w:p w14:paraId="38DCBDB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Strenuous Working Condition</w:t>
            </w:r>
          </w:p>
        </w:tc>
        <w:tc>
          <w:tcPr>
            <w:tcW w:w="0" w:type="auto"/>
            <w:hideMark/>
          </w:tcPr>
          <w:p w14:paraId="0767104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0.738</w:t>
            </w:r>
          </w:p>
        </w:tc>
      </w:tr>
      <w:tr w:rsidR="009F57CD" w:rsidRPr="00BD50AB" w14:paraId="3D59D900" w14:textId="77777777" w:rsidTr="009F57CD">
        <w:tc>
          <w:tcPr>
            <w:tcW w:w="0" w:type="auto"/>
            <w:hideMark/>
          </w:tcPr>
          <w:p w14:paraId="5589FE2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Unprofitability</w:t>
            </w:r>
          </w:p>
        </w:tc>
        <w:tc>
          <w:tcPr>
            <w:tcW w:w="0" w:type="auto"/>
            <w:hideMark/>
          </w:tcPr>
          <w:p w14:paraId="29E7D16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0.802</w:t>
            </w:r>
          </w:p>
        </w:tc>
      </w:tr>
    </w:tbl>
    <w:p w14:paraId="3AE6BAC1" w14:textId="77777777"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p w14:paraId="459B6D11" w14:textId="3668EDE1" w:rsidR="009F57CD" w:rsidRPr="00BD50AB" w:rsidRDefault="009F57CD" w:rsidP="00BD50AB">
      <w:pPr>
        <w:pStyle w:val="ListParagraph"/>
        <w:tabs>
          <w:tab w:val="left" w:pos="984"/>
        </w:tabs>
        <w:spacing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Scree Plot</w:t>
      </w:r>
    </w:p>
    <w:p w14:paraId="76B3F6B2" w14:textId="466465FB"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r w:rsidRPr="00BD50AB">
        <w:rPr>
          <w:rFonts w:ascii="Times New Roman" w:hAnsi="Times New Roman" w:cs="Times New Roman"/>
          <w:noProof/>
          <w:sz w:val="24"/>
          <w:szCs w:val="24"/>
        </w:rPr>
        <w:drawing>
          <wp:anchor distT="0" distB="0" distL="114300" distR="114300" simplePos="0" relativeHeight="251659264" behindDoc="1" locked="0" layoutInCell="1" allowOverlap="1" wp14:anchorId="3D3216A4" wp14:editId="0B680B25">
            <wp:simplePos x="0" y="0"/>
            <wp:positionH relativeFrom="column">
              <wp:posOffset>-102870</wp:posOffset>
            </wp:positionH>
            <wp:positionV relativeFrom="paragraph">
              <wp:posOffset>136525</wp:posOffset>
            </wp:positionV>
            <wp:extent cx="5951220" cy="3573780"/>
            <wp:effectExtent l="76200" t="76200" r="125730" b="140970"/>
            <wp:wrapTight wrapText="bothSides">
              <wp:wrapPolygon edited="0">
                <wp:start x="-138" y="-461"/>
                <wp:lineTo x="-277" y="-345"/>
                <wp:lineTo x="-277" y="21761"/>
                <wp:lineTo x="-138" y="22337"/>
                <wp:lineTo x="21849" y="22337"/>
                <wp:lineTo x="21987" y="21761"/>
                <wp:lineTo x="21987" y="1497"/>
                <wp:lineTo x="21849" y="-230"/>
                <wp:lineTo x="21849" y="-461"/>
                <wp:lineTo x="-138" y="-461"/>
              </wp:wrapPolygon>
            </wp:wrapTight>
            <wp:docPr id="1854493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220" cy="35737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20FCEAF2" w14:textId="44C7F73B" w:rsidR="00685F30" w:rsidRPr="00BD50AB" w:rsidRDefault="00685F30" w:rsidP="00BD50AB">
      <w:pPr>
        <w:pStyle w:val="ListParagraph"/>
        <w:tabs>
          <w:tab w:val="left" w:pos="984"/>
        </w:tabs>
        <w:spacing w:line="360" w:lineRule="auto"/>
        <w:ind w:left="704"/>
        <w:jc w:val="both"/>
        <w:rPr>
          <w:rFonts w:ascii="Times New Roman" w:hAnsi="Times New Roman" w:cs="Times New Roman"/>
          <w:sz w:val="24"/>
          <w:szCs w:val="24"/>
        </w:rPr>
      </w:pPr>
    </w:p>
    <w:p w14:paraId="3D3BE8C1" w14:textId="77777777" w:rsidR="00BD50AB" w:rsidRPr="00BD50AB" w:rsidRDefault="00BD50AB" w:rsidP="00BD50AB">
      <w:pPr>
        <w:spacing w:line="360" w:lineRule="auto"/>
        <w:jc w:val="both"/>
        <w:rPr>
          <w:rFonts w:ascii="Times New Roman" w:hAnsi="Times New Roman" w:cs="Times New Roman"/>
          <w:sz w:val="24"/>
          <w:szCs w:val="24"/>
        </w:rPr>
      </w:pPr>
    </w:p>
    <w:p w14:paraId="15098301" w14:textId="77777777" w:rsidR="00BD50AB" w:rsidRPr="00BD50AB" w:rsidRDefault="00BD50AB" w:rsidP="00BD50AB">
      <w:pPr>
        <w:spacing w:line="360" w:lineRule="auto"/>
        <w:jc w:val="both"/>
        <w:rPr>
          <w:rFonts w:ascii="Times New Roman" w:hAnsi="Times New Roman" w:cs="Times New Roman"/>
          <w:sz w:val="24"/>
          <w:szCs w:val="24"/>
        </w:rPr>
      </w:pPr>
    </w:p>
    <w:p w14:paraId="1D0C077D" w14:textId="77777777" w:rsidR="00BD50AB" w:rsidRPr="00BD50AB" w:rsidRDefault="00BD50AB" w:rsidP="00BD50AB">
      <w:pPr>
        <w:spacing w:line="360" w:lineRule="auto"/>
        <w:jc w:val="both"/>
        <w:rPr>
          <w:rFonts w:ascii="Times New Roman" w:hAnsi="Times New Roman" w:cs="Times New Roman"/>
          <w:sz w:val="24"/>
          <w:szCs w:val="24"/>
        </w:rPr>
      </w:pPr>
    </w:p>
    <w:p w14:paraId="0AB2324F" w14:textId="77777777" w:rsidR="00BD50AB" w:rsidRPr="00BD50AB" w:rsidRDefault="00BD50AB" w:rsidP="00BD50AB">
      <w:pPr>
        <w:spacing w:line="360" w:lineRule="auto"/>
        <w:jc w:val="both"/>
        <w:rPr>
          <w:rFonts w:ascii="Times New Roman" w:hAnsi="Times New Roman" w:cs="Times New Roman"/>
          <w:sz w:val="24"/>
          <w:szCs w:val="24"/>
        </w:rPr>
      </w:pPr>
    </w:p>
    <w:p w14:paraId="5C695BB4" w14:textId="77777777" w:rsidR="00BD50AB" w:rsidRPr="00BD50AB" w:rsidRDefault="00BD50AB" w:rsidP="00BD50AB">
      <w:pPr>
        <w:spacing w:line="360" w:lineRule="auto"/>
        <w:jc w:val="both"/>
        <w:rPr>
          <w:rFonts w:ascii="Times New Roman" w:hAnsi="Times New Roman" w:cs="Times New Roman"/>
          <w:sz w:val="24"/>
          <w:szCs w:val="24"/>
        </w:rPr>
      </w:pPr>
    </w:p>
    <w:p w14:paraId="225B8E58" w14:textId="77777777" w:rsidR="00BD50AB" w:rsidRPr="00BD50AB" w:rsidRDefault="00BD50AB" w:rsidP="00BD50AB">
      <w:pPr>
        <w:spacing w:line="360" w:lineRule="auto"/>
        <w:jc w:val="both"/>
        <w:rPr>
          <w:rFonts w:ascii="Times New Roman" w:hAnsi="Times New Roman" w:cs="Times New Roman"/>
          <w:sz w:val="24"/>
          <w:szCs w:val="24"/>
        </w:rPr>
      </w:pPr>
    </w:p>
    <w:p w14:paraId="4FDB917B" w14:textId="77777777" w:rsidR="00BD50AB" w:rsidRPr="00BD50AB" w:rsidRDefault="00BD50AB" w:rsidP="00BD50AB">
      <w:pPr>
        <w:spacing w:line="360" w:lineRule="auto"/>
        <w:jc w:val="both"/>
        <w:rPr>
          <w:rFonts w:ascii="Times New Roman" w:hAnsi="Times New Roman" w:cs="Times New Roman"/>
          <w:sz w:val="24"/>
          <w:szCs w:val="24"/>
        </w:rPr>
      </w:pPr>
    </w:p>
    <w:p w14:paraId="17A85B75" w14:textId="77777777" w:rsidR="00BD50AB" w:rsidRPr="00BD50AB" w:rsidRDefault="00BD50AB" w:rsidP="00BD50AB">
      <w:pPr>
        <w:spacing w:line="360" w:lineRule="auto"/>
        <w:jc w:val="both"/>
        <w:rPr>
          <w:rFonts w:ascii="Times New Roman" w:hAnsi="Times New Roman" w:cs="Times New Roman"/>
          <w:sz w:val="24"/>
          <w:szCs w:val="24"/>
        </w:rPr>
      </w:pPr>
    </w:p>
    <w:p w14:paraId="35E989DF" w14:textId="77777777" w:rsidR="00BD50AB" w:rsidRPr="00BD50AB" w:rsidRDefault="00BD50AB" w:rsidP="00BD50AB">
      <w:pPr>
        <w:spacing w:line="360" w:lineRule="auto"/>
        <w:jc w:val="both"/>
        <w:rPr>
          <w:rFonts w:ascii="Times New Roman" w:hAnsi="Times New Roman" w:cs="Times New Roman"/>
          <w:sz w:val="24"/>
          <w:szCs w:val="24"/>
        </w:rPr>
      </w:pPr>
    </w:p>
    <w:p w14:paraId="4FA9B574" w14:textId="77777777" w:rsidR="00BD50AB" w:rsidRPr="00BD50AB" w:rsidRDefault="00BD50AB" w:rsidP="00BD50AB">
      <w:pPr>
        <w:spacing w:line="360" w:lineRule="auto"/>
        <w:jc w:val="both"/>
        <w:rPr>
          <w:rFonts w:ascii="Times New Roman" w:hAnsi="Times New Roman" w:cs="Times New Roman"/>
          <w:sz w:val="24"/>
          <w:szCs w:val="24"/>
        </w:rPr>
      </w:pPr>
    </w:p>
    <w:p w14:paraId="51F2D053" w14:textId="77777777" w:rsidR="00BD50AB" w:rsidRPr="00BD50AB" w:rsidRDefault="00BD50AB" w:rsidP="00BD50AB">
      <w:pPr>
        <w:spacing w:line="360" w:lineRule="auto"/>
        <w:jc w:val="both"/>
        <w:rPr>
          <w:rFonts w:ascii="Times New Roman" w:hAnsi="Times New Roman" w:cs="Times New Roman"/>
          <w:sz w:val="24"/>
          <w:szCs w:val="24"/>
        </w:rPr>
      </w:pPr>
    </w:p>
    <w:p w14:paraId="7E6542D7" w14:textId="77777777" w:rsidR="00BD50AB" w:rsidRPr="00BD50AB" w:rsidRDefault="00BD50AB" w:rsidP="00BD50AB">
      <w:pPr>
        <w:spacing w:line="360" w:lineRule="auto"/>
        <w:jc w:val="both"/>
        <w:rPr>
          <w:rFonts w:ascii="Times New Roman" w:hAnsi="Times New Roman" w:cs="Times New Roman"/>
          <w:sz w:val="24"/>
          <w:szCs w:val="24"/>
        </w:rPr>
      </w:pPr>
    </w:p>
    <w:p w14:paraId="6D58DAB8" w14:textId="77777777" w:rsidR="00BD50AB" w:rsidRPr="00BD50AB" w:rsidRDefault="00BD50AB" w:rsidP="00BD50AB">
      <w:pPr>
        <w:spacing w:line="360" w:lineRule="auto"/>
        <w:jc w:val="both"/>
        <w:rPr>
          <w:rFonts w:ascii="Times New Roman" w:hAnsi="Times New Roman" w:cs="Times New Roman"/>
          <w:sz w:val="24"/>
          <w:szCs w:val="24"/>
        </w:rPr>
      </w:pPr>
    </w:p>
    <w:p w14:paraId="04E9295F" w14:textId="30C86568" w:rsidR="00BD50AB" w:rsidRPr="00BD50AB" w:rsidRDefault="00BD50AB" w:rsidP="00BD50AB">
      <w:pPr>
        <w:tabs>
          <w:tab w:val="left" w:pos="1980"/>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ab/>
      </w:r>
    </w:p>
    <w:p w14:paraId="7A4AD2B7" w14:textId="77777777" w:rsidR="00BD50AB" w:rsidRPr="00BD50AB" w:rsidRDefault="00BD50AB" w:rsidP="00BD50AB">
      <w:pPr>
        <w:tabs>
          <w:tab w:val="left" w:pos="1980"/>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Conclusion</w:t>
      </w:r>
    </w:p>
    <w:p w14:paraId="07D48AB5" w14:textId="2382AE25" w:rsidR="00BD50AB" w:rsidRDefault="00BD50AB" w:rsidP="00BD50AB">
      <w:pPr>
        <w:tabs>
          <w:tab w:val="left" w:pos="1980"/>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The current study highlights the multivalency of the interplay between occupational stress (OS) and seafarers’ quality of life (QOL). Although seafarers, in the degree of stress experienced through role overload, </w:t>
      </w:r>
      <w:proofErr w:type="spellStart"/>
      <w:r w:rsidRPr="00BD50AB">
        <w:rPr>
          <w:rFonts w:ascii="Times New Roman" w:hAnsi="Times New Roman" w:cs="Times New Roman"/>
          <w:sz w:val="24"/>
          <w:szCs w:val="24"/>
        </w:rPr>
        <w:t>rol</w:t>
      </w:r>
      <w:proofErr w:type="spellEnd"/>
      <w:r w:rsidRPr="00BD50AB">
        <w:rPr>
          <w:rFonts w:ascii="Times New Roman" w:hAnsi="Times New Roman" w:cs="Times New Roman"/>
          <w:sz w:val="24"/>
          <w:szCs w:val="24"/>
        </w:rPr>
        <w:t xml:space="preserve"> ambiguity, and socio-political issue, exhibited the following level of stressors, the overall physical and environmental components of well-being were each at levels that one might that may be considered moderately stable. The working conditions of seafarers, which by far was the most relevant </w:t>
      </w:r>
      <w:r w:rsidRPr="00BD50AB">
        <w:rPr>
          <w:rFonts w:ascii="Times New Roman" w:hAnsi="Times New Roman" w:cs="Times New Roman"/>
          <w:sz w:val="24"/>
          <w:szCs w:val="24"/>
        </w:rPr>
        <w:lastRenderedPageBreak/>
        <w:t>condition to QOL in seafarers in this study. As it surpassed other variables of work-related factors such as: designation at sea, professional work incentives, or the type of ship, it is revisited here as the substantive measure of occupational stress and Poor Sleep. The results of the study provided evidence around the psychosocial vulnerabilities of seafarers and, specifically on social relationships and psychological health. The exploratory factor analysis described that occupational stress consists of multiple dimensions and together with careful research, call for more purposeful evidence based approaches to use public decision making around OS and QOL of seafarers. With this set of findings in mind, the authors hope that seafarers, maritime associations and governments can collaborate and drive future maritime policies / interventions to first include improvements as seen in the study which can address various aspects of the situation on board, which can affect psychosocial support systems / workers on board maritime organisations, since the results have started to demonstrate a positive impact in increasing workers' resilience, job satisfaction at sea &amp; resolving original issues surrounding the well-being of seafarers.</w:t>
      </w:r>
    </w:p>
    <w:p w14:paraId="14E0FAD7" w14:textId="0E11FDCD"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p>
    <w:p w14:paraId="1603C680" w14:textId="77777777" w:rsidR="00BD50AB" w:rsidRPr="00BD50AB" w:rsidRDefault="00BD50AB" w:rsidP="00BD50AB">
      <w:pPr>
        <w:tabs>
          <w:tab w:val="left" w:pos="1980"/>
        </w:tabs>
        <w:spacing w:line="360" w:lineRule="auto"/>
        <w:jc w:val="both"/>
        <w:rPr>
          <w:rFonts w:ascii="Times New Roman" w:hAnsi="Times New Roman" w:cs="Times New Roman"/>
          <w:b/>
          <w:bCs/>
          <w:color w:val="000000" w:themeColor="text1"/>
          <w:sz w:val="24"/>
          <w:szCs w:val="24"/>
        </w:rPr>
      </w:pPr>
      <w:r w:rsidRPr="00BD50AB">
        <w:rPr>
          <w:rFonts w:ascii="Times New Roman" w:hAnsi="Times New Roman" w:cs="Times New Roman"/>
          <w:b/>
          <w:bCs/>
          <w:color w:val="000000" w:themeColor="text1"/>
          <w:sz w:val="24"/>
          <w:szCs w:val="24"/>
        </w:rPr>
        <w:t>References</w:t>
      </w:r>
    </w:p>
    <w:p w14:paraId="29E2DF6A" w14:textId="745D454B"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r w:rsidRPr="00BD50AB">
        <w:rPr>
          <w:rFonts w:ascii="Times New Roman" w:hAnsi="Times New Roman" w:cs="Times New Roman"/>
          <w:color w:val="000000" w:themeColor="text1"/>
          <w:sz w:val="24"/>
          <w:szCs w:val="24"/>
        </w:rPr>
        <w:t xml:space="preserve">Ali, N., Yu, C. W., Zhang, J., &amp; Roberts, B. (2023). A qualitative review of psychometric instruments measuring work stress among seafarers. </w:t>
      </w:r>
      <w:r w:rsidRPr="00BD50AB">
        <w:rPr>
          <w:rFonts w:ascii="Times New Roman" w:hAnsi="Times New Roman" w:cs="Times New Roman"/>
          <w:i/>
          <w:iCs/>
          <w:color w:val="000000" w:themeColor="text1"/>
          <w:sz w:val="24"/>
          <w:szCs w:val="24"/>
        </w:rPr>
        <w:t>Journal of Occupational Health Psychology, 28</w:t>
      </w:r>
      <w:r w:rsidRPr="00BD50AB">
        <w:rPr>
          <w:rFonts w:ascii="Times New Roman" w:hAnsi="Times New Roman" w:cs="Times New Roman"/>
          <w:color w:val="000000" w:themeColor="text1"/>
          <w:sz w:val="24"/>
          <w:szCs w:val="24"/>
        </w:rPr>
        <w:t xml:space="preserve">(1), 44–59. </w:t>
      </w:r>
    </w:p>
    <w:p w14:paraId="7FA1A0D9" w14:textId="39384EF9"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proofErr w:type="spellStart"/>
      <w:r w:rsidRPr="00BD50AB">
        <w:rPr>
          <w:rFonts w:ascii="Times New Roman" w:hAnsi="Times New Roman" w:cs="Times New Roman"/>
          <w:color w:val="000000" w:themeColor="text1"/>
          <w:sz w:val="24"/>
          <w:szCs w:val="24"/>
        </w:rPr>
        <w:t>Baygi</w:t>
      </w:r>
      <w:proofErr w:type="spellEnd"/>
      <w:r w:rsidRPr="00BD50AB">
        <w:rPr>
          <w:rFonts w:ascii="Times New Roman" w:hAnsi="Times New Roman" w:cs="Times New Roman"/>
          <w:color w:val="000000" w:themeColor="text1"/>
          <w:sz w:val="24"/>
          <w:szCs w:val="24"/>
        </w:rPr>
        <w:t xml:space="preserve">, F., Shabani, M., Komaki, R., &amp; Khateri, S. (2022). </w:t>
      </w:r>
      <w:proofErr w:type="spellStart"/>
      <w:r w:rsidRPr="00BD50AB">
        <w:rPr>
          <w:rFonts w:ascii="Times New Roman" w:hAnsi="Times New Roman" w:cs="Times New Roman"/>
          <w:color w:val="000000" w:themeColor="text1"/>
          <w:sz w:val="24"/>
          <w:szCs w:val="24"/>
        </w:rPr>
        <w:t>Modeling</w:t>
      </w:r>
      <w:proofErr w:type="spellEnd"/>
      <w:r w:rsidRPr="00BD50AB">
        <w:rPr>
          <w:rFonts w:ascii="Times New Roman" w:hAnsi="Times New Roman" w:cs="Times New Roman"/>
          <w:color w:val="000000" w:themeColor="text1"/>
          <w:sz w:val="24"/>
          <w:szCs w:val="24"/>
        </w:rPr>
        <w:t xml:space="preserve"> the predictors of quality of life among Iranian seafarers using structural equation </w:t>
      </w:r>
      <w:proofErr w:type="spellStart"/>
      <w:r w:rsidRPr="00BD50AB">
        <w:rPr>
          <w:rFonts w:ascii="Times New Roman" w:hAnsi="Times New Roman" w:cs="Times New Roman"/>
          <w:color w:val="000000" w:themeColor="text1"/>
          <w:sz w:val="24"/>
          <w:szCs w:val="24"/>
        </w:rPr>
        <w:t>modeling</w:t>
      </w:r>
      <w:proofErr w:type="spellEnd"/>
      <w:r w:rsidRPr="00BD50AB">
        <w:rPr>
          <w:rFonts w:ascii="Times New Roman" w:hAnsi="Times New Roman" w:cs="Times New Roman"/>
          <w:color w:val="000000" w:themeColor="text1"/>
          <w:sz w:val="24"/>
          <w:szCs w:val="24"/>
        </w:rPr>
        <w:t xml:space="preserve">. </w:t>
      </w:r>
      <w:r w:rsidRPr="00BD50AB">
        <w:rPr>
          <w:rFonts w:ascii="Times New Roman" w:hAnsi="Times New Roman" w:cs="Times New Roman"/>
          <w:i/>
          <w:iCs/>
          <w:color w:val="000000" w:themeColor="text1"/>
          <w:sz w:val="24"/>
          <w:szCs w:val="24"/>
        </w:rPr>
        <w:t>BMC Public Health, 22</w:t>
      </w:r>
      <w:r w:rsidRPr="00BD50AB">
        <w:rPr>
          <w:rFonts w:ascii="Times New Roman" w:hAnsi="Times New Roman" w:cs="Times New Roman"/>
          <w:color w:val="000000" w:themeColor="text1"/>
          <w:sz w:val="24"/>
          <w:szCs w:val="24"/>
        </w:rPr>
        <w:t xml:space="preserve">, 1104. </w:t>
      </w:r>
    </w:p>
    <w:p w14:paraId="76A49FA3" w14:textId="403A82B2"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r w:rsidRPr="00BD50AB">
        <w:rPr>
          <w:rFonts w:ascii="Times New Roman" w:hAnsi="Times New Roman" w:cs="Times New Roman"/>
          <w:color w:val="000000" w:themeColor="text1"/>
          <w:sz w:val="24"/>
          <w:szCs w:val="24"/>
        </w:rPr>
        <w:t xml:space="preserve">Buscema, M., Marino, M., &amp; Vacca, A. (2023). Lifestyle indicators and perceived stress among maritime workers: A quality of work life approach. </w:t>
      </w:r>
      <w:r w:rsidRPr="00BD50AB">
        <w:rPr>
          <w:rFonts w:ascii="Times New Roman" w:hAnsi="Times New Roman" w:cs="Times New Roman"/>
          <w:i/>
          <w:iCs/>
          <w:color w:val="000000" w:themeColor="text1"/>
          <w:sz w:val="24"/>
          <w:szCs w:val="24"/>
        </w:rPr>
        <w:t>International Maritime Health, 74</w:t>
      </w:r>
      <w:r w:rsidRPr="00BD50AB">
        <w:rPr>
          <w:rFonts w:ascii="Times New Roman" w:hAnsi="Times New Roman" w:cs="Times New Roman"/>
          <w:color w:val="000000" w:themeColor="text1"/>
          <w:sz w:val="24"/>
          <w:szCs w:val="24"/>
        </w:rPr>
        <w:t xml:space="preserve">(2), 101–112. </w:t>
      </w:r>
    </w:p>
    <w:p w14:paraId="248D2554" w14:textId="77777777"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r w:rsidRPr="00BD50AB">
        <w:rPr>
          <w:rFonts w:ascii="Times New Roman" w:hAnsi="Times New Roman" w:cs="Times New Roman"/>
          <w:color w:val="000000" w:themeColor="text1"/>
          <w:sz w:val="24"/>
          <w:szCs w:val="24"/>
        </w:rPr>
        <w:t xml:space="preserve">Carotenuto, A., Molino, I., </w:t>
      </w:r>
      <w:proofErr w:type="spellStart"/>
      <w:r w:rsidRPr="00BD50AB">
        <w:rPr>
          <w:rFonts w:ascii="Times New Roman" w:hAnsi="Times New Roman" w:cs="Times New Roman"/>
          <w:color w:val="000000" w:themeColor="text1"/>
          <w:sz w:val="24"/>
          <w:szCs w:val="24"/>
        </w:rPr>
        <w:t>Fasanaro</w:t>
      </w:r>
      <w:proofErr w:type="spellEnd"/>
      <w:r w:rsidRPr="00BD50AB">
        <w:rPr>
          <w:rFonts w:ascii="Times New Roman" w:hAnsi="Times New Roman" w:cs="Times New Roman"/>
          <w:color w:val="000000" w:themeColor="text1"/>
          <w:sz w:val="24"/>
          <w:szCs w:val="24"/>
        </w:rPr>
        <w:t xml:space="preserve">, A. M., &amp; Amenta, F. (2012). Psychological stress in seafarers: A review. </w:t>
      </w:r>
      <w:r w:rsidRPr="00BD50AB">
        <w:rPr>
          <w:rFonts w:ascii="Times New Roman" w:hAnsi="Times New Roman" w:cs="Times New Roman"/>
          <w:i/>
          <w:iCs/>
          <w:color w:val="000000" w:themeColor="text1"/>
          <w:sz w:val="24"/>
          <w:szCs w:val="24"/>
        </w:rPr>
        <w:t>International Maritime Health, 63</w:t>
      </w:r>
      <w:r w:rsidRPr="00BD50AB">
        <w:rPr>
          <w:rFonts w:ascii="Times New Roman" w:hAnsi="Times New Roman" w:cs="Times New Roman"/>
          <w:color w:val="000000" w:themeColor="text1"/>
          <w:sz w:val="24"/>
          <w:szCs w:val="24"/>
        </w:rPr>
        <w:t>(4), 188–194.</w:t>
      </w:r>
    </w:p>
    <w:p w14:paraId="55DDDDC2" w14:textId="1FB4B125"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r w:rsidRPr="00BD50AB">
        <w:rPr>
          <w:rFonts w:ascii="Times New Roman" w:hAnsi="Times New Roman" w:cs="Times New Roman"/>
          <w:color w:val="000000" w:themeColor="text1"/>
          <w:sz w:val="24"/>
          <w:szCs w:val="24"/>
        </w:rPr>
        <w:t xml:space="preserve">Jensen, H., &amp; Oldenburg, M. (2021). Occupational stress and strain among seafarers: A systematic review. </w:t>
      </w:r>
      <w:r w:rsidRPr="00BD50AB">
        <w:rPr>
          <w:rFonts w:ascii="Times New Roman" w:hAnsi="Times New Roman" w:cs="Times New Roman"/>
          <w:i/>
          <w:iCs/>
          <w:color w:val="000000" w:themeColor="text1"/>
          <w:sz w:val="24"/>
          <w:szCs w:val="24"/>
        </w:rPr>
        <w:t>International Archives of Occupational and Environmental Health, 94</w:t>
      </w:r>
      <w:r w:rsidRPr="00BD50AB">
        <w:rPr>
          <w:rFonts w:ascii="Times New Roman" w:hAnsi="Times New Roman" w:cs="Times New Roman"/>
          <w:color w:val="000000" w:themeColor="text1"/>
          <w:sz w:val="24"/>
          <w:szCs w:val="24"/>
        </w:rPr>
        <w:t xml:space="preserve">, 287–299. </w:t>
      </w:r>
    </w:p>
    <w:p w14:paraId="480AF6B7" w14:textId="03708103"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r w:rsidRPr="00BD50AB">
        <w:rPr>
          <w:rFonts w:ascii="Times New Roman" w:hAnsi="Times New Roman" w:cs="Times New Roman"/>
          <w:color w:val="000000" w:themeColor="text1"/>
          <w:sz w:val="24"/>
          <w:szCs w:val="24"/>
        </w:rPr>
        <w:t xml:space="preserve">Kim, Y. K., &amp; Jang, K. S. (2018). The influence of self-efficacy and organizational culture on job stress and quality of life among seafarers. </w:t>
      </w:r>
      <w:r w:rsidRPr="00BD50AB">
        <w:rPr>
          <w:rFonts w:ascii="Times New Roman" w:hAnsi="Times New Roman" w:cs="Times New Roman"/>
          <w:i/>
          <w:iCs/>
          <w:color w:val="000000" w:themeColor="text1"/>
          <w:sz w:val="24"/>
          <w:szCs w:val="24"/>
        </w:rPr>
        <w:t>International Journal of Maritime Affairs and Fisheries, 10</w:t>
      </w:r>
      <w:r w:rsidRPr="00BD50AB">
        <w:rPr>
          <w:rFonts w:ascii="Times New Roman" w:hAnsi="Times New Roman" w:cs="Times New Roman"/>
          <w:color w:val="000000" w:themeColor="text1"/>
          <w:sz w:val="24"/>
          <w:szCs w:val="24"/>
        </w:rPr>
        <w:t>(3), 37–53.</w:t>
      </w:r>
    </w:p>
    <w:sectPr w:rsidR="00BD50AB" w:rsidRPr="00BD50AB" w:rsidSect="00CF166F">
      <w:footerReference w:type="default" r:id="rId9"/>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41C6" w14:textId="77777777" w:rsidR="00132A13" w:rsidRDefault="00132A13" w:rsidP="00BD50AB">
      <w:pPr>
        <w:spacing w:after="0" w:line="240" w:lineRule="auto"/>
      </w:pPr>
      <w:r>
        <w:separator/>
      </w:r>
    </w:p>
  </w:endnote>
  <w:endnote w:type="continuationSeparator" w:id="0">
    <w:p w14:paraId="20CD0545" w14:textId="77777777" w:rsidR="00132A13" w:rsidRDefault="00132A13" w:rsidP="00BD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875893"/>
      <w:docPartObj>
        <w:docPartGallery w:val="Page Numbers (Bottom of Page)"/>
        <w:docPartUnique/>
      </w:docPartObj>
    </w:sdtPr>
    <w:sdtEndPr>
      <w:rPr>
        <w:noProof/>
      </w:rPr>
    </w:sdtEndPr>
    <w:sdtContent>
      <w:p w14:paraId="4A9061FC" w14:textId="4E9879ED" w:rsidR="00BD50AB" w:rsidRDefault="00BD50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0FEF1E" w14:textId="77777777" w:rsidR="00BD50AB" w:rsidRDefault="00BD5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7063" w14:textId="77777777" w:rsidR="00132A13" w:rsidRDefault="00132A13" w:rsidP="00BD50AB">
      <w:pPr>
        <w:spacing w:after="0" w:line="240" w:lineRule="auto"/>
      </w:pPr>
      <w:r>
        <w:separator/>
      </w:r>
    </w:p>
  </w:footnote>
  <w:footnote w:type="continuationSeparator" w:id="0">
    <w:p w14:paraId="45E81055" w14:textId="77777777" w:rsidR="00132A13" w:rsidRDefault="00132A13" w:rsidP="00BD5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521"/>
    <w:multiLevelType w:val="multilevel"/>
    <w:tmpl w:val="562E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80CC1"/>
    <w:multiLevelType w:val="multilevel"/>
    <w:tmpl w:val="D2F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E429D"/>
    <w:multiLevelType w:val="multilevel"/>
    <w:tmpl w:val="81D4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90D66"/>
    <w:multiLevelType w:val="multilevel"/>
    <w:tmpl w:val="7A78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B4398"/>
    <w:multiLevelType w:val="multilevel"/>
    <w:tmpl w:val="B454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C610CC"/>
    <w:multiLevelType w:val="hybridMultilevel"/>
    <w:tmpl w:val="5900AB54"/>
    <w:lvl w:ilvl="0" w:tplc="EB082524">
      <w:start w:val="1"/>
      <w:numFmt w:val="decimal"/>
      <w:lvlText w:val="%1."/>
      <w:lvlJc w:val="left"/>
      <w:pPr>
        <w:ind w:left="704" w:hanging="360"/>
      </w:pPr>
      <w:rPr>
        <w:rFonts w:hint="default"/>
      </w:rPr>
    </w:lvl>
    <w:lvl w:ilvl="1" w:tplc="40090019" w:tentative="1">
      <w:start w:val="1"/>
      <w:numFmt w:val="lowerLetter"/>
      <w:lvlText w:val="%2."/>
      <w:lvlJc w:val="left"/>
      <w:pPr>
        <w:ind w:left="1424" w:hanging="360"/>
      </w:pPr>
    </w:lvl>
    <w:lvl w:ilvl="2" w:tplc="4009001B" w:tentative="1">
      <w:start w:val="1"/>
      <w:numFmt w:val="lowerRoman"/>
      <w:lvlText w:val="%3."/>
      <w:lvlJc w:val="right"/>
      <w:pPr>
        <w:ind w:left="2144" w:hanging="180"/>
      </w:pPr>
    </w:lvl>
    <w:lvl w:ilvl="3" w:tplc="4009000F" w:tentative="1">
      <w:start w:val="1"/>
      <w:numFmt w:val="decimal"/>
      <w:lvlText w:val="%4."/>
      <w:lvlJc w:val="left"/>
      <w:pPr>
        <w:ind w:left="2864" w:hanging="360"/>
      </w:pPr>
    </w:lvl>
    <w:lvl w:ilvl="4" w:tplc="40090019" w:tentative="1">
      <w:start w:val="1"/>
      <w:numFmt w:val="lowerLetter"/>
      <w:lvlText w:val="%5."/>
      <w:lvlJc w:val="left"/>
      <w:pPr>
        <w:ind w:left="3584" w:hanging="360"/>
      </w:pPr>
    </w:lvl>
    <w:lvl w:ilvl="5" w:tplc="4009001B" w:tentative="1">
      <w:start w:val="1"/>
      <w:numFmt w:val="lowerRoman"/>
      <w:lvlText w:val="%6."/>
      <w:lvlJc w:val="right"/>
      <w:pPr>
        <w:ind w:left="4304" w:hanging="180"/>
      </w:pPr>
    </w:lvl>
    <w:lvl w:ilvl="6" w:tplc="4009000F" w:tentative="1">
      <w:start w:val="1"/>
      <w:numFmt w:val="decimal"/>
      <w:lvlText w:val="%7."/>
      <w:lvlJc w:val="left"/>
      <w:pPr>
        <w:ind w:left="5024" w:hanging="360"/>
      </w:pPr>
    </w:lvl>
    <w:lvl w:ilvl="7" w:tplc="40090019" w:tentative="1">
      <w:start w:val="1"/>
      <w:numFmt w:val="lowerLetter"/>
      <w:lvlText w:val="%8."/>
      <w:lvlJc w:val="left"/>
      <w:pPr>
        <w:ind w:left="5744" w:hanging="360"/>
      </w:pPr>
    </w:lvl>
    <w:lvl w:ilvl="8" w:tplc="4009001B" w:tentative="1">
      <w:start w:val="1"/>
      <w:numFmt w:val="lowerRoman"/>
      <w:lvlText w:val="%9."/>
      <w:lvlJc w:val="right"/>
      <w:pPr>
        <w:ind w:left="6464" w:hanging="180"/>
      </w:pPr>
    </w:lvl>
  </w:abstractNum>
  <w:abstractNum w:abstractNumId="6" w15:restartNumberingAfterBreak="0">
    <w:nsid w:val="4DE87784"/>
    <w:multiLevelType w:val="multilevel"/>
    <w:tmpl w:val="B04E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736DE"/>
    <w:multiLevelType w:val="hybridMultilevel"/>
    <w:tmpl w:val="C71045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6B57BC1"/>
    <w:multiLevelType w:val="hybridMultilevel"/>
    <w:tmpl w:val="8C48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9E606C"/>
    <w:multiLevelType w:val="multilevel"/>
    <w:tmpl w:val="93D6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F0B4F"/>
    <w:multiLevelType w:val="multilevel"/>
    <w:tmpl w:val="107CB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955604">
    <w:abstractNumId w:val="7"/>
  </w:num>
  <w:num w:numId="2" w16cid:durableId="1940334807">
    <w:abstractNumId w:val="5"/>
  </w:num>
  <w:num w:numId="3" w16cid:durableId="1658344603">
    <w:abstractNumId w:val="8"/>
  </w:num>
  <w:num w:numId="4" w16cid:durableId="772364560">
    <w:abstractNumId w:val="3"/>
  </w:num>
  <w:num w:numId="5" w16cid:durableId="1872298377">
    <w:abstractNumId w:val="9"/>
  </w:num>
  <w:num w:numId="6" w16cid:durableId="944193792">
    <w:abstractNumId w:val="0"/>
  </w:num>
  <w:num w:numId="7" w16cid:durableId="1717007951">
    <w:abstractNumId w:val="6"/>
  </w:num>
  <w:num w:numId="8" w16cid:durableId="1090346354">
    <w:abstractNumId w:val="1"/>
  </w:num>
  <w:num w:numId="9" w16cid:durableId="323316539">
    <w:abstractNumId w:val="2"/>
  </w:num>
  <w:num w:numId="10" w16cid:durableId="958295768">
    <w:abstractNumId w:val="10"/>
  </w:num>
  <w:num w:numId="11" w16cid:durableId="131336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86"/>
    <w:rsid w:val="0006090E"/>
    <w:rsid w:val="00132A13"/>
    <w:rsid w:val="001443EA"/>
    <w:rsid w:val="001C653D"/>
    <w:rsid w:val="00212BAC"/>
    <w:rsid w:val="00257038"/>
    <w:rsid w:val="002A5C8C"/>
    <w:rsid w:val="00471AAB"/>
    <w:rsid w:val="0048636D"/>
    <w:rsid w:val="004A4B72"/>
    <w:rsid w:val="004E638B"/>
    <w:rsid w:val="00516995"/>
    <w:rsid w:val="005A4B5D"/>
    <w:rsid w:val="005B16E7"/>
    <w:rsid w:val="00685F30"/>
    <w:rsid w:val="006F2839"/>
    <w:rsid w:val="00744EF7"/>
    <w:rsid w:val="00846FA5"/>
    <w:rsid w:val="00915D86"/>
    <w:rsid w:val="009564AD"/>
    <w:rsid w:val="009F57CD"/>
    <w:rsid w:val="00A56882"/>
    <w:rsid w:val="00AE14E3"/>
    <w:rsid w:val="00B467C8"/>
    <w:rsid w:val="00B50BB0"/>
    <w:rsid w:val="00B83678"/>
    <w:rsid w:val="00BD50AB"/>
    <w:rsid w:val="00C80E04"/>
    <w:rsid w:val="00CF166F"/>
    <w:rsid w:val="00D23A8D"/>
    <w:rsid w:val="00E47ECF"/>
    <w:rsid w:val="00F129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43B8A"/>
  <w15:chartTrackingRefBased/>
  <w15:docId w15:val="{1240D18C-0F1B-4A32-AF2C-F7F637C9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5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5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5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5D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D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D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D86"/>
    <w:rPr>
      <w:rFonts w:eastAsiaTheme="majorEastAsia" w:cstheme="majorBidi"/>
      <w:color w:val="272727" w:themeColor="text1" w:themeTint="D8"/>
    </w:rPr>
  </w:style>
  <w:style w:type="paragraph" w:styleId="Title">
    <w:name w:val="Title"/>
    <w:basedOn w:val="Normal"/>
    <w:next w:val="Normal"/>
    <w:link w:val="TitleChar"/>
    <w:uiPriority w:val="10"/>
    <w:qFormat/>
    <w:rsid w:val="00915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D86"/>
    <w:pPr>
      <w:spacing w:before="160"/>
      <w:jc w:val="center"/>
    </w:pPr>
    <w:rPr>
      <w:i/>
      <w:iCs/>
      <w:color w:val="404040" w:themeColor="text1" w:themeTint="BF"/>
    </w:rPr>
  </w:style>
  <w:style w:type="character" w:customStyle="1" w:styleId="QuoteChar">
    <w:name w:val="Quote Char"/>
    <w:basedOn w:val="DefaultParagraphFont"/>
    <w:link w:val="Quote"/>
    <w:uiPriority w:val="29"/>
    <w:rsid w:val="00915D86"/>
    <w:rPr>
      <w:i/>
      <w:iCs/>
      <w:color w:val="404040" w:themeColor="text1" w:themeTint="BF"/>
    </w:rPr>
  </w:style>
  <w:style w:type="paragraph" w:styleId="ListParagraph">
    <w:name w:val="List Paragraph"/>
    <w:basedOn w:val="Normal"/>
    <w:uiPriority w:val="34"/>
    <w:qFormat/>
    <w:rsid w:val="00915D86"/>
    <w:pPr>
      <w:ind w:left="720"/>
      <w:contextualSpacing/>
    </w:pPr>
  </w:style>
  <w:style w:type="character" w:styleId="IntenseEmphasis">
    <w:name w:val="Intense Emphasis"/>
    <w:basedOn w:val="DefaultParagraphFont"/>
    <w:uiPriority w:val="21"/>
    <w:qFormat/>
    <w:rsid w:val="00915D86"/>
    <w:rPr>
      <w:i/>
      <w:iCs/>
      <w:color w:val="2F5496" w:themeColor="accent1" w:themeShade="BF"/>
    </w:rPr>
  </w:style>
  <w:style w:type="paragraph" w:styleId="IntenseQuote">
    <w:name w:val="Intense Quote"/>
    <w:basedOn w:val="Normal"/>
    <w:next w:val="Normal"/>
    <w:link w:val="IntenseQuoteChar"/>
    <w:uiPriority w:val="30"/>
    <w:qFormat/>
    <w:rsid w:val="00915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D86"/>
    <w:rPr>
      <w:i/>
      <w:iCs/>
      <w:color w:val="2F5496" w:themeColor="accent1" w:themeShade="BF"/>
    </w:rPr>
  </w:style>
  <w:style w:type="character" w:styleId="IntenseReference">
    <w:name w:val="Intense Reference"/>
    <w:basedOn w:val="DefaultParagraphFont"/>
    <w:uiPriority w:val="32"/>
    <w:qFormat/>
    <w:rsid w:val="00915D86"/>
    <w:rPr>
      <w:b/>
      <w:bCs/>
      <w:smallCaps/>
      <w:color w:val="2F5496" w:themeColor="accent1" w:themeShade="BF"/>
      <w:spacing w:val="5"/>
    </w:rPr>
  </w:style>
  <w:style w:type="table" w:styleId="TableGrid">
    <w:name w:val="Table Grid"/>
    <w:basedOn w:val="TableNormal"/>
    <w:uiPriority w:val="39"/>
    <w:rsid w:val="00AE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0E04"/>
    <w:pPr>
      <w:spacing w:after="0" w:line="240" w:lineRule="auto"/>
    </w:pPr>
  </w:style>
  <w:style w:type="paragraph" w:styleId="NormalWeb">
    <w:name w:val="Normal (Web)"/>
    <w:basedOn w:val="Normal"/>
    <w:uiPriority w:val="99"/>
    <w:semiHidden/>
    <w:unhideWhenUsed/>
    <w:rsid w:val="00B467C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9564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1C653D"/>
    <w:pPr>
      <w:widowControl w:val="0"/>
      <w:autoSpaceDE w:val="0"/>
      <w:autoSpaceDN w:val="0"/>
      <w:spacing w:before="30" w:after="0" w:line="240" w:lineRule="auto"/>
      <w:jc w:val="right"/>
    </w:pPr>
    <w:rPr>
      <w:rFonts w:ascii="Segoe UI" w:eastAsia="Segoe UI" w:hAnsi="Segoe UI" w:cs="Segoe UI"/>
      <w:kern w:val="0"/>
      <w:lang w:val="en-US"/>
      <w14:ligatures w14:val="none"/>
    </w:rPr>
  </w:style>
  <w:style w:type="character" w:styleId="Hyperlink">
    <w:name w:val="Hyperlink"/>
    <w:basedOn w:val="DefaultParagraphFont"/>
    <w:uiPriority w:val="99"/>
    <w:unhideWhenUsed/>
    <w:rsid w:val="00BD50AB"/>
    <w:rPr>
      <w:color w:val="0563C1" w:themeColor="hyperlink"/>
      <w:u w:val="single"/>
    </w:rPr>
  </w:style>
  <w:style w:type="character" w:styleId="UnresolvedMention">
    <w:name w:val="Unresolved Mention"/>
    <w:basedOn w:val="DefaultParagraphFont"/>
    <w:uiPriority w:val="99"/>
    <w:semiHidden/>
    <w:unhideWhenUsed/>
    <w:rsid w:val="00BD50AB"/>
    <w:rPr>
      <w:color w:val="605E5C"/>
      <w:shd w:val="clear" w:color="auto" w:fill="E1DFDD"/>
    </w:rPr>
  </w:style>
  <w:style w:type="paragraph" w:styleId="Header">
    <w:name w:val="header"/>
    <w:basedOn w:val="Normal"/>
    <w:link w:val="HeaderChar"/>
    <w:uiPriority w:val="99"/>
    <w:unhideWhenUsed/>
    <w:rsid w:val="00BD5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0AB"/>
  </w:style>
  <w:style w:type="paragraph" w:styleId="Footer">
    <w:name w:val="footer"/>
    <w:basedOn w:val="Normal"/>
    <w:link w:val="FooterChar"/>
    <w:uiPriority w:val="99"/>
    <w:unhideWhenUsed/>
    <w:rsid w:val="00BD5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834">
      <w:bodyDiv w:val="1"/>
      <w:marLeft w:val="360"/>
      <w:marRight w:val="360"/>
      <w:marTop w:val="360"/>
      <w:marBottom w:val="360"/>
      <w:divBdr>
        <w:top w:val="none" w:sz="0" w:space="0" w:color="auto"/>
        <w:left w:val="none" w:sz="0" w:space="0" w:color="auto"/>
        <w:bottom w:val="none" w:sz="0" w:space="0" w:color="auto"/>
        <w:right w:val="none" w:sz="0" w:space="0" w:color="auto"/>
      </w:divBdr>
    </w:div>
    <w:div w:id="36708919">
      <w:bodyDiv w:val="1"/>
      <w:marLeft w:val="360"/>
      <w:marRight w:val="360"/>
      <w:marTop w:val="360"/>
      <w:marBottom w:val="360"/>
      <w:divBdr>
        <w:top w:val="none" w:sz="0" w:space="0" w:color="auto"/>
        <w:left w:val="none" w:sz="0" w:space="0" w:color="auto"/>
        <w:bottom w:val="none" w:sz="0" w:space="0" w:color="auto"/>
        <w:right w:val="none" w:sz="0" w:space="0" w:color="auto"/>
      </w:divBdr>
    </w:div>
    <w:div w:id="175927510">
      <w:bodyDiv w:val="1"/>
      <w:marLeft w:val="360"/>
      <w:marRight w:val="360"/>
      <w:marTop w:val="360"/>
      <w:marBottom w:val="360"/>
      <w:divBdr>
        <w:top w:val="none" w:sz="0" w:space="0" w:color="auto"/>
        <w:left w:val="none" w:sz="0" w:space="0" w:color="auto"/>
        <w:bottom w:val="none" w:sz="0" w:space="0" w:color="auto"/>
        <w:right w:val="none" w:sz="0" w:space="0" w:color="auto"/>
      </w:divBdr>
    </w:div>
    <w:div w:id="198246566">
      <w:bodyDiv w:val="1"/>
      <w:marLeft w:val="360"/>
      <w:marRight w:val="360"/>
      <w:marTop w:val="360"/>
      <w:marBottom w:val="360"/>
      <w:divBdr>
        <w:top w:val="none" w:sz="0" w:space="0" w:color="auto"/>
        <w:left w:val="none" w:sz="0" w:space="0" w:color="auto"/>
        <w:bottom w:val="none" w:sz="0" w:space="0" w:color="auto"/>
        <w:right w:val="none" w:sz="0" w:space="0" w:color="auto"/>
      </w:divBdr>
    </w:div>
    <w:div w:id="211503901">
      <w:bodyDiv w:val="1"/>
      <w:marLeft w:val="0"/>
      <w:marRight w:val="0"/>
      <w:marTop w:val="0"/>
      <w:marBottom w:val="0"/>
      <w:divBdr>
        <w:top w:val="none" w:sz="0" w:space="0" w:color="auto"/>
        <w:left w:val="none" w:sz="0" w:space="0" w:color="auto"/>
        <w:bottom w:val="none" w:sz="0" w:space="0" w:color="auto"/>
        <w:right w:val="none" w:sz="0" w:space="0" w:color="auto"/>
      </w:divBdr>
    </w:div>
    <w:div w:id="283586356">
      <w:bodyDiv w:val="1"/>
      <w:marLeft w:val="360"/>
      <w:marRight w:val="360"/>
      <w:marTop w:val="360"/>
      <w:marBottom w:val="360"/>
      <w:divBdr>
        <w:top w:val="none" w:sz="0" w:space="0" w:color="auto"/>
        <w:left w:val="none" w:sz="0" w:space="0" w:color="auto"/>
        <w:bottom w:val="none" w:sz="0" w:space="0" w:color="auto"/>
        <w:right w:val="none" w:sz="0" w:space="0" w:color="auto"/>
      </w:divBdr>
    </w:div>
    <w:div w:id="320235734">
      <w:bodyDiv w:val="1"/>
      <w:marLeft w:val="0"/>
      <w:marRight w:val="0"/>
      <w:marTop w:val="0"/>
      <w:marBottom w:val="0"/>
      <w:divBdr>
        <w:top w:val="none" w:sz="0" w:space="0" w:color="auto"/>
        <w:left w:val="none" w:sz="0" w:space="0" w:color="auto"/>
        <w:bottom w:val="none" w:sz="0" w:space="0" w:color="auto"/>
        <w:right w:val="none" w:sz="0" w:space="0" w:color="auto"/>
      </w:divBdr>
    </w:div>
    <w:div w:id="367340965">
      <w:bodyDiv w:val="1"/>
      <w:marLeft w:val="0"/>
      <w:marRight w:val="0"/>
      <w:marTop w:val="0"/>
      <w:marBottom w:val="0"/>
      <w:divBdr>
        <w:top w:val="none" w:sz="0" w:space="0" w:color="auto"/>
        <w:left w:val="none" w:sz="0" w:space="0" w:color="auto"/>
        <w:bottom w:val="none" w:sz="0" w:space="0" w:color="auto"/>
        <w:right w:val="none" w:sz="0" w:space="0" w:color="auto"/>
      </w:divBdr>
    </w:div>
    <w:div w:id="371267038">
      <w:bodyDiv w:val="1"/>
      <w:marLeft w:val="360"/>
      <w:marRight w:val="360"/>
      <w:marTop w:val="360"/>
      <w:marBottom w:val="360"/>
      <w:divBdr>
        <w:top w:val="none" w:sz="0" w:space="0" w:color="auto"/>
        <w:left w:val="none" w:sz="0" w:space="0" w:color="auto"/>
        <w:bottom w:val="none" w:sz="0" w:space="0" w:color="auto"/>
        <w:right w:val="none" w:sz="0" w:space="0" w:color="auto"/>
      </w:divBdr>
    </w:div>
    <w:div w:id="441193992">
      <w:bodyDiv w:val="1"/>
      <w:marLeft w:val="360"/>
      <w:marRight w:val="360"/>
      <w:marTop w:val="360"/>
      <w:marBottom w:val="360"/>
      <w:divBdr>
        <w:top w:val="none" w:sz="0" w:space="0" w:color="auto"/>
        <w:left w:val="none" w:sz="0" w:space="0" w:color="auto"/>
        <w:bottom w:val="none" w:sz="0" w:space="0" w:color="auto"/>
        <w:right w:val="none" w:sz="0" w:space="0" w:color="auto"/>
      </w:divBdr>
    </w:div>
    <w:div w:id="461268892">
      <w:bodyDiv w:val="1"/>
      <w:marLeft w:val="360"/>
      <w:marRight w:val="360"/>
      <w:marTop w:val="360"/>
      <w:marBottom w:val="360"/>
      <w:divBdr>
        <w:top w:val="none" w:sz="0" w:space="0" w:color="auto"/>
        <w:left w:val="none" w:sz="0" w:space="0" w:color="auto"/>
        <w:bottom w:val="none" w:sz="0" w:space="0" w:color="auto"/>
        <w:right w:val="none" w:sz="0" w:space="0" w:color="auto"/>
      </w:divBdr>
    </w:div>
    <w:div w:id="464854285">
      <w:bodyDiv w:val="1"/>
      <w:marLeft w:val="0"/>
      <w:marRight w:val="0"/>
      <w:marTop w:val="0"/>
      <w:marBottom w:val="0"/>
      <w:divBdr>
        <w:top w:val="none" w:sz="0" w:space="0" w:color="auto"/>
        <w:left w:val="none" w:sz="0" w:space="0" w:color="auto"/>
        <w:bottom w:val="none" w:sz="0" w:space="0" w:color="auto"/>
        <w:right w:val="none" w:sz="0" w:space="0" w:color="auto"/>
      </w:divBdr>
    </w:div>
    <w:div w:id="466944636">
      <w:bodyDiv w:val="1"/>
      <w:marLeft w:val="0"/>
      <w:marRight w:val="0"/>
      <w:marTop w:val="0"/>
      <w:marBottom w:val="0"/>
      <w:divBdr>
        <w:top w:val="none" w:sz="0" w:space="0" w:color="auto"/>
        <w:left w:val="none" w:sz="0" w:space="0" w:color="auto"/>
        <w:bottom w:val="none" w:sz="0" w:space="0" w:color="auto"/>
        <w:right w:val="none" w:sz="0" w:space="0" w:color="auto"/>
      </w:divBdr>
    </w:div>
    <w:div w:id="467868684">
      <w:bodyDiv w:val="1"/>
      <w:marLeft w:val="0"/>
      <w:marRight w:val="0"/>
      <w:marTop w:val="0"/>
      <w:marBottom w:val="0"/>
      <w:divBdr>
        <w:top w:val="none" w:sz="0" w:space="0" w:color="auto"/>
        <w:left w:val="none" w:sz="0" w:space="0" w:color="auto"/>
        <w:bottom w:val="none" w:sz="0" w:space="0" w:color="auto"/>
        <w:right w:val="none" w:sz="0" w:space="0" w:color="auto"/>
      </w:divBdr>
    </w:div>
    <w:div w:id="518274438">
      <w:bodyDiv w:val="1"/>
      <w:marLeft w:val="360"/>
      <w:marRight w:val="360"/>
      <w:marTop w:val="360"/>
      <w:marBottom w:val="360"/>
      <w:divBdr>
        <w:top w:val="none" w:sz="0" w:space="0" w:color="auto"/>
        <w:left w:val="none" w:sz="0" w:space="0" w:color="auto"/>
        <w:bottom w:val="none" w:sz="0" w:space="0" w:color="auto"/>
        <w:right w:val="none" w:sz="0" w:space="0" w:color="auto"/>
      </w:divBdr>
    </w:div>
    <w:div w:id="540942858">
      <w:bodyDiv w:val="1"/>
      <w:marLeft w:val="360"/>
      <w:marRight w:val="360"/>
      <w:marTop w:val="360"/>
      <w:marBottom w:val="360"/>
      <w:divBdr>
        <w:top w:val="none" w:sz="0" w:space="0" w:color="auto"/>
        <w:left w:val="none" w:sz="0" w:space="0" w:color="auto"/>
        <w:bottom w:val="none" w:sz="0" w:space="0" w:color="auto"/>
        <w:right w:val="none" w:sz="0" w:space="0" w:color="auto"/>
      </w:divBdr>
    </w:div>
    <w:div w:id="550119526">
      <w:bodyDiv w:val="1"/>
      <w:marLeft w:val="0"/>
      <w:marRight w:val="0"/>
      <w:marTop w:val="0"/>
      <w:marBottom w:val="0"/>
      <w:divBdr>
        <w:top w:val="none" w:sz="0" w:space="0" w:color="auto"/>
        <w:left w:val="none" w:sz="0" w:space="0" w:color="auto"/>
        <w:bottom w:val="none" w:sz="0" w:space="0" w:color="auto"/>
        <w:right w:val="none" w:sz="0" w:space="0" w:color="auto"/>
      </w:divBdr>
    </w:div>
    <w:div w:id="587007665">
      <w:bodyDiv w:val="1"/>
      <w:marLeft w:val="360"/>
      <w:marRight w:val="360"/>
      <w:marTop w:val="360"/>
      <w:marBottom w:val="360"/>
      <w:divBdr>
        <w:top w:val="none" w:sz="0" w:space="0" w:color="auto"/>
        <w:left w:val="none" w:sz="0" w:space="0" w:color="auto"/>
        <w:bottom w:val="none" w:sz="0" w:space="0" w:color="auto"/>
        <w:right w:val="none" w:sz="0" w:space="0" w:color="auto"/>
      </w:divBdr>
    </w:div>
    <w:div w:id="592519062">
      <w:bodyDiv w:val="1"/>
      <w:marLeft w:val="360"/>
      <w:marRight w:val="360"/>
      <w:marTop w:val="360"/>
      <w:marBottom w:val="360"/>
      <w:divBdr>
        <w:top w:val="none" w:sz="0" w:space="0" w:color="auto"/>
        <w:left w:val="none" w:sz="0" w:space="0" w:color="auto"/>
        <w:bottom w:val="none" w:sz="0" w:space="0" w:color="auto"/>
        <w:right w:val="none" w:sz="0" w:space="0" w:color="auto"/>
      </w:divBdr>
    </w:div>
    <w:div w:id="663165969">
      <w:bodyDiv w:val="1"/>
      <w:marLeft w:val="360"/>
      <w:marRight w:val="360"/>
      <w:marTop w:val="360"/>
      <w:marBottom w:val="360"/>
      <w:divBdr>
        <w:top w:val="none" w:sz="0" w:space="0" w:color="auto"/>
        <w:left w:val="none" w:sz="0" w:space="0" w:color="auto"/>
        <w:bottom w:val="none" w:sz="0" w:space="0" w:color="auto"/>
        <w:right w:val="none" w:sz="0" w:space="0" w:color="auto"/>
      </w:divBdr>
    </w:div>
    <w:div w:id="665325331">
      <w:bodyDiv w:val="1"/>
      <w:marLeft w:val="360"/>
      <w:marRight w:val="360"/>
      <w:marTop w:val="360"/>
      <w:marBottom w:val="360"/>
      <w:divBdr>
        <w:top w:val="none" w:sz="0" w:space="0" w:color="auto"/>
        <w:left w:val="none" w:sz="0" w:space="0" w:color="auto"/>
        <w:bottom w:val="none" w:sz="0" w:space="0" w:color="auto"/>
        <w:right w:val="none" w:sz="0" w:space="0" w:color="auto"/>
      </w:divBdr>
    </w:div>
    <w:div w:id="693922804">
      <w:bodyDiv w:val="1"/>
      <w:marLeft w:val="360"/>
      <w:marRight w:val="360"/>
      <w:marTop w:val="360"/>
      <w:marBottom w:val="360"/>
      <w:divBdr>
        <w:top w:val="none" w:sz="0" w:space="0" w:color="auto"/>
        <w:left w:val="none" w:sz="0" w:space="0" w:color="auto"/>
        <w:bottom w:val="none" w:sz="0" w:space="0" w:color="auto"/>
        <w:right w:val="none" w:sz="0" w:space="0" w:color="auto"/>
      </w:divBdr>
    </w:div>
    <w:div w:id="891500958">
      <w:bodyDiv w:val="1"/>
      <w:marLeft w:val="360"/>
      <w:marRight w:val="360"/>
      <w:marTop w:val="360"/>
      <w:marBottom w:val="360"/>
      <w:divBdr>
        <w:top w:val="none" w:sz="0" w:space="0" w:color="auto"/>
        <w:left w:val="none" w:sz="0" w:space="0" w:color="auto"/>
        <w:bottom w:val="none" w:sz="0" w:space="0" w:color="auto"/>
        <w:right w:val="none" w:sz="0" w:space="0" w:color="auto"/>
      </w:divBdr>
    </w:div>
    <w:div w:id="919674687">
      <w:bodyDiv w:val="1"/>
      <w:marLeft w:val="0"/>
      <w:marRight w:val="0"/>
      <w:marTop w:val="0"/>
      <w:marBottom w:val="0"/>
      <w:divBdr>
        <w:top w:val="none" w:sz="0" w:space="0" w:color="auto"/>
        <w:left w:val="none" w:sz="0" w:space="0" w:color="auto"/>
        <w:bottom w:val="none" w:sz="0" w:space="0" w:color="auto"/>
        <w:right w:val="none" w:sz="0" w:space="0" w:color="auto"/>
      </w:divBdr>
    </w:div>
    <w:div w:id="1002468732">
      <w:bodyDiv w:val="1"/>
      <w:marLeft w:val="360"/>
      <w:marRight w:val="360"/>
      <w:marTop w:val="360"/>
      <w:marBottom w:val="360"/>
      <w:divBdr>
        <w:top w:val="none" w:sz="0" w:space="0" w:color="auto"/>
        <w:left w:val="none" w:sz="0" w:space="0" w:color="auto"/>
        <w:bottom w:val="none" w:sz="0" w:space="0" w:color="auto"/>
        <w:right w:val="none" w:sz="0" w:space="0" w:color="auto"/>
      </w:divBdr>
    </w:div>
    <w:div w:id="1020164510">
      <w:bodyDiv w:val="1"/>
      <w:marLeft w:val="360"/>
      <w:marRight w:val="360"/>
      <w:marTop w:val="360"/>
      <w:marBottom w:val="360"/>
      <w:divBdr>
        <w:top w:val="none" w:sz="0" w:space="0" w:color="auto"/>
        <w:left w:val="none" w:sz="0" w:space="0" w:color="auto"/>
        <w:bottom w:val="none" w:sz="0" w:space="0" w:color="auto"/>
        <w:right w:val="none" w:sz="0" w:space="0" w:color="auto"/>
      </w:divBdr>
    </w:div>
    <w:div w:id="1033961473">
      <w:bodyDiv w:val="1"/>
      <w:marLeft w:val="360"/>
      <w:marRight w:val="360"/>
      <w:marTop w:val="360"/>
      <w:marBottom w:val="360"/>
      <w:divBdr>
        <w:top w:val="none" w:sz="0" w:space="0" w:color="auto"/>
        <w:left w:val="none" w:sz="0" w:space="0" w:color="auto"/>
        <w:bottom w:val="none" w:sz="0" w:space="0" w:color="auto"/>
        <w:right w:val="none" w:sz="0" w:space="0" w:color="auto"/>
      </w:divBdr>
    </w:div>
    <w:div w:id="1056048812">
      <w:bodyDiv w:val="1"/>
      <w:marLeft w:val="360"/>
      <w:marRight w:val="360"/>
      <w:marTop w:val="360"/>
      <w:marBottom w:val="360"/>
      <w:divBdr>
        <w:top w:val="none" w:sz="0" w:space="0" w:color="auto"/>
        <w:left w:val="none" w:sz="0" w:space="0" w:color="auto"/>
        <w:bottom w:val="none" w:sz="0" w:space="0" w:color="auto"/>
        <w:right w:val="none" w:sz="0" w:space="0" w:color="auto"/>
      </w:divBdr>
    </w:div>
    <w:div w:id="1058433912">
      <w:bodyDiv w:val="1"/>
      <w:marLeft w:val="0"/>
      <w:marRight w:val="0"/>
      <w:marTop w:val="0"/>
      <w:marBottom w:val="0"/>
      <w:divBdr>
        <w:top w:val="none" w:sz="0" w:space="0" w:color="auto"/>
        <w:left w:val="none" w:sz="0" w:space="0" w:color="auto"/>
        <w:bottom w:val="none" w:sz="0" w:space="0" w:color="auto"/>
        <w:right w:val="none" w:sz="0" w:space="0" w:color="auto"/>
      </w:divBdr>
    </w:div>
    <w:div w:id="1082600464">
      <w:bodyDiv w:val="1"/>
      <w:marLeft w:val="360"/>
      <w:marRight w:val="360"/>
      <w:marTop w:val="360"/>
      <w:marBottom w:val="360"/>
      <w:divBdr>
        <w:top w:val="none" w:sz="0" w:space="0" w:color="auto"/>
        <w:left w:val="none" w:sz="0" w:space="0" w:color="auto"/>
        <w:bottom w:val="none" w:sz="0" w:space="0" w:color="auto"/>
        <w:right w:val="none" w:sz="0" w:space="0" w:color="auto"/>
      </w:divBdr>
    </w:div>
    <w:div w:id="1229606370">
      <w:bodyDiv w:val="1"/>
      <w:marLeft w:val="360"/>
      <w:marRight w:val="360"/>
      <w:marTop w:val="360"/>
      <w:marBottom w:val="360"/>
      <w:divBdr>
        <w:top w:val="none" w:sz="0" w:space="0" w:color="auto"/>
        <w:left w:val="none" w:sz="0" w:space="0" w:color="auto"/>
        <w:bottom w:val="none" w:sz="0" w:space="0" w:color="auto"/>
        <w:right w:val="none" w:sz="0" w:space="0" w:color="auto"/>
      </w:divBdr>
    </w:div>
    <w:div w:id="1233269193">
      <w:bodyDiv w:val="1"/>
      <w:marLeft w:val="0"/>
      <w:marRight w:val="0"/>
      <w:marTop w:val="0"/>
      <w:marBottom w:val="0"/>
      <w:divBdr>
        <w:top w:val="none" w:sz="0" w:space="0" w:color="auto"/>
        <w:left w:val="none" w:sz="0" w:space="0" w:color="auto"/>
        <w:bottom w:val="none" w:sz="0" w:space="0" w:color="auto"/>
        <w:right w:val="none" w:sz="0" w:space="0" w:color="auto"/>
      </w:divBdr>
    </w:div>
    <w:div w:id="1258753309">
      <w:bodyDiv w:val="1"/>
      <w:marLeft w:val="360"/>
      <w:marRight w:val="360"/>
      <w:marTop w:val="360"/>
      <w:marBottom w:val="360"/>
      <w:divBdr>
        <w:top w:val="none" w:sz="0" w:space="0" w:color="auto"/>
        <w:left w:val="none" w:sz="0" w:space="0" w:color="auto"/>
        <w:bottom w:val="none" w:sz="0" w:space="0" w:color="auto"/>
        <w:right w:val="none" w:sz="0" w:space="0" w:color="auto"/>
      </w:divBdr>
    </w:div>
    <w:div w:id="1323314016">
      <w:bodyDiv w:val="1"/>
      <w:marLeft w:val="0"/>
      <w:marRight w:val="0"/>
      <w:marTop w:val="0"/>
      <w:marBottom w:val="0"/>
      <w:divBdr>
        <w:top w:val="none" w:sz="0" w:space="0" w:color="auto"/>
        <w:left w:val="none" w:sz="0" w:space="0" w:color="auto"/>
        <w:bottom w:val="none" w:sz="0" w:space="0" w:color="auto"/>
        <w:right w:val="none" w:sz="0" w:space="0" w:color="auto"/>
      </w:divBdr>
    </w:div>
    <w:div w:id="1325011018">
      <w:bodyDiv w:val="1"/>
      <w:marLeft w:val="360"/>
      <w:marRight w:val="360"/>
      <w:marTop w:val="360"/>
      <w:marBottom w:val="360"/>
      <w:divBdr>
        <w:top w:val="none" w:sz="0" w:space="0" w:color="auto"/>
        <w:left w:val="none" w:sz="0" w:space="0" w:color="auto"/>
        <w:bottom w:val="none" w:sz="0" w:space="0" w:color="auto"/>
        <w:right w:val="none" w:sz="0" w:space="0" w:color="auto"/>
      </w:divBdr>
    </w:div>
    <w:div w:id="1347174803">
      <w:bodyDiv w:val="1"/>
      <w:marLeft w:val="360"/>
      <w:marRight w:val="360"/>
      <w:marTop w:val="360"/>
      <w:marBottom w:val="360"/>
      <w:divBdr>
        <w:top w:val="none" w:sz="0" w:space="0" w:color="auto"/>
        <w:left w:val="none" w:sz="0" w:space="0" w:color="auto"/>
        <w:bottom w:val="none" w:sz="0" w:space="0" w:color="auto"/>
        <w:right w:val="none" w:sz="0" w:space="0" w:color="auto"/>
      </w:divBdr>
    </w:div>
    <w:div w:id="1350909131">
      <w:bodyDiv w:val="1"/>
      <w:marLeft w:val="360"/>
      <w:marRight w:val="360"/>
      <w:marTop w:val="360"/>
      <w:marBottom w:val="360"/>
      <w:divBdr>
        <w:top w:val="none" w:sz="0" w:space="0" w:color="auto"/>
        <w:left w:val="none" w:sz="0" w:space="0" w:color="auto"/>
        <w:bottom w:val="none" w:sz="0" w:space="0" w:color="auto"/>
        <w:right w:val="none" w:sz="0" w:space="0" w:color="auto"/>
      </w:divBdr>
    </w:div>
    <w:div w:id="1378894201">
      <w:bodyDiv w:val="1"/>
      <w:marLeft w:val="360"/>
      <w:marRight w:val="360"/>
      <w:marTop w:val="360"/>
      <w:marBottom w:val="360"/>
      <w:divBdr>
        <w:top w:val="none" w:sz="0" w:space="0" w:color="auto"/>
        <w:left w:val="none" w:sz="0" w:space="0" w:color="auto"/>
        <w:bottom w:val="none" w:sz="0" w:space="0" w:color="auto"/>
        <w:right w:val="none" w:sz="0" w:space="0" w:color="auto"/>
      </w:divBdr>
    </w:div>
    <w:div w:id="1407146756">
      <w:bodyDiv w:val="1"/>
      <w:marLeft w:val="360"/>
      <w:marRight w:val="360"/>
      <w:marTop w:val="360"/>
      <w:marBottom w:val="360"/>
      <w:divBdr>
        <w:top w:val="none" w:sz="0" w:space="0" w:color="auto"/>
        <w:left w:val="none" w:sz="0" w:space="0" w:color="auto"/>
        <w:bottom w:val="none" w:sz="0" w:space="0" w:color="auto"/>
        <w:right w:val="none" w:sz="0" w:space="0" w:color="auto"/>
      </w:divBdr>
    </w:div>
    <w:div w:id="1454404309">
      <w:bodyDiv w:val="1"/>
      <w:marLeft w:val="360"/>
      <w:marRight w:val="360"/>
      <w:marTop w:val="360"/>
      <w:marBottom w:val="360"/>
      <w:divBdr>
        <w:top w:val="none" w:sz="0" w:space="0" w:color="auto"/>
        <w:left w:val="none" w:sz="0" w:space="0" w:color="auto"/>
        <w:bottom w:val="none" w:sz="0" w:space="0" w:color="auto"/>
        <w:right w:val="none" w:sz="0" w:space="0" w:color="auto"/>
      </w:divBdr>
    </w:div>
    <w:div w:id="1545824774">
      <w:bodyDiv w:val="1"/>
      <w:marLeft w:val="360"/>
      <w:marRight w:val="360"/>
      <w:marTop w:val="360"/>
      <w:marBottom w:val="360"/>
      <w:divBdr>
        <w:top w:val="none" w:sz="0" w:space="0" w:color="auto"/>
        <w:left w:val="none" w:sz="0" w:space="0" w:color="auto"/>
        <w:bottom w:val="none" w:sz="0" w:space="0" w:color="auto"/>
        <w:right w:val="none" w:sz="0" w:space="0" w:color="auto"/>
      </w:divBdr>
    </w:div>
    <w:div w:id="1581672717">
      <w:bodyDiv w:val="1"/>
      <w:marLeft w:val="360"/>
      <w:marRight w:val="360"/>
      <w:marTop w:val="360"/>
      <w:marBottom w:val="360"/>
      <w:divBdr>
        <w:top w:val="none" w:sz="0" w:space="0" w:color="auto"/>
        <w:left w:val="none" w:sz="0" w:space="0" w:color="auto"/>
        <w:bottom w:val="none" w:sz="0" w:space="0" w:color="auto"/>
        <w:right w:val="none" w:sz="0" w:space="0" w:color="auto"/>
      </w:divBdr>
    </w:div>
    <w:div w:id="1623733630">
      <w:bodyDiv w:val="1"/>
      <w:marLeft w:val="360"/>
      <w:marRight w:val="360"/>
      <w:marTop w:val="360"/>
      <w:marBottom w:val="360"/>
      <w:divBdr>
        <w:top w:val="none" w:sz="0" w:space="0" w:color="auto"/>
        <w:left w:val="none" w:sz="0" w:space="0" w:color="auto"/>
        <w:bottom w:val="none" w:sz="0" w:space="0" w:color="auto"/>
        <w:right w:val="none" w:sz="0" w:space="0" w:color="auto"/>
      </w:divBdr>
    </w:div>
    <w:div w:id="1634099066">
      <w:bodyDiv w:val="1"/>
      <w:marLeft w:val="360"/>
      <w:marRight w:val="360"/>
      <w:marTop w:val="360"/>
      <w:marBottom w:val="360"/>
      <w:divBdr>
        <w:top w:val="none" w:sz="0" w:space="0" w:color="auto"/>
        <w:left w:val="none" w:sz="0" w:space="0" w:color="auto"/>
        <w:bottom w:val="none" w:sz="0" w:space="0" w:color="auto"/>
        <w:right w:val="none" w:sz="0" w:space="0" w:color="auto"/>
      </w:divBdr>
    </w:div>
    <w:div w:id="1658459659">
      <w:bodyDiv w:val="1"/>
      <w:marLeft w:val="0"/>
      <w:marRight w:val="0"/>
      <w:marTop w:val="0"/>
      <w:marBottom w:val="0"/>
      <w:divBdr>
        <w:top w:val="none" w:sz="0" w:space="0" w:color="auto"/>
        <w:left w:val="none" w:sz="0" w:space="0" w:color="auto"/>
        <w:bottom w:val="none" w:sz="0" w:space="0" w:color="auto"/>
        <w:right w:val="none" w:sz="0" w:space="0" w:color="auto"/>
      </w:divBdr>
    </w:div>
    <w:div w:id="1678801984">
      <w:bodyDiv w:val="1"/>
      <w:marLeft w:val="360"/>
      <w:marRight w:val="360"/>
      <w:marTop w:val="360"/>
      <w:marBottom w:val="360"/>
      <w:divBdr>
        <w:top w:val="none" w:sz="0" w:space="0" w:color="auto"/>
        <w:left w:val="none" w:sz="0" w:space="0" w:color="auto"/>
        <w:bottom w:val="none" w:sz="0" w:space="0" w:color="auto"/>
        <w:right w:val="none" w:sz="0" w:space="0" w:color="auto"/>
      </w:divBdr>
    </w:div>
    <w:div w:id="1758091709">
      <w:bodyDiv w:val="1"/>
      <w:marLeft w:val="360"/>
      <w:marRight w:val="360"/>
      <w:marTop w:val="360"/>
      <w:marBottom w:val="360"/>
      <w:divBdr>
        <w:top w:val="none" w:sz="0" w:space="0" w:color="auto"/>
        <w:left w:val="none" w:sz="0" w:space="0" w:color="auto"/>
        <w:bottom w:val="none" w:sz="0" w:space="0" w:color="auto"/>
        <w:right w:val="none" w:sz="0" w:space="0" w:color="auto"/>
      </w:divBdr>
    </w:div>
    <w:div w:id="1865053177">
      <w:bodyDiv w:val="1"/>
      <w:marLeft w:val="360"/>
      <w:marRight w:val="360"/>
      <w:marTop w:val="360"/>
      <w:marBottom w:val="360"/>
      <w:divBdr>
        <w:top w:val="none" w:sz="0" w:space="0" w:color="auto"/>
        <w:left w:val="none" w:sz="0" w:space="0" w:color="auto"/>
        <w:bottom w:val="none" w:sz="0" w:space="0" w:color="auto"/>
        <w:right w:val="none" w:sz="0" w:space="0" w:color="auto"/>
      </w:divBdr>
    </w:div>
    <w:div w:id="1891502282">
      <w:bodyDiv w:val="1"/>
      <w:marLeft w:val="360"/>
      <w:marRight w:val="360"/>
      <w:marTop w:val="360"/>
      <w:marBottom w:val="360"/>
      <w:divBdr>
        <w:top w:val="none" w:sz="0" w:space="0" w:color="auto"/>
        <w:left w:val="none" w:sz="0" w:space="0" w:color="auto"/>
        <w:bottom w:val="none" w:sz="0" w:space="0" w:color="auto"/>
        <w:right w:val="none" w:sz="0" w:space="0" w:color="auto"/>
      </w:divBdr>
    </w:div>
    <w:div w:id="1905140589">
      <w:bodyDiv w:val="1"/>
      <w:marLeft w:val="360"/>
      <w:marRight w:val="360"/>
      <w:marTop w:val="360"/>
      <w:marBottom w:val="360"/>
      <w:divBdr>
        <w:top w:val="none" w:sz="0" w:space="0" w:color="auto"/>
        <w:left w:val="none" w:sz="0" w:space="0" w:color="auto"/>
        <w:bottom w:val="none" w:sz="0" w:space="0" w:color="auto"/>
        <w:right w:val="none" w:sz="0" w:space="0" w:color="auto"/>
      </w:divBdr>
    </w:div>
    <w:div w:id="1921713221">
      <w:bodyDiv w:val="1"/>
      <w:marLeft w:val="360"/>
      <w:marRight w:val="360"/>
      <w:marTop w:val="360"/>
      <w:marBottom w:val="360"/>
      <w:divBdr>
        <w:top w:val="none" w:sz="0" w:space="0" w:color="auto"/>
        <w:left w:val="none" w:sz="0" w:space="0" w:color="auto"/>
        <w:bottom w:val="none" w:sz="0" w:space="0" w:color="auto"/>
        <w:right w:val="none" w:sz="0" w:space="0" w:color="auto"/>
      </w:divBdr>
    </w:div>
    <w:div w:id="1974283651">
      <w:bodyDiv w:val="1"/>
      <w:marLeft w:val="360"/>
      <w:marRight w:val="360"/>
      <w:marTop w:val="360"/>
      <w:marBottom w:val="360"/>
      <w:divBdr>
        <w:top w:val="none" w:sz="0" w:space="0" w:color="auto"/>
        <w:left w:val="none" w:sz="0" w:space="0" w:color="auto"/>
        <w:bottom w:val="none" w:sz="0" w:space="0" w:color="auto"/>
        <w:right w:val="none" w:sz="0" w:space="0" w:color="auto"/>
      </w:divBdr>
    </w:div>
    <w:div w:id="2011835842">
      <w:bodyDiv w:val="1"/>
      <w:marLeft w:val="360"/>
      <w:marRight w:val="360"/>
      <w:marTop w:val="360"/>
      <w:marBottom w:val="360"/>
      <w:divBdr>
        <w:top w:val="none" w:sz="0" w:space="0" w:color="auto"/>
        <w:left w:val="none" w:sz="0" w:space="0" w:color="auto"/>
        <w:bottom w:val="none" w:sz="0" w:space="0" w:color="auto"/>
        <w:right w:val="none" w:sz="0" w:space="0" w:color="auto"/>
      </w:divBdr>
    </w:div>
    <w:div w:id="2020885683">
      <w:bodyDiv w:val="1"/>
      <w:marLeft w:val="360"/>
      <w:marRight w:val="360"/>
      <w:marTop w:val="360"/>
      <w:marBottom w:val="360"/>
      <w:divBdr>
        <w:top w:val="none" w:sz="0" w:space="0" w:color="auto"/>
        <w:left w:val="none" w:sz="0" w:space="0" w:color="auto"/>
        <w:bottom w:val="none" w:sz="0" w:space="0" w:color="auto"/>
        <w:right w:val="none" w:sz="0" w:space="0" w:color="auto"/>
      </w:divBdr>
    </w:div>
    <w:div w:id="2061514460">
      <w:bodyDiv w:val="1"/>
      <w:marLeft w:val="0"/>
      <w:marRight w:val="0"/>
      <w:marTop w:val="0"/>
      <w:marBottom w:val="0"/>
      <w:divBdr>
        <w:top w:val="none" w:sz="0" w:space="0" w:color="auto"/>
        <w:left w:val="none" w:sz="0" w:space="0" w:color="auto"/>
        <w:bottom w:val="none" w:sz="0" w:space="0" w:color="auto"/>
        <w:right w:val="none" w:sz="0" w:space="0" w:color="auto"/>
      </w:divBdr>
    </w:div>
    <w:div w:id="20925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3973</Words>
  <Characters>23630</Characters>
  <Application>Microsoft Office Word</Application>
  <DocSecurity>0</DocSecurity>
  <Lines>1010</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Madhumeeta Dhar</dc:creator>
  <cp:keywords/>
  <dc:description/>
  <cp:lastModifiedBy>Madhumeeta Dhar</cp:lastModifiedBy>
  <cp:revision>2</cp:revision>
  <dcterms:created xsi:type="dcterms:W3CDTF">2025-06-15T15:02:00Z</dcterms:created>
  <dcterms:modified xsi:type="dcterms:W3CDTF">2025-06-15T15:02:00Z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d49b0efe-cefb-48e4-87b7-4d4c512b0ef6</vt:lpwstr>
  </property>
</Properties>
</file>