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518E" w14:textId="77777777" w:rsidR="00801469" w:rsidRPr="00FE3899" w:rsidRDefault="00801469">
      <w:pPr>
        <w:rPr>
          <w:rFonts w:ascii="Arial" w:hAnsi="Arial" w:cs="Arial"/>
          <w:lang w:val="en-US"/>
        </w:rPr>
      </w:pPr>
    </w:p>
    <w:p w14:paraId="5DBA76D1" w14:textId="381D395A" w:rsidR="001D587E" w:rsidRPr="00FE3899" w:rsidRDefault="00431113">
      <w:pPr>
        <w:rPr>
          <w:rFonts w:ascii="Arial" w:hAnsi="Arial" w:cs="Arial"/>
          <w:b/>
          <w:bCs/>
        </w:rPr>
      </w:pPr>
      <w:r w:rsidRPr="00FE3899">
        <w:rPr>
          <w:rFonts w:ascii="Arial" w:hAnsi="Arial" w:cs="Arial"/>
          <w:b/>
          <w:bCs/>
        </w:rPr>
        <w:t>The Uncharted Chalkboard: Why Education Graduates Choose Paths Beyond Teaching</w:t>
      </w:r>
    </w:p>
    <w:p w14:paraId="0A1A1D07" w14:textId="07F7C2B6" w:rsidR="000F6970" w:rsidRPr="00FE3899" w:rsidRDefault="000F6970" w:rsidP="000F6970">
      <w:pPr>
        <w:spacing w:after="0"/>
        <w:jc w:val="center"/>
        <w:rPr>
          <w:rFonts w:ascii="Arial" w:hAnsi="Arial" w:cs="Arial"/>
        </w:rPr>
      </w:pPr>
      <w:r w:rsidRPr="00FE3899">
        <w:rPr>
          <w:rFonts w:ascii="Arial" w:hAnsi="Arial" w:cs="Arial"/>
        </w:rPr>
        <w:t/>
      </w:r>
    </w:p>
    <w:p w14:paraId="5299B1CB" w14:textId="2928D45D" w:rsidR="000F6970" w:rsidRDefault="000F6970" w:rsidP="000F6970">
      <w:pPr>
        <w:spacing w:after="0"/>
        <w:jc w:val="center"/>
        <w:rPr>
          <w:rFonts w:ascii="Arial" w:hAnsi="Arial" w:cs="Arial"/>
        </w:rPr>
      </w:pPr>
      <w:r w:rsidRPr="00FE3899">
        <w:rPr>
          <w:rFonts w:ascii="Arial" w:hAnsi="Arial" w:cs="Arial"/>
        </w:rPr>
        <w:t/>
      </w:r>
    </w:p>
    <w:p w14:paraId="54CD5E50" w14:textId="519D10EE" w:rsidR="00623AE2" w:rsidRPr="00FE3899" w:rsidRDefault="00623AE2" w:rsidP="000F6970">
      <w:pPr>
        <w:spacing w:after="0"/>
        <w:jc w:val="center"/>
        <w:rPr>
          <w:rFonts w:ascii="Arial" w:hAnsi="Arial" w:cs="Arial"/>
        </w:rPr>
      </w:pPr>
      <w:r>
        <w:rPr>
          <w:rFonts w:ascii="Arial" w:hAnsi="Arial" w:cs="Arial"/>
        </w:rPr>
        <w:t/>
      </w:r>
    </w:p>
    <w:p w14:paraId="381119A0" w14:textId="0D2DAC1C" w:rsidR="000F6970" w:rsidRPr="00FE3899" w:rsidRDefault="00FE3899" w:rsidP="000F6970">
      <w:pPr>
        <w:spacing w:after="0"/>
        <w:jc w:val="center"/>
        <w:rPr>
          <w:rFonts w:ascii="Arial" w:hAnsi="Arial" w:cs="Arial"/>
          <w:lang w:val="en-US"/>
        </w:rPr>
      </w:pPr>
      <w:r>
        <w:rPr>
          <w:rFonts w:ascii="Arial" w:hAnsi="Arial" w:cs="Arial"/>
        </w:rPr>
        <w:t/>
      </w:r>
      <w:r w:rsidR="000F6970" w:rsidRPr="00FE3899">
        <w:rPr>
          <w:rFonts w:ascii="Arial" w:hAnsi="Arial" w:cs="Arial"/>
        </w:rPr>
        <w:t/>
      </w:r>
    </w:p>
    <w:p w14:paraId="56E80A29" w14:textId="48A4879D" w:rsidR="001D587E" w:rsidRDefault="001D587E">
      <w:pPr>
        <w:rPr>
          <w:rFonts w:ascii="Arial" w:hAnsi="Arial" w:cs="Arial"/>
          <w:lang w:val="en-US"/>
        </w:rPr>
      </w:pPr>
    </w:p>
    <w:p w14:paraId="040D4DCD" w14:textId="5DDEBE90" w:rsidR="00FE3899" w:rsidRPr="00F836CA" w:rsidRDefault="00FE3899" w:rsidP="00FE3899">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r w:rsidRPr="00F836CA">
        <w:rPr>
          <w:rFonts w:ascii="Times New Roman" w:eastAsia="Times New Roman" w:hAnsi="Times New Roman" w:cs="Times New Roman"/>
          <w:b/>
          <w:bCs/>
          <w:kern w:val="0"/>
          <w:lang w:eastAsia="en-PH"/>
          <w14:ligatures w14:val="none"/>
        </w:rPr>
        <w:t>ABSTRACT</w:t>
      </w:r>
    </w:p>
    <w:p w14:paraId="1F19FEE8" w14:textId="512DC06A" w:rsidR="00FE3899" w:rsidRDefault="00FE3899">
      <w:pPr>
        <w:rPr>
          <w:rFonts w:ascii="Arial" w:hAnsi="Arial" w:cs="Arial"/>
          <w:b/>
          <w:bCs/>
          <w:lang w:val="en-US"/>
        </w:rPr>
      </w:pPr>
      <w:r>
        <w:rPr>
          <w:rFonts w:ascii="Arial" w:hAnsi="Arial" w:cs="Arial"/>
          <w:b/>
          <w:bCs/>
          <w:noProof/>
          <w:lang w:val="en-US"/>
        </w:rPr>
        <mc:AlternateContent>
          <mc:Choice Requires="wps">
            <w:drawing>
              <wp:anchor distT="0" distB="0" distL="114300" distR="114300" simplePos="0" relativeHeight="251659264" behindDoc="0" locked="0" layoutInCell="1" allowOverlap="1" wp14:anchorId="633B7959" wp14:editId="17440060">
                <wp:simplePos x="0" y="0"/>
                <wp:positionH relativeFrom="column">
                  <wp:posOffset>-82248</wp:posOffset>
                </wp:positionH>
                <wp:positionV relativeFrom="paragraph">
                  <wp:posOffset>30510</wp:posOffset>
                </wp:positionV>
                <wp:extent cx="6507238" cy="3023810"/>
                <wp:effectExtent l="0" t="0" r="27305" b="24765"/>
                <wp:wrapNone/>
                <wp:docPr id="443483177" name="Rectangle 3"/>
                <wp:cNvGraphicFramePr/>
                <a:graphic xmlns:a="http://schemas.openxmlformats.org/drawingml/2006/main">
                  <a:graphicData uri="http://schemas.microsoft.com/office/word/2010/wordprocessingShape">
                    <wps:wsp>
                      <wps:cNvSpPr/>
                      <wps:spPr>
                        <a:xfrm>
                          <a:off x="0" y="0"/>
                          <a:ext cx="6507238" cy="3023810"/>
                        </a:xfrm>
                        <a:prstGeom prst="rect">
                          <a:avLst/>
                        </a:prstGeom>
                      </wps:spPr>
                      <wps:style>
                        <a:lnRef idx="2">
                          <a:schemeClr val="dk1"/>
                        </a:lnRef>
                        <a:fillRef idx="1">
                          <a:schemeClr val="lt1"/>
                        </a:fillRef>
                        <a:effectRef idx="0">
                          <a:schemeClr val="dk1"/>
                        </a:effectRef>
                        <a:fontRef idx="minor">
                          <a:schemeClr val="dk1"/>
                        </a:fontRef>
                      </wps:style>
                      <wps:txbx>
                        <w:txbxContent>
                          <w:p w14:paraId="0DF5AF63" w14:textId="429A4915"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Aims:</w:t>
                            </w:r>
                            <w:r w:rsidRPr="00F836CA">
                              <w:rPr>
                                <w:rFonts w:ascii="Times New Roman" w:eastAsia="Times New Roman" w:hAnsi="Times New Roman" w:cs="Times New Roman"/>
                                <w:kern w:val="0"/>
                                <w:sz w:val="18"/>
                                <w:szCs w:val="18"/>
                                <w:lang w:eastAsia="en-PH"/>
                                <w14:ligatures w14:val="none"/>
                              </w:rPr>
                              <w:t>This</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aimed to explore the lived experiences of education graduates who are not engaged in the teaching profession and to identify the factors influencing their decision to pursue non-teaching career pathways.</w:t>
                            </w:r>
                          </w:p>
                          <w:p w14:paraId="255620DD" w14:textId="33F27EB3" w:rsidR="00FE3899" w:rsidRPr="00F836CA" w:rsidRDefault="00FE3899" w:rsidP="00F836CA">
                            <w:pPr>
                              <w:spacing w:after="0" w:line="240" w:lineRule="auto"/>
                              <w:jc w:val="both"/>
                              <w:rPr>
                                <w:rFonts w:ascii="Times New Roman" w:eastAsia="Times New Roman" w:hAnsi="Times New Roman" w:cs="Times New Roman"/>
                                <w:b/>
                                <w:bCs/>
                                <w:kern w:val="0"/>
                                <w:sz w:val="18"/>
                                <w:szCs w:val="18"/>
                                <w:lang w:eastAsia="en-PH"/>
                                <w14:ligatures w14:val="none"/>
                              </w:rPr>
                            </w:pPr>
                            <w:r w:rsidRPr="00F836CA">
                              <w:rPr>
                                <w:rFonts w:ascii="Times New Roman" w:eastAsia="Times New Roman" w:hAnsi="Times New Roman" w:cs="Times New Roman"/>
                                <w:b/>
                                <w:bCs/>
                                <w:kern w:val="0"/>
                                <w:sz w:val="18"/>
                                <w:szCs w:val="18"/>
                                <w:lang w:eastAsia="en-PH"/>
                                <w14:ligatures w14:val="none"/>
                              </w:rPr>
                              <w:t xml:space="preserve">Study </w:t>
                            </w:r>
                            <w:proofErr w:type="spellStart"/>
                            <w:proofErr w:type="gramStart"/>
                            <w:r w:rsidRPr="00F836CA">
                              <w:rPr>
                                <w:rFonts w:ascii="Times New Roman" w:eastAsia="Times New Roman" w:hAnsi="Times New Roman" w:cs="Times New Roman"/>
                                <w:b/>
                                <w:bCs/>
                                <w:kern w:val="0"/>
                                <w:sz w:val="18"/>
                                <w:szCs w:val="18"/>
                                <w:lang w:eastAsia="en-PH"/>
                                <w14:ligatures w14:val="none"/>
                              </w:rPr>
                              <w:t>Design:</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employed a qualitative phenomenological research design to capture and interpret the shared lived experiences of education graduates who did not enter the teaching profession.</w:t>
                            </w:r>
                          </w:p>
                          <w:p w14:paraId="74378517" w14:textId="31647654" w:rsidR="00FE3899" w:rsidRPr="00F836CA" w:rsidRDefault="00FE3899" w:rsidP="00F836CA">
                            <w:pPr>
                              <w:spacing w:after="0" w:line="240" w:lineRule="auto"/>
                              <w:jc w:val="both"/>
                              <w:rPr>
                                <w:rFonts w:ascii="Times New Roman" w:eastAsia="Times New Roman" w:hAnsi="Times New Roman" w:cs="Times New Roman"/>
                                <w:b/>
                                <w:bCs/>
                                <w:kern w:val="0"/>
                                <w:sz w:val="18"/>
                                <w:szCs w:val="18"/>
                                <w:lang w:eastAsia="en-PH"/>
                                <w14:ligatures w14:val="none"/>
                              </w:rPr>
                            </w:pPr>
                            <w:r w:rsidRPr="00F836CA">
                              <w:rPr>
                                <w:rFonts w:ascii="Times New Roman" w:eastAsia="Times New Roman" w:hAnsi="Times New Roman" w:cs="Times New Roman"/>
                                <w:b/>
                                <w:bCs/>
                                <w:kern w:val="0"/>
                                <w:sz w:val="18"/>
                                <w:szCs w:val="18"/>
                                <w:lang w:eastAsia="en-PH"/>
                                <w14:ligatures w14:val="none"/>
                              </w:rPr>
                              <w:t xml:space="preserve">Place and Duration of </w:t>
                            </w:r>
                            <w:proofErr w:type="spellStart"/>
                            <w:proofErr w:type="gramStart"/>
                            <w:r w:rsidRPr="00F836CA">
                              <w:rPr>
                                <w:rFonts w:ascii="Times New Roman" w:eastAsia="Times New Roman" w:hAnsi="Times New Roman" w:cs="Times New Roman"/>
                                <w:b/>
                                <w:bCs/>
                                <w:kern w:val="0"/>
                                <w:sz w:val="18"/>
                                <w:szCs w:val="18"/>
                                <w:lang w:eastAsia="en-PH"/>
                                <w14:ligatures w14:val="none"/>
                              </w:rPr>
                              <w:t>Study:</w:t>
                            </w:r>
                            <w:r w:rsidR="00F836CA" w:rsidRPr="00F836CA">
                              <w:rPr>
                                <w:rFonts w:ascii="Times New Roman" w:eastAsia="Times New Roman" w:hAnsi="Times New Roman" w:cs="Times New Roman"/>
                                <w:kern w:val="0"/>
                                <w:sz w:val="18"/>
                                <w:szCs w:val="18"/>
                                <w:lang w:eastAsia="en-PH"/>
                                <w14:ligatures w14:val="none"/>
                              </w:rPr>
                              <w:t>The</w:t>
                            </w:r>
                            <w:proofErr w:type="spellEnd"/>
                            <w:proofErr w:type="gramEnd"/>
                            <w:r w:rsidR="00F836CA" w:rsidRPr="00F836CA">
                              <w:rPr>
                                <w:rFonts w:ascii="Times New Roman" w:eastAsia="Times New Roman" w:hAnsi="Times New Roman" w:cs="Times New Roman"/>
                                <w:kern w:val="0"/>
                                <w:sz w:val="18"/>
                                <w:szCs w:val="18"/>
                                <w:lang w:eastAsia="en-PH"/>
                                <w14:ligatures w14:val="none"/>
                              </w:rPr>
                              <w:t xml:space="preserve"> participants of this study consist of Licensed Professional Teachers who are graduates of a Philippine State University in Bohol and are currently employed in non-teaching positions</w:t>
                            </w:r>
                            <w:r w:rsidRPr="00F836CA">
                              <w:rPr>
                                <w:rFonts w:ascii="Times New Roman" w:eastAsia="Times New Roman" w:hAnsi="Times New Roman" w:cs="Times New Roman"/>
                                <w:kern w:val="0"/>
                                <w:sz w:val="18"/>
                                <w:szCs w:val="18"/>
                                <w:lang w:eastAsia="en-PH"/>
                                <w14:ligatures w14:val="none"/>
                              </w:rPr>
                              <w:t>. Data collection and analysis were carried out over a defined research period within the academic year 202</w:t>
                            </w:r>
                            <w:r w:rsidR="00F836CA" w:rsidRPr="00F836CA">
                              <w:rPr>
                                <w:rFonts w:ascii="Times New Roman" w:eastAsia="Times New Roman" w:hAnsi="Times New Roman" w:cs="Times New Roman"/>
                                <w:kern w:val="0"/>
                                <w:sz w:val="18"/>
                                <w:szCs w:val="18"/>
                                <w:lang w:eastAsia="en-PH"/>
                                <w14:ligatures w14:val="none"/>
                              </w:rPr>
                              <w:t>4</w:t>
                            </w:r>
                            <w:r w:rsidRPr="00F836CA">
                              <w:rPr>
                                <w:rFonts w:ascii="Times New Roman" w:eastAsia="Times New Roman" w:hAnsi="Times New Roman" w:cs="Times New Roman"/>
                                <w:kern w:val="0"/>
                                <w:sz w:val="18"/>
                                <w:szCs w:val="18"/>
                                <w:lang w:eastAsia="en-PH"/>
                                <w14:ligatures w14:val="none"/>
                              </w:rPr>
                              <w:t>–202</w:t>
                            </w:r>
                            <w:r w:rsidR="00F836CA" w:rsidRPr="00F836CA">
                              <w:rPr>
                                <w:rFonts w:ascii="Times New Roman" w:eastAsia="Times New Roman" w:hAnsi="Times New Roman" w:cs="Times New Roman"/>
                                <w:kern w:val="0"/>
                                <w:sz w:val="18"/>
                                <w:szCs w:val="18"/>
                                <w:lang w:eastAsia="en-PH"/>
                                <w14:ligatures w14:val="none"/>
                              </w:rPr>
                              <w:t>5</w:t>
                            </w:r>
                            <w:r w:rsidRPr="00F836CA">
                              <w:rPr>
                                <w:rFonts w:ascii="Times New Roman" w:eastAsia="Times New Roman" w:hAnsi="Times New Roman" w:cs="Times New Roman"/>
                                <w:kern w:val="0"/>
                                <w:sz w:val="18"/>
                                <w:szCs w:val="18"/>
                                <w:lang w:eastAsia="en-PH"/>
                                <w14:ligatures w14:val="none"/>
                              </w:rPr>
                              <w:t>.</w:t>
                            </w:r>
                          </w:p>
                          <w:p w14:paraId="10F9B626" w14:textId="2D654D83"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Methodology:</w:t>
                            </w:r>
                            <w:r w:rsidRPr="00F836CA">
                              <w:rPr>
                                <w:rFonts w:ascii="Times New Roman" w:eastAsia="Times New Roman" w:hAnsi="Times New Roman" w:cs="Times New Roman"/>
                                <w:kern w:val="0"/>
                                <w:sz w:val="18"/>
                                <w:szCs w:val="18"/>
                                <w:lang w:eastAsia="en-PH"/>
                                <w14:ligatures w14:val="none"/>
                              </w:rPr>
                              <w:t>A</w:t>
                            </w:r>
                            <w:proofErr w:type="spellEnd"/>
                            <w:proofErr w:type="gramEnd"/>
                            <w:r w:rsidRPr="00F836CA">
                              <w:rPr>
                                <w:rFonts w:ascii="Times New Roman" w:eastAsia="Times New Roman" w:hAnsi="Times New Roman" w:cs="Times New Roman"/>
                                <w:kern w:val="0"/>
                                <w:sz w:val="18"/>
                                <w:szCs w:val="18"/>
                                <w:lang w:eastAsia="en-PH"/>
                                <w14:ligatures w14:val="none"/>
                              </w:rPr>
                              <w:t xml:space="preserve"> total of eleven (11) education graduates who passed the Licensure Examination for Teachers but are currently employed in non-teaching occupations were selected using snowball sampling. Inclusion criteria required participants to hold a bachelor’s degree in education, be licensure examination passers, and have no formal teaching experience. Data were gathered through semi-structured in-depth interviews focusing on lived experiences and career decision factors. Interview transcripts were analyzed using Braun and Clarke’s six-phase thematic analysis. Ethical considerations were strictly observed, including informed consent, confidentiality, and anonymization of participant identities.</w:t>
                            </w:r>
                          </w:p>
                          <w:p w14:paraId="56CD8DC5" w14:textId="225B7255"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Results:</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findings revealed four major experiential themes: navigating new professional environments, utilizing transferable teaching skills, experiencing professional identity dissonance, and developing broader perspectives on career success. Four key influencing factors also emerged: financial instability and urgent income needs, lengthy and uncertain teaching recruitment processes, licensure examination outcomes affecting self-efficacy, and perceived opportunities for faster career advancement in non-teaching sectors. Overall, participants demonstrated successful adaptation to alternative careers despite initial emotional and professional challenges.</w:t>
                            </w:r>
                          </w:p>
                          <w:p w14:paraId="26C4A0B9" w14:textId="293DF541"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Conclusion:</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concludes that education graduates’ transition to non-teaching careers is driven by a combination of economic necessity, institutional barriers, and psychological factors rather than rejection of the teaching profession. Their experiences highlight the need for reforms in teacher recruitment systems, compensation structures, and professional support mechanisms to improve teacher retention and encourage more graduates to enter and remain in the teaching field.</w:t>
                            </w:r>
                          </w:p>
                          <w:p w14:paraId="6AB39198" w14:textId="77777777" w:rsidR="00FE3899" w:rsidRPr="00FE3899" w:rsidRDefault="00FE3899" w:rsidP="00FE3899">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B7959" id="Rectangle 3" o:spid="_x0000_s1026" style="position:absolute;margin-left:-6.5pt;margin-top:2.4pt;width:512.4pt;height:23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" fillcolor="white [3201]" strokecolor="black [3200]" strokeweight="1pt">
                <v:textbox>
                  <w:txbxContent>
                    <w:p w14:paraId="0DF5AF63" w14:textId="429A4915"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Aims:</w:t>
                      </w:r>
                      <w:r w:rsidRPr="00F836CA">
                        <w:rPr>
                          <w:rFonts w:ascii="Times New Roman" w:eastAsia="Times New Roman" w:hAnsi="Times New Roman" w:cs="Times New Roman"/>
                          <w:kern w:val="0"/>
                          <w:sz w:val="18"/>
                          <w:szCs w:val="18"/>
                          <w:lang w:eastAsia="en-PH"/>
                          <w14:ligatures w14:val="none"/>
                        </w:rPr>
                        <w:t>This</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aimed to explore the lived experiences of education graduates who are not engaged in the teaching profession and to identify the factors influencing their decision to pursue non-teaching career pathways.</w:t>
                      </w:r>
                    </w:p>
                    <w:p w14:paraId="255620DD" w14:textId="33F27EB3" w:rsidR="00FE3899" w:rsidRPr="00F836CA" w:rsidRDefault="00FE3899" w:rsidP="00F836CA">
                      <w:pPr>
                        <w:spacing w:after="0" w:line="240" w:lineRule="auto"/>
                        <w:jc w:val="both"/>
                        <w:rPr>
                          <w:rFonts w:ascii="Times New Roman" w:eastAsia="Times New Roman" w:hAnsi="Times New Roman" w:cs="Times New Roman"/>
                          <w:b/>
                          <w:bCs/>
                          <w:kern w:val="0"/>
                          <w:sz w:val="18"/>
                          <w:szCs w:val="18"/>
                          <w:lang w:eastAsia="en-PH"/>
                          <w14:ligatures w14:val="none"/>
                        </w:rPr>
                      </w:pPr>
                      <w:r w:rsidRPr="00F836CA">
                        <w:rPr>
                          <w:rFonts w:ascii="Times New Roman" w:eastAsia="Times New Roman" w:hAnsi="Times New Roman" w:cs="Times New Roman"/>
                          <w:b/>
                          <w:bCs/>
                          <w:kern w:val="0"/>
                          <w:sz w:val="18"/>
                          <w:szCs w:val="18"/>
                          <w:lang w:eastAsia="en-PH"/>
                          <w14:ligatures w14:val="none"/>
                        </w:rPr>
                        <w:t xml:space="preserve">Study </w:t>
                      </w:r>
                      <w:proofErr w:type="spellStart"/>
                      <w:proofErr w:type="gramStart"/>
                      <w:r w:rsidRPr="00F836CA">
                        <w:rPr>
                          <w:rFonts w:ascii="Times New Roman" w:eastAsia="Times New Roman" w:hAnsi="Times New Roman" w:cs="Times New Roman"/>
                          <w:b/>
                          <w:bCs/>
                          <w:kern w:val="0"/>
                          <w:sz w:val="18"/>
                          <w:szCs w:val="18"/>
                          <w:lang w:eastAsia="en-PH"/>
                          <w14:ligatures w14:val="none"/>
                        </w:rPr>
                        <w:t>Design:</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employed a qualitative phenomenological research design to capture and interpret the shared lived experiences of education graduates who did not enter the teaching profession.</w:t>
                      </w:r>
                    </w:p>
                    <w:p w14:paraId="74378517" w14:textId="31647654" w:rsidR="00FE3899" w:rsidRPr="00F836CA" w:rsidRDefault="00FE3899" w:rsidP="00F836CA">
                      <w:pPr>
                        <w:spacing w:after="0" w:line="240" w:lineRule="auto"/>
                        <w:jc w:val="both"/>
                        <w:rPr>
                          <w:rFonts w:ascii="Times New Roman" w:eastAsia="Times New Roman" w:hAnsi="Times New Roman" w:cs="Times New Roman"/>
                          <w:b/>
                          <w:bCs/>
                          <w:kern w:val="0"/>
                          <w:sz w:val="18"/>
                          <w:szCs w:val="18"/>
                          <w:lang w:eastAsia="en-PH"/>
                          <w14:ligatures w14:val="none"/>
                        </w:rPr>
                      </w:pPr>
                      <w:r w:rsidRPr="00F836CA">
                        <w:rPr>
                          <w:rFonts w:ascii="Times New Roman" w:eastAsia="Times New Roman" w:hAnsi="Times New Roman" w:cs="Times New Roman"/>
                          <w:b/>
                          <w:bCs/>
                          <w:kern w:val="0"/>
                          <w:sz w:val="18"/>
                          <w:szCs w:val="18"/>
                          <w:lang w:eastAsia="en-PH"/>
                          <w14:ligatures w14:val="none"/>
                        </w:rPr>
                        <w:t xml:space="preserve">Place and Duration of </w:t>
                      </w:r>
                      <w:proofErr w:type="spellStart"/>
                      <w:proofErr w:type="gramStart"/>
                      <w:r w:rsidRPr="00F836CA">
                        <w:rPr>
                          <w:rFonts w:ascii="Times New Roman" w:eastAsia="Times New Roman" w:hAnsi="Times New Roman" w:cs="Times New Roman"/>
                          <w:b/>
                          <w:bCs/>
                          <w:kern w:val="0"/>
                          <w:sz w:val="18"/>
                          <w:szCs w:val="18"/>
                          <w:lang w:eastAsia="en-PH"/>
                          <w14:ligatures w14:val="none"/>
                        </w:rPr>
                        <w:t>Study:</w:t>
                      </w:r>
                      <w:r w:rsidR="00F836CA" w:rsidRPr="00F836CA">
                        <w:rPr>
                          <w:rFonts w:ascii="Times New Roman" w:eastAsia="Times New Roman" w:hAnsi="Times New Roman" w:cs="Times New Roman"/>
                          <w:kern w:val="0"/>
                          <w:sz w:val="18"/>
                          <w:szCs w:val="18"/>
                          <w:lang w:eastAsia="en-PH"/>
                          <w14:ligatures w14:val="none"/>
                        </w:rPr>
                        <w:t>The</w:t>
                      </w:r>
                      <w:proofErr w:type="spellEnd"/>
                      <w:proofErr w:type="gramEnd"/>
                      <w:r w:rsidR="00F836CA" w:rsidRPr="00F836CA">
                        <w:rPr>
                          <w:rFonts w:ascii="Times New Roman" w:eastAsia="Times New Roman" w:hAnsi="Times New Roman" w:cs="Times New Roman"/>
                          <w:kern w:val="0"/>
                          <w:sz w:val="18"/>
                          <w:szCs w:val="18"/>
                          <w:lang w:eastAsia="en-PH"/>
                          <w14:ligatures w14:val="none"/>
                        </w:rPr>
                        <w:t xml:space="preserve"> participants of this study consist of Licensed Professional Teachers who are graduates of a Philippine State University in Bohol and are currently employed in non-teaching positions</w:t>
                      </w:r>
                      <w:r w:rsidRPr="00F836CA">
                        <w:rPr>
                          <w:rFonts w:ascii="Times New Roman" w:eastAsia="Times New Roman" w:hAnsi="Times New Roman" w:cs="Times New Roman"/>
                          <w:kern w:val="0"/>
                          <w:sz w:val="18"/>
                          <w:szCs w:val="18"/>
                          <w:lang w:eastAsia="en-PH"/>
                          <w14:ligatures w14:val="none"/>
                        </w:rPr>
                        <w:t>. Data collection and analysis were carried out over a defined research period within the academic year 202</w:t>
                      </w:r>
                      <w:r w:rsidR="00F836CA" w:rsidRPr="00F836CA">
                        <w:rPr>
                          <w:rFonts w:ascii="Times New Roman" w:eastAsia="Times New Roman" w:hAnsi="Times New Roman" w:cs="Times New Roman"/>
                          <w:kern w:val="0"/>
                          <w:sz w:val="18"/>
                          <w:szCs w:val="18"/>
                          <w:lang w:eastAsia="en-PH"/>
                          <w14:ligatures w14:val="none"/>
                        </w:rPr>
                        <w:t>4</w:t>
                      </w:r>
                      <w:r w:rsidRPr="00F836CA">
                        <w:rPr>
                          <w:rFonts w:ascii="Times New Roman" w:eastAsia="Times New Roman" w:hAnsi="Times New Roman" w:cs="Times New Roman"/>
                          <w:kern w:val="0"/>
                          <w:sz w:val="18"/>
                          <w:szCs w:val="18"/>
                          <w:lang w:eastAsia="en-PH"/>
                          <w14:ligatures w14:val="none"/>
                        </w:rPr>
                        <w:t>–202</w:t>
                      </w:r>
                      <w:r w:rsidR="00F836CA" w:rsidRPr="00F836CA">
                        <w:rPr>
                          <w:rFonts w:ascii="Times New Roman" w:eastAsia="Times New Roman" w:hAnsi="Times New Roman" w:cs="Times New Roman"/>
                          <w:kern w:val="0"/>
                          <w:sz w:val="18"/>
                          <w:szCs w:val="18"/>
                          <w:lang w:eastAsia="en-PH"/>
                          <w14:ligatures w14:val="none"/>
                        </w:rPr>
                        <w:t>5</w:t>
                      </w:r>
                      <w:r w:rsidRPr="00F836CA">
                        <w:rPr>
                          <w:rFonts w:ascii="Times New Roman" w:eastAsia="Times New Roman" w:hAnsi="Times New Roman" w:cs="Times New Roman"/>
                          <w:kern w:val="0"/>
                          <w:sz w:val="18"/>
                          <w:szCs w:val="18"/>
                          <w:lang w:eastAsia="en-PH"/>
                          <w14:ligatures w14:val="none"/>
                        </w:rPr>
                        <w:t>.</w:t>
                      </w:r>
                    </w:p>
                    <w:p w14:paraId="10F9B626" w14:textId="2D654D83"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Methodology:</w:t>
                      </w:r>
                      <w:r w:rsidRPr="00F836CA">
                        <w:rPr>
                          <w:rFonts w:ascii="Times New Roman" w:eastAsia="Times New Roman" w:hAnsi="Times New Roman" w:cs="Times New Roman"/>
                          <w:kern w:val="0"/>
                          <w:sz w:val="18"/>
                          <w:szCs w:val="18"/>
                          <w:lang w:eastAsia="en-PH"/>
                          <w14:ligatures w14:val="none"/>
                        </w:rPr>
                        <w:t>A</w:t>
                      </w:r>
                      <w:proofErr w:type="spellEnd"/>
                      <w:proofErr w:type="gramEnd"/>
                      <w:r w:rsidRPr="00F836CA">
                        <w:rPr>
                          <w:rFonts w:ascii="Times New Roman" w:eastAsia="Times New Roman" w:hAnsi="Times New Roman" w:cs="Times New Roman"/>
                          <w:kern w:val="0"/>
                          <w:sz w:val="18"/>
                          <w:szCs w:val="18"/>
                          <w:lang w:eastAsia="en-PH"/>
                          <w14:ligatures w14:val="none"/>
                        </w:rPr>
                        <w:t xml:space="preserve"> total of eleven (11) education graduates who passed the Licensure Examination for Teachers but are currently employed in non-teaching occupations were selected using snowball sampling. Inclusion criteria required participants to hold a bachelor’s degree in education, be licensure examination passers, and have no formal teaching experience. Data were gathered through semi-structured in-depth interviews focusing on lived experiences and career decision factors. Interview transcripts were analyzed using Braun and Clarke’s six-phase thematic analysis. Ethical considerations were strictly observed, including informed consent, confidentiality, and anonymization of participant identities.</w:t>
                      </w:r>
                    </w:p>
                    <w:p w14:paraId="56CD8DC5" w14:textId="225B7255"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Results:</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findings revealed four major experiential themes: navigating new professional environments, utilizing transferable teaching skills, experiencing professional identity dissonance, and developing broader perspectives on career success. Four key influencing factors also emerged: financial instability and urgent income needs, lengthy and uncertain teaching recruitment processes, licensure examination outcomes affecting self-efficacy, and perceived opportunities for faster career advancement in non-teaching sectors. Overall, participants demonstrated successful adaptation to alternative careers despite initial emotional and professional challenges.</w:t>
                      </w:r>
                    </w:p>
                    <w:p w14:paraId="26C4A0B9" w14:textId="293DF541" w:rsidR="00FE3899" w:rsidRPr="00F836CA" w:rsidRDefault="00FE3899" w:rsidP="00F836CA">
                      <w:pPr>
                        <w:spacing w:after="0" w:line="240" w:lineRule="auto"/>
                        <w:jc w:val="both"/>
                        <w:rPr>
                          <w:rFonts w:ascii="Times New Roman" w:eastAsia="Times New Roman" w:hAnsi="Times New Roman" w:cs="Times New Roman"/>
                          <w:kern w:val="0"/>
                          <w:sz w:val="18"/>
                          <w:szCs w:val="18"/>
                          <w:lang w:eastAsia="en-PH"/>
                          <w14:ligatures w14:val="none"/>
                        </w:rPr>
                      </w:pPr>
                      <w:proofErr w:type="spellStart"/>
                      <w:proofErr w:type="gramStart"/>
                      <w:r w:rsidRPr="00F836CA">
                        <w:rPr>
                          <w:rFonts w:ascii="Times New Roman" w:eastAsia="Times New Roman" w:hAnsi="Times New Roman" w:cs="Times New Roman"/>
                          <w:b/>
                          <w:bCs/>
                          <w:kern w:val="0"/>
                          <w:sz w:val="18"/>
                          <w:szCs w:val="18"/>
                          <w:lang w:eastAsia="en-PH"/>
                          <w14:ligatures w14:val="none"/>
                        </w:rPr>
                        <w:t>Conclusion:</w:t>
                      </w:r>
                      <w:r w:rsidRPr="00F836CA">
                        <w:rPr>
                          <w:rFonts w:ascii="Times New Roman" w:eastAsia="Times New Roman" w:hAnsi="Times New Roman" w:cs="Times New Roman"/>
                          <w:kern w:val="0"/>
                          <w:sz w:val="18"/>
                          <w:szCs w:val="18"/>
                          <w:lang w:eastAsia="en-PH"/>
                          <w14:ligatures w14:val="none"/>
                        </w:rPr>
                        <w:t>The</w:t>
                      </w:r>
                      <w:proofErr w:type="spellEnd"/>
                      <w:proofErr w:type="gramEnd"/>
                      <w:r w:rsidRPr="00F836CA">
                        <w:rPr>
                          <w:rFonts w:ascii="Times New Roman" w:eastAsia="Times New Roman" w:hAnsi="Times New Roman" w:cs="Times New Roman"/>
                          <w:kern w:val="0"/>
                          <w:sz w:val="18"/>
                          <w:szCs w:val="18"/>
                          <w:lang w:eastAsia="en-PH"/>
                          <w14:ligatures w14:val="none"/>
                        </w:rPr>
                        <w:t xml:space="preserve"> study concludes that education graduates’ transition to non-teaching careers is driven by a combination of economic necessity, institutional barriers, and psychological factors rather than rejection of the teaching profession. Their experiences highlight the need for reforms in teacher recruitment systems, compensation structures, and professional support mechanisms to improve teacher retention and encourage more graduates to enter and remain in the teaching field.</w:t>
                      </w:r>
                    </w:p>
                    <w:p w14:paraId="6AB39198" w14:textId="77777777" w:rsidR="00FE3899" w:rsidRPr="00FE3899" w:rsidRDefault="00FE3899" w:rsidP="00FE3899">
                      <w:pPr>
                        <w:jc w:val="center"/>
                        <w:rPr>
                          <w:sz w:val="16"/>
                          <w:szCs w:val="16"/>
                        </w:rPr>
                      </w:pPr>
                    </w:p>
                  </w:txbxContent>
                </v:textbox>
              </v:rect>
            </w:pict>
          </mc:Fallback>
        </mc:AlternateContent>
      </w:r>
    </w:p>
    <w:p w14:paraId="509093ED" w14:textId="77777777" w:rsidR="00FE3899" w:rsidRDefault="00FE3899">
      <w:pPr>
        <w:rPr>
          <w:rFonts w:ascii="Arial" w:hAnsi="Arial" w:cs="Arial"/>
          <w:b/>
          <w:bCs/>
          <w:lang w:val="en-US"/>
        </w:rPr>
      </w:pPr>
    </w:p>
    <w:p w14:paraId="563EA9FA" w14:textId="77777777" w:rsidR="00FE3899" w:rsidRDefault="00FE3899">
      <w:pPr>
        <w:rPr>
          <w:rFonts w:ascii="Arial" w:hAnsi="Arial" w:cs="Arial"/>
          <w:b/>
          <w:bCs/>
          <w:lang w:val="en-US"/>
        </w:rPr>
      </w:pPr>
    </w:p>
    <w:p w14:paraId="070551E5" w14:textId="77777777" w:rsidR="00FE3899" w:rsidRDefault="00FE3899">
      <w:pPr>
        <w:rPr>
          <w:rFonts w:ascii="Arial" w:hAnsi="Arial" w:cs="Arial"/>
          <w:b/>
          <w:bCs/>
          <w:lang w:val="en-US"/>
        </w:rPr>
      </w:pPr>
    </w:p>
    <w:p w14:paraId="561FAF88" w14:textId="77777777" w:rsidR="00FE3899" w:rsidRDefault="00FE3899">
      <w:pPr>
        <w:rPr>
          <w:rFonts w:ascii="Arial" w:hAnsi="Arial" w:cs="Arial"/>
          <w:b/>
          <w:bCs/>
          <w:lang w:val="en-US"/>
        </w:rPr>
      </w:pPr>
    </w:p>
    <w:p w14:paraId="7ACA03DD" w14:textId="77777777" w:rsidR="00FE3899" w:rsidRDefault="00FE3899">
      <w:pPr>
        <w:rPr>
          <w:rFonts w:ascii="Arial" w:hAnsi="Arial" w:cs="Arial"/>
          <w:b/>
          <w:bCs/>
          <w:lang w:val="en-US"/>
        </w:rPr>
      </w:pPr>
    </w:p>
    <w:p w14:paraId="1C029B5A" w14:textId="77777777" w:rsidR="00FE3899" w:rsidRDefault="00FE3899">
      <w:pPr>
        <w:rPr>
          <w:rFonts w:ascii="Arial" w:hAnsi="Arial" w:cs="Arial"/>
          <w:b/>
          <w:bCs/>
          <w:lang w:val="en-US"/>
        </w:rPr>
      </w:pPr>
    </w:p>
    <w:p w14:paraId="66EC643F" w14:textId="77777777" w:rsidR="00FE3899" w:rsidRDefault="00FE3899">
      <w:pPr>
        <w:rPr>
          <w:rFonts w:ascii="Arial" w:hAnsi="Arial" w:cs="Arial"/>
          <w:b/>
          <w:bCs/>
          <w:lang w:val="en-US"/>
        </w:rPr>
      </w:pPr>
    </w:p>
    <w:p w14:paraId="387474A4" w14:textId="77777777" w:rsidR="00FE3899" w:rsidRDefault="00FE3899">
      <w:pPr>
        <w:rPr>
          <w:rFonts w:ascii="Arial" w:hAnsi="Arial" w:cs="Arial"/>
          <w:b/>
          <w:bCs/>
          <w:lang w:val="en-US"/>
        </w:rPr>
      </w:pPr>
    </w:p>
    <w:p w14:paraId="5D0AFDA8" w14:textId="77777777" w:rsidR="00FE3899" w:rsidRDefault="00FE3899">
      <w:pPr>
        <w:rPr>
          <w:rFonts w:ascii="Arial" w:hAnsi="Arial" w:cs="Arial"/>
          <w:b/>
          <w:bCs/>
          <w:lang w:val="en-US"/>
        </w:rPr>
      </w:pPr>
    </w:p>
    <w:p w14:paraId="0C5A1805" w14:textId="77777777" w:rsidR="00FE3899" w:rsidRDefault="00FE3899">
      <w:pPr>
        <w:rPr>
          <w:rFonts w:ascii="Arial" w:hAnsi="Arial" w:cs="Arial"/>
          <w:b/>
          <w:bCs/>
          <w:lang w:val="en-US"/>
        </w:rPr>
      </w:pPr>
    </w:p>
    <w:p w14:paraId="2449D1AF" w14:textId="77777777" w:rsidR="00FE3899" w:rsidRDefault="00FE3899">
      <w:pPr>
        <w:rPr>
          <w:rFonts w:ascii="Arial" w:hAnsi="Arial" w:cs="Arial"/>
          <w:b/>
          <w:bCs/>
          <w:lang w:val="en-US"/>
        </w:rPr>
      </w:pPr>
    </w:p>
    <w:p w14:paraId="620BA3E3" w14:textId="11225438" w:rsidR="00F836CA" w:rsidRPr="00F836CA" w:rsidRDefault="00F836CA">
      <w:pPr>
        <w:rPr>
          <w:rFonts w:ascii="Arial" w:hAnsi="Arial" w:cs="Arial"/>
          <w:sz w:val="18"/>
          <w:szCs w:val="18"/>
          <w:lang w:val="en-US"/>
        </w:rPr>
      </w:pPr>
      <w:r w:rsidRPr="00F836CA">
        <w:rPr>
          <w:rFonts w:ascii="Arial" w:hAnsi="Arial" w:cs="Arial"/>
          <w:b/>
          <w:bCs/>
          <w:lang w:val="en-US"/>
        </w:rPr>
        <w:t xml:space="preserve">Key </w:t>
      </w:r>
      <w:proofErr w:type="gramStart"/>
      <w:r w:rsidRPr="00F836CA">
        <w:rPr>
          <w:rFonts w:ascii="Arial" w:hAnsi="Arial" w:cs="Arial"/>
          <w:b/>
          <w:bCs/>
          <w:lang w:val="en-US"/>
        </w:rPr>
        <w:t>Words:</w:t>
      </w:r>
      <w:r w:rsidRPr="00F836CA">
        <w:rPr>
          <w:rFonts w:ascii="Arial" w:hAnsi="Arial" w:cs="Arial"/>
          <w:sz w:val="18"/>
          <w:szCs w:val="18"/>
        </w:rPr>
        <w:t>Education</w:t>
      </w:r>
      <w:proofErr w:type="gramEnd"/>
      <w:r w:rsidRPr="00F836CA">
        <w:rPr>
          <w:rFonts w:ascii="Arial" w:hAnsi="Arial" w:cs="Arial"/>
          <w:sz w:val="18"/>
          <w:szCs w:val="18"/>
        </w:rPr>
        <w:t xml:space="preserve"> graduates; non-teaching careers; </w:t>
      </w:r>
      <w:proofErr w:type="gramStart"/>
      <w:r w:rsidRPr="00F836CA">
        <w:rPr>
          <w:rFonts w:ascii="Arial" w:hAnsi="Arial" w:cs="Arial"/>
          <w:sz w:val="18"/>
          <w:szCs w:val="18"/>
        </w:rPr>
        <w:t>phenomenological study</w:t>
      </w:r>
      <w:proofErr w:type="gramEnd"/>
      <w:r w:rsidRPr="00F836CA">
        <w:rPr>
          <w:rFonts w:ascii="Arial" w:hAnsi="Arial" w:cs="Arial"/>
          <w:sz w:val="18"/>
          <w:szCs w:val="18"/>
        </w:rPr>
        <w:t>; career decision-making</w:t>
      </w:r>
    </w:p>
    <w:p w14:paraId="442EFF61" w14:textId="6FBC4256" w:rsidR="00431113" w:rsidRPr="00FE3899" w:rsidRDefault="00431113">
      <w:pPr>
        <w:rPr>
          <w:rFonts w:ascii="Arial" w:hAnsi="Arial" w:cs="Arial"/>
          <w:b/>
          <w:bCs/>
          <w:lang w:val="en-US"/>
        </w:rPr>
      </w:pPr>
      <w:r w:rsidRPr="00FE3899">
        <w:rPr>
          <w:rFonts w:ascii="Arial" w:hAnsi="Arial" w:cs="Arial"/>
          <w:b/>
          <w:bCs/>
          <w:lang w:val="en-US"/>
        </w:rPr>
        <w:t>Introduction</w:t>
      </w:r>
    </w:p>
    <w:p w14:paraId="28A834AA" w14:textId="77777777" w:rsidR="00470AFB" w:rsidRPr="00FE3899" w:rsidRDefault="00470AFB" w:rsidP="00470AFB">
      <w:pPr>
        <w:ind w:firstLine="720"/>
        <w:jc w:val="both"/>
        <w:rPr>
          <w:rFonts w:ascii="Arial" w:hAnsi="Arial" w:cs="Arial"/>
        </w:rPr>
      </w:pPr>
      <w:r w:rsidRPr="00FE3899">
        <w:rPr>
          <w:rFonts w:ascii="Arial" w:hAnsi="Arial" w:cs="Arial"/>
        </w:rPr>
        <w:t>Education is widely recognized as a fundamental human right and a key driver of sustainable development. It enhances individual opportunities, reduces inequality, and contributes to national economic growth and social stability. In recognition of its global importance, the United Nations established Sustainable Development Goal 4 (SDG 4), which aims to “ensure inclusive and equitable quality education and promote lifelong learning opportunities for all” (United Nations, 2020). Achieving SDG 4 is essential in building resilient and equitable societies, as education remains a central mechanism for breaking cycles of poverty and improving long-term life outcomes (UNESCO, 2020).</w:t>
      </w:r>
    </w:p>
    <w:p w14:paraId="57F92BC2" w14:textId="77777777" w:rsidR="00470AFB" w:rsidRPr="00FE3899" w:rsidRDefault="00470AFB" w:rsidP="00470AFB">
      <w:pPr>
        <w:ind w:firstLine="720"/>
        <w:jc w:val="both"/>
        <w:rPr>
          <w:rFonts w:ascii="Arial" w:hAnsi="Arial" w:cs="Arial"/>
        </w:rPr>
      </w:pPr>
      <w:r w:rsidRPr="00FE3899">
        <w:rPr>
          <w:rFonts w:ascii="Arial" w:hAnsi="Arial" w:cs="Arial"/>
        </w:rPr>
        <w:t xml:space="preserve">Teachers play a critical role in achieving SDG 4 because they are the primary agents of instruction, curriculum implementation, and learner development. However, despite their importance, many education systems globally continue to experience challenges in teacher recruitment, retention, and career sustainability. Recent research highlights that teacher attrition remains a persistent issue influenced by workload intensity, workplace stress, limited professional </w:t>
      </w:r>
      <w:r w:rsidRPr="00FE3899">
        <w:rPr>
          <w:rFonts w:ascii="Arial" w:hAnsi="Arial" w:cs="Arial"/>
        </w:rPr>
        <w:lastRenderedPageBreak/>
        <w:t>support, and insufficient compensation relative to other professions (OECD, 2021; Goldhaber &amp; Theobald, 2023). In addition, studies show that teachers’ intentions to remain in the profession are strongly associated with job satisfaction, well-being, and perceived professional value (Räsänen et al., 2020; Liu, 2020).</w:t>
      </w:r>
    </w:p>
    <w:p w14:paraId="0D108EB1" w14:textId="77777777" w:rsidR="00470AFB" w:rsidRPr="00FE3899" w:rsidRDefault="00470AFB" w:rsidP="00470AFB">
      <w:pPr>
        <w:ind w:firstLine="720"/>
        <w:jc w:val="both"/>
        <w:rPr>
          <w:rFonts w:ascii="Arial" w:hAnsi="Arial" w:cs="Arial"/>
        </w:rPr>
      </w:pPr>
      <w:r w:rsidRPr="00FE3899">
        <w:rPr>
          <w:rFonts w:ascii="Arial" w:hAnsi="Arial" w:cs="Arial"/>
        </w:rPr>
        <w:t>In many education systems, including developing countries, teacher turnover has remained relatively stable but still significant, with notable disparities across school contexts and working conditions (OECD, 2021). While some attrition is normal due to career mobility, high levels of departure from the profession can negatively affect instructional continuity, student outcomes, and education system efficiency (Goldhaber &amp; Theobald, 2023). These challenges highlight the need to better understand not only practicing teachers but also individuals trained as teachers who choose alternative career paths.</w:t>
      </w:r>
    </w:p>
    <w:p w14:paraId="4F3ECE47" w14:textId="77777777" w:rsidR="00470AFB" w:rsidRPr="00FE3899" w:rsidRDefault="00470AFB" w:rsidP="00470AFB">
      <w:pPr>
        <w:ind w:firstLine="720"/>
        <w:jc w:val="both"/>
        <w:rPr>
          <w:rFonts w:ascii="Arial" w:hAnsi="Arial" w:cs="Arial"/>
        </w:rPr>
      </w:pPr>
      <w:r w:rsidRPr="00FE3899">
        <w:rPr>
          <w:rFonts w:ascii="Arial" w:hAnsi="Arial" w:cs="Arial"/>
        </w:rPr>
        <w:t xml:space="preserve">In the Philippine context, teacher education continues to produce </w:t>
      </w:r>
      <w:proofErr w:type="gramStart"/>
      <w:r w:rsidRPr="00FE3899">
        <w:rPr>
          <w:rFonts w:ascii="Arial" w:hAnsi="Arial" w:cs="Arial"/>
        </w:rPr>
        <w:t>a large number of</w:t>
      </w:r>
      <w:proofErr w:type="gramEnd"/>
      <w:r w:rsidRPr="00FE3899">
        <w:rPr>
          <w:rFonts w:ascii="Arial" w:hAnsi="Arial" w:cs="Arial"/>
        </w:rPr>
        <w:t xml:space="preserve"> graduates annually; however, not all graduates enter or remain in the teaching profession. Many education graduates pursue alternative careers in sectors such as business process outsourcing, administration, or private industry, often due to perceived advantages in salary, workload conditions, and career advancement opportunities outside teaching. This trend contributes to ongoing concerns regarding teacher supply and raises questions about the factors influencing career decision-making among education graduates.</w:t>
      </w:r>
    </w:p>
    <w:p w14:paraId="377C598D" w14:textId="77777777" w:rsidR="00470AFB" w:rsidRPr="00FE3899" w:rsidRDefault="00470AFB" w:rsidP="00470AFB">
      <w:pPr>
        <w:ind w:firstLine="720"/>
        <w:jc w:val="both"/>
        <w:rPr>
          <w:rFonts w:ascii="Arial" w:hAnsi="Arial" w:cs="Arial"/>
        </w:rPr>
      </w:pPr>
      <w:r w:rsidRPr="00FE3899">
        <w:rPr>
          <w:rFonts w:ascii="Arial" w:hAnsi="Arial" w:cs="Arial"/>
        </w:rPr>
        <w:t>Despite extensive research on teacher attrition and retention, most studies focus on in-service teachers or those who have already exited the profession. Limited attention has been given to education graduates who never enter teaching after completing their degree. Understanding their lived experiences and career choices is essential in addressing gaps in teacher supply and improving teacher education programs. This study therefore seeks to explore the experiences, motivations, and career pathways of education graduates who did not pursue teaching careers. The findings may provide valuable insights for policy development and contribute to strengthening teacher preparation systems in alignment with SDG 4.</w:t>
      </w:r>
    </w:p>
    <w:p w14:paraId="3E63C472" w14:textId="77777777" w:rsidR="00431113" w:rsidRPr="00FE3899" w:rsidRDefault="00431113" w:rsidP="00470AFB">
      <w:pPr>
        <w:jc w:val="both"/>
        <w:rPr>
          <w:rFonts w:ascii="Arial" w:hAnsi="Arial" w:cs="Arial"/>
        </w:rPr>
      </w:pPr>
    </w:p>
    <w:p w14:paraId="677197CB" w14:textId="28B561D4" w:rsidR="00431113" w:rsidRPr="00FE3899" w:rsidRDefault="00431113" w:rsidP="00431113">
      <w:pPr>
        <w:jc w:val="both"/>
        <w:rPr>
          <w:rFonts w:ascii="Arial" w:hAnsi="Arial" w:cs="Arial"/>
          <w:b/>
          <w:bCs/>
        </w:rPr>
      </w:pPr>
      <w:r w:rsidRPr="00FE3899">
        <w:rPr>
          <w:rFonts w:ascii="Arial" w:hAnsi="Arial" w:cs="Arial"/>
          <w:b/>
          <w:bCs/>
        </w:rPr>
        <w:t>Research objectives</w:t>
      </w:r>
    </w:p>
    <w:p w14:paraId="7AF1AEF9" w14:textId="2B8CC8ED" w:rsidR="00431113" w:rsidRPr="00FE3899" w:rsidRDefault="00431113" w:rsidP="00431113">
      <w:pPr>
        <w:jc w:val="both"/>
        <w:rPr>
          <w:rFonts w:ascii="Arial" w:hAnsi="Arial" w:cs="Arial"/>
        </w:rPr>
      </w:pPr>
      <w:r w:rsidRPr="00FE3899">
        <w:rPr>
          <w:rFonts w:ascii="Arial" w:hAnsi="Arial" w:cs="Arial"/>
        </w:rPr>
        <w:t>1.To explore the lived experiences of education graduates who are not engaged in the teaching profession.</w:t>
      </w:r>
    </w:p>
    <w:p w14:paraId="24D26D69" w14:textId="0120CC9E" w:rsidR="00431113" w:rsidRPr="00FE3899" w:rsidRDefault="00431113" w:rsidP="00431113">
      <w:pPr>
        <w:jc w:val="both"/>
        <w:rPr>
          <w:rFonts w:ascii="Arial" w:hAnsi="Arial" w:cs="Arial"/>
        </w:rPr>
      </w:pPr>
      <w:r w:rsidRPr="00FE3899">
        <w:rPr>
          <w:rFonts w:ascii="Arial" w:hAnsi="Arial" w:cs="Arial"/>
        </w:rPr>
        <w:t>2.To identify the factors that influenced education graduates' decisions to pursue careers outside the field of teaching.</w:t>
      </w:r>
    </w:p>
    <w:p w14:paraId="55B82AEE" w14:textId="6ADE0F0B" w:rsidR="00431113" w:rsidRPr="00FE3899" w:rsidRDefault="00431113" w:rsidP="00470AFB">
      <w:pPr>
        <w:jc w:val="both"/>
        <w:rPr>
          <w:rFonts w:ascii="Arial" w:hAnsi="Arial" w:cs="Arial"/>
          <w:b/>
          <w:bCs/>
        </w:rPr>
      </w:pPr>
      <w:r w:rsidRPr="00FE3899">
        <w:rPr>
          <w:rFonts w:ascii="Arial" w:hAnsi="Arial" w:cs="Arial"/>
          <w:b/>
          <w:bCs/>
        </w:rPr>
        <w:t>Methodology</w:t>
      </w:r>
    </w:p>
    <w:p w14:paraId="58965213" w14:textId="77777777" w:rsidR="00AE4AEE" w:rsidRPr="00FE3899" w:rsidRDefault="000F6970" w:rsidP="000F6970">
      <w:pPr>
        <w:rPr>
          <w:rFonts w:ascii="Arial" w:hAnsi="Arial" w:cs="Arial"/>
          <w:b/>
          <w:bCs/>
        </w:rPr>
      </w:pPr>
      <w:r w:rsidRPr="00FE3899">
        <w:rPr>
          <w:rFonts w:ascii="Arial" w:hAnsi="Arial" w:cs="Arial"/>
          <w:b/>
          <w:bCs/>
        </w:rPr>
        <w:t>Research Design</w:t>
      </w:r>
    </w:p>
    <w:p w14:paraId="7CE75F06" w14:textId="77777777" w:rsidR="00AE4AEE" w:rsidRPr="00FE3899" w:rsidRDefault="000F6970" w:rsidP="00470AFB">
      <w:pPr>
        <w:ind w:firstLine="720"/>
        <w:jc w:val="both"/>
        <w:rPr>
          <w:rFonts w:ascii="Arial" w:hAnsi="Arial" w:cs="Arial"/>
        </w:rPr>
      </w:pPr>
      <w:r w:rsidRPr="00FE3899">
        <w:rPr>
          <w:rFonts w:ascii="Arial" w:hAnsi="Arial" w:cs="Arial"/>
        </w:rPr>
        <w:t xml:space="preserve">This study is anchored within a qualitative-phenomenological research design, which serves as an optimal epistemological vehicle for capturing, describing, and interpreting the </w:t>
      </w:r>
      <w:proofErr w:type="gramStart"/>
      <w:r w:rsidRPr="00FE3899">
        <w:rPr>
          <w:rFonts w:ascii="Arial" w:hAnsi="Arial" w:cs="Arial"/>
        </w:rPr>
        <w:t>core essence</w:t>
      </w:r>
      <w:proofErr w:type="gramEnd"/>
      <w:r w:rsidRPr="00FE3899">
        <w:rPr>
          <w:rFonts w:ascii="Arial" w:hAnsi="Arial" w:cs="Arial"/>
        </w:rPr>
        <w:t xml:space="preserve"> of a shared lived phenomenon. Rather than executing a deductive hypothesis-testing procedure, a phenomenological approach permits an inductive exploration of the complex psychological, environmental, and sociocultural realities constructed by the participants themselves. By focusing on the experiential subjective realities of the individuals, this design allows the researcher to extract deep, nuanced structural meanings from the narratives of </w:t>
      </w:r>
      <w:r w:rsidRPr="00FE3899">
        <w:rPr>
          <w:rFonts w:ascii="Arial" w:hAnsi="Arial" w:cs="Arial"/>
        </w:rPr>
        <w:lastRenderedPageBreak/>
        <w:t>education graduates who transitioned away from traditional academic settings, thereby bridging the gap between theoretical training and actualized career divergence.</w:t>
      </w:r>
    </w:p>
    <w:p w14:paraId="702B8C57" w14:textId="77777777" w:rsidR="00AE4AEE" w:rsidRPr="00FE3899" w:rsidRDefault="000F6970" w:rsidP="00AE4AEE">
      <w:pPr>
        <w:jc w:val="both"/>
        <w:rPr>
          <w:rFonts w:ascii="Arial" w:hAnsi="Arial" w:cs="Arial"/>
          <w:b/>
          <w:bCs/>
        </w:rPr>
      </w:pPr>
      <w:r w:rsidRPr="00FE3899">
        <w:rPr>
          <w:rFonts w:ascii="Arial" w:hAnsi="Arial" w:cs="Arial"/>
          <w:b/>
          <w:bCs/>
        </w:rPr>
        <w:t xml:space="preserve">Participants and Sampling </w:t>
      </w:r>
    </w:p>
    <w:p w14:paraId="35E4FA9C" w14:textId="2FE380D3" w:rsidR="00470AFB" w:rsidRPr="00FE3899" w:rsidRDefault="00F836CA" w:rsidP="00470AFB">
      <w:pPr>
        <w:ind w:firstLine="720"/>
        <w:jc w:val="both"/>
        <w:rPr>
          <w:rFonts w:ascii="Arial" w:hAnsi="Arial" w:cs="Arial"/>
        </w:rPr>
      </w:pPr>
      <w:r w:rsidRPr="00F836CA">
        <w:rPr>
          <w:rFonts w:ascii="Arial" w:hAnsi="Arial" w:cs="Arial"/>
        </w:rPr>
        <w:t xml:space="preserve">The participants of this study consist of Licensed Professional Teachers who are graduates of a Philippine State University in Bohol and are currently employed in non-teaching </w:t>
      </w:r>
      <w:proofErr w:type="spellStart"/>
      <w:r w:rsidRPr="00F836CA">
        <w:rPr>
          <w:rFonts w:ascii="Arial" w:hAnsi="Arial" w:cs="Arial"/>
        </w:rPr>
        <w:t>positions</w:t>
      </w:r>
      <w:r>
        <w:rPr>
          <w:rFonts w:ascii="Arial" w:hAnsi="Arial" w:cs="Arial"/>
        </w:rPr>
        <w:t>.</w:t>
      </w:r>
      <w:r w:rsidR="00470AFB" w:rsidRPr="00FE3899">
        <w:rPr>
          <w:rFonts w:ascii="Arial" w:hAnsi="Arial" w:cs="Arial"/>
        </w:rPr>
        <w:t>T</w:t>
      </w:r>
      <w:r w:rsidR="000F6970" w:rsidRPr="00FE3899">
        <w:rPr>
          <w:rFonts w:ascii="Arial" w:hAnsi="Arial" w:cs="Arial"/>
        </w:rPr>
        <w:t>his</w:t>
      </w:r>
      <w:proofErr w:type="spellEnd"/>
      <w:r w:rsidR="000F6970" w:rsidRPr="00FE3899">
        <w:rPr>
          <w:rFonts w:ascii="Arial" w:hAnsi="Arial" w:cs="Arial"/>
        </w:rPr>
        <w:t xml:space="preserve"> inquiry utilizes snowball sampling, a purposive chain-referral sampling strategy wherein an initial key informant meeting the exact inclusion criteria is used to identify and recruit subsequent qualified participants. The final target sample comprises a highly bounded group of exactly eleven (11) respondents, a sample size that strictly aligns with phenomenological standards prioritizing dense, narrative depth over statistical generalizability. To guarantee empirical validity and data integrity, all eleven participants were rigorously screened against established inclusion parameters: each individual must hold a baccalaureate degree in elementary or secondary education, must have successfully </w:t>
      </w:r>
      <w:r w:rsidR="00470AFB" w:rsidRPr="00FE3899">
        <w:rPr>
          <w:rFonts w:ascii="Arial" w:hAnsi="Arial" w:cs="Arial"/>
        </w:rPr>
        <w:t>passed</w:t>
      </w:r>
      <w:r w:rsidR="000F6970" w:rsidRPr="00FE3899">
        <w:rPr>
          <w:rFonts w:ascii="Arial" w:hAnsi="Arial" w:cs="Arial"/>
        </w:rPr>
        <w:t xml:space="preserve"> the Board Licensure Examination for Professional Teachers (BLEPT), must never have engaged in formal classroom instruction as a primary vocation, and must currently be </w:t>
      </w:r>
      <w:r w:rsidR="00470AFB" w:rsidRPr="00FE3899">
        <w:rPr>
          <w:rFonts w:ascii="Arial" w:hAnsi="Arial" w:cs="Arial"/>
        </w:rPr>
        <w:t>working any non-teaching job for the past 6 months after passing the board examination.</w:t>
      </w:r>
    </w:p>
    <w:p w14:paraId="70962621" w14:textId="74A9EC8E" w:rsidR="00AE4AEE" w:rsidRPr="00FE3899" w:rsidRDefault="000F6970" w:rsidP="00F836CA">
      <w:pPr>
        <w:jc w:val="both"/>
        <w:rPr>
          <w:rFonts w:ascii="Arial" w:hAnsi="Arial" w:cs="Arial"/>
          <w:b/>
          <w:bCs/>
        </w:rPr>
      </w:pPr>
      <w:r w:rsidRPr="00FE3899">
        <w:rPr>
          <w:rFonts w:ascii="Arial" w:hAnsi="Arial" w:cs="Arial"/>
          <w:b/>
          <w:bCs/>
        </w:rPr>
        <w:t>Research Instrument</w:t>
      </w:r>
    </w:p>
    <w:p w14:paraId="300A5C81" w14:textId="77777777" w:rsidR="00AE4AEE" w:rsidRPr="00FE3899" w:rsidRDefault="000F6970" w:rsidP="00470AFB">
      <w:pPr>
        <w:ind w:firstLine="720"/>
        <w:jc w:val="both"/>
        <w:rPr>
          <w:rFonts w:ascii="Arial" w:hAnsi="Arial" w:cs="Arial"/>
        </w:rPr>
      </w:pPr>
      <w:r w:rsidRPr="00FE3899">
        <w:rPr>
          <w:rFonts w:ascii="Arial" w:hAnsi="Arial" w:cs="Arial"/>
        </w:rPr>
        <w:t>The primary mechanism for qualitative data elicitation is a researcher-formulated, semi-structured interview guide designed to facilitate an open yet highly focused dialogue with the participants. The semi-structured architecture balances thematic standardization with conversational flexibility, providing a predetermined set of open-ended inquiry streams while simultaneously empowering the researcher to deploy spontaneous, strategic probes based on emerging participant responses. The instrument is bifurcated into two core structural domains directly mapped to the study's primary objectives: the first section comprehensively probes the lived experiences, day-to-day operational realities, skill transferability, and job satisfaction levels within alternative industries, while the second section systematically uncovers the critical financial, psychological, or institutional catalysts that prompted the decision to bypass the teaching field. Prior to field implementation, the instrument undergoes a rigorous content-validation process by an expert panel of qualitative methodologists to ensure face validity, structural alignment, and linguistic clarity.</w:t>
      </w:r>
    </w:p>
    <w:p w14:paraId="3BD23E8F" w14:textId="77777777" w:rsidR="00AE4AEE" w:rsidRPr="00FE3899" w:rsidRDefault="000F6970" w:rsidP="00AE4AEE">
      <w:pPr>
        <w:jc w:val="both"/>
        <w:rPr>
          <w:rFonts w:ascii="Arial" w:hAnsi="Arial" w:cs="Arial"/>
          <w:b/>
          <w:bCs/>
        </w:rPr>
      </w:pPr>
      <w:r w:rsidRPr="00FE3899">
        <w:rPr>
          <w:rFonts w:ascii="Arial" w:hAnsi="Arial" w:cs="Arial"/>
          <w:b/>
          <w:bCs/>
        </w:rPr>
        <w:t>Data Analysis</w:t>
      </w:r>
    </w:p>
    <w:p w14:paraId="7DEABC99" w14:textId="77777777" w:rsidR="00AE4AEE" w:rsidRPr="00FE3899" w:rsidRDefault="000F6970" w:rsidP="00470AFB">
      <w:pPr>
        <w:ind w:firstLine="720"/>
        <w:jc w:val="both"/>
        <w:rPr>
          <w:rFonts w:ascii="Arial" w:hAnsi="Arial" w:cs="Arial"/>
        </w:rPr>
      </w:pPr>
      <w:r w:rsidRPr="00FE3899">
        <w:rPr>
          <w:rFonts w:ascii="Arial" w:hAnsi="Arial" w:cs="Arial"/>
        </w:rPr>
        <w:t xml:space="preserve">The text-based datasets derived from the verbatim transcription of the oral interviews will be systematically decoded utilizing the Six-Phase Thematic Analysis Framework established by Braun and Clarke (2006). This highly iterative and recursive analytic process begins with data familiarization, wherein the researcher performs manual orthographic transcription and repeated critical readings of the audio data to capture initial semantic impressions. The secondary phase involves the generation of initial codes, where distinct segments of text are assigned conceptual labels that represent recurring raw ideas across the entire dataset. In the third and fourth phases, these discrete codes are clustered into broader, tentative candidate themes, which are then rigorously tested against both the specific coded extracts and the holistic dataset to confirm internal homogeneity and external heterogeneity. The fifth phase entails defining and naming the finalized themes, wherein the researcher refines the conceptual essence of each category and applies precise, academically rigorous titles to the emergent thematic structures. Finally, the analysis culminates in the production of the formal report, which synthesizes the empirical findings </w:t>
      </w:r>
      <w:r w:rsidRPr="00FE3899">
        <w:rPr>
          <w:rFonts w:ascii="Arial" w:hAnsi="Arial" w:cs="Arial"/>
        </w:rPr>
        <w:lastRenderedPageBreak/>
        <w:t>by weaving the extracted themes with direct, verbatim participant accounts and corroborating empirical literature.</w:t>
      </w:r>
    </w:p>
    <w:p w14:paraId="3718ACE1" w14:textId="77777777" w:rsidR="00AE4AEE" w:rsidRPr="00FE3899" w:rsidRDefault="000F6970" w:rsidP="00AE4AEE">
      <w:pPr>
        <w:jc w:val="both"/>
        <w:rPr>
          <w:rFonts w:ascii="Arial" w:hAnsi="Arial" w:cs="Arial"/>
          <w:b/>
          <w:bCs/>
        </w:rPr>
      </w:pPr>
      <w:r w:rsidRPr="00FE3899">
        <w:rPr>
          <w:rFonts w:ascii="Arial" w:hAnsi="Arial" w:cs="Arial"/>
          <w:b/>
          <w:bCs/>
        </w:rPr>
        <w:t>Ethical Considerations</w:t>
      </w:r>
    </w:p>
    <w:p w14:paraId="5AF86532" w14:textId="31522315" w:rsidR="000F6970" w:rsidRPr="00FE3899" w:rsidRDefault="000F6970" w:rsidP="00470AFB">
      <w:pPr>
        <w:ind w:firstLine="720"/>
        <w:jc w:val="both"/>
        <w:rPr>
          <w:rFonts w:ascii="Arial" w:hAnsi="Arial" w:cs="Arial"/>
        </w:rPr>
      </w:pPr>
      <w:r w:rsidRPr="00FE3899">
        <w:rPr>
          <w:rFonts w:ascii="Arial" w:hAnsi="Arial" w:cs="Arial"/>
        </w:rPr>
        <w:t>To protect the fundamental rights, psychological welfare, and professional security of the eleven human subjects involved, this investigation strictly complies with standardized international and institutional ethical protocols. Prior to data collection, each participant is provided with a comprehensive informed consent disclosure that details the exact scope of the inquiry, the voluntary nature of participation, and the unconditional right to withdraw from the research process at any juncture without institutional or personal penalty. To ensure absolute anonymity and confidentiality, all personally identifiable information is permanently expunged from the research records, and participants are assigned distinct alphanumeric pseudonyms to obscure their identities within the final manuscript. Furthermore, all digital assets, including raw audio recordings and textual transcripts, are encrypted and securely archived on a password-protected cloud server accessible solely by the primary investigator. In strict adherence to regional data privacy laws, all electronic and physical data repositories will be permanently and securely deleted following the final institutional defense and evaluation of the research study.</w:t>
      </w:r>
    </w:p>
    <w:p w14:paraId="0A1237D9" w14:textId="77777777" w:rsidR="00EA2822" w:rsidRPr="00FE3899" w:rsidRDefault="00EA2822" w:rsidP="00AE4AEE">
      <w:pPr>
        <w:jc w:val="both"/>
        <w:rPr>
          <w:rFonts w:ascii="Arial" w:hAnsi="Arial" w:cs="Arial"/>
        </w:rPr>
      </w:pPr>
    </w:p>
    <w:p w14:paraId="14BB4F81" w14:textId="77777777" w:rsidR="00EA2822" w:rsidRPr="00FE3899" w:rsidRDefault="00EA2822" w:rsidP="00AE4AEE">
      <w:pPr>
        <w:jc w:val="both"/>
        <w:rPr>
          <w:rFonts w:ascii="Arial" w:hAnsi="Arial" w:cs="Arial"/>
        </w:rPr>
      </w:pPr>
    </w:p>
    <w:p w14:paraId="38E083D0" w14:textId="77777777" w:rsidR="00EA2822" w:rsidRPr="00FE3899" w:rsidRDefault="00EA2822" w:rsidP="00AE4AEE">
      <w:pPr>
        <w:jc w:val="both"/>
        <w:rPr>
          <w:rFonts w:ascii="Arial" w:hAnsi="Arial" w:cs="Arial"/>
        </w:rPr>
      </w:pPr>
    </w:p>
    <w:p w14:paraId="26A28671" w14:textId="77777777" w:rsidR="00EA2822" w:rsidRPr="00FE3899" w:rsidRDefault="00EA2822" w:rsidP="00AE4AEE">
      <w:pPr>
        <w:jc w:val="both"/>
        <w:rPr>
          <w:rFonts w:ascii="Arial" w:hAnsi="Arial" w:cs="Arial"/>
        </w:rPr>
      </w:pPr>
    </w:p>
    <w:p w14:paraId="27B959DF" w14:textId="77777777" w:rsidR="00EA2822" w:rsidRPr="00FE3899" w:rsidRDefault="00EA2822" w:rsidP="00AE4AEE">
      <w:pPr>
        <w:jc w:val="both"/>
        <w:rPr>
          <w:rFonts w:ascii="Arial" w:hAnsi="Arial" w:cs="Arial"/>
        </w:rPr>
      </w:pPr>
    </w:p>
    <w:p w14:paraId="45282AB3" w14:textId="77777777" w:rsidR="00EA2822" w:rsidRPr="00FE3899" w:rsidRDefault="00EA2822" w:rsidP="00AE4AEE">
      <w:pPr>
        <w:jc w:val="both"/>
        <w:rPr>
          <w:rFonts w:ascii="Arial" w:hAnsi="Arial" w:cs="Arial"/>
        </w:rPr>
      </w:pPr>
    </w:p>
    <w:p w14:paraId="4186BB5F" w14:textId="77777777" w:rsidR="00EA2822" w:rsidRPr="00FE3899" w:rsidRDefault="00EA2822" w:rsidP="00EA2822">
      <w:pPr>
        <w:jc w:val="center"/>
        <w:rPr>
          <w:rFonts w:ascii="Arial" w:hAnsi="Arial" w:cs="Arial"/>
          <w:b/>
          <w:bCs/>
        </w:rPr>
      </w:pPr>
    </w:p>
    <w:p w14:paraId="69C7F6F5" w14:textId="15F5038A" w:rsidR="00EA2822" w:rsidRPr="00FE3899" w:rsidRDefault="00EA2822" w:rsidP="00EA2822">
      <w:pPr>
        <w:jc w:val="center"/>
        <w:rPr>
          <w:rFonts w:ascii="Arial" w:hAnsi="Arial" w:cs="Arial"/>
          <w:b/>
          <w:bCs/>
        </w:rPr>
      </w:pPr>
      <w:r w:rsidRPr="00FE3899">
        <w:rPr>
          <w:rFonts w:ascii="Arial" w:hAnsi="Arial" w:cs="Arial"/>
          <w:b/>
          <w:bCs/>
          <w:noProof/>
        </w:rPr>
        <w:drawing>
          <wp:inline distT="0" distB="0" distL="0" distR="0" wp14:anchorId="73959228" wp14:editId="551237FE">
            <wp:extent cx="4974336" cy="2732405"/>
            <wp:effectExtent l="0" t="0" r="0" b="0"/>
            <wp:docPr id="45713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30803" name="Picture 4571308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6346" cy="2739002"/>
                    </a:xfrm>
                    <a:prstGeom prst="rect">
                      <a:avLst/>
                    </a:prstGeom>
                  </pic:spPr>
                </pic:pic>
              </a:graphicData>
            </a:graphic>
          </wp:inline>
        </w:drawing>
      </w:r>
    </w:p>
    <w:p w14:paraId="03777213" w14:textId="328FD121" w:rsidR="00EA2822" w:rsidRPr="00FE3899" w:rsidRDefault="00EA2822" w:rsidP="00EA2822">
      <w:pPr>
        <w:jc w:val="center"/>
        <w:rPr>
          <w:rFonts w:ascii="Arial" w:hAnsi="Arial" w:cs="Arial"/>
          <w:b/>
          <w:bCs/>
        </w:rPr>
      </w:pPr>
      <w:r w:rsidRPr="00FE3899">
        <w:rPr>
          <w:rFonts w:ascii="Arial" w:hAnsi="Arial" w:cs="Arial"/>
          <w:b/>
          <w:bCs/>
          <w:lang w:val="en-US"/>
        </w:rPr>
        <w:t xml:space="preserve">Figure 1. </w:t>
      </w:r>
      <w:r w:rsidRPr="00FE3899">
        <w:rPr>
          <w:rFonts w:ascii="Arial" w:hAnsi="Arial" w:cs="Arial"/>
          <w:b/>
          <w:bCs/>
        </w:rPr>
        <w:t>Schema on the Generated Themes of the Study</w:t>
      </w:r>
    </w:p>
    <w:p w14:paraId="517882D0" w14:textId="77777777" w:rsidR="00EA2822" w:rsidRPr="00FE3899" w:rsidRDefault="00EA2822" w:rsidP="00EA2822">
      <w:pPr>
        <w:rPr>
          <w:rFonts w:ascii="Arial" w:hAnsi="Arial" w:cs="Arial"/>
          <w:lang w:val="en-US"/>
        </w:rPr>
      </w:pPr>
    </w:p>
    <w:p w14:paraId="574AB7ED" w14:textId="2FF47D52" w:rsidR="00EA2822" w:rsidRPr="00FE3899" w:rsidRDefault="00EA2822" w:rsidP="00EA2822">
      <w:pPr>
        <w:rPr>
          <w:rFonts w:ascii="Arial" w:hAnsi="Arial" w:cs="Arial"/>
          <w:b/>
          <w:bCs/>
          <w:lang w:val="en-US"/>
        </w:rPr>
      </w:pPr>
      <w:r w:rsidRPr="00FE3899">
        <w:rPr>
          <w:rFonts w:ascii="Arial" w:hAnsi="Arial" w:cs="Arial"/>
          <w:b/>
          <w:bCs/>
          <w:lang w:val="en-US"/>
        </w:rPr>
        <w:t>Experiences of Education Graduates Who Are Not Engaged in the Teaching Profession</w:t>
      </w:r>
    </w:p>
    <w:p w14:paraId="7064A49B" w14:textId="77777777" w:rsidR="00EA2822" w:rsidRPr="00FE3899" w:rsidRDefault="00EA2822" w:rsidP="00EA2822">
      <w:pPr>
        <w:rPr>
          <w:rFonts w:ascii="Arial" w:hAnsi="Arial" w:cs="Arial"/>
          <w:lang w:val="en-US"/>
        </w:rPr>
      </w:pPr>
    </w:p>
    <w:p w14:paraId="687EE1ED" w14:textId="173F3F1B" w:rsidR="00EA2822" w:rsidRPr="00FE3899" w:rsidRDefault="00EA2822" w:rsidP="00EA2822">
      <w:pPr>
        <w:rPr>
          <w:rFonts w:ascii="Arial" w:hAnsi="Arial" w:cs="Arial"/>
          <w:b/>
          <w:bCs/>
          <w:lang w:val="en-US"/>
        </w:rPr>
      </w:pPr>
      <w:r w:rsidRPr="00FE3899">
        <w:rPr>
          <w:rFonts w:ascii="Arial" w:hAnsi="Arial" w:cs="Arial"/>
          <w:b/>
          <w:bCs/>
          <w:lang w:val="en-US"/>
        </w:rPr>
        <w:t>Theme 1: Navigating New Professional Environments</w:t>
      </w:r>
    </w:p>
    <w:p w14:paraId="43A7B431" w14:textId="77777777" w:rsidR="00EA2822" w:rsidRPr="00FE3899" w:rsidRDefault="00EA2822" w:rsidP="00EA2822">
      <w:pPr>
        <w:rPr>
          <w:rFonts w:ascii="Arial" w:hAnsi="Arial" w:cs="Arial"/>
          <w:lang w:val="en-US"/>
        </w:rPr>
      </w:pPr>
    </w:p>
    <w:p w14:paraId="152A67F8" w14:textId="700038E3" w:rsidR="00EA2822" w:rsidRPr="00FE3899" w:rsidRDefault="00EA2822" w:rsidP="00EA2822">
      <w:pPr>
        <w:ind w:firstLine="720"/>
        <w:jc w:val="both"/>
        <w:rPr>
          <w:rFonts w:ascii="Arial" w:hAnsi="Arial" w:cs="Arial"/>
          <w:lang w:val="en-US"/>
        </w:rPr>
      </w:pPr>
      <w:r w:rsidRPr="00FE3899">
        <w:rPr>
          <w:rFonts w:ascii="Arial" w:hAnsi="Arial" w:cs="Arial"/>
          <w:lang w:val="en-US"/>
        </w:rPr>
        <w:t xml:space="preserve">The findings revealed that education graduates experienced considerable adjustments when entering non-teaching professions. Participants described adapting to unfamiliar workplace cultures, schedules, job expectations, and organizational structures. Although these transitions were initially challenging, they gradually developed the flexibility necessary to function effectively in their new </w:t>
      </w:r>
      <w:proofErr w:type="spellStart"/>
      <w:proofErr w:type="gramStart"/>
      <w:r w:rsidRPr="00FE3899">
        <w:rPr>
          <w:rFonts w:ascii="Arial" w:hAnsi="Arial" w:cs="Arial"/>
          <w:lang w:val="en-US"/>
        </w:rPr>
        <w:t>environments.This</w:t>
      </w:r>
      <w:proofErr w:type="spellEnd"/>
      <w:proofErr w:type="gramEnd"/>
      <w:r w:rsidRPr="00FE3899">
        <w:rPr>
          <w:rFonts w:ascii="Arial" w:hAnsi="Arial" w:cs="Arial"/>
          <w:lang w:val="en-US"/>
        </w:rPr>
        <w:t xml:space="preserve"> finding can be explained through Career Transition Theory proposed by Nancy Schlossberg, which posits that individuals undergoing career transitions must cope with changes in roles, routines, relationships, and assumptions. The graduates' experiences reflect the transition process wherein individuals reconstruct their professional identities while learning to navigate new occupational contexts. Their narratives suggest that adaptation was facilitated through personal resilience and continuous learning.</w:t>
      </w:r>
    </w:p>
    <w:p w14:paraId="16E34A39" w14:textId="77777777" w:rsidR="00EA2822" w:rsidRPr="00FE3899" w:rsidRDefault="00EA2822" w:rsidP="00EA2822">
      <w:pPr>
        <w:jc w:val="both"/>
        <w:rPr>
          <w:rFonts w:ascii="Arial" w:hAnsi="Arial" w:cs="Arial"/>
          <w:lang w:val="en-US"/>
        </w:rPr>
      </w:pPr>
    </w:p>
    <w:p w14:paraId="28A317DE" w14:textId="77777777" w:rsidR="00EA2822" w:rsidRPr="00FE3899" w:rsidRDefault="00EA2822" w:rsidP="00EA2822">
      <w:pPr>
        <w:ind w:firstLine="720"/>
        <w:jc w:val="both"/>
        <w:rPr>
          <w:rFonts w:ascii="Arial" w:hAnsi="Arial" w:cs="Arial"/>
          <w:lang w:val="en-US"/>
        </w:rPr>
      </w:pPr>
      <w:r w:rsidRPr="00FE3899">
        <w:rPr>
          <w:rFonts w:ascii="Arial" w:hAnsi="Arial" w:cs="Arial"/>
          <w:lang w:val="en-US"/>
        </w:rPr>
        <w:t>The findings are consistent with recent studies indicating that career transitions often involve a period of uncertainty and adjustment. Hogg et al. (2023) found that individuals transitioning into new professional fields frequently encounter challenges related to workplace adaptation and role redefinition. Similarly, Boyle (2022) reported that graduates entering careers outside their original field of study often experience transitional difficulties as they negotiate new professional expectations. Furthermore, Li and Horta (2023) observed that career transitions require individuals to actively reconstruct their identities and competencies to align with new occupational demands.</w:t>
      </w:r>
    </w:p>
    <w:p w14:paraId="5F27CE02" w14:textId="77777777" w:rsidR="00EA2822" w:rsidRPr="00FE3899" w:rsidRDefault="00EA2822" w:rsidP="00EA2822">
      <w:pPr>
        <w:jc w:val="both"/>
        <w:rPr>
          <w:rFonts w:ascii="Arial" w:hAnsi="Arial" w:cs="Arial"/>
          <w:i/>
          <w:iCs/>
          <w:lang w:val="en-US"/>
        </w:rPr>
      </w:pPr>
    </w:p>
    <w:p w14:paraId="15171C1D" w14:textId="3B59052F" w:rsidR="00EA2822" w:rsidRPr="00FE3899" w:rsidRDefault="00EA2822" w:rsidP="00EA2822">
      <w:pPr>
        <w:ind w:left="1440"/>
        <w:jc w:val="both"/>
        <w:rPr>
          <w:rFonts w:ascii="Arial" w:hAnsi="Arial" w:cs="Arial"/>
          <w:i/>
          <w:iCs/>
          <w:lang w:val="en-US"/>
        </w:rPr>
      </w:pPr>
      <w:r w:rsidRPr="00FE3899">
        <w:rPr>
          <w:rFonts w:ascii="Arial" w:hAnsi="Arial" w:cs="Arial"/>
          <w:i/>
          <w:iCs/>
          <w:lang w:val="en-US"/>
        </w:rPr>
        <w:t>"After graduation, I entered a work environment that was very different from what I had prepared for in college. The routines, expectations, and responsibilities were unfamiliar. At first, I struggled to adjust, but over time I learned how to adapt and became more confident in my ability to work outside the teaching profession."</w:t>
      </w:r>
      <w:r w:rsidRPr="00FE3899">
        <w:rPr>
          <w:rFonts w:ascii="Arial" w:hAnsi="Arial" w:cs="Arial"/>
          <w:i/>
          <w:iCs/>
          <w:lang w:val="en-US"/>
        </w:rPr>
        <w:t xml:space="preserve"> P1</w:t>
      </w:r>
    </w:p>
    <w:p w14:paraId="329E41E7" w14:textId="77777777" w:rsidR="00EA2822" w:rsidRPr="00FE3899" w:rsidRDefault="00EA2822" w:rsidP="00EA2822">
      <w:pPr>
        <w:rPr>
          <w:rFonts w:ascii="Arial" w:hAnsi="Arial" w:cs="Arial"/>
          <w:lang w:val="en-US"/>
        </w:rPr>
      </w:pPr>
    </w:p>
    <w:p w14:paraId="70D9067F" w14:textId="32C1287F" w:rsidR="00EA2822" w:rsidRPr="00FE3899" w:rsidRDefault="00EA2822" w:rsidP="00EA2822">
      <w:pPr>
        <w:rPr>
          <w:rFonts w:ascii="Arial" w:hAnsi="Arial" w:cs="Arial"/>
          <w:b/>
          <w:bCs/>
          <w:lang w:val="en-US"/>
        </w:rPr>
      </w:pPr>
      <w:r w:rsidRPr="00FE3899">
        <w:rPr>
          <w:rFonts w:ascii="Arial" w:hAnsi="Arial" w:cs="Arial"/>
          <w:b/>
          <w:bCs/>
          <w:lang w:val="en-US"/>
        </w:rPr>
        <w:t>Theme 2: Utilizing Teaching Skills Beyond the Classroom</w:t>
      </w:r>
    </w:p>
    <w:p w14:paraId="22575522" w14:textId="6128A9A0" w:rsidR="00EA2822" w:rsidRPr="00FE3899" w:rsidRDefault="00EA2822" w:rsidP="00EA2822">
      <w:pPr>
        <w:ind w:firstLine="720"/>
        <w:jc w:val="both"/>
        <w:rPr>
          <w:rFonts w:ascii="Arial" w:hAnsi="Arial" w:cs="Arial"/>
          <w:lang w:val="en-US"/>
        </w:rPr>
      </w:pPr>
      <w:r w:rsidRPr="00FE3899">
        <w:rPr>
          <w:rFonts w:ascii="Arial" w:hAnsi="Arial" w:cs="Arial"/>
          <w:lang w:val="en-US"/>
        </w:rPr>
        <w:t xml:space="preserve">Participants recognized that the competencies developed during teacher education remained highly relevant in their non-teaching occupations. Communication skills, patience, interpersonal abilities, organization, and problem-solving emerged as valuable assets that contributed to workplace </w:t>
      </w:r>
      <w:proofErr w:type="spellStart"/>
      <w:proofErr w:type="gramStart"/>
      <w:r w:rsidRPr="00FE3899">
        <w:rPr>
          <w:rFonts w:ascii="Arial" w:hAnsi="Arial" w:cs="Arial"/>
          <w:lang w:val="en-US"/>
        </w:rPr>
        <w:t>success.This</w:t>
      </w:r>
      <w:proofErr w:type="spellEnd"/>
      <w:proofErr w:type="gramEnd"/>
      <w:r w:rsidRPr="00FE3899">
        <w:rPr>
          <w:rFonts w:ascii="Arial" w:hAnsi="Arial" w:cs="Arial"/>
          <w:lang w:val="en-US"/>
        </w:rPr>
        <w:t xml:space="preserve"> finding is supported by Human Capital Theory of Gary Becker, which suggests that education equips individuals with transferable knowledge and skills that can generate value across different occupational settings. Although participants were not employed as teachers, the competencies acquired through their education program enhanced their employability and performance in other sectors.</w:t>
      </w:r>
    </w:p>
    <w:p w14:paraId="6743A895" w14:textId="56760D85" w:rsidR="001B0B2F" w:rsidRPr="00FE3899" w:rsidRDefault="001B0B2F" w:rsidP="001B0B2F">
      <w:pPr>
        <w:jc w:val="both"/>
        <w:rPr>
          <w:rFonts w:ascii="Arial" w:hAnsi="Arial" w:cs="Arial"/>
        </w:rPr>
      </w:pPr>
      <w:r w:rsidRPr="00FE3899">
        <w:rPr>
          <w:rFonts w:ascii="Arial" w:hAnsi="Arial" w:cs="Arial"/>
        </w:rPr>
        <w:lastRenderedPageBreak/>
        <w:t>This collective experience is reflected in the following composite vignette:</w:t>
      </w:r>
    </w:p>
    <w:p w14:paraId="1FC4EF29" w14:textId="53BD74C1" w:rsidR="001B0B2F" w:rsidRPr="00FE3899" w:rsidRDefault="001B0B2F" w:rsidP="001B0B2F">
      <w:pPr>
        <w:ind w:left="1440"/>
        <w:jc w:val="both"/>
        <w:rPr>
          <w:rFonts w:ascii="Arial" w:hAnsi="Arial" w:cs="Arial"/>
          <w:i/>
          <w:iCs/>
          <w:lang w:val="en-US"/>
        </w:rPr>
      </w:pPr>
      <w:r w:rsidRPr="00FE3899">
        <w:rPr>
          <w:rFonts w:ascii="Arial" w:hAnsi="Arial" w:cs="Arial"/>
          <w:i/>
          <w:iCs/>
          <w:lang w:val="en-US"/>
        </w:rPr>
        <w:t>"Although I am no longer teaching, I still use many of the skills I learned as an education student. My ability to communicate clearly, remain patient, and explain information effectively helps me perform my job and interact with customers and colleagues every day."</w:t>
      </w:r>
      <w:r w:rsidRPr="00FE3899">
        <w:rPr>
          <w:rFonts w:ascii="Arial" w:hAnsi="Arial" w:cs="Arial"/>
          <w:i/>
          <w:iCs/>
          <w:lang w:val="en-US"/>
        </w:rPr>
        <w:t>P5</w:t>
      </w:r>
    </w:p>
    <w:p w14:paraId="71265D88" w14:textId="77777777" w:rsidR="00EA2822" w:rsidRPr="00FE3899" w:rsidRDefault="00EA2822" w:rsidP="00EA2822">
      <w:pPr>
        <w:ind w:firstLine="720"/>
        <w:jc w:val="both"/>
        <w:rPr>
          <w:rFonts w:ascii="Arial" w:hAnsi="Arial" w:cs="Arial"/>
          <w:lang w:val="en-US"/>
        </w:rPr>
      </w:pPr>
      <w:r w:rsidRPr="00FE3899">
        <w:rPr>
          <w:rFonts w:ascii="Arial" w:hAnsi="Arial" w:cs="Arial"/>
          <w:lang w:val="en-US"/>
        </w:rPr>
        <w:t xml:space="preserve">Recent research supports the transferability of teacher competencies. </w:t>
      </w:r>
      <w:proofErr w:type="spellStart"/>
      <w:r w:rsidRPr="00FE3899">
        <w:rPr>
          <w:rFonts w:ascii="Arial" w:hAnsi="Arial" w:cs="Arial"/>
          <w:lang w:val="en-US"/>
        </w:rPr>
        <w:t>Rizqi</w:t>
      </w:r>
      <w:proofErr w:type="spellEnd"/>
      <w:r w:rsidRPr="00FE3899">
        <w:rPr>
          <w:rFonts w:ascii="Arial" w:hAnsi="Arial" w:cs="Arial"/>
          <w:lang w:val="en-US"/>
        </w:rPr>
        <w:t xml:space="preserve"> et al. (2024) found that education graduates working outside teaching continued to utilize communication, instructional, and interpersonal skills acquired during teacher preparation programs. Hogg et al. (2023) similarly emphasized that individuals transitioning into new careers often leverage previously acquired competencies to facilitate adaptation and success. Studies examining professional transitions also indicate that transferable skills serve as important resources for navigating new employment environments and enhancing career mobility.</w:t>
      </w:r>
    </w:p>
    <w:p w14:paraId="24F96FDD" w14:textId="7488FA75" w:rsidR="00EA2822" w:rsidRPr="00FE3899" w:rsidRDefault="00EA2822" w:rsidP="001B0B2F">
      <w:pPr>
        <w:jc w:val="both"/>
        <w:rPr>
          <w:rFonts w:ascii="Arial" w:hAnsi="Arial" w:cs="Arial"/>
          <w:b/>
          <w:bCs/>
          <w:lang w:val="en-US"/>
        </w:rPr>
      </w:pPr>
      <w:r w:rsidRPr="00FE3899">
        <w:rPr>
          <w:rFonts w:ascii="Arial" w:hAnsi="Arial" w:cs="Arial"/>
          <w:lang w:val="en-US"/>
        </w:rPr>
        <w:tab/>
      </w:r>
      <w:r w:rsidRPr="00FE3899">
        <w:rPr>
          <w:rFonts w:ascii="Arial" w:hAnsi="Arial" w:cs="Arial"/>
          <w:b/>
          <w:bCs/>
          <w:lang w:val="en-US"/>
        </w:rPr>
        <w:t>Theme 3: Experiencing Professional Identity Dissonance</w:t>
      </w:r>
    </w:p>
    <w:p w14:paraId="60944187" w14:textId="12CD7F66" w:rsidR="00EA2822" w:rsidRPr="00FE3899" w:rsidRDefault="00EA2822" w:rsidP="00E93F21">
      <w:pPr>
        <w:ind w:firstLine="720"/>
        <w:jc w:val="both"/>
        <w:rPr>
          <w:rFonts w:ascii="Arial" w:hAnsi="Arial" w:cs="Arial"/>
          <w:lang w:val="en-US"/>
        </w:rPr>
      </w:pPr>
      <w:r w:rsidRPr="00FE3899">
        <w:rPr>
          <w:rFonts w:ascii="Arial" w:hAnsi="Arial" w:cs="Arial"/>
          <w:lang w:val="en-US"/>
        </w:rPr>
        <w:t xml:space="preserve">A significant finding was the experience of professional identity conflict among participants. Many expressed feelings of uncertainty, disappointment, or ambivalence regarding their career trajectories because they had originally envisioned themselves as teachers. Working outside the profession for which they were trained created tensions between their educational background and current occupational </w:t>
      </w:r>
      <w:proofErr w:type="spellStart"/>
      <w:proofErr w:type="gramStart"/>
      <w:r w:rsidRPr="00FE3899">
        <w:rPr>
          <w:rFonts w:ascii="Arial" w:hAnsi="Arial" w:cs="Arial"/>
          <w:lang w:val="en-US"/>
        </w:rPr>
        <w:t>roles.This</w:t>
      </w:r>
      <w:proofErr w:type="spellEnd"/>
      <w:proofErr w:type="gramEnd"/>
      <w:r w:rsidRPr="00FE3899">
        <w:rPr>
          <w:rFonts w:ascii="Arial" w:hAnsi="Arial" w:cs="Arial"/>
          <w:lang w:val="en-US"/>
        </w:rPr>
        <w:t xml:space="preserve"> theme is best explained through Professional Identity Theory, which argues that professional identity develops through the integration of personal beliefs, educational experiences, and occupational roles. When individuals are unable to enact the professional role for which they were prepared, identity tensions may emerge. Such tensions often prompt self-reflection and career reassessment.</w:t>
      </w:r>
    </w:p>
    <w:p w14:paraId="169CF399" w14:textId="77777777" w:rsidR="001B0B2F" w:rsidRPr="00FE3899" w:rsidRDefault="001B0B2F" w:rsidP="001B0B2F">
      <w:pPr>
        <w:jc w:val="both"/>
        <w:rPr>
          <w:rFonts w:ascii="Arial" w:hAnsi="Arial" w:cs="Arial"/>
          <w:i/>
          <w:iCs/>
        </w:rPr>
      </w:pPr>
      <w:r w:rsidRPr="00FE3899">
        <w:rPr>
          <w:rFonts w:ascii="Arial" w:hAnsi="Arial" w:cs="Arial"/>
        </w:rPr>
        <w:t>The participan</w:t>
      </w:r>
      <w:r w:rsidRPr="00FE3899">
        <w:rPr>
          <w:rFonts w:ascii="Arial" w:hAnsi="Arial" w:cs="Arial"/>
          <w:i/>
          <w:iCs/>
        </w:rPr>
        <w:t xml:space="preserve">ts' </w:t>
      </w:r>
      <w:r w:rsidRPr="00FE3899">
        <w:rPr>
          <w:rFonts w:ascii="Arial" w:hAnsi="Arial" w:cs="Arial"/>
        </w:rPr>
        <w:t>shared experiences are represented in the following vignette:</w:t>
      </w:r>
    </w:p>
    <w:p w14:paraId="32A2D45A" w14:textId="373B5A8B" w:rsidR="00EA2822" w:rsidRPr="00FE3899" w:rsidRDefault="001B0B2F" w:rsidP="001B0B2F">
      <w:pPr>
        <w:ind w:left="1440"/>
        <w:jc w:val="both"/>
        <w:rPr>
          <w:rFonts w:ascii="Arial" w:hAnsi="Arial" w:cs="Arial"/>
          <w:i/>
          <w:iCs/>
          <w:lang w:val="en-US"/>
        </w:rPr>
      </w:pPr>
      <w:r w:rsidRPr="00FE3899">
        <w:rPr>
          <w:rFonts w:ascii="Arial" w:hAnsi="Arial" w:cs="Arial"/>
          <w:i/>
          <w:iCs/>
          <w:lang w:val="en-US"/>
        </w:rPr>
        <w:t>"I worked hard to earn my education degree and dreamed of becoming a teacher. When I found myself working in another field, I sometimes questioned whether I had made the right choice. Even though I accepted my current job, a part of me still identified as a teacher and hoped to enter the profession someday." P9</w:t>
      </w:r>
    </w:p>
    <w:p w14:paraId="2BB94149" w14:textId="77777777" w:rsidR="00EA2822" w:rsidRPr="00FE3899" w:rsidRDefault="00EA2822" w:rsidP="001B0B2F">
      <w:pPr>
        <w:ind w:firstLine="720"/>
        <w:jc w:val="both"/>
        <w:rPr>
          <w:rFonts w:ascii="Arial" w:hAnsi="Arial" w:cs="Arial"/>
          <w:lang w:val="en-US"/>
        </w:rPr>
      </w:pPr>
      <w:r w:rsidRPr="00FE3899">
        <w:rPr>
          <w:rFonts w:ascii="Arial" w:hAnsi="Arial" w:cs="Arial"/>
          <w:lang w:val="en-US"/>
        </w:rPr>
        <w:t xml:space="preserve">The findings align with studies highlighting identity struggles during occupational transitions. Noel (2021) reported that teachers who leave the profession frequently experience identity tensions as they negotiate new career paths. Likewise, Smetana and </w:t>
      </w:r>
      <w:proofErr w:type="spellStart"/>
      <w:r w:rsidRPr="00FE3899">
        <w:rPr>
          <w:rFonts w:ascii="Arial" w:hAnsi="Arial" w:cs="Arial"/>
          <w:lang w:val="en-US"/>
        </w:rPr>
        <w:t>Kushki</w:t>
      </w:r>
      <w:proofErr w:type="spellEnd"/>
      <w:r w:rsidRPr="00FE3899">
        <w:rPr>
          <w:rFonts w:ascii="Arial" w:hAnsi="Arial" w:cs="Arial"/>
          <w:lang w:val="en-US"/>
        </w:rPr>
        <w:t xml:space="preserve"> (2021) found that career transitions often require individuals to reconstruct professional identities in response to changing circumstances. More recently, </w:t>
      </w:r>
      <w:proofErr w:type="spellStart"/>
      <w:r w:rsidRPr="00FE3899">
        <w:rPr>
          <w:rFonts w:ascii="Arial" w:hAnsi="Arial" w:cs="Arial"/>
          <w:lang w:val="en-US"/>
        </w:rPr>
        <w:t>Hempkin</w:t>
      </w:r>
      <w:proofErr w:type="spellEnd"/>
      <w:r w:rsidRPr="00FE3899">
        <w:rPr>
          <w:rFonts w:ascii="Arial" w:hAnsi="Arial" w:cs="Arial"/>
          <w:lang w:val="en-US"/>
        </w:rPr>
        <w:t xml:space="preserve"> (2023) emphasized that professional identity is dynamic and continuously negotiated, particularly during periods of career transition and occupational change.</w:t>
      </w:r>
    </w:p>
    <w:p w14:paraId="79F14E5D" w14:textId="77777777" w:rsidR="00EA2822" w:rsidRPr="00FE3899" w:rsidRDefault="00EA2822" w:rsidP="00EA2822">
      <w:pPr>
        <w:rPr>
          <w:rFonts w:ascii="Arial" w:hAnsi="Arial" w:cs="Arial"/>
          <w:lang w:val="en-US"/>
        </w:rPr>
      </w:pPr>
    </w:p>
    <w:p w14:paraId="5056CAB7" w14:textId="56C116B9" w:rsidR="00EA2822" w:rsidRPr="00FE3899" w:rsidRDefault="00EA2822" w:rsidP="00EA2822">
      <w:pPr>
        <w:rPr>
          <w:rFonts w:ascii="Arial" w:hAnsi="Arial" w:cs="Arial"/>
          <w:b/>
          <w:bCs/>
          <w:lang w:val="en-US"/>
        </w:rPr>
      </w:pPr>
      <w:r w:rsidRPr="00FE3899">
        <w:rPr>
          <w:rFonts w:ascii="Arial" w:hAnsi="Arial" w:cs="Arial"/>
          <w:b/>
          <w:bCs/>
          <w:lang w:val="en-US"/>
        </w:rPr>
        <w:t>Theme 4: Developing Practical Perspectives on Career Success</w:t>
      </w:r>
      <w:r w:rsidR="00E93F21" w:rsidRPr="00FE3899">
        <w:rPr>
          <w:rFonts w:ascii="Arial" w:hAnsi="Arial" w:cs="Arial"/>
          <w:b/>
          <w:bCs/>
          <w:lang w:val="en-US"/>
        </w:rPr>
        <w:tab/>
      </w:r>
    </w:p>
    <w:p w14:paraId="0A6CF9C7" w14:textId="77777777" w:rsidR="00E93F21" w:rsidRPr="00FE3899" w:rsidRDefault="00E93F21" w:rsidP="00E93F21">
      <w:pPr>
        <w:ind w:firstLine="720"/>
        <w:rPr>
          <w:rFonts w:ascii="Arial" w:hAnsi="Arial" w:cs="Arial"/>
          <w:lang w:val="en-US"/>
        </w:rPr>
      </w:pPr>
    </w:p>
    <w:p w14:paraId="46EA383B" w14:textId="167E681E" w:rsidR="00EA2822" w:rsidRPr="00FE3899" w:rsidRDefault="00EA2822" w:rsidP="00E93F21">
      <w:pPr>
        <w:ind w:firstLine="720"/>
        <w:jc w:val="both"/>
        <w:rPr>
          <w:rFonts w:ascii="Arial" w:hAnsi="Arial" w:cs="Arial"/>
          <w:lang w:val="en-US"/>
        </w:rPr>
      </w:pPr>
      <w:r w:rsidRPr="00FE3899">
        <w:rPr>
          <w:rFonts w:ascii="Arial" w:hAnsi="Arial" w:cs="Arial"/>
          <w:lang w:val="en-US"/>
        </w:rPr>
        <w:t xml:space="preserve">Participants reported that working outside the teaching profession broadened their understanding of success and employability. They came to appreciate the value of practical experience, workplace competence, and adaptability, recognizing that academic qualifications alone do not guarantee professional </w:t>
      </w:r>
      <w:proofErr w:type="spellStart"/>
      <w:r w:rsidRPr="00FE3899">
        <w:rPr>
          <w:rFonts w:ascii="Arial" w:hAnsi="Arial" w:cs="Arial"/>
          <w:lang w:val="en-US"/>
        </w:rPr>
        <w:t>success.This</w:t>
      </w:r>
      <w:proofErr w:type="spellEnd"/>
      <w:r w:rsidRPr="00FE3899">
        <w:rPr>
          <w:rFonts w:ascii="Arial" w:hAnsi="Arial" w:cs="Arial"/>
          <w:lang w:val="en-US"/>
        </w:rPr>
        <w:t xml:space="preserve"> finding is consistent with Social Cognitive </w:t>
      </w:r>
      <w:r w:rsidRPr="00FE3899">
        <w:rPr>
          <w:rFonts w:ascii="Arial" w:hAnsi="Arial" w:cs="Arial"/>
          <w:lang w:val="en-US"/>
        </w:rPr>
        <w:lastRenderedPageBreak/>
        <w:t>Career Theory (SCCT) developed by Robert W. Lent and colleagues, which posits that career development is influenced by learning experiences, self-efficacy beliefs, and environmental factors. Through exposure to diverse workplaces, participants developed new perceptions regarding competence, career advancement, and professional achievement.</w:t>
      </w:r>
    </w:p>
    <w:p w14:paraId="57E1D325" w14:textId="77777777" w:rsidR="001B0B2F" w:rsidRPr="00FE3899" w:rsidRDefault="001B0B2F" w:rsidP="001B0B2F">
      <w:pPr>
        <w:jc w:val="both"/>
        <w:rPr>
          <w:rFonts w:ascii="Arial" w:hAnsi="Arial" w:cs="Arial"/>
          <w:i/>
          <w:iCs/>
        </w:rPr>
      </w:pPr>
      <w:r w:rsidRPr="00FE3899">
        <w:rPr>
          <w:rFonts w:ascii="Arial" w:hAnsi="Arial" w:cs="Arial"/>
          <w:lang w:val="en-US"/>
        </w:rPr>
        <w:tab/>
      </w:r>
      <w:r w:rsidRPr="00FE3899">
        <w:rPr>
          <w:rFonts w:ascii="Arial" w:hAnsi="Arial" w:cs="Arial"/>
        </w:rPr>
        <w:t>The participan</w:t>
      </w:r>
      <w:r w:rsidRPr="00FE3899">
        <w:rPr>
          <w:rFonts w:ascii="Arial" w:hAnsi="Arial" w:cs="Arial"/>
          <w:i/>
          <w:iCs/>
        </w:rPr>
        <w:t xml:space="preserve">ts' </w:t>
      </w:r>
      <w:r w:rsidRPr="00FE3899">
        <w:rPr>
          <w:rFonts w:ascii="Arial" w:hAnsi="Arial" w:cs="Arial"/>
        </w:rPr>
        <w:t>shared experiences are represented in the following vignette:</w:t>
      </w:r>
    </w:p>
    <w:p w14:paraId="227C187C" w14:textId="3350ABF0" w:rsidR="00EA2822" w:rsidRPr="00FE3899" w:rsidRDefault="001B0B2F" w:rsidP="001B0B2F">
      <w:pPr>
        <w:ind w:left="1440"/>
        <w:jc w:val="both"/>
        <w:rPr>
          <w:rFonts w:ascii="Arial" w:hAnsi="Arial" w:cs="Arial"/>
          <w:i/>
          <w:iCs/>
          <w:lang w:val="en-US"/>
        </w:rPr>
      </w:pPr>
      <w:r w:rsidRPr="00FE3899">
        <w:rPr>
          <w:rFonts w:ascii="Arial" w:hAnsi="Arial" w:cs="Arial"/>
          <w:i/>
          <w:iCs/>
          <w:lang w:val="en-US"/>
        </w:rPr>
        <w:t>"Working with people from different educational backgrounds taught me that success depends on more than a college degree. I realized that experience, adaptability, and continuous learning are equally important. These experiences changed the way I view career growth and professional achievement." P11</w:t>
      </w:r>
    </w:p>
    <w:p w14:paraId="4C9DD2C0" w14:textId="7B0D4821" w:rsidR="00EA2822" w:rsidRPr="00FE3899" w:rsidRDefault="00EA2822" w:rsidP="001B0B2F">
      <w:pPr>
        <w:ind w:firstLine="720"/>
        <w:jc w:val="both"/>
        <w:rPr>
          <w:rFonts w:ascii="Arial" w:hAnsi="Arial" w:cs="Arial"/>
          <w:lang w:val="en-US"/>
        </w:rPr>
      </w:pPr>
      <w:r w:rsidRPr="00FE3899">
        <w:rPr>
          <w:rFonts w:ascii="Arial" w:hAnsi="Arial" w:cs="Arial"/>
          <w:lang w:val="en-US"/>
        </w:rPr>
        <w:t>Recent studies support this interpretation. Boyle (2022) found that graduates often redefine their notions of career success as they encounter workplace realities that differ from their educational expectations. Li and Horta (2023) similarly observed that individuals transitioning to alternative careers develop new understandings of professional achievement based on practical experiences and workplace opportunities. Goldhaber et al. (2022) further noted that career trajectories among education graduates are often shaped by contextual opportunities rather than solely by academic preparation.</w:t>
      </w:r>
    </w:p>
    <w:p w14:paraId="3041DC2A" w14:textId="38E0D235" w:rsidR="00E25B13" w:rsidRPr="00FE3899" w:rsidRDefault="00E25B13" w:rsidP="00E25B13">
      <w:pPr>
        <w:jc w:val="both"/>
        <w:rPr>
          <w:rFonts w:ascii="Arial" w:hAnsi="Arial" w:cs="Arial"/>
          <w:b/>
          <w:bCs/>
        </w:rPr>
      </w:pPr>
      <w:r w:rsidRPr="00FE3899">
        <w:rPr>
          <w:rFonts w:ascii="Arial" w:hAnsi="Arial" w:cs="Arial"/>
          <w:b/>
          <w:bCs/>
        </w:rPr>
        <w:t>Factors That Influenced Education Graduates' Decisions to Pursue Careers Outside the Field of Teaching</w:t>
      </w:r>
    </w:p>
    <w:p w14:paraId="551EBE26" w14:textId="77777777" w:rsidR="00E25B13" w:rsidRPr="00FE3899" w:rsidRDefault="00E25B13" w:rsidP="00E25B13">
      <w:pPr>
        <w:jc w:val="both"/>
        <w:rPr>
          <w:rFonts w:ascii="Arial" w:hAnsi="Arial" w:cs="Arial"/>
          <w:b/>
          <w:bCs/>
        </w:rPr>
      </w:pPr>
      <w:r w:rsidRPr="00FE3899">
        <w:rPr>
          <w:rFonts w:ascii="Arial" w:hAnsi="Arial" w:cs="Arial"/>
          <w:b/>
          <w:bCs/>
        </w:rPr>
        <w:t>Theme 1: Seeking Financial Stability and Immediate Income</w:t>
      </w:r>
    </w:p>
    <w:p w14:paraId="7B0722E9" w14:textId="77777777" w:rsidR="00E25B13" w:rsidRPr="00FE3899" w:rsidRDefault="00E25B13" w:rsidP="00E25B13">
      <w:pPr>
        <w:ind w:firstLine="720"/>
        <w:jc w:val="both"/>
        <w:rPr>
          <w:rFonts w:ascii="Arial" w:hAnsi="Arial" w:cs="Arial"/>
        </w:rPr>
      </w:pPr>
      <w:r w:rsidRPr="00FE3899">
        <w:rPr>
          <w:rFonts w:ascii="Arial" w:hAnsi="Arial" w:cs="Arial"/>
        </w:rPr>
        <w:t>Financial stability and the need for immediate income emerged as one of the most influential factors that led education graduates to pursue careers outside the teaching profession. Participants consistently emphasized the urgency of securing employment immediately after graduation to meet personal and family financial obligations. While many initially aspired to enter the teaching profession, economic realities often compelled them to seek alternative employment opportunities that provided faster hiring processes and higher starting salaries. The findings suggest that participants viewed financial security as a practical necessity that outweighed their professional aspirations in teaching.</w:t>
      </w:r>
    </w:p>
    <w:p w14:paraId="5BD33DA7" w14:textId="77777777" w:rsidR="00E25B13" w:rsidRPr="00FE3899" w:rsidRDefault="00E25B13" w:rsidP="00E25B13">
      <w:pPr>
        <w:jc w:val="both"/>
        <w:rPr>
          <w:rFonts w:ascii="Arial" w:hAnsi="Arial" w:cs="Arial"/>
        </w:rPr>
      </w:pPr>
      <w:r w:rsidRPr="00FE3899">
        <w:rPr>
          <w:rFonts w:ascii="Arial" w:hAnsi="Arial" w:cs="Arial"/>
        </w:rPr>
        <w:t>This collective experience is reflected in the following composite vignette:</w:t>
      </w:r>
    </w:p>
    <w:p w14:paraId="51F116FE" w14:textId="77777777" w:rsidR="00E25B13" w:rsidRPr="00FE3899" w:rsidRDefault="00E25B13" w:rsidP="00E25B13">
      <w:pPr>
        <w:ind w:left="1440"/>
        <w:jc w:val="both"/>
        <w:rPr>
          <w:rFonts w:ascii="Arial" w:hAnsi="Arial" w:cs="Arial"/>
        </w:rPr>
      </w:pPr>
      <w:r w:rsidRPr="00FE3899">
        <w:rPr>
          <w:rFonts w:ascii="Arial" w:hAnsi="Arial" w:cs="Arial"/>
          <w:i/>
          <w:iCs/>
        </w:rPr>
        <w:t>"After graduation, I needed a stable source of income as soon as possible. Teaching opportunities were limited and often required a long waiting period before employment. In contrast, non-teaching jobs provided immediate hiring and better starting salaries. Although teaching remained my ideal profession, financial realities led me to choose a different career path."</w:t>
      </w:r>
    </w:p>
    <w:p w14:paraId="290BFA9F" w14:textId="78AC8F71" w:rsidR="00E25B13" w:rsidRPr="00FE3899" w:rsidRDefault="00E25B13" w:rsidP="00E25B13">
      <w:pPr>
        <w:ind w:firstLine="720"/>
        <w:jc w:val="both"/>
        <w:rPr>
          <w:rFonts w:ascii="Arial" w:hAnsi="Arial" w:cs="Arial"/>
        </w:rPr>
      </w:pPr>
      <w:r w:rsidRPr="00FE3899">
        <w:rPr>
          <w:rFonts w:ascii="Arial" w:hAnsi="Arial" w:cs="Arial"/>
        </w:rPr>
        <w:t>The</w:t>
      </w:r>
      <w:r w:rsidRPr="00FE3899">
        <w:rPr>
          <w:rFonts w:ascii="Arial" w:hAnsi="Arial" w:cs="Arial"/>
        </w:rPr>
        <w:t xml:space="preserve"> collective</w:t>
      </w:r>
      <w:r w:rsidRPr="00FE3899">
        <w:rPr>
          <w:rFonts w:ascii="Arial" w:hAnsi="Arial" w:cs="Arial"/>
        </w:rPr>
        <w:t xml:space="preserve"> vignette illustrates how participants perceived a conflict between their desire to become teachers and their immediate economic needs. Although teaching remained a valued career goal, financial pressures necessitated alternative employment decisions. The participants did not necessarily reject the teaching profession; rather, they postponed or redirected their career trajectories in response to economic circumstances.</w:t>
      </w:r>
    </w:p>
    <w:p w14:paraId="4B9A7243" w14:textId="77777777" w:rsidR="00E25B13" w:rsidRPr="00FE3899" w:rsidRDefault="00E25B13" w:rsidP="00E25B13">
      <w:pPr>
        <w:ind w:firstLine="720"/>
        <w:jc w:val="both"/>
        <w:rPr>
          <w:rFonts w:ascii="Arial" w:hAnsi="Arial" w:cs="Arial"/>
        </w:rPr>
      </w:pPr>
      <w:r w:rsidRPr="00FE3899">
        <w:rPr>
          <w:rFonts w:ascii="Arial" w:hAnsi="Arial" w:cs="Arial"/>
        </w:rPr>
        <w:t xml:space="preserve">This finding can be understood through Rational Choice Theory, which argues that individuals make decisions by evaluating available alternatives and selecting options that maximize benefits while minimizing costs. Participants assessed the delayed employment </w:t>
      </w:r>
      <w:r w:rsidRPr="00FE3899">
        <w:rPr>
          <w:rFonts w:ascii="Arial" w:hAnsi="Arial" w:cs="Arial"/>
        </w:rPr>
        <w:lastRenderedPageBreak/>
        <w:t>prospects and relatively lower immediate financial returns associated with teaching against the more favorable economic opportunities offered by non-teaching occupations. Their decisions reflected rational responses to financial realities and labor market conditions.</w:t>
      </w:r>
    </w:p>
    <w:p w14:paraId="7F1E5FA2" w14:textId="77777777" w:rsidR="00E25B13" w:rsidRPr="00FE3899" w:rsidRDefault="00E25B13" w:rsidP="00E25B13">
      <w:pPr>
        <w:ind w:firstLine="720"/>
        <w:jc w:val="both"/>
        <w:rPr>
          <w:rFonts w:ascii="Arial" w:hAnsi="Arial" w:cs="Arial"/>
        </w:rPr>
      </w:pPr>
      <w:r w:rsidRPr="00FE3899">
        <w:rPr>
          <w:rFonts w:ascii="Arial" w:hAnsi="Arial" w:cs="Arial"/>
        </w:rPr>
        <w:t>Similarly, Human Capital Theory suggests that individuals seek employment opportunities that provide optimal returns on their educational investments (Becker, 1993). Participants recognized that their education degree equipped them with transferable competencies that could be utilized in other industries offering more immediate financial rewards. Consequently, many pursued occupations where they believed their skills could generate greater economic benefits.</w:t>
      </w:r>
    </w:p>
    <w:p w14:paraId="4B47CE40" w14:textId="77777777" w:rsidR="00E25B13" w:rsidRPr="00FE3899" w:rsidRDefault="00E25B13" w:rsidP="00E25B13">
      <w:pPr>
        <w:ind w:firstLine="720"/>
        <w:jc w:val="both"/>
        <w:rPr>
          <w:rFonts w:ascii="Arial" w:hAnsi="Arial" w:cs="Arial"/>
        </w:rPr>
      </w:pPr>
      <w:r w:rsidRPr="00FE3899">
        <w:rPr>
          <w:rFonts w:ascii="Arial" w:hAnsi="Arial" w:cs="Arial"/>
        </w:rPr>
        <w:t xml:space="preserve">The findings support previous studies indicating that financial considerations are among the strongest predictors of career diversion among education graduates. García and Weiss (2020) found that compensation concerns significantly influence graduates' decisions to delay or abandon entry into the teaching profession. Likewise, Madigan and Kim (2021) reported that salary expectations and financial security remain critical determinants of career choices among prospective teachers. Furthermore, </w:t>
      </w:r>
      <w:proofErr w:type="gramStart"/>
      <w:r w:rsidRPr="00FE3899">
        <w:rPr>
          <w:rFonts w:ascii="Arial" w:hAnsi="Arial" w:cs="Arial"/>
        </w:rPr>
        <w:t>See</w:t>
      </w:r>
      <w:proofErr w:type="gramEnd"/>
      <w:r w:rsidRPr="00FE3899">
        <w:rPr>
          <w:rFonts w:ascii="Arial" w:hAnsi="Arial" w:cs="Arial"/>
        </w:rPr>
        <w:t xml:space="preserve"> et al. (2022) observed that inadequate compensation and economic uncertainty contribute substantially to teacher shortages by encouraging graduates to seek employment in more lucrative sectors.</w:t>
      </w:r>
    </w:p>
    <w:p w14:paraId="1CC04598" w14:textId="77777777" w:rsidR="00E25B13" w:rsidRPr="00FE3899" w:rsidRDefault="00E25B13" w:rsidP="00E25B13">
      <w:pPr>
        <w:ind w:firstLine="720"/>
        <w:jc w:val="both"/>
        <w:rPr>
          <w:rFonts w:ascii="Arial" w:hAnsi="Arial" w:cs="Arial"/>
        </w:rPr>
      </w:pPr>
      <w:r w:rsidRPr="00FE3899">
        <w:rPr>
          <w:rFonts w:ascii="Arial" w:hAnsi="Arial" w:cs="Arial"/>
        </w:rPr>
        <w:t>Taken together, the findings suggest that financial necessity functions as both an immediate survival mechanism and a long-term career consideration. The participants' experiences demonstrate that career decisions are shaped not only by professional interests but also by broader economic realities that influence employment choices.</w:t>
      </w:r>
    </w:p>
    <w:p w14:paraId="516F37DF" w14:textId="77777777" w:rsidR="00E25B13" w:rsidRPr="00FE3899" w:rsidRDefault="00E25B13" w:rsidP="00E25B13">
      <w:pPr>
        <w:jc w:val="both"/>
        <w:rPr>
          <w:rFonts w:ascii="Arial" w:hAnsi="Arial" w:cs="Arial"/>
          <w:b/>
          <w:bCs/>
          <w:lang w:val="en-US"/>
        </w:rPr>
      </w:pPr>
    </w:p>
    <w:p w14:paraId="5D906997" w14:textId="77777777" w:rsidR="00E25B13" w:rsidRPr="00FE3899" w:rsidRDefault="00E25B13" w:rsidP="00E25B13">
      <w:pPr>
        <w:jc w:val="both"/>
        <w:rPr>
          <w:rFonts w:ascii="Arial" w:hAnsi="Arial" w:cs="Arial"/>
          <w:b/>
          <w:bCs/>
        </w:rPr>
      </w:pPr>
      <w:r w:rsidRPr="00FE3899">
        <w:rPr>
          <w:rFonts w:ascii="Arial" w:hAnsi="Arial" w:cs="Arial"/>
          <w:b/>
          <w:bCs/>
        </w:rPr>
        <w:t>Theme 2: Avoiding Lengthy and Uncertain Teaching Recruitment Processes</w:t>
      </w:r>
    </w:p>
    <w:p w14:paraId="293BBCBD" w14:textId="77777777" w:rsidR="00E25B13" w:rsidRPr="00FE3899" w:rsidRDefault="00E25B13" w:rsidP="00E25B13">
      <w:pPr>
        <w:ind w:firstLine="720"/>
        <w:jc w:val="both"/>
        <w:rPr>
          <w:rFonts w:ascii="Arial" w:hAnsi="Arial" w:cs="Arial"/>
        </w:rPr>
      </w:pPr>
      <w:r w:rsidRPr="00FE3899">
        <w:rPr>
          <w:rFonts w:ascii="Arial" w:hAnsi="Arial" w:cs="Arial"/>
        </w:rPr>
        <w:t>The findings revealed that the lengthy and uncertain recruitment process in the teaching profession significantly influenced participants' decisions to pursue alternative careers. Many participants perceived the process of securing a teaching position, particularly in public schools, as time-consuming, competitive, and unpredictable. The numerous documentary requirements, ranking procedures, interviews, and prolonged waiting periods discouraged participants from immediately pursuing teaching careers. Given their need for financial stability and employment security, many chose occupations that offered faster hiring and more immediate income opportunities.</w:t>
      </w:r>
    </w:p>
    <w:p w14:paraId="73C468B0" w14:textId="77777777" w:rsidR="00E25B13" w:rsidRPr="00FE3899" w:rsidRDefault="00E25B13" w:rsidP="00E25B13">
      <w:pPr>
        <w:jc w:val="both"/>
        <w:rPr>
          <w:rFonts w:ascii="Arial" w:hAnsi="Arial" w:cs="Arial"/>
        </w:rPr>
      </w:pPr>
      <w:r w:rsidRPr="00FE3899">
        <w:rPr>
          <w:rFonts w:ascii="Arial" w:hAnsi="Arial" w:cs="Arial"/>
        </w:rPr>
        <w:t>This collective experience is illustrated in the following composite vignette:</w:t>
      </w:r>
    </w:p>
    <w:p w14:paraId="50F11375" w14:textId="77777777" w:rsidR="00E25B13" w:rsidRPr="00FE3899" w:rsidRDefault="00E25B13" w:rsidP="00E25B13">
      <w:pPr>
        <w:ind w:left="1440"/>
        <w:jc w:val="both"/>
        <w:rPr>
          <w:rFonts w:ascii="Arial" w:hAnsi="Arial" w:cs="Arial"/>
        </w:rPr>
      </w:pPr>
      <w:r w:rsidRPr="00FE3899">
        <w:rPr>
          <w:rFonts w:ascii="Arial" w:hAnsi="Arial" w:cs="Arial"/>
          <w:i/>
          <w:iCs/>
        </w:rPr>
        <w:t>"I wanted to become a teacher, but the hiring process seemed very long and uncertain. There were many requirements to complete, and there was no guarantee of immediate employment. I could not afford to wait indefinitely without income. When another industry offered a quicker opportunity to work, I decided to pursue it instead."</w:t>
      </w:r>
    </w:p>
    <w:p w14:paraId="4B846285" w14:textId="77777777" w:rsidR="00E25B13" w:rsidRPr="00FE3899" w:rsidRDefault="00E25B13" w:rsidP="00E25B13">
      <w:pPr>
        <w:ind w:firstLine="720"/>
        <w:jc w:val="both"/>
        <w:rPr>
          <w:rFonts w:ascii="Arial" w:hAnsi="Arial" w:cs="Arial"/>
        </w:rPr>
      </w:pPr>
      <w:r w:rsidRPr="00FE3899">
        <w:rPr>
          <w:rFonts w:ascii="Arial" w:hAnsi="Arial" w:cs="Arial"/>
        </w:rPr>
        <w:t>The vignette demonstrates how participants perceived a mismatch between their aspirations and the realities of entering the teaching profession. While they possessed the qualifications and desire to teach, the uncertainty surrounding recruitment created barriers that made alternative occupations more attractive. Participants viewed immediate employment as a practical necessity, leading them to prioritize occupations with clearer and more predictable hiring pathways.</w:t>
      </w:r>
    </w:p>
    <w:p w14:paraId="30C45B30" w14:textId="77777777" w:rsidR="00E25B13" w:rsidRPr="00FE3899" w:rsidRDefault="00E25B13" w:rsidP="00E25B13">
      <w:pPr>
        <w:ind w:firstLine="720"/>
        <w:jc w:val="both"/>
        <w:rPr>
          <w:rFonts w:ascii="Arial" w:hAnsi="Arial" w:cs="Arial"/>
        </w:rPr>
      </w:pPr>
      <w:r w:rsidRPr="00FE3899">
        <w:rPr>
          <w:rFonts w:ascii="Arial" w:hAnsi="Arial" w:cs="Arial"/>
        </w:rPr>
        <w:lastRenderedPageBreak/>
        <w:t>This finding may be understood through Expectancy Theory (Vroom, 1964), which posits that individuals are motivated to pursue activities when they believe their efforts will result in desired outcomes. Participants perceived that the extensive effort required during the teacher recruitment process did not guarantee employment. Consequently, the expected rewards of pursuing teaching were diminished, making alternative careers more appealing.</w:t>
      </w:r>
    </w:p>
    <w:p w14:paraId="77EB163A" w14:textId="77777777" w:rsidR="00E25B13" w:rsidRPr="00FE3899" w:rsidRDefault="00E25B13" w:rsidP="00E25B13">
      <w:pPr>
        <w:ind w:firstLine="720"/>
        <w:jc w:val="both"/>
        <w:rPr>
          <w:rFonts w:ascii="Arial" w:hAnsi="Arial" w:cs="Arial"/>
        </w:rPr>
      </w:pPr>
      <w:r w:rsidRPr="00FE3899">
        <w:rPr>
          <w:rFonts w:ascii="Arial" w:hAnsi="Arial" w:cs="Arial"/>
        </w:rPr>
        <w:t>The findings also align with Labor Market Queue Theory, which suggests that individuals strategically respond to barriers in employment systems by seeking opportunities in sectors where entry is more accessible. Participants demonstrated adaptive decision-making by redirecting their efforts toward industries that provided immediate opportunities and reduced uncertainty.</w:t>
      </w:r>
    </w:p>
    <w:p w14:paraId="10C0AE74" w14:textId="77777777" w:rsidR="00E25B13" w:rsidRPr="00FE3899" w:rsidRDefault="00E25B13" w:rsidP="00E25B13">
      <w:pPr>
        <w:ind w:firstLine="720"/>
        <w:jc w:val="both"/>
        <w:rPr>
          <w:rFonts w:ascii="Arial" w:hAnsi="Arial" w:cs="Arial"/>
        </w:rPr>
      </w:pPr>
      <w:r w:rsidRPr="00FE3899">
        <w:rPr>
          <w:rFonts w:ascii="Arial" w:hAnsi="Arial" w:cs="Arial"/>
        </w:rPr>
        <w:t>The present findings are consistent with Nguyen et al. (2021), who found that prolonged recruitment procedures discourage graduates from entering the teaching profession. Similarly, Klassen and Kim (2022) reported that bureaucratic hiring systems reduce the attractiveness of teaching careers among young professionals. OECD (2023) further highlighted that complex recruitment mechanisms contribute to teacher shortages by delaying the entry of qualified graduates into the profession.</w:t>
      </w:r>
    </w:p>
    <w:p w14:paraId="4AF14386" w14:textId="77777777" w:rsidR="00E25B13" w:rsidRPr="00FE3899" w:rsidRDefault="00E25B13" w:rsidP="00E25B13">
      <w:pPr>
        <w:ind w:firstLine="720"/>
        <w:jc w:val="both"/>
        <w:rPr>
          <w:rFonts w:ascii="Arial" w:hAnsi="Arial" w:cs="Arial"/>
          <w:b/>
          <w:bCs/>
        </w:rPr>
      </w:pPr>
      <w:r w:rsidRPr="00FE3899">
        <w:rPr>
          <w:rFonts w:ascii="Arial" w:hAnsi="Arial" w:cs="Arial"/>
        </w:rPr>
        <w:t>Overall, the findings suggest that the structure and efficiency of teacher recruitment systems play a critical role in shaping career decisions among education graduates. The participants' experiences indicate that simplifying hiring procedures and reducing waiting periods may encourage more graduates to remain within the teaching profession.</w:t>
      </w:r>
    </w:p>
    <w:p w14:paraId="24B84C0A" w14:textId="0F07EAA6" w:rsidR="00E25B13" w:rsidRPr="00FE3899" w:rsidRDefault="00E25B13" w:rsidP="00E25B13">
      <w:pPr>
        <w:jc w:val="both"/>
        <w:rPr>
          <w:rFonts w:ascii="Arial" w:hAnsi="Arial" w:cs="Arial"/>
          <w:b/>
          <w:bCs/>
        </w:rPr>
      </w:pPr>
    </w:p>
    <w:p w14:paraId="4D49E5BD" w14:textId="77777777" w:rsidR="00E25B13" w:rsidRPr="00FE3899" w:rsidRDefault="00E25B13" w:rsidP="00E25B13">
      <w:pPr>
        <w:jc w:val="both"/>
        <w:rPr>
          <w:rFonts w:ascii="Arial" w:hAnsi="Arial" w:cs="Arial"/>
          <w:b/>
          <w:bCs/>
        </w:rPr>
      </w:pPr>
      <w:r w:rsidRPr="00FE3899">
        <w:rPr>
          <w:rFonts w:ascii="Arial" w:hAnsi="Arial" w:cs="Arial"/>
          <w:b/>
          <w:bCs/>
        </w:rPr>
        <w:t>Theme 3: Responding to Licensure Examination Outcomes</w:t>
      </w:r>
    </w:p>
    <w:p w14:paraId="475F6289" w14:textId="77777777" w:rsidR="00E25B13" w:rsidRPr="00FE3899" w:rsidRDefault="00E25B13" w:rsidP="00E25B13">
      <w:pPr>
        <w:jc w:val="both"/>
        <w:rPr>
          <w:rFonts w:ascii="Arial" w:hAnsi="Arial" w:cs="Arial"/>
          <w:b/>
          <w:bCs/>
        </w:rPr>
      </w:pPr>
    </w:p>
    <w:p w14:paraId="2BA4C0D7" w14:textId="3DC19AE0" w:rsidR="00E25B13" w:rsidRPr="00FE3899" w:rsidRDefault="00E25B13" w:rsidP="00E25B13">
      <w:pPr>
        <w:ind w:firstLine="720"/>
        <w:jc w:val="both"/>
        <w:rPr>
          <w:rFonts w:ascii="Arial" w:hAnsi="Arial" w:cs="Arial"/>
        </w:rPr>
      </w:pPr>
      <w:r w:rsidRPr="00FE3899">
        <w:rPr>
          <w:rFonts w:ascii="Arial" w:hAnsi="Arial" w:cs="Arial"/>
        </w:rPr>
        <w:t>The findings showed that licensure examination outcomes significantly influenced participants' career trajectories. Participants who did not achieve their desired results described feelings of disappointment, frustration, and self-doubt. These emotional responses often weakened their motivation to pursue teaching and encouraged them to explore alternative occupations. For some participants, unsuccessful examination experiences represented a turning point that led them to reconsider their career goals and seek opportunities outside the education sector.</w:t>
      </w:r>
    </w:p>
    <w:p w14:paraId="6A86C461" w14:textId="77777777" w:rsidR="00E25B13" w:rsidRPr="00FE3899" w:rsidRDefault="00E25B13" w:rsidP="00E25B13">
      <w:pPr>
        <w:jc w:val="both"/>
        <w:rPr>
          <w:rFonts w:ascii="Arial" w:hAnsi="Arial" w:cs="Arial"/>
        </w:rPr>
      </w:pPr>
      <w:r w:rsidRPr="00FE3899">
        <w:rPr>
          <w:rFonts w:ascii="Arial" w:hAnsi="Arial" w:cs="Arial"/>
        </w:rPr>
        <w:t>The collective experience of the participants is reflected in the following vignette:</w:t>
      </w:r>
    </w:p>
    <w:p w14:paraId="4F28B9FE" w14:textId="77777777" w:rsidR="00E25B13" w:rsidRPr="00FE3899" w:rsidRDefault="00E25B13" w:rsidP="00E25B13">
      <w:pPr>
        <w:ind w:left="1440"/>
        <w:jc w:val="both"/>
        <w:rPr>
          <w:rFonts w:ascii="Arial" w:hAnsi="Arial" w:cs="Arial"/>
        </w:rPr>
      </w:pPr>
      <w:r w:rsidRPr="00FE3899">
        <w:rPr>
          <w:rFonts w:ascii="Arial" w:hAnsi="Arial" w:cs="Arial"/>
          <w:i/>
          <w:iCs/>
        </w:rPr>
        <w:t>"After receiving my licensure examination result, I felt disappointed and uncertain about my future in teaching. The experience affected my confidence and made me question whether I should continue pursuing the profession. As a result, I explored other career opportunities where I could immediately apply my abilities and begin earning a living."</w:t>
      </w:r>
    </w:p>
    <w:p w14:paraId="68742FAB" w14:textId="77777777" w:rsidR="00E25B13" w:rsidRPr="00FE3899" w:rsidRDefault="00E25B13" w:rsidP="00E25B13">
      <w:pPr>
        <w:ind w:firstLine="720"/>
        <w:jc w:val="both"/>
        <w:rPr>
          <w:rFonts w:ascii="Arial" w:hAnsi="Arial" w:cs="Arial"/>
        </w:rPr>
      </w:pPr>
      <w:r w:rsidRPr="00FE3899">
        <w:rPr>
          <w:rFonts w:ascii="Arial" w:hAnsi="Arial" w:cs="Arial"/>
        </w:rPr>
        <w:t>The vignette highlights how examination outcomes influenced not only professional eligibility but also participants' perceptions of competence and future career possibilities. The experience of failing to meet personal expectations created emotional and psychological barriers that contributed to career redirection. Rather than continuing to pursue teaching immediately, participants sought alternative pathways where they could rebuild confidence and achieve professional success.</w:t>
      </w:r>
    </w:p>
    <w:p w14:paraId="4C55B0A0" w14:textId="77777777" w:rsidR="00E25B13" w:rsidRPr="00FE3899" w:rsidRDefault="00E25B13" w:rsidP="00E25B13">
      <w:pPr>
        <w:ind w:firstLine="720"/>
        <w:jc w:val="both"/>
        <w:rPr>
          <w:rFonts w:ascii="Arial" w:hAnsi="Arial" w:cs="Arial"/>
        </w:rPr>
      </w:pPr>
      <w:r w:rsidRPr="00FE3899">
        <w:rPr>
          <w:rFonts w:ascii="Arial" w:hAnsi="Arial" w:cs="Arial"/>
        </w:rPr>
        <w:lastRenderedPageBreak/>
        <w:t xml:space="preserve">This finding can be explained through Bandura's Social Cognitive Theory, particularly the concept of self-efficacy. Self-efficacy refers to an individual's belief in their capacity to perform successfully </w:t>
      </w:r>
      <w:proofErr w:type="gramStart"/>
      <w:r w:rsidRPr="00FE3899">
        <w:rPr>
          <w:rFonts w:ascii="Arial" w:hAnsi="Arial" w:cs="Arial"/>
        </w:rPr>
        <w:t>in a given</w:t>
      </w:r>
      <w:proofErr w:type="gramEnd"/>
      <w:r w:rsidRPr="00FE3899">
        <w:rPr>
          <w:rFonts w:ascii="Arial" w:hAnsi="Arial" w:cs="Arial"/>
        </w:rPr>
        <w:t xml:space="preserve"> domain. Negative examination outcomes may diminish self-efficacy, causing individuals to question their suitability for a profession and reduce persistence toward career goals. Participants' narratives demonstrate how examination experiences shaped their confidence and influenced occupational decision-making.</w:t>
      </w:r>
    </w:p>
    <w:p w14:paraId="0E65CD7C" w14:textId="77777777" w:rsidR="00E25B13" w:rsidRPr="00FE3899" w:rsidRDefault="00E25B13" w:rsidP="00E25B13">
      <w:pPr>
        <w:ind w:firstLine="720"/>
        <w:jc w:val="both"/>
        <w:rPr>
          <w:rFonts w:ascii="Arial" w:hAnsi="Arial" w:cs="Arial"/>
        </w:rPr>
      </w:pPr>
      <w:r w:rsidRPr="00FE3899">
        <w:rPr>
          <w:rFonts w:ascii="Arial" w:hAnsi="Arial" w:cs="Arial"/>
        </w:rPr>
        <w:t>The findings are also consistent with Career Construction Theory (Savickas, 2021), which emphasizes individuals' ability to adapt and reconstruct career paths in response to setbacks and changing circumstances. Rather than viewing unsuccessful examination experiences as permanent failures, participants adapted by pursuing alternative occupations that provided new opportunities for growth and achievement.</w:t>
      </w:r>
    </w:p>
    <w:p w14:paraId="7288BBFA" w14:textId="77777777" w:rsidR="00E25B13" w:rsidRPr="00FE3899" w:rsidRDefault="00E25B13" w:rsidP="00E25B13">
      <w:pPr>
        <w:ind w:firstLine="720"/>
        <w:jc w:val="both"/>
        <w:rPr>
          <w:rFonts w:ascii="Arial" w:hAnsi="Arial" w:cs="Arial"/>
        </w:rPr>
      </w:pPr>
      <w:r w:rsidRPr="00FE3899">
        <w:rPr>
          <w:rFonts w:ascii="Arial" w:hAnsi="Arial" w:cs="Arial"/>
        </w:rPr>
        <w:t>These findings support the work of Yada et al. (2022), who found that professional self-efficacy significantly influences career persistence among education graduates. Similarly, Kim and Cho (2021) reported that professional examination outcomes shape occupational commitment and future career planning. Lent and Brown (2020) further emphasized that self-efficacy beliefs play a crucial role in career decision-making, particularly following experiences of failure or disappointment.</w:t>
      </w:r>
    </w:p>
    <w:p w14:paraId="02A04CED" w14:textId="77777777" w:rsidR="00E25B13" w:rsidRPr="00FE3899" w:rsidRDefault="00E25B13" w:rsidP="00E25B13">
      <w:pPr>
        <w:ind w:firstLine="720"/>
        <w:jc w:val="both"/>
        <w:rPr>
          <w:rFonts w:ascii="Arial" w:hAnsi="Arial" w:cs="Arial"/>
        </w:rPr>
      </w:pPr>
      <w:r w:rsidRPr="00FE3899">
        <w:rPr>
          <w:rFonts w:ascii="Arial" w:hAnsi="Arial" w:cs="Arial"/>
        </w:rPr>
        <w:t>In essence, the findings suggest that licensure examination outcomes extend beyond professional qualification and significantly influence graduates' confidence, motivation, and career choices. The participants' experiences demonstrate how career pathways may be reconstructed in response to perceived professional setbacks.</w:t>
      </w:r>
    </w:p>
    <w:p w14:paraId="5AB3D12D" w14:textId="3153EF79" w:rsidR="00E25B13" w:rsidRPr="00FE3899" w:rsidRDefault="00E25B13" w:rsidP="00E25B13">
      <w:pPr>
        <w:jc w:val="both"/>
        <w:rPr>
          <w:rFonts w:ascii="Arial" w:hAnsi="Arial" w:cs="Arial"/>
          <w:b/>
          <w:bCs/>
        </w:rPr>
      </w:pPr>
    </w:p>
    <w:p w14:paraId="56668CE3" w14:textId="77777777" w:rsidR="001B0B2F" w:rsidRPr="00FE3899" w:rsidRDefault="001B0B2F" w:rsidP="00E25B13">
      <w:pPr>
        <w:jc w:val="both"/>
        <w:rPr>
          <w:rFonts w:ascii="Arial" w:hAnsi="Arial" w:cs="Arial"/>
          <w:b/>
          <w:bCs/>
        </w:rPr>
      </w:pPr>
    </w:p>
    <w:p w14:paraId="6EDC408D" w14:textId="77777777" w:rsidR="001B0B2F" w:rsidRPr="00FE3899" w:rsidRDefault="001B0B2F" w:rsidP="00E25B13">
      <w:pPr>
        <w:jc w:val="both"/>
        <w:rPr>
          <w:rFonts w:ascii="Arial" w:hAnsi="Arial" w:cs="Arial"/>
          <w:b/>
          <w:bCs/>
        </w:rPr>
      </w:pPr>
    </w:p>
    <w:p w14:paraId="3F6C8437" w14:textId="77777777" w:rsidR="00E25B13" w:rsidRPr="00FE3899" w:rsidRDefault="00E25B13" w:rsidP="00E25B13">
      <w:pPr>
        <w:jc w:val="both"/>
        <w:rPr>
          <w:rFonts w:ascii="Arial" w:hAnsi="Arial" w:cs="Arial"/>
          <w:b/>
          <w:bCs/>
        </w:rPr>
      </w:pPr>
      <w:r w:rsidRPr="00FE3899">
        <w:rPr>
          <w:rFonts w:ascii="Arial" w:hAnsi="Arial" w:cs="Arial"/>
          <w:b/>
          <w:bCs/>
        </w:rPr>
        <w:t>Theme 4: Exploring Alternative Career Opportunities and Advancement</w:t>
      </w:r>
    </w:p>
    <w:p w14:paraId="790CA747" w14:textId="77777777" w:rsidR="00E25B13" w:rsidRPr="00FE3899" w:rsidRDefault="00E25B13" w:rsidP="00E25B13">
      <w:pPr>
        <w:ind w:firstLine="720"/>
        <w:jc w:val="both"/>
        <w:rPr>
          <w:rFonts w:ascii="Arial" w:hAnsi="Arial" w:cs="Arial"/>
        </w:rPr>
      </w:pPr>
      <w:r w:rsidRPr="00FE3899">
        <w:rPr>
          <w:rFonts w:ascii="Arial" w:hAnsi="Arial" w:cs="Arial"/>
        </w:rPr>
        <w:t>The findings revealed that many participants were attracted to non-teaching professions because of the opportunities for immediate employment, professional development, and career advancement. Participants viewed industries such as business process outsourcing, corporate services, and private enterprises as offering faster promotions, performance-based rewards, and broader opportunities for professional growth. Compared to the relatively structured progression within the teaching profession, these industries were perceived as providing more dynamic and accessible career pathways.</w:t>
      </w:r>
    </w:p>
    <w:p w14:paraId="757A3F55" w14:textId="77777777" w:rsidR="00E25B13" w:rsidRPr="00FE3899" w:rsidRDefault="00E25B13" w:rsidP="00E25B13">
      <w:pPr>
        <w:jc w:val="both"/>
        <w:rPr>
          <w:rFonts w:ascii="Arial" w:hAnsi="Arial" w:cs="Arial"/>
        </w:rPr>
      </w:pPr>
      <w:r w:rsidRPr="00FE3899">
        <w:rPr>
          <w:rFonts w:ascii="Arial" w:hAnsi="Arial" w:cs="Arial"/>
        </w:rPr>
        <w:t>The participants' shared experiences are represented in the following vignette:</w:t>
      </w:r>
    </w:p>
    <w:p w14:paraId="6DDC997C" w14:textId="77777777" w:rsidR="00E25B13" w:rsidRPr="00FE3899" w:rsidRDefault="00E25B13" w:rsidP="00E25B13">
      <w:pPr>
        <w:ind w:left="1440"/>
        <w:jc w:val="both"/>
        <w:rPr>
          <w:rFonts w:ascii="Arial" w:hAnsi="Arial" w:cs="Arial"/>
        </w:rPr>
      </w:pPr>
      <w:r w:rsidRPr="00FE3899">
        <w:rPr>
          <w:rFonts w:ascii="Arial" w:hAnsi="Arial" w:cs="Arial"/>
          <w:i/>
          <w:iCs/>
        </w:rPr>
        <w:t>"The opportunity to start working immediately and advance based on performance was appealing to me. In my current industry, promotions and career development can happen much faster than in teaching. Knowing that I could gain experience, increase my income, and still return to teaching in the future gave me confidence to pursue another career path for the time being."</w:t>
      </w:r>
    </w:p>
    <w:p w14:paraId="42F922C2" w14:textId="77777777" w:rsidR="00E25B13" w:rsidRPr="00FE3899" w:rsidRDefault="00E25B13" w:rsidP="00E25B13">
      <w:pPr>
        <w:ind w:firstLine="720"/>
        <w:jc w:val="both"/>
        <w:rPr>
          <w:rFonts w:ascii="Arial" w:hAnsi="Arial" w:cs="Arial"/>
        </w:rPr>
      </w:pPr>
      <w:r w:rsidRPr="00FE3899">
        <w:rPr>
          <w:rFonts w:ascii="Arial" w:hAnsi="Arial" w:cs="Arial"/>
        </w:rPr>
        <w:t xml:space="preserve">The vignette illustrates how participants viewed alternative occupations not merely as temporary employment but as viable pathways for career growth and advancement. The possibility of gaining experience, receiving promotions, and increasing earnings contributed to the </w:t>
      </w:r>
      <w:r w:rsidRPr="00FE3899">
        <w:rPr>
          <w:rFonts w:ascii="Arial" w:hAnsi="Arial" w:cs="Arial"/>
        </w:rPr>
        <w:lastRenderedPageBreak/>
        <w:t>attractiveness of non-teaching careers. Importantly, many participants did not completely abandon their teaching aspirations but regarded alternative careers as opportunities for professional development while keeping future teaching options open.</w:t>
      </w:r>
    </w:p>
    <w:p w14:paraId="6AB737ED" w14:textId="77777777" w:rsidR="00E25B13" w:rsidRPr="00FE3899" w:rsidRDefault="00E25B13" w:rsidP="00E25B13">
      <w:pPr>
        <w:ind w:firstLine="720"/>
        <w:jc w:val="both"/>
        <w:rPr>
          <w:rFonts w:ascii="Arial" w:hAnsi="Arial" w:cs="Arial"/>
        </w:rPr>
      </w:pPr>
      <w:r w:rsidRPr="00FE3899">
        <w:rPr>
          <w:rFonts w:ascii="Arial" w:hAnsi="Arial" w:cs="Arial"/>
        </w:rPr>
        <w:t>This finding can be interpreted using Social Cognitive Career Theory (SCCT), which proposes that career choices are influenced by self-efficacy beliefs, outcome expectations, and environmental opportunities. Participants believed that alternative professions would yield desirable outcomes such as higher salaries, promotion opportunities, and enhanced professional experiences. These positive expectations strengthened their motivation to pursue careers outside teaching.</w:t>
      </w:r>
    </w:p>
    <w:p w14:paraId="11E97BEE" w14:textId="77777777" w:rsidR="00E25B13" w:rsidRPr="00FE3899" w:rsidRDefault="00E25B13" w:rsidP="00E25B13">
      <w:pPr>
        <w:ind w:firstLine="720"/>
        <w:jc w:val="both"/>
        <w:rPr>
          <w:rFonts w:ascii="Arial" w:hAnsi="Arial" w:cs="Arial"/>
        </w:rPr>
      </w:pPr>
      <w:r w:rsidRPr="00FE3899">
        <w:rPr>
          <w:rFonts w:ascii="Arial" w:hAnsi="Arial" w:cs="Arial"/>
        </w:rPr>
        <w:t>The findings also align with Super's Career Development Theory, which emphasizes that career choices are influenced by individuals' efforts to achieve self-concept realization and professional growth. Participants sought occupations that aligned with their aspirations for advancement, achievement, and personal development.</w:t>
      </w:r>
    </w:p>
    <w:p w14:paraId="45442477" w14:textId="77777777" w:rsidR="00E25B13" w:rsidRPr="00FE3899" w:rsidRDefault="00E25B13" w:rsidP="00E25B13">
      <w:pPr>
        <w:ind w:firstLine="720"/>
        <w:jc w:val="both"/>
        <w:rPr>
          <w:rFonts w:ascii="Arial" w:hAnsi="Arial" w:cs="Arial"/>
        </w:rPr>
      </w:pPr>
      <w:r w:rsidRPr="00FE3899">
        <w:rPr>
          <w:rFonts w:ascii="Arial" w:hAnsi="Arial" w:cs="Arial"/>
        </w:rPr>
        <w:t xml:space="preserve">The findings support Tomlinson's (2021) observation that modern graduates increasingly prioritize career mobility and advancement opportunities when making occupational decisions. Li and Horta (2023) similarly found that graduates often pursue careers outside their field of study when alternative professions offer more attractive pathways for growth and development. Furthermore, Jackson and </w:t>
      </w:r>
      <w:proofErr w:type="spellStart"/>
      <w:r w:rsidRPr="00FE3899">
        <w:rPr>
          <w:rFonts w:ascii="Arial" w:hAnsi="Arial" w:cs="Arial"/>
        </w:rPr>
        <w:t>Bridgstock</w:t>
      </w:r>
      <w:proofErr w:type="spellEnd"/>
      <w:r w:rsidRPr="00FE3899">
        <w:rPr>
          <w:rFonts w:ascii="Arial" w:hAnsi="Arial" w:cs="Arial"/>
        </w:rPr>
        <w:t xml:space="preserve"> (2021) reported that contemporary graduates demonstrate greater willingness to explore diverse career trajectories that provide flexibility and accelerated progression.</w:t>
      </w:r>
    </w:p>
    <w:p w14:paraId="08CFB1D5" w14:textId="09D6076A" w:rsidR="00E25B13" w:rsidRPr="00FE3899" w:rsidRDefault="00E25B13" w:rsidP="00FE3899">
      <w:pPr>
        <w:ind w:firstLine="720"/>
        <w:jc w:val="both"/>
        <w:rPr>
          <w:rFonts w:ascii="Arial" w:hAnsi="Arial" w:cs="Arial"/>
        </w:rPr>
      </w:pPr>
      <w:r w:rsidRPr="00FE3899">
        <w:rPr>
          <w:rFonts w:ascii="Arial" w:hAnsi="Arial" w:cs="Arial"/>
        </w:rPr>
        <w:t>Overall, the findings suggest that education graduates are motivated not only by immediate employment needs but also by long-term aspirations for professional advancement. The participants' experiences demonstrate that career decisions are shaped by perceived opportunities for growth, recognition, and future success. Consequently, enhancing career progression pathways within the teaching profession may encourage more education graduates to remain in educational careers rather than seeking opportunities elsewhere.</w:t>
      </w:r>
    </w:p>
    <w:p w14:paraId="4F3ADECB" w14:textId="77777777" w:rsidR="001B0B2F" w:rsidRPr="00FE3899" w:rsidRDefault="001B0B2F" w:rsidP="001B0B2F">
      <w:pPr>
        <w:jc w:val="both"/>
        <w:rPr>
          <w:rFonts w:ascii="Arial" w:hAnsi="Arial" w:cs="Arial"/>
        </w:rPr>
      </w:pPr>
      <w:r w:rsidRPr="00FE3899">
        <w:rPr>
          <w:rFonts w:ascii="Arial" w:hAnsi="Arial" w:cs="Arial"/>
          <w:lang w:val="en-US"/>
        </w:rPr>
        <w:tab/>
      </w:r>
      <w:r w:rsidRPr="00FE3899">
        <w:rPr>
          <w:rFonts w:ascii="Arial" w:hAnsi="Arial" w:cs="Arial"/>
        </w:rPr>
        <w:t>The findings, reveal that the journey of education graduates pursuing non-teaching careers is defined by a complex interplay between internal adaptation and external systemic pressures. On a personal level, these graduates navigated significant professional adjustments and identity dissonance, yet they successfully leveraged their transferable teaching skills to cultivate broader, more practical perspectives on career success. Their experiences were substantially shaped by critical influencing factors, including the urgent necessity for financial stability, the deterrent effect of lengthy and uncertain recruitment processes, the psychological impact of licensure examination outcomes on their professional self-efficacy, and the appeal of faster, more transparent career advancement opportunities in other sectors. This study is highly relevant as it provides a nuanced understanding that these career transitions are rarely a total rejection of the teaching profession, but rather a rational, adaptive response to economic realities and systemic barriers; this insight helps stakeholders recognize that simplifying recruitment and addressing the economic needs of graduates could be key to encouraging more educators to remain within the field.</w:t>
      </w:r>
    </w:p>
    <w:p w14:paraId="5F596CD1" w14:textId="52A69777" w:rsidR="001B0B2F" w:rsidRPr="00FE3899" w:rsidRDefault="001B0B2F" w:rsidP="001B0B2F">
      <w:pPr>
        <w:jc w:val="both"/>
        <w:rPr>
          <w:rFonts w:ascii="Arial" w:hAnsi="Arial" w:cs="Arial"/>
          <w:b/>
          <w:bCs/>
        </w:rPr>
      </w:pPr>
      <w:r w:rsidRPr="00FE3899">
        <w:rPr>
          <w:rFonts w:ascii="Arial" w:hAnsi="Arial" w:cs="Arial"/>
          <w:b/>
          <w:bCs/>
          <w:lang w:val="en-US"/>
        </w:rPr>
        <w:t>Conclusion</w:t>
      </w:r>
    </w:p>
    <w:p w14:paraId="471E64DF" w14:textId="72C1A4A3" w:rsidR="00FE3899" w:rsidRPr="00FE3899" w:rsidRDefault="001B0B2F" w:rsidP="00FE3899">
      <w:pPr>
        <w:ind w:firstLine="720"/>
        <w:jc w:val="both"/>
        <w:rPr>
          <w:rFonts w:ascii="Arial" w:hAnsi="Arial" w:cs="Arial"/>
        </w:rPr>
      </w:pPr>
      <w:r w:rsidRPr="00FE3899">
        <w:rPr>
          <w:rFonts w:ascii="Arial" w:hAnsi="Arial" w:cs="Arial"/>
        </w:rPr>
        <w:t xml:space="preserve">This study concludes that the career divergence of professional-licensure-cleared education graduates into non-teaching industries is not an outright rejection of their original </w:t>
      </w:r>
      <w:r w:rsidRPr="00FE3899">
        <w:rPr>
          <w:rFonts w:ascii="Arial" w:hAnsi="Arial" w:cs="Arial"/>
        </w:rPr>
        <w:lastRenderedPageBreak/>
        <w:t>vocation, but rather a highly strategic, adaptive response to systemic and economic realities. Governed by immediate pressures such as economic survival, highly bureaucratic and protracted public recruitment systems, and the self-efficacy shocks of licensure exam outcomes, these individuals undergo profound professional identity dissonance while successfully leveraging their transferable instructional skillsets across dynamic corporate environments. Ultimately, these findings highlight a critical misalignment between rigid institutional employment structures and the evolving, practical career advancement expectations of contemporary graduates, emphasizing that keeping qualified educators within the school system requires urgent structural reforms to optimize hiring efficiency and compensation models.</w:t>
      </w:r>
    </w:p>
    <w:p w14:paraId="09B4EF85" w14:textId="77777777" w:rsidR="00FE3899" w:rsidRPr="00FE3899" w:rsidRDefault="00FE3899" w:rsidP="00FE3899">
      <w:pPr>
        <w:jc w:val="both"/>
        <w:rPr>
          <w:rFonts w:ascii="Arial" w:hAnsi="Arial" w:cs="Arial"/>
        </w:rPr>
      </w:pPr>
      <w:r w:rsidRPr="00FE3899">
        <w:rPr>
          <w:rFonts w:ascii="Arial" w:hAnsi="Arial" w:cs="Arial"/>
          <w:b/>
          <w:bCs/>
        </w:rPr>
        <w:t>Disclaimer (Artificial intelligence)</w:t>
      </w:r>
    </w:p>
    <w:p w14:paraId="5B98A8E6" w14:textId="77777777" w:rsidR="00FE3899" w:rsidRPr="00FE3899" w:rsidRDefault="00FE3899" w:rsidP="00FE3899">
      <w:pPr>
        <w:jc w:val="both"/>
        <w:rPr>
          <w:rFonts w:ascii="Arial" w:hAnsi="Arial" w:cs="Arial"/>
        </w:rPr>
      </w:pPr>
      <w:r w:rsidRPr="00FE3899">
        <w:rPr>
          <w:rFonts w:ascii="Arial" w:hAnsi="Arial" w:cs="Arial"/>
        </w:rPr>
        <w:t xml:space="preserve">Author(s) hereby </w:t>
      </w:r>
      <w:proofErr w:type="gramStart"/>
      <w:r w:rsidRPr="00FE3899">
        <w:rPr>
          <w:rFonts w:ascii="Arial" w:hAnsi="Arial" w:cs="Arial"/>
        </w:rPr>
        <w:t>declare</w:t>
      </w:r>
      <w:proofErr w:type="gramEnd"/>
      <w:r w:rsidRPr="00FE3899">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EE4115" w14:textId="77777777" w:rsidR="00FE3899" w:rsidRPr="00FE3899" w:rsidRDefault="00FE3899" w:rsidP="00FE3899">
      <w:pPr>
        <w:jc w:val="both"/>
        <w:rPr>
          <w:rFonts w:ascii="Arial" w:hAnsi="Arial" w:cs="Arial"/>
        </w:rPr>
      </w:pPr>
      <w:r w:rsidRPr="00FE3899">
        <w:rPr>
          <w:rFonts w:ascii="Arial" w:hAnsi="Arial" w:cs="Arial"/>
        </w:rPr>
        <w:t>Details of the AI usage are given below:</w:t>
      </w:r>
    </w:p>
    <w:p w14:paraId="2E3CEFA0" w14:textId="77777777" w:rsidR="00FE3899" w:rsidRPr="00FE3899" w:rsidRDefault="00FE3899" w:rsidP="00FE3899">
      <w:pPr>
        <w:jc w:val="both"/>
        <w:rPr>
          <w:rFonts w:ascii="Arial" w:hAnsi="Arial" w:cs="Arial"/>
        </w:rPr>
      </w:pPr>
      <w:r w:rsidRPr="00FE3899">
        <w:rPr>
          <w:rFonts w:ascii="Arial" w:hAnsi="Arial" w:cs="Arial"/>
        </w:rPr>
        <w:t>1.Grammarlywas used to enhance grammar, spelling, and clarity.</w:t>
      </w:r>
    </w:p>
    <w:p w14:paraId="500A1CF7" w14:textId="6743C72D" w:rsidR="00FE3899" w:rsidRPr="00FE3899" w:rsidRDefault="00FE3899" w:rsidP="00FE3899">
      <w:pPr>
        <w:jc w:val="both"/>
        <w:rPr>
          <w:rFonts w:ascii="Arial" w:hAnsi="Arial" w:cs="Arial"/>
        </w:rPr>
      </w:pPr>
      <w:r w:rsidRPr="00FE3899">
        <w:rPr>
          <w:rFonts w:ascii="Arial" w:hAnsi="Arial" w:cs="Arial"/>
        </w:rPr>
        <w:t>2.</w:t>
      </w:r>
      <w:proofErr w:type="gramStart"/>
      <w:r w:rsidRPr="00FE3899">
        <w:rPr>
          <w:rFonts w:ascii="Arial" w:hAnsi="Arial" w:cs="Arial"/>
        </w:rPr>
        <w:t xml:space="preserve">ChatGPT(OpenAI,   </w:t>
      </w:r>
      <w:proofErr w:type="gramEnd"/>
      <w:r w:rsidRPr="00FE3899">
        <w:rPr>
          <w:rFonts w:ascii="Arial" w:hAnsi="Arial" w:cs="Arial"/>
        </w:rPr>
        <w:t xml:space="preserve">version   GPT-5.5   </w:t>
      </w:r>
      <w:proofErr w:type="gramStart"/>
      <w:r w:rsidRPr="00FE3899">
        <w:rPr>
          <w:rFonts w:ascii="Arial" w:hAnsi="Arial" w:cs="Arial"/>
        </w:rPr>
        <w:t xml:space="preserve">Thinking)   </w:t>
      </w:r>
      <w:proofErr w:type="gramEnd"/>
      <w:r w:rsidRPr="00FE3899">
        <w:rPr>
          <w:rFonts w:ascii="Arial" w:hAnsi="Arial" w:cs="Arial"/>
        </w:rPr>
        <w:t>was   employed   to   assist   with   brainstorming, structuring the manuscript, and identifying potential references and sources for the research.</w:t>
      </w:r>
    </w:p>
    <w:p w14:paraId="3712B8EE" w14:textId="5E3CB7F8" w:rsidR="001B0B2F" w:rsidRDefault="00FE3899" w:rsidP="00E25B13">
      <w:pPr>
        <w:jc w:val="both"/>
        <w:rPr>
          <w:rFonts w:ascii="Arial" w:hAnsi="Arial" w:cs="Arial"/>
        </w:rPr>
      </w:pPr>
      <w:r w:rsidRPr="00FE3899">
        <w:rPr>
          <w:rFonts w:ascii="Arial" w:hAnsi="Arial" w:cs="Arial"/>
          <w:b/>
          <w:bCs/>
        </w:rPr>
        <w:t>Competing Interests</w:t>
      </w:r>
      <w:r w:rsidRPr="00FE3899">
        <w:rPr>
          <w:rFonts w:ascii="Arial" w:hAnsi="Arial" w:cs="Arial"/>
        </w:rPr>
        <w:t xml:space="preserve"> </w:t>
      </w:r>
      <w:proofErr w:type="gramStart"/>
      <w:r w:rsidRPr="00FE3899">
        <w:rPr>
          <w:rFonts w:ascii="Arial" w:hAnsi="Arial" w:cs="Arial"/>
        </w:rPr>
        <w:t>The</w:t>
      </w:r>
      <w:proofErr w:type="gramEnd"/>
      <w:r w:rsidRPr="00FE3899">
        <w:rPr>
          <w:rFonts w:ascii="Arial" w:hAnsi="Arial" w:cs="Arial"/>
        </w:rPr>
        <w:t xml:space="preserve"> Author </w:t>
      </w:r>
      <w:proofErr w:type="gramStart"/>
      <w:r w:rsidRPr="00FE3899">
        <w:rPr>
          <w:rFonts w:ascii="Arial" w:hAnsi="Arial" w:cs="Arial"/>
        </w:rPr>
        <w:t>have  declared</w:t>
      </w:r>
      <w:proofErr w:type="gramEnd"/>
      <w:r w:rsidRPr="00FE3899">
        <w:rPr>
          <w:rFonts w:ascii="Arial" w:hAnsi="Arial" w:cs="Arial"/>
        </w:rPr>
        <w:t xml:space="preserve">  </w:t>
      </w:r>
      <w:proofErr w:type="gramStart"/>
      <w:r w:rsidRPr="00FE3899">
        <w:rPr>
          <w:rFonts w:ascii="Arial" w:hAnsi="Arial" w:cs="Arial"/>
        </w:rPr>
        <w:t>that  the</w:t>
      </w:r>
      <w:r w:rsidRPr="00FE3899">
        <w:rPr>
          <w:rFonts w:ascii="Arial" w:hAnsi="Arial" w:cs="Arial"/>
        </w:rPr>
        <w:t>re</w:t>
      </w:r>
      <w:proofErr w:type="gramEnd"/>
      <w:r w:rsidRPr="00FE3899">
        <w:rPr>
          <w:rFonts w:ascii="Arial" w:hAnsi="Arial" w:cs="Arial"/>
        </w:rPr>
        <w:t xml:space="preserve"> </w:t>
      </w:r>
      <w:proofErr w:type="gramStart"/>
      <w:r w:rsidRPr="00FE3899">
        <w:rPr>
          <w:rFonts w:ascii="Arial" w:hAnsi="Arial" w:cs="Arial"/>
        </w:rPr>
        <w:t xml:space="preserve">is </w:t>
      </w:r>
      <w:r w:rsidRPr="00FE3899">
        <w:rPr>
          <w:rFonts w:ascii="Arial" w:hAnsi="Arial" w:cs="Arial"/>
        </w:rPr>
        <w:t xml:space="preserve"> no</w:t>
      </w:r>
      <w:proofErr w:type="gramEnd"/>
      <w:r w:rsidRPr="00FE3899">
        <w:rPr>
          <w:rFonts w:ascii="Arial" w:hAnsi="Arial" w:cs="Arial"/>
        </w:rPr>
        <w:t xml:space="preserve">  </w:t>
      </w:r>
      <w:proofErr w:type="gramStart"/>
      <w:r w:rsidRPr="00FE3899">
        <w:rPr>
          <w:rFonts w:ascii="Arial" w:hAnsi="Arial" w:cs="Arial"/>
        </w:rPr>
        <w:t>known  competing</w:t>
      </w:r>
      <w:proofErr w:type="gramEnd"/>
      <w:r w:rsidRPr="00FE3899">
        <w:rPr>
          <w:rFonts w:ascii="Arial" w:hAnsi="Arial" w:cs="Arial"/>
        </w:rPr>
        <w:t xml:space="preserve">  </w:t>
      </w:r>
      <w:proofErr w:type="gramStart"/>
      <w:r w:rsidRPr="00FE3899">
        <w:rPr>
          <w:rFonts w:ascii="Arial" w:hAnsi="Arial" w:cs="Arial"/>
        </w:rPr>
        <w:t>financial  interests</w:t>
      </w:r>
      <w:proofErr w:type="gramEnd"/>
      <w:r w:rsidRPr="00FE3899">
        <w:rPr>
          <w:rFonts w:ascii="Arial" w:hAnsi="Arial" w:cs="Arial"/>
        </w:rPr>
        <w:t xml:space="preserve">  </w:t>
      </w:r>
      <w:proofErr w:type="gramStart"/>
      <w:r w:rsidRPr="00FE3899">
        <w:rPr>
          <w:rFonts w:ascii="Arial" w:hAnsi="Arial" w:cs="Arial"/>
        </w:rPr>
        <w:t>or  non</w:t>
      </w:r>
      <w:proofErr w:type="gramEnd"/>
      <w:r w:rsidRPr="00FE3899">
        <w:rPr>
          <w:rFonts w:ascii="Arial" w:hAnsi="Arial" w:cs="Arial"/>
        </w:rPr>
        <w:t>-</w:t>
      </w:r>
      <w:proofErr w:type="gramStart"/>
      <w:r w:rsidRPr="00FE3899">
        <w:rPr>
          <w:rFonts w:ascii="Arial" w:hAnsi="Arial" w:cs="Arial"/>
        </w:rPr>
        <w:t>financial  interests</w:t>
      </w:r>
      <w:proofErr w:type="gramEnd"/>
      <w:r w:rsidRPr="00FE3899">
        <w:rPr>
          <w:rFonts w:ascii="Arial" w:hAnsi="Arial" w:cs="Arial"/>
        </w:rPr>
        <w:t xml:space="preserve">  or personal relationships that could have appeared to influence the work reported in this paper.</w:t>
      </w:r>
    </w:p>
    <w:p w14:paraId="45B0A4AC" w14:textId="77777777" w:rsidR="006F7C8F" w:rsidRPr="00FE3899" w:rsidRDefault="006F7C8F" w:rsidP="00E25B13">
      <w:pPr>
        <w:jc w:val="both"/>
        <w:rPr>
          <w:rFonts w:ascii="Arial" w:hAnsi="Arial" w:cs="Arial"/>
        </w:rPr>
      </w:pPr>
    </w:p>
    <w:p w14:paraId="3054FBE8" w14:textId="75D79177" w:rsidR="001341EC" w:rsidRPr="00FE3899" w:rsidRDefault="00E114D1" w:rsidP="001341EC">
      <w:pPr>
        <w:jc w:val="both"/>
        <w:rPr>
          <w:rFonts w:ascii="Arial" w:hAnsi="Arial" w:cs="Arial"/>
          <w:b/>
          <w:bCs/>
        </w:rPr>
      </w:pPr>
      <w:r w:rsidRPr="00FE3899">
        <w:rPr>
          <w:rFonts w:ascii="Arial" w:hAnsi="Arial" w:cs="Arial"/>
          <w:b/>
          <w:bCs/>
        </w:rPr>
        <w:t xml:space="preserve">References </w:t>
      </w:r>
    </w:p>
    <w:p w14:paraId="6588AFB4"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Becker, G. S. (1993). </w:t>
      </w:r>
      <w:r w:rsidRPr="00FE3899">
        <w:rPr>
          <w:rFonts w:ascii="Arial" w:hAnsi="Arial" w:cs="Arial"/>
          <w:i/>
          <w:iCs/>
        </w:rPr>
        <w:t>Human capital: A theoretical and empirical analysis, with special reference to education</w:t>
      </w:r>
      <w:r w:rsidRPr="00FE3899">
        <w:rPr>
          <w:rFonts w:ascii="Arial" w:hAnsi="Arial" w:cs="Arial"/>
        </w:rPr>
        <w:t xml:space="preserve"> (3rd ed.). University of Chicago Press.</w:t>
      </w:r>
      <w:r w:rsidRPr="00FE3899">
        <w:rPr>
          <w:rFonts w:ascii="Arial" w:hAnsi="Arial" w:cs="Arial"/>
        </w:rPr>
        <w:t xml:space="preserve"> </w:t>
      </w:r>
      <w:r w:rsidRPr="00FE3899">
        <w:rPr>
          <w:rFonts w:ascii="Arial" w:hAnsi="Arial" w:cs="Arial"/>
        </w:rPr>
        <w:t xml:space="preserve">DOI: </w:t>
      </w:r>
      <w:hyperlink r:id="rId8" w:tgtFrame="_blank" w:history="1">
        <w:r w:rsidRPr="00FE3899">
          <w:rPr>
            <w:rStyle w:val="Hyperlink"/>
            <w:rFonts w:ascii="Arial" w:hAnsi="Arial" w:cs="Arial"/>
          </w:rPr>
          <w:t>10.7208/</w:t>
        </w:r>
        <w:proofErr w:type="spellStart"/>
        <w:r w:rsidRPr="00FE3899">
          <w:rPr>
            <w:rStyle w:val="Hyperlink"/>
            <w:rFonts w:ascii="Arial" w:hAnsi="Arial" w:cs="Arial"/>
          </w:rPr>
          <w:t>chicago</w:t>
        </w:r>
        <w:proofErr w:type="spellEnd"/>
        <w:r w:rsidRPr="00FE3899">
          <w:rPr>
            <w:rStyle w:val="Hyperlink"/>
            <w:rFonts w:ascii="Arial" w:hAnsi="Arial" w:cs="Arial"/>
          </w:rPr>
          <w:t>/9780226041223.001.0001</w:t>
        </w:r>
      </w:hyperlink>
      <w:r w:rsidRPr="00FE3899">
        <w:rPr>
          <w:rFonts w:ascii="Arial" w:hAnsi="Arial" w:cs="Arial"/>
        </w:rPr>
        <w:t xml:space="preserve"> </w:t>
      </w:r>
    </w:p>
    <w:p w14:paraId="47C9719E"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Boyle, P. (2022). Graduate employability and career transitions in changing labor markets. </w:t>
      </w:r>
      <w:r w:rsidRPr="00FE3899">
        <w:rPr>
          <w:rFonts w:ascii="Arial" w:hAnsi="Arial" w:cs="Arial"/>
          <w:i/>
          <w:iCs/>
        </w:rPr>
        <w:t>Journal of Education and Work</w:t>
      </w:r>
      <w:r w:rsidRPr="00FE3899">
        <w:rPr>
          <w:rFonts w:ascii="Arial" w:hAnsi="Arial" w:cs="Arial"/>
        </w:rPr>
        <w:t xml:space="preserve">, 35(7–8), 647–661.DOI: </w:t>
      </w:r>
      <w:hyperlink r:id="rId9" w:tgtFrame="_blank" w:history="1">
        <w:r w:rsidRPr="00FE3899">
          <w:rPr>
            <w:rStyle w:val="Hyperlink"/>
            <w:rFonts w:ascii="Arial" w:hAnsi="Arial" w:cs="Arial"/>
          </w:rPr>
          <w:t>10.1080/13639080.2021.2009782</w:t>
        </w:r>
      </w:hyperlink>
    </w:p>
    <w:p w14:paraId="1618A373"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Braun, V., &amp; Clarke, V. (2006). Using thematic analysis in psychology. </w:t>
      </w:r>
      <w:r w:rsidRPr="00FE3899">
        <w:rPr>
          <w:rStyle w:val="Emphasis"/>
          <w:rFonts w:ascii="Arial" w:hAnsi="Arial" w:cs="Arial"/>
          <w:sz w:val="22"/>
          <w:szCs w:val="22"/>
        </w:rPr>
        <w:t>Qualitative Research in Psychology, 3</w:t>
      </w:r>
      <w:r w:rsidRPr="00FE3899">
        <w:rPr>
          <w:rFonts w:ascii="Arial" w:hAnsi="Arial" w:cs="Arial"/>
          <w:sz w:val="22"/>
          <w:szCs w:val="22"/>
        </w:rPr>
        <w:t xml:space="preserve">(2), 77–101. </w:t>
      </w:r>
      <w:hyperlink r:id="rId10" w:tgtFrame="_new" w:history="1">
        <w:r w:rsidRPr="00FE3899">
          <w:rPr>
            <w:rStyle w:val="Hyperlink"/>
            <w:rFonts w:ascii="Arial" w:hAnsi="Arial" w:cs="Arial"/>
            <w:sz w:val="22"/>
            <w:szCs w:val="22"/>
          </w:rPr>
          <w:t>https://doi.org/10.1191/1478088706qp063oa</w:t>
        </w:r>
      </w:hyperlink>
    </w:p>
    <w:p w14:paraId="4A433F94" w14:textId="545C69EC"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Enriquez, J. J. A., </w:t>
      </w:r>
      <w:proofErr w:type="spellStart"/>
      <w:r w:rsidRPr="00FE3899">
        <w:rPr>
          <w:rFonts w:ascii="Arial" w:hAnsi="Arial" w:cs="Arial"/>
          <w:sz w:val="22"/>
          <w:szCs w:val="22"/>
        </w:rPr>
        <w:t>Muegna</w:t>
      </w:r>
      <w:proofErr w:type="spellEnd"/>
      <w:r w:rsidRPr="00FE3899">
        <w:rPr>
          <w:rFonts w:ascii="Arial" w:hAnsi="Arial" w:cs="Arial"/>
          <w:sz w:val="22"/>
          <w:szCs w:val="22"/>
        </w:rPr>
        <w:t xml:space="preserve">, K. J. R., Royo, J. C., Espinosa, D. L., </w:t>
      </w:r>
      <w:proofErr w:type="spellStart"/>
      <w:r w:rsidRPr="00FE3899">
        <w:rPr>
          <w:rFonts w:ascii="Arial" w:hAnsi="Arial" w:cs="Arial"/>
          <w:sz w:val="22"/>
          <w:szCs w:val="22"/>
        </w:rPr>
        <w:t>Escandallo</w:t>
      </w:r>
      <w:proofErr w:type="spellEnd"/>
      <w:r w:rsidRPr="00FE3899">
        <w:rPr>
          <w:rFonts w:ascii="Arial" w:hAnsi="Arial" w:cs="Arial"/>
          <w:sz w:val="22"/>
          <w:szCs w:val="22"/>
        </w:rPr>
        <w:t xml:space="preserve">, J. C., Cerna, C. B., &amp; Generalao, R. L. (2024). Tracer study on the employability of elementary education graduates from academic year 2019 to 2023. </w:t>
      </w:r>
      <w:r w:rsidRPr="00FE3899">
        <w:rPr>
          <w:rStyle w:val="Emphasis"/>
          <w:rFonts w:ascii="Arial" w:hAnsi="Arial" w:cs="Arial"/>
          <w:sz w:val="22"/>
          <w:szCs w:val="22"/>
        </w:rPr>
        <w:t>EPRA</w:t>
      </w:r>
      <w:r w:rsidRPr="00FE3899">
        <w:rPr>
          <w:rStyle w:val="Emphasis"/>
          <w:rFonts w:ascii="Arial" w:hAnsi="Arial" w:cs="Arial"/>
          <w:sz w:val="22"/>
          <w:szCs w:val="22"/>
        </w:rPr>
        <w:t xml:space="preserve"> </w:t>
      </w:r>
      <w:r w:rsidRPr="00FE3899">
        <w:rPr>
          <w:rStyle w:val="Emphasis"/>
          <w:rFonts w:ascii="Arial" w:hAnsi="Arial" w:cs="Arial"/>
          <w:sz w:val="22"/>
          <w:szCs w:val="22"/>
        </w:rPr>
        <w:t>International Journal of Multidisciplinary Research, 10</w:t>
      </w:r>
      <w:r w:rsidRPr="00FE3899">
        <w:rPr>
          <w:rFonts w:ascii="Arial" w:hAnsi="Arial" w:cs="Arial"/>
          <w:sz w:val="22"/>
          <w:szCs w:val="22"/>
        </w:rPr>
        <w:t xml:space="preserve">(5). </w:t>
      </w:r>
      <w:hyperlink r:id="rId11" w:history="1">
        <w:r w:rsidRPr="00FE3899">
          <w:rPr>
            <w:rStyle w:val="Hyperlink"/>
            <w:rFonts w:ascii="Arial" w:hAnsi="Arial" w:cs="Arial"/>
            <w:sz w:val="22"/>
            <w:szCs w:val="22"/>
          </w:rPr>
          <w:t>https://doi.org/10.36713/epra16751</w:t>
        </w:r>
      </w:hyperlink>
      <w:r w:rsidRPr="00FE3899">
        <w:rPr>
          <w:rFonts w:ascii="Arial" w:hAnsi="Arial" w:cs="Arial"/>
          <w:sz w:val="22"/>
          <w:szCs w:val="22"/>
        </w:rPr>
        <w:t xml:space="preserve"> </w:t>
      </w:r>
    </w:p>
    <w:p w14:paraId="10EAF194"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García, E., &amp; Weiss, E. (2020). </w:t>
      </w:r>
      <w:r w:rsidRPr="00FE3899">
        <w:rPr>
          <w:rFonts w:ascii="Arial" w:hAnsi="Arial" w:cs="Arial"/>
          <w:i/>
          <w:iCs/>
        </w:rPr>
        <w:t>A policy agenda to address the teacher shortage in U.S. public schools.</w:t>
      </w:r>
      <w:r w:rsidRPr="00FE3899">
        <w:rPr>
          <w:rFonts w:ascii="Arial" w:hAnsi="Arial" w:cs="Arial"/>
        </w:rPr>
        <w:t xml:space="preserve"> Economic Policy </w:t>
      </w:r>
      <w:proofErr w:type="spellStart"/>
      <w:r w:rsidRPr="00FE3899">
        <w:rPr>
          <w:rFonts w:ascii="Arial" w:hAnsi="Arial" w:cs="Arial"/>
        </w:rPr>
        <w:t>Institute.Link</w:t>
      </w:r>
      <w:proofErr w:type="spellEnd"/>
      <w:r w:rsidRPr="00FE3899">
        <w:rPr>
          <w:rFonts w:ascii="Arial" w:hAnsi="Arial" w:cs="Arial"/>
        </w:rPr>
        <w:t xml:space="preserve">: </w:t>
      </w:r>
      <w:hyperlink r:id="rId12" w:tgtFrame="_blank" w:history="1">
        <w:r w:rsidRPr="00FE3899">
          <w:rPr>
            <w:rStyle w:val="Hyperlink"/>
            <w:rFonts w:ascii="Arial" w:hAnsi="Arial" w:cs="Arial"/>
          </w:rPr>
          <w:t>ERIC Full-Text Document</w:t>
        </w:r>
      </w:hyperlink>
      <w:r w:rsidRPr="00FE3899">
        <w:rPr>
          <w:rFonts w:ascii="Arial" w:hAnsi="Arial" w:cs="Arial"/>
        </w:rPr>
        <w:t xml:space="preserve"> </w:t>
      </w:r>
    </w:p>
    <w:p w14:paraId="204261F5" w14:textId="77777777" w:rsidR="00470AFB" w:rsidRPr="00FE3899" w:rsidRDefault="00470AFB" w:rsidP="00470AFB">
      <w:pPr>
        <w:spacing w:line="240" w:lineRule="auto"/>
        <w:ind w:left="360"/>
        <w:jc w:val="both"/>
        <w:rPr>
          <w:rFonts w:ascii="Arial" w:hAnsi="Arial" w:cs="Arial"/>
        </w:rPr>
      </w:pPr>
      <w:r w:rsidRPr="00FE3899">
        <w:rPr>
          <w:rFonts w:ascii="Arial" w:hAnsi="Arial" w:cs="Arial"/>
        </w:rPr>
        <w:lastRenderedPageBreak/>
        <w:t xml:space="preserve">Goldhaber, D., &amp; Theobald, R. (2023). Teacher attrition and mobility in the pandemic. </w:t>
      </w:r>
      <w:r w:rsidRPr="00FE3899">
        <w:rPr>
          <w:rFonts w:ascii="Arial" w:hAnsi="Arial" w:cs="Arial"/>
          <w:i/>
          <w:iCs/>
        </w:rPr>
        <w:t>Educational Evaluation and Policy Analysis, 45</w:t>
      </w:r>
      <w:r w:rsidRPr="00FE3899">
        <w:rPr>
          <w:rFonts w:ascii="Arial" w:hAnsi="Arial" w:cs="Arial"/>
        </w:rPr>
        <w:t>(4), 1–20. https://doi.org/10.3102/01623737221139285</w:t>
      </w:r>
    </w:p>
    <w:p w14:paraId="2DB4A768"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Goldhaber, D., Theobald, R., &amp; Tien, C. (2022). Teacher career pathways and occupational mobility: Understanding labor market decisions among education graduates. </w:t>
      </w:r>
      <w:r w:rsidRPr="00FE3899">
        <w:rPr>
          <w:rFonts w:ascii="Arial" w:hAnsi="Arial" w:cs="Arial"/>
          <w:i/>
          <w:iCs/>
        </w:rPr>
        <w:t>Educational Researcher</w:t>
      </w:r>
      <w:r w:rsidRPr="00FE3899">
        <w:rPr>
          <w:rFonts w:ascii="Arial" w:hAnsi="Arial" w:cs="Arial"/>
        </w:rPr>
        <w:t xml:space="preserve">, 51(4), 251–262.DOI: </w:t>
      </w:r>
      <w:hyperlink r:id="rId13" w:tgtFrame="_blank" w:history="1">
        <w:r w:rsidRPr="00FE3899">
          <w:rPr>
            <w:rStyle w:val="Hyperlink"/>
            <w:rFonts w:ascii="Arial" w:hAnsi="Arial" w:cs="Arial"/>
          </w:rPr>
          <w:t>10.3102/0013189X221082274</w:t>
        </w:r>
      </w:hyperlink>
    </w:p>
    <w:p w14:paraId="06870B7D"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Hempkin, M. (2023). Professional identity development during career transitions: A longitudinal perspective. </w:t>
      </w:r>
      <w:r w:rsidRPr="00FE3899">
        <w:rPr>
          <w:rFonts w:ascii="Arial" w:hAnsi="Arial" w:cs="Arial"/>
          <w:i/>
          <w:iCs/>
        </w:rPr>
        <w:t>Teaching and Teacher Education</w:t>
      </w:r>
      <w:r w:rsidRPr="00FE3899">
        <w:rPr>
          <w:rFonts w:ascii="Arial" w:hAnsi="Arial" w:cs="Arial"/>
        </w:rPr>
        <w:t xml:space="preserve">, 128, 104143.DOI: </w:t>
      </w:r>
      <w:hyperlink r:id="rId14" w:tgtFrame="_blank" w:history="1">
        <w:r w:rsidRPr="00FE3899">
          <w:rPr>
            <w:rStyle w:val="Hyperlink"/>
            <w:rFonts w:ascii="Arial" w:hAnsi="Arial" w:cs="Arial"/>
          </w:rPr>
          <w:t>10.1016/j.tate.2023.104143</w:t>
        </w:r>
      </w:hyperlink>
    </w:p>
    <w:p w14:paraId="05D07190"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Hogg, M. A., Terry, D. J., &amp; White, K. M. (2023). Career adaptation and occupational transitions among university graduates. </w:t>
      </w:r>
      <w:r w:rsidRPr="00FE3899">
        <w:rPr>
          <w:rFonts w:ascii="Arial" w:hAnsi="Arial" w:cs="Arial"/>
          <w:i/>
          <w:iCs/>
        </w:rPr>
        <w:t>Career Development International</w:t>
      </w:r>
      <w:r w:rsidRPr="00FE3899">
        <w:rPr>
          <w:rFonts w:ascii="Arial" w:hAnsi="Arial" w:cs="Arial"/>
        </w:rPr>
        <w:t xml:space="preserve">, 28(5), 475–492.DOI: </w:t>
      </w:r>
      <w:hyperlink r:id="rId15" w:tgtFrame="_blank" w:history="1">
        <w:r w:rsidRPr="00FE3899">
          <w:rPr>
            <w:rStyle w:val="Hyperlink"/>
            <w:rFonts w:ascii="Arial" w:hAnsi="Arial" w:cs="Arial"/>
          </w:rPr>
          <w:t>10.1108/CDI-08-2022-0204</w:t>
        </w:r>
      </w:hyperlink>
    </w:p>
    <w:p w14:paraId="28A148CD" w14:textId="77777777" w:rsidR="00470AFB" w:rsidRPr="00FE3899" w:rsidRDefault="00470AFB" w:rsidP="001341EC">
      <w:pPr>
        <w:pStyle w:val="NormalWeb"/>
        <w:ind w:left="360"/>
        <w:rPr>
          <w:rFonts w:ascii="Arial" w:hAnsi="Arial" w:cs="Arial"/>
          <w:sz w:val="22"/>
          <w:szCs w:val="22"/>
        </w:rPr>
      </w:pPr>
      <w:proofErr w:type="spellStart"/>
      <w:r w:rsidRPr="00FE3899">
        <w:rPr>
          <w:rFonts w:ascii="Arial" w:hAnsi="Arial" w:cs="Arial"/>
          <w:sz w:val="22"/>
          <w:szCs w:val="22"/>
        </w:rPr>
        <w:t>Iyog</w:t>
      </w:r>
      <w:proofErr w:type="spellEnd"/>
      <w:r w:rsidRPr="00FE3899">
        <w:rPr>
          <w:rFonts w:ascii="Arial" w:hAnsi="Arial" w:cs="Arial"/>
          <w:sz w:val="22"/>
          <w:szCs w:val="22"/>
        </w:rPr>
        <w:t xml:space="preserve">, Q. N., </w:t>
      </w:r>
      <w:proofErr w:type="spellStart"/>
      <w:r w:rsidRPr="00FE3899">
        <w:rPr>
          <w:rFonts w:ascii="Arial" w:hAnsi="Arial" w:cs="Arial"/>
          <w:sz w:val="22"/>
          <w:szCs w:val="22"/>
        </w:rPr>
        <w:t>Ampo</w:t>
      </w:r>
      <w:proofErr w:type="spellEnd"/>
      <w:r w:rsidRPr="00FE3899">
        <w:rPr>
          <w:rFonts w:ascii="Arial" w:hAnsi="Arial" w:cs="Arial"/>
          <w:sz w:val="22"/>
          <w:szCs w:val="22"/>
        </w:rPr>
        <w:t xml:space="preserve">, W. M. G., </w:t>
      </w:r>
      <w:proofErr w:type="spellStart"/>
      <w:r w:rsidRPr="00FE3899">
        <w:rPr>
          <w:rFonts w:ascii="Arial" w:hAnsi="Arial" w:cs="Arial"/>
          <w:sz w:val="22"/>
          <w:szCs w:val="22"/>
        </w:rPr>
        <w:t>Cutang</w:t>
      </w:r>
      <w:proofErr w:type="spellEnd"/>
      <w:r w:rsidRPr="00FE3899">
        <w:rPr>
          <w:rFonts w:ascii="Arial" w:hAnsi="Arial" w:cs="Arial"/>
          <w:sz w:val="22"/>
          <w:szCs w:val="22"/>
        </w:rPr>
        <w:t xml:space="preserve">, C., &amp; </w:t>
      </w:r>
      <w:proofErr w:type="spellStart"/>
      <w:r w:rsidRPr="00FE3899">
        <w:rPr>
          <w:rFonts w:ascii="Arial" w:hAnsi="Arial" w:cs="Arial"/>
          <w:sz w:val="22"/>
          <w:szCs w:val="22"/>
        </w:rPr>
        <w:t>Rapas</w:t>
      </w:r>
      <w:proofErr w:type="spellEnd"/>
      <w:r w:rsidRPr="00FE3899">
        <w:rPr>
          <w:rFonts w:ascii="Arial" w:hAnsi="Arial" w:cs="Arial"/>
          <w:sz w:val="22"/>
          <w:szCs w:val="22"/>
        </w:rPr>
        <w:t xml:space="preserve">, C. (2026). The lived experiences of education graduates in non-aligned career paths in Ubay, Bohol. </w:t>
      </w:r>
      <w:r w:rsidRPr="00FE3899">
        <w:rPr>
          <w:rStyle w:val="Emphasis"/>
          <w:rFonts w:ascii="Arial" w:hAnsi="Arial" w:cs="Arial"/>
          <w:sz w:val="22"/>
          <w:szCs w:val="22"/>
        </w:rPr>
        <w:t>Ho Chi Minh City Open University Journal of Science – Social Sciences, 16</w:t>
      </w:r>
      <w:r w:rsidRPr="00FE3899">
        <w:rPr>
          <w:rFonts w:ascii="Arial" w:hAnsi="Arial" w:cs="Arial"/>
          <w:sz w:val="22"/>
          <w:szCs w:val="22"/>
        </w:rPr>
        <w:t xml:space="preserve">(9). </w:t>
      </w:r>
      <w:hyperlink r:id="rId16" w:history="1">
        <w:r w:rsidRPr="00FE3899">
          <w:rPr>
            <w:rStyle w:val="Hyperlink"/>
            <w:rFonts w:ascii="Arial" w:hAnsi="Arial" w:cs="Arial"/>
            <w:sz w:val="22"/>
            <w:szCs w:val="22"/>
          </w:rPr>
          <w:t>https://doi.org/10.46223/HCMCOUJS.soci.en.16.9.3863.2026</w:t>
        </w:r>
      </w:hyperlink>
      <w:r w:rsidRPr="00FE3899">
        <w:rPr>
          <w:rFonts w:ascii="Arial" w:hAnsi="Arial" w:cs="Arial"/>
          <w:sz w:val="22"/>
          <w:szCs w:val="22"/>
        </w:rPr>
        <w:t xml:space="preserve"> </w:t>
      </w:r>
    </w:p>
    <w:p w14:paraId="4E72AFBF"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Jackson, D., &amp; </w:t>
      </w:r>
      <w:proofErr w:type="spellStart"/>
      <w:r w:rsidRPr="00FE3899">
        <w:rPr>
          <w:rFonts w:ascii="Arial" w:hAnsi="Arial" w:cs="Arial"/>
        </w:rPr>
        <w:t>Bridgstock</w:t>
      </w:r>
      <w:proofErr w:type="spellEnd"/>
      <w:r w:rsidRPr="00FE3899">
        <w:rPr>
          <w:rFonts w:ascii="Arial" w:hAnsi="Arial" w:cs="Arial"/>
        </w:rPr>
        <w:t xml:space="preserve">, R. (2021). What </w:t>
      </w:r>
      <w:proofErr w:type="gramStart"/>
      <w:r w:rsidRPr="00FE3899">
        <w:rPr>
          <w:rFonts w:ascii="Arial" w:hAnsi="Arial" w:cs="Arial"/>
        </w:rPr>
        <w:t>actually works</w:t>
      </w:r>
      <w:proofErr w:type="gramEnd"/>
      <w:r w:rsidRPr="00FE3899">
        <w:rPr>
          <w:rFonts w:ascii="Arial" w:hAnsi="Arial" w:cs="Arial"/>
        </w:rPr>
        <w:t xml:space="preserve"> to enhance graduate employability? </w:t>
      </w:r>
      <w:r w:rsidRPr="00FE3899">
        <w:rPr>
          <w:rFonts w:ascii="Arial" w:hAnsi="Arial" w:cs="Arial"/>
          <w:i/>
          <w:iCs/>
        </w:rPr>
        <w:t>Higher Education Policy</w:t>
      </w:r>
      <w:r w:rsidRPr="00FE3899">
        <w:rPr>
          <w:rFonts w:ascii="Arial" w:hAnsi="Arial" w:cs="Arial"/>
        </w:rPr>
        <w:t xml:space="preserve">, 34(2), 340–364.DOI: </w:t>
      </w:r>
      <w:hyperlink r:id="rId17" w:tgtFrame="_blank" w:history="1">
        <w:r w:rsidRPr="00FE3899">
          <w:rPr>
            <w:rStyle w:val="Hyperlink"/>
            <w:rFonts w:ascii="Arial" w:hAnsi="Arial" w:cs="Arial"/>
          </w:rPr>
          <w:t>10.1057/s41307-019-00140-w</w:t>
        </w:r>
      </w:hyperlink>
    </w:p>
    <w:p w14:paraId="20CD12F9"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Kim, N., &amp; Cho, Y. (2021). Professional examination outcomes and career commitment among university graduates. </w:t>
      </w:r>
      <w:r w:rsidRPr="00FE3899">
        <w:rPr>
          <w:rFonts w:ascii="Arial" w:hAnsi="Arial" w:cs="Arial"/>
          <w:i/>
          <w:iCs/>
        </w:rPr>
        <w:t>Journal of Career Development</w:t>
      </w:r>
      <w:r w:rsidRPr="00FE3899">
        <w:rPr>
          <w:rFonts w:ascii="Arial" w:hAnsi="Arial" w:cs="Arial"/>
        </w:rPr>
        <w:t xml:space="preserve">, 48(6), 879–895.DOI: </w:t>
      </w:r>
      <w:hyperlink r:id="rId18" w:tgtFrame="_blank" w:history="1">
        <w:r w:rsidRPr="00FE3899">
          <w:rPr>
            <w:rStyle w:val="Hyperlink"/>
            <w:rFonts w:ascii="Arial" w:hAnsi="Arial" w:cs="Arial"/>
          </w:rPr>
          <w:t>10.1177/0894845319899934</w:t>
        </w:r>
      </w:hyperlink>
    </w:p>
    <w:p w14:paraId="7EE13292"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Klassen, R. M., &amp; Kim, L. E. (2022). Teacher recruitment and retention: Understanding motivational influences. </w:t>
      </w:r>
      <w:r w:rsidRPr="00FE3899">
        <w:rPr>
          <w:rStyle w:val="Emphasis"/>
          <w:rFonts w:ascii="Arial" w:hAnsi="Arial" w:cs="Arial"/>
          <w:sz w:val="22"/>
          <w:szCs w:val="22"/>
        </w:rPr>
        <w:t>Educational Psychology Review, 34</w:t>
      </w:r>
      <w:r w:rsidRPr="00FE3899">
        <w:rPr>
          <w:rFonts w:ascii="Arial" w:hAnsi="Arial" w:cs="Arial"/>
          <w:sz w:val="22"/>
          <w:szCs w:val="22"/>
        </w:rPr>
        <w:t xml:space="preserve">(4), 1981–2005. </w:t>
      </w:r>
      <w:hyperlink r:id="rId19" w:history="1">
        <w:r w:rsidRPr="00FE3899">
          <w:rPr>
            <w:rStyle w:val="Hyperlink"/>
            <w:rFonts w:ascii="Arial" w:hAnsi="Arial" w:cs="Arial"/>
            <w:sz w:val="22"/>
            <w:szCs w:val="22"/>
          </w:rPr>
          <w:t>https://doi.org/10.1007/s10648-022-09663-1</w:t>
        </w:r>
      </w:hyperlink>
    </w:p>
    <w:p w14:paraId="205DFB0F"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Lent, R. W., &amp; Brown, S. D. (2020). Career decision making, fast and slow: Toward an integrative model of intervention for sustainable career choice. </w:t>
      </w:r>
      <w:r w:rsidRPr="00FE3899">
        <w:rPr>
          <w:rFonts w:ascii="Arial" w:hAnsi="Arial" w:cs="Arial"/>
          <w:i/>
          <w:iCs/>
        </w:rPr>
        <w:t>Journal of Vocational Behavior</w:t>
      </w:r>
      <w:r w:rsidRPr="00FE3899">
        <w:rPr>
          <w:rFonts w:ascii="Arial" w:hAnsi="Arial" w:cs="Arial"/>
        </w:rPr>
        <w:t xml:space="preserve">, 120, 103448.DOI: </w:t>
      </w:r>
      <w:hyperlink r:id="rId20" w:tgtFrame="_blank" w:history="1">
        <w:r w:rsidRPr="00FE3899">
          <w:rPr>
            <w:rStyle w:val="Hyperlink"/>
            <w:rFonts w:ascii="Arial" w:hAnsi="Arial" w:cs="Arial"/>
          </w:rPr>
          <w:t>10.1016/j.jvb.2020.103448</w:t>
        </w:r>
      </w:hyperlink>
    </w:p>
    <w:p w14:paraId="3BD3AE0B"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Li, H., &amp; Horta, H. (2023). Career mobility and professional identity reconstruction among university graduates. </w:t>
      </w:r>
      <w:r w:rsidRPr="00FE3899">
        <w:rPr>
          <w:rFonts w:ascii="Arial" w:hAnsi="Arial" w:cs="Arial"/>
          <w:i/>
          <w:iCs/>
        </w:rPr>
        <w:t>Higher Education</w:t>
      </w:r>
      <w:r w:rsidRPr="00FE3899">
        <w:rPr>
          <w:rFonts w:ascii="Arial" w:hAnsi="Arial" w:cs="Arial"/>
        </w:rPr>
        <w:t xml:space="preserve">, 86(2), 305–323.DOI: </w:t>
      </w:r>
      <w:hyperlink r:id="rId21" w:tgtFrame="_blank" w:history="1">
        <w:r w:rsidRPr="00FE3899">
          <w:rPr>
            <w:rStyle w:val="Hyperlink"/>
            <w:rFonts w:ascii="Arial" w:hAnsi="Arial" w:cs="Arial"/>
          </w:rPr>
          <w:t>10.1007/s10734-022-00911-5</w:t>
        </w:r>
      </w:hyperlink>
    </w:p>
    <w:p w14:paraId="38B22E5E" w14:textId="426EA6E4" w:rsidR="00470AFB" w:rsidRPr="00FE3899" w:rsidRDefault="00470AFB" w:rsidP="00470AFB">
      <w:pPr>
        <w:spacing w:line="240" w:lineRule="auto"/>
        <w:ind w:left="360"/>
        <w:jc w:val="both"/>
        <w:rPr>
          <w:rFonts w:ascii="Arial" w:hAnsi="Arial" w:cs="Arial"/>
        </w:rPr>
      </w:pPr>
      <w:r w:rsidRPr="00FE3899">
        <w:rPr>
          <w:rFonts w:ascii="Arial" w:hAnsi="Arial" w:cs="Arial"/>
        </w:rPr>
        <w:t xml:space="preserve">Liu, J. (2020). Exploring teacher attrition through wages and well-being. </w:t>
      </w:r>
      <w:r w:rsidRPr="00FE3899">
        <w:rPr>
          <w:rFonts w:ascii="Arial" w:hAnsi="Arial" w:cs="Arial"/>
          <w:i/>
          <w:iCs/>
        </w:rPr>
        <w:t>Sociology of Education / Educational research journal</w:t>
      </w:r>
      <w:r w:rsidRPr="00FE3899">
        <w:rPr>
          <w:rFonts w:ascii="Arial" w:hAnsi="Arial" w:cs="Arial"/>
        </w:rPr>
        <w:t xml:space="preserve">. </w:t>
      </w:r>
      <w:hyperlink r:id="rId22" w:history="1">
        <w:r w:rsidRPr="00FE3899">
          <w:rPr>
            <w:rStyle w:val="Hyperlink"/>
            <w:rFonts w:ascii="Arial" w:hAnsi="Arial" w:cs="Arial"/>
          </w:rPr>
          <w:t>https://doi.org/10.1177/0013124520958410</w:t>
        </w:r>
      </w:hyperlink>
    </w:p>
    <w:p w14:paraId="33A1FD54" w14:textId="77777777" w:rsidR="00470AFB" w:rsidRPr="00FE3899" w:rsidRDefault="00470AFB" w:rsidP="00470AFB">
      <w:pPr>
        <w:spacing w:line="240" w:lineRule="auto"/>
        <w:ind w:left="360"/>
        <w:jc w:val="both"/>
        <w:rPr>
          <w:rFonts w:ascii="Arial" w:hAnsi="Arial" w:cs="Arial"/>
        </w:rPr>
      </w:pPr>
    </w:p>
    <w:p w14:paraId="25F806D1"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Madigan, D. J., &amp; Kim, L. E. (2021). Towards an understanding of teacher attrition: A meta-analysis of burnout, job satisfaction, and teachers' intentions to quit. </w:t>
      </w:r>
      <w:r w:rsidRPr="00FE3899">
        <w:rPr>
          <w:rStyle w:val="Emphasis"/>
          <w:rFonts w:ascii="Arial" w:hAnsi="Arial" w:cs="Arial"/>
          <w:sz w:val="22"/>
          <w:szCs w:val="22"/>
        </w:rPr>
        <w:t>Teaching and Teacher Education, 105</w:t>
      </w:r>
      <w:r w:rsidRPr="00FE3899">
        <w:rPr>
          <w:rFonts w:ascii="Arial" w:hAnsi="Arial" w:cs="Arial"/>
          <w:sz w:val="22"/>
          <w:szCs w:val="22"/>
        </w:rPr>
        <w:t xml:space="preserve">, 103425. </w:t>
      </w:r>
      <w:hyperlink r:id="rId23" w:tgtFrame="_new" w:history="1">
        <w:r w:rsidRPr="00FE3899">
          <w:rPr>
            <w:rStyle w:val="Hyperlink"/>
            <w:rFonts w:ascii="Arial" w:hAnsi="Arial" w:cs="Arial"/>
            <w:sz w:val="22"/>
            <w:szCs w:val="22"/>
          </w:rPr>
          <w:t>https://doi.org/10.1016/j.tate.2021.103425</w:t>
        </w:r>
      </w:hyperlink>
    </w:p>
    <w:p w14:paraId="372A48FB"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Nguyen, T. D., Lam, C. B., &amp; Bruno, P. (2021). Teacher recruitment challenges and labor market responses. </w:t>
      </w:r>
      <w:r w:rsidRPr="00FE3899">
        <w:rPr>
          <w:rFonts w:ascii="Arial" w:hAnsi="Arial" w:cs="Arial"/>
          <w:i/>
          <w:iCs/>
        </w:rPr>
        <w:t>Teaching and Teacher Education</w:t>
      </w:r>
      <w:r w:rsidRPr="00FE3899">
        <w:rPr>
          <w:rFonts w:ascii="Arial" w:hAnsi="Arial" w:cs="Arial"/>
        </w:rPr>
        <w:t xml:space="preserve">, 105, 103415.DOI: </w:t>
      </w:r>
      <w:hyperlink r:id="rId24" w:tgtFrame="_blank" w:history="1">
        <w:r w:rsidRPr="00FE3899">
          <w:rPr>
            <w:rStyle w:val="Hyperlink"/>
            <w:rFonts w:ascii="Arial" w:hAnsi="Arial" w:cs="Arial"/>
          </w:rPr>
          <w:t>10.1016/j.tate.2021.103415</w:t>
        </w:r>
      </w:hyperlink>
    </w:p>
    <w:p w14:paraId="6C3EA2D7"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lastRenderedPageBreak/>
        <w:t xml:space="preserve">Noel, P. (2021). Career change and professional identity reconstruction among former teachers. </w:t>
      </w:r>
      <w:r w:rsidRPr="00FE3899">
        <w:rPr>
          <w:rFonts w:ascii="Arial" w:hAnsi="Arial" w:cs="Arial"/>
          <w:i/>
          <w:iCs/>
        </w:rPr>
        <w:t>Teaching and Teacher Education</w:t>
      </w:r>
      <w:r w:rsidRPr="00FE3899">
        <w:rPr>
          <w:rFonts w:ascii="Arial" w:hAnsi="Arial" w:cs="Arial"/>
        </w:rPr>
        <w:t xml:space="preserve">, 106, 103455.DOI: </w:t>
      </w:r>
      <w:hyperlink r:id="rId25" w:tgtFrame="_blank" w:history="1">
        <w:r w:rsidRPr="00FE3899">
          <w:rPr>
            <w:rStyle w:val="Hyperlink"/>
            <w:rFonts w:ascii="Arial" w:hAnsi="Arial" w:cs="Arial"/>
          </w:rPr>
          <w:t>10.1016/j.tate.2021.103455</w:t>
        </w:r>
      </w:hyperlink>
    </w:p>
    <w:p w14:paraId="39FA1442" w14:textId="77777777" w:rsidR="00470AFB" w:rsidRPr="00FE3899" w:rsidRDefault="00470AFB" w:rsidP="00470AFB">
      <w:pPr>
        <w:spacing w:line="240" w:lineRule="auto"/>
        <w:ind w:left="360"/>
        <w:jc w:val="both"/>
        <w:rPr>
          <w:rFonts w:ascii="Arial" w:hAnsi="Arial" w:cs="Arial"/>
        </w:rPr>
      </w:pPr>
      <w:r w:rsidRPr="00FE3899">
        <w:rPr>
          <w:rFonts w:ascii="Arial" w:hAnsi="Arial" w:cs="Arial"/>
        </w:rPr>
        <w:t xml:space="preserve">OECD. (2021). </w:t>
      </w:r>
      <w:r w:rsidRPr="00FE3899">
        <w:rPr>
          <w:rFonts w:ascii="Arial" w:hAnsi="Arial" w:cs="Arial"/>
          <w:i/>
          <w:iCs/>
        </w:rPr>
        <w:t xml:space="preserve">Education </w:t>
      </w:r>
      <w:proofErr w:type="gramStart"/>
      <w:r w:rsidRPr="00FE3899">
        <w:rPr>
          <w:rFonts w:ascii="Arial" w:hAnsi="Arial" w:cs="Arial"/>
          <w:i/>
          <w:iCs/>
        </w:rPr>
        <w:t>at a Glance</w:t>
      </w:r>
      <w:proofErr w:type="gramEnd"/>
      <w:r w:rsidRPr="00FE3899">
        <w:rPr>
          <w:rFonts w:ascii="Arial" w:hAnsi="Arial" w:cs="Arial"/>
          <w:i/>
          <w:iCs/>
        </w:rPr>
        <w:t xml:space="preserve"> 2021: OECD indicators</w:t>
      </w:r>
      <w:r w:rsidRPr="00FE3899">
        <w:rPr>
          <w:rFonts w:ascii="Arial" w:hAnsi="Arial" w:cs="Arial"/>
        </w:rPr>
        <w:t xml:space="preserve">. OECD Publishing. </w:t>
      </w:r>
      <w:hyperlink r:id="rId26" w:tgtFrame="_new" w:history="1">
        <w:r w:rsidRPr="00FE3899">
          <w:rPr>
            <w:rStyle w:val="Hyperlink"/>
            <w:rFonts w:ascii="Arial" w:hAnsi="Arial" w:cs="Arial"/>
          </w:rPr>
          <w:t>https://doi.org/10.1787/b35a14e5-en</w:t>
        </w:r>
      </w:hyperlink>
    </w:p>
    <w:p w14:paraId="61CBE0ED"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Panlaqui, C. C., &amp; </w:t>
      </w:r>
      <w:proofErr w:type="spellStart"/>
      <w:r w:rsidRPr="00FE3899">
        <w:rPr>
          <w:rFonts w:ascii="Arial" w:hAnsi="Arial" w:cs="Arial"/>
          <w:sz w:val="22"/>
          <w:szCs w:val="22"/>
        </w:rPr>
        <w:t>Bardemorilla</w:t>
      </w:r>
      <w:proofErr w:type="spellEnd"/>
      <w:r w:rsidRPr="00FE3899">
        <w:rPr>
          <w:rFonts w:ascii="Arial" w:hAnsi="Arial" w:cs="Arial"/>
          <w:sz w:val="22"/>
          <w:szCs w:val="22"/>
        </w:rPr>
        <w:t xml:space="preserve">, N. G. (2023). Pondering the phenomenon of choosing non-teaching jobs among teacher education graduates. </w:t>
      </w:r>
      <w:r w:rsidRPr="00FE3899">
        <w:rPr>
          <w:rStyle w:val="Emphasis"/>
          <w:rFonts w:ascii="Arial" w:hAnsi="Arial" w:cs="Arial"/>
          <w:sz w:val="22"/>
          <w:szCs w:val="22"/>
        </w:rPr>
        <w:t>IOER International Multidisciplinary Research Journal, 5</w:t>
      </w:r>
      <w:r w:rsidRPr="00FE3899">
        <w:rPr>
          <w:rFonts w:ascii="Arial" w:hAnsi="Arial" w:cs="Arial"/>
          <w:sz w:val="22"/>
          <w:szCs w:val="22"/>
        </w:rPr>
        <w:t xml:space="preserve">(2), 97–106. https://doi.org/10.54476/ioer-imrj/037932 </w:t>
      </w:r>
    </w:p>
    <w:p w14:paraId="6580DE4E" w14:textId="77777777" w:rsidR="00470AFB" w:rsidRPr="00FE3899" w:rsidRDefault="00470AFB" w:rsidP="00470AFB">
      <w:pPr>
        <w:spacing w:line="240" w:lineRule="auto"/>
        <w:ind w:left="360"/>
        <w:jc w:val="both"/>
        <w:rPr>
          <w:rFonts w:ascii="Arial" w:hAnsi="Arial" w:cs="Arial"/>
        </w:rPr>
      </w:pPr>
      <w:r w:rsidRPr="00FE3899">
        <w:rPr>
          <w:rFonts w:ascii="Arial" w:hAnsi="Arial" w:cs="Arial"/>
        </w:rPr>
        <w:t xml:space="preserve">Räsänen, K., Pietarinen, J., </w:t>
      </w:r>
      <w:proofErr w:type="spellStart"/>
      <w:r w:rsidRPr="00FE3899">
        <w:rPr>
          <w:rFonts w:ascii="Arial" w:hAnsi="Arial" w:cs="Arial"/>
        </w:rPr>
        <w:t>Pyhältö</w:t>
      </w:r>
      <w:proofErr w:type="spellEnd"/>
      <w:r w:rsidRPr="00FE3899">
        <w:rPr>
          <w:rFonts w:ascii="Arial" w:hAnsi="Arial" w:cs="Arial"/>
        </w:rPr>
        <w:t xml:space="preserve">, K., Soini, T., &amp; others. (2020). Why leave the teaching profession? A longitudinal approach to turnover intentions. </w:t>
      </w:r>
      <w:r w:rsidRPr="00FE3899">
        <w:rPr>
          <w:rFonts w:ascii="Arial" w:hAnsi="Arial" w:cs="Arial"/>
          <w:i/>
          <w:iCs/>
        </w:rPr>
        <w:t>Social Psychology of Education, 23</w:t>
      </w:r>
      <w:r w:rsidRPr="00FE3899">
        <w:rPr>
          <w:rFonts w:ascii="Arial" w:hAnsi="Arial" w:cs="Arial"/>
        </w:rPr>
        <w:t xml:space="preserve">, 837–859. </w:t>
      </w:r>
      <w:hyperlink r:id="rId27" w:tgtFrame="_new" w:history="1">
        <w:r w:rsidRPr="00FE3899">
          <w:rPr>
            <w:rStyle w:val="Hyperlink"/>
            <w:rFonts w:ascii="Arial" w:hAnsi="Arial" w:cs="Arial"/>
          </w:rPr>
          <w:t>https://doi.org/10.1007/s11218-020-09567-x</w:t>
        </w:r>
      </w:hyperlink>
    </w:p>
    <w:p w14:paraId="1BDD39FE"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Rizqi, M. A., </w:t>
      </w:r>
      <w:proofErr w:type="spellStart"/>
      <w:r w:rsidRPr="00FE3899">
        <w:rPr>
          <w:rFonts w:ascii="Arial" w:hAnsi="Arial" w:cs="Arial"/>
        </w:rPr>
        <w:t>Suryadi</w:t>
      </w:r>
      <w:proofErr w:type="spellEnd"/>
      <w:r w:rsidRPr="00FE3899">
        <w:rPr>
          <w:rFonts w:ascii="Arial" w:hAnsi="Arial" w:cs="Arial"/>
        </w:rPr>
        <w:t xml:space="preserve">, D., &amp; </w:t>
      </w:r>
      <w:proofErr w:type="spellStart"/>
      <w:r w:rsidRPr="00FE3899">
        <w:rPr>
          <w:rFonts w:ascii="Arial" w:hAnsi="Arial" w:cs="Arial"/>
        </w:rPr>
        <w:t>Nugraha</w:t>
      </w:r>
      <w:proofErr w:type="spellEnd"/>
      <w:r w:rsidRPr="00FE3899">
        <w:rPr>
          <w:rFonts w:ascii="Arial" w:hAnsi="Arial" w:cs="Arial"/>
        </w:rPr>
        <w:t xml:space="preserve">, A. (2024). Transferable competencies of education graduates in non-teaching occupations. </w:t>
      </w:r>
      <w:r w:rsidRPr="00FE3899">
        <w:rPr>
          <w:rFonts w:ascii="Arial" w:hAnsi="Arial" w:cs="Arial"/>
          <w:i/>
          <w:iCs/>
        </w:rPr>
        <w:t>International Journal of Evaluation and Research in Education</w:t>
      </w:r>
      <w:r w:rsidRPr="00FE3899">
        <w:rPr>
          <w:rFonts w:ascii="Arial" w:hAnsi="Arial" w:cs="Arial"/>
        </w:rPr>
        <w:t xml:space="preserve">, 13(1), 112–121.DOI: </w:t>
      </w:r>
      <w:hyperlink r:id="rId28" w:tgtFrame="_blank" w:history="1">
        <w:r w:rsidRPr="00FE3899">
          <w:rPr>
            <w:rStyle w:val="Hyperlink"/>
            <w:rFonts w:ascii="Arial" w:hAnsi="Arial" w:cs="Arial"/>
          </w:rPr>
          <w:t>10.11591/</w:t>
        </w:r>
        <w:proofErr w:type="gramStart"/>
        <w:r w:rsidRPr="00FE3899">
          <w:rPr>
            <w:rStyle w:val="Hyperlink"/>
            <w:rFonts w:ascii="Arial" w:hAnsi="Arial" w:cs="Arial"/>
          </w:rPr>
          <w:t>ijere.v</w:t>
        </w:r>
        <w:proofErr w:type="gramEnd"/>
        <w:r w:rsidRPr="00FE3899">
          <w:rPr>
            <w:rStyle w:val="Hyperlink"/>
            <w:rFonts w:ascii="Arial" w:hAnsi="Arial" w:cs="Arial"/>
          </w:rPr>
          <w:t>13i1.25862</w:t>
        </w:r>
      </w:hyperlink>
    </w:p>
    <w:p w14:paraId="11068F15"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Savickas, M. L. (2021). Career construction theory and counseling model. In S. D. Brown &amp; R. W. Lent (Eds.), </w:t>
      </w:r>
      <w:r w:rsidRPr="00FE3899">
        <w:rPr>
          <w:rFonts w:ascii="Arial" w:hAnsi="Arial" w:cs="Arial"/>
          <w:i/>
          <w:iCs/>
        </w:rPr>
        <w:t>Career development and counseling</w:t>
      </w:r>
      <w:r w:rsidRPr="00FE3899">
        <w:rPr>
          <w:rFonts w:ascii="Arial" w:hAnsi="Arial" w:cs="Arial"/>
        </w:rPr>
        <w:t xml:space="preserve"> (3rd ed., pp. 165–200). </w:t>
      </w:r>
      <w:proofErr w:type="spellStart"/>
      <w:r w:rsidRPr="00FE3899">
        <w:rPr>
          <w:rFonts w:ascii="Arial" w:hAnsi="Arial" w:cs="Arial"/>
        </w:rPr>
        <w:t>Wiley.Link</w:t>
      </w:r>
      <w:proofErr w:type="spellEnd"/>
      <w:r w:rsidRPr="00FE3899">
        <w:rPr>
          <w:rFonts w:ascii="Arial" w:hAnsi="Arial" w:cs="Arial"/>
        </w:rPr>
        <w:t xml:space="preserve">: </w:t>
      </w:r>
      <w:hyperlink r:id="rId29" w:tgtFrame="_blank" w:history="1">
        <w:r w:rsidRPr="00FE3899">
          <w:rPr>
            <w:rStyle w:val="Hyperlink"/>
            <w:rFonts w:ascii="Arial" w:hAnsi="Arial" w:cs="Arial"/>
          </w:rPr>
          <w:t>Google Books / Publisher Entry</w:t>
        </w:r>
      </w:hyperlink>
    </w:p>
    <w:p w14:paraId="43ABC8E2"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Schlossberg, N. K. (2011). The challenge of change: The transition model and its applications. </w:t>
      </w:r>
      <w:r w:rsidRPr="00FE3899">
        <w:rPr>
          <w:rFonts w:ascii="Arial" w:hAnsi="Arial" w:cs="Arial"/>
          <w:i/>
          <w:iCs/>
        </w:rPr>
        <w:t>Journal of Employment Counseling</w:t>
      </w:r>
      <w:r w:rsidRPr="00FE3899">
        <w:rPr>
          <w:rFonts w:ascii="Arial" w:hAnsi="Arial" w:cs="Arial"/>
        </w:rPr>
        <w:t xml:space="preserve">, 48(4), 159–162.DOI: </w:t>
      </w:r>
      <w:hyperlink r:id="rId30" w:tgtFrame="_blank" w:history="1">
        <w:r w:rsidRPr="00FE3899">
          <w:rPr>
            <w:rStyle w:val="Hyperlink"/>
            <w:rFonts w:ascii="Arial" w:hAnsi="Arial" w:cs="Arial"/>
          </w:rPr>
          <w:t>10.1002/j.2161-</w:t>
        </w:r>
        <w:proofErr w:type="gramStart"/>
        <w:r w:rsidRPr="00FE3899">
          <w:rPr>
            <w:rStyle w:val="Hyperlink"/>
            <w:rFonts w:ascii="Arial" w:hAnsi="Arial" w:cs="Arial"/>
          </w:rPr>
          <w:t>1920.2011.tb</w:t>
        </w:r>
        <w:proofErr w:type="gramEnd"/>
        <w:r w:rsidRPr="00FE3899">
          <w:rPr>
            <w:rStyle w:val="Hyperlink"/>
            <w:rFonts w:ascii="Arial" w:hAnsi="Arial" w:cs="Arial"/>
          </w:rPr>
          <w:t>01102.x</w:t>
        </w:r>
      </w:hyperlink>
      <w:r w:rsidRPr="00FE3899">
        <w:rPr>
          <w:rFonts w:ascii="Arial" w:hAnsi="Arial" w:cs="Arial"/>
        </w:rPr>
        <w:t xml:space="preserve"> </w:t>
      </w:r>
    </w:p>
    <w:p w14:paraId="30465F0B"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See, B. H., Morris, R., </w:t>
      </w:r>
      <w:proofErr w:type="spellStart"/>
      <w:r w:rsidRPr="00FE3899">
        <w:rPr>
          <w:rFonts w:ascii="Arial" w:hAnsi="Arial" w:cs="Arial"/>
          <w:sz w:val="22"/>
          <w:szCs w:val="22"/>
        </w:rPr>
        <w:t>Gorard</w:t>
      </w:r>
      <w:proofErr w:type="spellEnd"/>
      <w:r w:rsidRPr="00FE3899">
        <w:rPr>
          <w:rFonts w:ascii="Arial" w:hAnsi="Arial" w:cs="Arial"/>
          <w:sz w:val="22"/>
          <w:szCs w:val="22"/>
        </w:rPr>
        <w:t xml:space="preserve">, S., &amp; </w:t>
      </w:r>
      <w:proofErr w:type="spellStart"/>
      <w:r w:rsidRPr="00FE3899">
        <w:rPr>
          <w:rFonts w:ascii="Arial" w:hAnsi="Arial" w:cs="Arial"/>
          <w:sz w:val="22"/>
          <w:szCs w:val="22"/>
        </w:rPr>
        <w:t>Kokotsaki</w:t>
      </w:r>
      <w:proofErr w:type="spellEnd"/>
      <w:r w:rsidRPr="00FE3899">
        <w:rPr>
          <w:rFonts w:ascii="Arial" w:hAnsi="Arial" w:cs="Arial"/>
          <w:sz w:val="22"/>
          <w:szCs w:val="22"/>
        </w:rPr>
        <w:t xml:space="preserve">, D. (2020). Why do teachers leave? A systematic review of teacher retention. </w:t>
      </w:r>
      <w:r w:rsidRPr="00FE3899">
        <w:rPr>
          <w:rStyle w:val="Emphasis"/>
          <w:rFonts w:ascii="Arial" w:hAnsi="Arial" w:cs="Arial"/>
          <w:sz w:val="22"/>
          <w:szCs w:val="22"/>
        </w:rPr>
        <w:t>Educational Review, 74</w:t>
      </w:r>
      <w:r w:rsidRPr="00FE3899">
        <w:rPr>
          <w:rFonts w:ascii="Arial" w:hAnsi="Arial" w:cs="Arial"/>
          <w:sz w:val="22"/>
          <w:szCs w:val="22"/>
        </w:rPr>
        <w:t xml:space="preserve">(1), 1–24. </w:t>
      </w:r>
      <w:hyperlink r:id="rId31" w:history="1">
        <w:r w:rsidRPr="00FE3899">
          <w:rPr>
            <w:rStyle w:val="Hyperlink"/>
            <w:rFonts w:ascii="Arial" w:hAnsi="Arial" w:cs="Arial"/>
            <w:sz w:val="22"/>
            <w:szCs w:val="22"/>
          </w:rPr>
          <w:t>https://doi.org/10.1080/00131911.2020.1797514</w:t>
        </w:r>
      </w:hyperlink>
    </w:p>
    <w:p w14:paraId="16B8F3C7"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Senate of the Philippines. (2023, August 31). </w:t>
      </w:r>
      <w:r w:rsidRPr="00FE3899">
        <w:rPr>
          <w:rStyle w:val="Emphasis"/>
          <w:rFonts w:ascii="Arial" w:hAnsi="Arial" w:cs="Arial"/>
          <w:sz w:val="22"/>
          <w:szCs w:val="22"/>
        </w:rPr>
        <w:t>Gatchalian to quiz DepEd on unfilled teaching positions</w:t>
      </w:r>
      <w:r w:rsidRPr="00FE3899">
        <w:rPr>
          <w:rFonts w:ascii="Arial" w:hAnsi="Arial" w:cs="Arial"/>
          <w:sz w:val="22"/>
          <w:szCs w:val="22"/>
        </w:rPr>
        <w:t xml:space="preserve">. </w:t>
      </w:r>
      <w:hyperlink r:id="rId32" w:tgtFrame="_new" w:history="1">
        <w:r w:rsidRPr="00FE3899">
          <w:rPr>
            <w:rStyle w:val="Hyperlink"/>
            <w:rFonts w:ascii="Arial" w:hAnsi="Arial" w:cs="Arial"/>
            <w:sz w:val="22"/>
            <w:szCs w:val="22"/>
          </w:rPr>
          <w:t>https://legacy.senate.gov.ph/press_release/2023/0831_gatchalian1.asp</w:t>
        </w:r>
      </w:hyperlink>
      <w:r w:rsidRPr="00FE3899">
        <w:rPr>
          <w:rFonts w:ascii="Arial" w:hAnsi="Arial" w:cs="Arial"/>
          <w:sz w:val="22"/>
          <w:szCs w:val="22"/>
        </w:rPr>
        <w:t xml:space="preserve"> </w:t>
      </w:r>
    </w:p>
    <w:p w14:paraId="506CD768"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Smetana, J., &amp; </w:t>
      </w:r>
      <w:proofErr w:type="spellStart"/>
      <w:r w:rsidRPr="00FE3899">
        <w:rPr>
          <w:rFonts w:ascii="Arial" w:hAnsi="Arial" w:cs="Arial"/>
        </w:rPr>
        <w:t>Kushki</w:t>
      </w:r>
      <w:proofErr w:type="spellEnd"/>
      <w:r w:rsidRPr="00FE3899">
        <w:rPr>
          <w:rFonts w:ascii="Arial" w:hAnsi="Arial" w:cs="Arial"/>
        </w:rPr>
        <w:t xml:space="preserve">, A. (2021). Identity negotiation during occupational transition: Experiences of professionals pursuing alternative careers. </w:t>
      </w:r>
      <w:r w:rsidRPr="00FE3899">
        <w:rPr>
          <w:rFonts w:ascii="Arial" w:hAnsi="Arial" w:cs="Arial"/>
          <w:i/>
          <w:iCs/>
        </w:rPr>
        <w:t>Journal of Career Development</w:t>
      </w:r>
      <w:r w:rsidRPr="00FE3899">
        <w:rPr>
          <w:rFonts w:ascii="Arial" w:hAnsi="Arial" w:cs="Arial"/>
        </w:rPr>
        <w:t xml:space="preserve">, 48(6), 1012–1027.DOI: </w:t>
      </w:r>
      <w:hyperlink r:id="rId33" w:tgtFrame="_blank" w:history="1">
        <w:r w:rsidRPr="00FE3899">
          <w:rPr>
            <w:rStyle w:val="Hyperlink"/>
            <w:rFonts w:ascii="Arial" w:hAnsi="Arial" w:cs="Arial"/>
          </w:rPr>
          <w:t>10.1177/0894845320967435</w:t>
        </w:r>
      </w:hyperlink>
    </w:p>
    <w:p w14:paraId="7A90A0DF"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Tomlinson, M. (2021). Graduate employability and the changing landscape of work. </w:t>
      </w:r>
      <w:r w:rsidRPr="00FE3899">
        <w:rPr>
          <w:rFonts w:ascii="Arial" w:hAnsi="Arial" w:cs="Arial"/>
          <w:i/>
          <w:iCs/>
        </w:rPr>
        <w:t>Higher Education Policy</w:t>
      </w:r>
      <w:r w:rsidRPr="00FE3899">
        <w:rPr>
          <w:rFonts w:ascii="Arial" w:hAnsi="Arial" w:cs="Arial"/>
        </w:rPr>
        <w:t xml:space="preserve">, 34(3), 458–474.DOI: </w:t>
      </w:r>
      <w:hyperlink r:id="rId34" w:tgtFrame="_blank" w:history="1">
        <w:r w:rsidRPr="00FE3899">
          <w:rPr>
            <w:rStyle w:val="Hyperlink"/>
            <w:rFonts w:ascii="Arial" w:hAnsi="Arial" w:cs="Arial"/>
          </w:rPr>
          <w:t>10.1057/s41307-020-00169-6</w:t>
        </w:r>
      </w:hyperlink>
    </w:p>
    <w:p w14:paraId="19788107"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Trede, F., Macklin, R., &amp; Bridges, D. (2012). Professional identity development: A review of the higher education literature. </w:t>
      </w:r>
      <w:r w:rsidRPr="00FE3899">
        <w:rPr>
          <w:rFonts w:ascii="Arial" w:hAnsi="Arial" w:cs="Arial"/>
          <w:i/>
          <w:iCs/>
        </w:rPr>
        <w:t>Studies in Higher Education</w:t>
      </w:r>
      <w:r w:rsidRPr="00FE3899">
        <w:rPr>
          <w:rFonts w:ascii="Arial" w:hAnsi="Arial" w:cs="Arial"/>
        </w:rPr>
        <w:t xml:space="preserve">, 37(3), 365–384.DOI: </w:t>
      </w:r>
      <w:hyperlink r:id="rId35" w:tgtFrame="_blank" w:history="1">
        <w:r w:rsidRPr="00FE3899">
          <w:rPr>
            <w:rStyle w:val="Hyperlink"/>
            <w:rFonts w:ascii="Arial" w:hAnsi="Arial" w:cs="Arial"/>
          </w:rPr>
          <w:t>10.1080/03075079.2010.521237</w:t>
        </w:r>
      </w:hyperlink>
    </w:p>
    <w:p w14:paraId="2FE514CD"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t xml:space="preserve">UNESCO. (2024). </w:t>
      </w:r>
      <w:r w:rsidRPr="00FE3899">
        <w:rPr>
          <w:rStyle w:val="Emphasis"/>
          <w:rFonts w:ascii="Arial" w:hAnsi="Arial" w:cs="Arial"/>
          <w:sz w:val="22"/>
          <w:szCs w:val="22"/>
        </w:rPr>
        <w:t>Global report on teachers: Addressing teacher shortages and transforming the profession</w:t>
      </w:r>
      <w:r w:rsidRPr="00FE3899">
        <w:rPr>
          <w:rFonts w:ascii="Arial" w:hAnsi="Arial" w:cs="Arial"/>
          <w:sz w:val="22"/>
          <w:szCs w:val="22"/>
        </w:rPr>
        <w:t xml:space="preserve">. United Nations Educational, Scientific and Cultural Organization. </w:t>
      </w:r>
      <w:hyperlink r:id="rId36" w:tgtFrame="_new" w:history="1">
        <w:r w:rsidRPr="00FE3899">
          <w:rPr>
            <w:rStyle w:val="Hyperlink"/>
            <w:rFonts w:ascii="Arial" w:hAnsi="Arial" w:cs="Arial"/>
            <w:sz w:val="22"/>
            <w:szCs w:val="22"/>
          </w:rPr>
          <w:t>https://www.unesco.org/en/articles/global-report-teachers-addressing-teacher-shortages-and-transforming-profession</w:t>
        </w:r>
      </w:hyperlink>
      <w:r w:rsidRPr="00FE3899">
        <w:rPr>
          <w:rFonts w:ascii="Arial" w:hAnsi="Arial" w:cs="Arial"/>
          <w:sz w:val="22"/>
          <w:szCs w:val="22"/>
        </w:rPr>
        <w:t xml:space="preserve"> </w:t>
      </w:r>
    </w:p>
    <w:p w14:paraId="025BB9FE" w14:textId="77777777" w:rsidR="00470AFB" w:rsidRPr="00FE3899" w:rsidRDefault="00470AFB" w:rsidP="00470AFB">
      <w:pPr>
        <w:spacing w:line="240" w:lineRule="auto"/>
        <w:ind w:left="360"/>
        <w:jc w:val="both"/>
        <w:rPr>
          <w:rFonts w:ascii="Arial" w:hAnsi="Arial" w:cs="Arial"/>
        </w:rPr>
      </w:pPr>
      <w:r w:rsidRPr="00FE3899">
        <w:rPr>
          <w:rFonts w:ascii="Arial" w:hAnsi="Arial" w:cs="Arial"/>
        </w:rPr>
        <w:t xml:space="preserve">United Nations. (2020). </w:t>
      </w:r>
      <w:r w:rsidRPr="00FE3899">
        <w:rPr>
          <w:rFonts w:ascii="Arial" w:hAnsi="Arial" w:cs="Arial"/>
          <w:i/>
          <w:iCs/>
        </w:rPr>
        <w:t>Sustainable Development Goal 4: Quality education</w:t>
      </w:r>
      <w:r w:rsidRPr="00FE3899">
        <w:rPr>
          <w:rFonts w:ascii="Arial" w:hAnsi="Arial" w:cs="Arial"/>
        </w:rPr>
        <w:t xml:space="preserve">. </w:t>
      </w:r>
      <w:hyperlink r:id="rId37" w:tgtFrame="_new" w:history="1">
        <w:r w:rsidRPr="00FE3899">
          <w:rPr>
            <w:rStyle w:val="Hyperlink"/>
            <w:rFonts w:ascii="Arial" w:hAnsi="Arial" w:cs="Arial"/>
          </w:rPr>
          <w:t>https://sdgs.un.org/goals/goal4</w:t>
        </w:r>
      </w:hyperlink>
    </w:p>
    <w:p w14:paraId="13FAFD9F" w14:textId="77777777" w:rsidR="00470AFB" w:rsidRPr="00FE3899" w:rsidRDefault="00470AFB" w:rsidP="001341EC">
      <w:pPr>
        <w:pStyle w:val="NormalWeb"/>
        <w:ind w:left="360"/>
        <w:rPr>
          <w:rFonts w:ascii="Arial" w:hAnsi="Arial" w:cs="Arial"/>
          <w:sz w:val="22"/>
          <w:szCs w:val="22"/>
        </w:rPr>
      </w:pPr>
      <w:r w:rsidRPr="00FE3899">
        <w:rPr>
          <w:rFonts w:ascii="Arial" w:hAnsi="Arial" w:cs="Arial"/>
          <w:sz w:val="22"/>
          <w:szCs w:val="22"/>
        </w:rPr>
        <w:lastRenderedPageBreak/>
        <w:t xml:space="preserve">United Nations. (2024). </w:t>
      </w:r>
      <w:r w:rsidRPr="00FE3899">
        <w:rPr>
          <w:rStyle w:val="Emphasis"/>
          <w:rFonts w:ascii="Arial" w:hAnsi="Arial" w:cs="Arial"/>
          <w:sz w:val="22"/>
          <w:szCs w:val="22"/>
        </w:rPr>
        <w:t>The Sustainable Development Goals report 2024: Goal 4 – Quality education</w:t>
      </w:r>
      <w:r w:rsidRPr="00FE3899">
        <w:rPr>
          <w:rFonts w:ascii="Arial" w:hAnsi="Arial" w:cs="Arial"/>
          <w:sz w:val="22"/>
          <w:szCs w:val="22"/>
        </w:rPr>
        <w:t xml:space="preserve">. United Nations Statistics Division. </w:t>
      </w:r>
      <w:hyperlink r:id="rId38" w:tgtFrame="_new" w:history="1">
        <w:r w:rsidRPr="00FE3899">
          <w:rPr>
            <w:rStyle w:val="Hyperlink"/>
            <w:rFonts w:ascii="Arial" w:hAnsi="Arial" w:cs="Arial"/>
            <w:sz w:val="22"/>
            <w:szCs w:val="22"/>
          </w:rPr>
          <w:t>https://unstats.un.org/sdgs/report/2024/Goal-04/</w:t>
        </w:r>
      </w:hyperlink>
      <w:r w:rsidRPr="00FE3899">
        <w:rPr>
          <w:rFonts w:ascii="Arial" w:hAnsi="Arial" w:cs="Arial"/>
          <w:sz w:val="22"/>
          <w:szCs w:val="22"/>
        </w:rPr>
        <w:t xml:space="preserve"> </w:t>
      </w:r>
    </w:p>
    <w:p w14:paraId="1EE08705" w14:textId="77777777" w:rsidR="00470AFB" w:rsidRPr="00FE3899" w:rsidRDefault="00470AFB" w:rsidP="001341EC">
      <w:pPr>
        <w:spacing w:line="240" w:lineRule="auto"/>
        <w:ind w:left="360"/>
        <w:jc w:val="both"/>
        <w:rPr>
          <w:rFonts w:ascii="Arial" w:hAnsi="Arial" w:cs="Arial"/>
          <w:lang w:val="en-US"/>
        </w:rPr>
      </w:pPr>
      <w:r w:rsidRPr="00FE3899">
        <w:rPr>
          <w:rFonts w:ascii="Arial" w:hAnsi="Arial" w:cs="Arial"/>
        </w:rPr>
        <w:t xml:space="preserve">World Medical Association. (2013). Declaration of Helsinki: Ethical principles for medical research involving human subjects. </w:t>
      </w:r>
      <w:r w:rsidRPr="00FE3899">
        <w:rPr>
          <w:rFonts w:ascii="Arial" w:hAnsi="Arial" w:cs="Arial"/>
          <w:i/>
          <w:iCs/>
        </w:rPr>
        <w:t>JAMA, 310</w:t>
      </w:r>
      <w:r w:rsidRPr="00FE3899">
        <w:rPr>
          <w:rFonts w:ascii="Arial" w:hAnsi="Arial" w:cs="Arial"/>
        </w:rPr>
        <w:t xml:space="preserve">(20), 2191–2194. </w:t>
      </w:r>
      <w:hyperlink r:id="rId39" w:tgtFrame="_new" w:history="1">
        <w:r w:rsidRPr="00FE3899">
          <w:rPr>
            <w:rStyle w:val="Hyperlink"/>
            <w:rFonts w:ascii="Arial" w:hAnsi="Arial" w:cs="Arial"/>
          </w:rPr>
          <w:t>https://doi.org/10.1001/jama.2013.281053</w:t>
        </w:r>
      </w:hyperlink>
    </w:p>
    <w:p w14:paraId="26A89586" w14:textId="77777777" w:rsidR="00470AFB" w:rsidRPr="00FE3899" w:rsidRDefault="00470AFB" w:rsidP="001341EC">
      <w:pPr>
        <w:spacing w:line="240" w:lineRule="auto"/>
        <w:ind w:left="360"/>
        <w:jc w:val="both"/>
        <w:rPr>
          <w:rFonts w:ascii="Arial" w:hAnsi="Arial" w:cs="Arial"/>
        </w:rPr>
      </w:pPr>
      <w:r w:rsidRPr="00FE3899">
        <w:rPr>
          <w:rFonts w:ascii="Arial" w:hAnsi="Arial" w:cs="Arial"/>
        </w:rPr>
        <w:t xml:space="preserve">Yada, A., Tolvanen, A., &amp; Savolainen, H. (2022). The role of self-efficacy in career persistence and professional commitment. </w:t>
      </w:r>
      <w:r w:rsidRPr="00FE3899">
        <w:rPr>
          <w:rFonts w:ascii="Arial" w:hAnsi="Arial" w:cs="Arial"/>
          <w:i/>
          <w:iCs/>
        </w:rPr>
        <w:t>Teaching and Teacher Education</w:t>
      </w:r>
      <w:r w:rsidRPr="00FE3899">
        <w:rPr>
          <w:rFonts w:ascii="Arial" w:hAnsi="Arial" w:cs="Arial"/>
        </w:rPr>
        <w:t>, 115, 103724.</w:t>
      </w:r>
      <w:r w:rsidRPr="00FE3899">
        <w:rPr>
          <w:rFonts w:ascii="Arial" w:hAnsi="Arial" w:cs="Arial"/>
        </w:rPr>
        <w:t xml:space="preserve"> </w:t>
      </w:r>
      <w:r w:rsidRPr="00FE3899">
        <w:rPr>
          <w:rFonts w:ascii="Arial" w:hAnsi="Arial" w:cs="Arial"/>
        </w:rPr>
        <w:t xml:space="preserve">DOI: </w:t>
      </w:r>
      <w:hyperlink r:id="rId40" w:tgtFrame="_blank" w:history="1">
        <w:r w:rsidRPr="00FE3899">
          <w:rPr>
            <w:rStyle w:val="Hyperlink"/>
            <w:rFonts w:ascii="Arial" w:hAnsi="Arial" w:cs="Arial"/>
          </w:rPr>
          <w:t>10.1016/j.tate.2022.103724</w:t>
        </w:r>
      </w:hyperlink>
    </w:p>
    <w:p w14:paraId="2C7CECD4" w14:textId="77777777" w:rsidR="00470AFB" w:rsidRPr="00FE3899" w:rsidRDefault="00470AFB" w:rsidP="001341EC">
      <w:pPr>
        <w:spacing w:line="240" w:lineRule="auto"/>
        <w:ind w:left="360"/>
        <w:jc w:val="both"/>
        <w:rPr>
          <w:rFonts w:ascii="Arial" w:hAnsi="Arial" w:cs="Arial"/>
          <w:lang w:val="en-US"/>
        </w:rPr>
      </w:pPr>
      <w:r w:rsidRPr="00FE3899">
        <w:rPr>
          <w:rFonts w:ascii="Arial" w:hAnsi="Arial" w:cs="Arial"/>
        </w:rPr>
        <w:t xml:space="preserve">Yates, S., &amp; Hoddinott, J. (2023). Graduate skills transferability and career resilience in non-traditional employment pathways. </w:t>
      </w:r>
      <w:r w:rsidRPr="00FE3899">
        <w:rPr>
          <w:rFonts w:ascii="Arial" w:hAnsi="Arial" w:cs="Arial"/>
          <w:i/>
          <w:iCs/>
        </w:rPr>
        <w:t>Studies in Higher Education</w:t>
      </w:r>
      <w:r w:rsidRPr="00FE3899">
        <w:rPr>
          <w:rFonts w:ascii="Arial" w:hAnsi="Arial" w:cs="Arial"/>
        </w:rPr>
        <w:t>, 48(9), 1443–1458.</w:t>
      </w:r>
      <w:r w:rsidRPr="00FE3899">
        <w:rPr>
          <w:rFonts w:ascii="Arial" w:hAnsi="Arial" w:cs="Arial"/>
        </w:rPr>
        <w:t xml:space="preserve"> </w:t>
      </w:r>
      <w:r w:rsidRPr="00FE3899">
        <w:rPr>
          <w:rFonts w:ascii="Arial" w:hAnsi="Arial" w:cs="Arial"/>
        </w:rPr>
        <w:t xml:space="preserve">DOI: </w:t>
      </w:r>
      <w:hyperlink r:id="rId41" w:tgtFrame="_blank" w:history="1">
        <w:r w:rsidRPr="00FE3899">
          <w:rPr>
            <w:rStyle w:val="Hyperlink"/>
            <w:rFonts w:ascii="Arial" w:hAnsi="Arial" w:cs="Arial"/>
          </w:rPr>
          <w:t>10.1080/03075079.2022.2049987</w:t>
        </w:r>
      </w:hyperlink>
    </w:p>
    <w:p w14:paraId="071A5F11" w14:textId="77777777" w:rsidR="00470AFB" w:rsidRPr="00FE3899" w:rsidRDefault="00470AFB" w:rsidP="001341EC">
      <w:pPr>
        <w:spacing w:line="240" w:lineRule="auto"/>
        <w:ind w:left="360"/>
        <w:jc w:val="both"/>
        <w:rPr>
          <w:rFonts w:ascii="Arial" w:hAnsi="Arial" w:cs="Arial"/>
        </w:rPr>
      </w:pPr>
    </w:p>
    <w:sectPr w:rsidR="00470AFB" w:rsidRPr="00FE3899">
      <w:footerReference w:type="defaul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A412" w14:textId="77777777" w:rsidR="00E973B8" w:rsidRDefault="00E973B8" w:rsidP="00623AE2">
      <w:pPr>
        <w:spacing w:after="0" w:line="240" w:lineRule="auto"/>
      </w:pPr>
      <w:r>
        <w:separator/>
      </w:r>
    </w:p>
  </w:endnote>
  <w:endnote w:type="continuationSeparator" w:id="0">
    <w:p w14:paraId="3A2C55F5" w14:textId="77777777" w:rsidR="00E973B8" w:rsidRDefault="00E973B8" w:rsidP="0062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E881" w14:textId="5A302469" w:rsidR="00623AE2" w:rsidRPr="00623AE2" w:rsidRDefault="00623AE2">
    <w:pPr>
      <w:pStyle w:val="Footer"/>
      <w:rPr>
        <w:rFonts w:ascii="Arial" w:hAnsi="Arial" w:cs="Arial"/>
        <w:sz w:val="18"/>
        <w:szCs w:val="18"/>
      </w:rPr>
    </w:pPr>
    <w:r w:rsidRPr="00623AE2">
      <w:rPr>
        <w:rFonts w:ascii="Arial" w:hAnsi="Arial" w:cs="Arial"/>
        <w:sz w:val="18"/>
        <w:szCs w:val="18"/>
      </w:rPr>
      <w:t xml:space="preserve">corresponding author </w:t>
    </w:r>
    <w:proofErr w:type="spellStart"/>
    <w:proofErr w:type="gramStart"/>
    <w:r w:rsidRPr="00623AE2">
      <w:rPr>
        <w:rFonts w:ascii="Arial" w:hAnsi="Arial" w:cs="Arial"/>
        <w:sz w:val="18"/>
        <w:szCs w:val="18"/>
      </w:rPr>
      <w:t>email:</w:t>
    </w:r>
    <w:proofErr w:type="spellEnd"/>
    <w:proofErr w:type="gramEnd"/>
  </w:p>
  <w:p w14:paraId="567C7642" w14:textId="77777777" w:rsidR="00623AE2" w:rsidRDefault="00623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8962" w14:textId="77777777" w:rsidR="00E973B8" w:rsidRDefault="00E973B8" w:rsidP="00623AE2">
      <w:pPr>
        <w:spacing w:after="0" w:line="240" w:lineRule="auto"/>
      </w:pPr>
      <w:r>
        <w:separator/>
      </w:r>
    </w:p>
  </w:footnote>
  <w:footnote w:type="continuationSeparator" w:id="0">
    <w:p w14:paraId="21E4B013" w14:textId="77777777" w:rsidR="00E973B8" w:rsidRDefault="00E973B8" w:rsidP="00623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61AC4"/>
    <w:multiLevelType w:val="multilevel"/>
    <w:tmpl w:val="FEB6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73004"/>
    <w:multiLevelType w:val="multilevel"/>
    <w:tmpl w:val="8B108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509FF"/>
    <w:multiLevelType w:val="multilevel"/>
    <w:tmpl w:val="3D487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308657">
    <w:abstractNumId w:val="0"/>
  </w:num>
  <w:num w:numId="2" w16cid:durableId="575893837">
    <w:abstractNumId w:val="1"/>
  </w:num>
  <w:num w:numId="3" w16cid:durableId="145112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7E"/>
    <w:rsid w:val="000F6970"/>
    <w:rsid w:val="001341EC"/>
    <w:rsid w:val="001B0B2F"/>
    <w:rsid w:val="001D587E"/>
    <w:rsid w:val="00233C86"/>
    <w:rsid w:val="00431113"/>
    <w:rsid w:val="00470AFB"/>
    <w:rsid w:val="004B2A7A"/>
    <w:rsid w:val="004B43F7"/>
    <w:rsid w:val="00623AE2"/>
    <w:rsid w:val="006F7C8F"/>
    <w:rsid w:val="00801469"/>
    <w:rsid w:val="00830FF5"/>
    <w:rsid w:val="00AE4AEE"/>
    <w:rsid w:val="00E114D1"/>
    <w:rsid w:val="00E25B13"/>
    <w:rsid w:val="00E93F21"/>
    <w:rsid w:val="00E973B8"/>
    <w:rsid w:val="00EA2822"/>
    <w:rsid w:val="00F836CA"/>
    <w:rsid w:val="00FE38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E12F"/>
  <w15:chartTrackingRefBased/>
  <w15:docId w15:val="{B59B0D9A-F479-4A06-AA26-544ECDA2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87E"/>
    <w:rPr>
      <w:rFonts w:eastAsiaTheme="majorEastAsia" w:cstheme="majorBidi"/>
      <w:color w:val="272727" w:themeColor="text1" w:themeTint="D8"/>
    </w:rPr>
  </w:style>
  <w:style w:type="paragraph" w:styleId="Title">
    <w:name w:val="Title"/>
    <w:basedOn w:val="Normal"/>
    <w:next w:val="Normal"/>
    <w:link w:val="TitleChar"/>
    <w:uiPriority w:val="10"/>
    <w:qFormat/>
    <w:rsid w:val="001D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87E"/>
    <w:pPr>
      <w:spacing w:before="160"/>
      <w:jc w:val="center"/>
    </w:pPr>
    <w:rPr>
      <w:i/>
      <w:iCs/>
      <w:color w:val="404040" w:themeColor="text1" w:themeTint="BF"/>
    </w:rPr>
  </w:style>
  <w:style w:type="character" w:customStyle="1" w:styleId="QuoteChar">
    <w:name w:val="Quote Char"/>
    <w:basedOn w:val="DefaultParagraphFont"/>
    <w:link w:val="Quote"/>
    <w:uiPriority w:val="29"/>
    <w:rsid w:val="001D587E"/>
    <w:rPr>
      <w:i/>
      <w:iCs/>
      <w:color w:val="404040" w:themeColor="text1" w:themeTint="BF"/>
    </w:rPr>
  </w:style>
  <w:style w:type="paragraph" w:styleId="ListParagraph">
    <w:name w:val="List Paragraph"/>
    <w:basedOn w:val="Normal"/>
    <w:uiPriority w:val="34"/>
    <w:qFormat/>
    <w:rsid w:val="001D587E"/>
    <w:pPr>
      <w:ind w:left="720"/>
      <w:contextualSpacing/>
    </w:pPr>
  </w:style>
  <w:style w:type="character" w:styleId="IntenseEmphasis">
    <w:name w:val="Intense Emphasis"/>
    <w:basedOn w:val="DefaultParagraphFont"/>
    <w:uiPriority w:val="21"/>
    <w:qFormat/>
    <w:rsid w:val="001D587E"/>
    <w:rPr>
      <w:i/>
      <w:iCs/>
      <w:color w:val="0F4761" w:themeColor="accent1" w:themeShade="BF"/>
    </w:rPr>
  </w:style>
  <w:style w:type="paragraph" w:styleId="IntenseQuote">
    <w:name w:val="Intense Quote"/>
    <w:basedOn w:val="Normal"/>
    <w:next w:val="Normal"/>
    <w:link w:val="IntenseQuoteChar"/>
    <w:uiPriority w:val="30"/>
    <w:qFormat/>
    <w:rsid w:val="001D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87E"/>
    <w:rPr>
      <w:i/>
      <w:iCs/>
      <w:color w:val="0F4761" w:themeColor="accent1" w:themeShade="BF"/>
    </w:rPr>
  </w:style>
  <w:style w:type="character" w:styleId="IntenseReference">
    <w:name w:val="Intense Reference"/>
    <w:basedOn w:val="DefaultParagraphFont"/>
    <w:uiPriority w:val="32"/>
    <w:qFormat/>
    <w:rsid w:val="001D587E"/>
    <w:rPr>
      <w:b/>
      <w:bCs/>
      <w:smallCaps/>
      <w:color w:val="0F4761" w:themeColor="accent1" w:themeShade="BF"/>
      <w:spacing w:val="5"/>
    </w:rPr>
  </w:style>
  <w:style w:type="character" w:styleId="Hyperlink">
    <w:name w:val="Hyperlink"/>
    <w:basedOn w:val="DefaultParagraphFont"/>
    <w:uiPriority w:val="99"/>
    <w:unhideWhenUsed/>
    <w:rsid w:val="00E114D1"/>
    <w:rPr>
      <w:color w:val="467886" w:themeColor="hyperlink"/>
      <w:u w:val="single"/>
    </w:rPr>
  </w:style>
  <w:style w:type="character" w:styleId="UnresolvedMention">
    <w:name w:val="Unresolved Mention"/>
    <w:basedOn w:val="DefaultParagraphFont"/>
    <w:uiPriority w:val="99"/>
    <w:semiHidden/>
    <w:unhideWhenUsed/>
    <w:rsid w:val="00E114D1"/>
    <w:rPr>
      <w:color w:val="605E5C"/>
      <w:shd w:val="clear" w:color="auto" w:fill="E1DFDD"/>
    </w:rPr>
  </w:style>
  <w:style w:type="paragraph" w:styleId="NormalWeb">
    <w:name w:val="Normal (Web)"/>
    <w:basedOn w:val="Normal"/>
    <w:uiPriority w:val="99"/>
    <w:unhideWhenUsed/>
    <w:rsid w:val="00E114D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E114D1"/>
    <w:rPr>
      <w:i/>
      <w:iCs/>
    </w:rPr>
  </w:style>
  <w:style w:type="character" w:styleId="Strong">
    <w:name w:val="Strong"/>
    <w:basedOn w:val="DefaultParagraphFont"/>
    <w:uiPriority w:val="22"/>
    <w:qFormat/>
    <w:rsid w:val="00FE3899"/>
    <w:rPr>
      <w:b/>
      <w:bCs/>
    </w:rPr>
  </w:style>
  <w:style w:type="paragraph" w:styleId="Header">
    <w:name w:val="header"/>
    <w:basedOn w:val="Normal"/>
    <w:link w:val="HeaderChar"/>
    <w:uiPriority w:val="99"/>
    <w:unhideWhenUsed/>
    <w:rsid w:val="00623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AE2"/>
  </w:style>
  <w:style w:type="paragraph" w:styleId="Footer">
    <w:name w:val="footer"/>
    <w:basedOn w:val="Normal"/>
    <w:link w:val="FooterChar"/>
    <w:uiPriority w:val="99"/>
    <w:unhideWhenUsed/>
    <w:rsid w:val="00623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2/0013189X221082274" TargetMode="External"/><Relationship Id="rId18" Type="http://schemas.openxmlformats.org/officeDocument/2006/relationships/hyperlink" Target="https://doi.org/10.1177/0894845319899934" TargetMode="External"/><Relationship Id="rId26" Type="http://schemas.openxmlformats.org/officeDocument/2006/relationships/hyperlink" Target="https://doi.org/10.1787/b35a14e5-en" TargetMode="External"/><Relationship Id="rId39" Type="http://schemas.openxmlformats.org/officeDocument/2006/relationships/hyperlink" Target="https://doi.org/10.1001/jama.2013.281053" TargetMode="External"/><Relationship Id="rId21" Type="http://schemas.openxmlformats.org/officeDocument/2006/relationships/hyperlink" Target="https://doi.org/10.1007/s10734-022-00911-5" TargetMode="External"/><Relationship Id="rId34" Type="http://schemas.openxmlformats.org/officeDocument/2006/relationships/hyperlink" Target="https://doi.org/10.1057/s41307-020-00169-6"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223/HCMCOUJS.soci.en.16.9.3863.2026" TargetMode="External"/><Relationship Id="rId20" Type="http://schemas.openxmlformats.org/officeDocument/2006/relationships/hyperlink" Target="https://doi.org/10.1016/j.jvb.2020.103448" TargetMode="External"/><Relationship Id="rId29" Type="http://schemas.openxmlformats.org/officeDocument/2006/relationships/hyperlink" Target="https://www.google.com/search?q=https%3A%2F%2Fbooks.google.com%2Fbooks%3Fid%3Dp5waEAAAQBAJ" TargetMode="External"/><Relationship Id="rId41" Type="http://schemas.openxmlformats.org/officeDocument/2006/relationships/hyperlink" Target="https://doi.org/10.1080/03075079.2022.20499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713/epra16751" TargetMode="External"/><Relationship Id="rId24" Type="http://schemas.openxmlformats.org/officeDocument/2006/relationships/hyperlink" Target="https://doi.org/10.1016/j.tate.2021.103415" TargetMode="External"/><Relationship Id="rId32" Type="http://schemas.openxmlformats.org/officeDocument/2006/relationships/hyperlink" Target="https://legacy.senate.gov.ph/press_release/2023/0831_gatchalian1.asp" TargetMode="External"/><Relationship Id="rId37" Type="http://schemas.openxmlformats.org/officeDocument/2006/relationships/hyperlink" Target="https://sdgs.un.org/goals/goal4" TargetMode="External"/><Relationship Id="rId40" Type="http://schemas.openxmlformats.org/officeDocument/2006/relationships/hyperlink" Target="https://www.google.com/search?q=https%3A%2F%2Fdoi.org%2F10.1016%2Fj.tate.2022.103724" TargetMode="External"/><Relationship Id="rId5" Type="http://schemas.openxmlformats.org/officeDocument/2006/relationships/footnotes" Target="footnotes.xml"/><Relationship Id="rId15" Type="http://schemas.openxmlformats.org/officeDocument/2006/relationships/hyperlink" Target="https://doi.org/10.1108/CDI-08-2022-0204" TargetMode="External"/><Relationship Id="rId23" Type="http://schemas.openxmlformats.org/officeDocument/2006/relationships/hyperlink" Target="https://doi.org/10.1016/j.tate.2021.103425" TargetMode="External"/><Relationship Id="rId28" Type="http://schemas.openxmlformats.org/officeDocument/2006/relationships/hyperlink" Target="https://doi.org/10.11591/ijere.v13i1.25862" TargetMode="External"/><Relationship Id="rId36" Type="http://schemas.openxmlformats.org/officeDocument/2006/relationships/hyperlink" Target="https://www.unesco.org/en/articles/global-report-teachers-addressing-teacher-shortages-and-transforming-profession" TargetMode="External"/><Relationship Id="rId10" Type="http://schemas.openxmlformats.org/officeDocument/2006/relationships/hyperlink" Target="https://doi.org/10.1191/1478088706qp063oa" TargetMode="External"/><Relationship Id="rId19" Type="http://schemas.openxmlformats.org/officeDocument/2006/relationships/hyperlink" Target="https://doi.org/10.1007/s10648-022-09663-1" TargetMode="External"/><Relationship Id="rId31" Type="http://schemas.openxmlformats.org/officeDocument/2006/relationships/hyperlink" Target="https://doi.org/10.1080/00131911.2020.179751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3639080.2021.2009782" TargetMode="External"/><Relationship Id="rId14" Type="http://schemas.openxmlformats.org/officeDocument/2006/relationships/hyperlink" Target="https://doi.org/10.1016/j.tate.2023.104143" TargetMode="External"/><Relationship Id="rId22" Type="http://schemas.openxmlformats.org/officeDocument/2006/relationships/hyperlink" Target="https://doi.org/10.1177/0013124520958410" TargetMode="External"/><Relationship Id="rId27" Type="http://schemas.openxmlformats.org/officeDocument/2006/relationships/hyperlink" Target="https://doi.org/10.1007/s11218-020-09567-x" TargetMode="External"/><Relationship Id="rId30" Type="http://schemas.openxmlformats.org/officeDocument/2006/relationships/hyperlink" Target="https://www.google.com/search?q=https%3A%2F%2Fdoi.org%2F10.1002%2Fj.2161-1920.2011.tb01102.x" TargetMode="External"/><Relationship Id="rId35" Type="http://schemas.openxmlformats.org/officeDocument/2006/relationships/hyperlink" Target="https://www.google.com/search?q=https%3A%2F%2Fdoi.org%2F10.1080%2F03075079.2010.521237" TargetMode="External"/><Relationship Id="rId43" Type="http://schemas.openxmlformats.org/officeDocument/2006/relationships/fontTable" Target="fontTable.xml"/><Relationship Id="rId8" Type="http://schemas.openxmlformats.org/officeDocument/2006/relationships/hyperlink" Target="https://www.google.com/search?q=https://doi.org/10.7208/chicago/9780226041223.001.0001" TargetMode="External"/><Relationship Id="rId3" Type="http://schemas.openxmlformats.org/officeDocument/2006/relationships/settings" Target="settings.xml"/><Relationship Id="rId12" Type="http://schemas.openxmlformats.org/officeDocument/2006/relationships/hyperlink" Target="https://files.eric.ed.gov/fulltext/ED611178.pdf" TargetMode="External"/><Relationship Id="rId17" Type="http://schemas.openxmlformats.org/officeDocument/2006/relationships/hyperlink" Target="https://doi.org/10.1057/s41307-019-00140-w" TargetMode="External"/><Relationship Id="rId25" Type="http://schemas.openxmlformats.org/officeDocument/2006/relationships/hyperlink" Target="https://doi.org/10.1016/j.tate.2021.103455" TargetMode="External"/><Relationship Id="rId33" Type="http://schemas.openxmlformats.org/officeDocument/2006/relationships/hyperlink" Target="https://doi.org/10.1177/0894845320967435" TargetMode="External"/><Relationship Id="rId38" Type="http://schemas.openxmlformats.org/officeDocument/2006/relationships/hyperlink" Target="https://unstats.un.org/sdgs/report/2024/Goal-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15</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2026-06-12T10:15:00Z</dcterms:created>
  <dcterms:modified xsi:type="dcterms:W3CDTF">2026-06-19T04:29:00Z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30756c7a-42de-446c-9b8b-05ba8f552b4d</vt:lpwstr>
  </property>
</Properties>
</file>