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860CE" w14:textId="77777777" w:rsidR="001A4351" w:rsidRDefault="001A4351" w:rsidP="001A4351">
      <w:pPr>
        <w:spacing w:line="360" w:lineRule="auto"/>
        <w:jc w:val="center"/>
        <w:rPr>
          <w:rFonts w:ascii="Times New Roman" w:hAnsi="Times New Roman" w:cs="Times New Roman"/>
          <w:b/>
          <w:bCs/>
          <w:sz w:val="24"/>
          <w:szCs w:val="24"/>
        </w:rPr>
      </w:pPr>
      <w:r w:rsidRPr="001A4351">
        <w:rPr>
          <w:rFonts w:ascii="Times New Roman" w:hAnsi="Times New Roman" w:cs="Times New Roman"/>
          <w:b/>
          <w:bCs/>
          <w:sz w:val="24"/>
          <w:szCs w:val="24"/>
        </w:rPr>
        <w:t>The Influence of Sustainable Supply Chain on Economic Profitability in Tunisian Companies: A Case Study</w:t>
      </w:r>
    </w:p>
    <w:p w14:paraId="055CAB18" w14:textId="77777777" w:rsidR="001A4351" w:rsidRDefault="001A4351" w:rsidP="001A4351">
      <w:pPr>
        <w:widowControl w:val="0"/>
        <w:autoSpaceDE w:val="0"/>
        <w:autoSpaceDN w:val="0"/>
        <w:adjustRightInd w:val="0"/>
        <w:spacing w:after="0" w:line="360" w:lineRule="auto"/>
        <w:jc w:val="center"/>
        <w:rPr>
          <w:rFonts w:ascii="Times New Roman" w:hAnsi="Times New Roman"/>
          <w:b/>
          <w:i/>
          <w:kern w:val="0"/>
          <w:sz w:val="20"/>
          <w:szCs w:val="20"/>
        </w:rPr>
      </w:pPr>
      <w:r w:rsidRPr="00CC39FF">
        <w:rPr>
          <w:rFonts w:ascii="Times New Roman" w:hAnsi="Times New Roman"/>
          <w:b/>
          <w:i/>
          <w:kern w:val="0"/>
          <w:sz w:val="20"/>
          <w:szCs w:val="20"/>
        </w:rPr>
        <w:t>Elleuch fadoi: PHD in logistic and production</w:t>
      </w:r>
    </w:p>
    <w:p w14:paraId="4F1C5C5C" w14:textId="77777777" w:rsidR="001A4351" w:rsidRDefault="001A4351" w:rsidP="001A4351">
      <w:pPr>
        <w:widowControl w:val="0"/>
        <w:autoSpaceDE w:val="0"/>
        <w:autoSpaceDN w:val="0"/>
        <w:adjustRightInd w:val="0"/>
        <w:spacing w:after="0" w:line="360" w:lineRule="auto"/>
        <w:jc w:val="center"/>
        <w:rPr>
          <w:rFonts w:ascii="Times New Roman" w:hAnsi="Times New Roman"/>
          <w:b/>
          <w:i/>
          <w:kern w:val="0"/>
          <w:sz w:val="20"/>
          <w:szCs w:val="20"/>
        </w:rPr>
      </w:pPr>
      <w:r>
        <w:rPr>
          <w:rFonts w:ascii="Times New Roman" w:hAnsi="Times New Roman"/>
          <w:b/>
          <w:i/>
          <w:kern w:val="0"/>
          <w:sz w:val="20"/>
          <w:szCs w:val="20"/>
        </w:rPr>
        <w:t>Mail:</w:t>
      </w:r>
      <w:r w:rsidRPr="00024378">
        <w:rPr>
          <w:rFonts w:ascii="Roboto" w:hAnsi="Roboto"/>
          <w:color w:val="1F1F1F"/>
          <w:sz w:val="21"/>
          <w:szCs w:val="21"/>
          <w:shd w:val="clear" w:color="auto" w:fill="E9EEF6"/>
        </w:rPr>
        <w:t xml:space="preserve"> </w:t>
      </w:r>
      <w:hyperlink r:id="rId4" w:history="1">
        <w:r w:rsidRPr="00D95144">
          <w:rPr>
            <w:rStyle w:val="Lienhypertexte"/>
            <w:rFonts w:ascii="Times New Roman" w:hAnsi="Times New Roman"/>
            <w:b/>
            <w:i/>
            <w:kern w:val="0"/>
            <w:sz w:val="20"/>
            <w:szCs w:val="20"/>
          </w:rPr>
          <w:t>fadoielleuch5@gmail.com</w:t>
        </w:r>
      </w:hyperlink>
    </w:p>
    <w:p w14:paraId="0E100872" w14:textId="77777777" w:rsidR="001A4351" w:rsidRPr="00E168C6" w:rsidRDefault="001A4351" w:rsidP="001A4351">
      <w:pPr>
        <w:spacing w:line="360" w:lineRule="auto"/>
        <w:jc w:val="both"/>
        <w:rPr>
          <w:rFonts w:ascii="Times New Roman" w:hAnsi="Times New Roman" w:cs="Times New Roman"/>
          <w:b/>
          <w:bCs/>
          <w:sz w:val="24"/>
          <w:szCs w:val="24"/>
        </w:rPr>
      </w:pPr>
    </w:p>
    <w:p w14:paraId="61D6747C" w14:textId="539F818C" w:rsidR="001A4351" w:rsidRPr="001A4351" w:rsidRDefault="001A4351" w:rsidP="001A4351">
      <w:pPr>
        <w:spacing w:line="360" w:lineRule="auto"/>
        <w:jc w:val="both"/>
        <w:rPr>
          <w:rFonts w:ascii="Times New Roman" w:hAnsi="Times New Roman" w:cs="Times New Roman"/>
          <w:sz w:val="24"/>
          <w:szCs w:val="24"/>
        </w:rPr>
      </w:pPr>
    </w:p>
    <w:p w14:paraId="7B3F94FB" w14:textId="77777777" w:rsidR="001A4351" w:rsidRPr="001A4351" w:rsidRDefault="001A4351" w:rsidP="001A4351">
      <w:pPr>
        <w:spacing w:line="360" w:lineRule="auto"/>
        <w:jc w:val="both"/>
        <w:rPr>
          <w:rFonts w:ascii="Times New Roman" w:hAnsi="Times New Roman" w:cs="Times New Roman"/>
          <w:b/>
          <w:bCs/>
          <w:sz w:val="24"/>
          <w:szCs w:val="24"/>
        </w:rPr>
      </w:pPr>
      <w:r w:rsidRPr="001A4351">
        <w:rPr>
          <w:rFonts w:ascii="Times New Roman" w:hAnsi="Times New Roman" w:cs="Times New Roman"/>
          <w:b/>
          <w:bCs/>
          <w:sz w:val="24"/>
          <w:szCs w:val="24"/>
        </w:rPr>
        <w:t>Abstract</w:t>
      </w:r>
    </w:p>
    <w:p w14:paraId="20410D32" w14:textId="0258A73A"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Sustainable supply chain management has become a key strategic driver for improving both environmental performance and economic profitability in modern industries. This study investigates the influence of sustainable supply chain practices on economic performance in Tunisian companies through a case study approach. The research focuses on green procurement, energy efficiency, sustainable logistics, waste reduction, and circular economy practices. Using evidence from Tunisian manufacturing firms and supported by international literature between 2011 and 2026, the study evaluates how sustainability practices affect cost reduction, productivity improvement, and profitability growth. The findings demonstrate that sustainable supply chain adoption leads to significant operational efficiency improvements and long-term financial benefits. The study confirms that sustainability is no longer a cost factor but a value-creation strategy for firms in emerging economies such as Tunisia.</w:t>
      </w:r>
    </w:p>
    <w:p w14:paraId="7AA3F773" w14:textId="77777777" w:rsidR="001A4351" w:rsidRPr="001A4351" w:rsidRDefault="001A4351" w:rsidP="001A4351">
      <w:pPr>
        <w:spacing w:line="360" w:lineRule="auto"/>
        <w:jc w:val="both"/>
        <w:rPr>
          <w:rFonts w:ascii="Times New Roman" w:hAnsi="Times New Roman" w:cs="Times New Roman"/>
          <w:b/>
          <w:bCs/>
          <w:sz w:val="24"/>
          <w:szCs w:val="24"/>
        </w:rPr>
      </w:pPr>
      <w:r w:rsidRPr="001A4351">
        <w:rPr>
          <w:rFonts w:ascii="Times New Roman" w:hAnsi="Times New Roman" w:cs="Times New Roman"/>
          <w:b/>
          <w:bCs/>
          <w:sz w:val="24"/>
          <w:szCs w:val="24"/>
        </w:rPr>
        <w:t>Keywords</w:t>
      </w:r>
    </w:p>
    <w:p w14:paraId="7F58F122" w14:textId="211BFC1F"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Sustainable Supply Chain, Green Logistics, Profitability, Tunisia, Circular Economy, Manufacturing, Economic Performance, Environmental Efficiency</w:t>
      </w:r>
      <w:r w:rsidR="006D5056">
        <w:rPr>
          <w:rFonts w:ascii="Times New Roman" w:hAnsi="Times New Roman" w:cs="Times New Roman"/>
          <w:sz w:val="24"/>
          <w:szCs w:val="24"/>
        </w:rPr>
        <w:t>.</w:t>
      </w:r>
    </w:p>
    <w:p w14:paraId="12279705" w14:textId="23E4A2E7" w:rsidR="001A4351" w:rsidRPr="001A4351" w:rsidRDefault="001A4351" w:rsidP="001A4351">
      <w:pPr>
        <w:spacing w:line="360" w:lineRule="auto"/>
        <w:jc w:val="both"/>
        <w:rPr>
          <w:rFonts w:ascii="Times New Roman" w:hAnsi="Times New Roman" w:cs="Times New Roman"/>
          <w:sz w:val="24"/>
          <w:szCs w:val="24"/>
        </w:rPr>
      </w:pPr>
    </w:p>
    <w:p w14:paraId="13D9636D" w14:textId="77777777" w:rsidR="001A4351" w:rsidRPr="001A4351" w:rsidRDefault="001A4351" w:rsidP="001A4351">
      <w:pPr>
        <w:spacing w:line="360" w:lineRule="auto"/>
        <w:jc w:val="both"/>
        <w:rPr>
          <w:rFonts w:ascii="Times New Roman" w:hAnsi="Times New Roman" w:cs="Times New Roman"/>
          <w:b/>
          <w:bCs/>
          <w:sz w:val="24"/>
          <w:szCs w:val="24"/>
        </w:rPr>
      </w:pPr>
      <w:r w:rsidRPr="001A4351">
        <w:rPr>
          <w:rFonts w:ascii="Times New Roman" w:hAnsi="Times New Roman" w:cs="Times New Roman"/>
          <w:b/>
          <w:bCs/>
          <w:sz w:val="24"/>
          <w:szCs w:val="24"/>
        </w:rPr>
        <w:t>1. Introduction</w:t>
      </w:r>
    </w:p>
    <w:p w14:paraId="15C80073"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Global industries are increasingly shifting toward sustainable supply chain management due to rising environmental concerns, regulatory pressures, and economic volatility. Traditional supply chains focus mainly on cost minimization and operational efficiency, while sustainable supply chains integrate environmental and social dimensions into decision-making processes. In emerging economies such as Tunisia, where industrial development is growing, companies are under pressure to align with international sustainability standards while maintaining competitiveness in global markets.</w:t>
      </w:r>
    </w:p>
    <w:p w14:paraId="34C609EE"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lastRenderedPageBreak/>
        <w:t>Sustainable supply chain management includes practices such as green procurement, energy-efficient production, optimized transportation, waste reduction, and reverse logistics. These practices aim to reduce environmental impact while simultaneously improving financial performance. The Tunisian manufacturing sector, especially textiles and agri-food industries, is increasingly adopting such practices to enhance competitiveness and meet export requirements, particularly from European markets.</w:t>
      </w:r>
    </w:p>
    <w:p w14:paraId="2C77B43F"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The objective of this study is to analyze the influence of sustainable supply chain implementation on economic profitability in Tunisian companies using empirical evidence and literature support.</w:t>
      </w:r>
    </w:p>
    <w:p w14:paraId="074AA4FD" w14:textId="154A35F6" w:rsidR="001A4351" w:rsidRPr="001A4351" w:rsidRDefault="001A4351" w:rsidP="001A4351">
      <w:pPr>
        <w:spacing w:line="360" w:lineRule="auto"/>
        <w:jc w:val="both"/>
        <w:rPr>
          <w:rFonts w:ascii="Times New Roman" w:hAnsi="Times New Roman" w:cs="Times New Roman"/>
          <w:sz w:val="24"/>
          <w:szCs w:val="24"/>
        </w:rPr>
      </w:pPr>
    </w:p>
    <w:p w14:paraId="55A8380E" w14:textId="01F851B0" w:rsidR="001A4351" w:rsidRPr="001A4351" w:rsidRDefault="001A4351" w:rsidP="001A4351">
      <w:pPr>
        <w:spacing w:line="360" w:lineRule="auto"/>
        <w:jc w:val="both"/>
        <w:rPr>
          <w:rFonts w:ascii="Times New Roman" w:hAnsi="Times New Roman" w:cs="Times New Roman"/>
          <w:b/>
          <w:bCs/>
          <w:sz w:val="24"/>
          <w:szCs w:val="24"/>
        </w:rPr>
      </w:pPr>
      <w:r w:rsidRPr="001A4351">
        <w:rPr>
          <w:rFonts w:ascii="Times New Roman" w:hAnsi="Times New Roman" w:cs="Times New Roman"/>
          <w:b/>
          <w:bCs/>
          <w:sz w:val="24"/>
          <w:szCs w:val="24"/>
        </w:rPr>
        <w:t xml:space="preserve">2. Literature Review </w:t>
      </w:r>
    </w:p>
    <w:p w14:paraId="317B4921"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Between 2011 and 2015, research on sustainable supply chains focused mainly on environmental compliance and emission reduction. Sarkis, Zhu, and Lai (2011) emphasized the integration of environmental considerations into supply chain strategies as a key driver of organizational performance. Elhedhli and Merrick (2012) demonstrated that green supply chain network design reduces transportation costs and carbon emissions while improving efficiency. Benjaafar, Li, and Daskin (2013) highlighted the relationship between carbon footprint management and supply chain optimization.</w:t>
      </w:r>
    </w:p>
    <w:p w14:paraId="61B13ADF"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From 2016 to 2019, research expanded toward economic impacts. Studies showed that green logistics and sustainable procurement reduce operational costs and improve profitability. Banomyong (2018) confirmed that sustainable logistics enhances competitiveness in developing economies. Chopra and Meindl (2019) emphasized strategic integration between sustainability and supply chain planning.</w:t>
      </w:r>
    </w:p>
    <w:p w14:paraId="672C6C94"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Between 2020 and 2023, digital transformation became central. Artificial intelligence, IoT, and big data improved supply chain visibility and sustainability performance. Simchi-Levi (2021) highlighted that resilient and sustainable supply chains generate long-term economic value.</w:t>
      </w:r>
    </w:p>
    <w:p w14:paraId="2E4E555D"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From 2024 to 2026, recent research focuses on circular economy, Industry 5.0, and carbon-neutral logistics. Studies such as Barkaoui and Ben Abdallah (2026) and El-Nakib (2026) show that sustainability is now a core driver of competitiveness in MENA countries, including Tunisia. Research confirms that green supply chains improve both environmental and financial performance simultaneously.</w:t>
      </w:r>
    </w:p>
    <w:p w14:paraId="0E2DA455" w14:textId="2E627C4B" w:rsidR="001A4351" w:rsidRPr="001A4351" w:rsidRDefault="001A4351" w:rsidP="001A4351">
      <w:pPr>
        <w:spacing w:line="360" w:lineRule="auto"/>
        <w:jc w:val="both"/>
        <w:rPr>
          <w:rFonts w:ascii="Times New Roman" w:hAnsi="Times New Roman" w:cs="Times New Roman"/>
          <w:sz w:val="24"/>
          <w:szCs w:val="24"/>
        </w:rPr>
      </w:pPr>
    </w:p>
    <w:p w14:paraId="080618AA" w14:textId="77777777" w:rsidR="001A4351" w:rsidRPr="001A4351" w:rsidRDefault="001A4351" w:rsidP="001A4351">
      <w:pPr>
        <w:spacing w:line="360" w:lineRule="auto"/>
        <w:jc w:val="center"/>
        <w:rPr>
          <w:rFonts w:ascii="Times New Roman" w:hAnsi="Times New Roman" w:cs="Times New Roman"/>
          <w:b/>
          <w:bCs/>
          <w:sz w:val="24"/>
          <w:szCs w:val="24"/>
        </w:rPr>
      </w:pPr>
      <w:r w:rsidRPr="001A4351">
        <w:rPr>
          <w:rFonts w:ascii="Times New Roman" w:hAnsi="Times New Roman" w:cs="Times New Roman"/>
          <w:b/>
          <w:bCs/>
          <w:sz w:val="24"/>
          <w:szCs w:val="24"/>
        </w:rPr>
        <w:t>Figure 1: Sustainable Supply Chain Framework</w:t>
      </w:r>
    </w:p>
    <w:p w14:paraId="6CECE5AE"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Suppliers → Green Procurement → Sustainable Production → Green Logistics → Customers → Reverse Logistics</w:t>
      </w:r>
    </w:p>
    <w:p w14:paraId="57343FB1" w14:textId="13471B4C" w:rsidR="001A4351" w:rsidRPr="001A4351" w:rsidRDefault="001A4351" w:rsidP="001A4351">
      <w:pPr>
        <w:spacing w:line="360" w:lineRule="auto"/>
        <w:jc w:val="both"/>
        <w:rPr>
          <w:rFonts w:ascii="Times New Roman" w:hAnsi="Times New Roman" w:cs="Times New Roman"/>
          <w:sz w:val="24"/>
          <w:szCs w:val="24"/>
        </w:rPr>
      </w:pPr>
    </w:p>
    <w:p w14:paraId="0A7C5055" w14:textId="77777777" w:rsidR="001A4351" w:rsidRPr="001A4351" w:rsidRDefault="001A4351" w:rsidP="001A4351">
      <w:pPr>
        <w:spacing w:line="360" w:lineRule="auto"/>
        <w:jc w:val="both"/>
        <w:rPr>
          <w:rFonts w:ascii="Times New Roman" w:hAnsi="Times New Roman" w:cs="Times New Roman"/>
          <w:b/>
          <w:bCs/>
          <w:sz w:val="24"/>
          <w:szCs w:val="24"/>
        </w:rPr>
      </w:pPr>
      <w:r w:rsidRPr="001A4351">
        <w:rPr>
          <w:rFonts w:ascii="Times New Roman" w:hAnsi="Times New Roman" w:cs="Times New Roman"/>
          <w:b/>
          <w:bCs/>
          <w:sz w:val="24"/>
          <w:szCs w:val="24"/>
        </w:rPr>
        <w:t>3. Research Methodology</w:t>
      </w:r>
    </w:p>
    <w:p w14:paraId="5E2276FD"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This study uses a qualitative case study approach based on a Tunisian manufacturing company operating in the textile sector. Data were collected from company reports, interviews with managers, and operational performance indicators. The study compares performance before and after the implementation of sustainable supply chain practices.</w:t>
      </w:r>
    </w:p>
    <w:p w14:paraId="6B3BA4E5"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The indicators used include production cost, energy consumption, waste generation, logistics cost, revenue, and profitability.</w:t>
      </w:r>
    </w:p>
    <w:p w14:paraId="6A31CEFD" w14:textId="29EEF91E" w:rsidR="001A4351" w:rsidRPr="001A4351" w:rsidRDefault="001A4351" w:rsidP="001A4351">
      <w:pPr>
        <w:spacing w:line="360" w:lineRule="auto"/>
        <w:jc w:val="both"/>
        <w:rPr>
          <w:rFonts w:ascii="Times New Roman" w:hAnsi="Times New Roman" w:cs="Times New Roman"/>
          <w:sz w:val="24"/>
          <w:szCs w:val="24"/>
        </w:rPr>
      </w:pPr>
    </w:p>
    <w:p w14:paraId="13DEAC09" w14:textId="77777777" w:rsidR="001A4351" w:rsidRPr="001A4351" w:rsidRDefault="001A4351" w:rsidP="001A4351">
      <w:pPr>
        <w:spacing w:line="360" w:lineRule="auto"/>
        <w:jc w:val="both"/>
        <w:rPr>
          <w:rFonts w:ascii="Times New Roman" w:hAnsi="Times New Roman" w:cs="Times New Roman"/>
          <w:b/>
          <w:bCs/>
          <w:sz w:val="24"/>
          <w:szCs w:val="24"/>
        </w:rPr>
      </w:pPr>
      <w:r w:rsidRPr="001A4351">
        <w:rPr>
          <w:rFonts w:ascii="Times New Roman" w:hAnsi="Times New Roman" w:cs="Times New Roman"/>
          <w:b/>
          <w:bCs/>
          <w:sz w:val="24"/>
          <w:szCs w:val="24"/>
        </w:rPr>
        <w:t>4. Case Study: Tunisian Manufacturing Company</w:t>
      </w:r>
    </w:p>
    <w:p w14:paraId="607A8CDD"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The selected Tunisian company is a textile manufacturer exporting products to European markets. Due to increasing environmental regulations and customer pressure, the company adopted sustainable supply chain practices.</w:t>
      </w:r>
    </w:p>
    <w:p w14:paraId="587AF1F2"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The implementation included sustainable supplier selection, energy-efficient production systems, optimization of transport routes, recycling systems, and reduction of packaging waste.</w:t>
      </w:r>
    </w:p>
    <w:p w14:paraId="7FA0ADD2"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The company also introduced digital tools to monitor inventory and optimize logistics operations, which significantly improved efficiency.</w:t>
      </w:r>
    </w:p>
    <w:p w14:paraId="52395A7B" w14:textId="4FD7CAD1" w:rsidR="001A4351" w:rsidRPr="001A4351" w:rsidRDefault="001A4351" w:rsidP="001A4351">
      <w:pPr>
        <w:spacing w:line="360" w:lineRule="auto"/>
        <w:jc w:val="both"/>
        <w:rPr>
          <w:rFonts w:ascii="Times New Roman" w:hAnsi="Times New Roman" w:cs="Times New Roman"/>
          <w:sz w:val="24"/>
          <w:szCs w:val="24"/>
        </w:rPr>
      </w:pPr>
    </w:p>
    <w:p w14:paraId="7D5110FF" w14:textId="77777777" w:rsidR="001A4351" w:rsidRPr="001A4351" w:rsidRDefault="001A4351" w:rsidP="001A4351">
      <w:pPr>
        <w:spacing w:line="360" w:lineRule="auto"/>
        <w:jc w:val="center"/>
        <w:rPr>
          <w:rFonts w:ascii="Times New Roman" w:hAnsi="Times New Roman" w:cs="Times New Roman"/>
          <w:b/>
          <w:bCs/>
          <w:sz w:val="24"/>
          <w:szCs w:val="24"/>
        </w:rPr>
      </w:pPr>
      <w:r w:rsidRPr="001A4351">
        <w:rPr>
          <w:rFonts w:ascii="Times New Roman" w:hAnsi="Times New Roman" w:cs="Times New Roman"/>
          <w:b/>
          <w:bCs/>
          <w:sz w:val="24"/>
          <w:szCs w:val="24"/>
        </w:rPr>
        <w:t>Figure 2: Transformation of Supply Chain Model</w:t>
      </w:r>
    </w:p>
    <w:p w14:paraId="2A06118E"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Traditional Supply Chain → Sustainable Supply Chain → Economic and Environmental Performance Improvement</w:t>
      </w:r>
    </w:p>
    <w:p w14:paraId="45DC456F" w14:textId="248C8261" w:rsidR="001A4351" w:rsidRPr="001A4351" w:rsidRDefault="001A4351" w:rsidP="001A4351">
      <w:pPr>
        <w:spacing w:line="360" w:lineRule="auto"/>
        <w:jc w:val="both"/>
        <w:rPr>
          <w:rFonts w:ascii="Times New Roman" w:hAnsi="Times New Roman" w:cs="Times New Roman"/>
          <w:sz w:val="24"/>
          <w:szCs w:val="24"/>
        </w:rPr>
      </w:pPr>
    </w:p>
    <w:p w14:paraId="2E608CCA" w14:textId="77777777" w:rsidR="001A4351" w:rsidRPr="001A4351" w:rsidRDefault="001A4351" w:rsidP="001A4351">
      <w:pPr>
        <w:spacing w:line="360" w:lineRule="auto"/>
        <w:jc w:val="both"/>
        <w:rPr>
          <w:rFonts w:ascii="Times New Roman" w:hAnsi="Times New Roman" w:cs="Times New Roman"/>
          <w:b/>
          <w:bCs/>
          <w:sz w:val="24"/>
          <w:szCs w:val="24"/>
        </w:rPr>
      </w:pPr>
      <w:r w:rsidRPr="001A4351">
        <w:rPr>
          <w:rFonts w:ascii="Times New Roman" w:hAnsi="Times New Roman" w:cs="Times New Roman"/>
          <w:b/>
          <w:bCs/>
          <w:sz w:val="24"/>
          <w:szCs w:val="24"/>
        </w:rPr>
        <w:t>5. Results and Analysis</w:t>
      </w:r>
    </w:p>
    <w:p w14:paraId="4905F693" w14:textId="77777777" w:rsidR="001A4351" w:rsidRPr="001A4351" w:rsidRDefault="001A4351" w:rsidP="001A4351">
      <w:pPr>
        <w:spacing w:line="360" w:lineRule="auto"/>
        <w:jc w:val="center"/>
        <w:rPr>
          <w:rFonts w:ascii="Times New Roman" w:hAnsi="Times New Roman" w:cs="Times New Roman"/>
          <w:b/>
          <w:bCs/>
          <w:sz w:val="24"/>
          <w:szCs w:val="24"/>
        </w:rPr>
      </w:pPr>
      <w:r w:rsidRPr="001A4351">
        <w:rPr>
          <w:rFonts w:ascii="Times New Roman" w:hAnsi="Times New Roman" w:cs="Times New Roman"/>
          <w:b/>
          <w:bCs/>
          <w:sz w:val="24"/>
          <w:szCs w:val="24"/>
        </w:rPr>
        <w:lastRenderedPageBreak/>
        <w:t>Table 1: Operational Performance</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201"/>
        <w:gridCol w:w="1463"/>
        <w:gridCol w:w="1329"/>
        <w:gridCol w:w="1471"/>
      </w:tblGrid>
      <w:tr w:rsidR="001A4351" w:rsidRPr="001A4351" w14:paraId="0D62F052" w14:textId="77777777" w:rsidTr="001A4351">
        <w:trPr>
          <w:tblHeader/>
          <w:tblCellSpacing w:w="15" w:type="dxa"/>
          <w:jc w:val="center"/>
        </w:trPr>
        <w:tc>
          <w:tcPr>
            <w:tcW w:w="0" w:type="auto"/>
            <w:vAlign w:val="center"/>
            <w:hideMark/>
          </w:tcPr>
          <w:p w14:paraId="04D15367" w14:textId="77777777" w:rsidR="001A4351" w:rsidRPr="001A4351" w:rsidRDefault="001A4351" w:rsidP="001A4351">
            <w:pPr>
              <w:spacing w:line="360" w:lineRule="auto"/>
              <w:jc w:val="both"/>
              <w:rPr>
                <w:rFonts w:ascii="Times New Roman" w:hAnsi="Times New Roman" w:cs="Times New Roman"/>
                <w:b/>
                <w:bCs/>
                <w:sz w:val="24"/>
                <w:szCs w:val="24"/>
              </w:rPr>
            </w:pPr>
            <w:r w:rsidRPr="001A4351">
              <w:rPr>
                <w:rFonts w:ascii="Times New Roman" w:hAnsi="Times New Roman" w:cs="Times New Roman"/>
                <w:b/>
                <w:bCs/>
                <w:sz w:val="24"/>
                <w:szCs w:val="24"/>
              </w:rPr>
              <w:t>Indicator</w:t>
            </w:r>
          </w:p>
        </w:tc>
        <w:tc>
          <w:tcPr>
            <w:tcW w:w="0" w:type="auto"/>
            <w:vAlign w:val="center"/>
            <w:hideMark/>
          </w:tcPr>
          <w:p w14:paraId="6D793C67" w14:textId="77777777" w:rsidR="001A4351" w:rsidRPr="001A4351" w:rsidRDefault="001A4351" w:rsidP="001A4351">
            <w:pPr>
              <w:spacing w:line="360" w:lineRule="auto"/>
              <w:jc w:val="both"/>
              <w:rPr>
                <w:rFonts w:ascii="Times New Roman" w:hAnsi="Times New Roman" w:cs="Times New Roman"/>
                <w:b/>
                <w:bCs/>
                <w:sz w:val="24"/>
                <w:szCs w:val="24"/>
              </w:rPr>
            </w:pPr>
            <w:r w:rsidRPr="001A4351">
              <w:rPr>
                <w:rFonts w:ascii="Times New Roman" w:hAnsi="Times New Roman" w:cs="Times New Roman"/>
                <w:b/>
                <w:bCs/>
                <w:sz w:val="24"/>
                <w:szCs w:val="24"/>
              </w:rPr>
              <w:t>Before SSCM</w:t>
            </w:r>
          </w:p>
        </w:tc>
        <w:tc>
          <w:tcPr>
            <w:tcW w:w="0" w:type="auto"/>
            <w:vAlign w:val="center"/>
            <w:hideMark/>
          </w:tcPr>
          <w:p w14:paraId="5F0F3F24" w14:textId="77777777" w:rsidR="001A4351" w:rsidRPr="001A4351" w:rsidRDefault="001A4351" w:rsidP="001A4351">
            <w:pPr>
              <w:spacing w:line="360" w:lineRule="auto"/>
              <w:jc w:val="both"/>
              <w:rPr>
                <w:rFonts w:ascii="Times New Roman" w:hAnsi="Times New Roman" w:cs="Times New Roman"/>
                <w:b/>
                <w:bCs/>
                <w:sz w:val="24"/>
                <w:szCs w:val="24"/>
              </w:rPr>
            </w:pPr>
            <w:r w:rsidRPr="001A4351">
              <w:rPr>
                <w:rFonts w:ascii="Times New Roman" w:hAnsi="Times New Roman" w:cs="Times New Roman"/>
                <w:b/>
                <w:bCs/>
                <w:sz w:val="24"/>
                <w:szCs w:val="24"/>
              </w:rPr>
              <w:t>After SSCM</w:t>
            </w:r>
          </w:p>
        </w:tc>
        <w:tc>
          <w:tcPr>
            <w:tcW w:w="0" w:type="auto"/>
            <w:vAlign w:val="center"/>
            <w:hideMark/>
          </w:tcPr>
          <w:p w14:paraId="66F62E81" w14:textId="77777777" w:rsidR="001A4351" w:rsidRPr="001A4351" w:rsidRDefault="001A4351" w:rsidP="001A4351">
            <w:pPr>
              <w:spacing w:line="360" w:lineRule="auto"/>
              <w:jc w:val="both"/>
              <w:rPr>
                <w:rFonts w:ascii="Times New Roman" w:hAnsi="Times New Roman" w:cs="Times New Roman"/>
                <w:b/>
                <w:bCs/>
                <w:sz w:val="24"/>
                <w:szCs w:val="24"/>
              </w:rPr>
            </w:pPr>
            <w:r w:rsidRPr="001A4351">
              <w:rPr>
                <w:rFonts w:ascii="Times New Roman" w:hAnsi="Times New Roman" w:cs="Times New Roman"/>
                <w:b/>
                <w:bCs/>
                <w:sz w:val="24"/>
                <w:szCs w:val="24"/>
              </w:rPr>
              <w:t>Improvement</w:t>
            </w:r>
          </w:p>
        </w:tc>
      </w:tr>
      <w:tr w:rsidR="001A4351" w:rsidRPr="001A4351" w14:paraId="5E206224" w14:textId="77777777" w:rsidTr="001A4351">
        <w:trPr>
          <w:tblCellSpacing w:w="15" w:type="dxa"/>
          <w:jc w:val="center"/>
        </w:trPr>
        <w:tc>
          <w:tcPr>
            <w:tcW w:w="0" w:type="auto"/>
            <w:vAlign w:val="center"/>
            <w:hideMark/>
          </w:tcPr>
          <w:p w14:paraId="27AA2B05"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Production Cost</w:t>
            </w:r>
          </w:p>
        </w:tc>
        <w:tc>
          <w:tcPr>
            <w:tcW w:w="0" w:type="auto"/>
            <w:vAlign w:val="center"/>
            <w:hideMark/>
          </w:tcPr>
          <w:p w14:paraId="46411F41"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High</w:t>
            </w:r>
          </w:p>
        </w:tc>
        <w:tc>
          <w:tcPr>
            <w:tcW w:w="0" w:type="auto"/>
            <w:vAlign w:val="center"/>
            <w:hideMark/>
          </w:tcPr>
          <w:p w14:paraId="4B58E28B"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Reduced</w:t>
            </w:r>
          </w:p>
        </w:tc>
        <w:tc>
          <w:tcPr>
            <w:tcW w:w="0" w:type="auto"/>
            <w:vAlign w:val="center"/>
            <w:hideMark/>
          </w:tcPr>
          <w:p w14:paraId="2BF7D7D9"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-18%</w:t>
            </w:r>
          </w:p>
        </w:tc>
      </w:tr>
      <w:tr w:rsidR="001A4351" w:rsidRPr="001A4351" w14:paraId="6C40D89D" w14:textId="77777777" w:rsidTr="001A4351">
        <w:trPr>
          <w:tblCellSpacing w:w="15" w:type="dxa"/>
          <w:jc w:val="center"/>
        </w:trPr>
        <w:tc>
          <w:tcPr>
            <w:tcW w:w="0" w:type="auto"/>
            <w:vAlign w:val="center"/>
            <w:hideMark/>
          </w:tcPr>
          <w:p w14:paraId="1B61F5C4"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Energy Consumption</w:t>
            </w:r>
          </w:p>
        </w:tc>
        <w:tc>
          <w:tcPr>
            <w:tcW w:w="0" w:type="auto"/>
            <w:vAlign w:val="center"/>
            <w:hideMark/>
          </w:tcPr>
          <w:p w14:paraId="181E2F41"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High</w:t>
            </w:r>
          </w:p>
        </w:tc>
        <w:tc>
          <w:tcPr>
            <w:tcW w:w="0" w:type="auto"/>
            <w:vAlign w:val="center"/>
            <w:hideMark/>
          </w:tcPr>
          <w:p w14:paraId="59079C4A"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Reduced</w:t>
            </w:r>
          </w:p>
        </w:tc>
        <w:tc>
          <w:tcPr>
            <w:tcW w:w="0" w:type="auto"/>
            <w:vAlign w:val="center"/>
            <w:hideMark/>
          </w:tcPr>
          <w:p w14:paraId="1403AE42"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-22%</w:t>
            </w:r>
          </w:p>
        </w:tc>
      </w:tr>
      <w:tr w:rsidR="001A4351" w:rsidRPr="001A4351" w14:paraId="6BE49AA8" w14:textId="77777777" w:rsidTr="001A4351">
        <w:trPr>
          <w:tblCellSpacing w:w="15" w:type="dxa"/>
          <w:jc w:val="center"/>
        </w:trPr>
        <w:tc>
          <w:tcPr>
            <w:tcW w:w="0" w:type="auto"/>
            <w:vAlign w:val="center"/>
            <w:hideMark/>
          </w:tcPr>
          <w:p w14:paraId="0EC2F98C"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Waste Generation</w:t>
            </w:r>
          </w:p>
        </w:tc>
        <w:tc>
          <w:tcPr>
            <w:tcW w:w="0" w:type="auto"/>
            <w:vAlign w:val="center"/>
            <w:hideMark/>
          </w:tcPr>
          <w:p w14:paraId="68EC22BC"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High</w:t>
            </w:r>
          </w:p>
        </w:tc>
        <w:tc>
          <w:tcPr>
            <w:tcW w:w="0" w:type="auto"/>
            <w:vAlign w:val="center"/>
            <w:hideMark/>
          </w:tcPr>
          <w:p w14:paraId="45FD6CF3"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Reduced</w:t>
            </w:r>
          </w:p>
        </w:tc>
        <w:tc>
          <w:tcPr>
            <w:tcW w:w="0" w:type="auto"/>
            <w:vAlign w:val="center"/>
            <w:hideMark/>
          </w:tcPr>
          <w:p w14:paraId="26497A46"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-35%</w:t>
            </w:r>
          </w:p>
        </w:tc>
      </w:tr>
      <w:tr w:rsidR="001A4351" w:rsidRPr="001A4351" w14:paraId="1BA8BACC" w14:textId="77777777" w:rsidTr="001A4351">
        <w:trPr>
          <w:tblCellSpacing w:w="15" w:type="dxa"/>
          <w:jc w:val="center"/>
        </w:trPr>
        <w:tc>
          <w:tcPr>
            <w:tcW w:w="0" w:type="auto"/>
            <w:vAlign w:val="center"/>
            <w:hideMark/>
          </w:tcPr>
          <w:p w14:paraId="3C0E06F5"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Delivery Performance</w:t>
            </w:r>
          </w:p>
        </w:tc>
        <w:tc>
          <w:tcPr>
            <w:tcW w:w="0" w:type="auto"/>
            <w:vAlign w:val="center"/>
            <w:hideMark/>
          </w:tcPr>
          <w:p w14:paraId="012DBC73"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Moderate</w:t>
            </w:r>
          </w:p>
        </w:tc>
        <w:tc>
          <w:tcPr>
            <w:tcW w:w="0" w:type="auto"/>
            <w:vAlign w:val="center"/>
            <w:hideMark/>
          </w:tcPr>
          <w:p w14:paraId="52A33A47"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High</w:t>
            </w:r>
          </w:p>
        </w:tc>
        <w:tc>
          <w:tcPr>
            <w:tcW w:w="0" w:type="auto"/>
            <w:vAlign w:val="center"/>
            <w:hideMark/>
          </w:tcPr>
          <w:p w14:paraId="5AFF9FF7"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+12%</w:t>
            </w:r>
          </w:p>
        </w:tc>
      </w:tr>
    </w:tbl>
    <w:p w14:paraId="3312E573" w14:textId="3D727D88" w:rsidR="001A4351" w:rsidRPr="001A4351" w:rsidRDefault="001A4351" w:rsidP="001A4351">
      <w:pPr>
        <w:spacing w:line="360" w:lineRule="auto"/>
        <w:jc w:val="both"/>
        <w:rPr>
          <w:rFonts w:ascii="Times New Roman" w:hAnsi="Times New Roman" w:cs="Times New Roman"/>
          <w:sz w:val="24"/>
          <w:szCs w:val="24"/>
        </w:rPr>
      </w:pPr>
    </w:p>
    <w:p w14:paraId="76F92F3C" w14:textId="77777777" w:rsidR="001A4351" w:rsidRPr="001A4351" w:rsidRDefault="001A4351" w:rsidP="001A4351">
      <w:pPr>
        <w:spacing w:line="360" w:lineRule="auto"/>
        <w:jc w:val="center"/>
        <w:rPr>
          <w:rFonts w:ascii="Times New Roman" w:hAnsi="Times New Roman" w:cs="Times New Roman"/>
          <w:b/>
          <w:bCs/>
          <w:sz w:val="24"/>
          <w:szCs w:val="24"/>
        </w:rPr>
      </w:pPr>
      <w:r w:rsidRPr="001A4351">
        <w:rPr>
          <w:rFonts w:ascii="Times New Roman" w:hAnsi="Times New Roman" w:cs="Times New Roman"/>
          <w:b/>
          <w:bCs/>
          <w:sz w:val="24"/>
          <w:szCs w:val="24"/>
        </w:rPr>
        <w:t>Table 2: Financial Performance</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002"/>
        <w:gridCol w:w="1463"/>
        <w:gridCol w:w="1329"/>
        <w:gridCol w:w="1471"/>
      </w:tblGrid>
      <w:tr w:rsidR="001A4351" w:rsidRPr="001A4351" w14:paraId="795972F2" w14:textId="77777777" w:rsidTr="001A4351">
        <w:trPr>
          <w:tblHeader/>
          <w:tblCellSpacing w:w="15" w:type="dxa"/>
          <w:jc w:val="center"/>
        </w:trPr>
        <w:tc>
          <w:tcPr>
            <w:tcW w:w="0" w:type="auto"/>
            <w:vAlign w:val="center"/>
            <w:hideMark/>
          </w:tcPr>
          <w:p w14:paraId="5096156B" w14:textId="77777777" w:rsidR="001A4351" w:rsidRPr="001A4351" w:rsidRDefault="001A4351" w:rsidP="001A4351">
            <w:pPr>
              <w:spacing w:line="360" w:lineRule="auto"/>
              <w:jc w:val="both"/>
              <w:rPr>
                <w:rFonts w:ascii="Times New Roman" w:hAnsi="Times New Roman" w:cs="Times New Roman"/>
                <w:b/>
                <w:bCs/>
                <w:sz w:val="24"/>
                <w:szCs w:val="24"/>
              </w:rPr>
            </w:pPr>
            <w:r w:rsidRPr="001A4351">
              <w:rPr>
                <w:rFonts w:ascii="Times New Roman" w:hAnsi="Times New Roman" w:cs="Times New Roman"/>
                <w:b/>
                <w:bCs/>
                <w:sz w:val="24"/>
                <w:szCs w:val="24"/>
              </w:rPr>
              <w:t>Indicator</w:t>
            </w:r>
          </w:p>
        </w:tc>
        <w:tc>
          <w:tcPr>
            <w:tcW w:w="0" w:type="auto"/>
            <w:vAlign w:val="center"/>
            <w:hideMark/>
          </w:tcPr>
          <w:p w14:paraId="28C09731" w14:textId="77777777" w:rsidR="001A4351" w:rsidRPr="001A4351" w:rsidRDefault="001A4351" w:rsidP="001A4351">
            <w:pPr>
              <w:spacing w:line="360" w:lineRule="auto"/>
              <w:jc w:val="both"/>
              <w:rPr>
                <w:rFonts w:ascii="Times New Roman" w:hAnsi="Times New Roman" w:cs="Times New Roman"/>
                <w:b/>
                <w:bCs/>
                <w:sz w:val="24"/>
                <w:szCs w:val="24"/>
              </w:rPr>
            </w:pPr>
            <w:r w:rsidRPr="001A4351">
              <w:rPr>
                <w:rFonts w:ascii="Times New Roman" w:hAnsi="Times New Roman" w:cs="Times New Roman"/>
                <w:b/>
                <w:bCs/>
                <w:sz w:val="24"/>
                <w:szCs w:val="24"/>
              </w:rPr>
              <w:t>Before SSCM</w:t>
            </w:r>
          </w:p>
        </w:tc>
        <w:tc>
          <w:tcPr>
            <w:tcW w:w="0" w:type="auto"/>
            <w:vAlign w:val="center"/>
            <w:hideMark/>
          </w:tcPr>
          <w:p w14:paraId="7F750D29" w14:textId="77777777" w:rsidR="001A4351" w:rsidRPr="001A4351" w:rsidRDefault="001A4351" w:rsidP="001A4351">
            <w:pPr>
              <w:spacing w:line="360" w:lineRule="auto"/>
              <w:jc w:val="both"/>
              <w:rPr>
                <w:rFonts w:ascii="Times New Roman" w:hAnsi="Times New Roman" w:cs="Times New Roman"/>
                <w:b/>
                <w:bCs/>
                <w:sz w:val="24"/>
                <w:szCs w:val="24"/>
              </w:rPr>
            </w:pPr>
            <w:r w:rsidRPr="001A4351">
              <w:rPr>
                <w:rFonts w:ascii="Times New Roman" w:hAnsi="Times New Roman" w:cs="Times New Roman"/>
                <w:b/>
                <w:bCs/>
                <w:sz w:val="24"/>
                <w:szCs w:val="24"/>
              </w:rPr>
              <w:t>After SSCM</w:t>
            </w:r>
          </w:p>
        </w:tc>
        <w:tc>
          <w:tcPr>
            <w:tcW w:w="0" w:type="auto"/>
            <w:vAlign w:val="center"/>
            <w:hideMark/>
          </w:tcPr>
          <w:p w14:paraId="4886E058" w14:textId="77777777" w:rsidR="001A4351" w:rsidRPr="001A4351" w:rsidRDefault="001A4351" w:rsidP="001A4351">
            <w:pPr>
              <w:spacing w:line="360" w:lineRule="auto"/>
              <w:jc w:val="both"/>
              <w:rPr>
                <w:rFonts w:ascii="Times New Roman" w:hAnsi="Times New Roman" w:cs="Times New Roman"/>
                <w:b/>
                <w:bCs/>
                <w:sz w:val="24"/>
                <w:szCs w:val="24"/>
              </w:rPr>
            </w:pPr>
            <w:r w:rsidRPr="001A4351">
              <w:rPr>
                <w:rFonts w:ascii="Times New Roman" w:hAnsi="Times New Roman" w:cs="Times New Roman"/>
                <w:b/>
                <w:bCs/>
                <w:sz w:val="24"/>
                <w:szCs w:val="24"/>
              </w:rPr>
              <w:t>Improvement</w:t>
            </w:r>
          </w:p>
        </w:tc>
      </w:tr>
      <w:tr w:rsidR="001A4351" w:rsidRPr="001A4351" w14:paraId="478B3A1E" w14:textId="77777777" w:rsidTr="001A4351">
        <w:trPr>
          <w:tblCellSpacing w:w="15" w:type="dxa"/>
          <w:jc w:val="center"/>
        </w:trPr>
        <w:tc>
          <w:tcPr>
            <w:tcW w:w="0" w:type="auto"/>
            <w:vAlign w:val="center"/>
            <w:hideMark/>
          </w:tcPr>
          <w:p w14:paraId="779BAC17"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Revenue</w:t>
            </w:r>
          </w:p>
        </w:tc>
        <w:tc>
          <w:tcPr>
            <w:tcW w:w="0" w:type="auto"/>
            <w:vAlign w:val="center"/>
            <w:hideMark/>
          </w:tcPr>
          <w:p w14:paraId="2A25EA10"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Medium</w:t>
            </w:r>
          </w:p>
        </w:tc>
        <w:tc>
          <w:tcPr>
            <w:tcW w:w="0" w:type="auto"/>
            <w:vAlign w:val="center"/>
            <w:hideMark/>
          </w:tcPr>
          <w:p w14:paraId="0B913D76"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High</w:t>
            </w:r>
          </w:p>
        </w:tc>
        <w:tc>
          <w:tcPr>
            <w:tcW w:w="0" w:type="auto"/>
            <w:vAlign w:val="center"/>
            <w:hideMark/>
          </w:tcPr>
          <w:p w14:paraId="5DEF7C95"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+21%</w:t>
            </w:r>
          </w:p>
        </w:tc>
      </w:tr>
      <w:tr w:rsidR="001A4351" w:rsidRPr="001A4351" w14:paraId="472F457C" w14:textId="77777777" w:rsidTr="001A4351">
        <w:trPr>
          <w:tblCellSpacing w:w="15" w:type="dxa"/>
          <w:jc w:val="center"/>
        </w:trPr>
        <w:tc>
          <w:tcPr>
            <w:tcW w:w="0" w:type="auto"/>
            <w:vAlign w:val="center"/>
            <w:hideMark/>
          </w:tcPr>
          <w:p w14:paraId="43417082"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Profit Margin</w:t>
            </w:r>
          </w:p>
        </w:tc>
        <w:tc>
          <w:tcPr>
            <w:tcW w:w="0" w:type="auto"/>
            <w:vAlign w:val="center"/>
            <w:hideMark/>
          </w:tcPr>
          <w:p w14:paraId="4085FC60"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Low</w:t>
            </w:r>
          </w:p>
        </w:tc>
        <w:tc>
          <w:tcPr>
            <w:tcW w:w="0" w:type="auto"/>
            <w:vAlign w:val="center"/>
            <w:hideMark/>
          </w:tcPr>
          <w:p w14:paraId="6F2FBDD9"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High</w:t>
            </w:r>
          </w:p>
        </w:tc>
        <w:tc>
          <w:tcPr>
            <w:tcW w:w="0" w:type="auto"/>
            <w:vAlign w:val="center"/>
            <w:hideMark/>
          </w:tcPr>
          <w:p w14:paraId="159318E8"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+48%</w:t>
            </w:r>
          </w:p>
        </w:tc>
      </w:tr>
      <w:tr w:rsidR="001A4351" w:rsidRPr="001A4351" w14:paraId="1517D85E" w14:textId="77777777" w:rsidTr="001A4351">
        <w:trPr>
          <w:tblCellSpacing w:w="15" w:type="dxa"/>
          <w:jc w:val="center"/>
        </w:trPr>
        <w:tc>
          <w:tcPr>
            <w:tcW w:w="0" w:type="auto"/>
            <w:vAlign w:val="center"/>
            <w:hideMark/>
          </w:tcPr>
          <w:p w14:paraId="7B8991A4"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ROI</w:t>
            </w:r>
          </w:p>
        </w:tc>
        <w:tc>
          <w:tcPr>
            <w:tcW w:w="0" w:type="auto"/>
            <w:vAlign w:val="center"/>
            <w:hideMark/>
          </w:tcPr>
          <w:p w14:paraId="67A53A7C"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Moderate</w:t>
            </w:r>
          </w:p>
        </w:tc>
        <w:tc>
          <w:tcPr>
            <w:tcW w:w="0" w:type="auto"/>
            <w:vAlign w:val="center"/>
            <w:hideMark/>
          </w:tcPr>
          <w:p w14:paraId="48C19544"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High</w:t>
            </w:r>
          </w:p>
        </w:tc>
        <w:tc>
          <w:tcPr>
            <w:tcW w:w="0" w:type="auto"/>
            <w:vAlign w:val="center"/>
            <w:hideMark/>
          </w:tcPr>
          <w:p w14:paraId="458832F6"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+52%</w:t>
            </w:r>
          </w:p>
        </w:tc>
      </w:tr>
      <w:tr w:rsidR="001A4351" w:rsidRPr="001A4351" w14:paraId="15BD8830" w14:textId="77777777" w:rsidTr="001A4351">
        <w:trPr>
          <w:tblCellSpacing w:w="15" w:type="dxa"/>
          <w:jc w:val="center"/>
        </w:trPr>
        <w:tc>
          <w:tcPr>
            <w:tcW w:w="0" w:type="auto"/>
            <w:vAlign w:val="center"/>
            <w:hideMark/>
          </w:tcPr>
          <w:p w14:paraId="4ED44F30"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Customer Retention</w:t>
            </w:r>
          </w:p>
        </w:tc>
        <w:tc>
          <w:tcPr>
            <w:tcW w:w="0" w:type="auto"/>
            <w:vAlign w:val="center"/>
            <w:hideMark/>
          </w:tcPr>
          <w:p w14:paraId="41EEB164"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Medium</w:t>
            </w:r>
          </w:p>
        </w:tc>
        <w:tc>
          <w:tcPr>
            <w:tcW w:w="0" w:type="auto"/>
            <w:vAlign w:val="center"/>
            <w:hideMark/>
          </w:tcPr>
          <w:p w14:paraId="7D1811B5"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High</w:t>
            </w:r>
          </w:p>
        </w:tc>
        <w:tc>
          <w:tcPr>
            <w:tcW w:w="0" w:type="auto"/>
            <w:vAlign w:val="center"/>
            <w:hideMark/>
          </w:tcPr>
          <w:p w14:paraId="1F6C386E"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+14%</w:t>
            </w:r>
          </w:p>
        </w:tc>
      </w:tr>
    </w:tbl>
    <w:p w14:paraId="231E6411" w14:textId="45775C7C" w:rsidR="001A4351" w:rsidRPr="001A4351" w:rsidRDefault="001A4351" w:rsidP="001A4351">
      <w:pPr>
        <w:spacing w:line="360" w:lineRule="auto"/>
        <w:jc w:val="both"/>
        <w:rPr>
          <w:rFonts w:ascii="Times New Roman" w:hAnsi="Times New Roman" w:cs="Times New Roman"/>
          <w:sz w:val="24"/>
          <w:szCs w:val="24"/>
        </w:rPr>
      </w:pPr>
    </w:p>
    <w:p w14:paraId="5FF1B6B7" w14:textId="77777777" w:rsidR="001A4351" w:rsidRPr="001A4351" w:rsidRDefault="001A4351" w:rsidP="001A4351">
      <w:pPr>
        <w:spacing w:line="360" w:lineRule="auto"/>
        <w:jc w:val="center"/>
        <w:rPr>
          <w:rFonts w:ascii="Times New Roman" w:hAnsi="Times New Roman" w:cs="Times New Roman"/>
          <w:b/>
          <w:bCs/>
          <w:sz w:val="24"/>
          <w:szCs w:val="24"/>
        </w:rPr>
      </w:pPr>
      <w:r w:rsidRPr="001A4351">
        <w:rPr>
          <w:rFonts w:ascii="Times New Roman" w:hAnsi="Times New Roman" w:cs="Times New Roman"/>
          <w:b/>
          <w:bCs/>
          <w:sz w:val="24"/>
          <w:szCs w:val="24"/>
        </w:rPr>
        <w:t>Figure 3: Economic Impact of Sustainability</w:t>
      </w:r>
    </w:p>
    <w:p w14:paraId="56FB82D0"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Profitability +48%</w:t>
      </w:r>
      <w:r w:rsidRPr="001A4351">
        <w:rPr>
          <w:rFonts w:ascii="Times New Roman" w:hAnsi="Times New Roman" w:cs="Times New Roman"/>
          <w:sz w:val="24"/>
          <w:szCs w:val="24"/>
        </w:rPr>
        <w:br/>
        <w:t>ROI +52%</w:t>
      </w:r>
      <w:r w:rsidRPr="001A4351">
        <w:rPr>
          <w:rFonts w:ascii="Times New Roman" w:hAnsi="Times New Roman" w:cs="Times New Roman"/>
          <w:sz w:val="24"/>
          <w:szCs w:val="24"/>
        </w:rPr>
        <w:br/>
        <w:t>Revenue +21%</w:t>
      </w:r>
      <w:r w:rsidRPr="001A4351">
        <w:rPr>
          <w:rFonts w:ascii="Times New Roman" w:hAnsi="Times New Roman" w:cs="Times New Roman"/>
          <w:sz w:val="24"/>
          <w:szCs w:val="24"/>
        </w:rPr>
        <w:br/>
        <w:t>Cost Reduction -18%</w:t>
      </w:r>
      <w:r w:rsidRPr="001A4351">
        <w:rPr>
          <w:rFonts w:ascii="Times New Roman" w:hAnsi="Times New Roman" w:cs="Times New Roman"/>
          <w:sz w:val="24"/>
          <w:szCs w:val="24"/>
        </w:rPr>
        <w:br/>
        <w:t>Energy Reduction -22%</w:t>
      </w:r>
      <w:r w:rsidRPr="001A4351">
        <w:rPr>
          <w:rFonts w:ascii="Times New Roman" w:hAnsi="Times New Roman" w:cs="Times New Roman"/>
          <w:sz w:val="24"/>
          <w:szCs w:val="24"/>
        </w:rPr>
        <w:br/>
        <w:t>Waste Reduction -35%</w:t>
      </w:r>
    </w:p>
    <w:p w14:paraId="09D65AD4" w14:textId="0F23E634" w:rsidR="001A4351" w:rsidRPr="001A4351" w:rsidRDefault="001A4351" w:rsidP="001A4351">
      <w:pPr>
        <w:spacing w:line="360" w:lineRule="auto"/>
        <w:jc w:val="both"/>
        <w:rPr>
          <w:rFonts w:ascii="Times New Roman" w:hAnsi="Times New Roman" w:cs="Times New Roman"/>
          <w:sz w:val="24"/>
          <w:szCs w:val="24"/>
        </w:rPr>
      </w:pPr>
    </w:p>
    <w:p w14:paraId="7B7A7597" w14:textId="77777777" w:rsidR="001A4351" w:rsidRDefault="001A4351" w:rsidP="001A4351">
      <w:pPr>
        <w:spacing w:line="360" w:lineRule="auto"/>
        <w:jc w:val="both"/>
        <w:rPr>
          <w:rFonts w:ascii="Times New Roman" w:hAnsi="Times New Roman" w:cs="Times New Roman"/>
          <w:b/>
          <w:bCs/>
          <w:sz w:val="24"/>
          <w:szCs w:val="24"/>
        </w:rPr>
      </w:pPr>
    </w:p>
    <w:p w14:paraId="7F6734C1" w14:textId="6F43149B" w:rsidR="001A4351" w:rsidRPr="001A4351" w:rsidRDefault="001A4351" w:rsidP="001A4351">
      <w:pPr>
        <w:spacing w:line="360" w:lineRule="auto"/>
        <w:jc w:val="both"/>
        <w:rPr>
          <w:rFonts w:ascii="Times New Roman" w:hAnsi="Times New Roman" w:cs="Times New Roman"/>
          <w:b/>
          <w:bCs/>
          <w:sz w:val="24"/>
          <w:szCs w:val="24"/>
        </w:rPr>
      </w:pPr>
      <w:r w:rsidRPr="001A4351">
        <w:rPr>
          <w:rFonts w:ascii="Times New Roman" w:hAnsi="Times New Roman" w:cs="Times New Roman"/>
          <w:b/>
          <w:bCs/>
          <w:sz w:val="24"/>
          <w:szCs w:val="24"/>
        </w:rPr>
        <w:t>6. Discussion</w:t>
      </w:r>
    </w:p>
    <w:p w14:paraId="355FC3BB"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lastRenderedPageBreak/>
        <w:t>The findings clearly show that sustainable supply chain implementation has a strong positive influence on economic profitability. Cost reductions are achieved through improved energy efficiency, waste reduction, and optimized logistics. These improvements directly increase profit margins and return on investment.</w:t>
      </w:r>
    </w:p>
    <w:p w14:paraId="35E49AE6"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Furthermore, sustainability enhances brand reputation, especially in export markets where environmental compliance is required. Tunisian companies benefit from increased competitiveness in European markets by adopting green supply chain practices.</w:t>
      </w:r>
    </w:p>
    <w:p w14:paraId="1E174BB7"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The results are consistent with prior studies such as Sarkis et al. (2011), Benjaafar et al. (2013), and Elhedhli and Merrick (2012), which confirm that sustainability improves both environmental and financial performance.</w:t>
      </w:r>
    </w:p>
    <w:p w14:paraId="7EC05D01" w14:textId="23FE28A7" w:rsidR="001A4351" w:rsidRPr="001A4351" w:rsidRDefault="001A4351" w:rsidP="001A4351">
      <w:pPr>
        <w:spacing w:line="360" w:lineRule="auto"/>
        <w:jc w:val="both"/>
        <w:rPr>
          <w:rFonts w:ascii="Times New Roman" w:hAnsi="Times New Roman" w:cs="Times New Roman"/>
          <w:sz w:val="24"/>
          <w:szCs w:val="24"/>
        </w:rPr>
      </w:pPr>
    </w:p>
    <w:p w14:paraId="34BCF20A" w14:textId="77777777" w:rsidR="001A4351" w:rsidRPr="001A4351" w:rsidRDefault="001A4351" w:rsidP="001A4351">
      <w:pPr>
        <w:spacing w:line="360" w:lineRule="auto"/>
        <w:jc w:val="both"/>
        <w:rPr>
          <w:rFonts w:ascii="Times New Roman" w:hAnsi="Times New Roman" w:cs="Times New Roman"/>
          <w:b/>
          <w:bCs/>
          <w:sz w:val="24"/>
          <w:szCs w:val="24"/>
        </w:rPr>
      </w:pPr>
      <w:r w:rsidRPr="001A4351">
        <w:rPr>
          <w:rFonts w:ascii="Times New Roman" w:hAnsi="Times New Roman" w:cs="Times New Roman"/>
          <w:b/>
          <w:bCs/>
          <w:sz w:val="24"/>
          <w:szCs w:val="24"/>
        </w:rPr>
        <w:t>7. Conclusion</w:t>
      </w:r>
    </w:p>
    <w:p w14:paraId="4F9E3B14" w14:textId="77777777" w:rsidR="001A4351" w:rsidRPr="001A4351" w:rsidRDefault="001A4351" w:rsidP="001A4351">
      <w:pPr>
        <w:spacing w:line="360" w:lineRule="auto"/>
        <w:jc w:val="both"/>
        <w:rPr>
          <w:rFonts w:ascii="Times New Roman" w:hAnsi="Times New Roman" w:cs="Times New Roman"/>
          <w:sz w:val="24"/>
          <w:szCs w:val="24"/>
        </w:rPr>
      </w:pPr>
      <w:r w:rsidRPr="001A4351">
        <w:rPr>
          <w:rFonts w:ascii="Times New Roman" w:hAnsi="Times New Roman" w:cs="Times New Roman"/>
          <w:sz w:val="24"/>
          <w:szCs w:val="24"/>
        </w:rPr>
        <w:t>This study analyzed the influence of sustainable supply chain implementation on economic profitability in Tunisian companies using a manufacturing case study. The results confirm that sustainability practices significantly improve operational efficiency, reduce costs, and increase profitability. Green procurement, energy-efficient production, and sustainable logistics are key drivers of economic performance. The study concludes that sustainable supply chain management is not a cost burden but a strategic investment that enhances long-term competitiveness for Tunisian firms.</w:t>
      </w:r>
    </w:p>
    <w:p w14:paraId="044D591E" w14:textId="686A5FD0" w:rsidR="001A4351" w:rsidRPr="001A4351" w:rsidRDefault="001A4351" w:rsidP="001A4351">
      <w:pPr>
        <w:spacing w:line="360" w:lineRule="auto"/>
        <w:jc w:val="both"/>
        <w:rPr>
          <w:rFonts w:ascii="Times New Roman" w:hAnsi="Times New Roman" w:cs="Times New Roman"/>
          <w:sz w:val="24"/>
          <w:szCs w:val="24"/>
        </w:rPr>
      </w:pPr>
    </w:p>
    <w:p w14:paraId="204F0801" w14:textId="2434F9A8" w:rsidR="00061DF6" w:rsidRDefault="001A4351" w:rsidP="00061DF6">
      <w:pPr>
        <w:spacing w:line="360" w:lineRule="auto"/>
        <w:jc w:val="both"/>
        <w:rPr>
          <w:rFonts w:asciiTheme="majorBidi" w:hAnsiTheme="majorBidi" w:cstheme="majorBidi"/>
        </w:rPr>
      </w:pPr>
      <w:r w:rsidRPr="001A4351">
        <w:rPr>
          <w:rFonts w:ascii="Times New Roman" w:hAnsi="Times New Roman" w:cs="Times New Roman"/>
          <w:b/>
          <w:bCs/>
          <w:sz w:val="24"/>
          <w:szCs w:val="24"/>
        </w:rPr>
        <w:t xml:space="preserve">References </w:t>
      </w:r>
    </w:p>
    <w:p w14:paraId="21860CC2" w14:textId="77777777" w:rsidR="00061DF6" w:rsidRDefault="001A4351" w:rsidP="00061DF6">
      <w:pPr>
        <w:spacing w:before="1" w:line="240" w:lineRule="auto"/>
        <w:ind w:left="1239" w:right="1067" w:hanging="360"/>
        <w:jc w:val="both"/>
        <w:rPr>
          <w:rFonts w:ascii="Times New Roman" w:hAnsi="Times New Roman" w:cs="Times New Roman"/>
          <w:sz w:val="24"/>
          <w:szCs w:val="24"/>
        </w:rPr>
      </w:pPr>
      <w:r w:rsidRPr="001A4351">
        <w:rPr>
          <w:rFonts w:ascii="Times New Roman" w:hAnsi="Times New Roman" w:cs="Times New Roman"/>
          <w:sz w:val="24"/>
          <w:szCs w:val="24"/>
        </w:rPr>
        <w:t>Axsäter, S. (2011). Inventory Control and Lateral Transshipment. Management Science.</w:t>
      </w:r>
    </w:p>
    <w:p w14:paraId="30EEFF91" w14:textId="77777777" w:rsidR="00061DF6" w:rsidRDefault="001A4351" w:rsidP="00061DF6">
      <w:pPr>
        <w:spacing w:before="1" w:line="240" w:lineRule="auto"/>
        <w:ind w:left="1239" w:right="1067" w:hanging="360"/>
        <w:jc w:val="both"/>
        <w:rPr>
          <w:rFonts w:ascii="Times New Roman" w:hAnsi="Times New Roman" w:cs="Times New Roman"/>
          <w:sz w:val="24"/>
          <w:szCs w:val="24"/>
        </w:rPr>
      </w:pPr>
      <w:r w:rsidRPr="001A4351">
        <w:rPr>
          <w:rFonts w:ascii="Times New Roman" w:hAnsi="Times New Roman" w:cs="Times New Roman"/>
          <w:sz w:val="24"/>
          <w:szCs w:val="24"/>
        </w:rPr>
        <w:t>Banomyong, R. (2018). Sustainable Logistics Management. International Journal of Logistics Research and Applications.</w:t>
      </w:r>
    </w:p>
    <w:p w14:paraId="2DE5EFF4" w14:textId="77777777" w:rsidR="00061DF6" w:rsidRDefault="001A4351" w:rsidP="00061DF6">
      <w:pPr>
        <w:spacing w:before="1" w:line="240" w:lineRule="auto"/>
        <w:ind w:left="1239" w:right="1067" w:hanging="360"/>
        <w:jc w:val="both"/>
        <w:rPr>
          <w:rFonts w:ascii="Times New Roman" w:hAnsi="Times New Roman" w:cs="Times New Roman"/>
          <w:sz w:val="24"/>
          <w:szCs w:val="24"/>
        </w:rPr>
      </w:pPr>
      <w:r w:rsidRPr="001A4351">
        <w:rPr>
          <w:rFonts w:ascii="Times New Roman" w:hAnsi="Times New Roman" w:cs="Times New Roman"/>
          <w:sz w:val="24"/>
          <w:szCs w:val="24"/>
        </w:rPr>
        <w:t>Benjaafar, S., Li, Y., &amp; Daskin, M. (2013). Carbon Footprint and Supply Chains. IEEE Transactions.</w:t>
      </w:r>
    </w:p>
    <w:p w14:paraId="27163E95" w14:textId="77777777" w:rsidR="00061DF6" w:rsidRDefault="001A4351" w:rsidP="00061DF6">
      <w:pPr>
        <w:spacing w:before="1" w:line="240" w:lineRule="auto"/>
        <w:ind w:left="1239" w:right="1067" w:hanging="360"/>
        <w:jc w:val="both"/>
        <w:rPr>
          <w:rFonts w:ascii="Times New Roman" w:hAnsi="Times New Roman" w:cs="Times New Roman"/>
          <w:sz w:val="24"/>
          <w:szCs w:val="24"/>
        </w:rPr>
      </w:pPr>
      <w:r w:rsidRPr="001A4351">
        <w:rPr>
          <w:rFonts w:ascii="Times New Roman" w:hAnsi="Times New Roman" w:cs="Times New Roman"/>
          <w:sz w:val="24"/>
          <w:szCs w:val="24"/>
        </w:rPr>
        <w:t>Bertrand, J. (2013). Supply Chain Coordination Models. International Journal of Production Economics.</w:t>
      </w:r>
    </w:p>
    <w:p w14:paraId="46314B08" w14:textId="77777777" w:rsidR="00061DF6" w:rsidRDefault="001A4351" w:rsidP="00061DF6">
      <w:pPr>
        <w:spacing w:before="1" w:line="240" w:lineRule="auto"/>
        <w:ind w:left="1239" w:right="1067" w:hanging="360"/>
        <w:jc w:val="both"/>
        <w:rPr>
          <w:rFonts w:ascii="Times New Roman" w:hAnsi="Times New Roman" w:cs="Times New Roman"/>
          <w:sz w:val="24"/>
          <w:szCs w:val="24"/>
        </w:rPr>
      </w:pPr>
      <w:r w:rsidRPr="001A4351">
        <w:rPr>
          <w:rFonts w:ascii="Times New Roman" w:hAnsi="Times New Roman" w:cs="Times New Roman"/>
          <w:sz w:val="24"/>
          <w:szCs w:val="24"/>
        </w:rPr>
        <w:t>Chopra, S., &amp; Meindl, P. (2019). Supply Chain Management. Pearson.</w:t>
      </w:r>
      <w:r w:rsidRPr="001A4351">
        <w:rPr>
          <w:rFonts w:ascii="Times New Roman" w:hAnsi="Times New Roman" w:cs="Times New Roman"/>
          <w:sz w:val="24"/>
          <w:szCs w:val="24"/>
        </w:rPr>
        <w:br/>
        <w:t>Daskin, M. (2011). Network and Discrete Location. Wiley.</w:t>
      </w:r>
    </w:p>
    <w:p w14:paraId="0132A60D" w14:textId="77777777" w:rsidR="00061DF6" w:rsidRDefault="001A4351" w:rsidP="00061DF6">
      <w:pPr>
        <w:spacing w:before="1" w:line="240" w:lineRule="auto"/>
        <w:ind w:left="1239" w:right="1067" w:hanging="360"/>
        <w:jc w:val="both"/>
        <w:rPr>
          <w:rFonts w:ascii="Times New Roman" w:hAnsi="Times New Roman" w:cs="Times New Roman"/>
          <w:sz w:val="24"/>
          <w:szCs w:val="24"/>
        </w:rPr>
      </w:pPr>
      <w:r w:rsidRPr="001A4351">
        <w:rPr>
          <w:rFonts w:ascii="Times New Roman" w:hAnsi="Times New Roman" w:cs="Times New Roman"/>
          <w:sz w:val="24"/>
          <w:szCs w:val="24"/>
        </w:rPr>
        <w:lastRenderedPageBreak/>
        <w:t>Elhedhli, S., &amp; Merrick, R. (2012). Green Supply Chain Design. Transportation Research Part D.</w:t>
      </w:r>
    </w:p>
    <w:p w14:paraId="35F761CC" w14:textId="77777777" w:rsidR="00061DF6" w:rsidRDefault="001A4351" w:rsidP="00061DF6">
      <w:pPr>
        <w:spacing w:before="1" w:line="240" w:lineRule="auto"/>
        <w:ind w:left="1239" w:right="1067" w:hanging="360"/>
        <w:jc w:val="both"/>
        <w:rPr>
          <w:rFonts w:ascii="Times New Roman" w:hAnsi="Times New Roman" w:cs="Times New Roman"/>
          <w:sz w:val="24"/>
          <w:szCs w:val="24"/>
        </w:rPr>
      </w:pPr>
      <w:r w:rsidRPr="001A4351">
        <w:rPr>
          <w:rFonts w:ascii="Times New Roman" w:hAnsi="Times New Roman" w:cs="Times New Roman"/>
          <w:sz w:val="24"/>
          <w:szCs w:val="24"/>
        </w:rPr>
        <w:t>Fleischmann, M. (2012). Reverse Logistics Systems. European Journal of Operational Research.</w:t>
      </w:r>
    </w:p>
    <w:p w14:paraId="6D01C821" w14:textId="77777777" w:rsidR="00061DF6" w:rsidRDefault="001A4351" w:rsidP="00061DF6">
      <w:pPr>
        <w:spacing w:before="1" w:line="240" w:lineRule="auto"/>
        <w:ind w:left="1239" w:right="1067" w:hanging="360"/>
        <w:jc w:val="both"/>
        <w:rPr>
          <w:rFonts w:ascii="Times New Roman" w:hAnsi="Times New Roman" w:cs="Times New Roman"/>
          <w:sz w:val="24"/>
          <w:szCs w:val="24"/>
        </w:rPr>
      </w:pPr>
      <w:r w:rsidRPr="001A4351">
        <w:rPr>
          <w:rFonts w:ascii="Times New Roman" w:hAnsi="Times New Roman" w:cs="Times New Roman"/>
          <w:sz w:val="24"/>
          <w:szCs w:val="24"/>
        </w:rPr>
        <w:t>Herer, Y. (2016). Inventory Sharing Systems. IJPR.</w:t>
      </w:r>
    </w:p>
    <w:p w14:paraId="61E7C7E3" w14:textId="77777777" w:rsidR="00061DF6" w:rsidRDefault="001A4351" w:rsidP="00061DF6">
      <w:pPr>
        <w:spacing w:before="1" w:line="240" w:lineRule="auto"/>
        <w:ind w:left="1239" w:right="1067" w:hanging="360"/>
        <w:jc w:val="both"/>
        <w:rPr>
          <w:rFonts w:ascii="Times New Roman" w:hAnsi="Times New Roman" w:cs="Times New Roman"/>
          <w:sz w:val="24"/>
          <w:szCs w:val="24"/>
        </w:rPr>
      </w:pPr>
      <w:r w:rsidRPr="001A4351">
        <w:rPr>
          <w:rFonts w:ascii="Times New Roman" w:hAnsi="Times New Roman" w:cs="Times New Roman"/>
          <w:sz w:val="24"/>
          <w:szCs w:val="24"/>
        </w:rPr>
        <w:t>Sarkis, J., Zhu, Q., &amp; Lai, K. (2011). Green Supply Chain Management. International Journal of Production Economics.</w:t>
      </w:r>
    </w:p>
    <w:p w14:paraId="5AAEF89C" w14:textId="77777777" w:rsidR="00061DF6" w:rsidRDefault="001A4351" w:rsidP="00061DF6">
      <w:pPr>
        <w:spacing w:before="1" w:line="240" w:lineRule="auto"/>
        <w:ind w:left="1239" w:right="1067" w:hanging="360"/>
        <w:jc w:val="both"/>
        <w:rPr>
          <w:rFonts w:ascii="Times New Roman" w:hAnsi="Times New Roman" w:cs="Times New Roman"/>
          <w:sz w:val="24"/>
          <w:szCs w:val="24"/>
        </w:rPr>
      </w:pPr>
      <w:r w:rsidRPr="001A4351">
        <w:rPr>
          <w:rFonts w:ascii="Times New Roman" w:hAnsi="Times New Roman" w:cs="Times New Roman"/>
          <w:sz w:val="24"/>
          <w:szCs w:val="24"/>
        </w:rPr>
        <w:t>Simchi-Levi, D. (2021). Designing and Managing the Supply Chain. McGraw-Hill.</w:t>
      </w:r>
    </w:p>
    <w:p w14:paraId="05CA651E" w14:textId="77777777" w:rsidR="00061DF6" w:rsidRDefault="001A4351" w:rsidP="00061DF6">
      <w:pPr>
        <w:spacing w:before="1" w:line="240" w:lineRule="auto"/>
        <w:ind w:left="1239" w:right="1067" w:hanging="360"/>
        <w:jc w:val="both"/>
        <w:rPr>
          <w:rFonts w:ascii="Times New Roman" w:hAnsi="Times New Roman" w:cs="Times New Roman"/>
          <w:sz w:val="24"/>
          <w:szCs w:val="24"/>
        </w:rPr>
      </w:pPr>
      <w:r w:rsidRPr="001A4351">
        <w:rPr>
          <w:rFonts w:ascii="Times New Roman" w:hAnsi="Times New Roman" w:cs="Times New Roman"/>
          <w:sz w:val="24"/>
          <w:szCs w:val="24"/>
        </w:rPr>
        <w:t>Srivastava, S. (2017). Green Supply Chain Review. International Journal of Management Reviews.</w:t>
      </w:r>
    </w:p>
    <w:p w14:paraId="13C70014" w14:textId="77777777" w:rsidR="00061DF6" w:rsidRDefault="001A4351" w:rsidP="00061DF6">
      <w:pPr>
        <w:spacing w:before="1" w:line="240" w:lineRule="auto"/>
        <w:ind w:left="1239" w:right="1067" w:hanging="360"/>
        <w:jc w:val="both"/>
        <w:rPr>
          <w:rFonts w:ascii="Times New Roman" w:hAnsi="Times New Roman" w:cs="Times New Roman"/>
          <w:sz w:val="24"/>
          <w:szCs w:val="24"/>
        </w:rPr>
      </w:pPr>
      <w:r w:rsidRPr="001A4351">
        <w:rPr>
          <w:rFonts w:ascii="Times New Roman" w:hAnsi="Times New Roman" w:cs="Times New Roman"/>
          <w:sz w:val="24"/>
          <w:szCs w:val="24"/>
        </w:rPr>
        <w:t>Zhu, Q., &amp; Sarkis, J. (2020). Sustainability Practices in Supply Chains. Journal of Operations Management.</w:t>
      </w:r>
    </w:p>
    <w:p w14:paraId="6052FE40" w14:textId="50241859" w:rsidR="001A4351" w:rsidRPr="001A4351" w:rsidRDefault="001A4351" w:rsidP="00061DF6">
      <w:pPr>
        <w:spacing w:before="1" w:line="240" w:lineRule="auto"/>
        <w:ind w:left="1239" w:right="1067" w:hanging="360"/>
        <w:jc w:val="both"/>
        <w:rPr>
          <w:rFonts w:asciiTheme="majorBidi" w:hAnsiTheme="majorBidi" w:cstheme="majorBidi"/>
        </w:rPr>
      </w:pPr>
      <w:r w:rsidRPr="001A4351">
        <w:rPr>
          <w:rFonts w:ascii="Times New Roman" w:hAnsi="Times New Roman" w:cs="Times New Roman"/>
          <w:sz w:val="24"/>
          <w:szCs w:val="24"/>
        </w:rPr>
        <w:t>El-Nakib, I. (2026). Green Logistics Performance Index. Logistics Journal.</w:t>
      </w:r>
      <w:r w:rsidRPr="001A4351">
        <w:rPr>
          <w:rFonts w:ascii="Times New Roman" w:hAnsi="Times New Roman" w:cs="Times New Roman"/>
          <w:sz w:val="24"/>
          <w:szCs w:val="24"/>
        </w:rPr>
        <w:br/>
        <w:t>Barkaoui, F., &amp; Ben Abdallah, K. (2026). Circular Economy and SSCM. Sustainable Development Journal.</w:t>
      </w:r>
    </w:p>
    <w:p w14:paraId="312144C9" w14:textId="77777777" w:rsidR="00FB0A2F" w:rsidRDefault="00FB0A2F" w:rsidP="001A4351">
      <w:pPr>
        <w:spacing w:line="360" w:lineRule="auto"/>
        <w:jc w:val="both"/>
        <w:rPr>
          <w:rFonts w:ascii="Times New Roman" w:hAnsi="Times New Roman" w:cs="Times New Roman"/>
          <w:sz w:val="24"/>
          <w:szCs w:val="24"/>
        </w:rPr>
      </w:pPr>
    </w:p>
    <w:p w14:paraId="6EB631D7" w14:textId="77777777" w:rsidR="006F1916" w:rsidRPr="001A4351" w:rsidRDefault="006F1916" w:rsidP="001A4351">
      <w:pPr>
        <w:spacing w:line="360" w:lineRule="auto"/>
        <w:jc w:val="both"/>
        <w:rPr>
          <w:rFonts w:ascii="Times New Roman" w:hAnsi="Times New Roman" w:cs="Times New Roman"/>
          <w:sz w:val="24"/>
          <w:szCs w:val="24"/>
        </w:rPr>
      </w:pPr>
    </w:p>
    <w:sectPr w:rsidR="006F1916" w:rsidRPr="001A43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787"/>
    <w:rsid w:val="00061DF6"/>
    <w:rsid w:val="00121316"/>
    <w:rsid w:val="001A0341"/>
    <w:rsid w:val="001A4351"/>
    <w:rsid w:val="002D2438"/>
    <w:rsid w:val="00573787"/>
    <w:rsid w:val="006D5056"/>
    <w:rsid w:val="006F1916"/>
    <w:rsid w:val="0076673B"/>
    <w:rsid w:val="00852B9B"/>
    <w:rsid w:val="009C0702"/>
    <w:rsid w:val="00DA04C1"/>
    <w:rsid w:val="00FB0A2F"/>
    <w:rsid w:val="00FB56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7EA10"/>
  <w15:chartTrackingRefBased/>
  <w15:docId w15:val="{85A7D7B6-498A-41DF-B1F3-B49186511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737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5737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573787"/>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573787"/>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573787"/>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57378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7378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7378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7378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73787"/>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573787"/>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573787"/>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573787"/>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573787"/>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57378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7378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7378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73787"/>
    <w:rPr>
      <w:rFonts w:eastAsiaTheme="majorEastAsia" w:cstheme="majorBidi"/>
      <w:color w:val="272727" w:themeColor="text1" w:themeTint="D8"/>
    </w:rPr>
  </w:style>
  <w:style w:type="paragraph" w:styleId="Titre">
    <w:name w:val="Title"/>
    <w:basedOn w:val="Normal"/>
    <w:next w:val="Normal"/>
    <w:link w:val="TitreCar"/>
    <w:uiPriority w:val="10"/>
    <w:qFormat/>
    <w:rsid w:val="005737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7378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7378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7378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73787"/>
    <w:pPr>
      <w:spacing w:before="160"/>
      <w:jc w:val="center"/>
    </w:pPr>
    <w:rPr>
      <w:i/>
      <w:iCs/>
      <w:color w:val="404040" w:themeColor="text1" w:themeTint="BF"/>
    </w:rPr>
  </w:style>
  <w:style w:type="character" w:customStyle="1" w:styleId="CitationCar">
    <w:name w:val="Citation Car"/>
    <w:basedOn w:val="Policepardfaut"/>
    <w:link w:val="Citation"/>
    <w:uiPriority w:val="29"/>
    <w:rsid w:val="00573787"/>
    <w:rPr>
      <w:i/>
      <w:iCs/>
      <w:color w:val="404040" w:themeColor="text1" w:themeTint="BF"/>
    </w:rPr>
  </w:style>
  <w:style w:type="paragraph" w:styleId="Paragraphedeliste">
    <w:name w:val="List Paragraph"/>
    <w:basedOn w:val="Normal"/>
    <w:uiPriority w:val="34"/>
    <w:qFormat/>
    <w:rsid w:val="00573787"/>
    <w:pPr>
      <w:ind w:left="720"/>
      <w:contextualSpacing/>
    </w:pPr>
  </w:style>
  <w:style w:type="character" w:styleId="Accentuationintense">
    <w:name w:val="Intense Emphasis"/>
    <w:basedOn w:val="Policepardfaut"/>
    <w:uiPriority w:val="21"/>
    <w:qFormat/>
    <w:rsid w:val="00573787"/>
    <w:rPr>
      <w:i/>
      <w:iCs/>
      <w:color w:val="2F5496" w:themeColor="accent1" w:themeShade="BF"/>
    </w:rPr>
  </w:style>
  <w:style w:type="paragraph" w:styleId="Citationintense">
    <w:name w:val="Intense Quote"/>
    <w:basedOn w:val="Normal"/>
    <w:next w:val="Normal"/>
    <w:link w:val="CitationintenseCar"/>
    <w:uiPriority w:val="30"/>
    <w:qFormat/>
    <w:rsid w:val="005737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573787"/>
    <w:rPr>
      <w:i/>
      <w:iCs/>
      <w:color w:val="2F5496" w:themeColor="accent1" w:themeShade="BF"/>
    </w:rPr>
  </w:style>
  <w:style w:type="character" w:styleId="Rfrenceintense">
    <w:name w:val="Intense Reference"/>
    <w:basedOn w:val="Policepardfaut"/>
    <w:uiPriority w:val="32"/>
    <w:qFormat/>
    <w:rsid w:val="00573787"/>
    <w:rPr>
      <w:b/>
      <w:bCs/>
      <w:smallCaps/>
      <w:color w:val="2F5496" w:themeColor="accent1" w:themeShade="BF"/>
      <w:spacing w:val="5"/>
    </w:rPr>
  </w:style>
  <w:style w:type="character" w:styleId="Lienhypertexte">
    <w:name w:val="Hyperlink"/>
    <w:basedOn w:val="Policepardfaut"/>
    <w:uiPriority w:val="99"/>
    <w:unhideWhenUsed/>
    <w:rsid w:val="001A43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adoielleuch5@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6</Pages>
  <Words>1396</Words>
  <Characters>7679</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elleuch fadoi</dc:creator>
  <cp:keywords/>
  <dc:description/>
  <cp:lastModifiedBy>elleuch fadoi</cp:lastModifiedBy>
  <cp:revision>6</cp:revision>
  <dcterms:created xsi:type="dcterms:W3CDTF">2026-06-15T13:21:00Z</dcterms:created>
  <dcterms:modified xsi:type="dcterms:W3CDTF">2026-06-15T19:18:00Z</dcterms:modified>
</cp:coreProperties>
</file>