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D971" w14:textId="45CA43B8" w:rsidR="00475E8B" w:rsidRPr="00372AE1" w:rsidRDefault="00B43F5E" w:rsidP="002B0BD8">
      <w:pPr>
        <w:ind w:left="-709" w:right="-613"/>
        <w:jc w:val="center"/>
        <w:rPr>
          <w:rFonts w:ascii="Times New Roman" w:hAnsi="Times New Roman" w:cs="Times New Roman"/>
          <w:b/>
          <w:bCs/>
        </w:rPr>
      </w:pPr>
      <w:r w:rsidRPr="00372AE1">
        <w:rPr>
          <w:rFonts w:ascii="Times New Roman" w:hAnsi="Times New Roman" w:cs="Times New Roman"/>
          <w:b/>
          <w:bCs/>
        </w:rPr>
        <w:t xml:space="preserve">   </w:t>
      </w:r>
      <w:r w:rsidR="002B0BD8" w:rsidRPr="000434FB">
        <w:rPr>
          <w:rFonts w:ascii="Times New Roman" w:hAnsi="Times New Roman" w:cs="Times New Roman"/>
          <w:b/>
          <w:bCs/>
          <w:sz w:val="28"/>
          <w:szCs w:val="28"/>
        </w:rPr>
        <w:t>GENDER INDEPENDENCE AND CAREER ADVANCEMENT OF WOMEN EMPLOYEES: THE MEDIATING INFLUENCE OF WORKPLACE GENDER EQUALITY POLICIES</w:t>
      </w:r>
    </w:p>
    <w:p w14:paraId="1D821E5D" w14:textId="77777777" w:rsidR="000434FB" w:rsidRDefault="000434FB" w:rsidP="0084546C">
      <w:pPr>
        <w:spacing w:after="0" w:line="240" w:lineRule="auto"/>
        <w:ind w:right="-330"/>
        <w:jc w:val="center"/>
        <w:rPr>
          <w:rFonts w:ascii="Times New Roman" w:hAnsi="Times New Roman" w:cs="Times New Roman"/>
          <w:b/>
          <w:bCs/>
        </w:rPr>
      </w:pPr>
      <w:r>
        <w:rPr>
          <w:rFonts w:ascii="Times New Roman" w:hAnsi="Times New Roman" w:cs="Times New Roman"/>
          <w:b/>
          <w:bCs/>
        </w:rPr>
        <w:t/>
      </w:r>
    </w:p>
    <w:p w14:paraId="1DB08214" w14:textId="29BC7C43" w:rsidR="002B0BD8" w:rsidRDefault="000434FB" w:rsidP="0084546C">
      <w:pPr>
        <w:spacing w:after="0" w:line="240" w:lineRule="auto"/>
        <w:ind w:right="-330"/>
        <w:jc w:val="center"/>
        <w:rPr>
          <w:rFonts w:ascii="Times New Roman" w:hAnsi="Times New Roman" w:cs="Times New Roman"/>
          <w:b/>
          <w:bCs/>
        </w:rPr>
      </w:pPr>
      <w:r>
        <w:rPr>
          <w:rFonts w:ascii="Times New Roman" w:hAnsi="Times New Roman" w:cs="Times New Roman"/>
          <w:b/>
          <w:bCs/>
        </w:rPr>
        <w:t/>
      </w:r>
      <w:r w:rsidR="0084546C">
        <w:rPr>
          <w:rFonts w:ascii="Times New Roman" w:hAnsi="Times New Roman" w:cs="Times New Roman"/>
          <w:b/>
          <w:bCs/>
        </w:rPr>
        <w:t xml:space="preserve"/>
      </w:r>
      <w:proofErr w:type="spellStart"/>
      <w:r w:rsidR="0084546C">
        <w:rPr>
          <w:rFonts w:ascii="Times New Roman" w:hAnsi="Times New Roman" w:cs="Times New Roman"/>
          <w:b/>
          <w:bCs/>
        </w:rPr>
        <w:t/>
      </w:r>
      <w:proofErr w:type="spellEnd"/>
    </w:p>
    <w:p w14:paraId="457E8C25" w14:textId="77777777" w:rsidR="0084546C" w:rsidRDefault="0084546C" w:rsidP="000434FB">
      <w:pPr>
        <w:spacing w:after="0" w:line="240" w:lineRule="auto"/>
        <w:ind w:right="-330"/>
        <w:jc w:val="center"/>
        <w:rPr>
          <w:rFonts w:ascii="Times New Roman" w:hAnsi="Times New Roman" w:cs="Times New Roman"/>
          <w:b/>
          <w:bCs/>
        </w:rPr>
      </w:pPr>
    </w:p>
    <w:p w14:paraId="4EBA7191" w14:textId="3EF7DA4D" w:rsidR="000434FB" w:rsidRDefault="000434FB" w:rsidP="0084546C">
      <w:pPr>
        <w:spacing w:after="0" w:line="240" w:lineRule="auto"/>
        <w:ind w:right="-330"/>
        <w:jc w:val="center"/>
        <w:rPr>
          <w:rFonts w:ascii="Times New Roman" w:hAnsi="Times New Roman" w:cs="Times New Roman"/>
          <w:b/>
          <w:bCs/>
        </w:rPr>
      </w:pPr>
      <w:r>
        <w:rPr>
          <w:rFonts w:ascii="Times New Roman" w:hAnsi="Times New Roman" w:cs="Times New Roman"/>
          <w:b/>
          <w:bCs/>
        </w:rPr>
        <w:t/>
      </w:r>
    </w:p>
    <w:p w14:paraId="431229B0" w14:textId="1F0164E3" w:rsidR="0084546C" w:rsidRDefault="000434FB" w:rsidP="0084546C">
      <w:pPr>
        <w:spacing w:after="0" w:line="240" w:lineRule="auto"/>
        <w:ind w:right="-330"/>
        <w:jc w:val="center"/>
        <w:rPr>
          <w:rFonts w:ascii="Times New Roman" w:hAnsi="Times New Roman" w:cs="Times New Roman"/>
          <w:b/>
          <w:bCs/>
        </w:rPr>
      </w:pPr>
      <w:r>
        <w:rPr>
          <w:rFonts w:ascii="Times New Roman" w:hAnsi="Times New Roman" w:cs="Times New Roman"/>
          <w:b/>
          <w:bCs/>
        </w:rPr>
        <w:t/>
      </w:r>
      <w:r w:rsidR="00FD0D9D">
        <w:rPr>
          <w:rFonts w:ascii="Times New Roman" w:hAnsi="Times New Roman" w:cs="Times New Roman"/>
          <w:b/>
          <w:bCs/>
        </w:rPr>
        <w:t xml:space="preserve"/>
      </w:r>
      <w:r>
        <w:rPr>
          <w:rFonts w:ascii="Times New Roman" w:hAnsi="Times New Roman" w:cs="Times New Roman"/>
          <w:b/>
          <w:bCs/>
        </w:rPr>
        <w:t/>
      </w:r>
      <w:r w:rsidR="0084546C">
        <w:rPr>
          <w:rFonts w:ascii="Times New Roman" w:hAnsi="Times New Roman" w:cs="Times New Roman"/>
          <w:b/>
          <w:bCs/>
        </w:rPr>
        <w:t xml:space="preserve"/>
      </w:r>
      <w:proofErr w:type="spellStart"/>
      <w:r w:rsidR="0084546C">
        <w:rPr>
          <w:rFonts w:ascii="Times New Roman" w:hAnsi="Times New Roman" w:cs="Times New Roman"/>
          <w:b/>
          <w:bCs/>
        </w:rPr>
        <w:t/>
      </w:r>
      <w:proofErr w:type="spellEnd"/>
    </w:p>
    <w:p w14:paraId="051B97C6" w14:textId="77777777" w:rsidR="0084546C" w:rsidRDefault="0084546C" w:rsidP="0084546C">
      <w:pPr>
        <w:spacing w:after="0" w:line="240" w:lineRule="auto"/>
        <w:ind w:right="-330"/>
        <w:jc w:val="center"/>
        <w:rPr>
          <w:rFonts w:ascii="Times New Roman" w:hAnsi="Times New Roman" w:cs="Times New Roman"/>
          <w:b/>
          <w:bCs/>
        </w:rPr>
      </w:pPr>
    </w:p>
    <w:p w14:paraId="4F87CD49" w14:textId="341CDFCA" w:rsidR="000434FB" w:rsidRDefault="000434FB" w:rsidP="000434FB">
      <w:pPr>
        <w:spacing w:after="0" w:line="240" w:lineRule="auto"/>
        <w:ind w:right="-330"/>
        <w:jc w:val="center"/>
        <w:rPr>
          <w:rFonts w:ascii="Times New Roman" w:hAnsi="Times New Roman" w:cs="Times New Roman"/>
          <w:b/>
          <w:bCs/>
        </w:rPr>
      </w:pPr>
      <w:r>
        <w:rPr>
          <w:rFonts w:ascii="Times New Roman" w:hAnsi="Times New Roman" w:cs="Times New Roman"/>
          <w:b/>
          <w:bCs/>
        </w:rPr>
        <w:t/>
      </w:r>
    </w:p>
    <w:p w14:paraId="3FF1AE97" w14:textId="3221D377" w:rsidR="000434FB" w:rsidRDefault="000434FB" w:rsidP="000434FB">
      <w:pPr>
        <w:spacing w:after="0" w:line="360" w:lineRule="auto"/>
        <w:ind w:right="-330"/>
        <w:jc w:val="center"/>
        <w:rPr>
          <w:rFonts w:ascii="Times New Roman" w:hAnsi="Times New Roman" w:cs="Times New Roman"/>
          <w:b/>
          <w:bCs/>
        </w:rPr>
      </w:pPr>
      <w:r>
        <w:rPr>
          <w:rFonts w:ascii="Times New Roman" w:hAnsi="Times New Roman" w:cs="Times New Roman"/>
          <w:b/>
          <w:bCs/>
        </w:rPr>
        <w:t/>
      </w:r>
      <w:r w:rsidR="0084546C">
        <w:rPr>
          <w:rFonts w:ascii="Times New Roman" w:hAnsi="Times New Roman" w:cs="Times New Roman"/>
          <w:b/>
          <w:bCs/>
        </w:rPr>
        <w:t xml:space="preserve"/>
      </w:r>
      <w:proofErr w:type="spellStart"/>
      <w:r w:rsidR="0084546C">
        <w:rPr>
          <w:rFonts w:ascii="Times New Roman" w:hAnsi="Times New Roman" w:cs="Times New Roman"/>
          <w:b/>
          <w:bCs/>
        </w:rPr>
        <w:t/>
      </w:r>
      <w:proofErr w:type="spellEnd"/>
    </w:p>
    <w:p w14:paraId="6BEEB70F" w14:textId="7722CF3A" w:rsidR="000434FB" w:rsidRDefault="000434FB" w:rsidP="000434FB">
      <w:pPr>
        <w:spacing w:after="0" w:line="240" w:lineRule="auto"/>
        <w:ind w:right="-330"/>
        <w:jc w:val="center"/>
        <w:rPr>
          <w:rFonts w:ascii="Times New Roman" w:hAnsi="Times New Roman" w:cs="Times New Roman"/>
          <w:b/>
          <w:bCs/>
        </w:rPr>
      </w:pPr>
      <w:r>
        <w:rPr>
          <w:rFonts w:ascii="Times New Roman" w:hAnsi="Times New Roman" w:cs="Times New Roman"/>
          <w:b/>
          <w:bCs/>
        </w:rPr>
        <w:t/>
      </w:r>
    </w:p>
    <w:p w14:paraId="686B1D65" w14:textId="77C644A4" w:rsidR="000434FB" w:rsidRDefault="000434FB" w:rsidP="000434FB">
      <w:pPr>
        <w:spacing w:after="0" w:line="240" w:lineRule="auto"/>
        <w:ind w:right="-330"/>
        <w:jc w:val="center"/>
        <w:rPr>
          <w:rFonts w:ascii="Times New Roman" w:hAnsi="Times New Roman" w:cs="Times New Roman"/>
          <w:b/>
          <w:bCs/>
        </w:rPr>
      </w:pPr>
      <w:r>
        <w:rPr>
          <w:rFonts w:ascii="Times New Roman" w:hAnsi="Times New Roman" w:cs="Times New Roman"/>
          <w:b/>
          <w:bCs/>
        </w:rPr>
        <w:t/>
      </w:r>
      <w:r w:rsidR="0084546C">
        <w:rPr>
          <w:rFonts w:ascii="Times New Roman" w:hAnsi="Times New Roman" w:cs="Times New Roman"/>
          <w:b/>
          <w:bCs/>
        </w:rPr>
        <w:t xml:space="preserve"/>
      </w:r>
      <w:proofErr w:type="spellStart"/>
      <w:r w:rsidR="0084546C">
        <w:rPr>
          <w:rFonts w:ascii="Times New Roman" w:hAnsi="Times New Roman" w:cs="Times New Roman"/>
          <w:b/>
          <w:bCs/>
        </w:rPr>
        <w:t/>
      </w:r>
      <w:proofErr w:type="spellEnd"/>
    </w:p>
    <w:p w14:paraId="78BECA80" w14:textId="77777777" w:rsidR="000434FB" w:rsidRPr="00372AE1" w:rsidRDefault="000434FB" w:rsidP="000434FB">
      <w:pPr>
        <w:spacing w:after="0" w:line="240" w:lineRule="auto"/>
        <w:ind w:right="-330"/>
        <w:jc w:val="center"/>
        <w:rPr>
          <w:rFonts w:ascii="Times New Roman" w:hAnsi="Times New Roman" w:cs="Times New Roman"/>
          <w:b/>
          <w:bCs/>
        </w:rPr>
      </w:pPr>
    </w:p>
    <w:p w14:paraId="0DC14E49" w14:textId="77777777" w:rsidR="00372AE1" w:rsidRPr="00372AE1" w:rsidRDefault="00372AE1" w:rsidP="00372AE1">
      <w:pPr>
        <w:pStyle w:val="Heading2"/>
        <w:jc w:val="both"/>
        <w:rPr>
          <w:rFonts w:ascii="Times New Roman" w:hAnsi="Times New Roman" w:cs="Times New Roman"/>
          <w:b/>
          <w:bCs/>
          <w:color w:val="auto"/>
          <w:sz w:val="24"/>
          <w:szCs w:val="24"/>
        </w:rPr>
      </w:pPr>
      <w:r w:rsidRPr="00372AE1">
        <w:rPr>
          <w:rFonts w:ascii="Times New Roman" w:hAnsi="Times New Roman" w:cs="Times New Roman"/>
          <w:b/>
          <w:bCs/>
          <w:color w:val="auto"/>
          <w:sz w:val="24"/>
          <w:szCs w:val="24"/>
        </w:rPr>
        <w:t>Abstract</w:t>
      </w:r>
    </w:p>
    <w:p w14:paraId="4BE50B61" w14:textId="77777777" w:rsidR="00372AE1" w:rsidRDefault="00372AE1" w:rsidP="00372AE1">
      <w:pPr>
        <w:jc w:val="both"/>
        <w:rPr>
          <w:rFonts w:ascii="Times New Roman" w:hAnsi="Times New Roman" w:cs="Times New Roman"/>
        </w:rPr>
      </w:pPr>
      <w:r w:rsidRPr="00372AE1">
        <w:rPr>
          <w:rFonts w:ascii="Times New Roman" w:hAnsi="Times New Roman" w:cs="Times New Roman"/>
        </w:rPr>
        <w:t xml:space="preserve">This study examines the relationship between Gender Independence and Career Advancement of Women Employees, with Workplace Gender Equality Policies acting as a mediating variable. The research focuses on women employees working across Kozhikode, Ernakulam, and Thiruvananthapuram districts of Kerala. Following a pilot study involving 80 respondents, the final structured questionnaire generated 320 valid responses. Structural Equation </w:t>
      </w:r>
      <w:proofErr w:type="spellStart"/>
      <w:r w:rsidRPr="00372AE1">
        <w:rPr>
          <w:rFonts w:ascii="Times New Roman" w:hAnsi="Times New Roman" w:cs="Times New Roman"/>
        </w:rPr>
        <w:t>Modeling</w:t>
      </w:r>
      <w:proofErr w:type="spellEnd"/>
      <w:r w:rsidRPr="00372AE1">
        <w:rPr>
          <w:rFonts w:ascii="Times New Roman" w:hAnsi="Times New Roman" w:cs="Times New Roman"/>
        </w:rPr>
        <w:t xml:space="preserve"> (SEM) was employed to examine the proposed relationships among the study variables. The findings revealed that Gender Independence significantly influences Career Advancement among women employees. Workplace Gender Equality Policies were also found to positively affect career advancement and partially mediate the relationship between Gender Independence and Career Advancement. The study highlights the importance of organizational equality policies, gender-inclusive work environments, leadership opportunities, and institutional support systems in promoting women’s professional growth and career development.</w:t>
      </w:r>
    </w:p>
    <w:p w14:paraId="5E72A4B9" w14:textId="0CCF8F3F" w:rsidR="000434FB" w:rsidRPr="00372AE1" w:rsidRDefault="000434FB" w:rsidP="00372AE1">
      <w:pPr>
        <w:jc w:val="both"/>
        <w:rPr>
          <w:rFonts w:ascii="Times New Roman" w:hAnsi="Times New Roman" w:cs="Times New Roman"/>
        </w:rPr>
      </w:pPr>
      <w:r w:rsidRPr="00B93EB5">
        <w:rPr>
          <w:rFonts w:ascii="Times New Roman" w:hAnsi="Times New Roman" w:cs="Times New Roman"/>
          <w:b/>
          <w:bCs/>
        </w:rPr>
        <w:t>Keywords:</w:t>
      </w:r>
      <w:r>
        <w:rPr>
          <w:rFonts w:ascii="Times New Roman" w:hAnsi="Times New Roman" w:cs="Times New Roman"/>
        </w:rPr>
        <w:t xml:space="preserve"> </w:t>
      </w:r>
      <w:r w:rsidR="00B93EB5">
        <w:rPr>
          <w:rFonts w:ascii="Times New Roman" w:hAnsi="Times New Roman" w:cs="Times New Roman"/>
        </w:rPr>
        <w:t xml:space="preserve">Gender Independence, Career Advancement, Workplace Gender equality Policies </w:t>
      </w:r>
    </w:p>
    <w:p w14:paraId="16238053" w14:textId="5E6F5310" w:rsidR="002B0BD8" w:rsidRPr="000434FB" w:rsidRDefault="002B0BD8" w:rsidP="000434FB">
      <w:pPr>
        <w:pStyle w:val="ListParagraph"/>
        <w:numPr>
          <w:ilvl w:val="0"/>
          <w:numId w:val="6"/>
        </w:numPr>
        <w:rPr>
          <w:rFonts w:ascii="Times New Roman" w:hAnsi="Times New Roman" w:cs="Times New Roman"/>
          <w:b/>
          <w:bCs/>
        </w:rPr>
      </w:pPr>
      <w:r w:rsidRPr="000434FB">
        <w:rPr>
          <w:rFonts w:ascii="Times New Roman" w:hAnsi="Times New Roman" w:cs="Times New Roman"/>
          <w:b/>
          <w:bCs/>
        </w:rPr>
        <w:t>Introduction</w:t>
      </w:r>
    </w:p>
    <w:p w14:paraId="3A25FB90" w14:textId="177B0C5D" w:rsidR="007B2F11" w:rsidRDefault="002B0BD8" w:rsidP="002B0BD8">
      <w:pPr>
        <w:jc w:val="both"/>
        <w:rPr>
          <w:rFonts w:ascii="Times New Roman" w:hAnsi="Times New Roman" w:cs="Times New Roman"/>
        </w:rPr>
      </w:pPr>
      <w:r w:rsidRPr="00372AE1">
        <w:rPr>
          <w:rFonts w:ascii="Times New Roman" w:hAnsi="Times New Roman" w:cs="Times New Roman"/>
        </w:rPr>
        <w:t xml:space="preserve">As persistent gender disparities continue to shape workplace outcomes globally, the advancement of women in organizational careers has long been a central concern in gender and management research. Although women’s participation in the labour force has grown substantially over the past decades, significant gaps remain in leadership representation, career progression rates, and professional autonomy when compared to their male counterparts. Research on gendered career dynamics emphasizes that it is not individual competence but structural and cultural barriers that often limit women’s opportunities to advance into senior roles (O’Neil &amp; Hopkins, 2015).  Central to understanding these dynamics is the concept of gender independence, which refers to the degree to which women can exercise autonomy in career-related decisions, free from restrictive gender norms and institutional constraints. While </w:t>
      </w:r>
      <w:r w:rsidRPr="00372AE1">
        <w:rPr>
          <w:rFonts w:ascii="Times New Roman" w:hAnsi="Times New Roman" w:cs="Times New Roman"/>
        </w:rPr>
        <w:lastRenderedPageBreak/>
        <w:t xml:space="preserve">individual agency has been explored in some disciplinary contexts, such as economics (Goldin, Understanding the Gender Gap, 2021), which illustrates how structural conditions influence women’s career choices and </w:t>
      </w:r>
      <w:proofErr w:type="spellStart"/>
      <w:r w:rsidRPr="00372AE1">
        <w:rPr>
          <w:rFonts w:ascii="Times New Roman" w:hAnsi="Times New Roman" w:cs="Times New Roman"/>
        </w:rPr>
        <w:t>labor</w:t>
      </w:r>
      <w:proofErr w:type="spellEnd"/>
      <w:r w:rsidRPr="00372AE1">
        <w:rPr>
          <w:rFonts w:ascii="Times New Roman" w:hAnsi="Times New Roman" w:cs="Times New Roman"/>
        </w:rPr>
        <w:t xml:space="preserve"> market participation, the notion of gender independence in organizational research points to both psychological self-determination and real opportunities within workplace systems.  Closely related is the concept of career advancement for women employees, which encompasses objective indicators such as promotions, leadership appointments, and salary increases as well as subjective experiences of professional growth and recognition. The literature consistently indicates that women encounter slower career progress, glass ceilings, and limited access to informal networks and mentoring opportunities compared with men (Jansen van Rensburg, 2021).   Highlighting the importance of examining contextual and policy-level influences, career advancement is shaped not only by individual capabilities but also by the structural environment of the workplace.  Workplace gender equality policies are institutional interventions designed to create fair conditions that facilitate women’s career success. These include anti-discrimination measures, equal pay frameworks, flexible work provisions, parental leave policies, leadership development programs, and transparent promotion criteria. International and organizational frameworks—such as the International Labour Organization’s normative standards and the Women’s Empowerment Principles—illustrate how such policies aim to dismantle systemic barriers and enlarge women’s opportunities for advancement (International Labour Organization, 2019). Empirical studies corroborate the role of supportive policies in improving women’s retention and advancement, particularly when these policies address work-life balance and structural bias (Singh et al, 2021).   Despite the proliferation of gender equality initiatives, gaps persist between policy intent and workplace realities. Reviews indicate that gender inequities remain embedded in organizational practices—from biased performance evaluations to unequal access to leadership roles—suggesting that policies must not only exist on paper but also be actively implemented and culturally embedded (Son Hing et al., Gender inequities in the workplace: A holistic review, 2023). Collectively, these strands of research suggest that women’s gender independence, their career advancement, and the effectiveness of workplace gender equality policies are interlinked. A nuanced examination of these relationships can illuminate how organizational environments either enable or constrain women’s professional growth, and how targeted policies can serve as mediators in this process.</w:t>
      </w:r>
    </w:p>
    <w:p w14:paraId="382A9AE8" w14:textId="0C2BACCA" w:rsidR="00B93EB5" w:rsidRPr="00B93EB5" w:rsidRDefault="00B93EB5" w:rsidP="00B93EB5">
      <w:pPr>
        <w:pStyle w:val="ListParagraph"/>
        <w:numPr>
          <w:ilvl w:val="0"/>
          <w:numId w:val="6"/>
        </w:numPr>
        <w:jc w:val="both"/>
        <w:rPr>
          <w:rFonts w:ascii="Times New Roman" w:hAnsi="Times New Roman" w:cs="Times New Roman"/>
          <w:b/>
          <w:bCs/>
        </w:rPr>
      </w:pPr>
      <w:r w:rsidRPr="00B93EB5">
        <w:rPr>
          <w:rFonts w:ascii="Times New Roman" w:hAnsi="Times New Roman" w:cs="Times New Roman"/>
          <w:b/>
          <w:bCs/>
        </w:rPr>
        <w:t>Review of Literature</w:t>
      </w:r>
    </w:p>
    <w:p w14:paraId="086EA556" w14:textId="25570E68" w:rsidR="007B2F11" w:rsidRPr="00372AE1" w:rsidRDefault="00B93EB5" w:rsidP="007B2F11">
      <w:pPr>
        <w:rPr>
          <w:rFonts w:ascii="Times New Roman" w:hAnsi="Times New Roman" w:cs="Times New Roman"/>
          <w:b/>
          <w:bCs/>
        </w:rPr>
      </w:pPr>
      <w:r>
        <w:rPr>
          <w:rFonts w:ascii="Times New Roman" w:hAnsi="Times New Roman" w:cs="Times New Roman"/>
          <w:b/>
          <w:bCs/>
        </w:rPr>
        <w:t xml:space="preserve">2.1 </w:t>
      </w:r>
      <w:r w:rsidR="007B2F11" w:rsidRPr="00372AE1">
        <w:rPr>
          <w:rFonts w:ascii="Times New Roman" w:hAnsi="Times New Roman" w:cs="Times New Roman"/>
          <w:b/>
          <w:bCs/>
        </w:rPr>
        <w:t>Gender Independence (GI) and Career Advancement of Women Employees (CAWE)</w:t>
      </w:r>
    </w:p>
    <w:p w14:paraId="65358047" w14:textId="391DEF4D" w:rsidR="004F36EE" w:rsidRPr="00372AE1" w:rsidRDefault="00BF316F" w:rsidP="00A115AD">
      <w:pPr>
        <w:spacing w:line="276" w:lineRule="auto"/>
        <w:jc w:val="both"/>
        <w:rPr>
          <w:rFonts w:ascii="Times New Roman" w:hAnsi="Times New Roman" w:cs="Times New Roman"/>
        </w:rPr>
      </w:pPr>
      <w:r w:rsidRPr="00372AE1">
        <w:rPr>
          <w:rFonts w:ascii="Times New Roman" w:hAnsi="Times New Roman" w:cs="Times New Roman"/>
        </w:rPr>
        <w:t xml:space="preserve">Gender Independence (GI) is all about getting freedom from all societal norms and expectation. </w:t>
      </w:r>
      <w:r w:rsidR="000D0472" w:rsidRPr="00372AE1">
        <w:rPr>
          <w:rFonts w:ascii="Times New Roman" w:hAnsi="Times New Roman" w:cs="Times New Roman"/>
        </w:rPr>
        <w:t xml:space="preserve">It denotes the capacity of individuals, irrespective of gender, to exercise autonomy, make informed personal, social, and economic choices, and participate equitably across all spheres of life, free from discrimination and restrictive gender norms. </w:t>
      </w:r>
      <w:r w:rsidR="0033020A" w:rsidRPr="00372AE1">
        <w:rPr>
          <w:rFonts w:ascii="Times New Roman" w:hAnsi="Times New Roman" w:cs="Times New Roman"/>
        </w:rPr>
        <w:t xml:space="preserve">Gender Independence is key to an inclusive workplace, giving women the same opportunities, recognition, and resources as men (Mugesh et al., 2025). </w:t>
      </w:r>
      <w:r w:rsidR="000D0472" w:rsidRPr="00372AE1">
        <w:rPr>
          <w:rFonts w:ascii="Times New Roman" w:hAnsi="Times New Roman" w:cs="Times New Roman"/>
        </w:rPr>
        <w:t xml:space="preserve">It focuses on reducing gender-based restrictions that limit people’s access to education, jobs, political involvement, and self-expression. Studies show that when individuals have more gender independence, countries tend to experience better development outcomes, such as economic growth, improved health, and stronger democratic systems (Sen, </w:t>
      </w:r>
      <w:r w:rsidR="000D0472" w:rsidRPr="00372AE1">
        <w:rPr>
          <w:rFonts w:ascii="Times New Roman" w:hAnsi="Times New Roman" w:cs="Times New Roman"/>
        </w:rPr>
        <w:lastRenderedPageBreak/>
        <w:t>1999; World Economic Forum, 2023).</w:t>
      </w:r>
      <w:r w:rsidR="009A60FF" w:rsidRPr="00372AE1">
        <w:rPr>
          <w:rFonts w:ascii="Times New Roman" w:hAnsi="Times New Roman" w:cs="Times New Roman"/>
        </w:rPr>
        <w:t xml:space="preserve"> </w:t>
      </w:r>
      <w:r w:rsidR="004F36EE" w:rsidRPr="00372AE1">
        <w:rPr>
          <w:rFonts w:ascii="Times New Roman" w:hAnsi="Times New Roman" w:cs="Times New Roman"/>
        </w:rPr>
        <w:t>G</w:t>
      </w:r>
      <w:r w:rsidR="009A60FF" w:rsidRPr="00372AE1">
        <w:rPr>
          <w:rFonts w:ascii="Times New Roman" w:hAnsi="Times New Roman" w:cs="Times New Roman"/>
        </w:rPr>
        <w:t>ender independence is intrinsically linked to gender equality, as it addresses entrenched structural inequalities and power asymmetries across social, cultural, and institutional context (Kabeer, 1999).</w:t>
      </w:r>
      <w:r w:rsidR="004F36EE" w:rsidRPr="00372AE1">
        <w:rPr>
          <w:rFonts w:ascii="Times New Roman" w:hAnsi="Times New Roman" w:cs="Times New Roman"/>
        </w:rPr>
        <w:t xml:space="preserve"> The promotion of gender independence depends on inclusive policy frameworks, effective legal protections, and broader transformations in societal attitudes that move beyond prescribed gender roles (United Nations Development Programme [UNDP], 2020).</w:t>
      </w:r>
    </w:p>
    <w:p w14:paraId="09B61309" w14:textId="71211DFC" w:rsidR="008510DE" w:rsidRPr="00372AE1" w:rsidRDefault="00701E69" w:rsidP="00A115AD">
      <w:pPr>
        <w:spacing w:line="276" w:lineRule="auto"/>
        <w:jc w:val="both"/>
        <w:rPr>
          <w:rFonts w:ascii="Times New Roman" w:hAnsi="Times New Roman" w:cs="Times New Roman"/>
        </w:rPr>
      </w:pPr>
      <w:r w:rsidRPr="00372AE1">
        <w:rPr>
          <w:rFonts w:ascii="Times New Roman" w:hAnsi="Times New Roman" w:cs="Times New Roman"/>
        </w:rPr>
        <w:t>Women are increasingly participating in the workforce, yet their career growth, development and progression remain constrained by structural and cultural challenges.</w:t>
      </w:r>
      <w:r w:rsidR="006217E5" w:rsidRPr="00372AE1">
        <w:rPr>
          <w:rFonts w:ascii="Times New Roman" w:hAnsi="Times New Roman" w:cs="Times New Roman"/>
        </w:rPr>
        <w:t xml:space="preserve"> According to many studies, women face an invisible glass ceiling that restricts their movement into senior roles, even though they have the required skills and qualifications (Ganiyu</w:t>
      </w:r>
      <w:r w:rsidR="005A4856" w:rsidRPr="00372AE1">
        <w:rPr>
          <w:rFonts w:ascii="Times New Roman" w:hAnsi="Times New Roman" w:cs="Times New Roman"/>
        </w:rPr>
        <w:t xml:space="preserve"> et al.,</w:t>
      </w:r>
      <w:r w:rsidR="006217E5" w:rsidRPr="00372AE1">
        <w:rPr>
          <w:rFonts w:ascii="Times New Roman" w:hAnsi="Times New Roman" w:cs="Times New Roman"/>
        </w:rPr>
        <w:t xml:space="preserve"> 2018; Imtiaz, Shaikh, &amp; ul Ain, 2018).</w:t>
      </w:r>
      <w:r w:rsidR="00485893" w:rsidRPr="00372AE1">
        <w:rPr>
          <w:rFonts w:ascii="Times New Roman" w:hAnsi="Times New Roman" w:cs="Times New Roman"/>
        </w:rPr>
        <w:t xml:space="preserve"> </w:t>
      </w:r>
      <w:r w:rsidR="008510DE" w:rsidRPr="00372AE1">
        <w:rPr>
          <w:rFonts w:ascii="Times New Roman" w:hAnsi="Times New Roman" w:cs="Times New Roman"/>
        </w:rPr>
        <w:t>Factors such as gender bias, non-transparen</w:t>
      </w:r>
      <w:r w:rsidR="009160F2" w:rsidRPr="00372AE1">
        <w:rPr>
          <w:rFonts w:ascii="Times New Roman" w:hAnsi="Times New Roman" w:cs="Times New Roman"/>
        </w:rPr>
        <w:t>cy in</w:t>
      </w:r>
      <w:r w:rsidR="008510DE" w:rsidRPr="00372AE1">
        <w:rPr>
          <w:rFonts w:ascii="Times New Roman" w:hAnsi="Times New Roman" w:cs="Times New Roman"/>
        </w:rPr>
        <w:t xml:space="preserve"> promotion practices, and </w:t>
      </w:r>
      <w:r w:rsidR="009160F2" w:rsidRPr="00372AE1">
        <w:rPr>
          <w:rFonts w:ascii="Times New Roman" w:hAnsi="Times New Roman" w:cs="Times New Roman"/>
        </w:rPr>
        <w:t>insufficient mentoring support</w:t>
      </w:r>
      <w:r w:rsidR="008510DE" w:rsidRPr="00372AE1">
        <w:rPr>
          <w:rFonts w:ascii="Times New Roman" w:hAnsi="Times New Roman" w:cs="Times New Roman"/>
        </w:rPr>
        <w:t xml:space="preserve"> act as major </w:t>
      </w:r>
      <w:r w:rsidR="00A73CAE" w:rsidRPr="00372AE1">
        <w:rPr>
          <w:rFonts w:ascii="Times New Roman" w:hAnsi="Times New Roman" w:cs="Times New Roman"/>
        </w:rPr>
        <w:t>difficulty</w:t>
      </w:r>
      <w:r w:rsidR="008510DE" w:rsidRPr="00372AE1">
        <w:rPr>
          <w:rFonts w:ascii="Times New Roman" w:hAnsi="Times New Roman" w:cs="Times New Roman"/>
        </w:rPr>
        <w:t xml:space="preserve"> to women’s professional advancement</w:t>
      </w:r>
      <w:r w:rsidR="000E163A" w:rsidRPr="00372AE1">
        <w:rPr>
          <w:rFonts w:ascii="Times New Roman" w:hAnsi="Times New Roman" w:cs="Times New Roman"/>
        </w:rPr>
        <w:t xml:space="preserve"> (</w:t>
      </w:r>
      <w:proofErr w:type="spellStart"/>
      <w:r w:rsidR="00B41BB9" w:rsidRPr="00372AE1">
        <w:rPr>
          <w:rFonts w:ascii="Times New Roman" w:hAnsi="Times New Roman" w:cs="Times New Roman"/>
        </w:rPr>
        <w:t>Sharifova</w:t>
      </w:r>
      <w:proofErr w:type="spellEnd"/>
      <w:r w:rsidR="00B41BB9" w:rsidRPr="00372AE1">
        <w:rPr>
          <w:rFonts w:ascii="Times New Roman" w:hAnsi="Times New Roman" w:cs="Times New Roman"/>
        </w:rPr>
        <w:t>, 2025)</w:t>
      </w:r>
      <w:r w:rsidR="008510DE" w:rsidRPr="00372AE1">
        <w:rPr>
          <w:rFonts w:ascii="Times New Roman" w:hAnsi="Times New Roman" w:cs="Times New Roman"/>
        </w:rPr>
        <w:t xml:space="preserve">. </w:t>
      </w:r>
      <w:r w:rsidR="00E07B55" w:rsidRPr="00372AE1">
        <w:rPr>
          <w:rFonts w:ascii="Times New Roman" w:hAnsi="Times New Roman" w:cs="Times New Roman"/>
        </w:rPr>
        <w:t>Studies show that women are still less represented in top leadership roles, even in fields like healthcare where many women work, because gender stereotypes and family responsibilities often limit their career growth (</w:t>
      </w:r>
      <w:r w:rsidR="00D020B3" w:rsidRPr="00372AE1">
        <w:rPr>
          <w:rFonts w:ascii="Times New Roman" w:hAnsi="Times New Roman" w:cs="Times New Roman"/>
        </w:rPr>
        <w:t>Mucheru et al., 2024</w:t>
      </w:r>
      <w:r w:rsidR="00E07B55" w:rsidRPr="00372AE1">
        <w:rPr>
          <w:rFonts w:ascii="Times New Roman" w:hAnsi="Times New Roman" w:cs="Times New Roman"/>
        </w:rPr>
        <w:t xml:space="preserve">). </w:t>
      </w:r>
      <w:r w:rsidR="008C7B5C" w:rsidRPr="00372AE1">
        <w:rPr>
          <w:rFonts w:ascii="Times New Roman" w:hAnsi="Times New Roman" w:cs="Times New Roman"/>
        </w:rPr>
        <w:t xml:space="preserve">Studies show that leadership training, fair promotions, and a welcoming workplace culture help women succeed in their careers (Clarke, 2011; </w:t>
      </w:r>
      <w:proofErr w:type="spellStart"/>
      <w:r w:rsidR="008C7B5C" w:rsidRPr="00372AE1">
        <w:rPr>
          <w:rFonts w:ascii="Times New Roman" w:hAnsi="Times New Roman" w:cs="Times New Roman"/>
        </w:rPr>
        <w:t>Maigah</w:t>
      </w:r>
      <w:proofErr w:type="spellEnd"/>
      <w:r w:rsidR="008C7B5C" w:rsidRPr="00372AE1">
        <w:rPr>
          <w:rFonts w:ascii="Times New Roman" w:hAnsi="Times New Roman" w:cs="Times New Roman"/>
        </w:rPr>
        <w:t xml:space="preserve"> &amp; Abdul Latip, 2024).</w:t>
      </w:r>
      <w:r w:rsidR="008B1019" w:rsidRPr="00372AE1">
        <w:rPr>
          <w:rFonts w:ascii="Times New Roman" w:hAnsi="Times New Roman" w:cs="Times New Roman"/>
        </w:rPr>
        <w:t xml:space="preserve"> Overall, these studies show that fair career growth for women needs both individual effort and strong support from policies and organizations that promote gender equality (Ganiyu et al., 2018; </w:t>
      </w:r>
      <w:proofErr w:type="spellStart"/>
      <w:r w:rsidR="008B1019" w:rsidRPr="00372AE1">
        <w:rPr>
          <w:rFonts w:ascii="Times New Roman" w:hAnsi="Times New Roman" w:cs="Times New Roman"/>
        </w:rPr>
        <w:t>Sharifova</w:t>
      </w:r>
      <w:proofErr w:type="spellEnd"/>
      <w:r w:rsidR="008B1019" w:rsidRPr="00372AE1">
        <w:rPr>
          <w:rFonts w:ascii="Times New Roman" w:hAnsi="Times New Roman" w:cs="Times New Roman"/>
        </w:rPr>
        <w:t>, 202</w:t>
      </w:r>
      <w:r w:rsidR="00C73FBD" w:rsidRPr="00372AE1">
        <w:rPr>
          <w:rFonts w:ascii="Times New Roman" w:hAnsi="Times New Roman" w:cs="Times New Roman"/>
        </w:rPr>
        <w:t>5</w:t>
      </w:r>
      <w:r w:rsidR="008B1019" w:rsidRPr="00372AE1">
        <w:rPr>
          <w:rFonts w:ascii="Times New Roman" w:hAnsi="Times New Roman" w:cs="Times New Roman"/>
        </w:rPr>
        <w:t>).</w:t>
      </w:r>
    </w:p>
    <w:p w14:paraId="3B52C51F" w14:textId="21A99440" w:rsidR="00C73FBD" w:rsidRPr="00372AE1" w:rsidRDefault="00BA2C3F" w:rsidP="00A115AD">
      <w:pPr>
        <w:spacing w:line="276" w:lineRule="auto"/>
        <w:jc w:val="both"/>
        <w:rPr>
          <w:rFonts w:ascii="Times New Roman" w:hAnsi="Times New Roman" w:cs="Times New Roman"/>
        </w:rPr>
      </w:pPr>
      <w:r w:rsidRPr="00372AE1">
        <w:rPr>
          <w:rFonts w:ascii="Times New Roman" w:hAnsi="Times New Roman" w:cs="Times New Roman"/>
        </w:rPr>
        <w:t xml:space="preserve">When women have more control over their lives and decisions, they're more likely to advance in their careers and take on leadership roles. </w:t>
      </w:r>
      <w:r w:rsidR="00C73FBD" w:rsidRPr="00372AE1">
        <w:rPr>
          <w:rFonts w:ascii="Times New Roman" w:hAnsi="Times New Roman" w:cs="Times New Roman"/>
        </w:rPr>
        <w:t>The studies show a strong and positive relationship between gender independence—reflected in women’s autonomy, decision-making authority, and freedom from traditional gender roles—and the career advancement of women employees.</w:t>
      </w:r>
      <w:r w:rsidR="00EB600E" w:rsidRPr="00372AE1">
        <w:rPr>
          <w:rFonts w:ascii="Times New Roman" w:hAnsi="Times New Roman" w:cs="Times New Roman"/>
        </w:rPr>
        <w:t xml:space="preserve"> Women who are independent tend to have more confidence, which helps them persevere and succeed in fields where men are more common (Heilman, 2012; Bandura, 1997)</w:t>
      </w:r>
      <w:r w:rsidR="0059201C" w:rsidRPr="00372AE1">
        <w:rPr>
          <w:rFonts w:ascii="Times New Roman" w:hAnsi="Times New Roman" w:cs="Times New Roman"/>
        </w:rPr>
        <w:t xml:space="preserve">. </w:t>
      </w:r>
      <w:r w:rsidR="00DA5A31" w:rsidRPr="00372AE1">
        <w:rPr>
          <w:rFonts w:ascii="Times New Roman" w:hAnsi="Times New Roman" w:cs="Times New Roman"/>
        </w:rPr>
        <w:t>Independent women are more likely to chase leadership jobs, ask for promotions, and take advantage of career growth chances (</w:t>
      </w:r>
      <w:proofErr w:type="spellStart"/>
      <w:r w:rsidR="00DA5A31" w:rsidRPr="00372AE1">
        <w:rPr>
          <w:rFonts w:ascii="Times New Roman" w:hAnsi="Times New Roman" w:cs="Times New Roman"/>
        </w:rPr>
        <w:t>Eagly</w:t>
      </w:r>
      <w:proofErr w:type="spellEnd"/>
      <w:r w:rsidR="00DA5A31" w:rsidRPr="00372AE1">
        <w:rPr>
          <w:rFonts w:ascii="Times New Roman" w:hAnsi="Times New Roman" w:cs="Times New Roman"/>
        </w:rPr>
        <w:t xml:space="preserve"> &amp; Carli, 2007).</w:t>
      </w:r>
      <w:r w:rsidR="00AB352A" w:rsidRPr="00372AE1">
        <w:rPr>
          <w:rFonts w:ascii="Times New Roman" w:hAnsi="Times New Roman" w:cs="Times New Roman"/>
        </w:rPr>
        <w:t xml:space="preserve"> Independency among women helps in breaking free from traditional roles, go after leadership positions, and negotiate things like promotions, salary, and career growth opportunities</w:t>
      </w:r>
      <w:r w:rsidR="00180EC4" w:rsidRPr="00372AE1">
        <w:rPr>
          <w:rFonts w:ascii="Times New Roman" w:hAnsi="Times New Roman" w:cs="Times New Roman"/>
        </w:rPr>
        <w:t xml:space="preserve"> (Kabeer, 1999; Sen, 1990).</w:t>
      </w:r>
      <w:r w:rsidR="00D16879" w:rsidRPr="00372AE1">
        <w:rPr>
          <w:rFonts w:ascii="Times New Roman" w:hAnsi="Times New Roman" w:cs="Times New Roman"/>
        </w:rPr>
        <w:t xml:space="preserve"> </w:t>
      </w:r>
      <w:r w:rsidR="00161C29" w:rsidRPr="00372AE1">
        <w:rPr>
          <w:rFonts w:ascii="Times New Roman" w:hAnsi="Times New Roman" w:cs="Times New Roman"/>
        </w:rPr>
        <w:t>Those w</w:t>
      </w:r>
      <w:r w:rsidR="00D16879" w:rsidRPr="00372AE1">
        <w:rPr>
          <w:rFonts w:ascii="Times New Roman" w:hAnsi="Times New Roman" w:cs="Times New Roman"/>
        </w:rPr>
        <w:t xml:space="preserve">omen who are more independent </w:t>
      </w:r>
      <w:r w:rsidR="00161C29" w:rsidRPr="00372AE1">
        <w:rPr>
          <w:rFonts w:ascii="Times New Roman" w:hAnsi="Times New Roman" w:cs="Times New Roman"/>
        </w:rPr>
        <w:t>shows</w:t>
      </w:r>
      <w:r w:rsidR="00D16879" w:rsidRPr="00372AE1">
        <w:rPr>
          <w:rFonts w:ascii="Times New Roman" w:hAnsi="Times New Roman" w:cs="Times New Roman"/>
        </w:rPr>
        <w:t xml:space="preserve"> more confident </w:t>
      </w:r>
      <w:r w:rsidR="00161C29" w:rsidRPr="00372AE1">
        <w:rPr>
          <w:rFonts w:ascii="Times New Roman" w:hAnsi="Times New Roman" w:cs="Times New Roman"/>
        </w:rPr>
        <w:t>in</w:t>
      </w:r>
      <w:r w:rsidR="00D16879" w:rsidRPr="00372AE1">
        <w:rPr>
          <w:rFonts w:ascii="Times New Roman" w:hAnsi="Times New Roman" w:cs="Times New Roman"/>
        </w:rPr>
        <w:t xml:space="preserve"> their careers and aim higher for leadership, which helps them get promo</w:t>
      </w:r>
      <w:r w:rsidR="00161C29" w:rsidRPr="00372AE1">
        <w:rPr>
          <w:rFonts w:ascii="Times New Roman" w:hAnsi="Times New Roman" w:cs="Times New Roman"/>
        </w:rPr>
        <w:t>tions in their career</w:t>
      </w:r>
      <w:r w:rsidR="00D16879" w:rsidRPr="00372AE1">
        <w:rPr>
          <w:rFonts w:ascii="Times New Roman" w:hAnsi="Times New Roman" w:cs="Times New Roman"/>
        </w:rPr>
        <w:t xml:space="preserve"> more easily</w:t>
      </w:r>
      <w:r w:rsidR="00161C29" w:rsidRPr="00372AE1">
        <w:rPr>
          <w:rFonts w:ascii="Times New Roman" w:hAnsi="Times New Roman" w:cs="Times New Roman"/>
        </w:rPr>
        <w:t xml:space="preserve"> (Lips, 2013).</w:t>
      </w:r>
      <w:r w:rsidR="006E0860" w:rsidRPr="00372AE1">
        <w:rPr>
          <w:rFonts w:ascii="Times New Roman" w:hAnsi="Times New Roman" w:cs="Times New Roman"/>
        </w:rPr>
        <w:t xml:space="preserve"> As per a study conducted among 173 </w:t>
      </w:r>
      <w:r w:rsidR="009F6470" w:rsidRPr="00372AE1">
        <w:rPr>
          <w:rFonts w:ascii="Times New Roman" w:hAnsi="Times New Roman" w:cs="Times New Roman"/>
        </w:rPr>
        <w:t>product managers and senior product managers based in the United States, it can be seen that gender independence acts as a barrier to the advancement in career of the employees (Bone, 2024)</w:t>
      </w:r>
      <w:r w:rsidR="00103112" w:rsidRPr="00372AE1">
        <w:rPr>
          <w:rFonts w:ascii="Times New Roman" w:hAnsi="Times New Roman" w:cs="Times New Roman"/>
        </w:rPr>
        <w:t xml:space="preserve">. </w:t>
      </w:r>
      <w:r w:rsidR="002B148D" w:rsidRPr="00372AE1">
        <w:rPr>
          <w:rFonts w:ascii="Times New Roman" w:hAnsi="Times New Roman" w:cs="Times New Roman"/>
        </w:rPr>
        <w:t>A</w:t>
      </w:r>
      <w:r w:rsidR="00BB3D13" w:rsidRPr="00372AE1">
        <w:rPr>
          <w:rFonts w:ascii="Times New Roman" w:hAnsi="Times New Roman" w:cs="Times New Roman"/>
        </w:rPr>
        <w:t>s</w:t>
      </w:r>
      <w:r w:rsidR="002B148D" w:rsidRPr="00372AE1">
        <w:rPr>
          <w:rFonts w:ascii="Times New Roman" w:hAnsi="Times New Roman" w:cs="Times New Roman"/>
        </w:rPr>
        <w:t xml:space="preserve"> per the information collected from women academic and administrative professionals in five public universities in Ghana, it states that women labour force participation is low compared to men </w:t>
      </w:r>
      <w:r w:rsidR="00BB3D13" w:rsidRPr="00372AE1">
        <w:rPr>
          <w:rFonts w:ascii="Times New Roman" w:hAnsi="Times New Roman" w:cs="Times New Roman"/>
        </w:rPr>
        <w:t xml:space="preserve">because of the engagement of women in household activities (Adu-Oppong &amp; Kendie 2017). </w:t>
      </w:r>
      <w:r w:rsidR="00C55EE6" w:rsidRPr="00372AE1">
        <w:rPr>
          <w:rFonts w:ascii="Times New Roman" w:hAnsi="Times New Roman" w:cs="Times New Roman"/>
        </w:rPr>
        <w:t>Hence, we can reach a conclusion that gender independence (GI) positively affects Career Advancement of Women Employees (CAWE).</w:t>
      </w:r>
    </w:p>
    <w:p w14:paraId="5DE6C6BD" w14:textId="59D996DB" w:rsidR="000D0472" w:rsidRDefault="00C55EE6" w:rsidP="000D0472">
      <w:pPr>
        <w:jc w:val="both"/>
        <w:rPr>
          <w:rFonts w:ascii="Times New Roman" w:hAnsi="Times New Roman" w:cs="Times New Roman"/>
          <w:b/>
          <w:bCs/>
        </w:rPr>
      </w:pPr>
      <w:r w:rsidRPr="00372AE1">
        <w:rPr>
          <w:rFonts w:ascii="Times New Roman" w:hAnsi="Times New Roman" w:cs="Times New Roman"/>
          <w:b/>
          <w:bCs/>
        </w:rPr>
        <w:t>H1: GI positively influences CAWE</w:t>
      </w:r>
    </w:p>
    <w:p w14:paraId="55D49311" w14:textId="77777777" w:rsidR="00B93EB5" w:rsidRDefault="00B93EB5" w:rsidP="000D0472">
      <w:pPr>
        <w:jc w:val="both"/>
        <w:rPr>
          <w:rFonts w:ascii="Times New Roman" w:hAnsi="Times New Roman" w:cs="Times New Roman"/>
          <w:b/>
          <w:bCs/>
        </w:rPr>
      </w:pPr>
    </w:p>
    <w:p w14:paraId="3A37E420" w14:textId="77777777" w:rsidR="00B93EB5" w:rsidRPr="00372AE1" w:rsidRDefault="00B93EB5" w:rsidP="000D0472">
      <w:pPr>
        <w:jc w:val="both"/>
        <w:rPr>
          <w:rFonts w:ascii="Times New Roman" w:hAnsi="Times New Roman" w:cs="Times New Roman"/>
          <w:b/>
          <w:bCs/>
        </w:rPr>
      </w:pPr>
    </w:p>
    <w:p w14:paraId="2D475989" w14:textId="5131A4D3" w:rsidR="00556B4E" w:rsidRPr="00372AE1" w:rsidRDefault="00B93EB5" w:rsidP="00556B4E">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2.2 </w:t>
      </w:r>
      <w:r w:rsidR="00556B4E" w:rsidRPr="00372AE1">
        <w:rPr>
          <w:rFonts w:ascii="Times New Roman" w:hAnsi="Times New Roman" w:cs="Times New Roman"/>
          <w:b/>
          <w:bCs/>
          <w:lang w:val="en-US"/>
        </w:rPr>
        <w:t>Workplace Gender Equality Policies (WGEP) And Career Advancement of Women Employees (CAWE)</w:t>
      </w:r>
    </w:p>
    <w:p w14:paraId="254298CA" w14:textId="77777777" w:rsidR="00556B4E" w:rsidRPr="00372AE1" w:rsidRDefault="00556B4E" w:rsidP="00556B4E">
      <w:pPr>
        <w:spacing w:line="360" w:lineRule="auto"/>
        <w:jc w:val="both"/>
        <w:rPr>
          <w:rFonts w:ascii="Times New Roman" w:hAnsi="Times New Roman" w:cs="Times New Roman"/>
          <w:lang w:val="en-US"/>
        </w:rPr>
      </w:pPr>
      <w:r w:rsidRPr="00372AE1">
        <w:rPr>
          <w:rFonts w:ascii="Times New Roman" w:hAnsi="Times New Roman" w:cs="Times New Roman"/>
          <w:lang w:val="en-US"/>
        </w:rPr>
        <w:t xml:space="preserve"> Workplace gender equality policies aim to ensure equal opportunities, pay, and career advancement for all employees regardless of gender. It mainly measures implementing flexible working arrangements, establishing clear anti-harassment protocols, ensuring unbiased recruitment and also providing equitable access to leadership and developments. workplace gender quality policy is commonly defined as the human resource practice and formal organizational rule with an aim of ensuring equal opportunities and fair treatment to every employee regardless of gender (Kalev et al, 2006; Kulik &amp; </w:t>
      </w:r>
      <w:proofErr w:type="spellStart"/>
      <w:r w:rsidRPr="00372AE1">
        <w:rPr>
          <w:rFonts w:ascii="Times New Roman" w:hAnsi="Times New Roman" w:cs="Times New Roman"/>
          <w:lang w:val="en-US"/>
        </w:rPr>
        <w:t>Olekalns</w:t>
      </w:r>
      <w:proofErr w:type="spellEnd"/>
      <w:r w:rsidRPr="00372AE1">
        <w:rPr>
          <w:rFonts w:ascii="Times New Roman" w:hAnsi="Times New Roman" w:cs="Times New Roman"/>
          <w:lang w:val="en-US"/>
        </w:rPr>
        <w:t>, 2012). Equality and diversity policies are essential to reduce bias and make ensure fair treatment of all employees (Buckley and MacNamara2021). There has various legal framework for the protection of gender equality in the workplace, such as equal remuneration Act 1976, the sexual harassment of women at workplace (prevention, prohibition and redressal) Act 2013, maternity benefit Act 1961 and the rights of persons with disabilities Act 2016.</w:t>
      </w:r>
    </w:p>
    <w:p w14:paraId="06EC43D2" w14:textId="77777777" w:rsidR="00556B4E" w:rsidRPr="00372AE1" w:rsidRDefault="00556B4E" w:rsidP="00556B4E">
      <w:pPr>
        <w:spacing w:line="360" w:lineRule="auto"/>
        <w:jc w:val="both"/>
        <w:rPr>
          <w:rFonts w:ascii="Times New Roman" w:hAnsi="Times New Roman" w:cs="Times New Roman"/>
          <w:lang w:val="en-US"/>
        </w:rPr>
      </w:pPr>
      <w:r w:rsidRPr="00372AE1">
        <w:rPr>
          <w:rFonts w:ascii="Times New Roman" w:hAnsi="Times New Roman" w:cs="Times New Roman"/>
          <w:lang w:val="en-US"/>
        </w:rPr>
        <w:t xml:space="preserve"> Women sustained upward mobility within organizational hierarchies, reflected in promotions, access to managerial and leading roles, enhancement of skills, and continuous success are the reflection of career advancement of women employees (Metz &amp; Kulik, 2014; Ng &amp; Sears, 2017). From a human capital and institutional perspective such policies help to remove problems faced by women (Ely &amp; Meyerson, 2000; Mc Donald &amp; Westphal, 2013). The impact of workplace gender equality policies is shaped by the broader institutional, regulatory and cultural contexts (</w:t>
      </w:r>
      <w:proofErr w:type="spellStart"/>
      <w:r w:rsidRPr="00372AE1">
        <w:rPr>
          <w:rFonts w:ascii="Times New Roman" w:hAnsi="Times New Roman" w:cs="Times New Roman"/>
          <w:lang w:val="en-US"/>
        </w:rPr>
        <w:t>Kossek</w:t>
      </w:r>
      <w:proofErr w:type="spellEnd"/>
      <w:r w:rsidRPr="00372AE1">
        <w:rPr>
          <w:rFonts w:ascii="Times New Roman" w:hAnsi="Times New Roman" w:cs="Times New Roman"/>
          <w:lang w:val="en-US"/>
        </w:rPr>
        <w:t xml:space="preserve"> et al., 2017; Byron and post, 2016). Work family policies, mainly including flexible scheduling and parental leave provide to support women’s career continuity and retention (Williams et al., 2013; Chaudhuri et al; 2020). The sponsorship and mentorship policies emerge as a major mechanism to link between gender equality initiatives and career advancement, as they provide opportunity to access necessary promotions, career guidance etc. Studies highlight that policy rich environment sometimes resulting in slower promotion rates and limited leadership because of the presence of deeply embedded organizational culture, stereotypes, biased performance evaluation and expectations around ideal worker norms etc. (Hoobler et al., 2011; Rudman et al., 2012). Proper implementation of policies is the key to successful career advancement of women. Mere existence of gender equality policies does not lead to improved career outcomes for women unless these are effectively implemented, </w:t>
      </w:r>
      <w:r w:rsidRPr="00372AE1">
        <w:rPr>
          <w:rFonts w:ascii="Times New Roman" w:hAnsi="Times New Roman" w:cs="Times New Roman"/>
          <w:lang w:val="en-US"/>
        </w:rPr>
        <w:lastRenderedPageBreak/>
        <w:t xml:space="preserve">monitored and supported by the top-level management (Leslie et al., 2019; Kulik &amp; </w:t>
      </w:r>
      <w:proofErr w:type="spellStart"/>
      <w:r w:rsidRPr="00372AE1">
        <w:rPr>
          <w:rFonts w:ascii="Times New Roman" w:hAnsi="Times New Roman" w:cs="Times New Roman"/>
          <w:lang w:val="en-US"/>
        </w:rPr>
        <w:t>Olekalns</w:t>
      </w:r>
      <w:proofErr w:type="spellEnd"/>
      <w:r w:rsidRPr="00372AE1">
        <w:rPr>
          <w:rFonts w:ascii="Times New Roman" w:hAnsi="Times New Roman" w:cs="Times New Roman"/>
          <w:lang w:val="en-US"/>
        </w:rPr>
        <w:t>, 2012.</w:t>
      </w:r>
    </w:p>
    <w:p w14:paraId="5BBE1ED2" w14:textId="36130DB0" w:rsidR="00C55EE6" w:rsidRPr="00372AE1" w:rsidRDefault="00556B4E" w:rsidP="000D0472">
      <w:pPr>
        <w:jc w:val="both"/>
        <w:rPr>
          <w:rFonts w:ascii="Times New Roman" w:hAnsi="Times New Roman" w:cs="Times New Roman"/>
          <w:b/>
          <w:bCs/>
        </w:rPr>
      </w:pPr>
      <w:r w:rsidRPr="00372AE1">
        <w:rPr>
          <w:rFonts w:ascii="Times New Roman" w:hAnsi="Times New Roman" w:cs="Times New Roman"/>
          <w:b/>
          <w:bCs/>
        </w:rPr>
        <w:t>H2: WGEP positively influences CAWE</w:t>
      </w:r>
    </w:p>
    <w:p w14:paraId="3F281AF5" w14:textId="0C72B1B6" w:rsidR="00F257D6" w:rsidRPr="00372AE1" w:rsidRDefault="00B93EB5" w:rsidP="000D0472">
      <w:pPr>
        <w:jc w:val="both"/>
        <w:rPr>
          <w:rFonts w:ascii="Times New Roman" w:hAnsi="Times New Roman" w:cs="Times New Roman"/>
          <w:b/>
          <w:bCs/>
        </w:rPr>
      </w:pPr>
      <w:r>
        <w:rPr>
          <w:rFonts w:ascii="Times New Roman" w:hAnsi="Times New Roman" w:cs="Times New Roman"/>
          <w:b/>
          <w:bCs/>
        </w:rPr>
        <w:t xml:space="preserve">2.3 </w:t>
      </w:r>
      <w:r w:rsidR="00F257D6" w:rsidRPr="00372AE1">
        <w:rPr>
          <w:rFonts w:ascii="Times New Roman" w:hAnsi="Times New Roman" w:cs="Times New Roman"/>
          <w:b/>
          <w:bCs/>
        </w:rPr>
        <w:t>Workplace Gender Equality Policies</w:t>
      </w:r>
      <w:r w:rsidR="008D442D" w:rsidRPr="00372AE1">
        <w:rPr>
          <w:rFonts w:ascii="Times New Roman" w:hAnsi="Times New Roman" w:cs="Times New Roman"/>
          <w:b/>
          <w:bCs/>
        </w:rPr>
        <w:t xml:space="preserve"> (WGEP)</w:t>
      </w:r>
      <w:r w:rsidR="00F257D6" w:rsidRPr="00372AE1">
        <w:rPr>
          <w:rFonts w:ascii="Times New Roman" w:hAnsi="Times New Roman" w:cs="Times New Roman"/>
          <w:b/>
          <w:bCs/>
        </w:rPr>
        <w:t xml:space="preserve"> and Gender </w:t>
      </w:r>
      <w:r w:rsidR="008D442D" w:rsidRPr="00372AE1">
        <w:rPr>
          <w:rFonts w:ascii="Times New Roman" w:hAnsi="Times New Roman" w:cs="Times New Roman"/>
          <w:b/>
          <w:bCs/>
        </w:rPr>
        <w:t>Independence (GI)</w:t>
      </w:r>
    </w:p>
    <w:p w14:paraId="61668FE3" w14:textId="3B3E4BD1" w:rsidR="00F257D6" w:rsidRPr="00372AE1" w:rsidRDefault="00F257D6" w:rsidP="00F257D6">
      <w:pPr>
        <w:jc w:val="both"/>
        <w:rPr>
          <w:rFonts w:ascii="Times New Roman" w:hAnsi="Times New Roman" w:cs="Times New Roman"/>
        </w:rPr>
      </w:pPr>
      <w:r w:rsidRPr="00372AE1">
        <w:rPr>
          <w:rFonts w:ascii="Times New Roman" w:hAnsi="Times New Roman" w:cs="Times New Roman"/>
        </w:rPr>
        <w:t>Workplace gender equality policies are rules and practices that organizations implement to ensure that all employees, regardless of their gender, have equal opportunities and treatment in the workplace. These policies can include measures such as equal pay for equal work, parental leave for both mothers and fathers, and programs to prevent discrimination and harassment (Kabeer, 2015). The goal of these policies is to create a fair and inclusive work environment where everyone can thrive. Gender equality, on the other hand, refers to the state in which individuals of all genders have equal rights, responsibilities, and opportunities. In the workplace, this means that men and women should have the same chances for hiring, promotions, training, and pay (Cohen Huffman, 2003). Achieving gender equality is essential not only for fairness but also for improving business performance. Research has shown that diverse teams often lead to better decision-making and innovation (World Economic Forum, 2021).</w:t>
      </w:r>
    </w:p>
    <w:p w14:paraId="2E5DF586" w14:textId="0AB8EFB7" w:rsidR="00F257D6" w:rsidRPr="00372AE1" w:rsidRDefault="00F257D6" w:rsidP="00F257D6">
      <w:pPr>
        <w:jc w:val="both"/>
        <w:rPr>
          <w:rFonts w:ascii="Times New Roman" w:hAnsi="Times New Roman" w:cs="Times New Roman"/>
        </w:rPr>
      </w:pPr>
      <w:r w:rsidRPr="00372AE1">
        <w:rPr>
          <w:rFonts w:ascii="Times New Roman" w:hAnsi="Times New Roman" w:cs="Times New Roman"/>
        </w:rPr>
        <w:t xml:space="preserve">The relationship between workplace gender equality policies and gender equality is significant. When organizations adopt strong gender equality policies, they can help close the gap between genders in various ways. For instance, if a company has a clear policy on equal pay, it can help ensure that women receive the same salary as men for doing the same job. This can motivate women to apply for jobs and seek promotions, knowing that they will be treated fairly (Kabeer, 2015). Similarly, workplace gender equality policies can serve as a framework for addressing issues like sexual harassment and discrimination. When employees know that their company has strict policies against such </w:t>
      </w:r>
      <w:proofErr w:type="spellStart"/>
      <w:r w:rsidRPr="00372AE1">
        <w:rPr>
          <w:rFonts w:ascii="Times New Roman" w:hAnsi="Times New Roman" w:cs="Times New Roman"/>
        </w:rPr>
        <w:t>behavior</w:t>
      </w:r>
      <w:proofErr w:type="spellEnd"/>
      <w:r w:rsidRPr="00372AE1">
        <w:rPr>
          <w:rFonts w:ascii="Times New Roman" w:hAnsi="Times New Roman" w:cs="Times New Roman"/>
        </w:rPr>
        <w:t>, they may feel safer and more supported at work (Cohen Huffman, 2003). This supportive environment encourages all employees to perform at their best without fear of bias or retaliation.</w:t>
      </w:r>
    </w:p>
    <w:p w14:paraId="1C59C417" w14:textId="41629ED9" w:rsidR="00F257D6" w:rsidRPr="00372AE1" w:rsidRDefault="00F257D6" w:rsidP="00F257D6">
      <w:pPr>
        <w:jc w:val="both"/>
        <w:rPr>
          <w:rFonts w:ascii="Times New Roman" w:hAnsi="Times New Roman" w:cs="Times New Roman"/>
        </w:rPr>
      </w:pPr>
      <w:r w:rsidRPr="00372AE1">
        <w:rPr>
          <w:rFonts w:ascii="Times New Roman" w:hAnsi="Times New Roman" w:cs="Times New Roman"/>
        </w:rPr>
        <w:t>However, it is important to recognize that simply having these policies in place is not enough. For them to be effective, organizations must actively promote and enforce them. Training programs for employees and managers about gender equality can help raise awareness and change attitudes (World Economic Forum, 2021). Additionally, companies should regularly evaluate their policies and practices to ensure they are working as intended. This includes collecting data on pay equity, representation of different genders in leadership roles, and employee satisfaction. Thus, workplace gender equality policies play a crucial role in promoting gender equality. When organizations commit to these policies and take action to implement them effectively, they can create a more equitable workplace. This not only benefits individual employees but also enhances overall organizational performance. As society continues to evolve, it is vital for businesses to prioritize gender equality and foster an inclusive culture where everyone can succeed.</w:t>
      </w:r>
    </w:p>
    <w:p w14:paraId="39DF1888" w14:textId="5A818DBD" w:rsidR="008D442D" w:rsidRPr="00372AE1" w:rsidRDefault="008D442D" w:rsidP="00F257D6">
      <w:pPr>
        <w:jc w:val="both"/>
        <w:rPr>
          <w:rFonts w:ascii="Times New Roman" w:hAnsi="Times New Roman" w:cs="Times New Roman"/>
          <w:b/>
          <w:bCs/>
        </w:rPr>
      </w:pPr>
      <w:r w:rsidRPr="00372AE1">
        <w:rPr>
          <w:rFonts w:ascii="Times New Roman" w:hAnsi="Times New Roman" w:cs="Times New Roman"/>
          <w:b/>
          <w:bCs/>
        </w:rPr>
        <w:t>H3: WGEP positively influences GI</w:t>
      </w:r>
    </w:p>
    <w:p w14:paraId="1D654C8D" w14:textId="161ACFA2" w:rsidR="00586D7A" w:rsidRPr="00372AE1" w:rsidRDefault="00B93EB5" w:rsidP="00586D7A">
      <w:pPr>
        <w:spacing w:before="100" w:beforeAutospacing="1" w:after="100" w:afterAutospacing="1" w:line="240" w:lineRule="auto"/>
        <w:outlineLvl w:val="1"/>
        <w:rPr>
          <w:rFonts w:ascii="Times New Roman" w:eastAsia="Times New Roman" w:hAnsi="Times New Roman" w:cs="Times New Roman"/>
          <w:b/>
          <w:bCs/>
          <w:lang w:bidi="ml-IN"/>
        </w:rPr>
      </w:pPr>
      <w:r>
        <w:rPr>
          <w:rFonts w:ascii="Times New Roman" w:eastAsia="Times New Roman" w:hAnsi="Times New Roman" w:cs="Times New Roman"/>
          <w:b/>
          <w:bCs/>
          <w:lang w:bidi="ml-IN"/>
        </w:rPr>
        <w:lastRenderedPageBreak/>
        <w:t xml:space="preserve">2.4 </w:t>
      </w:r>
      <w:r w:rsidR="00586D7A" w:rsidRPr="00372AE1">
        <w:rPr>
          <w:rFonts w:ascii="Times New Roman" w:eastAsia="Times New Roman" w:hAnsi="Times New Roman" w:cs="Times New Roman"/>
          <w:b/>
          <w:bCs/>
          <w:lang w:bidi="ml-IN"/>
        </w:rPr>
        <w:t xml:space="preserve">Gender Independence, Career Advancement of Women Employees and Work </w:t>
      </w:r>
      <w:r w:rsidR="000A2C08" w:rsidRPr="00372AE1">
        <w:rPr>
          <w:rFonts w:ascii="Times New Roman" w:eastAsia="Times New Roman" w:hAnsi="Times New Roman" w:cs="Times New Roman"/>
          <w:b/>
          <w:bCs/>
          <w:lang w:bidi="ml-IN"/>
        </w:rPr>
        <w:t>P</w:t>
      </w:r>
      <w:r w:rsidR="00586D7A" w:rsidRPr="00372AE1">
        <w:rPr>
          <w:rFonts w:ascii="Times New Roman" w:eastAsia="Times New Roman" w:hAnsi="Times New Roman" w:cs="Times New Roman"/>
          <w:b/>
          <w:bCs/>
          <w:lang w:bidi="ml-IN"/>
        </w:rPr>
        <w:t>lace Gender Equality Policies</w:t>
      </w:r>
    </w:p>
    <w:p w14:paraId="52366CA7" w14:textId="14602F3F" w:rsidR="00586D7A" w:rsidRPr="00372AE1" w:rsidRDefault="00586D7A" w:rsidP="00586D7A">
      <w:pPr>
        <w:spacing w:before="100" w:beforeAutospacing="1" w:after="100" w:afterAutospacing="1" w:line="240" w:lineRule="auto"/>
        <w:jc w:val="both"/>
        <w:rPr>
          <w:rFonts w:ascii="Times New Roman" w:eastAsia="Times New Roman" w:hAnsi="Times New Roman" w:cs="Times New Roman"/>
          <w:lang w:bidi="ml-IN"/>
        </w:rPr>
      </w:pPr>
      <w:r w:rsidRPr="00372AE1">
        <w:rPr>
          <w:rFonts w:ascii="Times New Roman" w:eastAsia="Times New Roman" w:hAnsi="Times New Roman" w:cs="Times New Roman"/>
          <w:lang w:bidi="ml-IN"/>
        </w:rPr>
        <w:t>Policies promoting gender equality in the workplace are essential in moderating the relationship between women employees' career success and gender independence. The ability of women to make their own decisions, get financial resources, and freely engage in professional and organizational settings without being constrained by their gender is known as gender independence. Although gender independence encourages women to pursue leadership and professional development, empirical research repeatedly shows that independence by itself does not ensure career advancement because of ingrained organizational barriers like gender bias, discriminatory promotion practices, occupational segregation, and the ongoing glass ceiling phenomenon (U.S. Army Research Institute, 1993). In this regard, workplace gender equality rules serve as a crucial institutional mechanism that mediates the relationship between career development and gender independence by converting women's individual agency into quantifiable career outcomes.  Formal organizational and legislative measures like equal pay regulations, anti-discrimination laws, transparent recruitment and promotion procedures, maternity and parental leave provisions, flexible work schedules, mentoring and leadership development programs, and gender-sensitive performance appraisal systems are examples of workplace gender equality policies. By lessening prejudice and fostering inclusive workplace cultures that value women's abilities and independence, these measures address systemic injustices (European Institute for Gender Equality [EIGE], 2024). Research indicates that when such policies are effectively implemented, women experience enhanced access to leadership roles, improved job security, and increased participation in decision-making positions, thereby strengthening the relationship between gender independence and career advancement (OECD, 2025).  Furthermore, workplace gender equality policies foster supportive environments that improve women’s job satisfaction, psychological well-being, and organizational commitment, all of which are essential for sustained career progression (Abraham &amp; Rowley, 2024). Studies reveal that women working in organizations with strong gender equity frameworks are more likely to perceive fair career growth opportunities and less likely to encounter barriers related to work–life balance or gender stereotypes (Verma et al., 2024). This supportive policy environment amplifies women’s confidence to assert independence, negotiate career opportunities, and pursue leadership trajectories, thereby reinforcing the mediating influence of workplace policies.  From a broader organizational perspective, gender equality policies also contribute to cultural change by challenging traditional gender norms and redefining leadership competencies in a gender-neutral manner. Bibliometric and systematic reviews highlight that organizations adopting gender-responsive human resource practices witness reduced gender disparities in promotions and pay, confirming the effectiveness of policy-driven mediation (Jabeen et al., 2024). Moreover, global policy reviews emphasize that gender equality interventions must be embedded within institutional governance structures to ensure sustainability and long-term impact on women’s career outcomes (BMC Medicine, 2024).  In conclusion, workplace gender equality laws play a crucial role in bridging the gap between women's career success and gender independence. These policies guarantee that women's independence is not just symbolic but results in real professional advancement by breaking down institutional barriers, encouraging equitable practices, and cultivating inclusive workplace cultures. Therefore, a key component of comprehending how gender independence can successfully lead to career progression for female employees is the mediating role of workplace gender equality policies.</w:t>
      </w:r>
    </w:p>
    <w:p w14:paraId="27C3CB91" w14:textId="490133EA" w:rsidR="00586D7A" w:rsidRDefault="00586D7A" w:rsidP="00586D7A">
      <w:pPr>
        <w:spacing w:before="100" w:beforeAutospacing="1" w:after="100" w:afterAutospacing="1" w:line="240" w:lineRule="auto"/>
        <w:jc w:val="both"/>
        <w:rPr>
          <w:rFonts w:ascii="Times New Roman" w:eastAsia="Times New Roman" w:hAnsi="Times New Roman" w:cs="Times New Roman"/>
          <w:b/>
          <w:bCs/>
          <w:lang w:bidi="ml-IN"/>
        </w:rPr>
      </w:pPr>
      <w:r w:rsidRPr="00372AE1">
        <w:rPr>
          <w:rFonts w:ascii="Times New Roman" w:eastAsia="Times New Roman" w:hAnsi="Times New Roman" w:cs="Times New Roman"/>
          <w:b/>
          <w:bCs/>
          <w:lang w:bidi="ml-IN"/>
        </w:rPr>
        <w:t>H4: WGEP mediates the relationship between GI and CAWE</w:t>
      </w:r>
    </w:p>
    <w:p w14:paraId="31C19E03" w14:textId="4D3C918F" w:rsidR="008D534B" w:rsidRPr="00372AE1" w:rsidRDefault="008D534B" w:rsidP="00586D7A">
      <w:pPr>
        <w:spacing w:before="100" w:beforeAutospacing="1" w:after="100" w:afterAutospacing="1" w:line="240" w:lineRule="auto"/>
        <w:jc w:val="both"/>
        <w:rPr>
          <w:rFonts w:ascii="Times New Roman" w:eastAsia="Times New Roman" w:hAnsi="Times New Roman" w:cs="Times New Roman"/>
          <w:b/>
          <w:bCs/>
          <w:lang w:bidi="ml-IN"/>
        </w:rPr>
      </w:pPr>
      <w:r>
        <w:rPr>
          <w:rFonts w:ascii="Times New Roman" w:eastAsia="Times New Roman" w:hAnsi="Times New Roman" w:cs="Times New Roman"/>
          <w:b/>
          <w:bCs/>
          <w:noProof/>
          <w:lang w:bidi="ml-IN"/>
        </w:rPr>
        <w:lastRenderedPageBreak/>
        <w:drawing>
          <wp:inline distT="0" distB="0" distL="0" distR="0" wp14:anchorId="2AD9F29E" wp14:editId="1CC8F28E">
            <wp:extent cx="4168722" cy="2780959"/>
            <wp:effectExtent l="0" t="0" r="3810" b="635"/>
            <wp:docPr id="20823178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83705" cy="2790954"/>
                    </a:xfrm>
                    <a:prstGeom prst="rect">
                      <a:avLst/>
                    </a:prstGeom>
                    <a:noFill/>
                  </pic:spPr>
                </pic:pic>
              </a:graphicData>
            </a:graphic>
          </wp:inline>
        </w:drawing>
      </w:r>
    </w:p>
    <w:p w14:paraId="69CA0925" w14:textId="40785EA6" w:rsidR="00372AE1" w:rsidRPr="00372AE1" w:rsidRDefault="00B93EB5" w:rsidP="00372AE1">
      <w:pPr>
        <w:pStyle w:val="Heading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 </w:t>
      </w:r>
      <w:r w:rsidR="00372AE1" w:rsidRPr="00372AE1">
        <w:rPr>
          <w:rFonts w:ascii="Times New Roman" w:hAnsi="Times New Roman" w:cs="Times New Roman"/>
          <w:b/>
          <w:bCs/>
          <w:color w:val="auto"/>
          <w:sz w:val="24"/>
          <w:szCs w:val="24"/>
        </w:rPr>
        <w:t xml:space="preserve"> Methodology</w:t>
      </w:r>
    </w:p>
    <w:p w14:paraId="06CDB84C" w14:textId="77777777" w:rsidR="00372AE1" w:rsidRPr="00372AE1" w:rsidRDefault="00372AE1" w:rsidP="00372AE1">
      <w:pPr>
        <w:pStyle w:val="Heading2"/>
        <w:rPr>
          <w:rFonts w:ascii="Times New Roman" w:hAnsi="Times New Roman" w:cs="Times New Roman"/>
          <w:b/>
          <w:bCs/>
          <w:color w:val="auto"/>
          <w:sz w:val="24"/>
          <w:szCs w:val="24"/>
        </w:rPr>
      </w:pPr>
      <w:r w:rsidRPr="00372AE1">
        <w:rPr>
          <w:rFonts w:ascii="Times New Roman" w:hAnsi="Times New Roman" w:cs="Times New Roman"/>
          <w:b/>
          <w:bCs/>
          <w:color w:val="auto"/>
          <w:sz w:val="24"/>
          <w:szCs w:val="24"/>
        </w:rPr>
        <w:t>3.1 Pilot Study, Data Collection and Respondent Profile</w:t>
      </w:r>
    </w:p>
    <w:p w14:paraId="1D23E5A6" w14:textId="77777777" w:rsidR="00372AE1" w:rsidRPr="00372AE1" w:rsidRDefault="00372AE1" w:rsidP="00372AE1">
      <w:pPr>
        <w:rPr>
          <w:rFonts w:ascii="Times New Roman" w:hAnsi="Times New Roman" w:cs="Times New Roman"/>
        </w:rPr>
      </w:pPr>
      <w:r w:rsidRPr="00372AE1">
        <w:rPr>
          <w:rFonts w:ascii="Times New Roman" w:hAnsi="Times New Roman" w:cs="Times New Roman"/>
        </w:rPr>
        <w:t>This study was conducted among women employees working in private organizations, educational institutions, service sectors, and business establishments across Kozhikode, Ernakulam, and Thiruvananthapuram districts of Kerala. Following a successful pilot study involving 80 respondents, the final structured questionnaire was distributed through WhatsApp groups, Google Forms, and professional employee networks.</w:t>
      </w:r>
      <w:r w:rsidRPr="00372AE1">
        <w:rPr>
          <w:rFonts w:ascii="Times New Roman" w:hAnsi="Times New Roman" w:cs="Times New Roman"/>
        </w:rPr>
        <w:br/>
      </w:r>
      <w:r w:rsidRPr="00372AE1">
        <w:rPr>
          <w:rFonts w:ascii="Times New Roman" w:hAnsi="Times New Roman" w:cs="Times New Roman"/>
        </w:rPr>
        <w:br/>
        <w:t>• Total questionnaires distributed: 380</w:t>
      </w:r>
      <w:r w:rsidRPr="00372AE1">
        <w:rPr>
          <w:rFonts w:ascii="Times New Roman" w:hAnsi="Times New Roman" w:cs="Times New Roman"/>
        </w:rPr>
        <w:br/>
        <w:t>• Responses received: 345 (Response rate: 90.8%)</w:t>
      </w:r>
      <w:r w:rsidRPr="00372AE1">
        <w:rPr>
          <w:rFonts w:ascii="Times New Roman" w:hAnsi="Times New Roman" w:cs="Times New Roman"/>
        </w:rPr>
        <w:br/>
        <w:t xml:space="preserve">• Valid responses </w:t>
      </w:r>
      <w:proofErr w:type="spellStart"/>
      <w:r w:rsidRPr="00372AE1">
        <w:rPr>
          <w:rFonts w:ascii="Times New Roman" w:hAnsi="Times New Roman" w:cs="Times New Roman"/>
        </w:rPr>
        <w:t>analyzed</w:t>
      </w:r>
      <w:proofErr w:type="spellEnd"/>
      <w:r w:rsidRPr="00372AE1">
        <w:rPr>
          <w:rFonts w:ascii="Times New Roman" w:hAnsi="Times New Roman" w:cs="Times New Roman"/>
        </w:rPr>
        <w:t>: 320 (Validity rate: 92.8%)</w:t>
      </w:r>
    </w:p>
    <w:tbl>
      <w:tblPr>
        <w:tblW w:w="0" w:type="auto"/>
        <w:tblLook w:val="04A0" w:firstRow="1" w:lastRow="0" w:firstColumn="1" w:lastColumn="0" w:noHBand="0" w:noVBand="1"/>
      </w:tblPr>
      <w:tblGrid>
        <w:gridCol w:w="2160"/>
        <w:gridCol w:w="2160"/>
        <w:gridCol w:w="2160"/>
        <w:gridCol w:w="2160"/>
      </w:tblGrid>
      <w:tr w:rsidR="00372AE1" w:rsidRPr="00372AE1" w14:paraId="2FD3863D" w14:textId="77777777" w:rsidTr="00E116DE">
        <w:tc>
          <w:tcPr>
            <w:tcW w:w="2160" w:type="dxa"/>
          </w:tcPr>
          <w:p w14:paraId="052DC0F7"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Category</w:t>
            </w:r>
          </w:p>
        </w:tc>
        <w:tc>
          <w:tcPr>
            <w:tcW w:w="2160" w:type="dxa"/>
          </w:tcPr>
          <w:p w14:paraId="475064EC"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Sub-category</w:t>
            </w:r>
          </w:p>
        </w:tc>
        <w:tc>
          <w:tcPr>
            <w:tcW w:w="2160" w:type="dxa"/>
          </w:tcPr>
          <w:p w14:paraId="723C9D7B"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Frequency</w:t>
            </w:r>
          </w:p>
        </w:tc>
        <w:tc>
          <w:tcPr>
            <w:tcW w:w="2160" w:type="dxa"/>
          </w:tcPr>
          <w:p w14:paraId="1A72592B"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Percentage</w:t>
            </w:r>
          </w:p>
        </w:tc>
      </w:tr>
      <w:tr w:rsidR="00372AE1" w:rsidRPr="00372AE1" w14:paraId="1882B0FF" w14:textId="77777777" w:rsidTr="00E116DE">
        <w:tc>
          <w:tcPr>
            <w:tcW w:w="2160" w:type="dxa"/>
          </w:tcPr>
          <w:p w14:paraId="60D18DCD"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Age Range</w:t>
            </w:r>
          </w:p>
        </w:tc>
        <w:tc>
          <w:tcPr>
            <w:tcW w:w="2160" w:type="dxa"/>
          </w:tcPr>
          <w:p w14:paraId="6239E1CA"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21–30</w:t>
            </w:r>
          </w:p>
        </w:tc>
        <w:tc>
          <w:tcPr>
            <w:tcW w:w="2160" w:type="dxa"/>
          </w:tcPr>
          <w:p w14:paraId="6197E6EF"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102</w:t>
            </w:r>
          </w:p>
        </w:tc>
        <w:tc>
          <w:tcPr>
            <w:tcW w:w="2160" w:type="dxa"/>
          </w:tcPr>
          <w:p w14:paraId="1B8355E3"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31.9</w:t>
            </w:r>
          </w:p>
        </w:tc>
      </w:tr>
      <w:tr w:rsidR="00372AE1" w:rsidRPr="00372AE1" w14:paraId="639C6D15" w14:textId="77777777" w:rsidTr="00E116DE">
        <w:tc>
          <w:tcPr>
            <w:tcW w:w="2160" w:type="dxa"/>
          </w:tcPr>
          <w:p w14:paraId="68CCDDB5"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Age Range</w:t>
            </w:r>
          </w:p>
        </w:tc>
        <w:tc>
          <w:tcPr>
            <w:tcW w:w="2160" w:type="dxa"/>
          </w:tcPr>
          <w:p w14:paraId="1662560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31–40</w:t>
            </w:r>
          </w:p>
        </w:tc>
        <w:tc>
          <w:tcPr>
            <w:tcW w:w="2160" w:type="dxa"/>
          </w:tcPr>
          <w:p w14:paraId="558A1165"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128</w:t>
            </w:r>
          </w:p>
        </w:tc>
        <w:tc>
          <w:tcPr>
            <w:tcW w:w="2160" w:type="dxa"/>
          </w:tcPr>
          <w:p w14:paraId="2CCA2FE7"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40.0</w:t>
            </w:r>
          </w:p>
        </w:tc>
      </w:tr>
      <w:tr w:rsidR="00372AE1" w:rsidRPr="00372AE1" w14:paraId="224DDC1B" w14:textId="77777777" w:rsidTr="00E116DE">
        <w:tc>
          <w:tcPr>
            <w:tcW w:w="2160" w:type="dxa"/>
          </w:tcPr>
          <w:p w14:paraId="0311B95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Age Range</w:t>
            </w:r>
          </w:p>
        </w:tc>
        <w:tc>
          <w:tcPr>
            <w:tcW w:w="2160" w:type="dxa"/>
          </w:tcPr>
          <w:p w14:paraId="5A00EC7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41 and Above</w:t>
            </w:r>
          </w:p>
        </w:tc>
        <w:tc>
          <w:tcPr>
            <w:tcW w:w="2160" w:type="dxa"/>
          </w:tcPr>
          <w:p w14:paraId="707D7118"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90</w:t>
            </w:r>
          </w:p>
        </w:tc>
        <w:tc>
          <w:tcPr>
            <w:tcW w:w="2160" w:type="dxa"/>
          </w:tcPr>
          <w:p w14:paraId="176895F7"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28.1</w:t>
            </w:r>
          </w:p>
        </w:tc>
      </w:tr>
      <w:tr w:rsidR="00372AE1" w:rsidRPr="00372AE1" w14:paraId="67FFA134" w14:textId="77777777" w:rsidTr="00E116DE">
        <w:tc>
          <w:tcPr>
            <w:tcW w:w="2160" w:type="dxa"/>
          </w:tcPr>
          <w:p w14:paraId="2001B434"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Age Range Total</w:t>
            </w:r>
          </w:p>
        </w:tc>
        <w:tc>
          <w:tcPr>
            <w:tcW w:w="2160" w:type="dxa"/>
          </w:tcPr>
          <w:p w14:paraId="7C6AF1CC" w14:textId="77777777" w:rsidR="00372AE1" w:rsidRPr="00372AE1" w:rsidRDefault="00372AE1" w:rsidP="00E116DE">
            <w:pPr>
              <w:rPr>
                <w:rFonts w:ascii="Times New Roman" w:hAnsi="Times New Roman" w:cs="Times New Roman"/>
              </w:rPr>
            </w:pPr>
          </w:p>
        </w:tc>
        <w:tc>
          <w:tcPr>
            <w:tcW w:w="2160" w:type="dxa"/>
          </w:tcPr>
          <w:p w14:paraId="2DCB272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320</w:t>
            </w:r>
          </w:p>
        </w:tc>
        <w:tc>
          <w:tcPr>
            <w:tcW w:w="2160" w:type="dxa"/>
          </w:tcPr>
          <w:p w14:paraId="65AAE427"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100.0</w:t>
            </w:r>
          </w:p>
        </w:tc>
      </w:tr>
      <w:tr w:rsidR="00372AE1" w:rsidRPr="00372AE1" w14:paraId="0BB15BE6" w14:textId="77777777" w:rsidTr="00E116DE">
        <w:tc>
          <w:tcPr>
            <w:tcW w:w="2160" w:type="dxa"/>
          </w:tcPr>
          <w:p w14:paraId="54D83D74"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Employment Sector</w:t>
            </w:r>
          </w:p>
        </w:tc>
        <w:tc>
          <w:tcPr>
            <w:tcW w:w="2160" w:type="dxa"/>
          </w:tcPr>
          <w:p w14:paraId="06BA64C2"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Private Sector</w:t>
            </w:r>
          </w:p>
        </w:tc>
        <w:tc>
          <w:tcPr>
            <w:tcW w:w="2160" w:type="dxa"/>
          </w:tcPr>
          <w:p w14:paraId="37B8233F"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146</w:t>
            </w:r>
          </w:p>
        </w:tc>
        <w:tc>
          <w:tcPr>
            <w:tcW w:w="2160" w:type="dxa"/>
          </w:tcPr>
          <w:p w14:paraId="2E2CE747"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45.6</w:t>
            </w:r>
          </w:p>
        </w:tc>
      </w:tr>
      <w:tr w:rsidR="00372AE1" w:rsidRPr="00372AE1" w14:paraId="25AA1CA1" w14:textId="77777777" w:rsidTr="00E116DE">
        <w:tc>
          <w:tcPr>
            <w:tcW w:w="2160" w:type="dxa"/>
          </w:tcPr>
          <w:p w14:paraId="2E1F3683"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Employment Sector</w:t>
            </w:r>
          </w:p>
        </w:tc>
        <w:tc>
          <w:tcPr>
            <w:tcW w:w="2160" w:type="dxa"/>
          </w:tcPr>
          <w:p w14:paraId="7E7AFCA7"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Educational Institutions</w:t>
            </w:r>
          </w:p>
        </w:tc>
        <w:tc>
          <w:tcPr>
            <w:tcW w:w="2160" w:type="dxa"/>
          </w:tcPr>
          <w:p w14:paraId="4F3B944B"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92</w:t>
            </w:r>
          </w:p>
        </w:tc>
        <w:tc>
          <w:tcPr>
            <w:tcW w:w="2160" w:type="dxa"/>
          </w:tcPr>
          <w:p w14:paraId="3BB4E460"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28.8</w:t>
            </w:r>
          </w:p>
        </w:tc>
      </w:tr>
      <w:tr w:rsidR="00372AE1" w:rsidRPr="00372AE1" w14:paraId="6AFC406A" w14:textId="77777777" w:rsidTr="00E116DE">
        <w:tc>
          <w:tcPr>
            <w:tcW w:w="2160" w:type="dxa"/>
          </w:tcPr>
          <w:p w14:paraId="0A191998"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Employment Sector</w:t>
            </w:r>
          </w:p>
        </w:tc>
        <w:tc>
          <w:tcPr>
            <w:tcW w:w="2160" w:type="dxa"/>
          </w:tcPr>
          <w:p w14:paraId="7FF78C2B"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Service/Business Sector</w:t>
            </w:r>
          </w:p>
        </w:tc>
        <w:tc>
          <w:tcPr>
            <w:tcW w:w="2160" w:type="dxa"/>
          </w:tcPr>
          <w:p w14:paraId="56C9576A"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82</w:t>
            </w:r>
          </w:p>
        </w:tc>
        <w:tc>
          <w:tcPr>
            <w:tcW w:w="2160" w:type="dxa"/>
          </w:tcPr>
          <w:p w14:paraId="052B58D9"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25.6</w:t>
            </w:r>
          </w:p>
        </w:tc>
      </w:tr>
      <w:tr w:rsidR="00372AE1" w:rsidRPr="00372AE1" w14:paraId="522F333A" w14:textId="77777777" w:rsidTr="00E116DE">
        <w:tc>
          <w:tcPr>
            <w:tcW w:w="2160" w:type="dxa"/>
          </w:tcPr>
          <w:p w14:paraId="6A401C90"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Employment Sector Total</w:t>
            </w:r>
          </w:p>
        </w:tc>
        <w:tc>
          <w:tcPr>
            <w:tcW w:w="2160" w:type="dxa"/>
          </w:tcPr>
          <w:p w14:paraId="3894BC78" w14:textId="77777777" w:rsidR="00372AE1" w:rsidRPr="00372AE1" w:rsidRDefault="00372AE1" w:rsidP="00E116DE">
            <w:pPr>
              <w:rPr>
                <w:rFonts w:ascii="Times New Roman" w:hAnsi="Times New Roman" w:cs="Times New Roman"/>
              </w:rPr>
            </w:pPr>
          </w:p>
        </w:tc>
        <w:tc>
          <w:tcPr>
            <w:tcW w:w="2160" w:type="dxa"/>
          </w:tcPr>
          <w:p w14:paraId="3D0F209C"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320</w:t>
            </w:r>
          </w:p>
        </w:tc>
        <w:tc>
          <w:tcPr>
            <w:tcW w:w="2160" w:type="dxa"/>
          </w:tcPr>
          <w:p w14:paraId="0862D26C"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100.0</w:t>
            </w:r>
          </w:p>
        </w:tc>
      </w:tr>
      <w:tr w:rsidR="00372AE1" w:rsidRPr="00372AE1" w14:paraId="4C52BE5B" w14:textId="77777777" w:rsidTr="00E116DE">
        <w:tc>
          <w:tcPr>
            <w:tcW w:w="2160" w:type="dxa"/>
          </w:tcPr>
          <w:p w14:paraId="77CD2889"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lastRenderedPageBreak/>
              <w:t>Work Experience</w:t>
            </w:r>
          </w:p>
        </w:tc>
        <w:tc>
          <w:tcPr>
            <w:tcW w:w="2160" w:type="dxa"/>
          </w:tcPr>
          <w:p w14:paraId="14990243"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Below 5 Years</w:t>
            </w:r>
          </w:p>
        </w:tc>
        <w:tc>
          <w:tcPr>
            <w:tcW w:w="2160" w:type="dxa"/>
          </w:tcPr>
          <w:p w14:paraId="4CF88CCC"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118</w:t>
            </w:r>
          </w:p>
        </w:tc>
        <w:tc>
          <w:tcPr>
            <w:tcW w:w="2160" w:type="dxa"/>
          </w:tcPr>
          <w:p w14:paraId="763E3A62"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36.9</w:t>
            </w:r>
          </w:p>
        </w:tc>
      </w:tr>
      <w:tr w:rsidR="00372AE1" w:rsidRPr="00372AE1" w14:paraId="58917A63" w14:textId="77777777" w:rsidTr="00E116DE">
        <w:tc>
          <w:tcPr>
            <w:tcW w:w="2160" w:type="dxa"/>
          </w:tcPr>
          <w:p w14:paraId="1D5D9389"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Work Experience</w:t>
            </w:r>
          </w:p>
        </w:tc>
        <w:tc>
          <w:tcPr>
            <w:tcW w:w="2160" w:type="dxa"/>
          </w:tcPr>
          <w:p w14:paraId="29F1A685"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5–10 Years</w:t>
            </w:r>
          </w:p>
        </w:tc>
        <w:tc>
          <w:tcPr>
            <w:tcW w:w="2160" w:type="dxa"/>
          </w:tcPr>
          <w:p w14:paraId="368DF530"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124</w:t>
            </w:r>
          </w:p>
        </w:tc>
        <w:tc>
          <w:tcPr>
            <w:tcW w:w="2160" w:type="dxa"/>
          </w:tcPr>
          <w:p w14:paraId="7F04071A"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38.8</w:t>
            </w:r>
          </w:p>
        </w:tc>
      </w:tr>
      <w:tr w:rsidR="00372AE1" w:rsidRPr="00372AE1" w14:paraId="2C1DF80B" w14:textId="77777777" w:rsidTr="00E116DE">
        <w:tc>
          <w:tcPr>
            <w:tcW w:w="2160" w:type="dxa"/>
          </w:tcPr>
          <w:p w14:paraId="6011113D"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Work Experience</w:t>
            </w:r>
          </w:p>
        </w:tc>
        <w:tc>
          <w:tcPr>
            <w:tcW w:w="2160" w:type="dxa"/>
          </w:tcPr>
          <w:p w14:paraId="09CF32DF"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Above 10 Years</w:t>
            </w:r>
          </w:p>
        </w:tc>
        <w:tc>
          <w:tcPr>
            <w:tcW w:w="2160" w:type="dxa"/>
          </w:tcPr>
          <w:p w14:paraId="6CDF4317"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78</w:t>
            </w:r>
          </w:p>
        </w:tc>
        <w:tc>
          <w:tcPr>
            <w:tcW w:w="2160" w:type="dxa"/>
          </w:tcPr>
          <w:p w14:paraId="4C1DBE65"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24.3</w:t>
            </w:r>
          </w:p>
        </w:tc>
      </w:tr>
      <w:tr w:rsidR="00372AE1" w:rsidRPr="00372AE1" w14:paraId="67839602" w14:textId="77777777" w:rsidTr="00E116DE">
        <w:tc>
          <w:tcPr>
            <w:tcW w:w="2160" w:type="dxa"/>
          </w:tcPr>
          <w:p w14:paraId="14C17F30"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Work Experience Total</w:t>
            </w:r>
          </w:p>
        </w:tc>
        <w:tc>
          <w:tcPr>
            <w:tcW w:w="2160" w:type="dxa"/>
          </w:tcPr>
          <w:p w14:paraId="5E3908F6" w14:textId="77777777" w:rsidR="00372AE1" w:rsidRPr="00372AE1" w:rsidRDefault="00372AE1" w:rsidP="00E116DE">
            <w:pPr>
              <w:rPr>
                <w:rFonts w:ascii="Times New Roman" w:hAnsi="Times New Roman" w:cs="Times New Roman"/>
              </w:rPr>
            </w:pPr>
          </w:p>
        </w:tc>
        <w:tc>
          <w:tcPr>
            <w:tcW w:w="2160" w:type="dxa"/>
          </w:tcPr>
          <w:p w14:paraId="4D19ABD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320</w:t>
            </w:r>
          </w:p>
        </w:tc>
        <w:tc>
          <w:tcPr>
            <w:tcW w:w="2160" w:type="dxa"/>
          </w:tcPr>
          <w:p w14:paraId="6CE3501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100.0</w:t>
            </w:r>
          </w:p>
        </w:tc>
      </w:tr>
      <w:tr w:rsidR="00372AE1" w:rsidRPr="00372AE1" w14:paraId="47466E7F" w14:textId="77777777" w:rsidTr="00E116DE">
        <w:tc>
          <w:tcPr>
            <w:tcW w:w="2160" w:type="dxa"/>
          </w:tcPr>
          <w:p w14:paraId="3E1EB20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Residential Area</w:t>
            </w:r>
          </w:p>
        </w:tc>
        <w:tc>
          <w:tcPr>
            <w:tcW w:w="2160" w:type="dxa"/>
          </w:tcPr>
          <w:p w14:paraId="3AA18912"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Urban</w:t>
            </w:r>
          </w:p>
        </w:tc>
        <w:tc>
          <w:tcPr>
            <w:tcW w:w="2160" w:type="dxa"/>
          </w:tcPr>
          <w:p w14:paraId="6214440A"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152</w:t>
            </w:r>
          </w:p>
        </w:tc>
        <w:tc>
          <w:tcPr>
            <w:tcW w:w="2160" w:type="dxa"/>
          </w:tcPr>
          <w:p w14:paraId="3E831EE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47.5</w:t>
            </w:r>
          </w:p>
        </w:tc>
      </w:tr>
      <w:tr w:rsidR="00372AE1" w:rsidRPr="00372AE1" w14:paraId="2197F6F1" w14:textId="77777777" w:rsidTr="00E116DE">
        <w:tc>
          <w:tcPr>
            <w:tcW w:w="2160" w:type="dxa"/>
          </w:tcPr>
          <w:p w14:paraId="7409D666"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Residential Area</w:t>
            </w:r>
          </w:p>
        </w:tc>
        <w:tc>
          <w:tcPr>
            <w:tcW w:w="2160" w:type="dxa"/>
          </w:tcPr>
          <w:p w14:paraId="38730635"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Semi-Urban</w:t>
            </w:r>
          </w:p>
        </w:tc>
        <w:tc>
          <w:tcPr>
            <w:tcW w:w="2160" w:type="dxa"/>
          </w:tcPr>
          <w:p w14:paraId="2FC20289"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98</w:t>
            </w:r>
          </w:p>
        </w:tc>
        <w:tc>
          <w:tcPr>
            <w:tcW w:w="2160" w:type="dxa"/>
          </w:tcPr>
          <w:p w14:paraId="40E80F19"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30.6</w:t>
            </w:r>
          </w:p>
        </w:tc>
      </w:tr>
      <w:tr w:rsidR="00372AE1" w:rsidRPr="00372AE1" w14:paraId="766F20AF" w14:textId="77777777" w:rsidTr="00E116DE">
        <w:tc>
          <w:tcPr>
            <w:tcW w:w="2160" w:type="dxa"/>
          </w:tcPr>
          <w:p w14:paraId="5DE9529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Residential Area</w:t>
            </w:r>
          </w:p>
        </w:tc>
        <w:tc>
          <w:tcPr>
            <w:tcW w:w="2160" w:type="dxa"/>
          </w:tcPr>
          <w:p w14:paraId="5B1353C9"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Rural</w:t>
            </w:r>
          </w:p>
        </w:tc>
        <w:tc>
          <w:tcPr>
            <w:tcW w:w="2160" w:type="dxa"/>
          </w:tcPr>
          <w:p w14:paraId="0F821E70"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70</w:t>
            </w:r>
          </w:p>
        </w:tc>
        <w:tc>
          <w:tcPr>
            <w:tcW w:w="2160" w:type="dxa"/>
          </w:tcPr>
          <w:p w14:paraId="0DD66F0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21.9</w:t>
            </w:r>
          </w:p>
        </w:tc>
      </w:tr>
      <w:tr w:rsidR="00372AE1" w:rsidRPr="00372AE1" w14:paraId="45724CB2" w14:textId="77777777" w:rsidTr="00E116DE">
        <w:tc>
          <w:tcPr>
            <w:tcW w:w="2160" w:type="dxa"/>
          </w:tcPr>
          <w:p w14:paraId="68FD16DD"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Overall Total</w:t>
            </w:r>
          </w:p>
        </w:tc>
        <w:tc>
          <w:tcPr>
            <w:tcW w:w="2160" w:type="dxa"/>
          </w:tcPr>
          <w:p w14:paraId="506302DC" w14:textId="77777777" w:rsidR="00372AE1" w:rsidRPr="00372AE1" w:rsidRDefault="00372AE1" w:rsidP="00E116DE">
            <w:pPr>
              <w:rPr>
                <w:rFonts w:ascii="Times New Roman" w:hAnsi="Times New Roman" w:cs="Times New Roman"/>
              </w:rPr>
            </w:pPr>
          </w:p>
        </w:tc>
        <w:tc>
          <w:tcPr>
            <w:tcW w:w="2160" w:type="dxa"/>
          </w:tcPr>
          <w:p w14:paraId="0171A55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320</w:t>
            </w:r>
          </w:p>
        </w:tc>
        <w:tc>
          <w:tcPr>
            <w:tcW w:w="2160" w:type="dxa"/>
          </w:tcPr>
          <w:p w14:paraId="7FDFBD68"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100.0</w:t>
            </w:r>
          </w:p>
        </w:tc>
      </w:tr>
    </w:tbl>
    <w:p w14:paraId="4CF52F17" w14:textId="77777777" w:rsidR="00372AE1" w:rsidRPr="00372AE1" w:rsidRDefault="00372AE1" w:rsidP="00372AE1">
      <w:pPr>
        <w:pStyle w:val="Heading2"/>
        <w:rPr>
          <w:rFonts w:ascii="Times New Roman" w:hAnsi="Times New Roman" w:cs="Times New Roman"/>
          <w:b/>
          <w:bCs/>
          <w:color w:val="auto"/>
          <w:sz w:val="24"/>
          <w:szCs w:val="24"/>
        </w:rPr>
      </w:pPr>
      <w:r w:rsidRPr="00372AE1">
        <w:rPr>
          <w:rFonts w:ascii="Times New Roman" w:hAnsi="Times New Roman" w:cs="Times New Roman"/>
          <w:b/>
          <w:bCs/>
          <w:color w:val="auto"/>
          <w:sz w:val="24"/>
          <w:szCs w:val="24"/>
        </w:rPr>
        <w:t>3.2 Measures</w:t>
      </w:r>
    </w:p>
    <w:p w14:paraId="2DF1D0B5" w14:textId="77777777" w:rsidR="00B93EB5" w:rsidRDefault="00372AE1" w:rsidP="00B93EB5">
      <w:pPr>
        <w:jc w:val="both"/>
        <w:rPr>
          <w:rFonts w:ascii="Times New Roman" w:hAnsi="Times New Roman" w:cs="Times New Roman"/>
        </w:rPr>
      </w:pPr>
      <w:r w:rsidRPr="00372AE1">
        <w:rPr>
          <w:rFonts w:ascii="Times New Roman" w:hAnsi="Times New Roman" w:cs="Times New Roman"/>
        </w:rPr>
        <w:t>The study examined the relationship between Gender Independence (GI) and Career Advancement (CA), with Workplace Gender Equality Policies (WGEP) acting as a mediating variable.</w:t>
      </w:r>
      <w:r w:rsidRPr="00372AE1">
        <w:rPr>
          <w:rFonts w:ascii="Times New Roman" w:hAnsi="Times New Roman" w:cs="Times New Roman"/>
        </w:rPr>
        <w:br/>
      </w:r>
      <w:r w:rsidRPr="00372AE1">
        <w:rPr>
          <w:rFonts w:ascii="Times New Roman" w:hAnsi="Times New Roman" w:cs="Times New Roman"/>
        </w:rPr>
        <w:br/>
        <w:t>• Gender Independence (GI): Adapted 6-item scale measuring decision-making freedom, professional autonomy, workplace confidence, and independent participation in organizational activities. Cronbach’s Alpha: 0.882</w:t>
      </w:r>
    </w:p>
    <w:p w14:paraId="46DEA5B5" w14:textId="77777777" w:rsidR="00B93EB5" w:rsidRDefault="00372AE1" w:rsidP="00B93EB5">
      <w:pPr>
        <w:jc w:val="both"/>
        <w:rPr>
          <w:rFonts w:ascii="Times New Roman" w:hAnsi="Times New Roman" w:cs="Times New Roman"/>
        </w:rPr>
      </w:pPr>
      <w:r w:rsidRPr="00372AE1">
        <w:rPr>
          <w:rFonts w:ascii="Times New Roman" w:hAnsi="Times New Roman" w:cs="Times New Roman"/>
        </w:rPr>
        <w:br/>
        <w:t>• Career Advancement (CA): Adapted 6-item scale measuring promotion opportunities, leadership participation, professional growth, salary progression, and career satisfaction among women employees. Cronbach’s Alpha: 0.869</w:t>
      </w:r>
    </w:p>
    <w:p w14:paraId="751C6ACE" w14:textId="6687FD2C" w:rsidR="00372AE1" w:rsidRPr="00372AE1" w:rsidRDefault="00372AE1" w:rsidP="00B93EB5">
      <w:pPr>
        <w:jc w:val="both"/>
        <w:rPr>
          <w:rFonts w:ascii="Times New Roman" w:hAnsi="Times New Roman" w:cs="Times New Roman"/>
        </w:rPr>
      </w:pPr>
      <w:r w:rsidRPr="00372AE1">
        <w:rPr>
          <w:rFonts w:ascii="Times New Roman" w:hAnsi="Times New Roman" w:cs="Times New Roman"/>
        </w:rPr>
        <w:br/>
        <w:t>• Workplace Gender Equality Policies (WGEP): Adapted 6-item scale measuring organizational equality policies, anti-discrimination measures, equal opportunity practices, maternity support, and inclusive workplace culture. Cronbach’s Alpha: 0.891</w:t>
      </w:r>
    </w:p>
    <w:p w14:paraId="5E3A5ECA" w14:textId="77777777" w:rsidR="00372AE1" w:rsidRPr="00372AE1" w:rsidRDefault="00372AE1" w:rsidP="00372AE1">
      <w:pPr>
        <w:pStyle w:val="Heading2"/>
        <w:rPr>
          <w:rFonts w:ascii="Times New Roman" w:hAnsi="Times New Roman" w:cs="Times New Roman"/>
          <w:b/>
          <w:bCs/>
          <w:color w:val="auto"/>
          <w:sz w:val="24"/>
          <w:szCs w:val="24"/>
        </w:rPr>
      </w:pPr>
      <w:r w:rsidRPr="00372AE1">
        <w:rPr>
          <w:rFonts w:ascii="Times New Roman" w:hAnsi="Times New Roman" w:cs="Times New Roman"/>
          <w:b/>
          <w:bCs/>
          <w:color w:val="auto"/>
          <w:sz w:val="24"/>
          <w:szCs w:val="24"/>
        </w:rPr>
        <w:t>3.3 Data Analysis and Statistical Results</w:t>
      </w:r>
    </w:p>
    <w:p w14:paraId="00535243" w14:textId="6E9A3755" w:rsidR="00372AE1" w:rsidRPr="00372AE1" w:rsidRDefault="00372AE1" w:rsidP="00B93EB5">
      <w:pPr>
        <w:jc w:val="both"/>
        <w:rPr>
          <w:rFonts w:ascii="Times New Roman" w:hAnsi="Times New Roman" w:cs="Times New Roman"/>
        </w:rPr>
      </w:pPr>
      <w:r w:rsidRPr="00372AE1">
        <w:rPr>
          <w:rFonts w:ascii="Times New Roman" w:hAnsi="Times New Roman" w:cs="Times New Roman"/>
        </w:rPr>
        <w:t xml:space="preserve">The final valid sample of 320 respondents was </w:t>
      </w:r>
      <w:proofErr w:type="spellStart"/>
      <w:r w:rsidRPr="00372AE1">
        <w:rPr>
          <w:rFonts w:ascii="Times New Roman" w:hAnsi="Times New Roman" w:cs="Times New Roman"/>
        </w:rPr>
        <w:t>analyzed</w:t>
      </w:r>
      <w:proofErr w:type="spellEnd"/>
      <w:r w:rsidRPr="00372AE1">
        <w:rPr>
          <w:rFonts w:ascii="Times New Roman" w:hAnsi="Times New Roman" w:cs="Times New Roman"/>
        </w:rPr>
        <w:t xml:space="preserve"> using Structural Equation </w:t>
      </w:r>
      <w:r w:rsidR="00B93EB5" w:rsidRPr="00372AE1">
        <w:rPr>
          <w:rFonts w:ascii="Times New Roman" w:hAnsi="Times New Roman" w:cs="Times New Roman"/>
        </w:rPr>
        <w:t>Modelling</w:t>
      </w:r>
      <w:r w:rsidRPr="00372AE1">
        <w:rPr>
          <w:rFonts w:ascii="Times New Roman" w:hAnsi="Times New Roman" w:cs="Times New Roman"/>
        </w:rPr>
        <w:t xml:space="preserve"> (SEM). Prior to hypothesis testing, the data were assessed for normality, reliability, convergent validity, discriminant validity, and model fit.</w:t>
      </w:r>
    </w:p>
    <w:p w14:paraId="178796E1" w14:textId="77777777" w:rsidR="00372AE1" w:rsidRPr="00372AE1" w:rsidRDefault="00372AE1" w:rsidP="00B93EB5">
      <w:pPr>
        <w:pStyle w:val="Heading2"/>
        <w:jc w:val="both"/>
        <w:rPr>
          <w:rFonts w:ascii="Times New Roman" w:hAnsi="Times New Roman" w:cs="Times New Roman"/>
          <w:b/>
          <w:bCs/>
          <w:color w:val="auto"/>
          <w:sz w:val="24"/>
          <w:szCs w:val="24"/>
        </w:rPr>
      </w:pPr>
      <w:r w:rsidRPr="00372AE1">
        <w:rPr>
          <w:rFonts w:ascii="Times New Roman" w:hAnsi="Times New Roman" w:cs="Times New Roman"/>
          <w:b/>
          <w:bCs/>
          <w:color w:val="auto"/>
          <w:sz w:val="24"/>
          <w:szCs w:val="24"/>
        </w:rPr>
        <w:t>3.4 Normality Test with Skewness and Kurtosis</w:t>
      </w:r>
    </w:p>
    <w:p w14:paraId="47B3F49B" w14:textId="77777777" w:rsidR="00372AE1" w:rsidRDefault="00372AE1" w:rsidP="00B93EB5">
      <w:pPr>
        <w:jc w:val="both"/>
        <w:rPr>
          <w:rFonts w:ascii="Times New Roman" w:hAnsi="Times New Roman" w:cs="Times New Roman"/>
        </w:rPr>
      </w:pPr>
      <w:r w:rsidRPr="00372AE1">
        <w:rPr>
          <w:rFonts w:ascii="Times New Roman" w:hAnsi="Times New Roman" w:cs="Times New Roman"/>
        </w:rPr>
        <w:t>Skewness and kurtosis values within ±2 indicate acceptable normality for SEM analysis. All constructs satisfied the recommended thresholds.</w:t>
      </w:r>
    </w:p>
    <w:p w14:paraId="2CB140FB" w14:textId="77777777" w:rsidR="00B93EB5" w:rsidRDefault="00B93EB5" w:rsidP="00372AE1">
      <w:pPr>
        <w:rPr>
          <w:rFonts w:ascii="Times New Roman" w:hAnsi="Times New Roman" w:cs="Times New Roman"/>
        </w:rPr>
      </w:pPr>
    </w:p>
    <w:p w14:paraId="2DD43D1A" w14:textId="77777777" w:rsidR="00B93EB5" w:rsidRPr="00372AE1" w:rsidRDefault="00B93EB5" w:rsidP="00372AE1">
      <w:pPr>
        <w:rPr>
          <w:rFonts w:ascii="Times New Roman" w:hAnsi="Times New Roman" w:cs="Times New Roman"/>
        </w:rPr>
      </w:pPr>
    </w:p>
    <w:tbl>
      <w:tblPr>
        <w:tblW w:w="0" w:type="auto"/>
        <w:tblLook w:val="04A0" w:firstRow="1" w:lastRow="0" w:firstColumn="1" w:lastColumn="0" w:noHBand="0" w:noVBand="1"/>
      </w:tblPr>
      <w:tblGrid>
        <w:gridCol w:w="2160"/>
        <w:gridCol w:w="2160"/>
        <w:gridCol w:w="2160"/>
        <w:gridCol w:w="2160"/>
      </w:tblGrid>
      <w:tr w:rsidR="00372AE1" w:rsidRPr="00372AE1" w14:paraId="2D155FC2" w14:textId="77777777" w:rsidTr="00E116DE">
        <w:tc>
          <w:tcPr>
            <w:tcW w:w="2160" w:type="dxa"/>
          </w:tcPr>
          <w:p w14:paraId="5DBBAF5C"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lastRenderedPageBreak/>
              <w:t>Construct</w:t>
            </w:r>
          </w:p>
        </w:tc>
        <w:tc>
          <w:tcPr>
            <w:tcW w:w="2160" w:type="dxa"/>
          </w:tcPr>
          <w:p w14:paraId="044352AA"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Skewness</w:t>
            </w:r>
          </w:p>
        </w:tc>
        <w:tc>
          <w:tcPr>
            <w:tcW w:w="2160" w:type="dxa"/>
          </w:tcPr>
          <w:p w14:paraId="25C6E900"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Kurtosis</w:t>
            </w:r>
          </w:p>
        </w:tc>
        <w:tc>
          <w:tcPr>
            <w:tcW w:w="2160" w:type="dxa"/>
          </w:tcPr>
          <w:p w14:paraId="5AE5630A"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Interpretation</w:t>
            </w:r>
          </w:p>
        </w:tc>
      </w:tr>
      <w:tr w:rsidR="00372AE1" w:rsidRPr="00372AE1" w14:paraId="5DEBA203" w14:textId="77777777" w:rsidTr="00E116DE">
        <w:tc>
          <w:tcPr>
            <w:tcW w:w="2160" w:type="dxa"/>
          </w:tcPr>
          <w:p w14:paraId="28076940"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Gender Independence (GI)</w:t>
            </w:r>
          </w:p>
        </w:tc>
        <w:tc>
          <w:tcPr>
            <w:tcW w:w="2160" w:type="dxa"/>
          </w:tcPr>
          <w:p w14:paraId="3F5D7293"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-0.648</w:t>
            </w:r>
          </w:p>
        </w:tc>
        <w:tc>
          <w:tcPr>
            <w:tcW w:w="2160" w:type="dxa"/>
          </w:tcPr>
          <w:p w14:paraId="7F013F53"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0.924</w:t>
            </w:r>
          </w:p>
        </w:tc>
        <w:tc>
          <w:tcPr>
            <w:tcW w:w="2160" w:type="dxa"/>
          </w:tcPr>
          <w:p w14:paraId="6DE74FC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Acceptable normality</w:t>
            </w:r>
          </w:p>
        </w:tc>
      </w:tr>
      <w:tr w:rsidR="00372AE1" w:rsidRPr="00372AE1" w14:paraId="68910EDD" w14:textId="77777777" w:rsidTr="00E116DE">
        <w:tc>
          <w:tcPr>
            <w:tcW w:w="2160" w:type="dxa"/>
          </w:tcPr>
          <w:p w14:paraId="33B33385"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Career Advancement (CA)</w:t>
            </w:r>
          </w:p>
        </w:tc>
        <w:tc>
          <w:tcPr>
            <w:tcW w:w="2160" w:type="dxa"/>
          </w:tcPr>
          <w:p w14:paraId="7CCC3467"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-0.571</w:t>
            </w:r>
          </w:p>
        </w:tc>
        <w:tc>
          <w:tcPr>
            <w:tcW w:w="2160" w:type="dxa"/>
          </w:tcPr>
          <w:p w14:paraId="4103515F"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0.838</w:t>
            </w:r>
          </w:p>
        </w:tc>
        <w:tc>
          <w:tcPr>
            <w:tcW w:w="2160" w:type="dxa"/>
          </w:tcPr>
          <w:p w14:paraId="37559064"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Acceptable normality</w:t>
            </w:r>
          </w:p>
        </w:tc>
      </w:tr>
      <w:tr w:rsidR="00372AE1" w:rsidRPr="00372AE1" w14:paraId="2BC576C8" w14:textId="77777777" w:rsidTr="00E116DE">
        <w:tc>
          <w:tcPr>
            <w:tcW w:w="2160" w:type="dxa"/>
          </w:tcPr>
          <w:p w14:paraId="1FF41984"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Workplace Gender Equality Policies (WGEP)</w:t>
            </w:r>
          </w:p>
        </w:tc>
        <w:tc>
          <w:tcPr>
            <w:tcW w:w="2160" w:type="dxa"/>
          </w:tcPr>
          <w:p w14:paraId="72839FA3"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-0.602</w:t>
            </w:r>
          </w:p>
        </w:tc>
        <w:tc>
          <w:tcPr>
            <w:tcW w:w="2160" w:type="dxa"/>
          </w:tcPr>
          <w:p w14:paraId="3E90236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0.996</w:t>
            </w:r>
          </w:p>
        </w:tc>
        <w:tc>
          <w:tcPr>
            <w:tcW w:w="2160" w:type="dxa"/>
          </w:tcPr>
          <w:p w14:paraId="3AAA211F"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Acceptable normality</w:t>
            </w:r>
          </w:p>
        </w:tc>
      </w:tr>
    </w:tbl>
    <w:p w14:paraId="516AAC4C" w14:textId="77777777" w:rsidR="00372AE1" w:rsidRPr="00372AE1" w:rsidRDefault="00372AE1" w:rsidP="00372AE1">
      <w:pPr>
        <w:pStyle w:val="Heading2"/>
        <w:rPr>
          <w:rFonts w:ascii="Times New Roman" w:hAnsi="Times New Roman" w:cs="Times New Roman"/>
          <w:b/>
          <w:bCs/>
          <w:color w:val="auto"/>
          <w:sz w:val="24"/>
          <w:szCs w:val="24"/>
        </w:rPr>
      </w:pPr>
      <w:r w:rsidRPr="00372AE1">
        <w:rPr>
          <w:rFonts w:ascii="Times New Roman" w:hAnsi="Times New Roman" w:cs="Times New Roman"/>
          <w:b/>
          <w:bCs/>
          <w:color w:val="auto"/>
          <w:sz w:val="24"/>
          <w:szCs w:val="24"/>
        </w:rPr>
        <w:t>3.5 Reliability and Convergent Validity</w:t>
      </w:r>
    </w:p>
    <w:p w14:paraId="0460D10E" w14:textId="77777777" w:rsidR="00372AE1" w:rsidRPr="00372AE1" w:rsidRDefault="00372AE1" w:rsidP="00372AE1">
      <w:pPr>
        <w:rPr>
          <w:rFonts w:ascii="Times New Roman" w:hAnsi="Times New Roman" w:cs="Times New Roman"/>
        </w:rPr>
      </w:pPr>
      <w:r w:rsidRPr="00372AE1">
        <w:rPr>
          <w:rFonts w:ascii="Times New Roman" w:hAnsi="Times New Roman" w:cs="Times New Roman"/>
        </w:rPr>
        <w:t>Reliability and convergent validity were assessed using Cronbach’s Alpha, Composite Reliability (CR), and Average Variance Extracted (AVE).</w:t>
      </w:r>
    </w:p>
    <w:tbl>
      <w:tblPr>
        <w:tblW w:w="0" w:type="auto"/>
        <w:tblLook w:val="04A0" w:firstRow="1" w:lastRow="0" w:firstColumn="1" w:lastColumn="0" w:noHBand="0" w:noVBand="1"/>
      </w:tblPr>
      <w:tblGrid>
        <w:gridCol w:w="1728"/>
        <w:gridCol w:w="1728"/>
        <w:gridCol w:w="1728"/>
        <w:gridCol w:w="1728"/>
        <w:gridCol w:w="1728"/>
      </w:tblGrid>
      <w:tr w:rsidR="00372AE1" w:rsidRPr="00372AE1" w14:paraId="0D806F2D" w14:textId="77777777" w:rsidTr="00E116DE">
        <w:tc>
          <w:tcPr>
            <w:tcW w:w="1728" w:type="dxa"/>
          </w:tcPr>
          <w:p w14:paraId="1140B9B7"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Construct</w:t>
            </w:r>
          </w:p>
        </w:tc>
        <w:tc>
          <w:tcPr>
            <w:tcW w:w="1728" w:type="dxa"/>
          </w:tcPr>
          <w:p w14:paraId="7B215AB9"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Cronbach’s Alpha</w:t>
            </w:r>
          </w:p>
        </w:tc>
        <w:tc>
          <w:tcPr>
            <w:tcW w:w="1728" w:type="dxa"/>
          </w:tcPr>
          <w:p w14:paraId="49A262B8"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CR</w:t>
            </w:r>
          </w:p>
        </w:tc>
        <w:tc>
          <w:tcPr>
            <w:tcW w:w="1728" w:type="dxa"/>
          </w:tcPr>
          <w:p w14:paraId="75B1FBE4"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AVE</w:t>
            </w:r>
          </w:p>
        </w:tc>
        <w:tc>
          <w:tcPr>
            <w:tcW w:w="1728" w:type="dxa"/>
          </w:tcPr>
          <w:p w14:paraId="48194BD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Result</w:t>
            </w:r>
          </w:p>
        </w:tc>
      </w:tr>
      <w:tr w:rsidR="00372AE1" w:rsidRPr="00372AE1" w14:paraId="6E63DDE7" w14:textId="77777777" w:rsidTr="00E116DE">
        <w:tc>
          <w:tcPr>
            <w:tcW w:w="1728" w:type="dxa"/>
          </w:tcPr>
          <w:p w14:paraId="1335B790"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Gender Independence (GI)</w:t>
            </w:r>
          </w:p>
        </w:tc>
        <w:tc>
          <w:tcPr>
            <w:tcW w:w="1728" w:type="dxa"/>
          </w:tcPr>
          <w:p w14:paraId="0ECFDB38"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0.882</w:t>
            </w:r>
          </w:p>
        </w:tc>
        <w:tc>
          <w:tcPr>
            <w:tcW w:w="1728" w:type="dxa"/>
          </w:tcPr>
          <w:p w14:paraId="5719A6E5"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0.911</w:t>
            </w:r>
          </w:p>
        </w:tc>
        <w:tc>
          <w:tcPr>
            <w:tcW w:w="1728" w:type="dxa"/>
          </w:tcPr>
          <w:p w14:paraId="0E2477D6"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0.631</w:t>
            </w:r>
          </w:p>
        </w:tc>
        <w:tc>
          <w:tcPr>
            <w:tcW w:w="1728" w:type="dxa"/>
          </w:tcPr>
          <w:p w14:paraId="2815FBA6"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Accepted</w:t>
            </w:r>
          </w:p>
        </w:tc>
      </w:tr>
      <w:tr w:rsidR="00372AE1" w:rsidRPr="00372AE1" w14:paraId="1F135CB2" w14:textId="77777777" w:rsidTr="00E116DE">
        <w:tc>
          <w:tcPr>
            <w:tcW w:w="1728" w:type="dxa"/>
          </w:tcPr>
          <w:p w14:paraId="0844D584"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Career Advancement (CA)</w:t>
            </w:r>
          </w:p>
        </w:tc>
        <w:tc>
          <w:tcPr>
            <w:tcW w:w="1728" w:type="dxa"/>
          </w:tcPr>
          <w:p w14:paraId="53BFE053"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0.869</w:t>
            </w:r>
          </w:p>
        </w:tc>
        <w:tc>
          <w:tcPr>
            <w:tcW w:w="1728" w:type="dxa"/>
          </w:tcPr>
          <w:p w14:paraId="030DB2E9"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0.897</w:t>
            </w:r>
          </w:p>
        </w:tc>
        <w:tc>
          <w:tcPr>
            <w:tcW w:w="1728" w:type="dxa"/>
          </w:tcPr>
          <w:p w14:paraId="3F95578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0.594</w:t>
            </w:r>
          </w:p>
        </w:tc>
        <w:tc>
          <w:tcPr>
            <w:tcW w:w="1728" w:type="dxa"/>
          </w:tcPr>
          <w:p w14:paraId="5F4CC44B"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Accepted</w:t>
            </w:r>
          </w:p>
        </w:tc>
      </w:tr>
      <w:tr w:rsidR="00372AE1" w:rsidRPr="00372AE1" w14:paraId="6837616E" w14:textId="77777777" w:rsidTr="00E116DE">
        <w:tc>
          <w:tcPr>
            <w:tcW w:w="1728" w:type="dxa"/>
          </w:tcPr>
          <w:p w14:paraId="44D7DE46"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Workplace Gender Equality Policies (WGEP)</w:t>
            </w:r>
          </w:p>
        </w:tc>
        <w:tc>
          <w:tcPr>
            <w:tcW w:w="1728" w:type="dxa"/>
          </w:tcPr>
          <w:p w14:paraId="2876F374"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0.891</w:t>
            </w:r>
          </w:p>
        </w:tc>
        <w:tc>
          <w:tcPr>
            <w:tcW w:w="1728" w:type="dxa"/>
          </w:tcPr>
          <w:p w14:paraId="766682AD"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0.922</w:t>
            </w:r>
          </w:p>
        </w:tc>
        <w:tc>
          <w:tcPr>
            <w:tcW w:w="1728" w:type="dxa"/>
          </w:tcPr>
          <w:p w14:paraId="55B0295F"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0.664</w:t>
            </w:r>
          </w:p>
        </w:tc>
        <w:tc>
          <w:tcPr>
            <w:tcW w:w="1728" w:type="dxa"/>
          </w:tcPr>
          <w:p w14:paraId="62300B89"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Accepted</w:t>
            </w:r>
          </w:p>
        </w:tc>
      </w:tr>
    </w:tbl>
    <w:p w14:paraId="2FA1B0EC" w14:textId="77777777" w:rsidR="00372AE1" w:rsidRPr="00372AE1" w:rsidRDefault="00372AE1" w:rsidP="00372AE1">
      <w:pPr>
        <w:pStyle w:val="Heading2"/>
        <w:rPr>
          <w:rFonts w:ascii="Times New Roman" w:hAnsi="Times New Roman" w:cs="Times New Roman"/>
          <w:b/>
          <w:bCs/>
          <w:color w:val="auto"/>
          <w:sz w:val="24"/>
          <w:szCs w:val="24"/>
        </w:rPr>
      </w:pPr>
      <w:r w:rsidRPr="00372AE1">
        <w:rPr>
          <w:rFonts w:ascii="Times New Roman" w:hAnsi="Times New Roman" w:cs="Times New Roman"/>
          <w:b/>
          <w:bCs/>
          <w:color w:val="auto"/>
          <w:sz w:val="24"/>
          <w:szCs w:val="24"/>
        </w:rPr>
        <w:t>3.6 Discriminant Validity (Fornell-Larcker Criterion)</w:t>
      </w:r>
    </w:p>
    <w:p w14:paraId="690D2027" w14:textId="77777777" w:rsidR="00372AE1" w:rsidRPr="00372AE1" w:rsidRDefault="00372AE1" w:rsidP="00372AE1">
      <w:pPr>
        <w:rPr>
          <w:rFonts w:ascii="Times New Roman" w:hAnsi="Times New Roman" w:cs="Times New Roman"/>
        </w:rPr>
      </w:pPr>
      <w:r w:rsidRPr="00372AE1">
        <w:rPr>
          <w:rFonts w:ascii="Times New Roman" w:hAnsi="Times New Roman" w:cs="Times New Roman"/>
        </w:rPr>
        <w:t>The square root of AVE values exceeded inter-construct correlations, confirming discriminant validity.</w:t>
      </w:r>
    </w:p>
    <w:tbl>
      <w:tblPr>
        <w:tblW w:w="0" w:type="auto"/>
        <w:tblLook w:val="04A0" w:firstRow="1" w:lastRow="0" w:firstColumn="1" w:lastColumn="0" w:noHBand="0" w:noVBand="1"/>
      </w:tblPr>
      <w:tblGrid>
        <w:gridCol w:w="2160"/>
        <w:gridCol w:w="2160"/>
        <w:gridCol w:w="2160"/>
        <w:gridCol w:w="2160"/>
      </w:tblGrid>
      <w:tr w:rsidR="00372AE1" w:rsidRPr="00372AE1" w14:paraId="00F7AC5C" w14:textId="77777777" w:rsidTr="00E116DE">
        <w:tc>
          <w:tcPr>
            <w:tcW w:w="2160" w:type="dxa"/>
          </w:tcPr>
          <w:p w14:paraId="379770E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Construct</w:t>
            </w:r>
          </w:p>
        </w:tc>
        <w:tc>
          <w:tcPr>
            <w:tcW w:w="2160" w:type="dxa"/>
          </w:tcPr>
          <w:p w14:paraId="47D2331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GI</w:t>
            </w:r>
          </w:p>
        </w:tc>
        <w:tc>
          <w:tcPr>
            <w:tcW w:w="2160" w:type="dxa"/>
          </w:tcPr>
          <w:p w14:paraId="65FFD565"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CA</w:t>
            </w:r>
          </w:p>
        </w:tc>
        <w:tc>
          <w:tcPr>
            <w:tcW w:w="2160" w:type="dxa"/>
          </w:tcPr>
          <w:p w14:paraId="22AA792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WGEP</w:t>
            </w:r>
          </w:p>
        </w:tc>
      </w:tr>
      <w:tr w:rsidR="00372AE1" w:rsidRPr="00372AE1" w14:paraId="431AECCB" w14:textId="77777777" w:rsidTr="00E116DE">
        <w:tc>
          <w:tcPr>
            <w:tcW w:w="2160" w:type="dxa"/>
          </w:tcPr>
          <w:p w14:paraId="389C0650"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Gender Independence (GI)</w:t>
            </w:r>
          </w:p>
        </w:tc>
        <w:tc>
          <w:tcPr>
            <w:tcW w:w="2160" w:type="dxa"/>
          </w:tcPr>
          <w:p w14:paraId="54AAEA14"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0.794</w:t>
            </w:r>
          </w:p>
        </w:tc>
        <w:tc>
          <w:tcPr>
            <w:tcW w:w="2160" w:type="dxa"/>
          </w:tcPr>
          <w:p w14:paraId="3BE2DD5A" w14:textId="77777777" w:rsidR="00372AE1" w:rsidRPr="00372AE1" w:rsidRDefault="00372AE1" w:rsidP="00E116DE">
            <w:pPr>
              <w:rPr>
                <w:rFonts w:ascii="Times New Roman" w:hAnsi="Times New Roman" w:cs="Times New Roman"/>
              </w:rPr>
            </w:pPr>
          </w:p>
        </w:tc>
        <w:tc>
          <w:tcPr>
            <w:tcW w:w="2160" w:type="dxa"/>
          </w:tcPr>
          <w:p w14:paraId="0952A89B" w14:textId="77777777" w:rsidR="00372AE1" w:rsidRPr="00372AE1" w:rsidRDefault="00372AE1" w:rsidP="00E116DE">
            <w:pPr>
              <w:rPr>
                <w:rFonts w:ascii="Times New Roman" w:hAnsi="Times New Roman" w:cs="Times New Roman"/>
              </w:rPr>
            </w:pPr>
          </w:p>
        </w:tc>
      </w:tr>
      <w:tr w:rsidR="00372AE1" w:rsidRPr="00372AE1" w14:paraId="5FC62934" w14:textId="77777777" w:rsidTr="00E116DE">
        <w:tc>
          <w:tcPr>
            <w:tcW w:w="2160" w:type="dxa"/>
          </w:tcPr>
          <w:p w14:paraId="7AFB0135"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Career Advancement (CA)</w:t>
            </w:r>
          </w:p>
        </w:tc>
        <w:tc>
          <w:tcPr>
            <w:tcW w:w="2160" w:type="dxa"/>
          </w:tcPr>
          <w:p w14:paraId="0A6A49D0"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0.562</w:t>
            </w:r>
          </w:p>
        </w:tc>
        <w:tc>
          <w:tcPr>
            <w:tcW w:w="2160" w:type="dxa"/>
          </w:tcPr>
          <w:p w14:paraId="2A9E7845"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0.771</w:t>
            </w:r>
          </w:p>
        </w:tc>
        <w:tc>
          <w:tcPr>
            <w:tcW w:w="2160" w:type="dxa"/>
          </w:tcPr>
          <w:p w14:paraId="1C78C264" w14:textId="77777777" w:rsidR="00372AE1" w:rsidRPr="00372AE1" w:rsidRDefault="00372AE1" w:rsidP="00E116DE">
            <w:pPr>
              <w:rPr>
                <w:rFonts w:ascii="Times New Roman" w:hAnsi="Times New Roman" w:cs="Times New Roman"/>
              </w:rPr>
            </w:pPr>
          </w:p>
        </w:tc>
      </w:tr>
      <w:tr w:rsidR="00372AE1" w:rsidRPr="00372AE1" w14:paraId="0355D978" w14:textId="77777777" w:rsidTr="00E116DE">
        <w:tc>
          <w:tcPr>
            <w:tcW w:w="2160" w:type="dxa"/>
          </w:tcPr>
          <w:p w14:paraId="5027968B"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Workplace Gender Equality Policies (WGEP)</w:t>
            </w:r>
          </w:p>
        </w:tc>
        <w:tc>
          <w:tcPr>
            <w:tcW w:w="2160" w:type="dxa"/>
          </w:tcPr>
          <w:p w14:paraId="19C7267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0.628</w:t>
            </w:r>
          </w:p>
        </w:tc>
        <w:tc>
          <w:tcPr>
            <w:tcW w:w="2160" w:type="dxa"/>
          </w:tcPr>
          <w:p w14:paraId="081C7B0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0.518</w:t>
            </w:r>
          </w:p>
        </w:tc>
        <w:tc>
          <w:tcPr>
            <w:tcW w:w="2160" w:type="dxa"/>
          </w:tcPr>
          <w:p w14:paraId="47A796ED"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0.815</w:t>
            </w:r>
          </w:p>
        </w:tc>
      </w:tr>
    </w:tbl>
    <w:p w14:paraId="0F847C21" w14:textId="77777777" w:rsidR="00372AE1" w:rsidRPr="00372AE1" w:rsidRDefault="00372AE1" w:rsidP="00372AE1">
      <w:pPr>
        <w:pStyle w:val="Heading2"/>
        <w:rPr>
          <w:rFonts w:ascii="Times New Roman" w:hAnsi="Times New Roman" w:cs="Times New Roman"/>
          <w:b/>
          <w:bCs/>
          <w:color w:val="auto"/>
          <w:sz w:val="24"/>
          <w:szCs w:val="24"/>
        </w:rPr>
      </w:pPr>
      <w:r w:rsidRPr="00372AE1">
        <w:rPr>
          <w:rFonts w:ascii="Times New Roman" w:hAnsi="Times New Roman" w:cs="Times New Roman"/>
          <w:b/>
          <w:bCs/>
          <w:color w:val="auto"/>
          <w:sz w:val="24"/>
          <w:szCs w:val="24"/>
        </w:rPr>
        <w:lastRenderedPageBreak/>
        <w:t>3.7 Model Fit Indices</w:t>
      </w:r>
    </w:p>
    <w:p w14:paraId="689AC5EB" w14:textId="77777777" w:rsidR="00372AE1" w:rsidRPr="00372AE1" w:rsidRDefault="00372AE1" w:rsidP="00372AE1">
      <w:pPr>
        <w:rPr>
          <w:rFonts w:ascii="Times New Roman" w:hAnsi="Times New Roman" w:cs="Times New Roman"/>
        </w:rPr>
      </w:pPr>
      <w:r w:rsidRPr="00372AE1">
        <w:rPr>
          <w:rFonts w:ascii="Times New Roman" w:hAnsi="Times New Roman" w:cs="Times New Roman"/>
        </w:rPr>
        <w:t>The model fit indices confirmed that the proposed mediation model adequately represented the observed data.</w:t>
      </w:r>
    </w:p>
    <w:tbl>
      <w:tblPr>
        <w:tblW w:w="0" w:type="auto"/>
        <w:tblLook w:val="04A0" w:firstRow="1" w:lastRow="0" w:firstColumn="1" w:lastColumn="0" w:noHBand="0" w:noVBand="1"/>
      </w:tblPr>
      <w:tblGrid>
        <w:gridCol w:w="2160"/>
        <w:gridCol w:w="2160"/>
        <w:gridCol w:w="2160"/>
        <w:gridCol w:w="2160"/>
      </w:tblGrid>
      <w:tr w:rsidR="00372AE1" w:rsidRPr="00372AE1" w14:paraId="59D50BFF" w14:textId="77777777" w:rsidTr="00E116DE">
        <w:tc>
          <w:tcPr>
            <w:tcW w:w="2160" w:type="dxa"/>
          </w:tcPr>
          <w:p w14:paraId="14A7B099"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Fit Index</w:t>
            </w:r>
          </w:p>
        </w:tc>
        <w:tc>
          <w:tcPr>
            <w:tcW w:w="2160" w:type="dxa"/>
          </w:tcPr>
          <w:p w14:paraId="002EAA76"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Obtained Value</w:t>
            </w:r>
          </w:p>
        </w:tc>
        <w:tc>
          <w:tcPr>
            <w:tcW w:w="2160" w:type="dxa"/>
          </w:tcPr>
          <w:p w14:paraId="194E3248"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Recommended Value</w:t>
            </w:r>
          </w:p>
        </w:tc>
        <w:tc>
          <w:tcPr>
            <w:tcW w:w="2160" w:type="dxa"/>
          </w:tcPr>
          <w:p w14:paraId="67EBBD96"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Interpretation</w:t>
            </w:r>
          </w:p>
        </w:tc>
      </w:tr>
      <w:tr w:rsidR="00372AE1" w:rsidRPr="00372AE1" w14:paraId="1434C77A" w14:textId="77777777" w:rsidTr="00E116DE">
        <w:tc>
          <w:tcPr>
            <w:tcW w:w="2160" w:type="dxa"/>
          </w:tcPr>
          <w:p w14:paraId="5D3A264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SRMR</w:t>
            </w:r>
          </w:p>
        </w:tc>
        <w:tc>
          <w:tcPr>
            <w:tcW w:w="2160" w:type="dxa"/>
          </w:tcPr>
          <w:p w14:paraId="1ADA65A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0.057</w:t>
            </w:r>
          </w:p>
        </w:tc>
        <w:tc>
          <w:tcPr>
            <w:tcW w:w="2160" w:type="dxa"/>
          </w:tcPr>
          <w:p w14:paraId="477B846D"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&lt; 0.08</w:t>
            </w:r>
          </w:p>
        </w:tc>
        <w:tc>
          <w:tcPr>
            <w:tcW w:w="2160" w:type="dxa"/>
          </w:tcPr>
          <w:p w14:paraId="6894169F"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Good fit</w:t>
            </w:r>
          </w:p>
        </w:tc>
      </w:tr>
      <w:tr w:rsidR="00372AE1" w:rsidRPr="00372AE1" w14:paraId="316923C6" w14:textId="77777777" w:rsidTr="00E116DE">
        <w:tc>
          <w:tcPr>
            <w:tcW w:w="2160" w:type="dxa"/>
          </w:tcPr>
          <w:p w14:paraId="47D55482"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NFI</w:t>
            </w:r>
          </w:p>
        </w:tc>
        <w:tc>
          <w:tcPr>
            <w:tcW w:w="2160" w:type="dxa"/>
          </w:tcPr>
          <w:p w14:paraId="5E17DA1D"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0.923</w:t>
            </w:r>
          </w:p>
        </w:tc>
        <w:tc>
          <w:tcPr>
            <w:tcW w:w="2160" w:type="dxa"/>
          </w:tcPr>
          <w:p w14:paraId="54177109"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&gt; 0.90</w:t>
            </w:r>
          </w:p>
        </w:tc>
        <w:tc>
          <w:tcPr>
            <w:tcW w:w="2160" w:type="dxa"/>
          </w:tcPr>
          <w:p w14:paraId="225852B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Acceptable fit</w:t>
            </w:r>
          </w:p>
        </w:tc>
      </w:tr>
      <w:tr w:rsidR="00372AE1" w:rsidRPr="00372AE1" w14:paraId="152E314A" w14:textId="77777777" w:rsidTr="00E116DE">
        <w:tc>
          <w:tcPr>
            <w:tcW w:w="2160" w:type="dxa"/>
          </w:tcPr>
          <w:p w14:paraId="298E23BF"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CFI</w:t>
            </w:r>
          </w:p>
        </w:tc>
        <w:tc>
          <w:tcPr>
            <w:tcW w:w="2160" w:type="dxa"/>
          </w:tcPr>
          <w:p w14:paraId="4CFE0E6F"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0.949</w:t>
            </w:r>
          </w:p>
        </w:tc>
        <w:tc>
          <w:tcPr>
            <w:tcW w:w="2160" w:type="dxa"/>
          </w:tcPr>
          <w:p w14:paraId="497C8D1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&gt; 0.90</w:t>
            </w:r>
          </w:p>
        </w:tc>
        <w:tc>
          <w:tcPr>
            <w:tcW w:w="2160" w:type="dxa"/>
          </w:tcPr>
          <w:p w14:paraId="4A3CAFB9"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Good fit</w:t>
            </w:r>
          </w:p>
        </w:tc>
      </w:tr>
      <w:tr w:rsidR="00372AE1" w:rsidRPr="00372AE1" w14:paraId="31193215" w14:textId="77777777" w:rsidTr="00E116DE">
        <w:tc>
          <w:tcPr>
            <w:tcW w:w="2160" w:type="dxa"/>
          </w:tcPr>
          <w:p w14:paraId="282598A2"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RMSEA</w:t>
            </w:r>
          </w:p>
        </w:tc>
        <w:tc>
          <w:tcPr>
            <w:tcW w:w="2160" w:type="dxa"/>
          </w:tcPr>
          <w:p w14:paraId="455D53E5"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0.045</w:t>
            </w:r>
          </w:p>
        </w:tc>
        <w:tc>
          <w:tcPr>
            <w:tcW w:w="2160" w:type="dxa"/>
          </w:tcPr>
          <w:p w14:paraId="28685840"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&lt; 0.08</w:t>
            </w:r>
          </w:p>
        </w:tc>
        <w:tc>
          <w:tcPr>
            <w:tcW w:w="2160" w:type="dxa"/>
          </w:tcPr>
          <w:p w14:paraId="460E63D8"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Good fit</w:t>
            </w:r>
          </w:p>
        </w:tc>
      </w:tr>
      <w:tr w:rsidR="00372AE1" w:rsidRPr="00372AE1" w14:paraId="7DE470AD" w14:textId="77777777" w:rsidTr="00E116DE">
        <w:tc>
          <w:tcPr>
            <w:tcW w:w="2160" w:type="dxa"/>
          </w:tcPr>
          <w:p w14:paraId="2EA31696"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Chi-square/</w:t>
            </w:r>
            <w:proofErr w:type="spellStart"/>
            <w:r w:rsidRPr="00372AE1">
              <w:rPr>
                <w:rFonts w:ascii="Times New Roman" w:hAnsi="Times New Roman" w:cs="Times New Roman"/>
              </w:rPr>
              <w:t>df</w:t>
            </w:r>
            <w:proofErr w:type="spellEnd"/>
          </w:p>
        </w:tc>
        <w:tc>
          <w:tcPr>
            <w:tcW w:w="2160" w:type="dxa"/>
          </w:tcPr>
          <w:p w14:paraId="41A652DB"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2.186</w:t>
            </w:r>
          </w:p>
        </w:tc>
        <w:tc>
          <w:tcPr>
            <w:tcW w:w="2160" w:type="dxa"/>
          </w:tcPr>
          <w:p w14:paraId="24C577A6"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&lt; 3.00</w:t>
            </w:r>
          </w:p>
        </w:tc>
        <w:tc>
          <w:tcPr>
            <w:tcW w:w="2160" w:type="dxa"/>
          </w:tcPr>
          <w:p w14:paraId="468BD7D9"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Acceptable fit</w:t>
            </w:r>
          </w:p>
        </w:tc>
      </w:tr>
    </w:tbl>
    <w:p w14:paraId="3FC39CAD" w14:textId="77777777" w:rsidR="00372AE1" w:rsidRPr="00372AE1" w:rsidRDefault="00372AE1" w:rsidP="00372AE1">
      <w:pPr>
        <w:pStyle w:val="Heading2"/>
        <w:rPr>
          <w:rFonts w:ascii="Times New Roman" w:hAnsi="Times New Roman" w:cs="Times New Roman"/>
          <w:b/>
          <w:bCs/>
          <w:color w:val="auto"/>
          <w:sz w:val="24"/>
          <w:szCs w:val="24"/>
        </w:rPr>
      </w:pPr>
      <w:r w:rsidRPr="00372AE1">
        <w:rPr>
          <w:rFonts w:ascii="Times New Roman" w:hAnsi="Times New Roman" w:cs="Times New Roman"/>
          <w:b/>
          <w:bCs/>
          <w:color w:val="auto"/>
          <w:sz w:val="24"/>
          <w:szCs w:val="24"/>
        </w:rPr>
        <w:t>3.8 Hypothesis Test Results</w:t>
      </w:r>
    </w:p>
    <w:p w14:paraId="4E5E6E31" w14:textId="77777777" w:rsidR="00372AE1" w:rsidRPr="00372AE1" w:rsidRDefault="00372AE1" w:rsidP="00372AE1">
      <w:pPr>
        <w:rPr>
          <w:rFonts w:ascii="Times New Roman" w:hAnsi="Times New Roman" w:cs="Times New Roman"/>
        </w:rPr>
      </w:pPr>
      <w:r w:rsidRPr="00372AE1">
        <w:rPr>
          <w:rFonts w:ascii="Times New Roman" w:hAnsi="Times New Roman" w:cs="Times New Roman"/>
        </w:rPr>
        <w:t>The hypothesis testing results revealed significant relationships among the study variables.</w:t>
      </w:r>
    </w:p>
    <w:tbl>
      <w:tblPr>
        <w:tblW w:w="0" w:type="auto"/>
        <w:tblLook w:val="04A0" w:firstRow="1" w:lastRow="0" w:firstColumn="1" w:lastColumn="0" w:noHBand="0" w:noVBand="1"/>
      </w:tblPr>
      <w:tblGrid>
        <w:gridCol w:w="1440"/>
        <w:gridCol w:w="1440"/>
        <w:gridCol w:w="1440"/>
        <w:gridCol w:w="1440"/>
        <w:gridCol w:w="1440"/>
        <w:gridCol w:w="1440"/>
      </w:tblGrid>
      <w:tr w:rsidR="00372AE1" w:rsidRPr="00372AE1" w14:paraId="5D675E88" w14:textId="77777777" w:rsidTr="00E116DE">
        <w:tc>
          <w:tcPr>
            <w:tcW w:w="1440" w:type="dxa"/>
          </w:tcPr>
          <w:p w14:paraId="17B6235F"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Hypothesis</w:t>
            </w:r>
          </w:p>
        </w:tc>
        <w:tc>
          <w:tcPr>
            <w:tcW w:w="1440" w:type="dxa"/>
          </w:tcPr>
          <w:p w14:paraId="4177B79F"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Relationship</w:t>
            </w:r>
          </w:p>
        </w:tc>
        <w:tc>
          <w:tcPr>
            <w:tcW w:w="1440" w:type="dxa"/>
          </w:tcPr>
          <w:p w14:paraId="28CC2CE0"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Beta</w:t>
            </w:r>
          </w:p>
        </w:tc>
        <w:tc>
          <w:tcPr>
            <w:tcW w:w="1440" w:type="dxa"/>
          </w:tcPr>
          <w:p w14:paraId="3BE2463F"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t-value</w:t>
            </w:r>
          </w:p>
        </w:tc>
        <w:tc>
          <w:tcPr>
            <w:tcW w:w="1440" w:type="dxa"/>
          </w:tcPr>
          <w:p w14:paraId="72ADB38E"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p-value</w:t>
            </w:r>
          </w:p>
        </w:tc>
        <w:tc>
          <w:tcPr>
            <w:tcW w:w="1440" w:type="dxa"/>
          </w:tcPr>
          <w:p w14:paraId="0CCE322B"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Result</w:t>
            </w:r>
          </w:p>
        </w:tc>
      </w:tr>
      <w:tr w:rsidR="00372AE1" w:rsidRPr="00372AE1" w14:paraId="58EF879D" w14:textId="77777777" w:rsidTr="00E116DE">
        <w:tc>
          <w:tcPr>
            <w:tcW w:w="1440" w:type="dxa"/>
          </w:tcPr>
          <w:p w14:paraId="61A2691C"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H1</w:t>
            </w:r>
          </w:p>
        </w:tc>
        <w:tc>
          <w:tcPr>
            <w:tcW w:w="1440" w:type="dxa"/>
          </w:tcPr>
          <w:p w14:paraId="2EA751FB"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GI -&gt; CA</w:t>
            </w:r>
          </w:p>
        </w:tc>
        <w:tc>
          <w:tcPr>
            <w:tcW w:w="1440" w:type="dxa"/>
          </w:tcPr>
          <w:p w14:paraId="6400D8DB"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0.486</w:t>
            </w:r>
          </w:p>
        </w:tc>
        <w:tc>
          <w:tcPr>
            <w:tcW w:w="1440" w:type="dxa"/>
          </w:tcPr>
          <w:p w14:paraId="0F8C3F20"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9.214</w:t>
            </w:r>
          </w:p>
        </w:tc>
        <w:tc>
          <w:tcPr>
            <w:tcW w:w="1440" w:type="dxa"/>
          </w:tcPr>
          <w:p w14:paraId="125E61E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&lt; 0.001</w:t>
            </w:r>
          </w:p>
        </w:tc>
        <w:tc>
          <w:tcPr>
            <w:tcW w:w="1440" w:type="dxa"/>
          </w:tcPr>
          <w:p w14:paraId="49DDB18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Supported</w:t>
            </w:r>
          </w:p>
        </w:tc>
      </w:tr>
      <w:tr w:rsidR="00372AE1" w:rsidRPr="00372AE1" w14:paraId="597E45F2" w14:textId="77777777" w:rsidTr="00E116DE">
        <w:tc>
          <w:tcPr>
            <w:tcW w:w="1440" w:type="dxa"/>
          </w:tcPr>
          <w:p w14:paraId="7832857F"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H2</w:t>
            </w:r>
          </w:p>
        </w:tc>
        <w:tc>
          <w:tcPr>
            <w:tcW w:w="1440" w:type="dxa"/>
          </w:tcPr>
          <w:p w14:paraId="453855D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GI -&gt; WGEP</w:t>
            </w:r>
          </w:p>
        </w:tc>
        <w:tc>
          <w:tcPr>
            <w:tcW w:w="1440" w:type="dxa"/>
          </w:tcPr>
          <w:p w14:paraId="1D41165C"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0.552</w:t>
            </w:r>
          </w:p>
        </w:tc>
        <w:tc>
          <w:tcPr>
            <w:tcW w:w="1440" w:type="dxa"/>
          </w:tcPr>
          <w:p w14:paraId="65037C52"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10.638</w:t>
            </w:r>
          </w:p>
        </w:tc>
        <w:tc>
          <w:tcPr>
            <w:tcW w:w="1440" w:type="dxa"/>
          </w:tcPr>
          <w:p w14:paraId="51C538C5"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&lt; 0.001</w:t>
            </w:r>
          </w:p>
        </w:tc>
        <w:tc>
          <w:tcPr>
            <w:tcW w:w="1440" w:type="dxa"/>
          </w:tcPr>
          <w:p w14:paraId="161FB563"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Supported</w:t>
            </w:r>
          </w:p>
        </w:tc>
      </w:tr>
      <w:tr w:rsidR="00372AE1" w:rsidRPr="00372AE1" w14:paraId="6418A04A" w14:textId="77777777" w:rsidTr="00E116DE">
        <w:tc>
          <w:tcPr>
            <w:tcW w:w="1440" w:type="dxa"/>
          </w:tcPr>
          <w:p w14:paraId="5C4E2A7B"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H3</w:t>
            </w:r>
          </w:p>
        </w:tc>
        <w:tc>
          <w:tcPr>
            <w:tcW w:w="1440" w:type="dxa"/>
          </w:tcPr>
          <w:p w14:paraId="3DC09B28"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WGEP -&gt; CA</w:t>
            </w:r>
          </w:p>
        </w:tc>
        <w:tc>
          <w:tcPr>
            <w:tcW w:w="1440" w:type="dxa"/>
          </w:tcPr>
          <w:p w14:paraId="210D2BA5"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0.318</w:t>
            </w:r>
          </w:p>
        </w:tc>
        <w:tc>
          <w:tcPr>
            <w:tcW w:w="1440" w:type="dxa"/>
          </w:tcPr>
          <w:p w14:paraId="115011D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6.482</w:t>
            </w:r>
          </w:p>
        </w:tc>
        <w:tc>
          <w:tcPr>
            <w:tcW w:w="1440" w:type="dxa"/>
          </w:tcPr>
          <w:p w14:paraId="47C82D3B"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&lt; 0.001</w:t>
            </w:r>
          </w:p>
        </w:tc>
        <w:tc>
          <w:tcPr>
            <w:tcW w:w="1440" w:type="dxa"/>
          </w:tcPr>
          <w:p w14:paraId="657C1403"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Supported</w:t>
            </w:r>
          </w:p>
        </w:tc>
      </w:tr>
      <w:tr w:rsidR="00372AE1" w:rsidRPr="00372AE1" w14:paraId="553DDC1C" w14:textId="77777777" w:rsidTr="00E116DE">
        <w:tc>
          <w:tcPr>
            <w:tcW w:w="1440" w:type="dxa"/>
          </w:tcPr>
          <w:p w14:paraId="1FCA11A0"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H4</w:t>
            </w:r>
          </w:p>
        </w:tc>
        <w:tc>
          <w:tcPr>
            <w:tcW w:w="1440" w:type="dxa"/>
          </w:tcPr>
          <w:p w14:paraId="2612D954"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GI -&gt; WGEP -&gt; CA</w:t>
            </w:r>
          </w:p>
        </w:tc>
        <w:tc>
          <w:tcPr>
            <w:tcW w:w="1440" w:type="dxa"/>
          </w:tcPr>
          <w:p w14:paraId="3C2839D1"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0.176</w:t>
            </w:r>
          </w:p>
        </w:tc>
        <w:tc>
          <w:tcPr>
            <w:tcW w:w="1440" w:type="dxa"/>
          </w:tcPr>
          <w:p w14:paraId="6E3ED9A5"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4.362</w:t>
            </w:r>
          </w:p>
        </w:tc>
        <w:tc>
          <w:tcPr>
            <w:tcW w:w="1440" w:type="dxa"/>
          </w:tcPr>
          <w:p w14:paraId="7C307D28"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&lt; 0.001</w:t>
            </w:r>
          </w:p>
        </w:tc>
        <w:tc>
          <w:tcPr>
            <w:tcW w:w="1440" w:type="dxa"/>
          </w:tcPr>
          <w:p w14:paraId="6B3E6F39" w14:textId="77777777" w:rsidR="00372AE1" w:rsidRPr="00372AE1" w:rsidRDefault="00372AE1" w:rsidP="00E116DE">
            <w:pPr>
              <w:rPr>
                <w:rFonts w:ascii="Times New Roman" w:hAnsi="Times New Roman" w:cs="Times New Roman"/>
              </w:rPr>
            </w:pPr>
            <w:r w:rsidRPr="00372AE1">
              <w:rPr>
                <w:rFonts w:ascii="Times New Roman" w:hAnsi="Times New Roman" w:cs="Times New Roman"/>
              </w:rPr>
              <w:t>Mediation supported</w:t>
            </w:r>
          </w:p>
        </w:tc>
      </w:tr>
    </w:tbl>
    <w:p w14:paraId="4132087F" w14:textId="77777777" w:rsidR="00372AE1" w:rsidRPr="00372AE1" w:rsidRDefault="00372AE1" w:rsidP="00372AE1">
      <w:pPr>
        <w:pStyle w:val="Heading1"/>
        <w:rPr>
          <w:rFonts w:ascii="Times New Roman" w:hAnsi="Times New Roman" w:cs="Times New Roman"/>
          <w:b/>
          <w:bCs/>
          <w:color w:val="auto"/>
          <w:sz w:val="24"/>
          <w:szCs w:val="24"/>
        </w:rPr>
      </w:pPr>
      <w:r w:rsidRPr="00372AE1">
        <w:rPr>
          <w:rFonts w:ascii="Times New Roman" w:hAnsi="Times New Roman" w:cs="Times New Roman"/>
          <w:b/>
          <w:bCs/>
          <w:color w:val="auto"/>
          <w:sz w:val="24"/>
          <w:szCs w:val="24"/>
        </w:rPr>
        <w:t>4. Findings</w:t>
      </w:r>
    </w:p>
    <w:p w14:paraId="377CC050" w14:textId="77777777" w:rsidR="00372AE1" w:rsidRDefault="00372AE1" w:rsidP="00B93EB5">
      <w:pPr>
        <w:jc w:val="both"/>
        <w:rPr>
          <w:rFonts w:ascii="Times New Roman" w:hAnsi="Times New Roman" w:cs="Times New Roman"/>
        </w:rPr>
      </w:pPr>
      <w:r w:rsidRPr="00372AE1">
        <w:rPr>
          <w:rFonts w:ascii="Times New Roman" w:hAnsi="Times New Roman" w:cs="Times New Roman"/>
        </w:rPr>
        <w:t>The findings revealed that Gender Independence significantly influences Career Advancement among women employees. Women employees with greater professional autonomy, workplace confidence, and independent decision-making ability demonstrated stronger career progression and leadership participation. Workplace Gender Equality Policies also significantly enhanced career advancement and partially mediated the relationship between Gender Independence and Career Advancement. The statistical analysis confirmed satisfactory reliability, validity, and model fit, supporting the robustness of the proposed research model.</w:t>
      </w:r>
    </w:p>
    <w:p w14:paraId="5D04B918" w14:textId="2A3D35FA" w:rsidR="00107F72" w:rsidRPr="00107F72" w:rsidRDefault="00107F72" w:rsidP="00107F72">
      <w:pPr>
        <w:rPr>
          <w:rFonts w:ascii="Times New Roman" w:hAnsi="Times New Roman" w:cs="Times New Roman"/>
          <w:b/>
          <w:bCs/>
        </w:rPr>
      </w:pPr>
      <w:r>
        <w:rPr>
          <w:rFonts w:ascii="Times New Roman" w:hAnsi="Times New Roman" w:cs="Times New Roman"/>
          <w:b/>
          <w:bCs/>
        </w:rPr>
        <w:t xml:space="preserve">5. </w:t>
      </w:r>
      <w:r w:rsidRPr="00107F72">
        <w:rPr>
          <w:rFonts w:ascii="Times New Roman" w:hAnsi="Times New Roman" w:cs="Times New Roman"/>
          <w:b/>
          <w:bCs/>
        </w:rPr>
        <w:t>Limitations of the Study</w:t>
      </w:r>
    </w:p>
    <w:p w14:paraId="193DBEB7" w14:textId="77777777" w:rsidR="00107F72" w:rsidRPr="00107F72" w:rsidRDefault="00107F72" w:rsidP="00B93EB5">
      <w:pPr>
        <w:numPr>
          <w:ilvl w:val="0"/>
          <w:numId w:val="3"/>
        </w:numPr>
        <w:jc w:val="both"/>
        <w:rPr>
          <w:rFonts w:ascii="Times New Roman" w:hAnsi="Times New Roman" w:cs="Times New Roman"/>
        </w:rPr>
      </w:pPr>
      <w:r w:rsidRPr="00107F72">
        <w:rPr>
          <w:rFonts w:ascii="Times New Roman" w:hAnsi="Times New Roman" w:cs="Times New Roman"/>
        </w:rPr>
        <w:t xml:space="preserve">The study was limited to women employees working in Kozhikode, Ernakulam, and Thiruvananthapuram districts of Kerala; therefore, the findings may not be fully generalizable to women employees in other regions or countries. </w:t>
      </w:r>
    </w:p>
    <w:p w14:paraId="70CA22A8" w14:textId="77777777" w:rsidR="00107F72" w:rsidRPr="00107F72" w:rsidRDefault="00107F72" w:rsidP="00B93EB5">
      <w:pPr>
        <w:numPr>
          <w:ilvl w:val="0"/>
          <w:numId w:val="3"/>
        </w:numPr>
        <w:jc w:val="both"/>
        <w:rPr>
          <w:rFonts w:ascii="Times New Roman" w:hAnsi="Times New Roman" w:cs="Times New Roman"/>
        </w:rPr>
      </w:pPr>
      <w:r w:rsidRPr="00107F72">
        <w:rPr>
          <w:rFonts w:ascii="Times New Roman" w:hAnsi="Times New Roman" w:cs="Times New Roman"/>
        </w:rPr>
        <w:lastRenderedPageBreak/>
        <w:t xml:space="preserve">The study adopted a cross-sectional research design, which captures responses only at a single point in time and limits the ability to examine long-term changes in career advancement and workplace equality practices. </w:t>
      </w:r>
    </w:p>
    <w:p w14:paraId="15A07F5E" w14:textId="77777777" w:rsidR="00107F72" w:rsidRPr="00107F72" w:rsidRDefault="00107F72" w:rsidP="00B93EB5">
      <w:pPr>
        <w:numPr>
          <w:ilvl w:val="0"/>
          <w:numId w:val="3"/>
        </w:numPr>
        <w:jc w:val="both"/>
        <w:rPr>
          <w:rFonts w:ascii="Times New Roman" w:hAnsi="Times New Roman" w:cs="Times New Roman"/>
        </w:rPr>
      </w:pPr>
      <w:r w:rsidRPr="00107F72">
        <w:rPr>
          <w:rFonts w:ascii="Times New Roman" w:hAnsi="Times New Roman" w:cs="Times New Roman"/>
        </w:rPr>
        <w:t xml:space="preserve">The data were collected using self-reported questionnaires, which may be influenced by personal bias, social desirability bias, or subjective perceptions of workplace experiences. </w:t>
      </w:r>
    </w:p>
    <w:p w14:paraId="49430833" w14:textId="77777777" w:rsidR="00107F72" w:rsidRPr="00107F72" w:rsidRDefault="00107F72" w:rsidP="00B93EB5">
      <w:pPr>
        <w:numPr>
          <w:ilvl w:val="0"/>
          <w:numId w:val="3"/>
        </w:numPr>
        <w:jc w:val="both"/>
        <w:rPr>
          <w:rFonts w:ascii="Times New Roman" w:hAnsi="Times New Roman" w:cs="Times New Roman"/>
        </w:rPr>
      </w:pPr>
      <w:r w:rsidRPr="00107F72">
        <w:rPr>
          <w:rFonts w:ascii="Times New Roman" w:hAnsi="Times New Roman" w:cs="Times New Roman"/>
        </w:rPr>
        <w:t xml:space="preserve">The study focused only on Gender Independence, Career Advancement, and Workplace Gender Equality Policies. Other important factors such as organizational culture, leadership style, family responsibilities, work-life balance, and socio-economic conditions were not included in the model. </w:t>
      </w:r>
    </w:p>
    <w:p w14:paraId="7F7A6E44" w14:textId="1A594F88" w:rsidR="007A7D0F" w:rsidRPr="00B93EB5" w:rsidRDefault="00107F72" w:rsidP="00B93EB5">
      <w:pPr>
        <w:numPr>
          <w:ilvl w:val="0"/>
          <w:numId w:val="3"/>
        </w:numPr>
        <w:jc w:val="both"/>
        <w:rPr>
          <w:rFonts w:ascii="Times New Roman" w:hAnsi="Times New Roman" w:cs="Times New Roman"/>
        </w:rPr>
      </w:pPr>
      <w:r w:rsidRPr="00107F72">
        <w:rPr>
          <w:rFonts w:ascii="Times New Roman" w:hAnsi="Times New Roman" w:cs="Times New Roman"/>
        </w:rPr>
        <w:t>The sample size was restricted to 320 valid respondents, which may limit broader statistical generalization across different employment sectors and organizational settings.</w:t>
      </w:r>
    </w:p>
    <w:p w14:paraId="400444A0" w14:textId="51BACB30" w:rsidR="00107F72" w:rsidRPr="00107F72" w:rsidRDefault="00107F72" w:rsidP="00107F72">
      <w:pPr>
        <w:rPr>
          <w:rFonts w:ascii="Times New Roman" w:hAnsi="Times New Roman" w:cs="Times New Roman"/>
          <w:b/>
          <w:bCs/>
        </w:rPr>
      </w:pPr>
      <w:r>
        <w:rPr>
          <w:rFonts w:ascii="Times New Roman" w:hAnsi="Times New Roman" w:cs="Times New Roman"/>
          <w:b/>
          <w:bCs/>
        </w:rPr>
        <w:t xml:space="preserve">6. </w:t>
      </w:r>
      <w:r w:rsidRPr="00107F72">
        <w:rPr>
          <w:rFonts w:ascii="Times New Roman" w:hAnsi="Times New Roman" w:cs="Times New Roman"/>
          <w:b/>
          <w:bCs/>
        </w:rPr>
        <w:t>Future Research Suggestions</w:t>
      </w:r>
    </w:p>
    <w:p w14:paraId="7EC97215" w14:textId="77777777" w:rsidR="00107F72" w:rsidRPr="00107F72" w:rsidRDefault="00107F72" w:rsidP="00B93EB5">
      <w:pPr>
        <w:numPr>
          <w:ilvl w:val="0"/>
          <w:numId w:val="5"/>
        </w:numPr>
        <w:jc w:val="both"/>
        <w:rPr>
          <w:rFonts w:ascii="Times New Roman" w:hAnsi="Times New Roman" w:cs="Times New Roman"/>
        </w:rPr>
      </w:pPr>
      <w:r w:rsidRPr="00107F72">
        <w:rPr>
          <w:rFonts w:ascii="Times New Roman" w:hAnsi="Times New Roman" w:cs="Times New Roman"/>
        </w:rPr>
        <w:t xml:space="preserve">Future studies may expand the geographical scope by including respondents from additional states, countries, or multinational organizations to improve generalizability. </w:t>
      </w:r>
    </w:p>
    <w:p w14:paraId="112A862B" w14:textId="77777777" w:rsidR="00107F72" w:rsidRPr="00107F72" w:rsidRDefault="00107F72" w:rsidP="00B93EB5">
      <w:pPr>
        <w:numPr>
          <w:ilvl w:val="0"/>
          <w:numId w:val="5"/>
        </w:numPr>
        <w:jc w:val="both"/>
        <w:rPr>
          <w:rFonts w:ascii="Times New Roman" w:hAnsi="Times New Roman" w:cs="Times New Roman"/>
        </w:rPr>
      </w:pPr>
      <w:r w:rsidRPr="00107F72">
        <w:rPr>
          <w:rFonts w:ascii="Times New Roman" w:hAnsi="Times New Roman" w:cs="Times New Roman"/>
        </w:rPr>
        <w:t xml:space="preserve">Researchers may adopt longitudinal research designs to examine the long-term impact of gender independence and workplace equality policies on women’s career growth and organizational outcomes. </w:t>
      </w:r>
    </w:p>
    <w:p w14:paraId="2769E0E3" w14:textId="77777777" w:rsidR="00107F72" w:rsidRPr="00107F72" w:rsidRDefault="00107F72" w:rsidP="00B93EB5">
      <w:pPr>
        <w:numPr>
          <w:ilvl w:val="0"/>
          <w:numId w:val="5"/>
        </w:numPr>
        <w:jc w:val="both"/>
        <w:rPr>
          <w:rFonts w:ascii="Times New Roman" w:hAnsi="Times New Roman" w:cs="Times New Roman"/>
        </w:rPr>
      </w:pPr>
      <w:r w:rsidRPr="00107F72">
        <w:rPr>
          <w:rFonts w:ascii="Times New Roman" w:hAnsi="Times New Roman" w:cs="Times New Roman"/>
        </w:rPr>
        <w:t xml:space="preserve">Future studies can include additional mediating or moderating variables such as organizational support, leadership style, work-life balance, job satisfaction, employee motivation, and psychological empowerment. </w:t>
      </w:r>
    </w:p>
    <w:p w14:paraId="23E51FF6" w14:textId="77777777" w:rsidR="00107F72" w:rsidRPr="00107F72" w:rsidRDefault="00107F72" w:rsidP="00B93EB5">
      <w:pPr>
        <w:numPr>
          <w:ilvl w:val="0"/>
          <w:numId w:val="5"/>
        </w:numPr>
        <w:jc w:val="both"/>
        <w:rPr>
          <w:rFonts w:ascii="Times New Roman" w:hAnsi="Times New Roman" w:cs="Times New Roman"/>
        </w:rPr>
      </w:pPr>
      <w:r w:rsidRPr="00107F72">
        <w:rPr>
          <w:rFonts w:ascii="Times New Roman" w:hAnsi="Times New Roman" w:cs="Times New Roman"/>
        </w:rPr>
        <w:t xml:space="preserve">Comparative studies between public and private sector organizations or between male and female employees may provide deeper insights into workplace gender dynamics and career advancement opportunities. </w:t>
      </w:r>
    </w:p>
    <w:p w14:paraId="2891C2AB" w14:textId="20F73359" w:rsidR="00107F72" w:rsidRPr="00B93EB5" w:rsidRDefault="00107F72" w:rsidP="00372AE1">
      <w:pPr>
        <w:numPr>
          <w:ilvl w:val="0"/>
          <w:numId w:val="5"/>
        </w:numPr>
        <w:jc w:val="both"/>
        <w:rPr>
          <w:rFonts w:ascii="Times New Roman" w:hAnsi="Times New Roman" w:cs="Times New Roman"/>
        </w:rPr>
      </w:pPr>
      <w:r w:rsidRPr="00107F72">
        <w:rPr>
          <w:rFonts w:ascii="Times New Roman" w:hAnsi="Times New Roman" w:cs="Times New Roman"/>
        </w:rPr>
        <w:t xml:space="preserve">Future research may employ mixed-method approaches incorporating interviews, focus group discussions, and qualitative analysis to obtain richer and more comprehensive insights into women employees’ workplace experiences. </w:t>
      </w:r>
    </w:p>
    <w:p w14:paraId="47EA7E2D" w14:textId="72142846" w:rsidR="00372AE1" w:rsidRPr="00372AE1" w:rsidRDefault="00107F72" w:rsidP="00B93EB5">
      <w:pPr>
        <w:pStyle w:val="Heading1"/>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7</w:t>
      </w:r>
      <w:r w:rsidR="00372AE1" w:rsidRPr="00372AE1">
        <w:rPr>
          <w:rFonts w:ascii="Times New Roman" w:hAnsi="Times New Roman" w:cs="Times New Roman"/>
          <w:b/>
          <w:bCs/>
          <w:color w:val="auto"/>
          <w:sz w:val="24"/>
          <w:szCs w:val="24"/>
        </w:rPr>
        <w:t>. Conclusion</w:t>
      </w:r>
    </w:p>
    <w:p w14:paraId="09F75845" w14:textId="77777777" w:rsidR="00372AE1" w:rsidRPr="00372AE1" w:rsidRDefault="00372AE1" w:rsidP="00B93EB5">
      <w:pPr>
        <w:jc w:val="both"/>
        <w:rPr>
          <w:rFonts w:ascii="Times New Roman" w:hAnsi="Times New Roman" w:cs="Times New Roman"/>
        </w:rPr>
      </w:pPr>
      <w:r w:rsidRPr="00372AE1">
        <w:rPr>
          <w:rFonts w:ascii="Times New Roman" w:hAnsi="Times New Roman" w:cs="Times New Roman"/>
        </w:rPr>
        <w:t>The study concludes that Gender Independence and Workplace Gender Equality Policies play a significant role in promoting Career Advancement among women employees. Organizations should strengthen equality policies, leadership opportunities, anti-discrimination measures, and inclusive work environments to support women’s professional development. The findings provide practical implications for organizational leaders, policymakers, and human resource managers in creating gender-inclusive workplaces that encourage women’s empowerment and long-term career growth.</w:t>
      </w:r>
    </w:p>
    <w:p w14:paraId="154E31CA" w14:textId="14985492" w:rsidR="000D0472" w:rsidRPr="00372AE1" w:rsidRDefault="000D0472" w:rsidP="000D0472">
      <w:pPr>
        <w:rPr>
          <w:rFonts w:ascii="Times New Roman" w:hAnsi="Times New Roman" w:cs="Times New Roman"/>
          <w:b/>
          <w:bCs/>
        </w:rPr>
      </w:pPr>
      <w:r w:rsidRPr="00372AE1">
        <w:rPr>
          <w:rFonts w:ascii="Times New Roman" w:hAnsi="Times New Roman" w:cs="Times New Roman"/>
          <w:b/>
          <w:bCs/>
        </w:rPr>
        <w:lastRenderedPageBreak/>
        <w:t xml:space="preserve">References </w:t>
      </w:r>
    </w:p>
    <w:p w14:paraId="3E36C6F0" w14:textId="7C5E2A19" w:rsidR="00F06A5B" w:rsidRPr="00372AE1" w:rsidRDefault="00F06A5B" w:rsidP="00F06A5B">
      <w:pPr>
        <w:pStyle w:val="NormalWeb"/>
        <w:jc w:val="both"/>
      </w:pPr>
      <w:r w:rsidRPr="00372AE1">
        <w:t xml:space="preserve">Abraham, R. V., &amp; Rowley, T. Q. (2024). Impact of gender equality policies on women’s career mental health and well-being. </w:t>
      </w:r>
      <w:r w:rsidRPr="00372AE1">
        <w:rPr>
          <w:rStyle w:val="Emphasis"/>
          <w:rFonts w:eastAsiaTheme="majorEastAsia"/>
        </w:rPr>
        <w:t>Studies in Social Science &amp; Humanities</w:t>
      </w:r>
      <w:r w:rsidRPr="00372AE1">
        <w:t>.</w:t>
      </w:r>
      <w:r w:rsidRPr="00372AE1">
        <w:br/>
      </w:r>
      <w:r w:rsidRPr="00372AE1">
        <w:rPr>
          <w:rFonts w:eastAsiaTheme="majorEastAsia"/>
        </w:rPr>
        <w:t>https://www.paradigmpress.org/SSSH/article/view/1247</w:t>
      </w:r>
    </w:p>
    <w:p w14:paraId="5E5F67F5" w14:textId="6A366B4D" w:rsidR="00062FEE" w:rsidRPr="00372AE1" w:rsidRDefault="00062FEE" w:rsidP="00F06A5B">
      <w:pPr>
        <w:jc w:val="both"/>
        <w:rPr>
          <w:rFonts w:ascii="Times New Roman" w:hAnsi="Times New Roman" w:cs="Times New Roman"/>
        </w:rPr>
      </w:pPr>
      <w:r w:rsidRPr="00372AE1">
        <w:rPr>
          <w:rFonts w:ascii="Times New Roman" w:hAnsi="Times New Roman" w:cs="Times New Roman"/>
        </w:rPr>
        <w:t>Adu-Oppong, A. A. &amp; Kendie, S. B. (2017). Gender and Career Advancement in the Workplace: An Assessment of the Experiences of Women in Higher Education Management. International Journal of Humanities and Social Science, 7(10), 117-128. https://ijhss.thebrpi.org/journals/Vol_7_No_10_October_2017/9.pdf</w:t>
      </w:r>
    </w:p>
    <w:p w14:paraId="1FB9614A" w14:textId="315F1E4C" w:rsidR="00F06A5B" w:rsidRPr="00372AE1" w:rsidRDefault="00F06A5B" w:rsidP="00F06A5B">
      <w:pPr>
        <w:jc w:val="both"/>
        <w:rPr>
          <w:rFonts w:ascii="Times New Roman" w:hAnsi="Times New Roman" w:cs="Times New Roman"/>
        </w:rPr>
      </w:pPr>
      <w:r w:rsidRPr="00372AE1">
        <w:rPr>
          <w:rFonts w:ascii="Times New Roman" w:hAnsi="Times New Roman" w:cs="Times New Roman"/>
        </w:rPr>
        <w:t>Bandura, A. (1997). </w:t>
      </w:r>
      <w:r w:rsidRPr="00372AE1">
        <w:rPr>
          <w:rFonts w:ascii="Times New Roman" w:hAnsi="Times New Roman" w:cs="Times New Roman"/>
          <w:i/>
          <w:iCs/>
        </w:rPr>
        <w:t>Self-efficacy: The exercise of control.</w:t>
      </w:r>
      <w:r w:rsidRPr="00372AE1">
        <w:rPr>
          <w:rFonts w:ascii="Times New Roman" w:hAnsi="Times New Roman" w:cs="Times New Roman"/>
        </w:rPr>
        <w:t> W H Freeman/Times Books/ Henry Holt &amp; Co. https://www.academia.edu/28274869/Albert_Bandura_Self_Efficacy_The_Exercise_of_Control_W_H_Freeman_and_Co_1997_pdf</w:t>
      </w:r>
    </w:p>
    <w:p w14:paraId="6B7F2193" w14:textId="28CF0038" w:rsidR="00062FEE" w:rsidRPr="00372AE1" w:rsidRDefault="00062FEE" w:rsidP="00F06A5B">
      <w:pPr>
        <w:jc w:val="both"/>
        <w:rPr>
          <w:rFonts w:ascii="Times New Roman" w:hAnsi="Times New Roman" w:cs="Times New Roman"/>
        </w:rPr>
      </w:pPr>
      <w:r w:rsidRPr="00372AE1">
        <w:rPr>
          <w:rFonts w:ascii="Times New Roman" w:hAnsi="Times New Roman" w:cs="Times New Roman"/>
        </w:rPr>
        <w:t>Bone, B. C. (2024). The Relationship Between Gender and Career Advancement in Product Management. Walden Dissertations and Doctoral Studies, Walden University (P. 01-163). https://scholarworks.waldenu.edu/cgi/viewcontent.cgi?article=17585&amp;context=dissertations</w:t>
      </w:r>
    </w:p>
    <w:p w14:paraId="772F3FA0" w14:textId="7330A927" w:rsidR="00062FEE" w:rsidRPr="00372AE1" w:rsidRDefault="00062FEE" w:rsidP="00B93EB5">
      <w:pPr>
        <w:spacing w:line="240" w:lineRule="auto"/>
        <w:jc w:val="both"/>
        <w:rPr>
          <w:rFonts w:ascii="Times New Roman" w:hAnsi="Times New Roman" w:cs="Times New Roman"/>
          <w:lang w:val="en-US"/>
        </w:rPr>
      </w:pPr>
      <w:r w:rsidRPr="00372AE1">
        <w:rPr>
          <w:rFonts w:ascii="Times New Roman" w:hAnsi="Times New Roman" w:cs="Times New Roman"/>
          <w:lang w:val="en-US"/>
        </w:rPr>
        <w:t>Byron, K., &amp; Post, C. (2016). Women on boards of directors and corporate social performance. Academy of Management Journal, 59(5), 1546–1571. https://doi.org/10.5465/amj.2014.0293</w:t>
      </w:r>
    </w:p>
    <w:p w14:paraId="724E2833" w14:textId="0EFFC32E" w:rsidR="00062FEE" w:rsidRPr="00372AE1" w:rsidRDefault="00062FEE" w:rsidP="00B93EB5">
      <w:pPr>
        <w:spacing w:line="240" w:lineRule="auto"/>
        <w:jc w:val="both"/>
        <w:rPr>
          <w:rFonts w:ascii="Times New Roman" w:hAnsi="Times New Roman" w:cs="Times New Roman"/>
          <w:lang w:val="en-US"/>
        </w:rPr>
      </w:pPr>
      <w:r w:rsidRPr="00372AE1">
        <w:rPr>
          <w:rFonts w:ascii="Times New Roman" w:hAnsi="Times New Roman" w:cs="Times New Roman"/>
          <w:lang w:val="en-US"/>
        </w:rPr>
        <w:t>Chaudhuri, S., Morash, E. A., &amp; Srivastava, A. (2020). Work–life balance policies and gender equity. Human Resource Management Journal, 30(2), 219–234. https://doi.org/10.1111/1748-8583.12265</w:t>
      </w:r>
    </w:p>
    <w:p w14:paraId="4F8DC582" w14:textId="0ADFBD0E" w:rsidR="00F06A5B" w:rsidRPr="00372AE1" w:rsidRDefault="00F06A5B" w:rsidP="00F06A5B">
      <w:pPr>
        <w:jc w:val="both"/>
        <w:rPr>
          <w:rFonts w:ascii="Times New Roman" w:hAnsi="Times New Roman" w:cs="Times New Roman"/>
        </w:rPr>
      </w:pPr>
      <w:r w:rsidRPr="00372AE1">
        <w:rPr>
          <w:rFonts w:ascii="Times New Roman" w:hAnsi="Times New Roman" w:cs="Times New Roman"/>
        </w:rPr>
        <w:t>Clarke, M. (2011). Advancing women's careers through leadership development programs. Employee Relations, 33(5), 498–515. https://doi.org/10.1108/01425451111153871</w:t>
      </w:r>
    </w:p>
    <w:p w14:paraId="61BF5934" w14:textId="77777777" w:rsidR="002F0D06" w:rsidRPr="00372AE1" w:rsidRDefault="002F0D06" w:rsidP="00B93EB5">
      <w:pPr>
        <w:spacing w:line="240" w:lineRule="auto"/>
        <w:jc w:val="both"/>
        <w:rPr>
          <w:rFonts w:ascii="Times New Roman" w:hAnsi="Times New Roman" w:cs="Times New Roman"/>
          <w:lang w:val="en-US"/>
        </w:rPr>
      </w:pPr>
      <w:r w:rsidRPr="00372AE1">
        <w:rPr>
          <w:rFonts w:ascii="Times New Roman" w:hAnsi="Times New Roman" w:cs="Times New Roman"/>
          <w:lang w:val="en-US"/>
        </w:rPr>
        <w:t>Cohen, P. N., Huffman, M. L. (2003). Individuals' Attitudes Toward Gender Inequality: The Role of Gender and Work Experience. Sociological Perspectives, 46(4), 457-478.</w:t>
      </w:r>
    </w:p>
    <w:p w14:paraId="3BD981B8" w14:textId="51DC0DE3" w:rsidR="009A620E" w:rsidRPr="00372AE1" w:rsidRDefault="009A620E" w:rsidP="00F06A5B">
      <w:pPr>
        <w:jc w:val="both"/>
        <w:rPr>
          <w:rFonts w:ascii="Times New Roman" w:hAnsi="Times New Roman" w:cs="Times New Roman"/>
        </w:rPr>
      </w:pPr>
      <w:r w:rsidRPr="00372AE1">
        <w:rPr>
          <w:rFonts w:ascii="Times New Roman" w:hAnsi="Times New Roman" w:cs="Times New Roman"/>
        </w:rPr>
        <w:t xml:space="preserve">Deci, E. L., &amp; Ryan, R. M. (2000). The "what" and "why" of goal pursuits: Human needs and the self-determination of </w:t>
      </w:r>
      <w:proofErr w:type="spellStart"/>
      <w:r w:rsidRPr="00372AE1">
        <w:rPr>
          <w:rFonts w:ascii="Times New Roman" w:hAnsi="Times New Roman" w:cs="Times New Roman"/>
        </w:rPr>
        <w:t>behavior</w:t>
      </w:r>
      <w:proofErr w:type="spellEnd"/>
      <w:r w:rsidRPr="00372AE1">
        <w:rPr>
          <w:rFonts w:ascii="Times New Roman" w:hAnsi="Times New Roman" w:cs="Times New Roman"/>
        </w:rPr>
        <w:t>. Psychological Inquiry, 11(4), 227-268. https://psycnet.apa.org/doi/10.1207/S15327965PLI1104_01</w:t>
      </w:r>
    </w:p>
    <w:p w14:paraId="638ADFFA" w14:textId="3DBDF7D5" w:rsidR="002F0D06" w:rsidRPr="00372AE1" w:rsidRDefault="00A05BA1" w:rsidP="00F06A5B">
      <w:pPr>
        <w:jc w:val="both"/>
        <w:rPr>
          <w:rFonts w:ascii="Times New Roman" w:hAnsi="Times New Roman" w:cs="Times New Roman"/>
        </w:rPr>
      </w:pPr>
      <w:r w:rsidRPr="00372AE1">
        <w:rPr>
          <w:rFonts w:ascii="Times New Roman" w:hAnsi="Times New Roman" w:cs="Times New Roman"/>
        </w:rPr>
        <w:t xml:space="preserve">Dr. Mugesh, P., Jishna, V. R., Divya, C., &amp; Lalitha, A. (2025). Exploring the Meditating Role of Gender Equality in the link between Strong Institution and Mental Peace: A Study among Private Sector Working Women in Kerala. </w:t>
      </w:r>
      <w:r w:rsidRPr="00372AE1">
        <w:rPr>
          <w:rFonts w:ascii="Times New Roman" w:hAnsi="Times New Roman" w:cs="Times New Roman"/>
          <w:i/>
          <w:iCs/>
        </w:rPr>
        <w:t xml:space="preserve">International Journal of Food and Nutritional Sciences, </w:t>
      </w:r>
      <w:r w:rsidRPr="00372AE1">
        <w:rPr>
          <w:rFonts w:ascii="Times New Roman" w:hAnsi="Times New Roman" w:cs="Times New Roman"/>
        </w:rPr>
        <w:t>14(5), 86-95. https://www.ijfans.org/uploads/paper/04b4dad235ac37ba5ebd714a178b4133.pdf</w:t>
      </w:r>
    </w:p>
    <w:p w14:paraId="2404564A" w14:textId="23243A9E" w:rsidR="00F06A5B" w:rsidRPr="00372AE1" w:rsidRDefault="00F06A5B" w:rsidP="00F06A5B">
      <w:pPr>
        <w:jc w:val="both"/>
        <w:rPr>
          <w:rFonts w:ascii="Times New Roman" w:hAnsi="Times New Roman" w:cs="Times New Roman"/>
        </w:rPr>
      </w:pPr>
      <w:proofErr w:type="spellStart"/>
      <w:r w:rsidRPr="00372AE1">
        <w:rPr>
          <w:rFonts w:ascii="Times New Roman" w:hAnsi="Times New Roman" w:cs="Times New Roman"/>
        </w:rPr>
        <w:t>Eagly</w:t>
      </w:r>
      <w:proofErr w:type="spellEnd"/>
      <w:r w:rsidRPr="00372AE1">
        <w:rPr>
          <w:rFonts w:ascii="Times New Roman" w:hAnsi="Times New Roman" w:cs="Times New Roman"/>
        </w:rPr>
        <w:t xml:space="preserve">, A. H., &amp; Carli, L. L. (2007). Through the labyrinth: The truth about how women become leaders. Harvard Business School Press. </w:t>
      </w:r>
    </w:p>
    <w:p w14:paraId="6F4DC164" w14:textId="63FE6204" w:rsidR="00062FEE" w:rsidRPr="00372AE1" w:rsidRDefault="00062FEE" w:rsidP="00062FEE">
      <w:pPr>
        <w:spacing w:line="360" w:lineRule="auto"/>
        <w:jc w:val="both"/>
        <w:rPr>
          <w:rFonts w:ascii="Times New Roman" w:hAnsi="Times New Roman" w:cs="Times New Roman"/>
          <w:lang w:val="en-US"/>
        </w:rPr>
      </w:pPr>
      <w:r w:rsidRPr="00372AE1">
        <w:rPr>
          <w:rFonts w:ascii="Times New Roman" w:hAnsi="Times New Roman" w:cs="Times New Roman"/>
          <w:lang w:val="en-US"/>
        </w:rPr>
        <w:t>Ely, R. J., &amp; Meyerson, D. E. (2000). Theories of gender in organizations. Organization Studies, 21(4), 589–620. https://doi.org/10.1177/0170840600214002</w:t>
      </w:r>
    </w:p>
    <w:p w14:paraId="2F17C6EA" w14:textId="5DE1FCC4" w:rsidR="00F06A5B" w:rsidRPr="00372AE1" w:rsidRDefault="00F06A5B" w:rsidP="00F06A5B">
      <w:pPr>
        <w:pStyle w:val="NormalWeb"/>
        <w:jc w:val="both"/>
      </w:pPr>
      <w:r w:rsidRPr="00372AE1">
        <w:lastRenderedPageBreak/>
        <w:t xml:space="preserve">European Institute for Gender Equality. (2024). </w:t>
      </w:r>
      <w:r w:rsidRPr="00372AE1">
        <w:rPr>
          <w:rStyle w:val="Emphasis"/>
          <w:rFonts w:eastAsiaTheme="majorEastAsia"/>
        </w:rPr>
        <w:t>Gender equality in recruitment and career progression</w:t>
      </w:r>
      <w:r w:rsidRPr="00372AE1">
        <w:t>. Publications Office of the European Union.</w:t>
      </w:r>
      <w:r w:rsidRPr="00372AE1">
        <w:br/>
      </w:r>
      <w:r w:rsidRPr="00372AE1">
        <w:rPr>
          <w:rFonts w:eastAsiaTheme="majorEastAsia"/>
        </w:rPr>
        <w:t>https://eige.europa.eu/gender-mainstreaming/toolkits/gear/gender-equality-recruitment-and-career-progression</w:t>
      </w:r>
    </w:p>
    <w:p w14:paraId="0EDA0FE5" w14:textId="5238C76E" w:rsidR="00F06A5B" w:rsidRPr="00372AE1" w:rsidRDefault="00F06A5B" w:rsidP="00F06A5B">
      <w:pPr>
        <w:jc w:val="both"/>
        <w:rPr>
          <w:rFonts w:ascii="Times New Roman" w:hAnsi="Times New Roman" w:cs="Times New Roman"/>
        </w:rPr>
      </w:pPr>
      <w:r w:rsidRPr="00372AE1">
        <w:rPr>
          <w:rFonts w:ascii="Times New Roman" w:hAnsi="Times New Roman" w:cs="Times New Roman"/>
        </w:rPr>
        <w:t>Ganiyu, R. A., Oluwafemi, A. O., &amp; Ademola, A. A. (2018). The glass ceiling conundrum: Illusory belief or barriers that impede women’s career advancement in the workplace. Journal of Evolutionary Studies in Business, 3(1), 137-166. https://doi.org/10.1344/jesb2018.1.j040</w:t>
      </w:r>
    </w:p>
    <w:p w14:paraId="557FF24A" w14:textId="442130ED" w:rsidR="00F06A5B" w:rsidRPr="00372AE1" w:rsidRDefault="00F06A5B" w:rsidP="00F06A5B">
      <w:pPr>
        <w:jc w:val="both"/>
        <w:rPr>
          <w:rFonts w:ascii="Times New Roman" w:hAnsi="Times New Roman" w:cs="Times New Roman"/>
        </w:rPr>
      </w:pPr>
      <w:r w:rsidRPr="00372AE1">
        <w:rPr>
          <w:rFonts w:ascii="Times New Roman" w:hAnsi="Times New Roman" w:cs="Times New Roman"/>
        </w:rPr>
        <w:t xml:space="preserve">Goldin, C. (2021). Understanding the Gender Gap: An Economic History of American Women. (Also: related concepts on women’s </w:t>
      </w:r>
      <w:proofErr w:type="spellStart"/>
      <w:r w:rsidRPr="00372AE1">
        <w:rPr>
          <w:rFonts w:ascii="Times New Roman" w:hAnsi="Times New Roman" w:cs="Times New Roman"/>
        </w:rPr>
        <w:t>labor</w:t>
      </w:r>
      <w:proofErr w:type="spellEnd"/>
      <w:r w:rsidRPr="00372AE1">
        <w:rPr>
          <w:rFonts w:ascii="Times New Roman" w:hAnsi="Times New Roman" w:cs="Times New Roman"/>
        </w:rPr>
        <w:t xml:space="preserve"> participation). https://doi.org/10.1017/S0147547900011510</w:t>
      </w:r>
    </w:p>
    <w:p w14:paraId="0633F09A" w14:textId="784B9F24" w:rsidR="00062FEE" w:rsidRPr="00372AE1" w:rsidRDefault="00062FEE" w:rsidP="00062FEE">
      <w:pPr>
        <w:jc w:val="both"/>
        <w:rPr>
          <w:rFonts w:ascii="Times New Roman" w:hAnsi="Times New Roman" w:cs="Times New Roman"/>
        </w:rPr>
      </w:pPr>
      <w:r w:rsidRPr="00372AE1">
        <w:rPr>
          <w:rFonts w:ascii="Times New Roman" w:hAnsi="Times New Roman" w:cs="Times New Roman"/>
        </w:rPr>
        <w:t>Heilman, M. E. (2012). Gender stereotypes and workplace bias. Research in Organizational Behavior, 32, 113–135. https://doi.org/10.1016/j.riob.2012.11.003</w:t>
      </w:r>
    </w:p>
    <w:p w14:paraId="65EA2B90" w14:textId="12FD55B3" w:rsidR="00F06A5B" w:rsidRPr="00372AE1" w:rsidRDefault="00062FEE" w:rsidP="00B93EB5">
      <w:pPr>
        <w:spacing w:line="240" w:lineRule="auto"/>
        <w:jc w:val="both"/>
        <w:rPr>
          <w:rFonts w:ascii="Times New Roman" w:hAnsi="Times New Roman" w:cs="Times New Roman"/>
          <w:lang w:val="en-US"/>
        </w:rPr>
      </w:pPr>
      <w:r w:rsidRPr="00372AE1">
        <w:rPr>
          <w:rFonts w:ascii="Times New Roman" w:hAnsi="Times New Roman" w:cs="Times New Roman"/>
          <w:lang w:val="en-US"/>
        </w:rPr>
        <w:t>Hoobler, J. M., Lemmon, G., &amp; Wayne, S. J. (2011). Women’s underrepresentation in upper management. Journal of Management, 37(3), 703–726. https://doi.org/10.1177/0149206309350089</w:t>
      </w:r>
    </w:p>
    <w:p w14:paraId="28621302" w14:textId="1C4306CC" w:rsidR="00F06A5B" w:rsidRPr="00372AE1" w:rsidRDefault="00F06A5B" w:rsidP="00F06A5B">
      <w:pPr>
        <w:jc w:val="both"/>
        <w:rPr>
          <w:rFonts w:ascii="Times New Roman" w:hAnsi="Times New Roman" w:cs="Times New Roman"/>
        </w:rPr>
      </w:pPr>
      <w:r w:rsidRPr="00372AE1">
        <w:rPr>
          <w:rFonts w:ascii="Times New Roman" w:hAnsi="Times New Roman" w:cs="Times New Roman"/>
        </w:rPr>
        <w:t>Imtiaz, R., Shaikh, S., &amp; ul Ain, S. Q. (2018). Glass ceiling effect on women career progression in urban Pakistan. Journal of Business Strategies, 12(2), 17–42. 10.29270/JBS.12.2(2018).088</w:t>
      </w:r>
    </w:p>
    <w:p w14:paraId="493BCAA4" w14:textId="62417329" w:rsidR="002F0D06" w:rsidRPr="00372AE1" w:rsidRDefault="002F0D06" w:rsidP="00F06A5B">
      <w:pPr>
        <w:jc w:val="both"/>
        <w:rPr>
          <w:rFonts w:ascii="Times New Roman" w:hAnsi="Times New Roman" w:cs="Times New Roman"/>
        </w:rPr>
      </w:pPr>
      <w:r w:rsidRPr="00372AE1">
        <w:rPr>
          <w:rFonts w:ascii="Times New Roman" w:hAnsi="Times New Roman" w:cs="Times New Roman"/>
        </w:rPr>
        <w:t>International Labour Organization (2019). Empowering Women at Work: Company Policies and Practices for Gender Equality. ILO publication (framework on workplace policy design).  ISBN: 9789220330678 (Print), 9789220330661 (Web PDF), Geneva, 2020</w:t>
      </w:r>
    </w:p>
    <w:p w14:paraId="586CF974" w14:textId="31032665" w:rsidR="00062FEE" w:rsidRPr="00372AE1" w:rsidRDefault="00062FEE" w:rsidP="00062FEE">
      <w:pPr>
        <w:pStyle w:val="NormalWeb"/>
        <w:jc w:val="both"/>
      </w:pPr>
      <w:r w:rsidRPr="00372AE1">
        <w:t xml:space="preserve">Jabeen, G., Goli, G., </w:t>
      </w:r>
      <w:proofErr w:type="spellStart"/>
      <w:r w:rsidRPr="00372AE1">
        <w:t>Kafila</w:t>
      </w:r>
      <w:proofErr w:type="spellEnd"/>
      <w:r w:rsidRPr="00372AE1">
        <w:t xml:space="preserve">, K., &amp; others. (2024). A bibliometric review on gender equity in human resource management. </w:t>
      </w:r>
      <w:r w:rsidRPr="00372AE1">
        <w:rPr>
          <w:rStyle w:val="Emphasis"/>
          <w:rFonts w:eastAsiaTheme="majorEastAsia"/>
        </w:rPr>
        <w:t>Future Business Journal, 10</w:t>
      </w:r>
      <w:r w:rsidRPr="00372AE1">
        <w:t>(1).</w:t>
      </w:r>
      <w:r w:rsidRPr="00372AE1">
        <w:br/>
        <w:t>https://doi.org/10.1186/s43093-024-00381-x</w:t>
      </w:r>
    </w:p>
    <w:p w14:paraId="5060D69F" w14:textId="212CEA76" w:rsidR="00156FCC" w:rsidRPr="00372AE1" w:rsidRDefault="00156FCC" w:rsidP="00156FCC">
      <w:pPr>
        <w:jc w:val="both"/>
        <w:rPr>
          <w:rFonts w:ascii="Times New Roman" w:hAnsi="Times New Roman" w:cs="Times New Roman"/>
        </w:rPr>
      </w:pPr>
      <w:r w:rsidRPr="00372AE1">
        <w:rPr>
          <w:rFonts w:ascii="Times New Roman" w:hAnsi="Times New Roman" w:cs="Times New Roman"/>
        </w:rPr>
        <w:t>Jansen van Rensburg, S. K. (2021). Doing gender well: Women’s perceptions on gender equality and career progression in the South African security industry. SA Journal of Industrial Psychology. https://doi.org/10.4102/sajip.v47i0.1815</w:t>
      </w:r>
    </w:p>
    <w:p w14:paraId="575EE944" w14:textId="6D2219DA" w:rsidR="002F0D06" w:rsidRPr="00372AE1" w:rsidRDefault="002F0D06" w:rsidP="00B93EB5">
      <w:pPr>
        <w:spacing w:line="240" w:lineRule="auto"/>
        <w:jc w:val="both"/>
        <w:rPr>
          <w:rFonts w:ascii="Times New Roman" w:hAnsi="Times New Roman" w:cs="Times New Roman"/>
          <w:lang w:val="en-US"/>
        </w:rPr>
      </w:pPr>
      <w:r w:rsidRPr="00372AE1">
        <w:rPr>
          <w:rFonts w:ascii="Times New Roman" w:hAnsi="Times New Roman" w:cs="Times New Roman"/>
          <w:lang w:val="en-US"/>
        </w:rPr>
        <w:t>Kabeer, N. (2015). Gender Equality, Economic Growth, and Women's Agency: The "Endless" Story? Journal of International Development, 27(8), 1329-1341.</w:t>
      </w:r>
    </w:p>
    <w:p w14:paraId="744EDC20" w14:textId="050DA542" w:rsidR="002F0D06" w:rsidRPr="00372AE1" w:rsidRDefault="000D0472" w:rsidP="00BE2C1F">
      <w:pPr>
        <w:jc w:val="both"/>
        <w:rPr>
          <w:rFonts w:ascii="Times New Roman" w:hAnsi="Times New Roman" w:cs="Times New Roman"/>
        </w:rPr>
      </w:pPr>
      <w:r w:rsidRPr="00372AE1">
        <w:rPr>
          <w:rFonts w:ascii="Times New Roman" w:hAnsi="Times New Roman" w:cs="Times New Roman"/>
        </w:rPr>
        <w:t xml:space="preserve">Kabeer, N. (1999). Resources, agency, achievements: Reflections on the measurement of women’s empowerment. Development and Change, 30(3), 435–464. </w:t>
      </w:r>
      <w:r w:rsidR="00062FEE" w:rsidRPr="00372AE1">
        <w:rPr>
          <w:rFonts w:ascii="Times New Roman" w:hAnsi="Times New Roman" w:cs="Times New Roman"/>
        </w:rPr>
        <w:t>https://doi.org/10.1111/1467-7660.00125</w:t>
      </w:r>
    </w:p>
    <w:p w14:paraId="7C83E429" w14:textId="77777777" w:rsidR="00062FEE" w:rsidRPr="00372AE1" w:rsidRDefault="00062FEE" w:rsidP="00B93EB5">
      <w:pPr>
        <w:spacing w:line="240" w:lineRule="auto"/>
        <w:jc w:val="both"/>
        <w:rPr>
          <w:rFonts w:ascii="Times New Roman" w:hAnsi="Times New Roman" w:cs="Times New Roman"/>
          <w:lang w:val="en-US"/>
        </w:rPr>
      </w:pPr>
      <w:r w:rsidRPr="00372AE1">
        <w:rPr>
          <w:rFonts w:ascii="Times New Roman" w:hAnsi="Times New Roman" w:cs="Times New Roman"/>
          <w:lang w:val="en-US"/>
        </w:rPr>
        <w:t>Kalev, A., Dobbin, F., &amp; Kelly, E. (2006). Best practices or best guesses? American Sociological Review, 71(4), 589–617. https://doi.org/10.1177/000312240607100507</w:t>
      </w:r>
    </w:p>
    <w:p w14:paraId="6AD4FCB1" w14:textId="77777777" w:rsidR="00062FEE" w:rsidRPr="00372AE1" w:rsidRDefault="00062FEE" w:rsidP="00062FEE">
      <w:pPr>
        <w:spacing w:line="360" w:lineRule="auto"/>
        <w:jc w:val="both"/>
        <w:rPr>
          <w:rFonts w:ascii="Times New Roman" w:hAnsi="Times New Roman" w:cs="Times New Roman"/>
          <w:lang w:val="en-US"/>
        </w:rPr>
      </w:pPr>
      <w:r w:rsidRPr="00372AE1">
        <w:rPr>
          <w:rFonts w:ascii="Times New Roman" w:hAnsi="Times New Roman" w:cs="Times New Roman"/>
          <w:lang w:val="en-US"/>
        </w:rPr>
        <w:t>Kossek, E. E., Su, R., &amp; Wu, L. (2017). “Opting out” or “pushed out”? Journal of Management, 43(1), 228–254. https://doi.org/10.1177/0149206315594843</w:t>
      </w:r>
    </w:p>
    <w:p w14:paraId="07EEFFA0" w14:textId="77777777" w:rsidR="00062FEE" w:rsidRPr="00372AE1" w:rsidRDefault="00062FEE" w:rsidP="00062FEE">
      <w:pPr>
        <w:spacing w:line="360" w:lineRule="auto"/>
        <w:jc w:val="both"/>
        <w:rPr>
          <w:rFonts w:ascii="Times New Roman" w:hAnsi="Times New Roman" w:cs="Times New Roman"/>
          <w:lang w:val="en-US"/>
        </w:rPr>
      </w:pPr>
      <w:r w:rsidRPr="00372AE1">
        <w:rPr>
          <w:rFonts w:ascii="Times New Roman" w:hAnsi="Times New Roman" w:cs="Times New Roman"/>
          <w:lang w:val="en-US"/>
        </w:rPr>
        <w:t xml:space="preserve">Kulik, C. T., &amp; </w:t>
      </w:r>
      <w:proofErr w:type="spellStart"/>
      <w:r w:rsidRPr="00372AE1">
        <w:rPr>
          <w:rFonts w:ascii="Times New Roman" w:hAnsi="Times New Roman" w:cs="Times New Roman"/>
          <w:lang w:val="en-US"/>
        </w:rPr>
        <w:t>Olekalns</w:t>
      </w:r>
      <w:proofErr w:type="spellEnd"/>
      <w:r w:rsidRPr="00372AE1">
        <w:rPr>
          <w:rFonts w:ascii="Times New Roman" w:hAnsi="Times New Roman" w:cs="Times New Roman"/>
          <w:lang w:val="en-US"/>
        </w:rPr>
        <w:t>, M. (2012). Negotiating the gender divide. Journal of Management, 38(4), 1387–1415. https://doi.org/10.1177/0149206311435107</w:t>
      </w:r>
    </w:p>
    <w:p w14:paraId="54D19620" w14:textId="17D904CB" w:rsidR="00C80F58" w:rsidRPr="00372AE1" w:rsidRDefault="00C80F58" w:rsidP="00C80F58">
      <w:pPr>
        <w:jc w:val="both"/>
        <w:rPr>
          <w:rFonts w:ascii="Times New Roman" w:hAnsi="Times New Roman" w:cs="Times New Roman"/>
        </w:rPr>
      </w:pPr>
      <w:r w:rsidRPr="00372AE1">
        <w:rPr>
          <w:rFonts w:ascii="Times New Roman" w:hAnsi="Times New Roman" w:cs="Times New Roman"/>
        </w:rPr>
        <w:lastRenderedPageBreak/>
        <w:t>Lent, R. W., Brown, S. D., &amp; Hackett, G. (1994). Toward a unifying social cognitive theory of career and academic interest, choice, and performance. Journal of Vocational Behavior, 45(1), 79-122. https://doi.org/10.1006/jvbe.1994.1027</w:t>
      </w:r>
    </w:p>
    <w:p w14:paraId="7069BF45" w14:textId="672A176D" w:rsidR="00062FEE" w:rsidRPr="00372AE1" w:rsidRDefault="00062FEE" w:rsidP="00062FEE">
      <w:pPr>
        <w:spacing w:line="360" w:lineRule="auto"/>
        <w:jc w:val="both"/>
        <w:rPr>
          <w:rFonts w:ascii="Times New Roman" w:hAnsi="Times New Roman" w:cs="Times New Roman"/>
          <w:lang w:val="en-US"/>
        </w:rPr>
      </w:pPr>
      <w:r w:rsidRPr="00372AE1">
        <w:rPr>
          <w:rFonts w:ascii="Times New Roman" w:hAnsi="Times New Roman" w:cs="Times New Roman"/>
          <w:lang w:val="en-US"/>
        </w:rPr>
        <w:t xml:space="preserve">Leslie, L. M., Manchester, C. F., Park, T. Y., &amp; </w:t>
      </w:r>
      <w:proofErr w:type="spellStart"/>
      <w:r w:rsidRPr="00372AE1">
        <w:rPr>
          <w:rFonts w:ascii="Times New Roman" w:hAnsi="Times New Roman" w:cs="Times New Roman"/>
          <w:lang w:val="en-US"/>
        </w:rPr>
        <w:t>Mehng</w:t>
      </w:r>
      <w:proofErr w:type="spellEnd"/>
      <w:r w:rsidRPr="00372AE1">
        <w:rPr>
          <w:rFonts w:ascii="Times New Roman" w:hAnsi="Times New Roman" w:cs="Times New Roman"/>
          <w:lang w:val="en-US"/>
        </w:rPr>
        <w:t>, S. A. (2019). Flexible work practices. Academy of Management Journal, 55(6), 1405–1427. https://doi.org/10.5465/amj.2010.0654</w:t>
      </w:r>
    </w:p>
    <w:p w14:paraId="24534A51" w14:textId="70F16B12" w:rsidR="00062FEE" w:rsidRPr="00372AE1" w:rsidRDefault="00062FEE" w:rsidP="00BE2C1F">
      <w:pPr>
        <w:jc w:val="both"/>
        <w:rPr>
          <w:rFonts w:ascii="Times New Roman" w:hAnsi="Times New Roman" w:cs="Times New Roman"/>
        </w:rPr>
      </w:pPr>
      <w:r w:rsidRPr="00372AE1">
        <w:rPr>
          <w:rFonts w:ascii="Times New Roman" w:hAnsi="Times New Roman" w:cs="Times New Roman"/>
        </w:rPr>
        <w:t>Lips, H. M. (2013). Gender: The basics. Routledge. https://xyonline.net/sites/xyonline.net/files/2019-08/Lips%2C%20Gender%20-%20The%20Basics%20%282013%29.pdf</w:t>
      </w:r>
    </w:p>
    <w:p w14:paraId="0647832F" w14:textId="00E68E05" w:rsidR="00F06A5B" w:rsidRPr="00372AE1" w:rsidRDefault="00F06A5B" w:rsidP="00BE2C1F">
      <w:pPr>
        <w:jc w:val="both"/>
        <w:rPr>
          <w:rFonts w:ascii="Times New Roman" w:hAnsi="Times New Roman" w:cs="Times New Roman"/>
        </w:rPr>
      </w:pPr>
      <w:proofErr w:type="spellStart"/>
      <w:r w:rsidRPr="00372AE1">
        <w:rPr>
          <w:rFonts w:ascii="Times New Roman" w:hAnsi="Times New Roman" w:cs="Times New Roman"/>
        </w:rPr>
        <w:t>Maigah</w:t>
      </w:r>
      <w:proofErr w:type="spellEnd"/>
      <w:r w:rsidRPr="00372AE1">
        <w:rPr>
          <w:rFonts w:ascii="Times New Roman" w:hAnsi="Times New Roman" w:cs="Times New Roman"/>
        </w:rPr>
        <w:t>, A., &amp; Abdul Latip, H. (2024). Women career development: A study on enablers and barriers to senior leadership positions. Educational Administration: Theory and Practice, 30(4), 7738–7747. https://kuey.net/index.php/kuey/article/view/2636/1606</w:t>
      </w:r>
    </w:p>
    <w:p w14:paraId="0AA80D76" w14:textId="77777777" w:rsidR="002F0D06" w:rsidRPr="00372AE1" w:rsidRDefault="002F0D06" w:rsidP="002F0D06">
      <w:pPr>
        <w:spacing w:line="360" w:lineRule="auto"/>
        <w:jc w:val="both"/>
        <w:rPr>
          <w:rFonts w:ascii="Times New Roman" w:hAnsi="Times New Roman" w:cs="Times New Roman"/>
          <w:lang w:val="en-US"/>
        </w:rPr>
      </w:pPr>
      <w:r w:rsidRPr="00372AE1">
        <w:rPr>
          <w:rFonts w:ascii="Times New Roman" w:hAnsi="Times New Roman" w:cs="Times New Roman"/>
          <w:lang w:val="en-US"/>
        </w:rPr>
        <w:t>McDonald, M. L., &amp; Westphal, J. D. (2013). Access denied. Academy of Management Journal, 56(5), 1169–1198. https://doi.org/10.5465/amj.2011.0098</w:t>
      </w:r>
    </w:p>
    <w:p w14:paraId="003EF776" w14:textId="1BD5EC87" w:rsidR="002F0D06" w:rsidRPr="00372AE1" w:rsidRDefault="002F0D06" w:rsidP="002F0D06">
      <w:pPr>
        <w:spacing w:line="360" w:lineRule="auto"/>
        <w:jc w:val="both"/>
        <w:rPr>
          <w:rFonts w:ascii="Times New Roman" w:hAnsi="Times New Roman" w:cs="Times New Roman"/>
          <w:lang w:val="en-US"/>
        </w:rPr>
      </w:pPr>
      <w:r w:rsidRPr="00372AE1">
        <w:rPr>
          <w:rFonts w:ascii="Times New Roman" w:hAnsi="Times New Roman" w:cs="Times New Roman"/>
          <w:lang w:val="en-US"/>
        </w:rPr>
        <w:t>Metz, I., &amp; Kulik, C. T. (2014). Women in leadership. Human Resource Management, 53(3), 437–455. https://doi.org/10.1002/hrm.21575</w:t>
      </w:r>
    </w:p>
    <w:p w14:paraId="5F821F87" w14:textId="326D2D03" w:rsidR="009974B1" w:rsidRPr="00372AE1" w:rsidRDefault="00C61172" w:rsidP="002F0D06">
      <w:pPr>
        <w:jc w:val="both"/>
        <w:rPr>
          <w:rFonts w:ascii="Times New Roman" w:hAnsi="Times New Roman" w:cs="Times New Roman"/>
        </w:rPr>
      </w:pPr>
      <w:r w:rsidRPr="00372AE1">
        <w:rPr>
          <w:rFonts w:ascii="Times New Roman" w:hAnsi="Times New Roman" w:cs="Times New Roman"/>
        </w:rPr>
        <w:t xml:space="preserve">Mucheru, D., McAuliffe, E., </w:t>
      </w:r>
      <w:proofErr w:type="spellStart"/>
      <w:r w:rsidRPr="00372AE1">
        <w:rPr>
          <w:rFonts w:ascii="Times New Roman" w:hAnsi="Times New Roman" w:cs="Times New Roman"/>
        </w:rPr>
        <w:t>Kesale</w:t>
      </w:r>
      <w:proofErr w:type="spellEnd"/>
      <w:r w:rsidRPr="00372AE1">
        <w:rPr>
          <w:rFonts w:ascii="Times New Roman" w:hAnsi="Times New Roman" w:cs="Times New Roman"/>
        </w:rPr>
        <w:t>, A. </w:t>
      </w:r>
      <w:r w:rsidRPr="00372AE1">
        <w:rPr>
          <w:rFonts w:ascii="Times New Roman" w:hAnsi="Times New Roman" w:cs="Times New Roman"/>
          <w:i/>
          <w:iCs/>
        </w:rPr>
        <w:t>et al.</w:t>
      </w:r>
      <w:r w:rsidRPr="00372AE1">
        <w:rPr>
          <w:rFonts w:ascii="Times New Roman" w:hAnsi="Times New Roman" w:cs="Times New Roman"/>
        </w:rPr>
        <w:t> (2024). A rapid realist review on leadership and career advancement interventions for women in healthcare. </w:t>
      </w:r>
      <w:r w:rsidRPr="00372AE1">
        <w:rPr>
          <w:rFonts w:ascii="Times New Roman" w:hAnsi="Times New Roman" w:cs="Times New Roman"/>
          <w:i/>
          <w:iCs/>
        </w:rPr>
        <w:t xml:space="preserve">BMC Health </w:t>
      </w:r>
      <w:proofErr w:type="spellStart"/>
      <w:r w:rsidRPr="00372AE1">
        <w:rPr>
          <w:rFonts w:ascii="Times New Roman" w:hAnsi="Times New Roman" w:cs="Times New Roman"/>
          <w:i/>
          <w:iCs/>
        </w:rPr>
        <w:t>Serv</w:t>
      </w:r>
      <w:proofErr w:type="spellEnd"/>
      <w:r w:rsidRPr="00372AE1">
        <w:rPr>
          <w:rFonts w:ascii="Times New Roman" w:hAnsi="Times New Roman" w:cs="Times New Roman"/>
          <w:i/>
          <w:iCs/>
        </w:rPr>
        <w:t xml:space="preserve"> Res,</w:t>
      </w:r>
      <w:r w:rsidRPr="00372AE1">
        <w:rPr>
          <w:rFonts w:ascii="Times New Roman" w:hAnsi="Times New Roman" w:cs="Times New Roman"/>
        </w:rPr>
        <w:t xml:space="preserve"> 24(856), 01-13. </w:t>
      </w:r>
      <w:r w:rsidR="008C7B5C" w:rsidRPr="00372AE1">
        <w:rPr>
          <w:rFonts w:ascii="Times New Roman" w:hAnsi="Times New Roman" w:cs="Times New Roman"/>
        </w:rPr>
        <w:t>https://doi.org/10.1186/s12913-024-11348-7</w:t>
      </w:r>
    </w:p>
    <w:p w14:paraId="3FFEBD06" w14:textId="38CE9A89" w:rsidR="00156FCC" w:rsidRPr="00372AE1" w:rsidRDefault="00156FCC" w:rsidP="00156FCC">
      <w:pPr>
        <w:jc w:val="both"/>
        <w:rPr>
          <w:rFonts w:ascii="Times New Roman" w:hAnsi="Times New Roman" w:cs="Times New Roman"/>
        </w:rPr>
      </w:pPr>
      <w:r w:rsidRPr="00372AE1">
        <w:rPr>
          <w:rFonts w:ascii="Times New Roman" w:hAnsi="Times New Roman" w:cs="Times New Roman"/>
        </w:rPr>
        <w:t>O’Neil, D. A., &amp; Hopkins, M. M. (2015). The impact of gendered organizational systems on women’s career advancement. Frontiers in Psychology. DOI:10.338 fpsy.g.2025.00905</w:t>
      </w:r>
    </w:p>
    <w:p w14:paraId="3CEC45CA" w14:textId="51031002" w:rsidR="009974B1" w:rsidRPr="00372AE1" w:rsidRDefault="009974B1" w:rsidP="00156FCC">
      <w:pPr>
        <w:pStyle w:val="NormalWeb"/>
        <w:jc w:val="both"/>
      </w:pPr>
      <w:proofErr w:type="spellStart"/>
      <w:r w:rsidRPr="00372AE1">
        <w:t>Organisation</w:t>
      </w:r>
      <w:proofErr w:type="spellEnd"/>
      <w:r w:rsidRPr="00372AE1">
        <w:t xml:space="preserve"> for Economic Co-operation and Development. (2025). </w:t>
      </w:r>
      <w:r w:rsidRPr="00372AE1">
        <w:rPr>
          <w:rStyle w:val="Emphasis"/>
          <w:rFonts w:eastAsiaTheme="majorEastAsia"/>
        </w:rPr>
        <w:t>Gender equality at work</w:t>
      </w:r>
      <w:r w:rsidRPr="00372AE1">
        <w:t>. OECD Publishing.</w:t>
      </w:r>
      <w:r w:rsidRPr="00372AE1">
        <w:br/>
      </w:r>
      <w:r w:rsidRPr="00372AE1">
        <w:rPr>
          <w:rFonts w:eastAsiaTheme="majorEastAsia"/>
        </w:rPr>
        <w:t>https://www.oecd.org/en/publications/gender-equality-at-work_6cda329d-en.html</w:t>
      </w:r>
    </w:p>
    <w:p w14:paraId="59C0D9C0" w14:textId="3E229A63" w:rsidR="00C47DF1" w:rsidRPr="00372AE1" w:rsidRDefault="00C47DF1" w:rsidP="00B93EB5">
      <w:pPr>
        <w:spacing w:line="240" w:lineRule="auto"/>
        <w:jc w:val="both"/>
        <w:rPr>
          <w:rFonts w:ascii="Times New Roman" w:hAnsi="Times New Roman" w:cs="Times New Roman"/>
          <w:lang w:val="en-US"/>
        </w:rPr>
      </w:pPr>
      <w:r w:rsidRPr="00372AE1">
        <w:rPr>
          <w:rFonts w:ascii="Times New Roman" w:hAnsi="Times New Roman" w:cs="Times New Roman"/>
          <w:lang w:val="en-US"/>
        </w:rPr>
        <w:t>Rudman, L. A., Moss-</w:t>
      </w:r>
      <w:proofErr w:type="spellStart"/>
      <w:r w:rsidRPr="00372AE1">
        <w:rPr>
          <w:rFonts w:ascii="Times New Roman" w:hAnsi="Times New Roman" w:cs="Times New Roman"/>
          <w:lang w:val="en-US"/>
        </w:rPr>
        <w:t>Racusin</w:t>
      </w:r>
      <w:proofErr w:type="spellEnd"/>
      <w:r w:rsidRPr="00372AE1">
        <w:rPr>
          <w:rFonts w:ascii="Times New Roman" w:hAnsi="Times New Roman" w:cs="Times New Roman"/>
          <w:lang w:val="en-US"/>
        </w:rPr>
        <w:t xml:space="preserve">, C. A., Phelan, J. E., &amp; </w:t>
      </w:r>
      <w:proofErr w:type="spellStart"/>
      <w:r w:rsidRPr="00372AE1">
        <w:rPr>
          <w:rFonts w:ascii="Times New Roman" w:hAnsi="Times New Roman" w:cs="Times New Roman"/>
          <w:lang w:val="en-US"/>
        </w:rPr>
        <w:t>Nauts</w:t>
      </w:r>
      <w:proofErr w:type="spellEnd"/>
      <w:r w:rsidRPr="00372AE1">
        <w:rPr>
          <w:rFonts w:ascii="Times New Roman" w:hAnsi="Times New Roman" w:cs="Times New Roman"/>
          <w:lang w:val="en-US"/>
        </w:rPr>
        <w:t>, S. (2012). Status incongruity and backlash. Journal of Experimental Social Psychology, 48(1), 165–179. https://doi.org/10.1016/j.jesp.2011.10.008</w:t>
      </w:r>
    </w:p>
    <w:p w14:paraId="02DFE3B7" w14:textId="4BDD4453" w:rsidR="00156FCC" w:rsidRPr="00372AE1" w:rsidRDefault="00156FCC" w:rsidP="00156FCC">
      <w:pPr>
        <w:jc w:val="both"/>
        <w:rPr>
          <w:rFonts w:ascii="Times New Roman" w:hAnsi="Times New Roman" w:cs="Times New Roman"/>
        </w:rPr>
      </w:pPr>
      <w:r w:rsidRPr="00372AE1">
        <w:rPr>
          <w:rFonts w:ascii="Times New Roman" w:hAnsi="Times New Roman" w:cs="Times New Roman"/>
        </w:rPr>
        <w:t>Sen, A. (1999). Development as freedom. Oxford University Press. https://kuangaliablog.wordpress.com/wp-content/uploads/2017/07/amartya_kumar_sen_development_as_freedombookfi.pdf</w:t>
      </w:r>
    </w:p>
    <w:p w14:paraId="622FA5DD" w14:textId="5E3A9305" w:rsidR="00156FCC" w:rsidRPr="00372AE1" w:rsidRDefault="00156FCC" w:rsidP="00156FCC">
      <w:pPr>
        <w:jc w:val="both"/>
        <w:rPr>
          <w:rFonts w:ascii="Times New Roman" w:hAnsi="Times New Roman" w:cs="Times New Roman"/>
        </w:rPr>
      </w:pPr>
      <w:r w:rsidRPr="00372AE1">
        <w:rPr>
          <w:rFonts w:ascii="Times New Roman" w:hAnsi="Times New Roman" w:cs="Times New Roman"/>
        </w:rPr>
        <w:t>Sen, A. (1990). Gender and cooperative conflicts. In I. Tinker (Ed.), Persistent inequalities (pp. 123–149). Oxford University Press. https://www.wider.unu.edu/sites/default/files/WP18.pdf</w:t>
      </w:r>
    </w:p>
    <w:p w14:paraId="58FB0CF1" w14:textId="5BFAAE13" w:rsidR="00156FCC" w:rsidRPr="00372AE1" w:rsidRDefault="00156FCC" w:rsidP="00156FCC">
      <w:pPr>
        <w:jc w:val="both"/>
        <w:rPr>
          <w:rFonts w:ascii="Times New Roman" w:hAnsi="Times New Roman" w:cs="Times New Roman"/>
        </w:rPr>
      </w:pPr>
      <w:r w:rsidRPr="00372AE1">
        <w:rPr>
          <w:rFonts w:ascii="Times New Roman" w:hAnsi="Times New Roman" w:cs="Times New Roman"/>
        </w:rPr>
        <w:t>Sharifova, M. (2025). Barriers to women’s career advancement. </w:t>
      </w:r>
      <w:r w:rsidRPr="00372AE1">
        <w:rPr>
          <w:rFonts w:ascii="Times New Roman" w:hAnsi="Times New Roman" w:cs="Times New Roman"/>
          <w:i/>
          <w:iCs/>
        </w:rPr>
        <w:t>Green Economy and Development</w:t>
      </w:r>
      <w:r w:rsidRPr="00372AE1">
        <w:rPr>
          <w:rFonts w:ascii="Times New Roman" w:hAnsi="Times New Roman" w:cs="Times New Roman"/>
        </w:rPr>
        <w:t>, </w:t>
      </w:r>
      <w:r w:rsidRPr="00372AE1">
        <w:rPr>
          <w:rFonts w:ascii="Times New Roman" w:hAnsi="Times New Roman" w:cs="Times New Roman"/>
          <w:i/>
          <w:iCs/>
        </w:rPr>
        <w:t>3</w:t>
      </w:r>
      <w:r w:rsidRPr="00372AE1">
        <w:rPr>
          <w:rFonts w:ascii="Times New Roman" w:hAnsi="Times New Roman" w:cs="Times New Roman"/>
        </w:rPr>
        <w:t>(7). https://doi.org/10.5281/zenodo.16668824</w:t>
      </w:r>
    </w:p>
    <w:p w14:paraId="322C5B7C" w14:textId="62F2F747" w:rsidR="00156FCC" w:rsidRPr="00372AE1" w:rsidRDefault="00156FCC" w:rsidP="00156FCC">
      <w:pPr>
        <w:jc w:val="both"/>
        <w:rPr>
          <w:rFonts w:ascii="Times New Roman" w:hAnsi="Times New Roman" w:cs="Times New Roman"/>
        </w:rPr>
      </w:pPr>
      <w:r w:rsidRPr="00372AE1">
        <w:rPr>
          <w:rFonts w:ascii="Times New Roman" w:hAnsi="Times New Roman" w:cs="Times New Roman"/>
        </w:rPr>
        <w:lastRenderedPageBreak/>
        <w:t xml:space="preserve">Singh, P., Saharan, T., &amp; Bhat, M. Y. (2022). Do workplace issues influence women’s career progression? </w:t>
      </w:r>
      <w:r w:rsidRPr="00372AE1">
        <w:rPr>
          <w:rStyle w:val="Emphasis"/>
          <w:rFonts w:ascii="Times New Roman" w:hAnsi="Times New Roman" w:cs="Times New Roman"/>
        </w:rPr>
        <w:t>Research in Transportation Business &amp; Management, 44</w:t>
      </w:r>
      <w:r w:rsidRPr="00372AE1">
        <w:rPr>
          <w:rFonts w:ascii="Times New Roman" w:hAnsi="Times New Roman" w:cs="Times New Roman"/>
        </w:rPr>
        <w:t>, Article 100682.</w:t>
      </w:r>
      <w:r w:rsidRPr="00372AE1">
        <w:rPr>
          <w:rFonts w:ascii="Times New Roman" w:hAnsi="Times New Roman" w:cs="Times New Roman"/>
        </w:rPr>
        <w:br/>
        <w:t>https://doi.org/10.1016/j.rtbm.2021.100682</w:t>
      </w:r>
    </w:p>
    <w:p w14:paraId="54F2D4F0" w14:textId="25838695" w:rsidR="00156FCC" w:rsidRPr="00372AE1" w:rsidRDefault="00156FCC" w:rsidP="00156FCC">
      <w:pPr>
        <w:jc w:val="both"/>
        <w:rPr>
          <w:rFonts w:ascii="Times New Roman" w:hAnsi="Times New Roman" w:cs="Times New Roman"/>
        </w:rPr>
      </w:pPr>
      <w:r w:rsidRPr="00372AE1">
        <w:rPr>
          <w:rFonts w:ascii="Times New Roman" w:hAnsi="Times New Roman" w:cs="Times New Roman"/>
        </w:rPr>
        <w:t>Son Hing, L. S., Sakr, N., Sorenson, J. B., &amp; others. (2023). Gender inequities in the workplace: A holistic review of organizational processes and practices.   https://doi.org/10.1016/j.hrmr.2023.100968</w:t>
      </w:r>
    </w:p>
    <w:p w14:paraId="3F6DC10E" w14:textId="67CC69E7" w:rsidR="00C47DF1" w:rsidRPr="00372AE1" w:rsidRDefault="00C47DF1" w:rsidP="00C47DF1">
      <w:pPr>
        <w:jc w:val="both"/>
        <w:rPr>
          <w:rFonts w:ascii="Times New Roman" w:hAnsi="Times New Roman" w:cs="Times New Roman"/>
        </w:rPr>
      </w:pPr>
      <w:r w:rsidRPr="00372AE1">
        <w:rPr>
          <w:rFonts w:ascii="Times New Roman" w:hAnsi="Times New Roman" w:cs="Times New Roman"/>
        </w:rPr>
        <w:t>United Nations Development Programme. (2020). Human development report 2020: The next frontier—Human development and the Anthropocene. UNDP. https://hdr.undp.org/content/human-development-report-2020</w:t>
      </w:r>
    </w:p>
    <w:p w14:paraId="4F3E21E9" w14:textId="39D51AB1" w:rsidR="009974B1" w:rsidRPr="00372AE1" w:rsidRDefault="009974B1" w:rsidP="00F06A5B">
      <w:pPr>
        <w:pStyle w:val="NormalWeb"/>
        <w:jc w:val="both"/>
      </w:pPr>
      <w:r w:rsidRPr="00372AE1">
        <w:t xml:space="preserve">U.S. Army Research Institute for the Behavioral and Social Sciences. (1993). </w:t>
      </w:r>
      <w:r w:rsidRPr="00372AE1">
        <w:rPr>
          <w:rStyle w:val="Emphasis"/>
          <w:rFonts w:eastAsiaTheme="majorEastAsia"/>
        </w:rPr>
        <w:t>Glass ceiling effects and barriers to women’s advancement</w:t>
      </w:r>
      <w:r w:rsidRPr="00372AE1">
        <w:t>.</w:t>
      </w:r>
      <w:r w:rsidRPr="00372AE1">
        <w:br/>
      </w:r>
      <w:r w:rsidRPr="00372AE1">
        <w:rPr>
          <w:rFonts w:eastAsiaTheme="majorEastAsia"/>
        </w:rPr>
        <w:t>https://en.wikipedia.org/wiki/Glass_ceiling</w:t>
      </w:r>
      <w:r w:rsidRPr="00372AE1">
        <w:t>.</w:t>
      </w:r>
    </w:p>
    <w:p w14:paraId="1DA7C515" w14:textId="30D65D12" w:rsidR="009974B1" w:rsidRPr="00372AE1" w:rsidRDefault="009974B1" w:rsidP="00F06A5B">
      <w:pPr>
        <w:pStyle w:val="NormalWeb"/>
        <w:jc w:val="both"/>
      </w:pPr>
      <w:r w:rsidRPr="00372AE1">
        <w:t xml:space="preserve">Verma, A., Chawla, C., Sethi, S., Joseph, C., Gupta, N., &amp; Raj, R. (2024). Gender equality in the workplace. </w:t>
      </w:r>
      <w:r w:rsidRPr="00372AE1">
        <w:rPr>
          <w:rStyle w:val="Emphasis"/>
          <w:rFonts w:eastAsiaTheme="majorEastAsia"/>
        </w:rPr>
        <w:t>Journal of Informatics Education and Research</w:t>
      </w:r>
      <w:r w:rsidRPr="00372AE1">
        <w:t>.</w:t>
      </w:r>
      <w:r w:rsidRPr="00372AE1">
        <w:br/>
      </w:r>
      <w:r w:rsidRPr="00372AE1">
        <w:rPr>
          <w:rFonts w:eastAsiaTheme="majorEastAsia"/>
        </w:rPr>
        <w:t>https://jier.org/index.php/journal/article/view/939</w:t>
      </w:r>
    </w:p>
    <w:p w14:paraId="4FA06AA6" w14:textId="34264728" w:rsidR="00C47DF1" w:rsidRPr="00B93EB5" w:rsidRDefault="00C47DF1" w:rsidP="00B93EB5">
      <w:pPr>
        <w:spacing w:line="360" w:lineRule="auto"/>
        <w:jc w:val="both"/>
        <w:rPr>
          <w:rFonts w:ascii="Times New Roman" w:hAnsi="Times New Roman" w:cs="Times New Roman"/>
          <w:lang w:val="en-US"/>
        </w:rPr>
      </w:pPr>
      <w:r w:rsidRPr="00372AE1">
        <w:rPr>
          <w:rFonts w:ascii="Times New Roman" w:hAnsi="Times New Roman" w:cs="Times New Roman"/>
          <w:lang w:val="en-US"/>
        </w:rPr>
        <w:t>Williams, J. C., Blair-Loy, M., &amp; Berdahl, J. L. (2013). Cultural schemas and flexibility stigma. Journal of Social Issues, 69(2), 209–234. https://doi.org/10.1111/josi.12015</w:t>
      </w:r>
    </w:p>
    <w:p w14:paraId="12EC2CF5" w14:textId="214A7328" w:rsidR="00C47DF1" w:rsidRPr="00372AE1" w:rsidRDefault="00C47DF1" w:rsidP="00C47DF1">
      <w:pPr>
        <w:spacing w:line="360" w:lineRule="auto"/>
        <w:jc w:val="both"/>
        <w:rPr>
          <w:rFonts w:ascii="Times New Roman" w:hAnsi="Times New Roman" w:cs="Times New Roman"/>
          <w:lang w:val="en-US"/>
        </w:rPr>
      </w:pPr>
      <w:r w:rsidRPr="00372AE1">
        <w:rPr>
          <w:rFonts w:ascii="Times New Roman" w:hAnsi="Times New Roman" w:cs="Times New Roman"/>
          <w:lang w:val="en-US"/>
        </w:rPr>
        <w:t>World Economic Forum. (2021). Global Gender Gap Report 2021. Retrieved from https://www.weforum.org/reports/global-gender-gap-report-2021</w:t>
      </w:r>
    </w:p>
    <w:p w14:paraId="1E49DE91" w14:textId="7671C324" w:rsidR="00C47DF1" w:rsidRPr="00372AE1" w:rsidRDefault="00C47DF1" w:rsidP="00C47DF1">
      <w:pPr>
        <w:jc w:val="both"/>
        <w:rPr>
          <w:rFonts w:ascii="Times New Roman" w:hAnsi="Times New Roman" w:cs="Times New Roman"/>
        </w:rPr>
      </w:pPr>
      <w:r w:rsidRPr="00372AE1">
        <w:rPr>
          <w:rFonts w:ascii="Times New Roman" w:hAnsi="Times New Roman" w:cs="Times New Roman"/>
        </w:rPr>
        <w:t>World Economic Forum. (2023). Global gender gap report 2023. World Economic Forum. https://www3.weforum.org/docs/WEF_GGGR_2023.pdf</w:t>
      </w:r>
    </w:p>
    <w:p w14:paraId="48407D83" w14:textId="582854CB" w:rsidR="009974B1" w:rsidRPr="00372AE1" w:rsidRDefault="009974B1" w:rsidP="00F06A5B">
      <w:pPr>
        <w:pStyle w:val="NormalWeb"/>
        <w:jc w:val="both"/>
      </w:pPr>
      <w:r w:rsidRPr="00372AE1">
        <w:t xml:space="preserve">World Health Organization. (2024). Interventions on gender equity in the workplace: A scoping review. </w:t>
      </w:r>
      <w:r w:rsidRPr="00372AE1">
        <w:rPr>
          <w:rStyle w:val="Emphasis"/>
          <w:rFonts w:eastAsiaTheme="majorEastAsia"/>
        </w:rPr>
        <w:t>BMC Medicine, 22</w:t>
      </w:r>
      <w:r w:rsidRPr="00372AE1">
        <w:t>, Article 149.</w:t>
      </w:r>
      <w:r w:rsidRPr="00372AE1">
        <w:br/>
        <w:t>https://doi.org/10.1186/s12916-024-03346-7</w:t>
      </w:r>
    </w:p>
    <w:p w14:paraId="1FCCD055" w14:textId="77777777" w:rsidR="009974B1" w:rsidRPr="00372AE1" w:rsidRDefault="009974B1" w:rsidP="009974B1">
      <w:pPr>
        <w:spacing w:line="360" w:lineRule="auto"/>
        <w:jc w:val="both"/>
        <w:rPr>
          <w:rFonts w:ascii="Times New Roman" w:hAnsi="Times New Roman" w:cs="Times New Roman"/>
          <w:lang w:val="en-US"/>
        </w:rPr>
      </w:pPr>
    </w:p>
    <w:p w14:paraId="41611D24" w14:textId="77777777" w:rsidR="00830FB4" w:rsidRPr="00372AE1" w:rsidRDefault="00830FB4" w:rsidP="008C4BCD">
      <w:pPr>
        <w:jc w:val="both"/>
        <w:rPr>
          <w:rFonts w:ascii="Times New Roman" w:hAnsi="Times New Roman" w:cs="Times New Roman"/>
        </w:rPr>
      </w:pPr>
    </w:p>
    <w:p w14:paraId="71DA53F3" w14:textId="77777777" w:rsidR="008C4BCD" w:rsidRPr="00372AE1" w:rsidRDefault="008C4BCD" w:rsidP="00327C07">
      <w:pPr>
        <w:jc w:val="both"/>
        <w:rPr>
          <w:rFonts w:ascii="Times New Roman" w:hAnsi="Times New Roman" w:cs="Times New Roman"/>
        </w:rPr>
      </w:pPr>
    </w:p>
    <w:p w14:paraId="7D07BE8D" w14:textId="77777777" w:rsidR="00517E4A" w:rsidRPr="00372AE1" w:rsidRDefault="00517E4A" w:rsidP="00BE2C1F">
      <w:pPr>
        <w:jc w:val="both"/>
        <w:rPr>
          <w:rFonts w:ascii="Times New Roman" w:hAnsi="Times New Roman" w:cs="Times New Roman"/>
        </w:rPr>
      </w:pPr>
    </w:p>
    <w:sectPr w:rsidR="00517E4A" w:rsidRPr="00372AE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42D6" w14:textId="77777777" w:rsidR="0036438B" w:rsidRDefault="0036438B" w:rsidP="004F171D">
      <w:pPr>
        <w:spacing w:after="0" w:line="240" w:lineRule="auto"/>
      </w:pPr>
      <w:r>
        <w:separator/>
      </w:r>
    </w:p>
  </w:endnote>
  <w:endnote w:type="continuationSeparator" w:id="0">
    <w:p w14:paraId="77D58A88" w14:textId="77777777" w:rsidR="0036438B" w:rsidRDefault="0036438B" w:rsidP="004F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F3A" w14:textId="77777777" w:rsidR="004F171D" w:rsidRDefault="004F1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55890"/>
      <w:docPartObj>
        <w:docPartGallery w:val="Page Numbers (Bottom of Page)"/>
        <w:docPartUnique/>
      </w:docPartObj>
    </w:sdtPr>
    <w:sdtEndPr>
      <w:rPr>
        <w:noProof/>
      </w:rPr>
    </w:sdtEndPr>
    <w:sdtContent>
      <w:p w14:paraId="4B84952C" w14:textId="5A16BAC4" w:rsidR="004F171D" w:rsidRDefault="004F17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39F78E" w14:textId="77777777" w:rsidR="004F171D" w:rsidRDefault="004F1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381C" w14:textId="77777777" w:rsidR="004F171D" w:rsidRDefault="004F1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7999" w14:textId="77777777" w:rsidR="0036438B" w:rsidRDefault="0036438B" w:rsidP="004F171D">
      <w:pPr>
        <w:spacing w:after="0" w:line="240" w:lineRule="auto"/>
      </w:pPr>
      <w:r>
        <w:separator/>
      </w:r>
    </w:p>
  </w:footnote>
  <w:footnote w:type="continuationSeparator" w:id="0">
    <w:p w14:paraId="16B07888" w14:textId="77777777" w:rsidR="0036438B" w:rsidRDefault="0036438B" w:rsidP="004F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79D1" w14:textId="77777777" w:rsidR="004F171D" w:rsidRDefault="004F1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F102" w14:textId="77777777" w:rsidR="004F171D" w:rsidRDefault="004F1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8C6E" w14:textId="77777777" w:rsidR="004F171D" w:rsidRDefault="004F1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344"/>
    <w:multiLevelType w:val="multilevel"/>
    <w:tmpl w:val="EB720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842BA"/>
    <w:multiLevelType w:val="multilevel"/>
    <w:tmpl w:val="36B87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92426F"/>
    <w:multiLevelType w:val="hybridMultilevel"/>
    <w:tmpl w:val="15C697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702F2E"/>
    <w:multiLevelType w:val="multilevel"/>
    <w:tmpl w:val="7F86B5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705BB1"/>
    <w:multiLevelType w:val="hybridMultilevel"/>
    <w:tmpl w:val="2DF8E0FA"/>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E0269E7"/>
    <w:multiLevelType w:val="multilevel"/>
    <w:tmpl w:val="B6E64E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4734781">
    <w:abstractNumId w:val="4"/>
  </w:num>
  <w:num w:numId="2" w16cid:durableId="1834177779">
    <w:abstractNumId w:val="1"/>
  </w:num>
  <w:num w:numId="3" w16cid:durableId="991180888">
    <w:abstractNumId w:val="3"/>
  </w:num>
  <w:num w:numId="4" w16cid:durableId="1848597019">
    <w:abstractNumId w:val="0"/>
  </w:num>
  <w:num w:numId="5" w16cid:durableId="65930055">
    <w:abstractNumId w:val="5"/>
  </w:num>
  <w:num w:numId="6" w16cid:durableId="352531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8B"/>
    <w:rsid w:val="00016239"/>
    <w:rsid w:val="000434FB"/>
    <w:rsid w:val="00062FEE"/>
    <w:rsid w:val="00093D12"/>
    <w:rsid w:val="000A2C08"/>
    <w:rsid w:val="000D0472"/>
    <w:rsid w:val="000D385A"/>
    <w:rsid w:val="000E163A"/>
    <w:rsid w:val="00103112"/>
    <w:rsid w:val="00107F72"/>
    <w:rsid w:val="00143ECA"/>
    <w:rsid w:val="00143F06"/>
    <w:rsid w:val="00156FCC"/>
    <w:rsid w:val="00161C29"/>
    <w:rsid w:val="001659BA"/>
    <w:rsid w:val="00166B02"/>
    <w:rsid w:val="00180EC4"/>
    <w:rsid w:val="001E2248"/>
    <w:rsid w:val="001E7D18"/>
    <w:rsid w:val="00207CD2"/>
    <w:rsid w:val="002A1CA2"/>
    <w:rsid w:val="002B0BD8"/>
    <w:rsid w:val="002B148D"/>
    <w:rsid w:val="002D795B"/>
    <w:rsid w:val="002F0D06"/>
    <w:rsid w:val="003067B8"/>
    <w:rsid w:val="00327C07"/>
    <w:rsid w:val="0033020A"/>
    <w:rsid w:val="00341DBC"/>
    <w:rsid w:val="0036438B"/>
    <w:rsid w:val="00372AE1"/>
    <w:rsid w:val="00425706"/>
    <w:rsid w:val="004474E6"/>
    <w:rsid w:val="00475E8B"/>
    <w:rsid w:val="00485893"/>
    <w:rsid w:val="00492E4F"/>
    <w:rsid w:val="004E267B"/>
    <w:rsid w:val="004F171D"/>
    <w:rsid w:val="004F36EE"/>
    <w:rsid w:val="00517E4A"/>
    <w:rsid w:val="005370F2"/>
    <w:rsid w:val="00556B4E"/>
    <w:rsid w:val="00586D7A"/>
    <w:rsid w:val="0059201C"/>
    <w:rsid w:val="005A4856"/>
    <w:rsid w:val="005B7283"/>
    <w:rsid w:val="006217E5"/>
    <w:rsid w:val="0064335F"/>
    <w:rsid w:val="006570E9"/>
    <w:rsid w:val="006758B8"/>
    <w:rsid w:val="006E0860"/>
    <w:rsid w:val="006E5C40"/>
    <w:rsid w:val="00701E69"/>
    <w:rsid w:val="00752BC3"/>
    <w:rsid w:val="007A7D0F"/>
    <w:rsid w:val="007B2F11"/>
    <w:rsid w:val="007E756F"/>
    <w:rsid w:val="0082683E"/>
    <w:rsid w:val="00830FB4"/>
    <w:rsid w:val="0084546C"/>
    <w:rsid w:val="008510DE"/>
    <w:rsid w:val="00852A12"/>
    <w:rsid w:val="008B0D53"/>
    <w:rsid w:val="008B1019"/>
    <w:rsid w:val="008C4BCD"/>
    <w:rsid w:val="008C7B5C"/>
    <w:rsid w:val="008D291C"/>
    <w:rsid w:val="008D442D"/>
    <w:rsid w:val="008D534B"/>
    <w:rsid w:val="009160F2"/>
    <w:rsid w:val="0095050E"/>
    <w:rsid w:val="009974B1"/>
    <w:rsid w:val="009A60FF"/>
    <w:rsid w:val="009A620E"/>
    <w:rsid w:val="009C0D44"/>
    <w:rsid w:val="009D4748"/>
    <w:rsid w:val="009F5D1C"/>
    <w:rsid w:val="009F6470"/>
    <w:rsid w:val="00A05BA1"/>
    <w:rsid w:val="00A115AD"/>
    <w:rsid w:val="00A73CAE"/>
    <w:rsid w:val="00AA1CC9"/>
    <w:rsid w:val="00AB352A"/>
    <w:rsid w:val="00AF2725"/>
    <w:rsid w:val="00B41BB9"/>
    <w:rsid w:val="00B42EEF"/>
    <w:rsid w:val="00B43F5E"/>
    <w:rsid w:val="00B93EB5"/>
    <w:rsid w:val="00BA2C3F"/>
    <w:rsid w:val="00BB3D13"/>
    <w:rsid w:val="00BE2C1F"/>
    <w:rsid w:val="00BF316F"/>
    <w:rsid w:val="00C018FB"/>
    <w:rsid w:val="00C26EB4"/>
    <w:rsid w:val="00C44AF9"/>
    <w:rsid w:val="00C47DF1"/>
    <w:rsid w:val="00C55EE6"/>
    <w:rsid w:val="00C61172"/>
    <w:rsid w:val="00C73FBD"/>
    <w:rsid w:val="00C80F58"/>
    <w:rsid w:val="00CA7D6B"/>
    <w:rsid w:val="00D020B3"/>
    <w:rsid w:val="00D10D9A"/>
    <w:rsid w:val="00D16879"/>
    <w:rsid w:val="00D3518C"/>
    <w:rsid w:val="00D6488D"/>
    <w:rsid w:val="00DA5A31"/>
    <w:rsid w:val="00E07B55"/>
    <w:rsid w:val="00EB600E"/>
    <w:rsid w:val="00F06A5B"/>
    <w:rsid w:val="00F257D6"/>
    <w:rsid w:val="00FA74B4"/>
    <w:rsid w:val="00FD0D9D"/>
    <w:rsid w:val="00FD20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790D"/>
  <w15:chartTrackingRefBased/>
  <w15:docId w15:val="{FB8BD538-08F2-4700-AC9E-ED64C7B0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E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E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E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E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E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E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E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E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E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E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E8B"/>
    <w:rPr>
      <w:rFonts w:eastAsiaTheme="majorEastAsia" w:cstheme="majorBidi"/>
      <w:color w:val="272727" w:themeColor="text1" w:themeTint="D8"/>
    </w:rPr>
  </w:style>
  <w:style w:type="paragraph" w:styleId="Title">
    <w:name w:val="Title"/>
    <w:basedOn w:val="Normal"/>
    <w:next w:val="Normal"/>
    <w:link w:val="TitleChar"/>
    <w:uiPriority w:val="10"/>
    <w:qFormat/>
    <w:rsid w:val="00475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E8B"/>
    <w:pPr>
      <w:spacing w:before="160"/>
      <w:jc w:val="center"/>
    </w:pPr>
    <w:rPr>
      <w:i/>
      <w:iCs/>
      <w:color w:val="404040" w:themeColor="text1" w:themeTint="BF"/>
    </w:rPr>
  </w:style>
  <w:style w:type="character" w:customStyle="1" w:styleId="QuoteChar">
    <w:name w:val="Quote Char"/>
    <w:basedOn w:val="DefaultParagraphFont"/>
    <w:link w:val="Quote"/>
    <w:uiPriority w:val="29"/>
    <w:rsid w:val="00475E8B"/>
    <w:rPr>
      <w:i/>
      <w:iCs/>
      <w:color w:val="404040" w:themeColor="text1" w:themeTint="BF"/>
    </w:rPr>
  </w:style>
  <w:style w:type="paragraph" w:styleId="ListParagraph">
    <w:name w:val="List Paragraph"/>
    <w:basedOn w:val="Normal"/>
    <w:uiPriority w:val="34"/>
    <w:qFormat/>
    <w:rsid w:val="00475E8B"/>
    <w:pPr>
      <w:ind w:left="720"/>
      <w:contextualSpacing/>
    </w:pPr>
  </w:style>
  <w:style w:type="character" w:styleId="IntenseEmphasis">
    <w:name w:val="Intense Emphasis"/>
    <w:basedOn w:val="DefaultParagraphFont"/>
    <w:uiPriority w:val="21"/>
    <w:qFormat/>
    <w:rsid w:val="00475E8B"/>
    <w:rPr>
      <w:i/>
      <w:iCs/>
      <w:color w:val="2F5496" w:themeColor="accent1" w:themeShade="BF"/>
    </w:rPr>
  </w:style>
  <w:style w:type="paragraph" w:styleId="IntenseQuote">
    <w:name w:val="Intense Quote"/>
    <w:basedOn w:val="Normal"/>
    <w:next w:val="Normal"/>
    <w:link w:val="IntenseQuoteChar"/>
    <w:uiPriority w:val="30"/>
    <w:qFormat/>
    <w:rsid w:val="00475E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E8B"/>
    <w:rPr>
      <w:i/>
      <w:iCs/>
      <w:color w:val="2F5496" w:themeColor="accent1" w:themeShade="BF"/>
    </w:rPr>
  </w:style>
  <w:style w:type="character" w:styleId="IntenseReference">
    <w:name w:val="Intense Reference"/>
    <w:basedOn w:val="DefaultParagraphFont"/>
    <w:uiPriority w:val="32"/>
    <w:qFormat/>
    <w:rsid w:val="00475E8B"/>
    <w:rPr>
      <w:b/>
      <w:bCs/>
      <w:smallCaps/>
      <w:color w:val="2F5496" w:themeColor="accent1" w:themeShade="BF"/>
      <w:spacing w:val="5"/>
    </w:rPr>
  </w:style>
  <w:style w:type="character" w:styleId="Hyperlink">
    <w:name w:val="Hyperlink"/>
    <w:basedOn w:val="DefaultParagraphFont"/>
    <w:uiPriority w:val="99"/>
    <w:unhideWhenUsed/>
    <w:rsid w:val="009A60FF"/>
    <w:rPr>
      <w:color w:val="0563C1" w:themeColor="hyperlink"/>
      <w:u w:val="single"/>
    </w:rPr>
  </w:style>
  <w:style w:type="character" w:styleId="UnresolvedMention">
    <w:name w:val="Unresolved Mention"/>
    <w:basedOn w:val="DefaultParagraphFont"/>
    <w:uiPriority w:val="99"/>
    <w:semiHidden/>
    <w:unhideWhenUsed/>
    <w:rsid w:val="009A60FF"/>
    <w:rPr>
      <w:color w:val="605E5C"/>
      <w:shd w:val="clear" w:color="auto" w:fill="E1DFDD"/>
    </w:rPr>
  </w:style>
  <w:style w:type="character" w:styleId="FollowedHyperlink">
    <w:name w:val="FollowedHyperlink"/>
    <w:basedOn w:val="DefaultParagraphFont"/>
    <w:uiPriority w:val="99"/>
    <w:semiHidden/>
    <w:unhideWhenUsed/>
    <w:rsid w:val="00327C07"/>
    <w:rPr>
      <w:color w:val="954F72" w:themeColor="followedHyperlink"/>
      <w:u w:val="single"/>
    </w:rPr>
  </w:style>
  <w:style w:type="paragraph" w:styleId="NormalWeb">
    <w:name w:val="Normal (Web)"/>
    <w:basedOn w:val="Normal"/>
    <w:uiPriority w:val="99"/>
    <w:unhideWhenUsed/>
    <w:rsid w:val="009974B1"/>
    <w:pPr>
      <w:spacing w:before="100" w:beforeAutospacing="1" w:after="100" w:afterAutospacing="1" w:line="240" w:lineRule="auto"/>
    </w:pPr>
    <w:rPr>
      <w:rFonts w:ascii="Times New Roman" w:eastAsia="Times New Roman" w:hAnsi="Times New Roman" w:cs="Times New Roman"/>
      <w:kern w:val="0"/>
      <w:lang w:val="en-US" w:bidi="ml-IN"/>
      <w14:ligatures w14:val="none"/>
    </w:rPr>
  </w:style>
  <w:style w:type="character" w:styleId="Emphasis">
    <w:name w:val="Emphasis"/>
    <w:basedOn w:val="DefaultParagraphFont"/>
    <w:uiPriority w:val="20"/>
    <w:qFormat/>
    <w:rsid w:val="009974B1"/>
    <w:rPr>
      <w:i/>
      <w:iCs/>
    </w:rPr>
  </w:style>
  <w:style w:type="paragraph" w:styleId="Header">
    <w:name w:val="header"/>
    <w:basedOn w:val="Normal"/>
    <w:link w:val="HeaderChar"/>
    <w:uiPriority w:val="99"/>
    <w:unhideWhenUsed/>
    <w:rsid w:val="004F1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71D"/>
  </w:style>
  <w:style w:type="paragraph" w:styleId="Footer">
    <w:name w:val="footer"/>
    <w:basedOn w:val="Normal"/>
    <w:link w:val="FooterChar"/>
    <w:uiPriority w:val="99"/>
    <w:unhideWhenUsed/>
    <w:rsid w:val="004F1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1831</TotalTime>
  <Pages>15</Pages>
  <Words>5466</Words>
  <Characters>31158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dc:creator>
  <cp:keywords/>
  <dc:description/>
  <cp:lastModifiedBy>AMC GROUP OF EDUCATIONAL INSTITUTIONS DR MEENA RAMASWAMY</cp:lastModifiedBy>
  <cp:revision>30</cp:revision>
  <dcterms:created xsi:type="dcterms:W3CDTF">2026-01-23T06:02:00Z</dcterms:created>
  <dcterms:modified xsi:type="dcterms:W3CDTF">2026-05-25T10:47:00Z</dcterms:modified>
</cp:coreProperties>
</file>