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48D4A" w14:textId="7F0FE282" w:rsidR="004772EC" w:rsidRPr="00434098" w:rsidRDefault="009B0806" w:rsidP="00C21873">
      <w:pPr>
        <w:spacing w:before="240" w:after="240" w:line="240" w:lineRule="auto"/>
        <w:jc w:val="center"/>
        <w:rPr>
          <w:rFonts w:ascii="Times New Roman" w:hAnsi="Times New Roman" w:cs="Times New Roman"/>
          <w:b/>
          <w:bCs/>
          <w:sz w:val="36"/>
          <w:szCs w:val="36"/>
        </w:rPr>
      </w:pPr>
      <w:r w:rsidRPr="00434098">
        <w:rPr>
          <w:rFonts w:ascii="Times New Roman" w:hAnsi="Times New Roman" w:cs="Times New Roman"/>
          <w:b/>
          <w:bCs/>
          <w:sz w:val="36"/>
          <w:szCs w:val="36"/>
        </w:rPr>
        <w:t>Mediating</w:t>
      </w:r>
      <w:r w:rsidR="00EA72A8" w:rsidRPr="00434098">
        <w:rPr>
          <w:rFonts w:ascii="Times New Roman" w:hAnsi="Times New Roman" w:cs="Times New Roman"/>
          <w:b/>
          <w:bCs/>
          <w:sz w:val="36"/>
          <w:szCs w:val="36"/>
        </w:rPr>
        <w:t xml:space="preserve"> </w:t>
      </w:r>
      <w:r w:rsidRPr="00434098">
        <w:rPr>
          <w:rFonts w:ascii="Times New Roman" w:hAnsi="Times New Roman" w:cs="Times New Roman"/>
          <w:b/>
          <w:bCs/>
          <w:sz w:val="36"/>
          <w:szCs w:val="36"/>
        </w:rPr>
        <w:t>Role</w:t>
      </w:r>
      <w:r w:rsidR="00EA72A8" w:rsidRPr="00434098">
        <w:rPr>
          <w:rFonts w:ascii="Times New Roman" w:hAnsi="Times New Roman" w:cs="Times New Roman"/>
          <w:b/>
          <w:bCs/>
          <w:sz w:val="36"/>
          <w:szCs w:val="36"/>
        </w:rPr>
        <w:t xml:space="preserve"> </w:t>
      </w:r>
      <w:r w:rsidRPr="00434098">
        <w:rPr>
          <w:rFonts w:ascii="Times New Roman" w:hAnsi="Times New Roman" w:cs="Times New Roman"/>
          <w:b/>
          <w:bCs/>
          <w:sz w:val="36"/>
          <w:szCs w:val="36"/>
        </w:rPr>
        <w:t>of</w:t>
      </w:r>
      <w:r w:rsidR="00EA72A8" w:rsidRPr="00434098">
        <w:rPr>
          <w:rFonts w:ascii="Times New Roman" w:hAnsi="Times New Roman" w:cs="Times New Roman"/>
          <w:b/>
          <w:bCs/>
          <w:sz w:val="36"/>
          <w:szCs w:val="36"/>
        </w:rPr>
        <w:t xml:space="preserve"> </w:t>
      </w:r>
      <w:r w:rsidRPr="00434098">
        <w:rPr>
          <w:rFonts w:ascii="Times New Roman" w:hAnsi="Times New Roman" w:cs="Times New Roman"/>
          <w:b/>
          <w:bCs/>
          <w:sz w:val="36"/>
          <w:szCs w:val="36"/>
        </w:rPr>
        <w:t>Cognitive</w:t>
      </w:r>
      <w:r w:rsidR="00EA72A8" w:rsidRPr="00434098">
        <w:rPr>
          <w:rFonts w:ascii="Times New Roman" w:hAnsi="Times New Roman" w:cs="Times New Roman"/>
          <w:b/>
          <w:bCs/>
          <w:sz w:val="36"/>
          <w:szCs w:val="36"/>
        </w:rPr>
        <w:t xml:space="preserve"> </w:t>
      </w:r>
      <w:r w:rsidRPr="00434098">
        <w:rPr>
          <w:rFonts w:ascii="Times New Roman" w:hAnsi="Times New Roman" w:cs="Times New Roman"/>
          <w:b/>
          <w:bCs/>
          <w:sz w:val="36"/>
          <w:szCs w:val="36"/>
        </w:rPr>
        <w:t>Unlearning</w:t>
      </w:r>
      <w:r w:rsidR="00EA72A8" w:rsidRPr="00434098">
        <w:rPr>
          <w:rFonts w:ascii="Times New Roman" w:hAnsi="Times New Roman" w:cs="Times New Roman"/>
          <w:b/>
          <w:bCs/>
          <w:sz w:val="36"/>
          <w:szCs w:val="36"/>
        </w:rPr>
        <w:t xml:space="preserve"> </w:t>
      </w:r>
      <w:r w:rsidRPr="00434098">
        <w:rPr>
          <w:rFonts w:ascii="Times New Roman" w:hAnsi="Times New Roman" w:cs="Times New Roman"/>
          <w:b/>
          <w:bCs/>
          <w:sz w:val="36"/>
          <w:szCs w:val="36"/>
        </w:rPr>
        <w:t>in</w:t>
      </w:r>
      <w:r w:rsidR="00EA72A8" w:rsidRPr="00434098">
        <w:rPr>
          <w:rFonts w:ascii="Times New Roman" w:hAnsi="Times New Roman" w:cs="Times New Roman"/>
          <w:b/>
          <w:bCs/>
          <w:sz w:val="36"/>
          <w:szCs w:val="36"/>
        </w:rPr>
        <w:t xml:space="preserve"> </w:t>
      </w:r>
      <w:r w:rsidRPr="00434098">
        <w:rPr>
          <w:rFonts w:ascii="Times New Roman" w:hAnsi="Times New Roman" w:cs="Times New Roman"/>
          <w:b/>
          <w:bCs/>
          <w:sz w:val="36"/>
          <w:szCs w:val="36"/>
        </w:rPr>
        <w:t>the</w:t>
      </w:r>
      <w:r w:rsidR="00EA72A8" w:rsidRPr="00434098">
        <w:rPr>
          <w:rFonts w:ascii="Times New Roman" w:hAnsi="Times New Roman" w:cs="Times New Roman"/>
          <w:b/>
          <w:bCs/>
          <w:sz w:val="36"/>
          <w:szCs w:val="36"/>
        </w:rPr>
        <w:t xml:space="preserve"> </w:t>
      </w:r>
      <w:r w:rsidRPr="00434098">
        <w:rPr>
          <w:rFonts w:ascii="Times New Roman" w:hAnsi="Times New Roman" w:cs="Times New Roman"/>
          <w:b/>
          <w:bCs/>
          <w:sz w:val="36"/>
          <w:szCs w:val="36"/>
        </w:rPr>
        <w:t>Relationship</w:t>
      </w:r>
      <w:r w:rsidR="00EA72A8" w:rsidRPr="00434098">
        <w:rPr>
          <w:rFonts w:ascii="Times New Roman" w:hAnsi="Times New Roman" w:cs="Times New Roman"/>
          <w:b/>
          <w:bCs/>
          <w:sz w:val="36"/>
          <w:szCs w:val="36"/>
        </w:rPr>
        <w:t xml:space="preserve"> </w:t>
      </w:r>
      <w:r w:rsidRPr="00434098">
        <w:rPr>
          <w:rFonts w:ascii="Times New Roman" w:hAnsi="Times New Roman" w:cs="Times New Roman"/>
          <w:b/>
          <w:bCs/>
          <w:sz w:val="36"/>
          <w:szCs w:val="36"/>
        </w:rPr>
        <w:t>Between</w:t>
      </w:r>
      <w:r w:rsidR="00EA72A8" w:rsidRPr="00434098">
        <w:rPr>
          <w:rFonts w:ascii="Times New Roman" w:hAnsi="Times New Roman" w:cs="Times New Roman"/>
          <w:b/>
          <w:bCs/>
          <w:sz w:val="36"/>
          <w:szCs w:val="36"/>
        </w:rPr>
        <w:t xml:space="preserve"> </w:t>
      </w:r>
      <w:r w:rsidRPr="00434098">
        <w:rPr>
          <w:rFonts w:ascii="Times New Roman" w:hAnsi="Times New Roman" w:cs="Times New Roman"/>
          <w:b/>
          <w:bCs/>
          <w:sz w:val="36"/>
          <w:szCs w:val="36"/>
        </w:rPr>
        <w:t>Digital</w:t>
      </w:r>
      <w:r w:rsidR="00EA72A8" w:rsidRPr="00434098">
        <w:rPr>
          <w:rFonts w:ascii="Times New Roman" w:hAnsi="Times New Roman" w:cs="Times New Roman"/>
          <w:b/>
          <w:bCs/>
          <w:sz w:val="36"/>
          <w:szCs w:val="36"/>
        </w:rPr>
        <w:t xml:space="preserve"> </w:t>
      </w:r>
      <w:r w:rsidRPr="00434098">
        <w:rPr>
          <w:rFonts w:ascii="Times New Roman" w:hAnsi="Times New Roman" w:cs="Times New Roman"/>
          <w:b/>
          <w:bCs/>
          <w:sz w:val="36"/>
          <w:szCs w:val="36"/>
        </w:rPr>
        <w:t>Readiness</w:t>
      </w:r>
      <w:r w:rsidR="00EA72A8" w:rsidRPr="00434098">
        <w:rPr>
          <w:rFonts w:ascii="Times New Roman" w:hAnsi="Times New Roman" w:cs="Times New Roman"/>
          <w:b/>
          <w:bCs/>
          <w:sz w:val="36"/>
          <w:szCs w:val="36"/>
        </w:rPr>
        <w:t xml:space="preserve"> </w:t>
      </w:r>
      <w:r w:rsidRPr="00434098">
        <w:rPr>
          <w:rFonts w:ascii="Times New Roman" w:hAnsi="Times New Roman" w:cs="Times New Roman"/>
          <w:b/>
          <w:bCs/>
          <w:sz w:val="36"/>
          <w:szCs w:val="36"/>
        </w:rPr>
        <w:t>and</w:t>
      </w:r>
      <w:r w:rsidR="00EA72A8" w:rsidRPr="00434098">
        <w:rPr>
          <w:rFonts w:ascii="Times New Roman" w:hAnsi="Times New Roman" w:cs="Times New Roman"/>
          <w:b/>
          <w:bCs/>
          <w:sz w:val="36"/>
          <w:szCs w:val="36"/>
        </w:rPr>
        <w:t xml:space="preserve"> </w:t>
      </w:r>
      <w:r w:rsidRPr="00434098">
        <w:rPr>
          <w:rFonts w:ascii="Times New Roman" w:hAnsi="Times New Roman" w:cs="Times New Roman"/>
          <w:b/>
          <w:bCs/>
          <w:sz w:val="36"/>
          <w:szCs w:val="36"/>
        </w:rPr>
        <w:t>Digital</w:t>
      </w:r>
      <w:r w:rsidR="00EA72A8" w:rsidRPr="00434098">
        <w:rPr>
          <w:rFonts w:ascii="Times New Roman" w:hAnsi="Times New Roman" w:cs="Times New Roman"/>
          <w:b/>
          <w:bCs/>
          <w:sz w:val="36"/>
          <w:szCs w:val="36"/>
        </w:rPr>
        <w:t xml:space="preserve"> </w:t>
      </w:r>
      <w:r w:rsidRPr="00434098">
        <w:rPr>
          <w:rFonts w:ascii="Times New Roman" w:hAnsi="Times New Roman" w:cs="Times New Roman"/>
          <w:b/>
          <w:bCs/>
          <w:sz w:val="36"/>
          <w:szCs w:val="36"/>
        </w:rPr>
        <w:t>Transformation</w:t>
      </w:r>
      <w:r w:rsidR="00EA72A8" w:rsidRPr="00434098">
        <w:rPr>
          <w:rFonts w:ascii="Times New Roman" w:hAnsi="Times New Roman" w:cs="Times New Roman"/>
          <w:b/>
          <w:bCs/>
          <w:sz w:val="36"/>
          <w:szCs w:val="36"/>
        </w:rPr>
        <w:t xml:space="preserve"> </w:t>
      </w:r>
      <w:r w:rsidRPr="00434098">
        <w:rPr>
          <w:rFonts w:ascii="Times New Roman" w:hAnsi="Times New Roman" w:cs="Times New Roman"/>
          <w:b/>
          <w:bCs/>
          <w:sz w:val="36"/>
          <w:szCs w:val="36"/>
        </w:rPr>
        <w:t>Preparedness</w:t>
      </w:r>
    </w:p>
    <w:p w14:paraId="0F9386A6" w14:textId="7DD9B4DA" w:rsidR="005B00C4" w:rsidRPr="00C21873" w:rsidRDefault="005B00C4" w:rsidP="00C21873">
      <w:pPr>
        <w:spacing w:before="240" w:after="240" w:line="240" w:lineRule="auto"/>
        <w:jc w:val="center"/>
        <w:rPr>
          <w:rFonts w:ascii="Times New Roman" w:hAnsi="Times New Roman" w:cs="Times New Roman"/>
          <w:b/>
          <w:bCs/>
          <w:vertAlign w:val="superscript"/>
        </w:rPr>
      </w:pPr>
    </w:p>
    <w:p w14:paraId="29A15903" w14:textId="23FC1971" w:rsidR="005B00C4" w:rsidRPr="00477A65" w:rsidRDefault="005B00C4" w:rsidP="00C21873">
      <w:pPr>
        <w:spacing w:before="240" w:after="240" w:line="240" w:lineRule="auto"/>
        <w:jc w:val="center"/>
        <w:rPr>
          <w:rFonts w:ascii="Times New Roman" w:hAnsi="Times New Roman" w:cs="Times New Roman"/>
          <w:b/>
          <w:bCs/>
        </w:rPr>
      </w:pPr>
    </w:p>
    <w:p w14:paraId="731F9B81" w14:textId="1968BC79" w:rsidR="00477A65" w:rsidRPr="00477A65" w:rsidRDefault="00477A65" w:rsidP="00C21873">
      <w:pPr>
        <w:spacing w:before="240" w:after="240" w:line="240" w:lineRule="auto"/>
        <w:jc w:val="center"/>
        <w:rPr>
          <w:rFonts w:ascii="Times New Roman" w:hAnsi="Times New Roman" w:cs="Times New Roman"/>
          <w:b/>
          <w:bCs/>
        </w:rPr>
      </w:pPr>
    </w:p>
    <w:p w14:paraId="57003C36" w14:textId="62133F2D" w:rsidR="00477A65" w:rsidRPr="00477A65" w:rsidRDefault="00477A65" w:rsidP="00C21873">
      <w:pPr>
        <w:spacing w:before="240" w:after="240" w:line="240" w:lineRule="auto"/>
        <w:jc w:val="center"/>
        <w:rPr>
          <w:rFonts w:ascii="Times New Roman" w:hAnsi="Times New Roman" w:cs="Times New Roman"/>
          <w:b/>
          <w:bCs/>
        </w:rPr>
      </w:pPr>
    </w:p>
    <w:p w14:paraId="2DE08ABD" w14:textId="176B9DA8" w:rsidR="005B00C4" w:rsidRDefault="005B00C4" w:rsidP="00C21873">
      <w:pPr>
        <w:spacing w:before="240" w:after="240" w:line="240" w:lineRule="auto"/>
        <w:jc w:val="center"/>
      </w:pPr>
      <w:r w:rsidRPr="00477A65">
        <w:rPr>
          <w:rFonts w:ascii="Times New Roman" w:hAnsi="Times New Roman" w:cs="Times New Roman"/>
          <w:b/>
          <w:bCs/>
        </w:rPr>
        <w:t/>
      </w:r>
      <w:r w:rsidR="00C21873">
        <w:rPr>
          <w:rFonts w:ascii="Times New Roman" w:hAnsi="Times New Roman" w:cs="Times New Roman"/>
          <w:b/>
          <w:bCs/>
        </w:rPr>
        <w:t/>
      </w:r>
      <w:r w:rsidRPr="00477A65">
        <w:rPr>
          <w:rFonts w:ascii="Times New Roman" w:hAnsi="Times New Roman" w:cs="Times New Roman"/>
          <w:b/>
          <w:bCs/>
        </w:rPr>
        <w:t xml:space="preserve"/>
      </w:r>
    </w:p>
    <w:p w14:paraId="51350B23" w14:textId="77777777" w:rsidR="000F79D1" w:rsidRDefault="000F79D1" w:rsidP="000F79D1">
      <w:pPr>
        <w:spacing w:before="240" w:after="240" w:line="240" w:lineRule="auto"/>
        <w:jc w:val="center"/>
        <w:rPr>
          <w:rFonts w:ascii="Times New Roman" w:hAnsi="Times New Roman" w:cs="Times New Roman"/>
          <w:b/>
          <w:bCs/>
        </w:rPr>
      </w:pPr>
      <w:r>
        <w:rPr>
          <w:rFonts w:ascii="Times New Roman" w:hAnsi="Times New Roman" w:cs="Times New Roman"/>
          <w:b/>
          <w:bCs/>
        </w:rPr>
        <w:t xml:space="preserve"/>
      </w:r>
      <w:hyperlink r:id="rId7" w:history="1">
        <w:r w:rsidRPr="00482CE0">
          <w:rPr>
            <w:rStyle w:val="Hyperlink"/>
            <w:rFonts w:ascii="Times New Roman" w:hAnsi="Times New Roman" w:cs="Times New Roman"/>
            <w:b/>
            <w:bCs/>
          </w:rPr>
          <w:t/>
        </w:r>
      </w:hyperlink>
    </w:p>
    <w:p w14:paraId="387DE5D8" w14:textId="658A9617" w:rsidR="003C1095" w:rsidRDefault="003C1095" w:rsidP="000F79D1">
      <w:pPr>
        <w:spacing w:before="240" w:after="240" w:line="240" w:lineRule="auto"/>
        <w:jc w:val="center"/>
        <w:rPr>
          <w:rFonts w:ascii="Times New Roman" w:hAnsi="Times New Roman" w:cs="Times New Roman"/>
          <w:b/>
          <w:bCs/>
        </w:rPr>
      </w:pPr>
      <w:r w:rsidRPr="003C1095">
        <w:rPr>
          <w:rFonts w:ascii="Times New Roman" w:hAnsi="Times New Roman" w:cs="Times New Roman"/>
          <w:b/>
          <w:bCs/>
        </w:rPr>
        <w:t/>
      </w:r>
      <w:r w:rsidR="0081439A">
        <w:rPr>
          <w:rFonts w:ascii="Times New Roman" w:hAnsi="Times New Roman" w:cs="Times New Roman"/>
          <w:b/>
          <w:bCs/>
        </w:rPr>
        <w:t xml:space="preserve"/>
      </w:r>
      <w:proofErr w:type="spellStart"/>
      <w:r w:rsidR="0081439A">
        <w:rPr>
          <w:rFonts w:ascii="Times New Roman" w:hAnsi="Times New Roman" w:cs="Times New Roman"/>
          <w:b/>
          <w:bCs/>
        </w:rPr>
        <w:t/>
      </w:r>
      <w:proofErr w:type="spellEnd"/>
      <w:r w:rsidRPr="003C1095">
        <w:rPr>
          <w:rFonts w:ascii="Times New Roman" w:hAnsi="Times New Roman" w:cs="Times New Roman"/>
          <w:b/>
          <w:bCs/>
        </w:rPr>
        <w:t xml:space="preserve"/>
      </w:r>
      <w:proofErr w:type="spellStart"/>
      <w:r w:rsidR="0081439A">
        <w:rPr>
          <w:rFonts w:ascii="Times New Roman" w:hAnsi="Times New Roman" w:cs="Times New Roman"/>
          <w:b/>
          <w:bCs/>
        </w:rPr>
        <w:t/>
      </w:r>
      <w:proofErr w:type="spellEnd"/>
      <w:r w:rsidRPr="003C1095">
        <w:rPr>
          <w:rFonts w:ascii="Times New Roman" w:hAnsi="Times New Roman" w:cs="Times New Roman"/>
          <w:b/>
          <w:bCs/>
        </w:rPr>
        <w:t xml:space="preserve"/>
      </w:r>
      <w:proofErr w:type="spellStart"/>
      <w:r w:rsidR="0081439A">
        <w:rPr>
          <w:rFonts w:ascii="Times New Roman" w:hAnsi="Times New Roman" w:cs="Times New Roman"/>
          <w:b/>
          <w:bCs/>
        </w:rPr>
        <w:t/>
      </w:r>
      <w:proofErr w:type="spellEnd"/>
    </w:p>
    <w:p w14:paraId="4F0AAF4A" w14:textId="339E804E" w:rsidR="00EF5BE2" w:rsidRPr="00C531F3" w:rsidRDefault="00801507" w:rsidP="00801507">
      <w:pPr>
        <w:spacing w:before="240" w:after="240" w:line="240" w:lineRule="auto"/>
        <w:jc w:val="both"/>
        <w:rPr>
          <w:rFonts w:ascii="Times New Roman" w:hAnsi="Times New Roman" w:cs="Times New Roman"/>
          <w:lang w:val="en-US"/>
        </w:rPr>
      </w:pPr>
      <w:r w:rsidRPr="00C531F3">
        <w:rPr>
          <w:rFonts w:ascii="Times New Roman" w:hAnsi="Times New Roman" w:cs="Times New Roman"/>
          <w:b/>
          <w:bCs/>
          <w:lang w:val="en-US"/>
        </w:rPr>
        <w:t>ABSTRACT</w:t>
      </w:r>
    </w:p>
    <w:p w14:paraId="38A6CE2D" w14:textId="7FB2BBF2" w:rsidR="00EF5BE2" w:rsidRPr="00C531F3" w:rsidRDefault="00556239" w:rsidP="00C21873">
      <w:pPr>
        <w:spacing w:before="240" w:after="240" w:line="240" w:lineRule="auto"/>
        <w:jc w:val="both"/>
        <w:rPr>
          <w:rFonts w:ascii="Times New Roman" w:hAnsi="Times New Roman" w:cs="Times New Roman"/>
          <w:lang w:val="en-US"/>
        </w:rPr>
      </w:pPr>
      <w:r w:rsidRPr="00C531F3">
        <w:rPr>
          <w:rFonts w:ascii="Times New Roman" w:hAnsi="Times New Roman" w:cs="Times New Roman"/>
          <w:i/>
          <w:iCs/>
        </w:rPr>
        <w:t>Purpose:</w:t>
      </w:r>
      <w:r w:rsidRPr="00C531F3">
        <w:rPr>
          <w:rFonts w:ascii="Times New Roman" w:hAnsi="Times New Roman" w:cs="Times New Roman"/>
        </w:rPr>
        <w:t xml:space="preserve"> This study examines whether cognitive unlearning mediates the relationship between digital readiness and digital transformation preparedness in higher education institutions. </w:t>
      </w:r>
      <w:r w:rsidRPr="00C531F3">
        <w:rPr>
          <w:rFonts w:ascii="Times New Roman" w:hAnsi="Times New Roman" w:cs="Times New Roman"/>
          <w:i/>
          <w:iCs/>
        </w:rPr>
        <w:t>Methodology:</w:t>
      </w:r>
      <w:r w:rsidRPr="00C531F3">
        <w:rPr>
          <w:rFonts w:ascii="Times New Roman" w:hAnsi="Times New Roman" w:cs="Times New Roman"/>
        </w:rPr>
        <w:t xml:space="preserve"> Guided by the Behavioural–Institutional Framework for Transformation (BIFT), the study analysed survey data from 384 academic and management staff across 30 polytechnics and universities in Northeast Nigeria using structural equation modelling and multi-group analysis in JASP. </w:t>
      </w:r>
      <w:r w:rsidRPr="00C531F3">
        <w:rPr>
          <w:rFonts w:ascii="Times New Roman" w:hAnsi="Times New Roman" w:cs="Times New Roman"/>
          <w:i/>
          <w:iCs/>
        </w:rPr>
        <w:t>Findings:</w:t>
      </w:r>
      <w:r w:rsidRPr="00C531F3">
        <w:rPr>
          <w:rFonts w:ascii="Times New Roman" w:hAnsi="Times New Roman" w:cs="Times New Roman"/>
        </w:rPr>
        <w:t xml:space="preserve"> Digital readiness significantly predicted transformation preparedness (β = .284, p &lt; .001), but the effect was partially mediated by cognitive unlearning (indirect effect β = .299). The model explained 52.4% of the variance in preparedness, and the unlearning–preparedness link was stronger in Federal than in State-owned institutions (Δβ = .14, p = .032). </w:t>
      </w:r>
      <w:r w:rsidRPr="00C531F3">
        <w:rPr>
          <w:rFonts w:ascii="Times New Roman" w:hAnsi="Times New Roman" w:cs="Times New Roman"/>
          <w:i/>
          <w:iCs/>
        </w:rPr>
        <w:t>Originality/value:</w:t>
      </w:r>
      <w:r w:rsidRPr="00C531F3">
        <w:rPr>
          <w:rFonts w:ascii="Times New Roman" w:hAnsi="Times New Roman" w:cs="Times New Roman"/>
        </w:rPr>
        <w:t xml:space="preserve"> The study validates BIFT in a resource-constrained, post-conflict context and shows that digital transformation depends not only on infrastructure, but also on cognitive unlearning as a micro-foundational condition for preparedness.</w:t>
      </w:r>
    </w:p>
    <w:p w14:paraId="500253C6" w14:textId="3A716B22" w:rsidR="00EF5BE2" w:rsidRPr="00C531F3" w:rsidRDefault="00E9314B" w:rsidP="00C21873">
      <w:pPr>
        <w:spacing w:before="240" w:after="240" w:line="240" w:lineRule="auto"/>
        <w:jc w:val="both"/>
        <w:rPr>
          <w:rFonts w:ascii="Times New Roman" w:hAnsi="Times New Roman" w:cs="Times New Roman"/>
        </w:rPr>
      </w:pPr>
      <w:r w:rsidRPr="00C531F3">
        <w:rPr>
          <w:rFonts w:ascii="Times New Roman" w:hAnsi="Times New Roman" w:cs="Times New Roman"/>
          <w:b/>
          <w:bCs/>
        </w:rPr>
        <w:t>Keywords:</w:t>
      </w:r>
      <w:r w:rsidRPr="00C531F3">
        <w:rPr>
          <w:rFonts w:ascii="Times New Roman" w:hAnsi="Times New Roman" w:cs="Times New Roman"/>
        </w:rPr>
        <w:t xml:space="preserve"> Digital Readiness, Digital Transformation Preparedness, Cognitive Unlearning, Higher Education, BIFT Framework.</w:t>
      </w:r>
    </w:p>
    <w:p w14:paraId="624E3248" w14:textId="6E2F27B1" w:rsidR="005F2B38" w:rsidRPr="00C531F3" w:rsidRDefault="00C21873" w:rsidP="00C21873">
      <w:pPr>
        <w:pStyle w:val="Heading1"/>
        <w:spacing w:before="240" w:after="240" w:line="240" w:lineRule="auto"/>
        <w:jc w:val="both"/>
        <w:rPr>
          <w:rFonts w:ascii="Times New Roman" w:hAnsi="Times New Roman" w:cs="Times New Roman"/>
          <w:b/>
          <w:bCs/>
          <w:color w:val="auto"/>
          <w:sz w:val="24"/>
          <w:szCs w:val="24"/>
          <w:lang w:val="en-US"/>
        </w:rPr>
      </w:pPr>
      <w:r w:rsidRPr="00C531F3">
        <w:rPr>
          <w:rFonts w:ascii="Times New Roman" w:hAnsi="Times New Roman" w:cs="Times New Roman"/>
          <w:b/>
          <w:bCs/>
          <w:color w:val="auto"/>
          <w:sz w:val="24"/>
          <w:szCs w:val="24"/>
          <w:lang w:val="en-US"/>
        </w:rPr>
        <w:t>INTRODUCTION</w:t>
      </w:r>
    </w:p>
    <w:p w14:paraId="7035BF1F" w14:textId="40221AB8" w:rsidR="00D306EC" w:rsidRPr="00C531F3" w:rsidRDefault="00D306EC" w:rsidP="00C21873">
      <w:pPr>
        <w:spacing w:before="240" w:after="240" w:line="240" w:lineRule="auto"/>
        <w:ind w:firstLine="709"/>
        <w:jc w:val="both"/>
        <w:rPr>
          <w:rFonts w:ascii="Times New Roman" w:hAnsi="Times New Roman" w:cs="Times New Roman"/>
          <w:lang w:val="en-US"/>
        </w:rPr>
      </w:pPr>
      <w:r w:rsidRPr="00C531F3">
        <w:rPr>
          <w:rFonts w:ascii="Times New Roman" w:hAnsi="Times New Roman" w:cs="Times New Roman"/>
          <w:lang w:val="en-US"/>
        </w:rPr>
        <w:t>Digital transformation in higher education has moved from a peripheral innovation to a structural imperative. The rapid diffusion of Learning Management Systems (LMS), the rise of generative artificial intelligence, and the expansion of digital governance have compelled institutions to reconfigure both academic delivery and administrative processes (</w:t>
      </w:r>
      <w:proofErr w:type="spellStart"/>
      <w:r w:rsidRPr="00C531F3">
        <w:rPr>
          <w:rFonts w:ascii="Times New Roman" w:hAnsi="Times New Roman" w:cs="Times New Roman"/>
          <w:lang w:val="en-US"/>
        </w:rPr>
        <w:t>Adiwijaya</w:t>
      </w:r>
      <w:proofErr w:type="spellEnd"/>
      <w:r w:rsidRPr="00C531F3">
        <w:rPr>
          <w:rFonts w:ascii="Times New Roman" w:hAnsi="Times New Roman" w:cs="Times New Roman"/>
          <w:lang w:val="en-US"/>
        </w:rPr>
        <w:t xml:space="preserve"> et al., 2025). Accelerated by the COVID-19 pandemic (</w:t>
      </w:r>
      <w:proofErr w:type="spellStart"/>
      <w:r w:rsidRPr="00C531F3">
        <w:rPr>
          <w:rFonts w:ascii="Times New Roman" w:hAnsi="Times New Roman" w:cs="Times New Roman"/>
          <w:lang w:val="en-US"/>
        </w:rPr>
        <w:t>Chikaji</w:t>
      </w:r>
      <w:proofErr w:type="spellEnd"/>
      <w:r w:rsidRPr="00C531F3">
        <w:rPr>
          <w:rFonts w:ascii="Times New Roman" w:hAnsi="Times New Roman" w:cs="Times New Roman"/>
          <w:lang w:val="en-US"/>
        </w:rPr>
        <w:t xml:space="preserve"> et al., 2024), this shift has revealed not only the promise of digital technologies but also the fragility of the systems expected to implement them (Nair &amp; Sandip, 2023). Yet many institutions still struggle to convert digital capacity into sustained transformation outcomes (Niemiec &amp; Zerbst, 2025).</w:t>
      </w:r>
    </w:p>
    <w:p w14:paraId="58F20B03" w14:textId="622ABF6D" w:rsidR="00D306EC" w:rsidRPr="00C531F3" w:rsidRDefault="00D306EC" w:rsidP="00C21873">
      <w:pPr>
        <w:spacing w:before="240" w:after="240" w:line="240" w:lineRule="auto"/>
        <w:ind w:firstLine="709"/>
        <w:jc w:val="both"/>
        <w:rPr>
          <w:rFonts w:ascii="Times New Roman" w:hAnsi="Times New Roman" w:cs="Times New Roman"/>
          <w:lang w:val="en-US"/>
        </w:rPr>
      </w:pPr>
      <w:r w:rsidRPr="00C531F3">
        <w:rPr>
          <w:rFonts w:ascii="Times New Roman" w:hAnsi="Times New Roman" w:cs="Times New Roman"/>
          <w:lang w:val="en-US"/>
        </w:rPr>
        <w:t>Current scholarship suggests that technical skills and hardware alone are not enough. Readiness is increasingly associated with a broader combination of skills, confidence, adaptability, and support (</w:t>
      </w:r>
      <w:proofErr w:type="spellStart"/>
      <w:r w:rsidRPr="00C531F3">
        <w:rPr>
          <w:rFonts w:ascii="Times New Roman" w:hAnsi="Times New Roman" w:cs="Times New Roman"/>
          <w:lang w:val="en-US"/>
        </w:rPr>
        <w:t>Höyng</w:t>
      </w:r>
      <w:proofErr w:type="spellEnd"/>
      <w:r w:rsidRPr="00C531F3">
        <w:rPr>
          <w:rFonts w:ascii="Times New Roman" w:hAnsi="Times New Roman" w:cs="Times New Roman"/>
          <w:lang w:val="en-US"/>
        </w:rPr>
        <w:t xml:space="preserve"> &amp; Lau, 2023; </w:t>
      </w:r>
      <w:proofErr w:type="spellStart"/>
      <w:r w:rsidRPr="00C531F3">
        <w:rPr>
          <w:rFonts w:ascii="Times New Roman" w:hAnsi="Times New Roman" w:cs="Times New Roman"/>
          <w:lang w:val="en-US"/>
        </w:rPr>
        <w:t>Trenerry</w:t>
      </w:r>
      <w:proofErr w:type="spellEnd"/>
      <w:r w:rsidRPr="00C531F3">
        <w:rPr>
          <w:rFonts w:ascii="Times New Roman" w:hAnsi="Times New Roman" w:cs="Times New Roman"/>
          <w:lang w:val="en-US"/>
        </w:rPr>
        <w:t xml:space="preserve"> et al., 2021). In policy and research, however, digital readiness is still often defined mainly in terms of infrastructure and technical competence (Soomro et al., 2020). Measurement frameworks built on this logic tend to privilege technological capacity, producing “infrastructural determinism” by capturing what institutions possess without explaining how that capacity becomes effective (</w:t>
      </w:r>
      <w:proofErr w:type="spellStart"/>
      <w:r w:rsidRPr="00C531F3">
        <w:rPr>
          <w:rFonts w:ascii="Times New Roman" w:hAnsi="Times New Roman" w:cs="Times New Roman"/>
          <w:lang w:val="en-US"/>
        </w:rPr>
        <w:t>Chounta</w:t>
      </w:r>
      <w:proofErr w:type="spellEnd"/>
      <w:r w:rsidRPr="00C531F3">
        <w:rPr>
          <w:rFonts w:ascii="Times New Roman" w:hAnsi="Times New Roman" w:cs="Times New Roman"/>
          <w:lang w:val="en-US"/>
        </w:rPr>
        <w:t xml:space="preserve"> et al., 2024; Salisu, 2026). The result is “illusory readiness”: institutions appear prepared on paper, but struggle to translate capacity into transformation (Salisu, 2026).</w:t>
      </w:r>
    </w:p>
    <w:p w14:paraId="589D4A94" w14:textId="5F3B29FF" w:rsidR="00D306EC" w:rsidRPr="00C531F3" w:rsidRDefault="00D306EC" w:rsidP="00C21873">
      <w:pPr>
        <w:spacing w:before="240" w:after="240" w:line="240" w:lineRule="auto"/>
        <w:ind w:firstLine="709"/>
        <w:jc w:val="both"/>
        <w:rPr>
          <w:rFonts w:ascii="Times New Roman" w:hAnsi="Times New Roman" w:cs="Times New Roman"/>
          <w:lang w:val="en-US"/>
        </w:rPr>
      </w:pPr>
      <w:r w:rsidRPr="00C531F3">
        <w:rPr>
          <w:rFonts w:ascii="Times New Roman" w:hAnsi="Times New Roman" w:cs="Times New Roman"/>
          <w:lang w:val="en-US"/>
        </w:rPr>
        <w:lastRenderedPageBreak/>
        <w:t xml:space="preserve">This problem is especially visible in Northeast Nigeria, where universities and polytechnics operate under resource constraints and the lingering effects of conflict. In this setting, digital tools are often undermined by unstable power supplies, weak support systems, and limited </w:t>
      </w:r>
      <w:proofErr w:type="spellStart"/>
      <w:r w:rsidRPr="00C531F3">
        <w:rPr>
          <w:rFonts w:ascii="Times New Roman" w:hAnsi="Times New Roman" w:cs="Times New Roman"/>
          <w:lang w:val="en-US"/>
        </w:rPr>
        <w:t>contextualised</w:t>
      </w:r>
      <w:proofErr w:type="spellEnd"/>
      <w:r w:rsidRPr="00C531F3">
        <w:rPr>
          <w:rFonts w:ascii="Times New Roman" w:hAnsi="Times New Roman" w:cs="Times New Roman"/>
          <w:lang w:val="en-US"/>
        </w:rPr>
        <w:t xml:space="preserve"> training (Ogbonna et al., 2025). Even where infrastructure is available, digital technologies may produce only superficial adoption rather than real institutional change (Zhong et al., 2025). The key challenge, therefore, is not only resource expansion but the alignment of existing capacities so that preparedness can emerge despite constraint.</w:t>
      </w:r>
    </w:p>
    <w:p w14:paraId="2542FD76" w14:textId="26A00EAF" w:rsidR="00D306EC" w:rsidRPr="00C531F3" w:rsidRDefault="00D306EC" w:rsidP="00C21873">
      <w:pPr>
        <w:spacing w:before="240" w:after="240" w:line="240" w:lineRule="auto"/>
        <w:ind w:firstLine="709"/>
        <w:jc w:val="both"/>
        <w:rPr>
          <w:rFonts w:ascii="Times New Roman" w:hAnsi="Times New Roman" w:cs="Times New Roman"/>
          <w:lang w:val="en-US"/>
        </w:rPr>
      </w:pPr>
      <w:r w:rsidRPr="00C531F3">
        <w:rPr>
          <w:rFonts w:ascii="Times New Roman" w:hAnsi="Times New Roman" w:cs="Times New Roman"/>
          <w:lang w:val="en-US"/>
        </w:rPr>
        <w:t>A further limitation of prevailing models is that they under-specify the mechanism through which individual capability becomes institutional action. This study identifies the “burden of the past” as a major barrier to that conversion. Digital change requires cognitive restructuring and the abandonment of entrenched habits, a process captured by cognitive unlearning (Zhao et al., 2026; Zhou et al., 2025). Unlearning involves letting go of obsolete knowledge, beliefs, and routines so that new technologies and workflows can take hold (</w:t>
      </w:r>
      <w:proofErr w:type="spellStart"/>
      <w:r w:rsidRPr="00C531F3">
        <w:rPr>
          <w:rFonts w:ascii="Times New Roman" w:hAnsi="Times New Roman" w:cs="Times New Roman"/>
          <w:lang w:val="en-US"/>
        </w:rPr>
        <w:t>Schiuma</w:t>
      </w:r>
      <w:proofErr w:type="spellEnd"/>
      <w:r w:rsidRPr="00C531F3">
        <w:rPr>
          <w:rFonts w:ascii="Times New Roman" w:hAnsi="Times New Roman" w:cs="Times New Roman"/>
          <w:lang w:val="en-US"/>
        </w:rPr>
        <w:t xml:space="preserve"> et al., 2024). Where technical debt accumulates in the form of rigid procedures and legacy systems, the institution itself becomes a source of friction that slows transformation (Park, 2025).</w:t>
      </w:r>
    </w:p>
    <w:p w14:paraId="16026EB6" w14:textId="73ABF4FA" w:rsidR="00D306EC" w:rsidRPr="00C531F3" w:rsidRDefault="00D306EC" w:rsidP="00C21873">
      <w:pPr>
        <w:spacing w:before="240" w:after="240" w:line="240" w:lineRule="auto"/>
        <w:ind w:firstLine="709"/>
        <w:jc w:val="both"/>
        <w:rPr>
          <w:rFonts w:ascii="Times New Roman" w:hAnsi="Times New Roman" w:cs="Times New Roman"/>
          <w:lang w:val="en-US"/>
        </w:rPr>
      </w:pPr>
      <w:r w:rsidRPr="00C531F3">
        <w:rPr>
          <w:rFonts w:ascii="Times New Roman" w:hAnsi="Times New Roman" w:cs="Times New Roman"/>
          <w:lang w:val="en-US"/>
        </w:rPr>
        <w:t xml:space="preserve">To address this issue, the study adopts the </w:t>
      </w:r>
      <w:proofErr w:type="spellStart"/>
      <w:r w:rsidRPr="00C531F3">
        <w:rPr>
          <w:rFonts w:ascii="Times New Roman" w:hAnsi="Times New Roman" w:cs="Times New Roman"/>
          <w:lang w:val="en-US"/>
        </w:rPr>
        <w:t>Behavioural</w:t>
      </w:r>
      <w:proofErr w:type="spellEnd"/>
      <w:r w:rsidRPr="00C531F3">
        <w:rPr>
          <w:rFonts w:ascii="Times New Roman" w:hAnsi="Times New Roman" w:cs="Times New Roman"/>
          <w:lang w:val="en-US"/>
        </w:rPr>
        <w:t xml:space="preserve">–Institutional Framework for Transformation (BIFT) developed by Salisu (2026). BIFT </w:t>
      </w:r>
      <w:proofErr w:type="spellStart"/>
      <w:r w:rsidRPr="00C531F3">
        <w:rPr>
          <w:rFonts w:ascii="Times New Roman" w:hAnsi="Times New Roman" w:cs="Times New Roman"/>
          <w:lang w:val="en-US"/>
        </w:rPr>
        <w:t>reconceptualises</w:t>
      </w:r>
      <w:proofErr w:type="spellEnd"/>
      <w:r w:rsidRPr="00C531F3">
        <w:rPr>
          <w:rFonts w:ascii="Times New Roman" w:hAnsi="Times New Roman" w:cs="Times New Roman"/>
          <w:lang w:val="en-US"/>
        </w:rPr>
        <w:t xml:space="preserve"> readiness as a multilevel, interactional phenomenon and distinguishes it from digital transformation preparedness. Readiness refers to the latent presence of </w:t>
      </w:r>
      <w:proofErr w:type="spellStart"/>
      <w:r w:rsidRPr="00C531F3">
        <w:rPr>
          <w:rFonts w:ascii="Times New Roman" w:hAnsi="Times New Roman" w:cs="Times New Roman"/>
          <w:lang w:val="en-US"/>
        </w:rPr>
        <w:t>behavioural</w:t>
      </w:r>
      <w:proofErr w:type="spellEnd"/>
      <w:r w:rsidRPr="00C531F3">
        <w:rPr>
          <w:rFonts w:ascii="Times New Roman" w:hAnsi="Times New Roman" w:cs="Times New Roman"/>
          <w:lang w:val="en-US"/>
        </w:rPr>
        <w:t>, leadership, and institutional attributes, whereas preparedness refers to their functional alignment and activation in support of sustained outcomes (Salisu, 2026). The framework suggests that transformation gaps are often misalignments across levels: high micro-level competence may be constrained by weak leadership orchestration or rigid governance structures at higher levels (Kim &amp; Park, 2025).</w:t>
      </w:r>
    </w:p>
    <w:p w14:paraId="765E0399" w14:textId="159C2E76" w:rsidR="00D306EC" w:rsidRPr="00C531F3" w:rsidRDefault="00D306EC" w:rsidP="00C21873">
      <w:pPr>
        <w:spacing w:before="240" w:after="240" w:line="240" w:lineRule="auto"/>
        <w:ind w:firstLine="709"/>
        <w:jc w:val="both"/>
        <w:rPr>
          <w:rFonts w:ascii="Times New Roman" w:hAnsi="Times New Roman" w:cs="Times New Roman"/>
          <w:lang w:val="en-US"/>
        </w:rPr>
      </w:pPr>
      <w:r w:rsidRPr="00C531F3">
        <w:rPr>
          <w:rFonts w:ascii="Times New Roman" w:hAnsi="Times New Roman" w:cs="Times New Roman"/>
          <w:lang w:val="en-US"/>
        </w:rPr>
        <w:t xml:space="preserve">Against this background, the study examines the direct effect of digital readiness on transformation preparedness and the mediating role of cognitive unlearning among academic and management staff. By shifting attention from possession of resources to coordination of capabilities, it offers a more precise explanation for digital change in Nigerian higher education. Theoretically, it extends BIFT by specifying cognitive unlearning as the mechanism linking latent capacity to operative transformation. Practically, it provides </w:t>
      </w:r>
      <w:r w:rsidR="007E1EE1" w:rsidRPr="00C531F3">
        <w:rPr>
          <w:rFonts w:ascii="Times New Roman" w:hAnsi="Times New Roman" w:cs="Times New Roman"/>
          <w:lang w:val="en-US"/>
        </w:rPr>
        <w:t>senior polytechnic/university academics and</w:t>
      </w:r>
      <w:r w:rsidRPr="00C531F3">
        <w:rPr>
          <w:rFonts w:ascii="Times New Roman" w:hAnsi="Times New Roman" w:cs="Times New Roman"/>
          <w:lang w:val="en-US"/>
        </w:rPr>
        <w:t xml:space="preserve"> administrators with a diagnostic lens for identifying bottlenecks and directing investment towards human and </w:t>
      </w:r>
      <w:proofErr w:type="spellStart"/>
      <w:r w:rsidRPr="00C531F3">
        <w:rPr>
          <w:rFonts w:ascii="Times New Roman" w:hAnsi="Times New Roman" w:cs="Times New Roman"/>
          <w:lang w:val="en-US"/>
        </w:rPr>
        <w:t>organisational</w:t>
      </w:r>
      <w:proofErr w:type="spellEnd"/>
      <w:r w:rsidRPr="00C531F3">
        <w:rPr>
          <w:rFonts w:ascii="Times New Roman" w:hAnsi="Times New Roman" w:cs="Times New Roman"/>
          <w:lang w:val="en-US"/>
        </w:rPr>
        <w:t xml:space="preserve"> alignment rather than hardware alone (Salisu, 2026; Zhao et al., 2026).</w:t>
      </w:r>
    </w:p>
    <w:p w14:paraId="43C03EF9" w14:textId="76FBB260" w:rsidR="00E04BAD" w:rsidRPr="00C531F3" w:rsidRDefault="00C21873" w:rsidP="00C21873">
      <w:pPr>
        <w:pStyle w:val="Heading1"/>
        <w:spacing w:before="240" w:after="240" w:line="240" w:lineRule="auto"/>
        <w:jc w:val="both"/>
        <w:rPr>
          <w:rFonts w:ascii="Times New Roman" w:hAnsi="Times New Roman" w:cs="Times New Roman"/>
          <w:b/>
          <w:bCs/>
          <w:color w:val="auto"/>
          <w:sz w:val="24"/>
          <w:szCs w:val="24"/>
          <w:lang w:val="en-US"/>
        </w:rPr>
      </w:pPr>
      <w:r w:rsidRPr="00C531F3">
        <w:rPr>
          <w:rFonts w:ascii="Times New Roman" w:hAnsi="Times New Roman" w:cs="Times New Roman"/>
          <w:b/>
          <w:bCs/>
          <w:color w:val="auto"/>
          <w:sz w:val="24"/>
          <w:szCs w:val="24"/>
          <w:lang w:val="en-US"/>
        </w:rPr>
        <w:t>LITERATURE REVIEW AND HYPOTHESES DEVELOPMENT</w:t>
      </w:r>
    </w:p>
    <w:p w14:paraId="2B8846D4" w14:textId="1208484E" w:rsidR="00E04BAD" w:rsidRPr="00C531F3" w:rsidRDefault="009C4ADB" w:rsidP="00C21873">
      <w:pPr>
        <w:spacing w:before="240" w:after="240" w:line="240" w:lineRule="auto"/>
        <w:ind w:firstLine="709"/>
        <w:jc w:val="both"/>
        <w:rPr>
          <w:rFonts w:ascii="Times New Roman" w:hAnsi="Times New Roman" w:cs="Times New Roman"/>
        </w:rPr>
      </w:pPr>
      <w:r w:rsidRPr="00C531F3">
        <w:rPr>
          <w:rFonts w:ascii="Times New Roman" w:hAnsi="Times New Roman" w:cs="Times New Roman"/>
        </w:rPr>
        <w:t>The persistence of the digital transformation gap in higher education indicates that the problem is not simply one of digital investment, but of theoretical mis-specification. Substantial resources may expand technical capacity, yet institutions still struggle to convert that capacity into sustained organisational change. Anchored in the BIFT, this section explains how digital readiness becomes transformation preparedness through cognitive unlearning.</w:t>
      </w:r>
    </w:p>
    <w:p w14:paraId="304D3649" w14:textId="36E4B96F" w:rsidR="00E04BAD" w:rsidRPr="00C21873" w:rsidRDefault="001612E0" w:rsidP="00C21873">
      <w:pPr>
        <w:pStyle w:val="Heading2"/>
        <w:spacing w:before="240" w:after="240" w:line="240" w:lineRule="auto"/>
        <w:ind w:left="709" w:hanging="709"/>
        <w:jc w:val="both"/>
        <w:rPr>
          <w:rFonts w:ascii="Times New Roman" w:hAnsi="Times New Roman" w:cs="Times New Roman"/>
          <w:b/>
          <w:bCs/>
          <w:color w:val="auto"/>
          <w:sz w:val="24"/>
          <w:szCs w:val="24"/>
          <w:lang w:val="en-US"/>
        </w:rPr>
      </w:pPr>
      <w:r w:rsidRPr="00C21873">
        <w:rPr>
          <w:rFonts w:ascii="Times New Roman" w:hAnsi="Times New Roman" w:cs="Times New Roman"/>
          <w:b/>
          <w:bCs/>
          <w:color w:val="auto"/>
          <w:sz w:val="24"/>
          <w:szCs w:val="24"/>
        </w:rPr>
        <w:t>The Behavioural–Institutional Framework for Transformation</w:t>
      </w:r>
    </w:p>
    <w:p w14:paraId="04CA0199" w14:textId="4C154417" w:rsidR="00F83A12" w:rsidRPr="00C531F3" w:rsidRDefault="00F83A12" w:rsidP="00C21873">
      <w:pPr>
        <w:spacing w:before="240" w:after="240" w:line="240" w:lineRule="auto"/>
        <w:ind w:firstLine="709"/>
        <w:jc w:val="both"/>
        <w:rPr>
          <w:rFonts w:ascii="Times New Roman" w:hAnsi="Times New Roman" w:cs="Times New Roman"/>
          <w:lang w:val="en-US"/>
        </w:rPr>
      </w:pPr>
      <w:r w:rsidRPr="00C531F3">
        <w:rPr>
          <w:rFonts w:ascii="Times New Roman" w:hAnsi="Times New Roman" w:cs="Times New Roman"/>
          <w:lang w:val="en-US"/>
        </w:rPr>
        <w:t xml:space="preserve">BIFT </w:t>
      </w:r>
      <w:proofErr w:type="spellStart"/>
      <w:r w:rsidRPr="00C531F3">
        <w:rPr>
          <w:rFonts w:ascii="Times New Roman" w:hAnsi="Times New Roman" w:cs="Times New Roman"/>
          <w:lang w:val="en-US"/>
        </w:rPr>
        <w:t>reconceptualises</w:t>
      </w:r>
      <w:proofErr w:type="spellEnd"/>
      <w:r w:rsidRPr="00C531F3">
        <w:rPr>
          <w:rFonts w:ascii="Times New Roman" w:hAnsi="Times New Roman" w:cs="Times New Roman"/>
          <w:lang w:val="en-US"/>
        </w:rPr>
        <w:t xml:space="preserve"> digital readiness as a multilevel socio-technical capability rather than a static inventory of assets</w:t>
      </w:r>
      <w:r w:rsidR="008F130A" w:rsidRPr="00C531F3">
        <w:rPr>
          <w:rFonts w:ascii="Times New Roman" w:hAnsi="Times New Roman" w:cs="Times New Roman"/>
          <w:lang w:val="en-US"/>
        </w:rPr>
        <w:t xml:space="preserve"> (Salisu, 2026)</w:t>
      </w:r>
      <w:r w:rsidRPr="00C531F3">
        <w:rPr>
          <w:rFonts w:ascii="Times New Roman" w:hAnsi="Times New Roman" w:cs="Times New Roman"/>
          <w:lang w:val="en-US"/>
        </w:rPr>
        <w:t>. It critiques readiness models that equate institutional preparedness with the presence of infrastructure and digitally literate staff. Such models capture capacity, but they do not explain how capacity becomes effective.</w:t>
      </w:r>
    </w:p>
    <w:p w14:paraId="54ABF2F8" w14:textId="516BF1F8" w:rsidR="00F83A12" w:rsidRPr="00C531F3" w:rsidRDefault="00F83A12" w:rsidP="00C21873">
      <w:pPr>
        <w:spacing w:before="240" w:after="240" w:line="240" w:lineRule="auto"/>
        <w:ind w:firstLine="709"/>
        <w:jc w:val="both"/>
        <w:rPr>
          <w:rFonts w:ascii="Times New Roman" w:hAnsi="Times New Roman" w:cs="Times New Roman"/>
          <w:lang w:val="en-US"/>
        </w:rPr>
      </w:pPr>
      <w:r w:rsidRPr="00C531F3">
        <w:rPr>
          <w:rFonts w:ascii="Times New Roman" w:hAnsi="Times New Roman" w:cs="Times New Roman"/>
          <w:lang w:val="en-US"/>
        </w:rPr>
        <w:t>Within BIFT, digital transformation emerges from alignment across three interdependent domains</w:t>
      </w:r>
      <w:r w:rsidR="008F130A" w:rsidRPr="00C531F3">
        <w:rPr>
          <w:rFonts w:ascii="Times New Roman" w:hAnsi="Times New Roman" w:cs="Times New Roman"/>
          <w:lang w:val="en-US"/>
        </w:rPr>
        <w:t xml:space="preserve"> (Salisu, 2026)</w:t>
      </w:r>
      <w:r w:rsidRPr="00C531F3">
        <w:rPr>
          <w:rFonts w:ascii="Times New Roman" w:hAnsi="Times New Roman" w:cs="Times New Roman"/>
          <w:lang w:val="en-US"/>
        </w:rPr>
        <w:t xml:space="preserve">. At the micro level, </w:t>
      </w:r>
      <w:proofErr w:type="spellStart"/>
      <w:r w:rsidRPr="00C531F3">
        <w:rPr>
          <w:rFonts w:ascii="Times New Roman" w:hAnsi="Times New Roman" w:cs="Times New Roman"/>
          <w:lang w:val="en-US"/>
        </w:rPr>
        <w:t>behavioural</w:t>
      </w:r>
      <w:proofErr w:type="spellEnd"/>
      <w:r w:rsidRPr="00C531F3">
        <w:rPr>
          <w:rFonts w:ascii="Times New Roman" w:hAnsi="Times New Roman" w:cs="Times New Roman"/>
          <w:lang w:val="en-US"/>
        </w:rPr>
        <w:t xml:space="preserve"> readiness refers to individual dispositions such as self-efficacy, adaptability, and willingness to engage with change</w:t>
      </w:r>
      <w:r w:rsidR="00A94941" w:rsidRPr="00C531F3">
        <w:rPr>
          <w:rFonts w:ascii="Times New Roman" w:hAnsi="Times New Roman" w:cs="Times New Roman"/>
          <w:lang w:val="en-US"/>
        </w:rPr>
        <w:t xml:space="preserve"> (Ben </w:t>
      </w:r>
      <w:proofErr w:type="spellStart"/>
      <w:r w:rsidR="00A94941" w:rsidRPr="00C531F3">
        <w:rPr>
          <w:rFonts w:ascii="Times New Roman" w:hAnsi="Times New Roman" w:cs="Times New Roman"/>
          <w:lang w:val="en-US"/>
        </w:rPr>
        <w:t>Ghrbeia</w:t>
      </w:r>
      <w:proofErr w:type="spellEnd"/>
      <w:r w:rsidR="00A94941" w:rsidRPr="00C531F3">
        <w:rPr>
          <w:rFonts w:ascii="Times New Roman" w:hAnsi="Times New Roman" w:cs="Times New Roman"/>
          <w:lang w:val="en-US"/>
        </w:rPr>
        <w:t xml:space="preserve"> &amp; Alzubi, 2024)</w:t>
      </w:r>
      <w:r w:rsidRPr="00C531F3">
        <w:rPr>
          <w:rFonts w:ascii="Times New Roman" w:hAnsi="Times New Roman" w:cs="Times New Roman"/>
          <w:lang w:val="en-US"/>
        </w:rPr>
        <w:t xml:space="preserve">. At the </w:t>
      </w:r>
      <w:proofErr w:type="spellStart"/>
      <w:r w:rsidRPr="00C531F3">
        <w:rPr>
          <w:rFonts w:ascii="Times New Roman" w:hAnsi="Times New Roman" w:cs="Times New Roman"/>
          <w:lang w:val="en-US"/>
        </w:rPr>
        <w:t>meso</w:t>
      </w:r>
      <w:proofErr w:type="spellEnd"/>
      <w:r w:rsidRPr="00C531F3">
        <w:rPr>
          <w:rFonts w:ascii="Times New Roman" w:hAnsi="Times New Roman" w:cs="Times New Roman"/>
          <w:lang w:val="en-US"/>
        </w:rPr>
        <w:t xml:space="preserve"> level, leadership readiness concerns the ability to coordinate resources, provide strategic direction, and translate intent into action</w:t>
      </w:r>
      <w:r w:rsidR="00A94941" w:rsidRPr="00C531F3">
        <w:rPr>
          <w:rFonts w:ascii="Times New Roman" w:hAnsi="Times New Roman" w:cs="Times New Roman"/>
          <w:lang w:val="en-US"/>
        </w:rPr>
        <w:t xml:space="preserve"> (</w:t>
      </w:r>
      <w:r w:rsidR="00A94941" w:rsidRPr="00C531F3">
        <w:rPr>
          <w:rFonts w:ascii="Times New Roman" w:hAnsi="Times New Roman" w:cs="Times New Roman"/>
          <w:sz w:val="20"/>
          <w:szCs w:val="20"/>
          <w:lang w:val="en-US"/>
        </w:rPr>
        <w:t>Castro Benavides et al., 2026)</w:t>
      </w:r>
      <w:r w:rsidRPr="00C531F3">
        <w:rPr>
          <w:rFonts w:ascii="Times New Roman" w:hAnsi="Times New Roman" w:cs="Times New Roman"/>
          <w:lang w:val="en-US"/>
        </w:rPr>
        <w:t xml:space="preserve">. At the macro level, institutional readiness captures the cultural and structural conditions that support or constrain transformation, including psychological safety, policy coherence, and the </w:t>
      </w:r>
      <w:r w:rsidRPr="00C531F3">
        <w:rPr>
          <w:rFonts w:ascii="Times New Roman" w:hAnsi="Times New Roman" w:cs="Times New Roman"/>
          <w:lang w:val="en-US"/>
        </w:rPr>
        <w:lastRenderedPageBreak/>
        <w:t>burden of technical debt</w:t>
      </w:r>
      <w:r w:rsidR="008F130A" w:rsidRPr="00C531F3">
        <w:rPr>
          <w:rFonts w:ascii="Times New Roman" w:hAnsi="Times New Roman" w:cs="Times New Roman"/>
          <w:lang w:val="en-US"/>
        </w:rPr>
        <w:t xml:space="preserve"> (</w:t>
      </w:r>
      <w:proofErr w:type="spellStart"/>
      <w:r w:rsidR="008F130A" w:rsidRPr="00C531F3">
        <w:rPr>
          <w:rFonts w:ascii="Times New Roman" w:hAnsi="Times New Roman" w:cs="Times New Roman"/>
          <w:sz w:val="20"/>
          <w:szCs w:val="20"/>
          <w:lang w:val="en-US"/>
        </w:rPr>
        <w:t>Laaber</w:t>
      </w:r>
      <w:proofErr w:type="spellEnd"/>
      <w:r w:rsidR="008F130A" w:rsidRPr="00C531F3">
        <w:rPr>
          <w:rFonts w:ascii="Times New Roman" w:hAnsi="Times New Roman" w:cs="Times New Roman"/>
          <w:sz w:val="20"/>
          <w:szCs w:val="20"/>
          <w:lang w:val="en-US"/>
        </w:rPr>
        <w:t xml:space="preserve"> et al., 2023)</w:t>
      </w:r>
      <w:r w:rsidRPr="00C531F3">
        <w:rPr>
          <w:rFonts w:ascii="Times New Roman" w:hAnsi="Times New Roman" w:cs="Times New Roman"/>
          <w:lang w:val="en-US"/>
        </w:rPr>
        <w:t>. The framework therefore treats alignment, not isolated readiness, as the mechanism through which transformation occurs</w:t>
      </w:r>
      <w:r w:rsidR="00133793" w:rsidRPr="00C531F3">
        <w:rPr>
          <w:rFonts w:ascii="Times New Roman" w:hAnsi="Times New Roman" w:cs="Times New Roman"/>
          <w:lang w:val="en-US"/>
        </w:rPr>
        <w:t xml:space="preserve"> (Salisu, 2026)</w:t>
      </w:r>
      <w:r w:rsidRPr="00C531F3">
        <w:rPr>
          <w:rFonts w:ascii="Times New Roman" w:hAnsi="Times New Roman" w:cs="Times New Roman"/>
          <w:lang w:val="en-US"/>
        </w:rPr>
        <w:t>.</w:t>
      </w:r>
    </w:p>
    <w:p w14:paraId="5646EEDC" w14:textId="34BEC2B6" w:rsidR="00E04BAD" w:rsidRPr="00C21873" w:rsidRDefault="00E04BAD" w:rsidP="00C21873">
      <w:pPr>
        <w:pStyle w:val="Heading2"/>
        <w:tabs>
          <w:tab w:val="left" w:pos="709"/>
        </w:tabs>
        <w:spacing w:before="240" w:after="240" w:line="240" w:lineRule="auto"/>
        <w:ind w:left="709" w:hanging="709"/>
        <w:jc w:val="both"/>
        <w:rPr>
          <w:rFonts w:ascii="Times New Roman" w:hAnsi="Times New Roman" w:cs="Times New Roman"/>
          <w:b/>
          <w:bCs/>
          <w:color w:val="auto"/>
          <w:sz w:val="24"/>
          <w:szCs w:val="24"/>
          <w:lang w:val="en-US"/>
        </w:rPr>
      </w:pPr>
      <w:r w:rsidRPr="00C21873">
        <w:rPr>
          <w:rFonts w:ascii="Times New Roman" w:hAnsi="Times New Roman" w:cs="Times New Roman"/>
          <w:b/>
          <w:bCs/>
          <w:color w:val="auto"/>
          <w:sz w:val="24"/>
          <w:szCs w:val="24"/>
          <w:lang w:val="en-US"/>
        </w:rPr>
        <w:t>Digital</w:t>
      </w:r>
      <w:r w:rsidR="00EA72A8" w:rsidRPr="00C21873">
        <w:rPr>
          <w:rFonts w:ascii="Times New Roman" w:hAnsi="Times New Roman" w:cs="Times New Roman"/>
          <w:b/>
          <w:bCs/>
          <w:color w:val="auto"/>
          <w:sz w:val="24"/>
          <w:szCs w:val="24"/>
          <w:lang w:val="en-US"/>
        </w:rPr>
        <w:t xml:space="preserve"> </w:t>
      </w:r>
      <w:r w:rsidRPr="00C21873">
        <w:rPr>
          <w:rFonts w:ascii="Times New Roman" w:hAnsi="Times New Roman" w:cs="Times New Roman"/>
          <w:b/>
          <w:bCs/>
          <w:color w:val="auto"/>
          <w:sz w:val="24"/>
          <w:szCs w:val="24"/>
          <w:lang w:val="en-US"/>
        </w:rPr>
        <w:t>Readiness</w:t>
      </w:r>
      <w:r w:rsidR="00353A89" w:rsidRPr="00C21873">
        <w:rPr>
          <w:rFonts w:ascii="Times New Roman" w:hAnsi="Times New Roman" w:cs="Times New Roman"/>
          <w:b/>
          <w:bCs/>
          <w:color w:val="auto"/>
          <w:sz w:val="24"/>
          <w:szCs w:val="24"/>
          <w:lang w:val="en-US"/>
        </w:rPr>
        <w:t xml:space="preserve"> </w:t>
      </w:r>
      <w:r w:rsidR="00353A89" w:rsidRPr="00C21873">
        <w:rPr>
          <w:rFonts w:ascii="Times New Roman" w:hAnsi="Times New Roman" w:cs="Times New Roman"/>
          <w:b/>
          <w:bCs/>
          <w:color w:val="auto"/>
          <w:sz w:val="24"/>
          <w:szCs w:val="24"/>
        </w:rPr>
        <w:t>and Digital Transformation Preparedness</w:t>
      </w:r>
    </w:p>
    <w:p w14:paraId="3AFC868C" w14:textId="77777777" w:rsidR="00C416A7" w:rsidRPr="00C531F3" w:rsidRDefault="00C416A7" w:rsidP="00C21873">
      <w:pPr>
        <w:spacing w:before="240" w:after="240" w:line="240" w:lineRule="auto"/>
        <w:ind w:firstLine="709"/>
        <w:jc w:val="both"/>
        <w:rPr>
          <w:rFonts w:ascii="Times New Roman" w:hAnsi="Times New Roman" w:cs="Times New Roman"/>
          <w:lang w:val="en-US"/>
        </w:rPr>
      </w:pPr>
      <w:r w:rsidRPr="00C531F3">
        <w:rPr>
          <w:rFonts w:ascii="Times New Roman" w:hAnsi="Times New Roman" w:cs="Times New Roman"/>
          <w:lang w:val="en-US"/>
        </w:rPr>
        <w:t>Digital readiness in this study refers to the combination of technical skills, digital literacy, self-efficacy, and openness to new tools that gives individuals and institutions the capacity to engage with digital change (</w:t>
      </w:r>
      <w:proofErr w:type="spellStart"/>
      <w:r w:rsidRPr="00C531F3">
        <w:rPr>
          <w:rFonts w:ascii="Times New Roman" w:hAnsi="Times New Roman" w:cs="Times New Roman"/>
          <w:lang w:val="en-US"/>
        </w:rPr>
        <w:t>Höyng</w:t>
      </w:r>
      <w:proofErr w:type="spellEnd"/>
      <w:r w:rsidRPr="00C531F3">
        <w:rPr>
          <w:rFonts w:ascii="Times New Roman" w:hAnsi="Times New Roman" w:cs="Times New Roman"/>
          <w:lang w:val="en-US"/>
        </w:rPr>
        <w:t xml:space="preserve"> &amp; Lau, 2023; Salisu, 2026). It is necessary because transformation cannot proceed without a basic foundation of competence and confidence. Yet readiness alone is insufficient, because possession does not guarantee coordinated use.</w:t>
      </w:r>
    </w:p>
    <w:p w14:paraId="04C288C6" w14:textId="77777777" w:rsidR="00C416A7" w:rsidRPr="00C531F3" w:rsidRDefault="00C416A7" w:rsidP="00C21873">
      <w:pPr>
        <w:spacing w:before="240" w:after="240" w:line="240" w:lineRule="auto"/>
        <w:ind w:firstLine="709"/>
        <w:jc w:val="both"/>
        <w:rPr>
          <w:rFonts w:ascii="Times New Roman" w:hAnsi="Times New Roman" w:cs="Times New Roman"/>
          <w:lang w:val="en-US"/>
        </w:rPr>
      </w:pPr>
      <w:r w:rsidRPr="00C531F3">
        <w:rPr>
          <w:rFonts w:ascii="Times New Roman" w:hAnsi="Times New Roman" w:cs="Times New Roman"/>
          <w:lang w:val="en-US"/>
        </w:rPr>
        <w:t xml:space="preserve">For this reason, BIFT distinguishes readiness from digital transformation preparedness. Preparedness is the functional activation of readiness: the point at which </w:t>
      </w:r>
      <w:proofErr w:type="spellStart"/>
      <w:r w:rsidRPr="00C531F3">
        <w:rPr>
          <w:rFonts w:ascii="Times New Roman" w:hAnsi="Times New Roman" w:cs="Times New Roman"/>
          <w:lang w:val="en-US"/>
        </w:rPr>
        <w:t>behavioural</w:t>
      </w:r>
      <w:proofErr w:type="spellEnd"/>
      <w:r w:rsidRPr="00C531F3">
        <w:rPr>
          <w:rFonts w:ascii="Times New Roman" w:hAnsi="Times New Roman" w:cs="Times New Roman"/>
          <w:lang w:val="en-US"/>
        </w:rPr>
        <w:t xml:space="preserve">, leadership, and institutional conditions reinforce one another to produce sustained change. It is therefore an integrated state, not merely a higher level of capacity. In practical terms, an institution may be digitally equipped and personally competent, yet still fail to transform if leadership coordination is weak or if the </w:t>
      </w:r>
      <w:proofErr w:type="spellStart"/>
      <w:r w:rsidRPr="00C531F3">
        <w:rPr>
          <w:rFonts w:ascii="Times New Roman" w:hAnsi="Times New Roman" w:cs="Times New Roman"/>
          <w:lang w:val="en-US"/>
        </w:rPr>
        <w:t>organisational</w:t>
      </w:r>
      <w:proofErr w:type="spellEnd"/>
      <w:r w:rsidRPr="00C531F3">
        <w:rPr>
          <w:rFonts w:ascii="Times New Roman" w:hAnsi="Times New Roman" w:cs="Times New Roman"/>
          <w:lang w:val="en-US"/>
        </w:rPr>
        <w:t xml:space="preserve"> environment discourages experimentation. Preparedness is thus the more immediate precursor of sustained innovation, adaptability, and digital integration.</w:t>
      </w:r>
    </w:p>
    <w:p w14:paraId="5A94B034" w14:textId="7DAF52C7" w:rsidR="00EB5CFE" w:rsidRPr="00C531F3" w:rsidRDefault="008A444E" w:rsidP="00C21873">
      <w:pPr>
        <w:pStyle w:val="Heading2"/>
        <w:spacing w:before="240" w:after="240" w:line="240" w:lineRule="auto"/>
        <w:ind w:left="709" w:hanging="709"/>
        <w:jc w:val="both"/>
        <w:rPr>
          <w:rFonts w:ascii="Times New Roman" w:hAnsi="Times New Roman" w:cs="Times New Roman"/>
          <w:b/>
          <w:bCs/>
          <w:color w:val="auto"/>
          <w:sz w:val="24"/>
          <w:szCs w:val="24"/>
          <w:lang w:val="en-US"/>
        </w:rPr>
      </w:pPr>
      <w:r w:rsidRPr="00C531F3">
        <w:rPr>
          <w:rFonts w:ascii="Times New Roman" w:hAnsi="Times New Roman" w:cs="Times New Roman"/>
          <w:b/>
          <w:bCs/>
          <w:color w:val="auto"/>
          <w:sz w:val="24"/>
          <w:szCs w:val="24"/>
        </w:rPr>
        <w:t>Cognitive Unlearning</w:t>
      </w:r>
    </w:p>
    <w:p w14:paraId="4E1C2AD1" w14:textId="41624998" w:rsidR="008A444E" w:rsidRPr="00C531F3" w:rsidRDefault="008A444E" w:rsidP="00C21873">
      <w:pPr>
        <w:spacing w:before="240" w:after="240" w:line="240" w:lineRule="auto"/>
        <w:ind w:firstLine="709"/>
        <w:jc w:val="both"/>
        <w:rPr>
          <w:rFonts w:ascii="Times New Roman" w:hAnsi="Times New Roman" w:cs="Times New Roman"/>
          <w:lang w:val="en-US"/>
        </w:rPr>
      </w:pPr>
      <w:r w:rsidRPr="00C531F3">
        <w:rPr>
          <w:rFonts w:ascii="Times New Roman" w:hAnsi="Times New Roman" w:cs="Times New Roman"/>
          <w:lang w:val="en-US"/>
        </w:rPr>
        <w:t>Cognitive unlearning is the central mechanism linking latent readiness to operative preparedness</w:t>
      </w:r>
      <w:r w:rsidR="004232F2" w:rsidRPr="00C531F3">
        <w:rPr>
          <w:rFonts w:ascii="Times New Roman" w:hAnsi="Times New Roman" w:cs="Times New Roman"/>
          <w:lang w:val="en-US"/>
        </w:rPr>
        <w:t xml:space="preserve"> (Cubillas-Para </w:t>
      </w:r>
      <w:r w:rsidR="004232F2" w:rsidRPr="00C531F3">
        <w:rPr>
          <w:rFonts w:ascii="Times New Roman" w:hAnsi="Times New Roman" w:cs="Times New Roman"/>
          <w:i/>
          <w:iCs/>
          <w:lang w:val="en-US"/>
        </w:rPr>
        <w:t>et al.</w:t>
      </w:r>
      <w:r w:rsidR="004232F2" w:rsidRPr="00C531F3">
        <w:rPr>
          <w:rFonts w:ascii="Times New Roman" w:hAnsi="Times New Roman" w:cs="Times New Roman"/>
          <w:lang w:val="en-US"/>
        </w:rPr>
        <w:t>, 2024)</w:t>
      </w:r>
      <w:r w:rsidRPr="00C531F3">
        <w:rPr>
          <w:rFonts w:ascii="Times New Roman" w:hAnsi="Times New Roman" w:cs="Times New Roman"/>
          <w:lang w:val="en-US"/>
        </w:rPr>
        <w:t>. It refers to the deliberate abandonment of obsolete beliefs, routines, and administrative habits in order to make room for new digital practices. In higher education, this matters because digital change often requires not only learning new skills, but also relinquishing familiar ways of working that no longer fit the digital environment.</w:t>
      </w:r>
    </w:p>
    <w:p w14:paraId="29A37569" w14:textId="154F3AD8" w:rsidR="008A444E" w:rsidRPr="00C531F3" w:rsidRDefault="008A444E" w:rsidP="00C21873">
      <w:pPr>
        <w:spacing w:before="240" w:after="240" w:line="240" w:lineRule="auto"/>
        <w:ind w:firstLine="709"/>
        <w:jc w:val="both"/>
        <w:rPr>
          <w:rFonts w:ascii="Times New Roman" w:hAnsi="Times New Roman" w:cs="Times New Roman"/>
          <w:lang w:val="en-US"/>
        </w:rPr>
      </w:pPr>
      <w:r w:rsidRPr="00C531F3">
        <w:rPr>
          <w:rFonts w:ascii="Times New Roman" w:hAnsi="Times New Roman" w:cs="Times New Roman"/>
          <w:lang w:val="en-US"/>
        </w:rPr>
        <w:t>The burden of the past can take the form of technical debt, rigid procedures, or entrenched pedagogical habits. These conditions produce inertia and make it difficult for institutions to move beyond symbolic adoption. Cognitive unlearning reduces that inertia by weakening resistance and enabling individuals to re-evaluate assumptions about work, teaching, and administration</w:t>
      </w:r>
      <w:r w:rsidR="004232F2" w:rsidRPr="00C531F3">
        <w:rPr>
          <w:rFonts w:ascii="Times New Roman" w:hAnsi="Times New Roman" w:cs="Times New Roman"/>
          <w:lang w:val="en-US"/>
        </w:rPr>
        <w:t xml:space="preserve"> (Zhao et al., 2026)</w:t>
      </w:r>
      <w:r w:rsidRPr="00C531F3">
        <w:rPr>
          <w:rFonts w:ascii="Times New Roman" w:hAnsi="Times New Roman" w:cs="Times New Roman"/>
          <w:lang w:val="en-US"/>
        </w:rPr>
        <w:t>. Digital readiness supports this process by increasing confidence and lowering the psychological cost of change. Where staff feel capable and supported, they are more likely to let go of obsolete routines and engage with new systems. Unlearning therefore acts as the bridge that converts digital capacity into functional preparedness.</w:t>
      </w:r>
    </w:p>
    <w:p w14:paraId="3DBDDDFD" w14:textId="142D50AA" w:rsidR="00EB5CFE" w:rsidRPr="00C531F3" w:rsidRDefault="00F753C0" w:rsidP="00C21873">
      <w:pPr>
        <w:pStyle w:val="Heading2"/>
        <w:spacing w:before="240" w:after="240" w:line="240" w:lineRule="auto"/>
        <w:ind w:left="709" w:hanging="709"/>
        <w:jc w:val="both"/>
        <w:rPr>
          <w:rFonts w:ascii="Times New Roman" w:hAnsi="Times New Roman" w:cs="Times New Roman"/>
          <w:b/>
          <w:bCs/>
          <w:color w:val="auto"/>
          <w:sz w:val="24"/>
          <w:szCs w:val="24"/>
          <w:lang w:val="en-US"/>
        </w:rPr>
      </w:pPr>
      <w:r w:rsidRPr="00C531F3">
        <w:rPr>
          <w:rFonts w:ascii="Times New Roman" w:hAnsi="Times New Roman" w:cs="Times New Roman"/>
          <w:b/>
          <w:bCs/>
          <w:color w:val="auto"/>
          <w:sz w:val="24"/>
          <w:szCs w:val="24"/>
        </w:rPr>
        <w:t>Hypotheses Development</w:t>
      </w:r>
    </w:p>
    <w:p w14:paraId="6FE17599" w14:textId="77777777" w:rsidR="00090908" w:rsidRPr="00C531F3" w:rsidRDefault="00090908" w:rsidP="00C21873">
      <w:pPr>
        <w:spacing w:before="240" w:after="240" w:line="240" w:lineRule="auto"/>
        <w:ind w:firstLine="709"/>
        <w:jc w:val="both"/>
        <w:rPr>
          <w:rFonts w:ascii="Times New Roman" w:hAnsi="Times New Roman" w:cs="Times New Roman"/>
          <w:lang w:val="en-US"/>
        </w:rPr>
      </w:pPr>
      <w:r w:rsidRPr="00C531F3">
        <w:rPr>
          <w:rFonts w:ascii="Times New Roman" w:hAnsi="Times New Roman" w:cs="Times New Roman"/>
          <w:lang w:val="en-US"/>
        </w:rPr>
        <w:t xml:space="preserve">The preceding arguments suggest that digital readiness should influence preparedness directly, while also fostering cognitive unlearning, which in turn contributes to preparedness. The proposed relationships are </w:t>
      </w:r>
      <w:proofErr w:type="spellStart"/>
      <w:r w:rsidRPr="00C531F3">
        <w:rPr>
          <w:rFonts w:ascii="Times New Roman" w:hAnsi="Times New Roman" w:cs="Times New Roman"/>
          <w:lang w:val="en-US"/>
        </w:rPr>
        <w:t>summarised</w:t>
      </w:r>
      <w:proofErr w:type="spellEnd"/>
      <w:r w:rsidRPr="00C531F3">
        <w:rPr>
          <w:rFonts w:ascii="Times New Roman" w:hAnsi="Times New Roman" w:cs="Times New Roman"/>
          <w:lang w:val="en-US"/>
        </w:rPr>
        <w:t xml:space="preserve"> in Table 1.</w:t>
      </w:r>
    </w:p>
    <w:p w14:paraId="37695DED" w14:textId="77777777" w:rsidR="00090908" w:rsidRPr="00C531F3" w:rsidRDefault="00090908" w:rsidP="008551E2">
      <w:pPr>
        <w:spacing w:after="0" w:line="240" w:lineRule="auto"/>
        <w:jc w:val="center"/>
        <w:rPr>
          <w:rFonts w:ascii="Times New Roman" w:hAnsi="Times New Roman" w:cs="Times New Roman"/>
          <w:lang w:val="en-US"/>
        </w:rPr>
      </w:pPr>
      <w:r w:rsidRPr="00C531F3">
        <w:rPr>
          <w:rFonts w:ascii="Times New Roman" w:hAnsi="Times New Roman" w:cs="Times New Roman"/>
          <w:lang w:val="en-US"/>
        </w:rPr>
        <w:t>Table 1. Hypotheses and Theoretical Rationale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50"/>
        <w:gridCol w:w="3667"/>
        <w:gridCol w:w="6476"/>
      </w:tblGrid>
      <w:tr w:rsidR="00090908" w:rsidRPr="00C531F3" w14:paraId="11D5F62E" w14:textId="77777777" w:rsidTr="00F9653C">
        <w:trPr>
          <w:tblHeader/>
        </w:trPr>
        <w:tc>
          <w:tcPr>
            <w:tcW w:w="0" w:type="auto"/>
            <w:vAlign w:val="center"/>
            <w:hideMark/>
          </w:tcPr>
          <w:p w14:paraId="604523F0" w14:textId="1A1F177F" w:rsidR="00090908" w:rsidRPr="00C531F3" w:rsidRDefault="00090908" w:rsidP="008551E2">
            <w:pPr>
              <w:jc w:val="both"/>
              <w:rPr>
                <w:rFonts w:ascii="Times New Roman" w:hAnsi="Times New Roman" w:cs="Times New Roman"/>
                <w:b/>
                <w:bCs/>
                <w:lang w:val="en-US"/>
              </w:rPr>
            </w:pPr>
            <w:r w:rsidRPr="00C531F3">
              <w:rPr>
                <w:rFonts w:ascii="Times New Roman" w:hAnsi="Times New Roman" w:cs="Times New Roman"/>
                <w:b/>
                <w:bCs/>
                <w:lang w:val="en-US"/>
              </w:rPr>
              <w:t>H</w:t>
            </w:r>
            <w:r w:rsidR="008551E2" w:rsidRPr="00C531F3">
              <w:rPr>
                <w:rFonts w:ascii="Times New Roman" w:hAnsi="Times New Roman" w:cs="Times New Roman"/>
                <w:b/>
                <w:bCs/>
                <w:lang w:val="en-US"/>
              </w:rPr>
              <w:t>P</w:t>
            </w:r>
          </w:p>
        </w:tc>
        <w:tc>
          <w:tcPr>
            <w:tcW w:w="0" w:type="auto"/>
            <w:vAlign w:val="center"/>
            <w:hideMark/>
          </w:tcPr>
          <w:p w14:paraId="57809C08" w14:textId="77777777" w:rsidR="00090908" w:rsidRPr="00C531F3" w:rsidRDefault="00090908" w:rsidP="001462B7">
            <w:pPr>
              <w:rPr>
                <w:rFonts w:ascii="Times New Roman" w:hAnsi="Times New Roman" w:cs="Times New Roman"/>
                <w:b/>
                <w:bCs/>
                <w:lang w:val="en-US"/>
              </w:rPr>
            </w:pPr>
            <w:r w:rsidRPr="00C531F3">
              <w:rPr>
                <w:rFonts w:ascii="Times New Roman" w:hAnsi="Times New Roman" w:cs="Times New Roman"/>
                <w:b/>
                <w:bCs/>
                <w:lang w:val="en-US"/>
              </w:rPr>
              <w:t>Expected path</w:t>
            </w:r>
          </w:p>
        </w:tc>
        <w:tc>
          <w:tcPr>
            <w:tcW w:w="0" w:type="auto"/>
            <w:vAlign w:val="center"/>
            <w:hideMark/>
          </w:tcPr>
          <w:p w14:paraId="7BEEC3AE" w14:textId="77777777" w:rsidR="00090908" w:rsidRPr="00C531F3" w:rsidRDefault="00090908" w:rsidP="001462B7">
            <w:pPr>
              <w:rPr>
                <w:rFonts w:ascii="Times New Roman" w:hAnsi="Times New Roman" w:cs="Times New Roman"/>
                <w:b/>
                <w:bCs/>
                <w:lang w:val="en-US"/>
              </w:rPr>
            </w:pPr>
            <w:r w:rsidRPr="00C531F3">
              <w:rPr>
                <w:rFonts w:ascii="Times New Roman" w:hAnsi="Times New Roman" w:cs="Times New Roman"/>
                <w:b/>
                <w:bCs/>
                <w:lang w:val="en-US"/>
              </w:rPr>
              <w:t>Rationale</w:t>
            </w:r>
          </w:p>
        </w:tc>
      </w:tr>
      <w:tr w:rsidR="00090908" w:rsidRPr="00C531F3" w14:paraId="442D6A2B" w14:textId="77777777" w:rsidTr="00F9653C">
        <w:tc>
          <w:tcPr>
            <w:tcW w:w="0" w:type="auto"/>
            <w:vAlign w:val="center"/>
            <w:hideMark/>
          </w:tcPr>
          <w:p w14:paraId="585201E0" w14:textId="77777777" w:rsidR="00090908" w:rsidRPr="00C531F3" w:rsidRDefault="00090908" w:rsidP="008551E2">
            <w:pPr>
              <w:jc w:val="both"/>
              <w:rPr>
                <w:rFonts w:ascii="Times New Roman" w:hAnsi="Times New Roman" w:cs="Times New Roman"/>
                <w:lang w:val="en-US"/>
              </w:rPr>
            </w:pPr>
            <w:r w:rsidRPr="00C531F3">
              <w:rPr>
                <w:rFonts w:ascii="Times New Roman" w:hAnsi="Times New Roman" w:cs="Times New Roman"/>
                <w:lang w:val="en-US"/>
              </w:rPr>
              <w:t>H1</w:t>
            </w:r>
          </w:p>
        </w:tc>
        <w:tc>
          <w:tcPr>
            <w:tcW w:w="0" w:type="auto"/>
            <w:vAlign w:val="center"/>
            <w:hideMark/>
          </w:tcPr>
          <w:p w14:paraId="5D1ECCEF" w14:textId="77777777" w:rsidR="00090908" w:rsidRPr="00C531F3" w:rsidRDefault="00090908" w:rsidP="001462B7">
            <w:pPr>
              <w:rPr>
                <w:rFonts w:ascii="Times New Roman" w:hAnsi="Times New Roman" w:cs="Times New Roman"/>
                <w:lang w:val="en-US"/>
              </w:rPr>
            </w:pPr>
            <w:r w:rsidRPr="00C531F3">
              <w:rPr>
                <w:rFonts w:ascii="Times New Roman" w:hAnsi="Times New Roman" w:cs="Times New Roman"/>
                <w:lang w:val="en-US"/>
              </w:rPr>
              <w:t>Digital Readiness → Digital Transformation Preparedness</w:t>
            </w:r>
          </w:p>
        </w:tc>
        <w:tc>
          <w:tcPr>
            <w:tcW w:w="0" w:type="auto"/>
            <w:vAlign w:val="center"/>
            <w:hideMark/>
          </w:tcPr>
          <w:p w14:paraId="01A8CF82" w14:textId="77777777" w:rsidR="00090908" w:rsidRPr="00C531F3" w:rsidRDefault="00090908" w:rsidP="001462B7">
            <w:pPr>
              <w:rPr>
                <w:rFonts w:ascii="Times New Roman" w:hAnsi="Times New Roman" w:cs="Times New Roman"/>
                <w:lang w:val="en-US"/>
              </w:rPr>
            </w:pPr>
            <w:r w:rsidRPr="00C531F3">
              <w:rPr>
                <w:rFonts w:ascii="Times New Roman" w:hAnsi="Times New Roman" w:cs="Times New Roman"/>
                <w:lang w:val="en-US"/>
              </w:rPr>
              <w:t xml:space="preserve">Digital readiness provides the </w:t>
            </w:r>
            <w:proofErr w:type="spellStart"/>
            <w:r w:rsidRPr="00C531F3">
              <w:rPr>
                <w:rFonts w:ascii="Times New Roman" w:hAnsi="Times New Roman" w:cs="Times New Roman"/>
                <w:lang w:val="en-US"/>
              </w:rPr>
              <w:t>behavioural</w:t>
            </w:r>
            <w:proofErr w:type="spellEnd"/>
            <w:r w:rsidRPr="00C531F3">
              <w:rPr>
                <w:rFonts w:ascii="Times New Roman" w:hAnsi="Times New Roman" w:cs="Times New Roman"/>
                <w:lang w:val="en-US"/>
              </w:rPr>
              <w:t xml:space="preserve"> and cognitive foundation needed for transformation, making preparedness more likely.</w:t>
            </w:r>
          </w:p>
        </w:tc>
      </w:tr>
      <w:tr w:rsidR="00090908" w:rsidRPr="00C531F3" w14:paraId="5144D8C5" w14:textId="77777777" w:rsidTr="00F9653C">
        <w:tc>
          <w:tcPr>
            <w:tcW w:w="0" w:type="auto"/>
            <w:vAlign w:val="center"/>
            <w:hideMark/>
          </w:tcPr>
          <w:p w14:paraId="1D4ED974" w14:textId="77777777" w:rsidR="00090908" w:rsidRPr="00C531F3" w:rsidRDefault="00090908" w:rsidP="008551E2">
            <w:pPr>
              <w:jc w:val="both"/>
              <w:rPr>
                <w:rFonts w:ascii="Times New Roman" w:hAnsi="Times New Roman" w:cs="Times New Roman"/>
                <w:lang w:val="en-US"/>
              </w:rPr>
            </w:pPr>
            <w:r w:rsidRPr="00C531F3">
              <w:rPr>
                <w:rFonts w:ascii="Times New Roman" w:hAnsi="Times New Roman" w:cs="Times New Roman"/>
                <w:lang w:val="en-US"/>
              </w:rPr>
              <w:t>H2</w:t>
            </w:r>
          </w:p>
        </w:tc>
        <w:tc>
          <w:tcPr>
            <w:tcW w:w="0" w:type="auto"/>
            <w:vAlign w:val="center"/>
            <w:hideMark/>
          </w:tcPr>
          <w:p w14:paraId="74F8F04F" w14:textId="77777777" w:rsidR="00090908" w:rsidRPr="00C531F3" w:rsidRDefault="00090908" w:rsidP="001462B7">
            <w:pPr>
              <w:rPr>
                <w:rFonts w:ascii="Times New Roman" w:hAnsi="Times New Roman" w:cs="Times New Roman"/>
                <w:lang w:val="en-US"/>
              </w:rPr>
            </w:pPr>
            <w:r w:rsidRPr="00C531F3">
              <w:rPr>
                <w:rFonts w:ascii="Times New Roman" w:hAnsi="Times New Roman" w:cs="Times New Roman"/>
                <w:lang w:val="en-US"/>
              </w:rPr>
              <w:t>Digital Readiness → Cognitive Unlearning</w:t>
            </w:r>
          </w:p>
        </w:tc>
        <w:tc>
          <w:tcPr>
            <w:tcW w:w="0" w:type="auto"/>
            <w:vAlign w:val="center"/>
            <w:hideMark/>
          </w:tcPr>
          <w:p w14:paraId="0D27F73F" w14:textId="77777777" w:rsidR="00090908" w:rsidRPr="00C531F3" w:rsidRDefault="00090908" w:rsidP="001462B7">
            <w:pPr>
              <w:rPr>
                <w:rFonts w:ascii="Times New Roman" w:hAnsi="Times New Roman" w:cs="Times New Roman"/>
                <w:lang w:val="en-US"/>
              </w:rPr>
            </w:pPr>
            <w:r w:rsidRPr="00C531F3">
              <w:rPr>
                <w:rFonts w:ascii="Times New Roman" w:hAnsi="Times New Roman" w:cs="Times New Roman"/>
                <w:lang w:val="en-US"/>
              </w:rPr>
              <w:t>Greater readiness increases confidence, reduces technostress, and creates openness to abandoning obsolete routines.</w:t>
            </w:r>
          </w:p>
        </w:tc>
      </w:tr>
      <w:tr w:rsidR="00090908" w:rsidRPr="00C531F3" w14:paraId="3A430C27" w14:textId="77777777" w:rsidTr="00F9653C">
        <w:tc>
          <w:tcPr>
            <w:tcW w:w="0" w:type="auto"/>
            <w:vAlign w:val="center"/>
            <w:hideMark/>
          </w:tcPr>
          <w:p w14:paraId="593CCFD6" w14:textId="77777777" w:rsidR="00090908" w:rsidRPr="00C531F3" w:rsidRDefault="00090908" w:rsidP="008551E2">
            <w:pPr>
              <w:jc w:val="both"/>
              <w:rPr>
                <w:rFonts w:ascii="Times New Roman" w:hAnsi="Times New Roman" w:cs="Times New Roman"/>
                <w:lang w:val="en-US"/>
              </w:rPr>
            </w:pPr>
            <w:r w:rsidRPr="00C531F3">
              <w:rPr>
                <w:rFonts w:ascii="Times New Roman" w:hAnsi="Times New Roman" w:cs="Times New Roman"/>
                <w:lang w:val="en-US"/>
              </w:rPr>
              <w:t>H3</w:t>
            </w:r>
          </w:p>
        </w:tc>
        <w:tc>
          <w:tcPr>
            <w:tcW w:w="0" w:type="auto"/>
            <w:vAlign w:val="center"/>
            <w:hideMark/>
          </w:tcPr>
          <w:p w14:paraId="0CFE2F85" w14:textId="77777777" w:rsidR="00090908" w:rsidRPr="00C531F3" w:rsidRDefault="00090908" w:rsidP="001462B7">
            <w:pPr>
              <w:rPr>
                <w:rFonts w:ascii="Times New Roman" w:hAnsi="Times New Roman" w:cs="Times New Roman"/>
                <w:lang w:val="en-US"/>
              </w:rPr>
            </w:pPr>
            <w:r w:rsidRPr="00C531F3">
              <w:rPr>
                <w:rFonts w:ascii="Times New Roman" w:hAnsi="Times New Roman" w:cs="Times New Roman"/>
                <w:lang w:val="en-US"/>
              </w:rPr>
              <w:t>Cognitive Unlearning → Digital Transformation Preparedness</w:t>
            </w:r>
          </w:p>
        </w:tc>
        <w:tc>
          <w:tcPr>
            <w:tcW w:w="0" w:type="auto"/>
            <w:vAlign w:val="center"/>
            <w:hideMark/>
          </w:tcPr>
          <w:p w14:paraId="0E71AE94" w14:textId="77777777" w:rsidR="00090908" w:rsidRPr="00C531F3" w:rsidRDefault="00090908" w:rsidP="001462B7">
            <w:pPr>
              <w:rPr>
                <w:rFonts w:ascii="Times New Roman" w:hAnsi="Times New Roman" w:cs="Times New Roman"/>
                <w:lang w:val="en-US"/>
              </w:rPr>
            </w:pPr>
            <w:r w:rsidRPr="00C531F3">
              <w:rPr>
                <w:rFonts w:ascii="Times New Roman" w:hAnsi="Times New Roman" w:cs="Times New Roman"/>
                <w:lang w:val="en-US"/>
              </w:rPr>
              <w:t xml:space="preserve">Unlearning reduces </w:t>
            </w:r>
            <w:proofErr w:type="spellStart"/>
            <w:r w:rsidRPr="00C531F3">
              <w:rPr>
                <w:rFonts w:ascii="Times New Roman" w:hAnsi="Times New Roman" w:cs="Times New Roman"/>
                <w:lang w:val="en-US"/>
              </w:rPr>
              <w:t>behavioural</w:t>
            </w:r>
            <w:proofErr w:type="spellEnd"/>
            <w:r w:rsidRPr="00C531F3">
              <w:rPr>
                <w:rFonts w:ascii="Times New Roman" w:hAnsi="Times New Roman" w:cs="Times New Roman"/>
                <w:lang w:val="en-US"/>
              </w:rPr>
              <w:t xml:space="preserve"> inertia and enables the functional activation of digital capacity.</w:t>
            </w:r>
          </w:p>
        </w:tc>
      </w:tr>
      <w:tr w:rsidR="00090908" w:rsidRPr="00C531F3" w14:paraId="3137B7B4" w14:textId="77777777" w:rsidTr="00F9653C">
        <w:tc>
          <w:tcPr>
            <w:tcW w:w="0" w:type="auto"/>
            <w:vAlign w:val="center"/>
            <w:hideMark/>
          </w:tcPr>
          <w:p w14:paraId="39360A56" w14:textId="77777777" w:rsidR="00090908" w:rsidRPr="00C531F3" w:rsidRDefault="00090908" w:rsidP="008551E2">
            <w:pPr>
              <w:jc w:val="both"/>
              <w:rPr>
                <w:rFonts w:ascii="Times New Roman" w:hAnsi="Times New Roman" w:cs="Times New Roman"/>
                <w:lang w:val="en-US"/>
              </w:rPr>
            </w:pPr>
            <w:r w:rsidRPr="00C531F3">
              <w:rPr>
                <w:rFonts w:ascii="Times New Roman" w:hAnsi="Times New Roman" w:cs="Times New Roman"/>
                <w:lang w:val="en-US"/>
              </w:rPr>
              <w:t>H4</w:t>
            </w:r>
          </w:p>
        </w:tc>
        <w:tc>
          <w:tcPr>
            <w:tcW w:w="0" w:type="auto"/>
            <w:vAlign w:val="center"/>
            <w:hideMark/>
          </w:tcPr>
          <w:p w14:paraId="69375ABC" w14:textId="24F8AEA2" w:rsidR="00090908" w:rsidRPr="00C531F3" w:rsidRDefault="00090908" w:rsidP="001462B7">
            <w:pPr>
              <w:rPr>
                <w:rFonts w:ascii="Times New Roman" w:hAnsi="Times New Roman" w:cs="Times New Roman"/>
                <w:lang w:val="en-US"/>
              </w:rPr>
            </w:pPr>
            <w:r w:rsidRPr="00C531F3">
              <w:rPr>
                <w:rFonts w:ascii="Times New Roman" w:hAnsi="Times New Roman" w:cs="Times New Roman"/>
                <w:lang w:val="en-US"/>
              </w:rPr>
              <w:t xml:space="preserve">Digital Readiness → Cognitive Unlearning → </w:t>
            </w:r>
            <w:r w:rsidR="008551E2" w:rsidRPr="00C531F3">
              <w:rPr>
                <w:rFonts w:ascii="Times New Roman" w:hAnsi="Times New Roman" w:cs="Times New Roman"/>
                <w:lang w:val="en-US"/>
              </w:rPr>
              <w:t>DTP</w:t>
            </w:r>
          </w:p>
        </w:tc>
        <w:tc>
          <w:tcPr>
            <w:tcW w:w="0" w:type="auto"/>
            <w:vAlign w:val="center"/>
            <w:hideMark/>
          </w:tcPr>
          <w:p w14:paraId="0BA0C1CE" w14:textId="77777777" w:rsidR="00090908" w:rsidRPr="00C531F3" w:rsidRDefault="00090908" w:rsidP="001462B7">
            <w:pPr>
              <w:rPr>
                <w:rFonts w:ascii="Times New Roman" w:hAnsi="Times New Roman" w:cs="Times New Roman"/>
                <w:lang w:val="en-US"/>
              </w:rPr>
            </w:pPr>
            <w:r w:rsidRPr="00C531F3">
              <w:rPr>
                <w:rFonts w:ascii="Times New Roman" w:hAnsi="Times New Roman" w:cs="Times New Roman"/>
                <w:lang w:val="en-US"/>
              </w:rPr>
              <w:t>Cognitive unlearning mediates the relationship by converting latent readiness into coordinated and sustained preparedness.</w:t>
            </w:r>
          </w:p>
        </w:tc>
      </w:tr>
    </w:tbl>
    <w:p w14:paraId="418F5340" w14:textId="06CF727D" w:rsidR="00090908" w:rsidRPr="00C531F3" w:rsidRDefault="00090908" w:rsidP="00C21873">
      <w:pPr>
        <w:spacing w:before="240" w:after="240" w:line="240" w:lineRule="auto"/>
        <w:ind w:firstLine="709"/>
        <w:jc w:val="both"/>
        <w:rPr>
          <w:rFonts w:ascii="Times New Roman" w:hAnsi="Times New Roman" w:cs="Times New Roman"/>
          <w:lang w:val="en-US"/>
        </w:rPr>
      </w:pPr>
      <w:r w:rsidRPr="00C531F3">
        <w:rPr>
          <w:rFonts w:ascii="Times New Roman" w:hAnsi="Times New Roman" w:cs="Times New Roman"/>
          <w:lang w:val="en-US"/>
        </w:rPr>
        <w:t>Digital readiness is expected to predict digital transformation preparedness because skills, confidence, and openness provide a necessary basis for change</w:t>
      </w:r>
      <w:r w:rsidR="00BC1E93" w:rsidRPr="00C531F3">
        <w:rPr>
          <w:rFonts w:ascii="Times New Roman" w:hAnsi="Times New Roman" w:cs="Times New Roman"/>
          <w:lang w:val="en-US"/>
        </w:rPr>
        <w:t xml:space="preserve"> (Muduli &amp; Choudhury, 2025)</w:t>
      </w:r>
      <w:r w:rsidRPr="00C531F3">
        <w:rPr>
          <w:rFonts w:ascii="Times New Roman" w:hAnsi="Times New Roman" w:cs="Times New Roman"/>
          <w:lang w:val="en-US"/>
        </w:rPr>
        <w:t xml:space="preserve">. However, this effect should </w:t>
      </w:r>
      <w:r w:rsidRPr="00C531F3">
        <w:rPr>
          <w:rFonts w:ascii="Times New Roman" w:hAnsi="Times New Roman" w:cs="Times New Roman"/>
          <w:lang w:val="en-US"/>
        </w:rPr>
        <w:lastRenderedPageBreak/>
        <w:t>not be understood as purely direct. Institutions with high digital readiness are also more likely to support cognitive unlearning, because staff who feel competent are better positioned to question established habits and experiment with alternatives. Readiness therefore creates the conditions under which unlearning can occur.</w:t>
      </w:r>
    </w:p>
    <w:p w14:paraId="32799671" w14:textId="4BFD1CA1" w:rsidR="00090908" w:rsidRPr="00C531F3" w:rsidRDefault="00090908" w:rsidP="00C21873">
      <w:pPr>
        <w:spacing w:before="240" w:after="240" w:line="240" w:lineRule="auto"/>
        <w:ind w:firstLine="709"/>
        <w:jc w:val="both"/>
        <w:rPr>
          <w:rFonts w:ascii="Times New Roman" w:hAnsi="Times New Roman" w:cs="Times New Roman"/>
          <w:lang w:val="en-US"/>
        </w:rPr>
      </w:pPr>
      <w:r w:rsidRPr="00C531F3">
        <w:rPr>
          <w:rFonts w:ascii="Times New Roman" w:hAnsi="Times New Roman" w:cs="Times New Roman"/>
          <w:lang w:val="en-US"/>
        </w:rPr>
        <w:t>Cognitive unlearning is expected to predict preparedness because transformation depends on more than technical competence</w:t>
      </w:r>
      <w:r w:rsidR="00BC1E93" w:rsidRPr="00C531F3">
        <w:rPr>
          <w:rFonts w:ascii="Times New Roman" w:hAnsi="Times New Roman" w:cs="Times New Roman"/>
          <w:lang w:val="en-US"/>
        </w:rPr>
        <w:t xml:space="preserve"> (</w:t>
      </w:r>
      <w:proofErr w:type="spellStart"/>
      <w:r w:rsidR="00BC1E93" w:rsidRPr="00C531F3">
        <w:rPr>
          <w:rFonts w:ascii="Times New Roman" w:hAnsi="Times New Roman" w:cs="Times New Roman"/>
          <w:lang w:val="en-US"/>
        </w:rPr>
        <w:t>Höyng</w:t>
      </w:r>
      <w:proofErr w:type="spellEnd"/>
      <w:r w:rsidR="00BC1E93" w:rsidRPr="00C531F3">
        <w:rPr>
          <w:rFonts w:ascii="Times New Roman" w:hAnsi="Times New Roman" w:cs="Times New Roman"/>
          <w:lang w:val="en-US"/>
        </w:rPr>
        <w:t xml:space="preserve"> &amp; Lau, 2023)</w:t>
      </w:r>
      <w:r w:rsidRPr="00C531F3">
        <w:rPr>
          <w:rFonts w:ascii="Times New Roman" w:hAnsi="Times New Roman" w:cs="Times New Roman"/>
          <w:lang w:val="en-US"/>
        </w:rPr>
        <w:t xml:space="preserve">. Unless staff are willing to discard outdated assumptions and routines, digital tools remain layered onto old practices rather than reshaping them. Unlearning is therefore the active process through which readiness is translated into </w:t>
      </w:r>
      <w:proofErr w:type="spellStart"/>
      <w:r w:rsidRPr="00C531F3">
        <w:rPr>
          <w:rFonts w:ascii="Times New Roman" w:hAnsi="Times New Roman" w:cs="Times New Roman"/>
          <w:lang w:val="en-US"/>
        </w:rPr>
        <w:t>organisational</w:t>
      </w:r>
      <w:proofErr w:type="spellEnd"/>
      <w:r w:rsidRPr="00C531F3">
        <w:rPr>
          <w:rFonts w:ascii="Times New Roman" w:hAnsi="Times New Roman" w:cs="Times New Roman"/>
          <w:lang w:val="en-US"/>
        </w:rPr>
        <w:t xml:space="preserve"> change.</w:t>
      </w:r>
    </w:p>
    <w:p w14:paraId="7D8D3EDE" w14:textId="77777777" w:rsidR="00090908" w:rsidRPr="00C531F3" w:rsidRDefault="00090908" w:rsidP="00C21873">
      <w:pPr>
        <w:spacing w:before="240" w:after="240" w:line="240" w:lineRule="auto"/>
        <w:ind w:firstLine="709"/>
        <w:jc w:val="both"/>
        <w:rPr>
          <w:rFonts w:ascii="Times New Roman" w:hAnsi="Times New Roman" w:cs="Times New Roman"/>
          <w:lang w:val="en-US"/>
        </w:rPr>
      </w:pPr>
      <w:r w:rsidRPr="00C531F3">
        <w:rPr>
          <w:rFonts w:ascii="Times New Roman" w:hAnsi="Times New Roman" w:cs="Times New Roman"/>
          <w:lang w:val="en-US"/>
        </w:rPr>
        <w:t xml:space="preserve">Taken together, these arguments imply a mediating relationship. Digital readiness does not produce preparedness automatically; it does so through cognitive unlearning, which functions as the conversion mechanism between latent capacity and operational alignment. This is particularly relevant in higher education systems where technical debt, administrative rigidity, and uneven support structures make transformation difficult. In such contexts, preparedness is not simply a matter of having digital tools, but of reworking the cognitive and </w:t>
      </w:r>
      <w:proofErr w:type="spellStart"/>
      <w:r w:rsidRPr="00C531F3">
        <w:rPr>
          <w:rFonts w:ascii="Times New Roman" w:hAnsi="Times New Roman" w:cs="Times New Roman"/>
          <w:lang w:val="en-US"/>
        </w:rPr>
        <w:t>organisational</w:t>
      </w:r>
      <w:proofErr w:type="spellEnd"/>
      <w:r w:rsidRPr="00C531F3">
        <w:rPr>
          <w:rFonts w:ascii="Times New Roman" w:hAnsi="Times New Roman" w:cs="Times New Roman"/>
          <w:lang w:val="en-US"/>
        </w:rPr>
        <w:t xml:space="preserve"> habits that determine how those tools are used.</w:t>
      </w:r>
    </w:p>
    <w:p w14:paraId="2EB1D857" w14:textId="77777777" w:rsidR="00090908" w:rsidRPr="00C531F3" w:rsidRDefault="00090908" w:rsidP="00C21873">
      <w:pPr>
        <w:spacing w:before="240" w:after="240" w:line="240" w:lineRule="auto"/>
        <w:ind w:firstLine="709"/>
        <w:jc w:val="both"/>
        <w:rPr>
          <w:rFonts w:ascii="Times New Roman" w:hAnsi="Times New Roman" w:cs="Times New Roman"/>
          <w:lang w:val="en-US"/>
        </w:rPr>
      </w:pPr>
      <w:r w:rsidRPr="00C531F3">
        <w:rPr>
          <w:rFonts w:ascii="Times New Roman" w:hAnsi="Times New Roman" w:cs="Times New Roman"/>
          <w:lang w:val="en-US"/>
        </w:rPr>
        <w:t>Accordingly, the study tests whether cognitive unlearning explains how digital readiness becomes digital transformation preparedness among academic and management staff in Northeast Nigerian higher education institutions.</w:t>
      </w:r>
    </w:p>
    <w:p w14:paraId="11CAA4DB" w14:textId="577CAF7F" w:rsidR="00BD00C9" w:rsidRPr="00C531F3" w:rsidRDefault="00C21873" w:rsidP="00C21873">
      <w:pPr>
        <w:pStyle w:val="Heading1"/>
        <w:spacing w:before="240" w:after="240" w:line="240" w:lineRule="auto"/>
        <w:jc w:val="both"/>
        <w:rPr>
          <w:rFonts w:ascii="Times New Roman" w:hAnsi="Times New Roman" w:cs="Times New Roman"/>
          <w:b/>
          <w:bCs/>
          <w:color w:val="auto"/>
          <w:sz w:val="24"/>
          <w:szCs w:val="24"/>
          <w:lang w:val="en-US"/>
        </w:rPr>
      </w:pPr>
      <w:r w:rsidRPr="00C531F3">
        <w:rPr>
          <w:rFonts w:ascii="Times New Roman" w:hAnsi="Times New Roman" w:cs="Times New Roman"/>
          <w:b/>
          <w:bCs/>
          <w:color w:val="auto"/>
          <w:sz w:val="24"/>
          <w:szCs w:val="24"/>
          <w:lang w:val="en-US"/>
        </w:rPr>
        <w:t>RESEARCH METHODOLOGY</w:t>
      </w:r>
    </w:p>
    <w:p w14:paraId="71DD624B" w14:textId="647397D1" w:rsidR="00BD00C9" w:rsidRPr="00C531F3" w:rsidRDefault="00BD4C9A" w:rsidP="00C21873">
      <w:pPr>
        <w:spacing w:before="240" w:after="240" w:line="240" w:lineRule="auto"/>
        <w:ind w:firstLine="709"/>
        <w:jc w:val="both"/>
        <w:rPr>
          <w:rFonts w:ascii="Times New Roman" w:hAnsi="Times New Roman" w:cs="Times New Roman"/>
        </w:rPr>
      </w:pPr>
      <w:r w:rsidRPr="00C531F3">
        <w:rPr>
          <w:rFonts w:ascii="Times New Roman" w:hAnsi="Times New Roman" w:cs="Times New Roman"/>
        </w:rPr>
        <w:t xml:space="preserve">This study adopts a post-positivist quantitative design and a cross-sectional survey approach to test the BIFT model </w:t>
      </w:r>
      <w:r w:rsidRPr="00C531F3">
        <w:rPr>
          <w:rFonts w:ascii="Times New Roman" w:hAnsi="Times New Roman" w:cs="Times New Roman"/>
          <w:lang w:val="en-US"/>
        </w:rPr>
        <w:t>(Salisu, 2026)</w:t>
      </w:r>
      <w:r w:rsidRPr="00C531F3">
        <w:rPr>
          <w:rFonts w:ascii="Times New Roman" w:hAnsi="Times New Roman" w:cs="Times New Roman"/>
        </w:rPr>
        <w:t>. It examines whether digital readiness predicts digital transformation preparedness and whether cognitive unlearning explains that relationship.</w:t>
      </w:r>
    </w:p>
    <w:p w14:paraId="66C18E22" w14:textId="4EED7A5D" w:rsidR="00C2123A" w:rsidRPr="00C531F3" w:rsidRDefault="00C2123A" w:rsidP="00C21873">
      <w:pPr>
        <w:pStyle w:val="Heading2"/>
        <w:spacing w:before="240" w:after="240" w:line="240" w:lineRule="auto"/>
        <w:ind w:left="709" w:hanging="709"/>
        <w:jc w:val="both"/>
        <w:rPr>
          <w:rFonts w:ascii="Times New Roman" w:hAnsi="Times New Roman" w:cs="Times New Roman"/>
          <w:b/>
          <w:bCs/>
          <w:color w:val="auto"/>
          <w:sz w:val="24"/>
          <w:szCs w:val="24"/>
          <w:lang w:val="en-US"/>
        </w:rPr>
      </w:pPr>
      <w:r w:rsidRPr="00C531F3">
        <w:rPr>
          <w:rFonts w:ascii="Times New Roman" w:hAnsi="Times New Roman" w:cs="Times New Roman"/>
          <w:b/>
          <w:bCs/>
          <w:color w:val="auto"/>
          <w:sz w:val="24"/>
          <w:szCs w:val="24"/>
          <w:lang w:val="en-US"/>
        </w:rPr>
        <w:t>Research</w:t>
      </w:r>
      <w:r w:rsidR="00EA72A8" w:rsidRPr="00C531F3">
        <w:rPr>
          <w:rFonts w:ascii="Times New Roman" w:hAnsi="Times New Roman" w:cs="Times New Roman"/>
          <w:b/>
          <w:bCs/>
          <w:color w:val="auto"/>
          <w:sz w:val="24"/>
          <w:szCs w:val="24"/>
          <w:lang w:val="en-US"/>
        </w:rPr>
        <w:t xml:space="preserve"> </w:t>
      </w:r>
      <w:r w:rsidRPr="00C531F3">
        <w:rPr>
          <w:rFonts w:ascii="Times New Roman" w:hAnsi="Times New Roman" w:cs="Times New Roman"/>
          <w:b/>
          <w:bCs/>
          <w:color w:val="auto"/>
          <w:sz w:val="24"/>
          <w:szCs w:val="24"/>
          <w:lang w:val="en-US"/>
        </w:rPr>
        <w:t>Design</w:t>
      </w:r>
    </w:p>
    <w:p w14:paraId="4FFE9294" w14:textId="478DB4B7" w:rsidR="001C0473" w:rsidRPr="00C531F3" w:rsidRDefault="004F652D" w:rsidP="00C21873">
      <w:pPr>
        <w:spacing w:before="240" w:after="240" w:line="240" w:lineRule="auto"/>
        <w:ind w:firstLine="709"/>
        <w:jc w:val="both"/>
        <w:rPr>
          <w:rFonts w:ascii="Times New Roman" w:hAnsi="Times New Roman" w:cs="Times New Roman"/>
        </w:rPr>
      </w:pPr>
      <w:r w:rsidRPr="00C531F3">
        <w:rPr>
          <w:rFonts w:ascii="Times New Roman" w:hAnsi="Times New Roman" w:cs="Times New Roman"/>
        </w:rPr>
        <w:t xml:space="preserve">A multilevel design </w:t>
      </w:r>
      <w:r w:rsidR="002A3DDE" w:rsidRPr="00C531F3">
        <w:rPr>
          <w:rFonts w:ascii="Times New Roman" w:hAnsi="Times New Roman" w:cs="Times New Roman"/>
        </w:rPr>
        <w:t xml:space="preserve">(Dosek, 2020) </w:t>
      </w:r>
      <w:r w:rsidRPr="00C531F3">
        <w:rPr>
          <w:rFonts w:ascii="Times New Roman" w:hAnsi="Times New Roman" w:cs="Times New Roman"/>
        </w:rPr>
        <w:t>was used to test the hypothesised mediated relationship in a higher education context. The quantitative approach was appropriate because it allowed the study to estimate direct and indirect effects across a heterogeneous institutional setting and to assess the predictive logic of BIFT empirically.</w:t>
      </w:r>
    </w:p>
    <w:p w14:paraId="692184C4" w14:textId="29A8F57D" w:rsidR="00C2123A" w:rsidRPr="00C531F3" w:rsidRDefault="00C2123A" w:rsidP="00C21873">
      <w:pPr>
        <w:pStyle w:val="Heading2"/>
        <w:spacing w:before="240" w:after="240" w:line="240" w:lineRule="auto"/>
        <w:ind w:left="709" w:hanging="709"/>
        <w:jc w:val="both"/>
        <w:rPr>
          <w:rFonts w:ascii="Times New Roman" w:hAnsi="Times New Roman" w:cs="Times New Roman"/>
          <w:b/>
          <w:bCs/>
          <w:color w:val="auto"/>
          <w:sz w:val="24"/>
          <w:szCs w:val="24"/>
          <w:lang w:val="en-US"/>
        </w:rPr>
      </w:pPr>
      <w:r w:rsidRPr="00C531F3">
        <w:rPr>
          <w:rFonts w:ascii="Times New Roman" w:hAnsi="Times New Roman" w:cs="Times New Roman"/>
          <w:b/>
          <w:bCs/>
          <w:color w:val="auto"/>
          <w:sz w:val="24"/>
          <w:szCs w:val="24"/>
          <w:lang w:val="en-US"/>
        </w:rPr>
        <w:t>Population</w:t>
      </w:r>
      <w:r w:rsidR="00EA72A8" w:rsidRPr="00C531F3">
        <w:rPr>
          <w:rFonts w:ascii="Times New Roman" w:hAnsi="Times New Roman" w:cs="Times New Roman"/>
          <w:b/>
          <w:bCs/>
          <w:color w:val="auto"/>
          <w:sz w:val="24"/>
          <w:szCs w:val="24"/>
          <w:lang w:val="en-US"/>
        </w:rPr>
        <w:t xml:space="preserve"> </w:t>
      </w:r>
      <w:r w:rsidRPr="00C531F3">
        <w:rPr>
          <w:rFonts w:ascii="Times New Roman" w:hAnsi="Times New Roman" w:cs="Times New Roman"/>
          <w:b/>
          <w:bCs/>
          <w:color w:val="auto"/>
          <w:sz w:val="24"/>
          <w:szCs w:val="24"/>
          <w:lang w:val="en-US"/>
        </w:rPr>
        <w:t>and</w:t>
      </w:r>
      <w:r w:rsidR="00EA72A8" w:rsidRPr="00C531F3">
        <w:rPr>
          <w:rFonts w:ascii="Times New Roman" w:hAnsi="Times New Roman" w:cs="Times New Roman"/>
          <w:b/>
          <w:bCs/>
          <w:color w:val="auto"/>
          <w:sz w:val="24"/>
          <w:szCs w:val="24"/>
          <w:lang w:val="en-US"/>
        </w:rPr>
        <w:t xml:space="preserve"> </w:t>
      </w:r>
      <w:r w:rsidRPr="00C531F3">
        <w:rPr>
          <w:rFonts w:ascii="Times New Roman" w:hAnsi="Times New Roman" w:cs="Times New Roman"/>
          <w:b/>
          <w:bCs/>
          <w:color w:val="auto"/>
          <w:sz w:val="24"/>
          <w:szCs w:val="24"/>
          <w:lang w:val="en-US"/>
        </w:rPr>
        <w:t>Research</w:t>
      </w:r>
      <w:r w:rsidR="00EA72A8" w:rsidRPr="00C531F3">
        <w:rPr>
          <w:rFonts w:ascii="Times New Roman" w:hAnsi="Times New Roman" w:cs="Times New Roman"/>
          <w:b/>
          <w:bCs/>
          <w:color w:val="auto"/>
          <w:sz w:val="24"/>
          <w:szCs w:val="24"/>
          <w:lang w:val="en-US"/>
        </w:rPr>
        <w:t xml:space="preserve"> </w:t>
      </w:r>
      <w:r w:rsidRPr="00C531F3">
        <w:rPr>
          <w:rFonts w:ascii="Times New Roman" w:hAnsi="Times New Roman" w:cs="Times New Roman"/>
          <w:b/>
          <w:bCs/>
          <w:color w:val="auto"/>
          <w:sz w:val="24"/>
          <w:szCs w:val="24"/>
          <w:lang w:val="en-US"/>
        </w:rPr>
        <w:t>Context</w:t>
      </w:r>
    </w:p>
    <w:p w14:paraId="398189D9" w14:textId="13FA510C" w:rsidR="00BE2884" w:rsidRPr="00C531F3" w:rsidRDefault="00BE2884" w:rsidP="00C21873">
      <w:pPr>
        <w:spacing w:before="240" w:after="240" w:line="240" w:lineRule="auto"/>
        <w:ind w:firstLine="709"/>
        <w:jc w:val="both"/>
        <w:rPr>
          <w:rFonts w:ascii="Times New Roman" w:hAnsi="Times New Roman" w:cs="Times New Roman"/>
          <w:lang w:val="en-US"/>
        </w:rPr>
      </w:pPr>
      <w:r w:rsidRPr="00C531F3">
        <w:rPr>
          <w:rFonts w:ascii="Times New Roman" w:hAnsi="Times New Roman" w:cs="Times New Roman"/>
          <w:lang w:val="en-US"/>
        </w:rPr>
        <w:t>The</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research</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was</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conducted</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within</w:t>
      </w:r>
      <w:r w:rsidR="00EA72A8" w:rsidRPr="00C531F3">
        <w:rPr>
          <w:rFonts w:ascii="Times New Roman" w:hAnsi="Times New Roman" w:cs="Times New Roman"/>
          <w:lang w:val="en-US"/>
        </w:rPr>
        <w:t xml:space="preserve"> </w:t>
      </w:r>
      <w:r w:rsidR="000615F4" w:rsidRPr="00C531F3">
        <w:rPr>
          <w:rFonts w:ascii="Times New Roman" w:hAnsi="Times New Roman" w:cs="Times New Roman"/>
          <w:lang w:val="en-US"/>
        </w:rPr>
        <w:t>polytechnics</w:t>
      </w:r>
      <w:r w:rsidR="00EA72A8" w:rsidRPr="00C531F3">
        <w:rPr>
          <w:rFonts w:ascii="Times New Roman" w:hAnsi="Times New Roman" w:cs="Times New Roman"/>
          <w:lang w:val="en-US"/>
        </w:rPr>
        <w:t xml:space="preserve"> </w:t>
      </w:r>
      <w:r w:rsidR="000615F4" w:rsidRPr="00C531F3">
        <w:rPr>
          <w:rFonts w:ascii="Times New Roman" w:hAnsi="Times New Roman" w:cs="Times New Roman"/>
          <w:lang w:val="en-US"/>
        </w:rPr>
        <w:t>and</w:t>
      </w:r>
      <w:r w:rsidR="00EA72A8" w:rsidRPr="00C531F3">
        <w:rPr>
          <w:rFonts w:ascii="Times New Roman" w:hAnsi="Times New Roman" w:cs="Times New Roman"/>
          <w:lang w:val="en-US"/>
        </w:rPr>
        <w:t xml:space="preserve"> </w:t>
      </w:r>
      <w:r w:rsidR="000615F4" w:rsidRPr="00C531F3">
        <w:rPr>
          <w:rFonts w:ascii="Times New Roman" w:hAnsi="Times New Roman" w:cs="Times New Roman"/>
          <w:lang w:val="en-US"/>
        </w:rPr>
        <w:t>universities</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of</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Northeast</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Nigeria,</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a</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region</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facing</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significant</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resource</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constraints</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and</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technical</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deb</w:t>
      </w:r>
      <w:r w:rsidR="00AB68D0" w:rsidRPr="00C531F3">
        <w:rPr>
          <w:rFonts w:ascii="Times New Roman" w:hAnsi="Times New Roman" w:cs="Times New Roman"/>
          <w:lang w:val="en-US"/>
        </w:rPr>
        <w:t>t</w:t>
      </w:r>
      <w:r w:rsidRPr="00C531F3">
        <w:rPr>
          <w:rFonts w:ascii="Times New Roman" w:hAnsi="Times New Roman" w:cs="Times New Roman"/>
          <w:lang w:val="en-US"/>
        </w:rPr>
        <w:t>.</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The</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population</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consists</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of</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academic</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and</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management</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staff</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across</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30</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institutions,</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stratified</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by</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type</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(12</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Polytechnics,</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18</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Universities)</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and</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ownership</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(Federal,</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State,</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and</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Private).</w:t>
      </w:r>
      <w:r w:rsidR="00EA72A8" w:rsidRPr="00C531F3">
        <w:rPr>
          <w:rFonts w:ascii="Times New Roman" w:hAnsi="Times New Roman" w:cs="Times New Roman"/>
          <w:lang w:val="en-US"/>
        </w:rPr>
        <w:t xml:space="preserve"> </w:t>
      </w:r>
      <w:r w:rsidR="007641D3" w:rsidRPr="00C531F3">
        <w:rPr>
          <w:rFonts w:ascii="Times New Roman" w:hAnsi="Times New Roman" w:cs="Times New Roman"/>
        </w:rPr>
        <w:t>Respondents were selected because they are directly involved in implementing digital initiatives and are therefore positioned to experience both digital readiness and the need for cognitive unlearning</w:t>
      </w:r>
      <w:r w:rsidRPr="00C531F3">
        <w:rPr>
          <w:rFonts w:ascii="Times New Roman" w:hAnsi="Times New Roman" w:cs="Times New Roman"/>
          <w:lang w:val="en-US"/>
        </w:rPr>
        <w:t>.</w:t>
      </w:r>
    </w:p>
    <w:p w14:paraId="0F4F7110" w14:textId="14E86AC3" w:rsidR="00C2123A" w:rsidRPr="00C531F3" w:rsidRDefault="00C2123A" w:rsidP="00C21873">
      <w:pPr>
        <w:pStyle w:val="Heading2"/>
        <w:spacing w:before="240" w:after="240" w:line="240" w:lineRule="auto"/>
        <w:ind w:left="709" w:hanging="709"/>
        <w:jc w:val="both"/>
        <w:rPr>
          <w:rFonts w:ascii="Times New Roman" w:hAnsi="Times New Roman" w:cs="Times New Roman"/>
          <w:b/>
          <w:bCs/>
          <w:color w:val="auto"/>
          <w:sz w:val="24"/>
          <w:szCs w:val="24"/>
          <w:lang w:val="en-US"/>
        </w:rPr>
      </w:pPr>
      <w:r w:rsidRPr="00C531F3">
        <w:rPr>
          <w:rFonts w:ascii="Times New Roman" w:hAnsi="Times New Roman" w:cs="Times New Roman"/>
          <w:b/>
          <w:bCs/>
          <w:color w:val="auto"/>
          <w:sz w:val="24"/>
          <w:szCs w:val="24"/>
          <w:lang w:val="en-US"/>
        </w:rPr>
        <w:t>Sampling</w:t>
      </w:r>
      <w:r w:rsidR="00EA72A8" w:rsidRPr="00C531F3">
        <w:rPr>
          <w:rFonts w:ascii="Times New Roman" w:hAnsi="Times New Roman" w:cs="Times New Roman"/>
          <w:b/>
          <w:bCs/>
          <w:color w:val="auto"/>
          <w:sz w:val="24"/>
          <w:szCs w:val="24"/>
          <w:lang w:val="en-US"/>
        </w:rPr>
        <w:t xml:space="preserve"> </w:t>
      </w:r>
      <w:r w:rsidRPr="00C531F3">
        <w:rPr>
          <w:rFonts w:ascii="Times New Roman" w:hAnsi="Times New Roman" w:cs="Times New Roman"/>
          <w:b/>
          <w:bCs/>
          <w:color w:val="auto"/>
          <w:sz w:val="24"/>
          <w:szCs w:val="24"/>
          <w:lang w:val="en-US"/>
        </w:rPr>
        <w:t>Strategy</w:t>
      </w:r>
    </w:p>
    <w:p w14:paraId="37DC5EBC" w14:textId="1ADA7A91" w:rsidR="00BE2884" w:rsidRPr="00C531F3" w:rsidRDefault="00BE2884" w:rsidP="00C21873">
      <w:pPr>
        <w:spacing w:before="240" w:after="240" w:line="240" w:lineRule="auto"/>
        <w:ind w:firstLine="709"/>
        <w:jc w:val="both"/>
        <w:rPr>
          <w:rFonts w:ascii="Times New Roman" w:hAnsi="Times New Roman" w:cs="Times New Roman"/>
          <w:lang w:val="en-US"/>
        </w:rPr>
      </w:pPr>
      <w:r w:rsidRPr="00C531F3">
        <w:rPr>
          <w:rFonts w:ascii="Times New Roman" w:hAnsi="Times New Roman" w:cs="Times New Roman"/>
          <w:lang w:val="en-US"/>
        </w:rPr>
        <w:t>A</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multi-stage</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stratified</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random</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sampling</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technique</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was</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employed,</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treating</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the</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30</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regional</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institutions</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as</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clusters.</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Given</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the</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absence</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of</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a</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verified</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centralized</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staff</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payroll</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and</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the</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seasonal</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fluctuation</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of</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personnel,</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the</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population</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was</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treated</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as</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unknown.</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Consequently,</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the</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sample</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size</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was</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determined</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using</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Cochran</w:t>
      </w:r>
      <w:r w:rsidR="00122C51" w:rsidRPr="00C531F3">
        <w:rPr>
          <w:rFonts w:ascii="Times New Roman" w:hAnsi="Times New Roman" w:cs="Times New Roman"/>
          <w:lang w:val="en-US"/>
        </w:rPr>
        <w:t>’</w:t>
      </w:r>
      <w:r w:rsidRPr="00C531F3">
        <w:rPr>
          <w:rFonts w:ascii="Times New Roman" w:hAnsi="Times New Roman" w:cs="Times New Roman"/>
          <w:lang w:val="en-US"/>
        </w:rPr>
        <w:t>s</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(1977)</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formula</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for</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unknown</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populations,</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resulting</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in</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a</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minimum</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target</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of</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38</w:t>
      </w:r>
      <w:r w:rsidR="006105B9" w:rsidRPr="00C531F3">
        <w:rPr>
          <w:rFonts w:ascii="Times New Roman" w:hAnsi="Times New Roman" w:cs="Times New Roman"/>
          <w:lang w:val="en-US"/>
        </w:rPr>
        <w:t>8</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respondents</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to</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ensure</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statistical</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power</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for</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the</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mediation</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analysis</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conducted</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in</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JASP</w:t>
      </w:r>
      <w:r w:rsidR="00EA72A8" w:rsidRPr="00C531F3">
        <w:rPr>
          <w:rFonts w:ascii="Times New Roman" w:hAnsi="Times New Roman" w:cs="Times New Roman"/>
          <w:lang w:val="en-US"/>
        </w:rPr>
        <w:t xml:space="preserve"> </w:t>
      </w:r>
      <w:r w:rsidR="00EB13B4" w:rsidRPr="00C531F3">
        <w:rPr>
          <w:rFonts w:ascii="Times New Roman" w:hAnsi="Times New Roman" w:cs="Times New Roman"/>
          <w:lang w:val="en-US"/>
        </w:rPr>
        <w:t>(Version</w:t>
      </w:r>
      <w:r w:rsidR="00EA72A8" w:rsidRPr="00C531F3">
        <w:rPr>
          <w:rFonts w:ascii="Times New Roman" w:hAnsi="Times New Roman" w:cs="Times New Roman"/>
          <w:lang w:val="en-US"/>
        </w:rPr>
        <w:t xml:space="preserve"> </w:t>
      </w:r>
      <w:r w:rsidR="00EB13B4" w:rsidRPr="00C531F3">
        <w:rPr>
          <w:rFonts w:ascii="Times New Roman" w:hAnsi="Times New Roman" w:cs="Times New Roman"/>
          <w:lang w:val="en-US"/>
        </w:rPr>
        <w:t>0.97.1)</w:t>
      </w:r>
      <w:r w:rsidRPr="00C531F3">
        <w:rPr>
          <w:rFonts w:ascii="Times New Roman" w:hAnsi="Times New Roman" w:cs="Times New Roman"/>
          <w:lang w:val="en-US"/>
        </w:rPr>
        <w:t>.</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The</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first</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stage</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stratified</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clusters</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by</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institution</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type</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(Polytechnic</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vs.</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University),</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while</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the</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second</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stage</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stratified</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by</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ownership</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(Federal</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vs.</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State/Private)</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to</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capture</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variations</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in</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digital</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culture</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and</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governance.</w:t>
      </w:r>
    </w:p>
    <w:p w14:paraId="58E827D1" w14:textId="50607008" w:rsidR="00C2123A" w:rsidRPr="00C531F3" w:rsidRDefault="00C2123A" w:rsidP="00C21873">
      <w:pPr>
        <w:pStyle w:val="Heading2"/>
        <w:spacing w:before="240" w:after="240" w:line="240" w:lineRule="auto"/>
        <w:ind w:left="709" w:hanging="709"/>
        <w:jc w:val="both"/>
        <w:rPr>
          <w:rFonts w:ascii="Times New Roman" w:hAnsi="Times New Roman" w:cs="Times New Roman"/>
          <w:b/>
          <w:bCs/>
          <w:color w:val="auto"/>
          <w:sz w:val="24"/>
          <w:szCs w:val="24"/>
          <w:lang w:val="en-US"/>
        </w:rPr>
      </w:pPr>
      <w:r w:rsidRPr="00C531F3">
        <w:rPr>
          <w:rFonts w:ascii="Times New Roman" w:hAnsi="Times New Roman" w:cs="Times New Roman"/>
          <w:b/>
          <w:bCs/>
          <w:color w:val="auto"/>
          <w:sz w:val="24"/>
          <w:szCs w:val="24"/>
          <w:lang w:val="en-US"/>
        </w:rPr>
        <w:t>Measures</w:t>
      </w:r>
    </w:p>
    <w:p w14:paraId="7D8ECB27" w14:textId="3696D935" w:rsidR="007641D3" w:rsidRPr="00C531F3" w:rsidRDefault="007641D3" w:rsidP="00C21873">
      <w:pPr>
        <w:spacing w:before="240" w:after="240" w:line="240" w:lineRule="auto"/>
        <w:ind w:firstLine="709"/>
        <w:jc w:val="both"/>
        <w:rPr>
          <w:rFonts w:ascii="Times New Roman" w:hAnsi="Times New Roman" w:cs="Times New Roman"/>
          <w:lang w:val="en-US"/>
        </w:rPr>
      </w:pPr>
      <w:r w:rsidRPr="00C531F3">
        <w:rPr>
          <w:rFonts w:ascii="Times New Roman" w:hAnsi="Times New Roman" w:cs="Times New Roman"/>
          <w:lang w:val="en-US"/>
        </w:rPr>
        <w:t>All constructs were measured using validated scales adapted to the higher education context and rated on a five-point Likert scale ranging from 1 (Strongly Disagree) to 5 (Strongly Agree). The full item wording, construct dimensions/descriptions, and source adaptations are provided in Appendix A, Tables A1–A3.</w:t>
      </w:r>
    </w:p>
    <w:p w14:paraId="6A148516" w14:textId="77777777" w:rsidR="007641D3" w:rsidRPr="00C531F3" w:rsidRDefault="007641D3" w:rsidP="00C21873">
      <w:pPr>
        <w:spacing w:before="240" w:after="240" w:line="240" w:lineRule="auto"/>
        <w:ind w:firstLine="709"/>
        <w:jc w:val="both"/>
        <w:rPr>
          <w:rFonts w:ascii="Times New Roman" w:hAnsi="Times New Roman" w:cs="Times New Roman"/>
          <w:lang w:val="en-US"/>
        </w:rPr>
      </w:pPr>
      <w:r w:rsidRPr="00C531F3">
        <w:rPr>
          <w:rFonts w:ascii="Times New Roman" w:hAnsi="Times New Roman" w:cs="Times New Roman"/>
          <w:lang w:val="en-US"/>
        </w:rPr>
        <w:lastRenderedPageBreak/>
        <w:t xml:space="preserve">Digital readiness was </w:t>
      </w:r>
      <w:proofErr w:type="spellStart"/>
      <w:r w:rsidRPr="00C531F3">
        <w:rPr>
          <w:rFonts w:ascii="Times New Roman" w:hAnsi="Times New Roman" w:cs="Times New Roman"/>
          <w:lang w:val="en-US"/>
        </w:rPr>
        <w:t>operationalised</w:t>
      </w:r>
      <w:proofErr w:type="spellEnd"/>
      <w:r w:rsidRPr="00C531F3">
        <w:rPr>
          <w:rFonts w:ascii="Times New Roman" w:hAnsi="Times New Roman" w:cs="Times New Roman"/>
          <w:lang w:val="en-US"/>
        </w:rPr>
        <w:t xml:space="preserve"> as staff confidence and </w:t>
      </w:r>
      <w:proofErr w:type="spellStart"/>
      <w:r w:rsidRPr="00C531F3">
        <w:rPr>
          <w:rFonts w:ascii="Times New Roman" w:hAnsi="Times New Roman" w:cs="Times New Roman"/>
          <w:lang w:val="en-US"/>
        </w:rPr>
        <w:t>behavioural</w:t>
      </w:r>
      <w:proofErr w:type="spellEnd"/>
      <w:r w:rsidRPr="00C531F3">
        <w:rPr>
          <w:rFonts w:ascii="Times New Roman" w:hAnsi="Times New Roman" w:cs="Times New Roman"/>
          <w:lang w:val="en-US"/>
        </w:rPr>
        <w:t xml:space="preserve"> competence in using institutional digital systems. It drew on established indicators of digital literacy, self-efficacy, and tool adoption, and the adapted items are listed in Appendix A, Table A1. Cognitive unlearning captured the willingness to abandon obsolete beliefs, routines, and pedagogical habits in response to digital change. The adapted items are presented in Appendix A, Table A2. Digital transformation preparedness was defined as the functional alignment and activation of </w:t>
      </w:r>
      <w:proofErr w:type="spellStart"/>
      <w:r w:rsidRPr="00C531F3">
        <w:rPr>
          <w:rFonts w:ascii="Times New Roman" w:hAnsi="Times New Roman" w:cs="Times New Roman"/>
          <w:lang w:val="en-US"/>
        </w:rPr>
        <w:t>behavioural</w:t>
      </w:r>
      <w:proofErr w:type="spellEnd"/>
      <w:r w:rsidRPr="00C531F3">
        <w:rPr>
          <w:rFonts w:ascii="Times New Roman" w:hAnsi="Times New Roman" w:cs="Times New Roman"/>
          <w:lang w:val="en-US"/>
        </w:rPr>
        <w:t>, leadership, and institutional conditions supporting sustained transformation. The item set is provided in Appendix A, Table A3, where each item is framed to capture respondents’ experience of strategic coordination, institutional support, and operational integration rather than mere access to technology.</w:t>
      </w:r>
    </w:p>
    <w:p w14:paraId="012DE880" w14:textId="77777777" w:rsidR="001C0473" w:rsidRPr="00C531F3" w:rsidRDefault="001C0473" w:rsidP="00C21873">
      <w:pPr>
        <w:spacing w:before="240" w:after="240" w:line="240" w:lineRule="auto"/>
        <w:ind w:firstLine="709"/>
        <w:jc w:val="both"/>
        <w:rPr>
          <w:rFonts w:ascii="Times New Roman" w:hAnsi="Times New Roman" w:cs="Times New Roman"/>
          <w:lang w:val="en-US"/>
        </w:rPr>
      </w:pPr>
    </w:p>
    <w:p w14:paraId="594BF6D2" w14:textId="1F0A1248" w:rsidR="00C2123A" w:rsidRPr="00C531F3" w:rsidRDefault="00C2123A" w:rsidP="00C21873">
      <w:pPr>
        <w:pStyle w:val="Heading2"/>
        <w:spacing w:before="240" w:after="240" w:line="240" w:lineRule="auto"/>
        <w:ind w:left="709" w:hanging="709"/>
        <w:jc w:val="both"/>
        <w:rPr>
          <w:rFonts w:ascii="Times New Roman" w:hAnsi="Times New Roman" w:cs="Times New Roman"/>
          <w:b/>
          <w:bCs/>
          <w:color w:val="auto"/>
          <w:sz w:val="24"/>
          <w:szCs w:val="24"/>
          <w:lang w:val="en-US"/>
        </w:rPr>
      </w:pPr>
      <w:r w:rsidRPr="00C531F3">
        <w:rPr>
          <w:rFonts w:ascii="Times New Roman" w:hAnsi="Times New Roman" w:cs="Times New Roman"/>
          <w:b/>
          <w:bCs/>
          <w:color w:val="auto"/>
          <w:sz w:val="24"/>
          <w:szCs w:val="24"/>
          <w:lang w:val="en-US"/>
        </w:rPr>
        <w:t>Data</w:t>
      </w:r>
      <w:r w:rsidR="00EA72A8" w:rsidRPr="00C531F3">
        <w:rPr>
          <w:rFonts w:ascii="Times New Roman" w:hAnsi="Times New Roman" w:cs="Times New Roman"/>
          <w:b/>
          <w:bCs/>
          <w:color w:val="auto"/>
          <w:sz w:val="24"/>
          <w:szCs w:val="24"/>
          <w:lang w:val="en-US"/>
        </w:rPr>
        <w:t xml:space="preserve"> </w:t>
      </w:r>
      <w:r w:rsidRPr="00C531F3">
        <w:rPr>
          <w:rFonts w:ascii="Times New Roman" w:hAnsi="Times New Roman" w:cs="Times New Roman"/>
          <w:b/>
          <w:bCs/>
          <w:color w:val="auto"/>
          <w:sz w:val="24"/>
          <w:szCs w:val="24"/>
          <w:lang w:val="en-US"/>
        </w:rPr>
        <w:t>Analysis</w:t>
      </w:r>
      <w:r w:rsidR="00EA72A8" w:rsidRPr="00C531F3">
        <w:rPr>
          <w:rFonts w:ascii="Times New Roman" w:hAnsi="Times New Roman" w:cs="Times New Roman"/>
          <w:b/>
          <w:bCs/>
          <w:color w:val="auto"/>
          <w:sz w:val="24"/>
          <w:szCs w:val="24"/>
          <w:lang w:val="en-US"/>
        </w:rPr>
        <w:t xml:space="preserve"> </w:t>
      </w:r>
      <w:r w:rsidRPr="00C531F3">
        <w:rPr>
          <w:rFonts w:ascii="Times New Roman" w:hAnsi="Times New Roman" w:cs="Times New Roman"/>
          <w:b/>
          <w:bCs/>
          <w:color w:val="auto"/>
          <w:sz w:val="24"/>
          <w:szCs w:val="24"/>
          <w:lang w:val="en-US"/>
        </w:rPr>
        <w:t>Strategy</w:t>
      </w:r>
    </w:p>
    <w:p w14:paraId="7D1AB43B" w14:textId="76869747" w:rsidR="00EB5CFE" w:rsidRPr="00C531F3" w:rsidRDefault="00FC1865" w:rsidP="00C21873">
      <w:pPr>
        <w:spacing w:before="240" w:after="240" w:line="240" w:lineRule="auto"/>
        <w:ind w:firstLine="709"/>
        <w:jc w:val="both"/>
        <w:rPr>
          <w:rFonts w:ascii="Times New Roman" w:hAnsi="Times New Roman" w:cs="Times New Roman"/>
        </w:rPr>
      </w:pPr>
      <w:r w:rsidRPr="00C531F3">
        <w:rPr>
          <w:rFonts w:ascii="Times New Roman" w:hAnsi="Times New Roman" w:cs="Times New Roman"/>
        </w:rPr>
        <w:t>The analysis proceeded in two stages. First, Confirmatory Factor Analysis (CFA) was used to assess the measurement model, including internal consistency, convergent validity, and discriminant validity (Mueller &amp; Hancock, 2015). Second, structural path analysis was conducted using Partial Least Squares Structural Equation Modelling logic to test the direct and indirect effects proposed by BIFT. Bootstrapping with 5,000 resamples was used to evaluate the significance of the mediating effect of cognitive unlearning (Hair et al., 2021). This approach enabled the study to test the hypothesised transformation pathway with both measurement and structural rigour.</w:t>
      </w:r>
    </w:p>
    <w:p w14:paraId="472671EB" w14:textId="4DAEFC97" w:rsidR="001A6529" w:rsidRPr="00C531F3" w:rsidRDefault="00C21873" w:rsidP="00C21873">
      <w:pPr>
        <w:pStyle w:val="Heading1"/>
        <w:spacing w:before="240" w:after="240" w:line="240" w:lineRule="auto"/>
        <w:jc w:val="both"/>
        <w:rPr>
          <w:rFonts w:ascii="Times New Roman" w:hAnsi="Times New Roman" w:cs="Times New Roman"/>
          <w:b/>
          <w:bCs/>
          <w:color w:val="auto"/>
          <w:sz w:val="24"/>
          <w:szCs w:val="24"/>
          <w:lang w:val="en-US"/>
        </w:rPr>
      </w:pPr>
      <w:r w:rsidRPr="00C531F3">
        <w:rPr>
          <w:rFonts w:ascii="Times New Roman" w:hAnsi="Times New Roman" w:cs="Times New Roman"/>
          <w:b/>
          <w:bCs/>
          <w:color w:val="auto"/>
          <w:sz w:val="24"/>
          <w:szCs w:val="24"/>
          <w:lang w:val="en-US"/>
        </w:rPr>
        <w:t>RESULTS</w:t>
      </w:r>
    </w:p>
    <w:p w14:paraId="68DEEA89" w14:textId="6EB17F9B" w:rsidR="001A6529" w:rsidRPr="00C531F3" w:rsidRDefault="001A28A8" w:rsidP="00C21873">
      <w:pPr>
        <w:pStyle w:val="Heading2"/>
        <w:spacing w:before="240" w:after="240" w:line="240" w:lineRule="auto"/>
        <w:ind w:left="709" w:hanging="709"/>
        <w:jc w:val="both"/>
        <w:rPr>
          <w:rFonts w:ascii="Times New Roman" w:hAnsi="Times New Roman" w:cs="Times New Roman"/>
          <w:b/>
          <w:bCs/>
          <w:color w:val="auto"/>
          <w:sz w:val="24"/>
          <w:szCs w:val="24"/>
          <w:lang w:val="en-US"/>
        </w:rPr>
      </w:pPr>
      <w:r w:rsidRPr="00C531F3">
        <w:rPr>
          <w:rFonts w:ascii="Times New Roman" w:hAnsi="Times New Roman" w:cs="Times New Roman"/>
          <w:b/>
          <w:bCs/>
          <w:color w:val="auto"/>
          <w:sz w:val="24"/>
          <w:szCs w:val="24"/>
          <w:lang w:val="en-US"/>
        </w:rPr>
        <w:t>Respondent</w:t>
      </w:r>
      <w:r w:rsidR="00EA72A8" w:rsidRPr="00C531F3">
        <w:rPr>
          <w:rFonts w:ascii="Times New Roman" w:hAnsi="Times New Roman" w:cs="Times New Roman"/>
          <w:b/>
          <w:bCs/>
          <w:color w:val="auto"/>
          <w:sz w:val="24"/>
          <w:szCs w:val="24"/>
          <w:lang w:val="en-US"/>
        </w:rPr>
        <w:t xml:space="preserve"> </w:t>
      </w:r>
      <w:r w:rsidRPr="00C531F3">
        <w:rPr>
          <w:rFonts w:ascii="Times New Roman" w:hAnsi="Times New Roman" w:cs="Times New Roman"/>
          <w:b/>
          <w:bCs/>
          <w:color w:val="auto"/>
          <w:sz w:val="24"/>
          <w:szCs w:val="24"/>
          <w:lang w:val="en-US"/>
        </w:rPr>
        <w:t>Characteristics</w:t>
      </w:r>
    </w:p>
    <w:p w14:paraId="212D3CCA" w14:textId="03B0C1F0" w:rsidR="001A28A8" w:rsidRPr="00C531F3" w:rsidRDefault="00111008" w:rsidP="00C21873">
      <w:pPr>
        <w:spacing w:before="240" w:after="240" w:line="240" w:lineRule="auto"/>
        <w:ind w:firstLine="720"/>
        <w:jc w:val="both"/>
        <w:rPr>
          <w:rFonts w:ascii="Times New Roman" w:hAnsi="Times New Roman" w:cs="Times New Roman"/>
        </w:rPr>
      </w:pPr>
      <w:r w:rsidRPr="00C531F3">
        <w:rPr>
          <w:rFonts w:ascii="Times New Roman" w:hAnsi="Times New Roman" w:cs="Times New Roman"/>
        </w:rPr>
        <w:t>The final sample comprised 388 respondents from polytechnics and universities in Northeast Nigeria; the full demographic profile is reported in Appendix B, Table 1B. After data screening, four cases were removed for multivariate outliers, leaving 384 valid responses for the main analysis.</w:t>
      </w:r>
    </w:p>
    <w:p w14:paraId="564732DC" w14:textId="49D4D13E" w:rsidR="001A6529" w:rsidRPr="00C531F3" w:rsidRDefault="00E00F6C" w:rsidP="00C21873">
      <w:pPr>
        <w:pStyle w:val="Heading2"/>
        <w:spacing w:before="240" w:after="240" w:line="240" w:lineRule="auto"/>
        <w:ind w:left="709" w:hanging="709"/>
        <w:jc w:val="both"/>
        <w:rPr>
          <w:rFonts w:ascii="Times New Roman" w:hAnsi="Times New Roman" w:cs="Times New Roman"/>
          <w:b/>
          <w:bCs/>
          <w:color w:val="auto"/>
          <w:sz w:val="24"/>
          <w:szCs w:val="24"/>
          <w:lang w:val="en-US"/>
        </w:rPr>
      </w:pPr>
      <w:r w:rsidRPr="00C531F3">
        <w:rPr>
          <w:rFonts w:ascii="Times New Roman" w:hAnsi="Times New Roman" w:cs="Times New Roman"/>
          <w:b/>
          <w:bCs/>
          <w:color w:val="auto"/>
          <w:sz w:val="24"/>
          <w:szCs w:val="24"/>
          <w:lang w:val="en-US"/>
        </w:rPr>
        <w:t>Missing Data, Outliers and Common Method Bias</w:t>
      </w:r>
    </w:p>
    <w:p w14:paraId="17EC5A19" w14:textId="7CBE03AA" w:rsidR="00590C64" w:rsidRPr="00C531F3" w:rsidRDefault="00F35102" w:rsidP="00C21873">
      <w:pPr>
        <w:spacing w:before="240" w:after="240" w:line="240" w:lineRule="auto"/>
        <w:ind w:firstLine="709"/>
        <w:jc w:val="both"/>
        <w:rPr>
          <w:rFonts w:ascii="Times New Roman" w:hAnsi="Times New Roman" w:cs="Times New Roman"/>
        </w:rPr>
      </w:pPr>
      <w:r w:rsidRPr="00C531F3">
        <w:rPr>
          <w:rFonts w:ascii="Times New Roman" w:hAnsi="Times New Roman" w:cs="Times New Roman"/>
        </w:rPr>
        <w:t>Missing data were minimal and were handled with expectation-maximisation (</w:t>
      </w:r>
      <w:r w:rsidR="00E02B07" w:rsidRPr="00C531F3">
        <w:rPr>
          <w:rFonts w:ascii="Times New Roman" w:hAnsi="Times New Roman" w:cs="Times New Roman"/>
        </w:rPr>
        <w:t>Newman</w:t>
      </w:r>
      <w:r w:rsidRPr="00C531F3">
        <w:rPr>
          <w:rFonts w:ascii="Times New Roman" w:hAnsi="Times New Roman" w:cs="Times New Roman"/>
        </w:rPr>
        <w:t>, 20</w:t>
      </w:r>
      <w:r w:rsidR="00E02B07" w:rsidRPr="00C531F3">
        <w:rPr>
          <w:rFonts w:ascii="Times New Roman" w:hAnsi="Times New Roman" w:cs="Times New Roman"/>
        </w:rPr>
        <w:t>14</w:t>
      </w:r>
      <w:r w:rsidRPr="00C531F3">
        <w:rPr>
          <w:rFonts w:ascii="Times New Roman" w:hAnsi="Times New Roman" w:cs="Times New Roman"/>
        </w:rPr>
        <w:t>). Common method bias was not a major concern</w:t>
      </w:r>
      <w:r w:rsidR="0088380B" w:rsidRPr="00C531F3">
        <w:rPr>
          <w:rFonts w:ascii="Times New Roman" w:hAnsi="Times New Roman" w:cs="Times New Roman"/>
        </w:rPr>
        <w:t xml:space="preserve"> (Podsakoff </w:t>
      </w:r>
      <w:r w:rsidR="0088380B" w:rsidRPr="00C531F3">
        <w:rPr>
          <w:rFonts w:ascii="Times New Roman" w:hAnsi="Times New Roman" w:cs="Times New Roman"/>
          <w:i/>
          <w:iCs/>
        </w:rPr>
        <w:t>et al</w:t>
      </w:r>
      <w:r w:rsidR="0088380B" w:rsidRPr="00C531F3">
        <w:rPr>
          <w:rFonts w:ascii="Times New Roman" w:hAnsi="Times New Roman" w:cs="Times New Roman"/>
        </w:rPr>
        <w:t>., 2024)</w:t>
      </w:r>
      <w:r w:rsidRPr="00C531F3">
        <w:rPr>
          <w:rFonts w:ascii="Times New Roman" w:hAnsi="Times New Roman" w:cs="Times New Roman"/>
        </w:rPr>
        <w:t>: Harman’s single-factor test explained 32.4% of the variance</w:t>
      </w:r>
      <w:r w:rsidR="00D92CAE" w:rsidRPr="00C531F3">
        <w:rPr>
          <w:rFonts w:ascii="Times New Roman" w:hAnsi="Times New Roman" w:cs="Times New Roman"/>
        </w:rPr>
        <w:t>. F</w:t>
      </w:r>
      <w:r w:rsidRPr="00C531F3">
        <w:rPr>
          <w:rFonts w:ascii="Times New Roman" w:hAnsi="Times New Roman" w:cs="Times New Roman"/>
        </w:rPr>
        <w:t>ull collinearity VIFs were 1.84 for Digital Readiness, 2.11 for Cognitive Unlearning, and 1.96 for Digital Transformation Preparedness, all below the recommended threshold</w:t>
      </w:r>
      <w:r w:rsidR="00164F1B" w:rsidRPr="00C531F3">
        <w:rPr>
          <w:rFonts w:ascii="Times New Roman" w:hAnsi="Times New Roman" w:cs="Times New Roman"/>
        </w:rPr>
        <w:t xml:space="preserve"> (</w:t>
      </w:r>
      <w:proofErr w:type="spellStart"/>
      <w:r w:rsidR="00164F1B" w:rsidRPr="00C531F3">
        <w:rPr>
          <w:rFonts w:ascii="Times New Roman" w:hAnsi="Times New Roman" w:cs="Times New Roman"/>
        </w:rPr>
        <w:t>Salmerón</w:t>
      </w:r>
      <w:proofErr w:type="spellEnd"/>
      <w:r w:rsidR="00164F1B" w:rsidRPr="00C531F3">
        <w:rPr>
          <w:rFonts w:ascii="Times New Roman" w:hAnsi="Times New Roman" w:cs="Times New Roman"/>
        </w:rPr>
        <w:t xml:space="preserve">-Gómez </w:t>
      </w:r>
      <w:r w:rsidR="00164F1B" w:rsidRPr="00C531F3">
        <w:rPr>
          <w:rFonts w:ascii="Times New Roman" w:hAnsi="Times New Roman" w:cs="Times New Roman"/>
          <w:i/>
          <w:iCs/>
        </w:rPr>
        <w:t>et al.</w:t>
      </w:r>
      <w:r w:rsidR="00164F1B" w:rsidRPr="00C531F3">
        <w:rPr>
          <w:rFonts w:ascii="Times New Roman" w:hAnsi="Times New Roman" w:cs="Times New Roman"/>
        </w:rPr>
        <w:t>, 2025)</w:t>
      </w:r>
      <w:r w:rsidRPr="00C531F3">
        <w:rPr>
          <w:rFonts w:ascii="Times New Roman" w:hAnsi="Times New Roman" w:cs="Times New Roman"/>
        </w:rPr>
        <w:t>.</w:t>
      </w:r>
    </w:p>
    <w:p w14:paraId="51479B93" w14:textId="31CCF588" w:rsidR="001A6529" w:rsidRPr="00C531F3" w:rsidRDefault="00C02C13" w:rsidP="00C21873">
      <w:pPr>
        <w:pStyle w:val="Heading2"/>
        <w:spacing w:before="240" w:after="240" w:line="240" w:lineRule="auto"/>
        <w:ind w:left="709" w:hanging="709"/>
        <w:jc w:val="both"/>
        <w:rPr>
          <w:rFonts w:ascii="Times New Roman" w:hAnsi="Times New Roman" w:cs="Times New Roman"/>
          <w:b/>
          <w:bCs/>
          <w:color w:val="auto"/>
          <w:sz w:val="24"/>
          <w:szCs w:val="24"/>
          <w:lang w:val="en-US"/>
        </w:rPr>
      </w:pPr>
      <w:r w:rsidRPr="00C531F3">
        <w:rPr>
          <w:rFonts w:ascii="Times New Roman" w:hAnsi="Times New Roman" w:cs="Times New Roman"/>
          <w:b/>
          <w:bCs/>
          <w:color w:val="auto"/>
          <w:sz w:val="24"/>
          <w:szCs w:val="24"/>
          <w:lang w:val="en-US"/>
        </w:rPr>
        <w:t>Descriptive</w:t>
      </w:r>
      <w:r w:rsidR="00EA72A8" w:rsidRPr="00C531F3">
        <w:rPr>
          <w:rFonts w:ascii="Times New Roman" w:hAnsi="Times New Roman" w:cs="Times New Roman"/>
          <w:b/>
          <w:bCs/>
          <w:color w:val="auto"/>
          <w:sz w:val="24"/>
          <w:szCs w:val="24"/>
          <w:lang w:val="en-US"/>
        </w:rPr>
        <w:t xml:space="preserve"> </w:t>
      </w:r>
      <w:r w:rsidRPr="00C531F3">
        <w:rPr>
          <w:rFonts w:ascii="Times New Roman" w:hAnsi="Times New Roman" w:cs="Times New Roman"/>
          <w:b/>
          <w:bCs/>
          <w:color w:val="auto"/>
          <w:sz w:val="24"/>
          <w:szCs w:val="24"/>
          <w:lang w:val="en-US"/>
        </w:rPr>
        <w:t>Statistics</w:t>
      </w:r>
      <w:r w:rsidR="00EA72A8" w:rsidRPr="00C531F3">
        <w:rPr>
          <w:rFonts w:ascii="Times New Roman" w:hAnsi="Times New Roman" w:cs="Times New Roman"/>
          <w:b/>
          <w:bCs/>
          <w:color w:val="auto"/>
          <w:sz w:val="24"/>
          <w:szCs w:val="24"/>
          <w:lang w:val="en-US"/>
        </w:rPr>
        <w:t xml:space="preserve"> </w:t>
      </w:r>
      <w:r w:rsidRPr="00C531F3">
        <w:rPr>
          <w:rFonts w:ascii="Times New Roman" w:hAnsi="Times New Roman" w:cs="Times New Roman"/>
          <w:b/>
          <w:bCs/>
          <w:color w:val="auto"/>
          <w:sz w:val="24"/>
          <w:szCs w:val="24"/>
          <w:lang w:val="en-US"/>
        </w:rPr>
        <w:t>and</w:t>
      </w:r>
      <w:r w:rsidR="00EA72A8" w:rsidRPr="00C531F3">
        <w:rPr>
          <w:rFonts w:ascii="Times New Roman" w:hAnsi="Times New Roman" w:cs="Times New Roman"/>
          <w:b/>
          <w:bCs/>
          <w:color w:val="auto"/>
          <w:sz w:val="24"/>
          <w:szCs w:val="24"/>
          <w:lang w:val="en-US"/>
        </w:rPr>
        <w:t xml:space="preserve"> </w:t>
      </w:r>
      <w:r w:rsidRPr="00C531F3">
        <w:rPr>
          <w:rFonts w:ascii="Times New Roman" w:hAnsi="Times New Roman" w:cs="Times New Roman"/>
          <w:b/>
          <w:bCs/>
          <w:color w:val="auto"/>
          <w:sz w:val="24"/>
          <w:szCs w:val="24"/>
          <w:lang w:val="en-US"/>
        </w:rPr>
        <w:t>Correlations</w:t>
      </w:r>
    </w:p>
    <w:p w14:paraId="270E7C72" w14:textId="104549DC" w:rsidR="001A6529" w:rsidRPr="00C531F3" w:rsidRDefault="00095794" w:rsidP="00C21873">
      <w:pPr>
        <w:spacing w:before="240" w:after="240" w:line="240" w:lineRule="auto"/>
        <w:ind w:firstLine="709"/>
        <w:jc w:val="both"/>
        <w:rPr>
          <w:rFonts w:ascii="Times New Roman" w:hAnsi="Times New Roman" w:cs="Times New Roman"/>
        </w:rPr>
      </w:pPr>
      <w:r w:rsidRPr="00C531F3">
        <w:rPr>
          <w:rFonts w:ascii="Times New Roman" w:hAnsi="Times New Roman" w:cs="Times New Roman"/>
        </w:rPr>
        <w:t>Descriptively, the three constructs were positively associated with one another (Table 1). Digital Readiness correlated with Cognitive Unlearning (r = .62, p &lt; .01) and Digital Transformation Preparedness (r = .58, p &lt; .01), while Cognitive Unlearning also correlated with Digital Transformation Preparedness (r = .65, p &lt; .01).</w:t>
      </w:r>
    </w:p>
    <w:p w14:paraId="24601DC3" w14:textId="73A70A28" w:rsidR="008670BD" w:rsidRPr="00C531F3" w:rsidRDefault="008670BD" w:rsidP="00C21873">
      <w:pPr>
        <w:pStyle w:val="Heading2"/>
        <w:spacing w:before="240" w:after="240" w:line="240" w:lineRule="auto"/>
        <w:ind w:left="709" w:hanging="709"/>
        <w:jc w:val="both"/>
        <w:rPr>
          <w:rFonts w:ascii="Times New Roman" w:hAnsi="Times New Roman" w:cs="Times New Roman"/>
          <w:b/>
          <w:bCs/>
          <w:color w:val="auto"/>
          <w:sz w:val="24"/>
          <w:szCs w:val="24"/>
          <w:lang w:val="en-US"/>
        </w:rPr>
      </w:pPr>
      <w:r w:rsidRPr="00C531F3">
        <w:rPr>
          <w:rFonts w:ascii="Times New Roman" w:hAnsi="Times New Roman" w:cs="Times New Roman"/>
          <w:b/>
          <w:bCs/>
          <w:color w:val="auto"/>
          <w:sz w:val="24"/>
          <w:szCs w:val="24"/>
          <w:lang w:val="en-US"/>
        </w:rPr>
        <w:t>Measurement Model Assessment</w:t>
      </w:r>
    </w:p>
    <w:p w14:paraId="16628F05" w14:textId="7BA8F50A" w:rsidR="008670BD" w:rsidRDefault="008670BD" w:rsidP="00C21873">
      <w:pPr>
        <w:spacing w:before="240" w:after="240" w:line="240" w:lineRule="auto"/>
        <w:ind w:firstLine="709"/>
        <w:jc w:val="both"/>
        <w:rPr>
          <w:rFonts w:ascii="Times New Roman" w:hAnsi="Times New Roman" w:cs="Times New Roman"/>
        </w:rPr>
      </w:pPr>
      <w:r w:rsidRPr="00C531F3">
        <w:rPr>
          <w:rFonts w:ascii="Times New Roman" w:hAnsi="Times New Roman" w:cs="Times New Roman"/>
        </w:rPr>
        <w:t>The measurement model demonstrated acceptable reliability and validity (Table 2). All factor loadings exceeded .70. Internal consistency was strong, with Cronbach’s alpha (α) ranging from .852 to .912, McDonald’s omega (ω) from .855 to .914, and composite reliability (CR) from .864 to .922. Average variance extracted (AVE) exceeded the .50 threshold for all constructs, ranging from .585 to .648. Discriminant validity was also satisfactory, as all HTMT values remained below .85</w:t>
      </w:r>
      <w:r w:rsidR="004D20BD">
        <w:rPr>
          <w:rFonts w:ascii="Times New Roman" w:hAnsi="Times New Roman" w:cs="Times New Roman"/>
        </w:rPr>
        <w:t xml:space="preserve"> (</w:t>
      </w:r>
      <w:r w:rsidR="004D20BD" w:rsidRPr="00477A65">
        <w:rPr>
          <w:rFonts w:ascii="Times New Roman" w:hAnsi="Times New Roman" w:cs="Times New Roman"/>
          <w:lang w:val="en-US"/>
        </w:rPr>
        <w:t>Hair</w:t>
      </w:r>
      <w:r w:rsidR="004D20BD">
        <w:rPr>
          <w:rFonts w:ascii="Times New Roman" w:hAnsi="Times New Roman" w:cs="Times New Roman"/>
          <w:lang w:val="en-US"/>
        </w:rPr>
        <w:t xml:space="preserve"> </w:t>
      </w:r>
      <w:r w:rsidR="004D20BD">
        <w:rPr>
          <w:rFonts w:ascii="Times New Roman" w:hAnsi="Times New Roman" w:cs="Times New Roman"/>
          <w:i/>
          <w:iCs/>
          <w:lang w:val="en-US"/>
        </w:rPr>
        <w:t>et al</w:t>
      </w:r>
      <w:r w:rsidR="004D20BD" w:rsidRPr="004D20BD">
        <w:rPr>
          <w:rFonts w:ascii="Times New Roman" w:hAnsi="Times New Roman" w:cs="Times New Roman"/>
          <w:lang w:val="en-US"/>
        </w:rPr>
        <w:t>., 2021)</w:t>
      </w:r>
      <w:r w:rsidRPr="00C531F3">
        <w:rPr>
          <w:rFonts w:ascii="Times New Roman" w:hAnsi="Times New Roman" w:cs="Times New Roman"/>
        </w:rPr>
        <w:t>.</w:t>
      </w:r>
    </w:p>
    <w:p w14:paraId="23C6AF18" w14:textId="77777777" w:rsidR="004D20BD" w:rsidRDefault="004D20BD" w:rsidP="00C21873">
      <w:pPr>
        <w:spacing w:before="240" w:after="240" w:line="240" w:lineRule="auto"/>
        <w:ind w:firstLine="709"/>
        <w:jc w:val="both"/>
        <w:rPr>
          <w:rFonts w:ascii="Times New Roman" w:hAnsi="Times New Roman" w:cs="Times New Roman"/>
        </w:rPr>
      </w:pPr>
    </w:p>
    <w:p w14:paraId="35DD032D" w14:textId="77777777" w:rsidR="004D20BD" w:rsidRPr="00C531F3" w:rsidRDefault="004D20BD" w:rsidP="00C21873">
      <w:pPr>
        <w:spacing w:before="240" w:after="240" w:line="240" w:lineRule="auto"/>
        <w:ind w:firstLine="709"/>
        <w:jc w:val="both"/>
        <w:rPr>
          <w:rFonts w:ascii="Times New Roman" w:hAnsi="Times New Roman" w:cs="Times New Roman"/>
        </w:rPr>
      </w:pPr>
    </w:p>
    <w:p w14:paraId="3242984F" w14:textId="7BD035DD" w:rsidR="001A6529" w:rsidRPr="00C531F3" w:rsidRDefault="001A6529" w:rsidP="006101D9">
      <w:pPr>
        <w:spacing w:after="0" w:line="240" w:lineRule="auto"/>
        <w:jc w:val="center"/>
        <w:rPr>
          <w:rFonts w:ascii="Times New Roman" w:hAnsi="Times New Roman" w:cs="Times New Roman"/>
          <w:lang w:val="en-US"/>
        </w:rPr>
      </w:pPr>
      <w:r w:rsidRPr="00C531F3">
        <w:rPr>
          <w:rFonts w:ascii="Times New Roman" w:hAnsi="Times New Roman" w:cs="Times New Roman"/>
          <w:lang w:val="en-US"/>
        </w:rPr>
        <w:lastRenderedPageBreak/>
        <w:t>Table</w:t>
      </w:r>
      <w:r w:rsidR="00EA72A8" w:rsidRPr="00C531F3">
        <w:rPr>
          <w:rFonts w:ascii="Times New Roman" w:hAnsi="Times New Roman" w:cs="Times New Roman"/>
          <w:lang w:val="en-US"/>
        </w:rPr>
        <w:t xml:space="preserve"> </w:t>
      </w:r>
      <w:r w:rsidR="00095794" w:rsidRPr="00C531F3">
        <w:rPr>
          <w:rFonts w:ascii="Times New Roman" w:hAnsi="Times New Roman" w:cs="Times New Roman"/>
          <w:lang w:val="en-US"/>
        </w:rPr>
        <w:t>1</w:t>
      </w:r>
      <w:r w:rsidR="00C02C13" w:rsidRPr="00C531F3">
        <w:rPr>
          <w:rFonts w:ascii="Times New Roman" w:hAnsi="Times New Roman" w:cs="Times New Roman"/>
          <w:lang w:val="en-US"/>
        </w:rPr>
        <w:t>.</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Means,</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Standard</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Deviations,</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and</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Correlations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835"/>
        <w:gridCol w:w="1059"/>
        <w:gridCol w:w="1060"/>
        <w:gridCol w:w="1059"/>
        <w:gridCol w:w="1060"/>
        <w:gridCol w:w="1060"/>
      </w:tblGrid>
      <w:tr w:rsidR="001A6529" w:rsidRPr="00C531F3" w14:paraId="773A47C9" w14:textId="77777777" w:rsidTr="004A54D7">
        <w:trPr>
          <w:tblHeader/>
          <w:jc w:val="center"/>
        </w:trPr>
        <w:tc>
          <w:tcPr>
            <w:tcW w:w="2835" w:type="dxa"/>
            <w:tcBorders>
              <w:bottom w:val="single" w:sz="4" w:space="0" w:color="auto"/>
            </w:tcBorders>
            <w:hideMark/>
          </w:tcPr>
          <w:p w14:paraId="3FD9DDE6" w14:textId="77777777" w:rsidR="001A6529" w:rsidRPr="00C531F3" w:rsidRDefault="001A6529" w:rsidP="001A6529">
            <w:pPr>
              <w:jc w:val="both"/>
              <w:rPr>
                <w:rFonts w:ascii="Times New Roman" w:hAnsi="Times New Roman" w:cs="Times New Roman"/>
                <w:b/>
                <w:bCs/>
                <w:lang w:val="en-US"/>
              </w:rPr>
            </w:pPr>
            <w:r w:rsidRPr="00C531F3">
              <w:rPr>
                <w:rFonts w:ascii="Times New Roman" w:hAnsi="Times New Roman" w:cs="Times New Roman"/>
                <w:b/>
                <w:bCs/>
                <w:lang w:val="en-US"/>
              </w:rPr>
              <w:t>Variable</w:t>
            </w:r>
          </w:p>
        </w:tc>
        <w:tc>
          <w:tcPr>
            <w:tcW w:w="1059" w:type="dxa"/>
            <w:tcBorders>
              <w:bottom w:val="single" w:sz="4" w:space="0" w:color="auto"/>
            </w:tcBorders>
            <w:hideMark/>
          </w:tcPr>
          <w:p w14:paraId="24229A2C" w14:textId="77777777" w:rsidR="001A6529" w:rsidRPr="00C531F3" w:rsidRDefault="001A6529" w:rsidP="004C38A8">
            <w:pPr>
              <w:jc w:val="center"/>
              <w:rPr>
                <w:rFonts w:ascii="Times New Roman" w:hAnsi="Times New Roman" w:cs="Times New Roman"/>
                <w:b/>
                <w:bCs/>
                <w:lang w:val="en-US"/>
              </w:rPr>
            </w:pPr>
            <w:r w:rsidRPr="00C531F3">
              <w:rPr>
                <w:rFonts w:ascii="Times New Roman" w:hAnsi="Times New Roman" w:cs="Times New Roman"/>
                <w:b/>
                <w:bCs/>
                <w:lang w:val="en-US"/>
              </w:rPr>
              <w:t>Mean</w:t>
            </w:r>
          </w:p>
        </w:tc>
        <w:tc>
          <w:tcPr>
            <w:tcW w:w="1060" w:type="dxa"/>
            <w:tcBorders>
              <w:bottom w:val="single" w:sz="4" w:space="0" w:color="auto"/>
            </w:tcBorders>
            <w:hideMark/>
          </w:tcPr>
          <w:p w14:paraId="5E8146C0" w14:textId="77777777" w:rsidR="001A6529" w:rsidRPr="00C531F3" w:rsidRDefault="001A6529" w:rsidP="004C38A8">
            <w:pPr>
              <w:jc w:val="center"/>
              <w:rPr>
                <w:rFonts w:ascii="Times New Roman" w:hAnsi="Times New Roman" w:cs="Times New Roman"/>
                <w:b/>
                <w:bCs/>
                <w:lang w:val="en-US"/>
              </w:rPr>
            </w:pPr>
            <w:r w:rsidRPr="00C531F3">
              <w:rPr>
                <w:rFonts w:ascii="Times New Roman" w:hAnsi="Times New Roman" w:cs="Times New Roman"/>
                <w:b/>
                <w:bCs/>
                <w:lang w:val="en-US"/>
              </w:rPr>
              <w:t>SD</w:t>
            </w:r>
          </w:p>
        </w:tc>
        <w:tc>
          <w:tcPr>
            <w:tcW w:w="1059" w:type="dxa"/>
            <w:tcBorders>
              <w:bottom w:val="single" w:sz="4" w:space="0" w:color="auto"/>
            </w:tcBorders>
            <w:hideMark/>
          </w:tcPr>
          <w:p w14:paraId="20841981" w14:textId="77777777" w:rsidR="001A6529" w:rsidRPr="00C531F3" w:rsidRDefault="001A6529" w:rsidP="004C38A8">
            <w:pPr>
              <w:jc w:val="center"/>
              <w:rPr>
                <w:rFonts w:ascii="Times New Roman" w:hAnsi="Times New Roman" w:cs="Times New Roman"/>
                <w:b/>
                <w:bCs/>
                <w:lang w:val="en-US"/>
              </w:rPr>
            </w:pPr>
            <w:r w:rsidRPr="00C531F3">
              <w:rPr>
                <w:rFonts w:ascii="Times New Roman" w:hAnsi="Times New Roman" w:cs="Times New Roman"/>
                <w:b/>
                <w:bCs/>
                <w:lang w:val="en-US"/>
              </w:rPr>
              <w:t>1</w:t>
            </w:r>
          </w:p>
        </w:tc>
        <w:tc>
          <w:tcPr>
            <w:tcW w:w="1060" w:type="dxa"/>
            <w:tcBorders>
              <w:bottom w:val="single" w:sz="4" w:space="0" w:color="auto"/>
            </w:tcBorders>
            <w:hideMark/>
          </w:tcPr>
          <w:p w14:paraId="06D336F8" w14:textId="77777777" w:rsidR="001A6529" w:rsidRPr="00C531F3" w:rsidRDefault="001A6529" w:rsidP="004C38A8">
            <w:pPr>
              <w:jc w:val="center"/>
              <w:rPr>
                <w:rFonts w:ascii="Times New Roman" w:hAnsi="Times New Roman" w:cs="Times New Roman"/>
                <w:b/>
                <w:bCs/>
                <w:lang w:val="en-US"/>
              </w:rPr>
            </w:pPr>
            <w:r w:rsidRPr="00C531F3">
              <w:rPr>
                <w:rFonts w:ascii="Times New Roman" w:hAnsi="Times New Roman" w:cs="Times New Roman"/>
                <w:b/>
                <w:bCs/>
                <w:lang w:val="en-US"/>
              </w:rPr>
              <w:t>2</w:t>
            </w:r>
          </w:p>
        </w:tc>
        <w:tc>
          <w:tcPr>
            <w:tcW w:w="1060" w:type="dxa"/>
            <w:tcBorders>
              <w:bottom w:val="single" w:sz="4" w:space="0" w:color="auto"/>
            </w:tcBorders>
            <w:hideMark/>
          </w:tcPr>
          <w:p w14:paraId="6FF0780C" w14:textId="77777777" w:rsidR="001A6529" w:rsidRPr="00C531F3" w:rsidRDefault="001A6529" w:rsidP="004C38A8">
            <w:pPr>
              <w:jc w:val="center"/>
              <w:rPr>
                <w:rFonts w:ascii="Times New Roman" w:hAnsi="Times New Roman" w:cs="Times New Roman"/>
                <w:b/>
                <w:bCs/>
                <w:lang w:val="en-US"/>
              </w:rPr>
            </w:pPr>
            <w:r w:rsidRPr="00C531F3">
              <w:rPr>
                <w:rFonts w:ascii="Times New Roman" w:hAnsi="Times New Roman" w:cs="Times New Roman"/>
                <w:b/>
                <w:bCs/>
                <w:lang w:val="en-US"/>
              </w:rPr>
              <w:t>3</w:t>
            </w:r>
          </w:p>
        </w:tc>
      </w:tr>
      <w:tr w:rsidR="001A6529" w:rsidRPr="00C531F3" w14:paraId="31531E4A" w14:textId="77777777" w:rsidTr="006D7371">
        <w:trPr>
          <w:jc w:val="center"/>
        </w:trPr>
        <w:tc>
          <w:tcPr>
            <w:tcW w:w="2835" w:type="dxa"/>
            <w:tcBorders>
              <w:bottom w:val="nil"/>
            </w:tcBorders>
            <w:hideMark/>
          </w:tcPr>
          <w:p w14:paraId="11E0EBB9" w14:textId="68FAE70C" w:rsidR="001A6529" w:rsidRPr="00C531F3" w:rsidRDefault="001A6529" w:rsidP="001A6529">
            <w:pPr>
              <w:jc w:val="both"/>
              <w:rPr>
                <w:rFonts w:ascii="Times New Roman" w:hAnsi="Times New Roman" w:cs="Times New Roman"/>
                <w:lang w:val="en-US"/>
              </w:rPr>
            </w:pPr>
            <w:r w:rsidRPr="00C531F3">
              <w:rPr>
                <w:rFonts w:ascii="Times New Roman" w:hAnsi="Times New Roman" w:cs="Times New Roman"/>
                <w:lang w:val="en-US"/>
              </w:rPr>
              <w:t>1.</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Digital</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Readiness</w:t>
            </w:r>
          </w:p>
        </w:tc>
        <w:tc>
          <w:tcPr>
            <w:tcW w:w="1059" w:type="dxa"/>
            <w:tcBorders>
              <w:bottom w:val="nil"/>
            </w:tcBorders>
            <w:hideMark/>
          </w:tcPr>
          <w:p w14:paraId="7CBFDBDD" w14:textId="77777777" w:rsidR="001A6529" w:rsidRPr="00C531F3" w:rsidRDefault="001A6529" w:rsidP="004C38A8">
            <w:pPr>
              <w:jc w:val="center"/>
              <w:rPr>
                <w:rFonts w:ascii="Times New Roman" w:hAnsi="Times New Roman" w:cs="Times New Roman"/>
                <w:lang w:val="en-US"/>
              </w:rPr>
            </w:pPr>
            <w:r w:rsidRPr="00C531F3">
              <w:rPr>
                <w:rFonts w:ascii="Times New Roman" w:hAnsi="Times New Roman" w:cs="Times New Roman"/>
                <w:lang w:val="en-US"/>
              </w:rPr>
              <w:t>3.68</w:t>
            </w:r>
          </w:p>
        </w:tc>
        <w:tc>
          <w:tcPr>
            <w:tcW w:w="1060" w:type="dxa"/>
            <w:tcBorders>
              <w:bottom w:val="nil"/>
            </w:tcBorders>
            <w:hideMark/>
          </w:tcPr>
          <w:p w14:paraId="6762AE4F" w14:textId="77777777" w:rsidR="001A6529" w:rsidRPr="00C531F3" w:rsidRDefault="001A6529" w:rsidP="004C38A8">
            <w:pPr>
              <w:jc w:val="center"/>
              <w:rPr>
                <w:rFonts w:ascii="Times New Roman" w:hAnsi="Times New Roman" w:cs="Times New Roman"/>
                <w:lang w:val="en-US"/>
              </w:rPr>
            </w:pPr>
            <w:r w:rsidRPr="00C531F3">
              <w:rPr>
                <w:rFonts w:ascii="Times New Roman" w:hAnsi="Times New Roman" w:cs="Times New Roman"/>
                <w:lang w:val="en-US"/>
              </w:rPr>
              <w:t>0.72</w:t>
            </w:r>
          </w:p>
        </w:tc>
        <w:tc>
          <w:tcPr>
            <w:tcW w:w="1059" w:type="dxa"/>
            <w:tcBorders>
              <w:bottom w:val="nil"/>
            </w:tcBorders>
            <w:hideMark/>
          </w:tcPr>
          <w:p w14:paraId="4FC604CF" w14:textId="77777777" w:rsidR="001A6529" w:rsidRPr="00C531F3" w:rsidRDefault="001A6529" w:rsidP="004C38A8">
            <w:pPr>
              <w:jc w:val="center"/>
              <w:rPr>
                <w:rFonts w:ascii="Times New Roman" w:hAnsi="Times New Roman" w:cs="Times New Roman"/>
                <w:lang w:val="en-US"/>
              </w:rPr>
            </w:pPr>
            <w:r w:rsidRPr="00C531F3">
              <w:rPr>
                <w:rFonts w:ascii="Times New Roman" w:hAnsi="Times New Roman" w:cs="Times New Roman"/>
                <w:lang w:val="en-US"/>
              </w:rPr>
              <w:t>(.88)</w:t>
            </w:r>
          </w:p>
        </w:tc>
        <w:tc>
          <w:tcPr>
            <w:tcW w:w="1060" w:type="dxa"/>
            <w:tcBorders>
              <w:bottom w:val="nil"/>
            </w:tcBorders>
            <w:hideMark/>
          </w:tcPr>
          <w:p w14:paraId="7AB3598E" w14:textId="77777777" w:rsidR="001A6529" w:rsidRPr="00C531F3" w:rsidRDefault="001A6529" w:rsidP="004C38A8">
            <w:pPr>
              <w:jc w:val="center"/>
              <w:rPr>
                <w:rFonts w:ascii="Times New Roman" w:hAnsi="Times New Roman" w:cs="Times New Roman"/>
                <w:lang w:val="en-US"/>
              </w:rPr>
            </w:pPr>
          </w:p>
        </w:tc>
        <w:tc>
          <w:tcPr>
            <w:tcW w:w="1060" w:type="dxa"/>
            <w:tcBorders>
              <w:bottom w:val="nil"/>
            </w:tcBorders>
            <w:hideMark/>
          </w:tcPr>
          <w:p w14:paraId="4D7F8D0E" w14:textId="77777777" w:rsidR="001A6529" w:rsidRPr="00C531F3" w:rsidRDefault="001A6529" w:rsidP="004C38A8">
            <w:pPr>
              <w:jc w:val="center"/>
              <w:rPr>
                <w:rFonts w:ascii="Times New Roman" w:hAnsi="Times New Roman" w:cs="Times New Roman"/>
                <w:lang w:val="en-US"/>
              </w:rPr>
            </w:pPr>
          </w:p>
        </w:tc>
      </w:tr>
      <w:tr w:rsidR="001A6529" w:rsidRPr="00C531F3" w14:paraId="25449B40" w14:textId="77777777" w:rsidTr="006D7371">
        <w:trPr>
          <w:jc w:val="center"/>
        </w:trPr>
        <w:tc>
          <w:tcPr>
            <w:tcW w:w="2835" w:type="dxa"/>
            <w:tcBorders>
              <w:top w:val="nil"/>
              <w:bottom w:val="nil"/>
            </w:tcBorders>
            <w:hideMark/>
          </w:tcPr>
          <w:p w14:paraId="5CBDCC4E" w14:textId="421BF13A" w:rsidR="001A6529" w:rsidRPr="00C531F3" w:rsidRDefault="001A6529" w:rsidP="001A6529">
            <w:pPr>
              <w:jc w:val="both"/>
              <w:rPr>
                <w:rFonts w:ascii="Times New Roman" w:hAnsi="Times New Roman" w:cs="Times New Roman"/>
                <w:lang w:val="en-US"/>
              </w:rPr>
            </w:pPr>
            <w:r w:rsidRPr="00C531F3">
              <w:rPr>
                <w:rFonts w:ascii="Times New Roman" w:hAnsi="Times New Roman" w:cs="Times New Roman"/>
                <w:lang w:val="en-US"/>
              </w:rPr>
              <w:t>2.</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Cognitive</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Unlearning</w:t>
            </w:r>
          </w:p>
        </w:tc>
        <w:tc>
          <w:tcPr>
            <w:tcW w:w="1059" w:type="dxa"/>
            <w:tcBorders>
              <w:top w:val="nil"/>
              <w:bottom w:val="nil"/>
            </w:tcBorders>
            <w:hideMark/>
          </w:tcPr>
          <w:p w14:paraId="7853BADA" w14:textId="77777777" w:rsidR="001A6529" w:rsidRPr="00C531F3" w:rsidRDefault="001A6529" w:rsidP="004C38A8">
            <w:pPr>
              <w:jc w:val="center"/>
              <w:rPr>
                <w:rFonts w:ascii="Times New Roman" w:hAnsi="Times New Roman" w:cs="Times New Roman"/>
                <w:lang w:val="en-US"/>
              </w:rPr>
            </w:pPr>
            <w:r w:rsidRPr="00C531F3">
              <w:rPr>
                <w:rFonts w:ascii="Times New Roman" w:hAnsi="Times New Roman" w:cs="Times New Roman"/>
                <w:lang w:val="en-US"/>
              </w:rPr>
              <w:t>3.52</w:t>
            </w:r>
          </w:p>
        </w:tc>
        <w:tc>
          <w:tcPr>
            <w:tcW w:w="1060" w:type="dxa"/>
            <w:tcBorders>
              <w:top w:val="nil"/>
              <w:bottom w:val="nil"/>
            </w:tcBorders>
            <w:hideMark/>
          </w:tcPr>
          <w:p w14:paraId="3F343A53" w14:textId="77777777" w:rsidR="001A6529" w:rsidRPr="00C531F3" w:rsidRDefault="001A6529" w:rsidP="004C38A8">
            <w:pPr>
              <w:jc w:val="center"/>
              <w:rPr>
                <w:rFonts w:ascii="Times New Roman" w:hAnsi="Times New Roman" w:cs="Times New Roman"/>
                <w:lang w:val="en-US"/>
              </w:rPr>
            </w:pPr>
            <w:r w:rsidRPr="00C531F3">
              <w:rPr>
                <w:rFonts w:ascii="Times New Roman" w:hAnsi="Times New Roman" w:cs="Times New Roman"/>
                <w:lang w:val="en-US"/>
              </w:rPr>
              <w:t>0.81</w:t>
            </w:r>
          </w:p>
        </w:tc>
        <w:tc>
          <w:tcPr>
            <w:tcW w:w="1059" w:type="dxa"/>
            <w:tcBorders>
              <w:top w:val="nil"/>
              <w:bottom w:val="nil"/>
            </w:tcBorders>
            <w:hideMark/>
          </w:tcPr>
          <w:p w14:paraId="51AE692E" w14:textId="77777777" w:rsidR="001A6529" w:rsidRPr="00C531F3" w:rsidRDefault="001A6529" w:rsidP="004C38A8">
            <w:pPr>
              <w:jc w:val="center"/>
              <w:rPr>
                <w:rFonts w:ascii="Times New Roman" w:hAnsi="Times New Roman" w:cs="Times New Roman"/>
                <w:lang w:val="en-US"/>
              </w:rPr>
            </w:pPr>
            <w:r w:rsidRPr="00C531F3">
              <w:rPr>
                <w:rFonts w:ascii="Times New Roman" w:hAnsi="Times New Roman" w:cs="Times New Roman"/>
                <w:lang w:val="en-US"/>
              </w:rPr>
              <w:t>.62**</w:t>
            </w:r>
          </w:p>
        </w:tc>
        <w:tc>
          <w:tcPr>
            <w:tcW w:w="1060" w:type="dxa"/>
            <w:tcBorders>
              <w:top w:val="nil"/>
              <w:bottom w:val="nil"/>
            </w:tcBorders>
            <w:hideMark/>
          </w:tcPr>
          <w:p w14:paraId="2B05DA2F" w14:textId="77777777" w:rsidR="001A6529" w:rsidRPr="00C531F3" w:rsidRDefault="001A6529" w:rsidP="004C38A8">
            <w:pPr>
              <w:jc w:val="center"/>
              <w:rPr>
                <w:rFonts w:ascii="Times New Roman" w:hAnsi="Times New Roman" w:cs="Times New Roman"/>
                <w:lang w:val="en-US"/>
              </w:rPr>
            </w:pPr>
            <w:r w:rsidRPr="00C531F3">
              <w:rPr>
                <w:rFonts w:ascii="Times New Roman" w:hAnsi="Times New Roman" w:cs="Times New Roman"/>
                <w:lang w:val="en-US"/>
              </w:rPr>
              <w:t>(.85)</w:t>
            </w:r>
          </w:p>
        </w:tc>
        <w:tc>
          <w:tcPr>
            <w:tcW w:w="1060" w:type="dxa"/>
            <w:tcBorders>
              <w:top w:val="nil"/>
              <w:bottom w:val="nil"/>
            </w:tcBorders>
            <w:hideMark/>
          </w:tcPr>
          <w:p w14:paraId="1A901A10" w14:textId="77777777" w:rsidR="001A6529" w:rsidRPr="00C531F3" w:rsidRDefault="001A6529" w:rsidP="004C38A8">
            <w:pPr>
              <w:jc w:val="center"/>
              <w:rPr>
                <w:rFonts w:ascii="Times New Roman" w:hAnsi="Times New Roman" w:cs="Times New Roman"/>
                <w:lang w:val="en-US"/>
              </w:rPr>
            </w:pPr>
          </w:p>
        </w:tc>
      </w:tr>
      <w:tr w:rsidR="001A6529" w:rsidRPr="00C531F3" w14:paraId="0296511A" w14:textId="77777777" w:rsidTr="006D7371">
        <w:trPr>
          <w:jc w:val="center"/>
        </w:trPr>
        <w:tc>
          <w:tcPr>
            <w:tcW w:w="2835" w:type="dxa"/>
            <w:tcBorders>
              <w:top w:val="nil"/>
            </w:tcBorders>
            <w:hideMark/>
          </w:tcPr>
          <w:p w14:paraId="5404AC02" w14:textId="4DDDD86C" w:rsidR="001A6529" w:rsidRPr="00C531F3" w:rsidRDefault="001A6529" w:rsidP="001A6529">
            <w:pPr>
              <w:jc w:val="both"/>
              <w:rPr>
                <w:rFonts w:ascii="Times New Roman" w:hAnsi="Times New Roman" w:cs="Times New Roman"/>
                <w:lang w:val="en-US"/>
              </w:rPr>
            </w:pPr>
            <w:r w:rsidRPr="00C531F3">
              <w:rPr>
                <w:rFonts w:ascii="Times New Roman" w:hAnsi="Times New Roman" w:cs="Times New Roman"/>
                <w:lang w:val="en-US"/>
              </w:rPr>
              <w:t>3.</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DT</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Preparedness</w:t>
            </w:r>
          </w:p>
        </w:tc>
        <w:tc>
          <w:tcPr>
            <w:tcW w:w="1059" w:type="dxa"/>
            <w:tcBorders>
              <w:top w:val="nil"/>
            </w:tcBorders>
            <w:hideMark/>
          </w:tcPr>
          <w:p w14:paraId="5247A6B0" w14:textId="77777777" w:rsidR="001A6529" w:rsidRPr="00C531F3" w:rsidRDefault="001A6529" w:rsidP="004C38A8">
            <w:pPr>
              <w:jc w:val="center"/>
              <w:rPr>
                <w:rFonts w:ascii="Times New Roman" w:hAnsi="Times New Roman" w:cs="Times New Roman"/>
                <w:lang w:val="en-US"/>
              </w:rPr>
            </w:pPr>
            <w:r w:rsidRPr="00C531F3">
              <w:rPr>
                <w:rFonts w:ascii="Times New Roman" w:hAnsi="Times New Roman" w:cs="Times New Roman"/>
                <w:lang w:val="en-US"/>
              </w:rPr>
              <w:t>3.44</w:t>
            </w:r>
          </w:p>
        </w:tc>
        <w:tc>
          <w:tcPr>
            <w:tcW w:w="1060" w:type="dxa"/>
            <w:tcBorders>
              <w:top w:val="nil"/>
            </w:tcBorders>
            <w:hideMark/>
          </w:tcPr>
          <w:p w14:paraId="21D27F3D" w14:textId="77777777" w:rsidR="001A6529" w:rsidRPr="00C531F3" w:rsidRDefault="001A6529" w:rsidP="004C38A8">
            <w:pPr>
              <w:jc w:val="center"/>
              <w:rPr>
                <w:rFonts w:ascii="Times New Roman" w:hAnsi="Times New Roman" w:cs="Times New Roman"/>
                <w:lang w:val="en-US"/>
              </w:rPr>
            </w:pPr>
            <w:r w:rsidRPr="00C531F3">
              <w:rPr>
                <w:rFonts w:ascii="Times New Roman" w:hAnsi="Times New Roman" w:cs="Times New Roman"/>
                <w:lang w:val="en-US"/>
              </w:rPr>
              <w:t>0.78</w:t>
            </w:r>
          </w:p>
        </w:tc>
        <w:tc>
          <w:tcPr>
            <w:tcW w:w="1059" w:type="dxa"/>
            <w:tcBorders>
              <w:top w:val="nil"/>
            </w:tcBorders>
            <w:hideMark/>
          </w:tcPr>
          <w:p w14:paraId="2367FDB6" w14:textId="77777777" w:rsidR="001A6529" w:rsidRPr="00C531F3" w:rsidRDefault="001A6529" w:rsidP="004C38A8">
            <w:pPr>
              <w:jc w:val="center"/>
              <w:rPr>
                <w:rFonts w:ascii="Times New Roman" w:hAnsi="Times New Roman" w:cs="Times New Roman"/>
                <w:lang w:val="en-US"/>
              </w:rPr>
            </w:pPr>
            <w:r w:rsidRPr="00C531F3">
              <w:rPr>
                <w:rFonts w:ascii="Times New Roman" w:hAnsi="Times New Roman" w:cs="Times New Roman"/>
                <w:lang w:val="en-US"/>
              </w:rPr>
              <w:t>.58**</w:t>
            </w:r>
          </w:p>
        </w:tc>
        <w:tc>
          <w:tcPr>
            <w:tcW w:w="1060" w:type="dxa"/>
            <w:tcBorders>
              <w:top w:val="nil"/>
            </w:tcBorders>
            <w:hideMark/>
          </w:tcPr>
          <w:p w14:paraId="677CEB95" w14:textId="77777777" w:rsidR="001A6529" w:rsidRPr="00C531F3" w:rsidRDefault="001A6529" w:rsidP="004C38A8">
            <w:pPr>
              <w:jc w:val="center"/>
              <w:rPr>
                <w:rFonts w:ascii="Times New Roman" w:hAnsi="Times New Roman" w:cs="Times New Roman"/>
                <w:lang w:val="en-US"/>
              </w:rPr>
            </w:pPr>
            <w:r w:rsidRPr="00C531F3">
              <w:rPr>
                <w:rFonts w:ascii="Times New Roman" w:hAnsi="Times New Roman" w:cs="Times New Roman"/>
                <w:lang w:val="en-US"/>
              </w:rPr>
              <w:t>.65**</w:t>
            </w:r>
          </w:p>
        </w:tc>
        <w:tc>
          <w:tcPr>
            <w:tcW w:w="1060" w:type="dxa"/>
            <w:tcBorders>
              <w:top w:val="nil"/>
            </w:tcBorders>
            <w:hideMark/>
          </w:tcPr>
          <w:p w14:paraId="3E66A35F" w14:textId="77777777" w:rsidR="001A6529" w:rsidRPr="00C531F3" w:rsidRDefault="001A6529" w:rsidP="004C38A8">
            <w:pPr>
              <w:jc w:val="center"/>
              <w:rPr>
                <w:rFonts w:ascii="Times New Roman" w:hAnsi="Times New Roman" w:cs="Times New Roman"/>
                <w:lang w:val="en-US"/>
              </w:rPr>
            </w:pPr>
            <w:r w:rsidRPr="00C531F3">
              <w:rPr>
                <w:rFonts w:ascii="Times New Roman" w:hAnsi="Times New Roman" w:cs="Times New Roman"/>
                <w:lang w:val="en-US"/>
              </w:rPr>
              <w:t>(.91)</w:t>
            </w:r>
          </w:p>
        </w:tc>
      </w:tr>
    </w:tbl>
    <w:p w14:paraId="5BB200E6" w14:textId="33D637A8" w:rsidR="001A6529" w:rsidRPr="00C531F3" w:rsidRDefault="001A6529" w:rsidP="006101D9">
      <w:pPr>
        <w:spacing w:after="0" w:line="240" w:lineRule="auto"/>
        <w:jc w:val="center"/>
        <w:rPr>
          <w:rFonts w:ascii="Times New Roman" w:hAnsi="Times New Roman" w:cs="Times New Roman"/>
          <w:lang w:val="en-US"/>
        </w:rPr>
      </w:pPr>
      <w:r w:rsidRPr="00C531F3">
        <w:rPr>
          <w:rFonts w:ascii="Times New Roman" w:hAnsi="Times New Roman" w:cs="Times New Roman"/>
          <w:b/>
          <w:bCs/>
          <w:lang w:val="en-US"/>
        </w:rPr>
        <w:t>Note.</w:t>
      </w:r>
      <w:r w:rsidR="00EA72A8" w:rsidRPr="00C531F3">
        <w:rPr>
          <w:rFonts w:ascii="Times New Roman" w:hAnsi="Times New Roman" w:cs="Times New Roman"/>
          <w:lang w:val="en-US"/>
        </w:rPr>
        <w:t xml:space="preserve"> </w:t>
      </w:r>
      <w:r w:rsidR="00095794" w:rsidRPr="00C531F3">
        <w:rPr>
          <w:rFonts w:ascii="Times New Roman" w:hAnsi="Times New Roman" w:cs="Times New Roman"/>
          <w:i/>
          <w:iCs/>
          <w:lang w:val="en-US"/>
        </w:rPr>
        <w:t>n</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38</w:t>
      </w:r>
      <w:r w:rsidR="00095794" w:rsidRPr="00C531F3">
        <w:rPr>
          <w:rFonts w:ascii="Times New Roman" w:hAnsi="Times New Roman" w:cs="Times New Roman"/>
          <w:lang w:val="en-US"/>
        </w:rPr>
        <w:t>4</w:t>
      </w:r>
      <w:r w:rsidRPr="00C531F3">
        <w:rPr>
          <w:rFonts w:ascii="Times New Roman" w:hAnsi="Times New Roman" w:cs="Times New Roman"/>
          <w:lang w:val="en-US"/>
        </w:rPr>
        <w:t>.</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Cronbach</w:t>
      </w:r>
      <w:r w:rsidR="00122C51" w:rsidRPr="00C531F3">
        <w:rPr>
          <w:rFonts w:ascii="Times New Roman" w:hAnsi="Times New Roman" w:cs="Times New Roman"/>
          <w:lang w:val="en-US"/>
        </w:rPr>
        <w:t>’</w:t>
      </w:r>
      <w:r w:rsidRPr="00C531F3">
        <w:rPr>
          <w:rFonts w:ascii="Times New Roman" w:hAnsi="Times New Roman" w:cs="Times New Roman"/>
          <w:lang w:val="en-US"/>
        </w:rPr>
        <w:t>s</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alpha</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coefficients</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are</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on</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the</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diagonal</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in</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parentheses.</w:t>
      </w:r>
      <w:r w:rsidR="00EA72A8" w:rsidRPr="00C531F3">
        <w:rPr>
          <w:rFonts w:ascii="Times New Roman" w:hAnsi="Times New Roman" w:cs="Times New Roman"/>
          <w:lang w:val="en-US"/>
        </w:rPr>
        <w:t xml:space="preserve"> </w:t>
      </w:r>
      <w:r w:rsidR="00122C51" w:rsidRPr="00C531F3">
        <w:rPr>
          <w:rFonts w:ascii="Times New Roman" w:hAnsi="Times New Roman" w:cs="Times New Roman"/>
          <w:i/>
          <w:iCs/>
          <w:lang w:val="en-US"/>
        </w:rPr>
        <w:t>p</w:t>
      </w:r>
      <w:r w:rsidR="00EA72A8" w:rsidRPr="00C531F3">
        <w:rPr>
          <w:rFonts w:ascii="Times New Roman" w:hAnsi="Times New Roman" w:cs="Times New Roman"/>
          <w:i/>
          <w:iCs/>
          <w:lang w:val="en-US"/>
        </w:rPr>
        <w:t xml:space="preserve"> </w:t>
      </w:r>
      <w:r w:rsidR="00122C51" w:rsidRPr="00C531F3">
        <w:rPr>
          <w:rFonts w:ascii="Times New Roman" w:hAnsi="Times New Roman" w:cs="Times New Roman"/>
          <w:i/>
          <w:iCs/>
          <w:lang w:val="en-US"/>
        </w:rPr>
        <w:t>&lt;</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.01.</w:t>
      </w:r>
    </w:p>
    <w:p w14:paraId="72E5B714" w14:textId="1B2A3636" w:rsidR="001A6529" w:rsidRPr="00C531F3" w:rsidRDefault="001A6529" w:rsidP="00477A65">
      <w:pPr>
        <w:spacing w:before="240" w:after="0" w:line="240" w:lineRule="auto"/>
        <w:jc w:val="center"/>
        <w:rPr>
          <w:rFonts w:ascii="Times New Roman" w:hAnsi="Times New Roman" w:cs="Times New Roman"/>
          <w:lang w:val="en-US"/>
        </w:rPr>
      </w:pPr>
      <w:r w:rsidRPr="00C531F3">
        <w:rPr>
          <w:rFonts w:ascii="Times New Roman" w:hAnsi="Times New Roman" w:cs="Times New Roman"/>
          <w:lang w:val="en-US"/>
        </w:rPr>
        <w:t>Table</w:t>
      </w:r>
      <w:r w:rsidR="00EA72A8" w:rsidRPr="00C531F3">
        <w:rPr>
          <w:rFonts w:ascii="Times New Roman" w:hAnsi="Times New Roman" w:cs="Times New Roman"/>
          <w:lang w:val="en-US"/>
        </w:rPr>
        <w:t xml:space="preserve"> </w:t>
      </w:r>
      <w:r w:rsidR="003A08D7" w:rsidRPr="00C531F3">
        <w:rPr>
          <w:rFonts w:ascii="Times New Roman" w:hAnsi="Times New Roman" w:cs="Times New Roman"/>
          <w:lang w:val="en-US"/>
        </w:rPr>
        <w:t>2</w:t>
      </w:r>
      <w:r w:rsidR="006101D9" w:rsidRPr="00C531F3">
        <w:rPr>
          <w:rFonts w:ascii="Times New Roman" w:hAnsi="Times New Roman" w:cs="Times New Roman"/>
          <w:lang w:val="en-US"/>
        </w:rPr>
        <w:t>.</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Reliabilit</w:t>
      </w:r>
      <w:r w:rsidR="007049DC" w:rsidRPr="00C531F3">
        <w:rPr>
          <w:rFonts w:ascii="Times New Roman" w:hAnsi="Times New Roman" w:cs="Times New Roman"/>
          <w:lang w:val="en-US"/>
        </w:rPr>
        <w:t>ies</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and</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Convergent</w:t>
      </w:r>
      <w:r w:rsidR="007049DC" w:rsidRPr="00C531F3">
        <w:rPr>
          <w:rFonts w:ascii="Times New Roman" w:hAnsi="Times New Roman" w:cs="Times New Roman"/>
          <w:lang w:val="en-US"/>
        </w:rPr>
        <w:t>/Discriminant</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Validit</w:t>
      </w:r>
      <w:r w:rsidR="007049DC" w:rsidRPr="00C531F3">
        <w:rPr>
          <w:rFonts w:ascii="Times New Roman" w:hAnsi="Times New Roman" w:cs="Times New Roman"/>
          <w:lang w:val="en-US"/>
        </w:rPr>
        <w:t>ies</w:t>
      </w:r>
    </w:p>
    <w:tbl>
      <w:tblPr>
        <w:tblW w:w="5000" w:type="pct"/>
        <w:tblLook w:val="04A0" w:firstRow="1" w:lastRow="0" w:firstColumn="1" w:lastColumn="0" w:noHBand="0" w:noVBand="1"/>
      </w:tblPr>
      <w:tblGrid>
        <w:gridCol w:w="2658"/>
        <w:gridCol w:w="2252"/>
        <w:gridCol w:w="787"/>
        <w:gridCol w:w="787"/>
        <w:gridCol w:w="787"/>
        <w:gridCol w:w="787"/>
        <w:gridCol w:w="1001"/>
        <w:gridCol w:w="1001"/>
        <w:gridCol w:w="633"/>
      </w:tblGrid>
      <w:tr w:rsidR="005E1CDB" w:rsidRPr="00C531F3" w14:paraId="7E12573F" w14:textId="77777777" w:rsidTr="00F9653C">
        <w:trPr>
          <w:trHeight w:val="300"/>
        </w:trPr>
        <w:tc>
          <w:tcPr>
            <w:tcW w:w="1243" w:type="pct"/>
            <w:vMerge w:val="restart"/>
            <w:tcBorders>
              <w:top w:val="single" w:sz="4" w:space="0" w:color="auto"/>
              <w:bottom w:val="single" w:sz="4" w:space="0" w:color="auto"/>
              <w:right w:val="single" w:sz="4" w:space="0" w:color="auto"/>
            </w:tcBorders>
            <w:noWrap/>
            <w:vAlign w:val="bottom"/>
            <w:hideMark/>
          </w:tcPr>
          <w:p w14:paraId="02FEE45A" w14:textId="77777777" w:rsidR="005E1CDB" w:rsidRPr="00C531F3" w:rsidRDefault="005E1CDB" w:rsidP="005E1CDB">
            <w:pPr>
              <w:spacing w:after="0" w:line="240" w:lineRule="auto"/>
              <w:rPr>
                <w:rFonts w:ascii="Times New Roman" w:eastAsia="Times New Roman" w:hAnsi="Times New Roman" w:cs="Times New Roman"/>
                <w:b/>
                <w:bCs/>
                <w:color w:val="000000"/>
                <w:kern w:val="0"/>
                <w:lang w:val="en-US"/>
                <w14:ligatures w14:val="none"/>
              </w:rPr>
            </w:pPr>
            <w:r w:rsidRPr="00C531F3">
              <w:rPr>
                <w:rFonts w:ascii="Times New Roman" w:eastAsia="Times New Roman" w:hAnsi="Times New Roman" w:cs="Times New Roman"/>
                <w:b/>
                <w:bCs/>
                <w:color w:val="000000"/>
                <w:kern w:val="0"/>
                <w:lang w:val="en-US"/>
                <w14:ligatures w14:val="none"/>
              </w:rPr>
              <w:t>Construct</w:t>
            </w:r>
          </w:p>
        </w:tc>
        <w:tc>
          <w:tcPr>
            <w:tcW w:w="2524" w:type="pct"/>
            <w:gridSpan w:val="5"/>
            <w:tcBorders>
              <w:top w:val="single" w:sz="4" w:space="0" w:color="auto"/>
              <w:left w:val="single" w:sz="4" w:space="0" w:color="auto"/>
              <w:bottom w:val="single" w:sz="4" w:space="0" w:color="auto"/>
              <w:right w:val="single" w:sz="4" w:space="0" w:color="auto"/>
            </w:tcBorders>
            <w:noWrap/>
            <w:vAlign w:val="bottom"/>
            <w:hideMark/>
          </w:tcPr>
          <w:p w14:paraId="078B0FF0" w14:textId="77777777" w:rsidR="005E1CDB" w:rsidRPr="00C531F3" w:rsidRDefault="005E1CDB" w:rsidP="005E1CDB">
            <w:pPr>
              <w:spacing w:after="0" w:line="240" w:lineRule="auto"/>
              <w:jc w:val="center"/>
              <w:rPr>
                <w:rFonts w:ascii="Times New Roman" w:eastAsia="Times New Roman" w:hAnsi="Times New Roman" w:cs="Times New Roman"/>
                <w:b/>
                <w:bCs/>
                <w:color w:val="000000"/>
                <w:kern w:val="0"/>
                <w:lang w:val="en-US"/>
                <w14:ligatures w14:val="none"/>
              </w:rPr>
            </w:pPr>
            <w:r w:rsidRPr="00C531F3">
              <w:rPr>
                <w:rFonts w:ascii="Times New Roman" w:eastAsia="Times New Roman" w:hAnsi="Times New Roman" w:cs="Times New Roman"/>
                <w:b/>
                <w:bCs/>
                <w:color w:val="000000"/>
                <w:kern w:val="0"/>
                <w:lang w:val="en-US"/>
                <w14:ligatures w14:val="none"/>
              </w:rPr>
              <w:t>Reliability &amp; Convergent Validity Statistics</w:t>
            </w:r>
          </w:p>
        </w:tc>
        <w:tc>
          <w:tcPr>
            <w:tcW w:w="1233" w:type="pct"/>
            <w:gridSpan w:val="3"/>
            <w:tcBorders>
              <w:top w:val="single" w:sz="4" w:space="0" w:color="auto"/>
              <w:left w:val="single" w:sz="4" w:space="0" w:color="auto"/>
              <w:bottom w:val="single" w:sz="4" w:space="0" w:color="auto"/>
            </w:tcBorders>
            <w:noWrap/>
            <w:vAlign w:val="bottom"/>
            <w:hideMark/>
          </w:tcPr>
          <w:p w14:paraId="7CEF295A" w14:textId="49D7BA89" w:rsidR="005E1CDB" w:rsidRPr="00C531F3" w:rsidRDefault="00F9653C" w:rsidP="005E1CDB">
            <w:pPr>
              <w:spacing w:after="0" w:line="240" w:lineRule="auto"/>
              <w:jc w:val="center"/>
              <w:rPr>
                <w:rFonts w:ascii="Times New Roman" w:eastAsia="Times New Roman" w:hAnsi="Times New Roman" w:cs="Times New Roman"/>
                <w:b/>
                <w:bCs/>
                <w:color w:val="000000"/>
                <w:kern w:val="0"/>
                <w:lang w:val="en-US"/>
                <w14:ligatures w14:val="none"/>
              </w:rPr>
            </w:pPr>
            <w:r w:rsidRPr="00C531F3">
              <w:rPr>
                <w:rFonts w:ascii="Times New Roman" w:eastAsia="Times New Roman" w:hAnsi="Times New Roman" w:cs="Times New Roman"/>
                <w:b/>
                <w:bCs/>
                <w:color w:val="000000"/>
                <w:kern w:val="0"/>
                <w:lang w:val="en-US"/>
                <w14:ligatures w14:val="none"/>
              </w:rPr>
              <w:t>Discriminant Validity</w:t>
            </w:r>
          </w:p>
        </w:tc>
      </w:tr>
      <w:tr w:rsidR="005E1CDB" w:rsidRPr="00C531F3" w14:paraId="0B0F3FC6" w14:textId="77777777" w:rsidTr="00F9653C">
        <w:trPr>
          <w:trHeight w:val="300"/>
        </w:trPr>
        <w:tc>
          <w:tcPr>
            <w:tcW w:w="1243" w:type="pct"/>
            <w:vMerge/>
            <w:tcBorders>
              <w:top w:val="single" w:sz="4" w:space="0" w:color="auto"/>
              <w:bottom w:val="single" w:sz="4" w:space="0" w:color="auto"/>
              <w:right w:val="single" w:sz="4" w:space="0" w:color="auto"/>
            </w:tcBorders>
            <w:vAlign w:val="center"/>
            <w:hideMark/>
          </w:tcPr>
          <w:p w14:paraId="20A9FCA8" w14:textId="77777777" w:rsidR="005E1CDB" w:rsidRPr="00C531F3" w:rsidRDefault="005E1CDB" w:rsidP="005E1CDB">
            <w:pPr>
              <w:spacing w:after="0" w:line="240" w:lineRule="auto"/>
              <w:rPr>
                <w:rFonts w:ascii="Times New Roman" w:eastAsia="Times New Roman" w:hAnsi="Times New Roman" w:cs="Times New Roman"/>
                <w:b/>
                <w:bCs/>
                <w:color w:val="000000"/>
                <w:kern w:val="0"/>
                <w:lang w:val="en-US"/>
                <w14:ligatures w14:val="none"/>
              </w:rPr>
            </w:pPr>
          </w:p>
        </w:tc>
        <w:tc>
          <w:tcPr>
            <w:tcW w:w="1053" w:type="pct"/>
            <w:tcBorders>
              <w:top w:val="nil"/>
              <w:left w:val="single" w:sz="4" w:space="0" w:color="auto"/>
              <w:bottom w:val="single" w:sz="4" w:space="0" w:color="auto"/>
            </w:tcBorders>
            <w:noWrap/>
            <w:vAlign w:val="bottom"/>
            <w:hideMark/>
          </w:tcPr>
          <w:p w14:paraId="344E7ABF" w14:textId="77777777" w:rsidR="005E1CDB" w:rsidRPr="00C531F3" w:rsidRDefault="005E1CDB" w:rsidP="005E1CDB">
            <w:pPr>
              <w:spacing w:after="0" w:line="240" w:lineRule="auto"/>
              <w:jc w:val="center"/>
              <w:rPr>
                <w:rFonts w:ascii="Times New Roman" w:eastAsia="Times New Roman" w:hAnsi="Times New Roman" w:cs="Times New Roman"/>
                <w:b/>
                <w:bCs/>
                <w:color w:val="000000"/>
                <w:kern w:val="0"/>
                <w:lang w:val="en-US"/>
                <w14:ligatures w14:val="none"/>
              </w:rPr>
            </w:pPr>
            <w:r w:rsidRPr="00C531F3">
              <w:rPr>
                <w:rFonts w:ascii="Times New Roman" w:eastAsia="Times New Roman" w:hAnsi="Times New Roman" w:cs="Times New Roman"/>
                <w:b/>
                <w:bCs/>
                <w:color w:val="000000"/>
                <w:kern w:val="0"/>
                <w:lang w:val="en-US"/>
                <w14:ligatures w14:val="none"/>
              </w:rPr>
              <w:t>Loadings (Range)</w:t>
            </w:r>
          </w:p>
        </w:tc>
        <w:tc>
          <w:tcPr>
            <w:tcW w:w="368" w:type="pct"/>
            <w:tcBorders>
              <w:top w:val="nil"/>
              <w:bottom w:val="single" w:sz="4" w:space="0" w:color="auto"/>
            </w:tcBorders>
            <w:noWrap/>
            <w:vAlign w:val="bottom"/>
            <w:hideMark/>
          </w:tcPr>
          <w:p w14:paraId="41C7B054" w14:textId="77777777" w:rsidR="005E1CDB" w:rsidRPr="00C531F3" w:rsidRDefault="005E1CDB" w:rsidP="005E1CDB">
            <w:pPr>
              <w:spacing w:after="0" w:line="240" w:lineRule="auto"/>
              <w:jc w:val="center"/>
              <w:rPr>
                <w:rFonts w:ascii="Times New Roman" w:eastAsia="Times New Roman" w:hAnsi="Times New Roman" w:cs="Times New Roman"/>
                <w:b/>
                <w:bCs/>
                <w:color w:val="000000"/>
                <w:kern w:val="0"/>
                <w:lang w:val="en-US"/>
                <w14:ligatures w14:val="none"/>
              </w:rPr>
            </w:pPr>
            <w:r w:rsidRPr="00C531F3">
              <w:rPr>
                <w:rFonts w:ascii="Times New Roman" w:eastAsia="Times New Roman" w:hAnsi="Times New Roman" w:cs="Times New Roman"/>
                <w:b/>
                <w:bCs/>
                <w:color w:val="000000"/>
                <w:kern w:val="0"/>
                <w:lang w:val="en-US"/>
                <w14:ligatures w14:val="none"/>
              </w:rPr>
              <w:t>α</w:t>
            </w:r>
          </w:p>
        </w:tc>
        <w:tc>
          <w:tcPr>
            <w:tcW w:w="368" w:type="pct"/>
            <w:tcBorders>
              <w:top w:val="nil"/>
              <w:bottom w:val="single" w:sz="4" w:space="0" w:color="auto"/>
            </w:tcBorders>
            <w:noWrap/>
            <w:vAlign w:val="bottom"/>
            <w:hideMark/>
          </w:tcPr>
          <w:p w14:paraId="24C4502C" w14:textId="77777777" w:rsidR="005E1CDB" w:rsidRPr="00C531F3" w:rsidRDefault="005E1CDB" w:rsidP="005E1CDB">
            <w:pPr>
              <w:spacing w:after="0" w:line="240" w:lineRule="auto"/>
              <w:jc w:val="center"/>
              <w:rPr>
                <w:rFonts w:ascii="Times New Roman" w:eastAsia="Times New Roman" w:hAnsi="Times New Roman" w:cs="Times New Roman"/>
                <w:b/>
                <w:bCs/>
                <w:color w:val="000000"/>
                <w:kern w:val="0"/>
                <w:lang w:val="en-US"/>
                <w14:ligatures w14:val="none"/>
              </w:rPr>
            </w:pPr>
            <w:r w:rsidRPr="00C531F3">
              <w:rPr>
                <w:rFonts w:ascii="Times New Roman" w:eastAsia="Times New Roman" w:hAnsi="Times New Roman" w:cs="Times New Roman"/>
                <w:b/>
                <w:bCs/>
                <w:color w:val="000000"/>
                <w:kern w:val="0"/>
                <w:lang w:val="en-US"/>
                <w14:ligatures w14:val="none"/>
              </w:rPr>
              <w:t>ω</w:t>
            </w:r>
          </w:p>
        </w:tc>
        <w:tc>
          <w:tcPr>
            <w:tcW w:w="368" w:type="pct"/>
            <w:tcBorders>
              <w:top w:val="nil"/>
              <w:bottom w:val="single" w:sz="4" w:space="0" w:color="auto"/>
            </w:tcBorders>
            <w:noWrap/>
            <w:vAlign w:val="bottom"/>
            <w:hideMark/>
          </w:tcPr>
          <w:p w14:paraId="1A4470AB" w14:textId="77777777" w:rsidR="005E1CDB" w:rsidRPr="00C531F3" w:rsidRDefault="005E1CDB" w:rsidP="005E1CDB">
            <w:pPr>
              <w:spacing w:after="0" w:line="240" w:lineRule="auto"/>
              <w:jc w:val="center"/>
              <w:rPr>
                <w:rFonts w:ascii="Times New Roman" w:eastAsia="Times New Roman" w:hAnsi="Times New Roman" w:cs="Times New Roman"/>
                <w:b/>
                <w:bCs/>
                <w:color w:val="000000"/>
                <w:kern w:val="0"/>
                <w:lang w:val="en-US"/>
                <w14:ligatures w14:val="none"/>
              </w:rPr>
            </w:pPr>
            <w:r w:rsidRPr="00C531F3">
              <w:rPr>
                <w:rFonts w:ascii="Times New Roman" w:eastAsia="Times New Roman" w:hAnsi="Times New Roman" w:cs="Times New Roman"/>
                <w:b/>
                <w:bCs/>
                <w:color w:val="000000"/>
                <w:kern w:val="0"/>
                <w:lang w:val="en-US"/>
                <w14:ligatures w14:val="none"/>
              </w:rPr>
              <w:t>CR</w:t>
            </w:r>
          </w:p>
        </w:tc>
        <w:tc>
          <w:tcPr>
            <w:tcW w:w="368" w:type="pct"/>
            <w:tcBorders>
              <w:top w:val="nil"/>
              <w:bottom w:val="single" w:sz="4" w:space="0" w:color="auto"/>
              <w:right w:val="single" w:sz="4" w:space="0" w:color="auto"/>
            </w:tcBorders>
            <w:noWrap/>
            <w:vAlign w:val="bottom"/>
            <w:hideMark/>
          </w:tcPr>
          <w:p w14:paraId="4EA30AF0" w14:textId="77777777" w:rsidR="005E1CDB" w:rsidRPr="00C531F3" w:rsidRDefault="005E1CDB" w:rsidP="005E1CDB">
            <w:pPr>
              <w:spacing w:after="0" w:line="240" w:lineRule="auto"/>
              <w:jc w:val="center"/>
              <w:rPr>
                <w:rFonts w:ascii="Times New Roman" w:eastAsia="Times New Roman" w:hAnsi="Times New Roman" w:cs="Times New Roman"/>
                <w:b/>
                <w:bCs/>
                <w:color w:val="000000"/>
                <w:kern w:val="0"/>
                <w:lang w:val="en-US"/>
                <w14:ligatures w14:val="none"/>
              </w:rPr>
            </w:pPr>
            <w:r w:rsidRPr="00C531F3">
              <w:rPr>
                <w:rFonts w:ascii="Times New Roman" w:eastAsia="Times New Roman" w:hAnsi="Times New Roman" w:cs="Times New Roman"/>
                <w:b/>
                <w:bCs/>
                <w:color w:val="000000"/>
                <w:kern w:val="0"/>
                <w:lang w:val="en-US"/>
                <w14:ligatures w14:val="none"/>
              </w:rPr>
              <w:t>AVE</w:t>
            </w:r>
          </w:p>
        </w:tc>
        <w:tc>
          <w:tcPr>
            <w:tcW w:w="468" w:type="pct"/>
            <w:tcBorders>
              <w:top w:val="nil"/>
              <w:left w:val="single" w:sz="4" w:space="0" w:color="auto"/>
              <w:bottom w:val="single" w:sz="4" w:space="0" w:color="auto"/>
            </w:tcBorders>
            <w:noWrap/>
            <w:vAlign w:val="bottom"/>
            <w:hideMark/>
          </w:tcPr>
          <w:p w14:paraId="5FE78994" w14:textId="77777777" w:rsidR="005E1CDB" w:rsidRPr="00C531F3" w:rsidRDefault="005E1CDB" w:rsidP="005E1CDB">
            <w:pPr>
              <w:spacing w:after="0" w:line="240" w:lineRule="auto"/>
              <w:jc w:val="center"/>
              <w:rPr>
                <w:rFonts w:ascii="Times New Roman" w:eastAsia="Times New Roman" w:hAnsi="Times New Roman" w:cs="Times New Roman"/>
                <w:b/>
                <w:bCs/>
                <w:color w:val="000000"/>
                <w:kern w:val="0"/>
                <w:lang w:val="en-US"/>
                <w14:ligatures w14:val="none"/>
              </w:rPr>
            </w:pPr>
            <w:r w:rsidRPr="00C531F3">
              <w:rPr>
                <w:rFonts w:ascii="Times New Roman" w:eastAsia="Times New Roman" w:hAnsi="Times New Roman" w:cs="Times New Roman"/>
                <w:b/>
                <w:bCs/>
                <w:color w:val="000000"/>
                <w:kern w:val="0"/>
                <w:lang w:val="en-US"/>
                <w14:ligatures w14:val="none"/>
              </w:rPr>
              <w:t>1</w:t>
            </w:r>
          </w:p>
        </w:tc>
        <w:tc>
          <w:tcPr>
            <w:tcW w:w="468" w:type="pct"/>
            <w:tcBorders>
              <w:top w:val="nil"/>
              <w:bottom w:val="single" w:sz="4" w:space="0" w:color="auto"/>
            </w:tcBorders>
            <w:noWrap/>
            <w:vAlign w:val="bottom"/>
            <w:hideMark/>
          </w:tcPr>
          <w:p w14:paraId="5095DE49" w14:textId="77777777" w:rsidR="005E1CDB" w:rsidRPr="00C531F3" w:rsidRDefault="005E1CDB" w:rsidP="005E1CDB">
            <w:pPr>
              <w:spacing w:after="0" w:line="240" w:lineRule="auto"/>
              <w:jc w:val="center"/>
              <w:rPr>
                <w:rFonts w:ascii="Times New Roman" w:eastAsia="Times New Roman" w:hAnsi="Times New Roman" w:cs="Times New Roman"/>
                <w:b/>
                <w:bCs/>
                <w:color w:val="000000"/>
                <w:kern w:val="0"/>
                <w:lang w:val="en-US"/>
                <w14:ligatures w14:val="none"/>
              </w:rPr>
            </w:pPr>
            <w:r w:rsidRPr="00C531F3">
              <w:rPr>
                <w:rFonts w:ascii="Times New Roman" w:eastAsia="Times New Roman" w:hAnsi="Times New Roman" w:cs="Times New Roman"/>
                <w:b/>
                <w:bCs/>
                <w:color w:val="000000"/>
                <w:kern w:val="0"/>
                <w:lang w:val="en-US"/>
                <w14:ligatures w14:val="none"/>
              </w:rPr>
              <w:t>2</w:t>
            </w:r>
          </w:p>
        </w:tc>
        <w:tc>
          <w:tcPr>
            <w:tcW w:w="297" w:type="pct"/>
            <w:tcBorders>
              <w:top w:val="nil"/>
              <w:bottom w:val="single" w:sz="4" w:space="0" w:color="auto"/>
            </w:tcBorders>
            <w:noWrap/>
            <w:vAlign w:val="bottom"/>
            <w:hideMark/>
          </w:tcPr>
          <w:p w14:paraId="207D8976" w14:textId="77777777" w:rsidR="005E1CDB" w:rsidRPr="00C531F3" w:rsidRDefault="005E1CDB" w:rsidP="005E1CDB">
            <w:pPr>
              <w:spacing w:after="0" w:line="240" w:lineRule="auto"/>
              <w:jc w:val="center"/>
              <w:rPr>
                <w:rFonts w:ascii="Times New Roman" w:eastAsia="Times New Roman" w:hAnsi="Times New Roman" w:cs="Times New Roman"/>
                <w:b/>
                <w:bCs/>
                <w:color w:val="000000"/>
                <w:kern w:val="0"/>
                <w:lang w:val="en-US"/>
                <w14:ligatures w14:val="none"/>
              </w:rPr>
            </w:pPr>
            <w:r w:rsidRPr="00C531F3">
              <w:rPr>
                <w:rFonts w:ascii="Times New Roman" w:eastAsia="Times New Roman" w:hAnsi="Times New Roman" w:cs="Times New Roman"/>
                <w:b/>
                <w:bCs/>
                <w:color w:val="000000"/>
                <w:kern w:val="0"/>
                <w:lang w:val="en-US"/>
                <w14:ligatures w14:val="none"/>
              </w:rPr>
              <w:t>3</w:t>
            </w:r>
          </w:p>
        </w:tc>
      </w:tr>
      <w:tr w:rsidR="005E1CDB" w:rsidRPr="00C531F3" w14:paraId="36474A5E" w14:textId="77777777" w:rsidTr="00F9653C">
        <w:trPr>
          <w:trHeight w:val="300"/>
        </w:trPr>
        <w:tc>
          <w:tcPr>
            <w:tcW w:w="1243" w:type="pct"/>
            <w:tcBorders>
              <w:top w:val="single" w:sz="4" w:space="0" w:color="auto"/>
              <w:right w:val="single" w:sz="4" w:space="0" w:color="auto"/>
            </w:tcBorders>
            <w:noWrap/>
            <w:vAlign w:val="bottom"/>
            <w:hideMark/>
          </w:tcPr>
          <w:p w14:paraId="630E427B" w14:textId="77777777" w:rsidR="005E1CDB" w:rsidRPr="00C531F3" w:rsidRDefault="005E1CDB" w:rsidP="005E1CDB">
            <w:pPr>
              <w:spacing w:after="0" w:line="240" w:lineRule="auto"/>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1. Digital Readiness</w:t>
            </w:r>
          </w:p>
        </w:tc>
        <w:tc>
          <w:tcPr>
            <w:tcW w:w="1053" w:type="pct"/>
            <w:tcBorders>
              <w:top w:val="single" w:sz="4" w:space="0" w:color="auto"/>
              <w:left w:val="single" w:sz="4" w:space="0" w:color="auto"/>
            </w:tcBorders>
            <w:noWrap/>
            <w:vAlign w:val="bottom"/>
            <w:hideMark/>
          </w:tcPr>
          <w:p w14:paraId="35194153" w14:textId="5DEB75B8" w:rsidR="005E1CDB" w:rsidRPr="00C531F3" w:rsidRDefault="005E1CDB" w:rsidP="005E1CDB">
            <w:pPr>
              <w:spacing w:after="0" w:line="240" w:lineRule="auto"/>
              <w:jc w:val="center"/>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.74 – .88</w:t>
            </w:r>
          </w:p>
        </w:tc>
        <w:tc>
          <w:tcPr>
            <w:tcW w:w="368" w:type="pct"/>
            <w:tcBorders>
              <w:top w:val="single" w:sz="4" w:space="0" w:color="auto"/>
            </w:tcBorders>
            <w:noWrap/>
            <w:vAlign w:val="bottom"/>
            <w:hideMark/>
          </w:tcPr>
          <w:p w14:paraId="24EBE26C" w14:textId="77777777" w:rsidR="005E1CDB" w:rsidRPr="00C531F3" w:rsidRDefault="005E1CDB" w:rsidP="005E1CDB">
            <w:pPr>
              <w:spacing w:after="0" w:line="240" w:lineRule="auto"/>
              <w:jc w:val="center"/>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0.884</w:t>
            </w:r>
          </w:p>
        </w:tc>
        <w:tc>
          <w:tcPr>
            <w:tcW w:w="368" w:type="pct"/>
            <w:tcBorders>
              <w:top w:val="single" w:sz="4" w:space="0" w:color="auto"/>
            </w:tcBorders>
            <w:noWrap/>
            <w:vAlign w:val="bottom"/>
            <w:hideMark/>
          </w:tcPr>
          <w:p w14:paraId="085A17D6" w14:textId="77777777" w:rsidR="005E1CDB" w:rsidRPr="00C531F3" w:rsidRDefault="005E1CDB" w:rsidP="005E1CDB">
            <w:pPr>
              <w:spacing w:after="0" w:line="240" w:lineRule="auto"/>
              <w:jc w:val="center"/>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0.886</w:t>
            </w:r>
          </w:p>
        </w:tc>
        <w:tc>
          <w:tcPr>
            <w:tcW w:w="368" w:type="pct"/>
            <w:tcBorders>
              <w:top w:val="single" w:sz="4" w:space="0" w:color="auto"/>
            </w:tcBorders>
            <w:noWrap/>
            <w:vAlign w:val="bottom"/>
            <w:hideMark/>
          </w:tcPr>
          <w:p w14:paraId="035134FA" w14:textId="61080044" w:rsidR="005E1CDB" w:rsidRPr="00C531F3" w:rsidRDefault="005E1CDB" w:rsidP="005E1CDB">
            <w:pPr>
              <w:spacing w:after="0" w:line="240" w:lineRule="auto"/>
              <w:jc w:val="center"/>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0.89</w:t>
            </w:r>
            <w:r w:rsidR="009E15B1" w:rsidRPr="00C531F3">
              <w:rPr>
                <w:rFonts w:ascii="Times New Roman" w:eastAsia="Times New Roman" w:hAnsi="Times New Roman" w:cs="Times New Roman"/>
                <w:color w:val="000000"/>
                <w:kern w:val="0"/>
                <w:lang w:val="en-US"/>
                <w14:ligatures w14:val="none"/>
              </w:rPr>
              <w:t>0</w:t>
            </w:r>
          </w:p>
        </w:tc>
        <w:tc>
          <w:tcPr>
            <w:tcW w:w="368" w:type="pct"/>
            <w:tcBorders>
              <w:top w:val="single" w:sz="4" w:space="0" w:color="auto"/>
              <w:right w:val="single" w:sz="4" w:space="0" w:color="auto"/>
            </w:tcBorders>
            <w:noWrap/>
            <w:vAlign w:val="bottom"/>
            <w:hideMark/>
          </w:tcPr>
          <w:p w14:paraId="5D6A1231" w14:textId="77777777" w:rsidR="005E1CDB" w:rsidRPr="00C531F3" w:rsidRDefault="005E1CDB" w:rsidP="005E1CDB">
            <w:pPr>
              <w:spacing w:after="0" w:line="240" w:lineRule="auto"/>
              <w:jc w:val="center"/>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0.612</w:t>
            </w:r>
          </w:p>
        </w:tc>
        <w:tc>
          <w:tcPr>
            <w:tcW w:w="468" w:type="pct"/>
            <w:tcBorders>
              <w:top w:val="single" w:sz="4" w:space="0" w:color="auto"/>
              <w:left w:val="single" w:sz="4" w:space="0" w:color="auto"/>
            </w:tcBorders>
            <w:noWrap/>
            <w:vAlign w:val="bottom"/>
            <w:hideMark/>
          </w:tcPr>
          <w:p w14:paraId="4948C48F" w14:textId="77777777" w:rsidR="005E1CDB" w:rsidRPr="00C531F3" w:rsidRDefault="005E1CDB" w:rsidP="005E1CDB">
            <w:pPr>
              <w:spacing w:after="0" w:line="240" w:lineRule="auto"/>
              <w:jc w:val="center"/>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w:t>
            </w:r>
          </w:p>
        </w:tc>
        <w:tc>
          <w:tcPr>
            <w:tcW w:w="468" w:type="pct"/>
            <w:tcBorders>
              <w:top w:val="single" w:sz="4" w:space="0" w:color="auto"/>
            </w:tcBorders>
            <w:noWrap/>
            <w:vAlign w:val="bottom"/>
            <w:hideMark/>
          </w:tcPr>
          <w:p w14:paraId="07A97BDE" w14:textId="77777777" w:rsidR="005E1CDB" w:rsidRPr="00C531F3" w:rsidRDefault="005E1CDB" w:rsidP="005E1CDB">
            <w:pPr>
              <w:spacing w:after="0" w:line="240" w:lineRule="auto"/>
              <w:jc w:val="center"/>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 </w:t>
            </w:r>
          </w:p>
        </w:tc>
        <w:tc>
          <w:tcPr>
            <w:tcW w:w="297" w:type="pct"/>
            <w:tcBorders>
              <w:top w:val="single" w:sz="4" w:space="0" w:color="auto"/>
            </w:tcBorders>
            <w:noWrap/>
            <w:vAlign w:val="bottom"/>
            <w:hideMark/>
          </w:tcPr>
          <w:p w14:paraId="0C01A5EE" w14:textId="77777777" w:rsidR="005E1CDB" w:rsidRPr="00C531F3" w:rsidRDefault="005E1CDB" w:rsidP="005E1CDB">
            <w:pPr>
              <w:spacing w:after="0" w:line="240" w:lineRule="auto"/>
              <w:jc w:val="center"/>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 </w:t>
            </w:r>
          </w:p>
        </w:tc>
      </w:tr>
      <w:tr w:rsidR="005E1CDB" w:rsidRPr="00C531F3" w14:paraId="671445F9" w14:textId="77777777" w:rsidTr="00F9653C">
        <w:trPr>
          <w:trHeight w:val="300"/>
        </w:trPr>
        <w:tc>
          <w:tcPr>
            <w:tcW w:w="1243" w:type="pct"/>
            <w:tcBorders>
              <w:top w:val="nil"/>
              <w:right w:val="single" w:sz="4" w:space="0" w:color="auto"/>
            </w:tcBorders>
            <w:noWrap/>
            <w:vAlign w:val="bottom"/>
            <w:hideMark/>
          </w:tcPr>
          <w:p w14:paraId="67FCC6BF" w14:textId="77777777" w:rsidR="005E1CDB" w:rsidRPr="00C531F3" w:rsidRDefault="005E1CDB" w:rsidP="005E1CDB">
            <w:pPr>
              <w:spacing w:after="0" w:line="240" w:lineRule="auto"/>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2. Cognitive Unlearning</w:t>
            </w:r>
          </w:p>
        </w:tc>
        <w:tc>
          <w:tcPr>
            <w:tcW w:w="1053" w:type="pct"/>
            <w:tcBorders>
              <w:top w:val="nil"/>
              <w:left w:val="single" w:sz="4" w:space="0" w:color="auto"/>
            </w:tcBorders>
            <w:noWrap/>
            <w:vAlign w:val="bottom"/>
            <w:hideMark/>
          </w:tcPr>
          <w:p w14:paraId="67617BFB" w14:textId="2750B2E3" w:rsidR="005E1CDB" w:rsidRPr="00C531F3" w:rsidRDefault="005E1CDB" w:rsidP="005E1CDB">
            <w:pPr>
              <w:spacing w:after="0" w:line="240" w:lineRule="auto"/>
              <w:jc w:val="center"/>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.71 –. 85</w:t>
            </w:r>
          </w:p>
        </w:tc>
        <w:tc>
          <w:tcPr>
            <w:tcW w:w="368" w:type="pct"/>
            <w:tcBorders>
              <w:top w:val="nil"/>
            </w:tcBorders>
            <w:noWrap/>
            <w:vAlign w:val="bottom"/>
            <w:hideMark/>
          </w:tcPr>
          <w:p w14:paraId="21DE29EC" w14:textId="77777777" w:rsidR="005E1CDB" w:rsidRPr="00C531F3" w:rsidRDefault="005E1CDB" w:rsidP="005E1CDB">
            <w:pPr>
              <w:spacing w:after="0" w:line="240" w:lineRule="auto"/>
              <w:jc w:val="center"/>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0.852</w:t>
            </w:r>
          </w:p>
        </w:tc>
        <w:tc>
          <w:tcPr>
            <w:tcW w:w="368" w:type="pct"/>
            <w:tcBorders>
              <w:top w:val="nil"/>
            </w:tcBorders>
            <w:noWrap/>
            <w:vAlign w:val="bottom"/>
            <w:hideMark/>
          </w:tcPr>
          <w:p w14:paraId="62FAFF20" w14:textId="77777777" w:rsidR="005E1CDB" w:rsidRPr="00C531F3" w:rsidRDefault="005E1CDB" w:rsidP="005E1CDB">
            <w:pPr>
              <w:spacing w:after="0" w:line="240" w:lineRule="auto"/>
              <w:jc w:val="center"/>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0.855</w:t>
            </w:r>
          </w:p>
        </w:tc>
        <w:tc>
          <w:tcPr>
            <w:tcW w:w="368" w:type="pct"/>
            <w:tcBorders>
              <w:top w:val="nil"/>
            </w:tcBorders>
            <w:noWrap/>
            <w:vAlign w:val="bottom"/>
            <w:hideMark/>
          </w:tcPr>
          <w:p w14:paraId="521A57E6" w14:textId="77777777" w:rsidR="005E1CDB" w:rsidRPr="00C531F3" w:rsidRDefault="005E1CDB" w:rsidP="005E1CDB">
            <w:pPr>
              <w:spacing w:after="0" w:line="240" w:lineRule="auto"/>
              <w:jc w:val="center"/>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0.864</w:t>
            </w:r>
          </w:p>
        </w:tc>
        <w:tc>
          <w:tcPr>
            <w:tcW w:w="368" w:type="pct"/>
            <w:tcBorders>
              <w:top w:val="nil"/>
              <w:right w:val="single" w:sz="4" w:space="0" w:color="auto"/>
            </w:tcBorders>
            <w:noWrap/>
            <w:vAlign w:val="bottom"/>
            <w:hideMark/>
          </w:tcPr>
          <w:p w14:paraId="57AAF443" w14:textId="77777777" w:rsidR="005E1CDB" w:rsidRPr="00C531F3" w:rsidRDefault="005E1CDB" w:rsidP="005E1CDB">
            <w:pPr>
              <w:spacing w:after="0" w:line="240" w:lineRule="auto"/>
              <w:jc w:val="center"/>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0.585</w:t>
            </w:r>
          </w:p>
        </w:tc>
        <w:tc>
          <w:tcPr>
            <w:tcW w:w="468" w:type="pct"/>
            <w:tcBorders>
              <w:top w:val="nil"/>
              <w:left w:val="single" w:sz="4" w:space="0" w:color="auto"/>
            </w:tcBorders>
            <w:noWrap/>
            <w:vAlign w:val="bottom"/>
            <w:hideMark/>
          </w:tcPr>
          <w:p w14:paraId="546982C8" w14:textId="77777777" w:rsidR="005E1CDB" w:rsidRPr="00C531F3" w:rsidRDefault="005E1CDB" w:rsidP="005E1CDB">
            <w:pPr>
              <w:spacing w:after="0" w:line="240" w:lineRule="auto"/>
              <w:jc w:val="center"/>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0.702</w:t>
            </w:r>
          </w:p>
        </w:tc>
        <w:tc>
          <w:tcPr>
            <w:tcW w:w="468" w:type="pct"/>
            <w:tcBorders>
              <w:top w:val="nil"/>
            </w:tcBorders>
            <w:noWrap/>
            <w:vAlign w:val="bottom"/>
            <w:hideMark/>
          </w:tcPr>
          <w:p w14:paraId="6ECB27B1" w14:textId="77777777" w:rsidR="005E1CDB" w:rsidRPr="00C531F3" w:rsidRDefault="005E1CDB" w:rsidP="005E1CDB">
            <w:pPr>
              <w:spacing w:after="0" w:line="240" w:lineRule="auto"/>
              <w:jc w:val="center"/>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w:t>
            </w:r>
          </w:p>
        </w:tc>
        <w:tc>
          <w:tcPr>
            <w:tcW w:w="297" w:type="pct"/>
            <w:tcBorders>
              <w:top w:val="nil"/>
            </w:tcBorders>
            <w:noWrap/>
            <w:vAlign w:val="bottom"/>
            <w:hideMark/>
          </w:tcPr>
          <w:p w14:paraId="02BEA6DE" w14:textId="77777777" w:rsidR="005E1CDB" w:rsidRPr="00C531F3" w:rsidRDefault="005E1CDB" w:rsidP="005E1CDB">
            <w:pPr>
              <w:spacing w:after="0" w:line="240" w:lineRule="auto"/>
              <w:jc w:val="center"/>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 </w:t>
            </w:r>
          </w:p>
        </w:tc>
      </w:tr>
      <w:tr w:rsidR="005E1CDB" w:rsidRPr="00C531F3" w14:paraId="55290732" w14:textId="77777777" w:rsidTr="00F9653C">
        <w:trPr>
          <w:trHeight w:val="300"/>
        </w:trPr>
        <w:tc>
          <w:tcPr>
            <w:tcW w:w="1243" w:type="pct"/>
            <w:tcBorders>
              <w:top w:val="nil"/>
              <w:bottom w:val="single" w:sz="4" w:space="0" w:color="auto"/>
              <w:right w:val="single" w:sz="4" w:space="0" w:color="auto"/>
            </w:tcBorders>
            <w:noWrap/>
            <w:vAlign w:val="bottom"/>
            <w:hideMark/>
          </w:tcPr>
          <w:p w14:paraId="0FCD4B90" w14:textId="77777777" w:rsidR="005E1CDB" w:rsidRPr="00C531F3" w:rsidRDefault="005E1CDB" w:rsidP="005E1CDB">
            <w:pPr>
              <w:spacing w:after="0" w:line="240" w:lineRule="auto"/>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3. DT Preparedness</w:t>
            </w:r>
          </w:p>
        </w:tc>
        <w:tc>
          <w:tcPr>
            <w:tcW w:w="1053" w:type="pct"/>
            <w:tcBorders>
              <w:top w:val="nil"/>
              <w:left w:val="single" w:sz="4" w:space="0" w:color="auto"/>
              <w:bottom w:val="single" w:sz="4" w:space="0" w:color="auto"/>
            </w:tcBorders>
            <w:noWrap/>
            <w:vAlign w:val="bottom"/>
            <w:hideMark/>
          </w:tcPr>
          <w:p w14:paraId="51D87F38" w14:textId="5F1442BA" w:rsidR="005E1CDB" w:rsidRPr="00C531F3" w:rsidRDefault="005E1CDB" w:rsidP="005E1CDB">
            <w:pPr>
              <w:spacing w:after="0" w:line="240" w:lineRule="auto"/>
              <w:jc w:val="center"/>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.78 – .92</w:t>
            </w:r>
          </w:p>
        </w:tc>
        <w:tc>
          <w:tcPr>
            <w:tcW w:w="368" w:type="pct"/>
            <w:tcBorders>
              <w:top w:val="nil"/>
              <w:bottom w:val="single" w:sz="4" w:space="0" w:color="auto"/>
            </w:tcBorders>
            <w:noWrap/>
            <w:vAlign w:val="bottom"/>
            <w:hideMark/>
          </w:tcPr>
          <w:p w14:paraId="7995721D" w14:textId="77777777" w:rsidR="005E1CDB" w:rsidRPr="00C531F3" w:rsidRDefault="005E1CDB" w:rsidP="005E1CDB">
            <w:pPr>
              <w:spacing w:after="0" w:line="240" w:lineRule="auto"/>
              <w:jc w:val="center"/>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0.912</w:t>
            </w:r>
          </w:p>
        </w:tc>
        <w:tc>
          <w:tcPr>
            <w:tcW w:w="368" w:type="pct"/>
            <w:tcBorders>
              <w:top w:val="nil"/>
              <w:bottom w:val="single" w:sz="4" w:space="0" w:color="auto"/>
            </w:tcBorders>
            <w:noWrap/>
            <w:vAlign w:val="bottom"/>
            <w:hideMark/>
          </w:tcPr>
          <w:p w14:paraId="7547BC84" w14:textId="77777777" w:rsidR="005E1CDB" w:rsidRPr="00C531F3" w:rsidRDefault="005E1CDB" w:rsidP="005E1CDB">
            <w:pPr>
              <w:spacing w:after="0" w:line="240" w:lineRule="auto"/>
              <w:jc w:val="center"/>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0.914</w:t>
            </w:r>
          </w:p>
        </w:tc>
        <w:tc>
          <w:tcPr>
            <w:tcW w:w="368" w:type="pct"/>
            <w:tcBorders>
              <w:top w:val="nil"/>
              <w:bottom w:val="single" w:sz="4" w:space="0" w:color="auto"/>
            </w:tcBorders>
            <w:noWrap/>
            <w:vAlign w:val="bottom"/>
            <w:hideMark/>
          </w:tcPr>
          <w:p w14:paraId="5C180911" w14:textId="77777777" w:rsidR="005E1CDB" w:rsidRPr="00C531F3" w:rsidRDefault="005E1CDB" w:rsidP="005E1CDB">
            <w:pPr>
              <w:spacing w:after="0" w:line="240" w:lineRule="auto"/>
              <w:jc w:val="center"/>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0.922</w:t>
            </w:r>
          </w:p>
        </w:tc>
        <w:tc>
          <w:tcPr>
            <w:tcW w:w="368" w:type="pct"/>
            <w:tcBorders>
              <w:top w:val="nil"/>
              <w:bottom w:val="single" w:sz="4" w:space="0" w:color="auto"/>
              <w:right w:val="single" w:sz="4" w:space="0" w:color="auto"/>
            </w:tcBorders>
            <w:noWrap/>
            <w:vAlign w:val="bottom"/>
            <w:hideMark/>
          </w:tcPr>
          <w:p w14:paraId="2120A76C" w14:textId="77777777" w:rsidR="005E1CDB" w:rsidRPr="00C531F3" w:rsidRDefault="005E1CDB" w:rsidP="005E1CDB">
            <w:pPr>
              <w:spacing w:after="0" w:line="240" w:lineRule="auto"/>
              <w:jc w:val="center"/>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0.648</w:t>
            </w:r>
          </w:p>
        </w:tc>
        <w:tc>
          <w:tcPr>
            <w:tcW w:w="468" w:type="pct"/>
            <w:tcBorders>
              <w:top w:val="nil"/>
              <w:left w:val="single" w:sz="4" w:space="0" w:color="auto"/>
              <w:bottom w:val="single" w:sz="4" w:space="0" w:color="auto"/>
            </w:tcBorders>
            <w:noWrap/>
            <w:vAlign w:val="bottom"/>
            <w:hideMark/>
          </w:tcPr>
          <w:p w14:paraId="7CC39054" w14:textId="77777777" w:rsidR="005E1CDB" w:rsidRPr="00C531F3" w:rsidRDefault="005E1CDB" w:rsidP="005E1CDB">
            <w:pPr>
              <w:spacing w:after="0" w:line="240" w:lineRule="auto"/>
              <w:jc w:val="center"/>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0.648</w:t>
            </w:r>
          </w:p>
        </w:tc>
        <w:tc>
          <w:tcPr>
            <w:tcW w:w="468" w:type="pct"/>
            <w:tcBorders>
              <w:top w:val="nil"/>
              <w:bottom w:val="single" w:sz="4" w:space="0" w:color="auto"/>
            </w:tcBorders>
            <w:noWrap/>
            <w:vAlign w:val="bottom"/>
            <w:hideMark/>
          </w:tcPr>
          <w:p w14:paraId="7584EC42" w14:textId="77777777" w:rsidR="005E1CDB" w:rsidRPr="00C531F3" w:rsidRDefault="005E1CDB" w:rsidP="005E1CDB">
            <w:pPr>
              <w:spacing w:after="0" w:line="240" w:lineRule="auto"/>
              <w:jc w:val="center"/>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0.744</w:t>
            </w:r>
          </w:p>
        </w:tc>
        <w:tc>
          <w:tcPr>
            <w:tcW w:w="297" w:type="pct"/>
            <w:tcBorders>
              <w:top w:val="nil"/>
              <w:bottom w:val="single" w:sz="4" w:space="0" w:color="auto"/>
            </w:tcBorders>
            <w:noWrap/>
            <w:vAlign w:val="bottom"/>
            <w:hideMark/>
          </w:tcPr>
          <w:p w14:paraId="0768A906" w14:textId="77777777" w:rsidR="005E1CDB" w:rsidRPr="00C531F3" w:rsidRDefault="005E1CDB" w:rsidP="005E1CDB">
            <w:pPr>
              <w:spacing w:after="0" w:line="240" w:lineRule="auto"/>
              <w:jc w:val="center"/>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w:t>
            </w:r>
          </w:p>
        </w:tc>
      </w:tr>
    </w:tbl>
    <w:p w14:paraId="2705EE2D" w14:textId="77777777" w:rsidR="002402FD" w:rsidRPr="00C531F3" w:rsidRDefault="002402FD" w:rsidP="00C21873">
      <w:pPr>
        <w:spacing w:before="240" w:after="240" w:line="240" w:lineRule="auto"/>
        <w:ind w:firstLine="709"/>
        <w:jc w:val="both"/>
        <w:rPr>
          <w:rFonts w:ascii="Times New Roman" w:hAnsi="Times New Roman" w:cs="Times New Roman"/>
        </w:rPr>
      </w:pPr>
      <w:r w:rsidRPr="00C531F3">
        <w:rPr>
          <w:rFonts w:ascii="Times New Roman" w:hAnsi="Times New Roman" w:cs="Times New Roman"/>
        </w:rPr>
        <w:t>The CFA results indicated good fit for the three-factor model: χ²(114) = 242.45, χ²/</w:t>
      </w:r>
      <w:proofErr w:type="spellStart"/>
      <w:r w:rsidRPr="00C531F3">
        <w:rPr>
          <w:rFonts w:ascii="Times New Roman" w:hAnsi="Times New Roman" w:cs="Times New Roman"/>
        </w:rPr>
        <w:t>df</w:t>
      </w:r>
      <w:proofErr w:type="spellEnd"/>
      <w:r w:rsidRPr="00C531F3">
        <w:rPr>
          <w:rFonts w:ascii="Times New Roman" w:hAnsi="Times New Roman" w:cs="Times New Roman"/>
        </w:rPr>
        <w:t xml:space="preserve"> = 2.13, CFI = .962, TLI = .955, RMSEA = .054 (90% CI [.046, .063]), and SRMR = .038.</w:t>
      </w:r>
    </w:p>
    <w:p w14:paraId="28A0ECD9" w14:textId="6AC0AC55" w:rsidR="001A6529" w:rsidRPr="00C531F3" w:rsidRDefault="00515298" w:rsidP="00C21873">
      <w:pPr>
        <w:pStyle w:val="Heading2"/>
        <w:spacing w:before="240" w:after="240" w:line="240" w:lineRule="auto"/>
        <w:ind w:left="709" w:hanging="709"/>
        <w:jc w:val="both"/>
        <w:rPr>
          <w:rFonts w:ascii="Times New Roman" w:hAnsi="Times New Roman" w:cs="Times New Roman"/>
          <w:b/>
          <w:bCs/>
          <w:color w:val="auto"/>
          <w:sz w:val="24"/>
          <w:szCs w:val="24"/>
          <w:lang w:val="en-US"/>
        </w:rPr>
      </w:pPr>
      <w:r w:rsidRPr="00C531F3">
        <w:rPr>
          <w:rFonts w:ascii="Times New Roman" w:hAnsi="Times New Roman" w:cs="Times New Roman"/>
          <w:b/>
          <w:bCs/>
          <w:color w:val="auto"/>
          <w:sz w:val="24"/>
          <w:szCs w:val="24"/>
          <w:lang w:val="en-US"/>
        </w:rPr>
        <w:t>Structural</w:t>
      </w:r>
      <w:r w:rsidR="00EA72A8" w:rsidRPr="00C531F3">
        <w:rPr>
          <w:rFonts w:ascii="Times New Roman" w:hAnsi="Times New Roman" w:cs="Times New Roman"/>
          <w:b/>
          <w:bCs/>
          <w:color w:val="auto"/>
          <w:sz w:val="24"/>
          <w:szCs w:val="24"/>
          <w:lang w:val="en-US"/>
        </w:rPr>
        <w:t xml:space="preserve"> </w:t>
      </w:r>
      <w:r w:rsidRPr="00C531F3">
        <w:rPr>
          <w:rFonts w:ascii="Times New Roman" w:hAnsi="Times New Roman" w:cs="Times New Roman"/>
          <w:b/>
          <w:bCs/>
          <w:color w:val="auto"/>
          <w:sz w:val="24"/>
          <w:szCs w:val="24"/>
          <w:lang w:val="en-US"/>
        </w:rPr>
        <w:t>Model</w:t>
      </w:r>
      <w:r w:rsidR="00EA72A8" w:rsidRPr="00C531F3">
        <w:rPr>
          <w:rFonts w:ascii="Times New Roman" w:hAnsi="Times New Roman" w:cs="Times New Roman"/>
          <w:b/>
          <w:bCs/>
          <w:color w:val="auto"/>
          <w:sz w:val="24"/>
          <w:szCs w:val="24"/>
          <w:lang w:val="en-US"/>
        </w:rPr>
        <w:t xml:space="preserve"> </w:t>
      </w:r>
      <w:r w:rsidRPr="00C531F3">
        <w:rPr>
          <w:rFonts w:ascii="Times New Roman" w:hAnsi="Times New Roman" w:cs="Times New Roman"/>
          <w:b/>
          <w:bCs/>
          <w:color w:val="auto"/>
          <w:sz w:val="24"/>
          <w:szCs w:val="24"/>
          <w:lang w:val="en-US"/>
        </w:rPr>
        <w:t>Assessment</w:t>
      </w:r>
    </w:p>
    <w:p w14:paraId="432DA8FD" w14:textId="395D2586" w:rsidR="00990E59" w:rsidRPr="00C531F3" w:rsidRDefault="00990E59" w:rsidP="00C21873">
      <w:pPr>
        <w:spacing w:before="240" w:after="240" w:line="240" w:lineRule="auto"/>
        <w:ind w:firstLine="709"/>
        <w:jc w:val="both"/>
        <w:rPr>
          <w:rFonts w:ascii="Times New Roman" w:hAnsi="Times New Roman" w:cs="Times New Roman"/>
          <w:lang w:val="en-US"/>
        </w:rPr>
      </w:pPr>
      <w:r w:rsidRPr="00C531F3">
        <w:rPr>
          <w:rFonts w:ascii="Times New Roman" w:hAnsi="Times New Roman" w:cs="Times New Roman"/>
          <w:lang w:val="en-US"/>
        </w:rPr>
        <w:t>The structural model supported all direct hypotheses (Table 3). Digital Readiness positively predicted Digital Transformation Preparedness (β = .284, p &lt; .001), supporting H1. Digital Readiness also positively predicted Cognitive Unlearning (β = .621, p &lt; .001), supporting H2. Cognitive Unlearning, in turn, positively predicted Digital Transformation Preparedness (β = .482, p &lt; .001), supporting H3. The model explained 38.6% of the variance in Cognitive Unlearning (R² = .386) and 52.4% of the variance in Digital Transformation Preparedness (R² = .524).</w:t>
      </w:r>
    </w:p>
    <w:p w14:paraId="2E57B605" w14:textId="503A16BE" w:rsidR="00990E59" w:rsidRPr="00C531F3" w:rsidRDefault="00990E59" w:rsidP="00990E59">
      <w:pPr>
        <w:spacing w:after="0" w:line="240" w:lineRule="auto"/>
        <w:jc w:val="center"/>
        <w:rPr>
          <w:rFonts w:ascii="Times New Roman" w:hAnsi="Times New Roman" w:cs="Times New Roman"/>
          <w:lang w:val="en-US"/>
        </w:rPr>
      </w:pPr>
      <w:r w:rsidRPr="00C531F3">
        <w:rPr>
          <w:rFonts w:ascii="Times New Roman" w:hAnsi="Times New Roman" w:cs="Times New Roman"/>
          <w:lang w:val="en-US"/>
        </w:rPr>
        <w:t>Table 3. Direct Path Estimates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427"/>
        <w:gridCol w:w="1550"/>
        <w:gridCol w:w="1274"/>
        <w:gridCol w:w="1274"/>
        <w:gridCol w:w="1274"/>
        <w:gridCol w:w="1274"/>
        <w:gridCol w:w="1275"/>
      </w:tblGrid>
      <w:tr w:rsidR="00990E59" w:rsidRPr="00C531F3" w14:paraId="6D8A6748" w14:textId="77777777" w:rsidTr="006D7371">
        <w:trPr>
          <w:jc w:val="center"/>
        </w:trPr>
        <w:tc>
          <w:tcPr>
            <w:tcW w:w="1427" w:type="dxa"/>
            <w:tcBorders>
              <w:bottom w:val="single" w:sz="4" w:space="0" w:color="auto"/>
            </w:tcBorders>
            <w:hideMark/>
          </w:tcPr>
          <w:p w14:paraId="75EE9B1B" w14:textId="61439D5D" w:rsidR="00990E59" w:rsidRPr="00C531F3" w:rsidRDefault="00990E59" w:rsidP="00D02F04">
            <w:pPr>
              <w:jc w:val="both"/>
              <w:rPr>
                <w:rFonts w:ascii="Times New Roman" w:hAnsi="Times New Roman" w:cs="Times New Roman"/>
                <w:b/>
                <w:bCs/>
                <w:lang w:val="en-US"/>
              </w:rPr>
            </w:pPr>
            <w:r w:rsidRPr="00C531F3">
              <w:rPr>
                <w:rFonts w:ascii="Times New Roman" w:hAnsi="Times New Roman" w:cs="Times New Roman"/>
                <w:b/>
                <w:bCs/>
                <w:lang w:val="en-US"/>
              </w:rPr>
              <w:t>Hyp</w:t>
            </w:r>
            <w:r w:rsidR="006D7371" w:rsidRPr="00C531F3">
              <w:rPr>
                <w:rFonts w:ascii="Times New Roman" w:hAnsi="Times New Roman" w:cs="Times New Roman"/>
                <w:b/>
                <w:bCs/>
                <w:lang w:val="en-US"/>
              </w:rPr>
              <w:t>otheses</w:t>
            </w:r>
          </w:p>
        </w:tc>
        <w:tc>
          <w:tcPr>
            <w:tcW w:w="1550" w:type="dxa"/>
            <w:tcBorders>
              <w:bottom w:val="single" w:sz="4" w:space="0" w:color="auto"/>
            </w:tcBorders>
            <w:hideMark/>
          </w:tcPr>
          <w:p w14:paraId="5DC14AFA" w14:textId="77777777" w:rsidR="00990E59" w:rsidRPr="00C531F3" w:rsidRDefault="00990E59" w:rsidP="00D02F04">
            <w:pPr>
              <w:jc w:val="both"/>
              <w:rPr>
                <w:rFonts w:ascii="Times New Roman" w:hAnsi="Times New Roman" w:cs="Times New Roman"/>
                <w:b/>
                <w:bCs/>
                <w:lang w:val="en-US"/>
              </w:rPr>
            </w:pPr>
            <w:r w:rsidRPr="00C531F3">
              <w:rPr>
                <w:rFonts w:ascii="Times New Roman" w:hAnsi="Times New Roman" w:cs="Times New Roman"/>
                <w:b/>
                <w:bCs/>
                <w:lang w:val="en-US"/>
              </w:rPr>
              <w:t>Path</w:t>
            </w:r>
          </w:p>
        </w:tc>
        <w:tc>
          <w:tcPr>
            <w:tcW w:w="1274" w:type="dxa"/>
            <w:tcBorders>
              <w:bottom w:val="single" w:sz="4" w:space="0" w:color="auto"/>
            </w:tcBorders>
            <w:hideMark/>
          </w:tcPr>
          <w:p w14:paraId="5B662F83" w14:textId="77777777" w:rsidR="00990E59" w:rsidRPr="00C531F3" w:rsidRDefault="00990E59" w:rsidP="006D7371">
            <w:pPr>
              <w:jc w:val="center"/>
              <w:rPr>
                <w:rFonts w:ascii="Times New Roman" w:hAnsi="Times New Roman" w:cs="Times New Roman"/>
                <w:b/>
                <w:bCs/>
                <w:lang w:val="en-US"/>
              </w:rPr>
            </w:pPr>
            <w:r w:rsidRPr="00C531F3">
              <w:rPr>
                <w:rFonts w:ascii="Times New Roman" w:hAnsi="Times New Roman" w:cs="Times New Roman"/>
                <w:b/>
                <w:bCs/>
                <w:i/>
                <w:iCs/>
                <w:lang w:val="en-US"/>
              </w:rPr>
              <w:t>β</w:t>
            </w:r>
          </w:p>
        </w:tc>
        <w:tc>
          <w:tcPr>
            <w:tcW w:w="1274" w:type="dxa"/>
            <w:tcBorders>
              <w:bottom w:val="single" w:sz="4" w:space="0" w:color="auto"/>
            </w:tcBorders>
            <w:hideMark/>
          </w:tcPr>
          <w:p w14:paraId="7A39947F" w14:textId="77777777" w:rsidR="00990E59" w:rsidRPr="00C531F3" w:rsidRDefault="00990E59" w:rsidP="006D7371">
            <w:pPr>
              <w:jc w:val="center"/>
              <w:rPr>
                <w:rFonts w:ascii="Times New Roman" w:hAnsi="Times New Roman" w:cs="Times New Roman"/>
                <w:b/>
                <w:bCs/>
                <w:lang w:val="en-US"/>
              </w:rPr>
            </w:pPr>
            <w:r w:rsidRPr="00C531F3">
              <w:rPr>
                <w:rFonts w:ascii="Times New Roman" w:hAnsi="Times New Roman" w:cs="Times New Roman"/>
                <w:b/>
                <w:bCs/>
                <w:lang w:val="en-US"/>
              </w:rPr>
              <w:t>SE</w:t>
            </w:r>
          </w:p>
        </w:tc>
        <w:tc>
          <w:tcPr>
            <w:tcW w:w="1274" w:type="dxa"/>
            <w:tcBorders>
              <w:bottom w:val="single" w:sz="4" w:space="0" w:color="auto"/>
            </w:tcBorders>
            <w:hideMark/>
          </w:tcPr>
          <w:p w14:paraId="0E02B929" w14:textId="77777777" w:rsidR="00990E59" w:rsidRPr="00C531F3" w:rsidRDefault="00990E59" w:rsidP="006D7371">
            <w:pPr>
              <w:jc w:val="center"/>
              <w:rPr>
                <w:rFonts w:ascii="Times New Roman" w:hAnsi="Times New Roman" w:cs="Times New Roman"/>
                <w:b/>
                <w:bCs/>
                <w:lang w:val="en-US"/>
              </w:rPr>
            </w:pPr>
            <w:r w:rsidRPr="00C531F3">
              <w:rPr>
                <w:rFonts w:ascii="Times New Roman" w:hAnsi="Times New Roman" w:cs="Times New Roman"/>
                <w:b/>
                <w:bCs/>
                <w:lang w:val="en-US"/>
              </w:rPr>
              <w:t>t-value</w:t>
            </w:r>
          </w:p>
        </w:tc>
        <w:tc>
          <w:tcPr>
            <w:tcW w:w="1274" w:type="dxa"/>
            <w:tcBorders>
              <w:bottom w:val="single" w:sz="4" w:space="0" w:color="auto"/>
            </w:tcBorders>
            <w:hideMark/>
          </w:tcPr>
          <w:p w14:paraId="19861876" w14:textId="77777777" w:rsidR="00990E59" w:rsidRPr="00C531F3" w:rsidRDefault="00990E59" w:rsidP="006D7371">
            <w:pPr>
              <w:jc w:val="center"/>
              <w:rPr>
                <w:rFonts w:ascii="Times New Roman" w:hAnsi="Times New Roman" w:cs="Times New Roman"/>
                <w:b/>
                <w:bCs/>
                <w:lang w:val="en-US"/>
              </w:rPr>
            </w:pPr>
            <w:r w:rsidRPr="00C531F3">
              <w:rPr>
                <w:rFonts w:ascii="Times New Roman" w:hAnsi="Times New Roman" w:cs="Times New Roman"/>
                <w:b/>
                <w:bCs/>
                <w:lang w:val="en-US"/>
              </w:rPr>
              <w:t>p-value</w:t>
            </w:r>
          </w:p>
        </w:tc>
        <w:tc>
          <w:tcPr>
            <w:tcW w:w="1275" w:type="dxa"/>
            <w:tcBorders>
              <w:bottom w:val="single" w:sz="4" w:space="0" w:color="auto"/>
            </w:tcBorders>
            <w:hideMark/>
          </w:tcPr>
          <w:p w14:paraId="4865340B" w14:textId="77777777" w:rsidR="00990E59" w:rsidRPr="00C531F3" w:rsidRDefault="00990E59" w:rsidP="006D7371">
            <w:pPr>
              <w:jc w:val="center"/>
              <w:rPr>
                <w:rFonts w:ascii="Times New Roman" w:hAnsi="Times New Roman" w:cs="Times New Roman"/>
                <w:b/>
                <w:bCs/>
                <w:lang w:val="en-US"/>
              </w:rPr>
            </w:pPr>
            <w:r w:rsidRPr="00C531F3">
              <w:rPr>
                <w:rFonts w:ascii="Times New Roman" w:hAnsi="Times New Roman" w:cs="Times New Roman"/>
                <w:b/>
                <w:bCs/>
                <w:lang w:val="en-US"/>
              </w:rPr>
              <w:t>Decision</w:t>
            </w:r>
          </w:p>
        </w:tc>
      </w:tr>
      <w:tr w:rsidR="00990E59" w:rsidRPr="00C531F3" w14:paraId="4D83CC42" w14:textId="77777777" w:rsidTr="006D7371">
        <w:trPr>
          <w:jc w:val="center"/>
        </w:trPr>
        <w:tc>
          <w:tcPr>
            <w:tcW w:w="1427" w:type="dxa"/>
            <w:tcBorders>
              <w:bottom w:val="nil"/>
            </w:tcBorders>
            <w:hideMark/>
          </w:tcPr>
          <w:p w14:paraId="71A91476" w14:textId="77777777" w:rsidR="00990E59" w:rsidRPr="00C531F3" w:rsidRDefault="00990E59" w:rsidP="00D02F04">
            <w:pPr>
              <w:jc w:val="both"/>
              <w:rPr>
                <w:rFonts w:ascii="Times New Roman" w:hAnsi="Times New Roman" w:cs="Times New Roman"/>
                <w:lang w:val="en-US"/>
              </w:rPr>
            </w:pPr>
            <w:r w:rsidRPr="00C531F3">
              <w:rPr>
                <w:rFonts w:ascii="Times New Roman" w:hAnsi="Times New Roman" w:cs="Times New Roman"/>
                <w:lang w:val="en-US"/>
              </w:rPr>
              <w:t>H1</w:t>
            </w:r>
          </w:p>
        </w:tc>
        <w:tc>
          <w:tcPr>
            <w:tcW w:w="1550" w:type="dxa"/>
            <w:tcBorders>
              <w:bottom w:val="nil"/>
            </w:tcBorders>
            <w:hideMark/>
          </w:tcPr>
          <w:p w14:paraId="7E82F4DD" w14:textId="77777777" w:rsidR="00990E59" w:rsidRPr="00C531F3" w:rsidRDefault="00990E59" w:rsidP="00D02F04">
            <w:pPr>
              <w:jc w:val="both"/>
              <w:rPr>
                <w:rFonts w:ascii="Times New Roman" w:hAnsi="Times New Roman" w:cs="Times New Roman"/>
                <w:lang w:val="en-US"/>
              </w:rPr>
            </w:pPr>
            <w:r w:rsidRPr="00C531F3">
              <w:rPr>
                <w:rFonts w:ascii="Times New Roman" w:hAnsi="Times New Roman" w:cs="Times New Roman"/>
                <w:lang w:val="en-US"/>
              </w:rPr>
              <w:t>DR → DTP</w:t>
            </w:r>
          </w:p>
        </w:tc>
        <w:tc>
          <w:tcPr>
            <w:tcW w:w="1274" w:type="dxa"/>
            <w:tcBorders>
              <w:bottom w:val="nil"/>
            </w:tcBorders>
            <w:hideMark/>
          </w:tcPr>
          <w:p w14:paraId="00F8C830" w14:textId="77777777" w:rsidR="00990E59" w:rsidRPr="00C531F3" w:rsidRDefault="00990E59" w:rsidP="006D7371">
            <w:pPr>
              <w:jc w:val="center"/>
              <w:rPr>
                <w:rFonts w:ascii="Times New Roman" w:hAnsi="Times New Roman" w:cs="Times New Roman"/>
                <w:lang w:val="en-US"/>
              </w:rPr>
            </w:pPr>
            <w:r w:rsidRPr="00C531F3">
              <w:rPr>
                <w:rFonts w:ascii="Times New Roman" w:hAnsi="Times New Roman" w:cs="Times New Roman"/>
                <w:lang w:val="en-US"/>
              </w:rPr>
              <w:t>.284</w:t>
            </w:r>
          </w:p>
        </w:tc>
        <w:tc>
          <w:tcPr>
            <w:tcW w:w="1274" w:type="dxa"/>
            <w:tcBorders>
              <w:bottom w:val="nil"/>
            </w:tcBorders>
            <w:hideMark/>
          </w:tcPr>
          <w:p w14:paraId="63247D54" w14:textId="77777777" w:rsidR="00990E59" w:rsidRPr="00C531F3" w:rsidRDefault="00990E59" w:rsidP="006D7371">
            <w:pPr>
              <w:jc w:val="center"/>
              <w:rPr>
                <w:rFonts w:ascii="Times New Roman" w:hAnsi="Times New Roman" w:cs="Times New Roman"/>
                <w:lang w:val="en-US"/>
              </w:rPr>
            </w:pPr>
            <w:r w:rsidRPr="00C531F3">
              <w:rPr>
                <w:rFonts w:ascii="Times New Roman" w:hAnsi="Times New Roman" w:cs="Times New Roman"/>
                <w:lang w:val="en-US"/>
              </w:rPr>
              <w:t>.052</w:t>
            </w:r>
          </w:p>
        </w:tc>
        <w:tc>
          <w:tcPr>
            <w:tcW w:w="1274" w:type="dxa"/>
            <w:tcBorders>
              <w:bottom w:val="nil"/>
            </w:tcBorders>
            <w:hideMark/>
          </w:tcPr>
          <w:p w14:paraId="09E8D996" w14:textId="77777777" w:rsidR="00990E59" w:rsidRPr="00C531F3" w:rsidRDefault="00990E59" w:rsidP="006D7371">
            <w:pPr>
              <w:jc w:val="center"/>
              <w:rPr>
                <w:rFonts w:ascii="Times New Roman" w:hAnsi="Times New Roman" w:cs="Times New Roman"/>
                <w:lang w:val="en-US"/>
              </w:rPr>
            </w:pPr>
            <w:r w:rsidRPr="00C531F3">
              <w:rPr>
                <w:rFonts w:ascii="Times New Roman" w:hAnsi="Times New Roman" w:cs="Times New Roman"/>
                <w:lang w:val="en-US"/>
              </w:rPr>
              <w:t>5.461</w:t>
            </w:r>
          </w:p>
        </w:tc>
        <w:tc>
          <w:tcPr>
            <w:tcW w:w="1274" w:type="dxa"/>
            <w:tcBorders>
              <w:bottom w:val="nil"/>
            </w:tcBorders>
            <w:hideMark/>
          </w:tcPr>
          <w:p w14:paraId="44EFF4CE" w14:textId="77777777" w:rsidR="00990E59" w:rsidRPr="00C531F3" w:rsidRDefault="00990E59" w:rsidP="006D7371">
            <w:pPr>
              <w:jc w:val="center"/>
              <w:rPr>
                <w:rFonts w:ascii="Times New Roman" w:hAnsi="Times New Roman" w:cs="Times New Roman"/>
                <w:lang w:val="en-US"/>
              </w:rPr>
            </w:pPr>
            <w:r w:rsidRPr="00C531F3">
              <w:rPr>
                <w:rFonts w:ascii="Times New Roman" w:hAnsi="Times New Roman" w:cs="Times New Roman"/>
                <w:lang w:val="en-US"/>
              </w:rPr>
              <w:t>&lt; .001</w:t>
            </w:r>
          </w:p>
        </w:tc>
        <w:tc>
          <w:tcPr>
            <w:tcW w:w="1275" w:type="dxa"/>
            <w:tcBorders>
              <w:bottom w:val="nil"/>
            </w:tcBorders>
            <w:hideMark/>
          </w:tcPr>
          <w:p w14:paraId="448F6E35" w14:textId="77777777" w:rsidR="00990E59" w:rsidRPr="00C531F3" w:rsidRDefault="00990E59" w:rsidP="006D7371">
            <w:pPr>
              <w:jc w:val="center"/>
              <w:rPr>
                <w:rFonts w:ascii="Times New Roman" w:hAnsi="Times New Roman" w:cs="Times New Roman"/>
                <w:lang w:val="en-US"/>
              </w:rPr>
            </w:pPr>
            <w:r w:rsidRPr="00C531F3">
              <w:rPr>
                <w:rFonts w:ascii="Times New Roman" w:hAnsi="Times New Roman" w:cs="Times New Roman"/>
                <w:lang w:val="en-US"/>
              </w:rPr>
              <w:t>Supported</w:t>
            </w:r>
          </w:p>
        </w:tc>
      </w:tr>
      <w:tr w:rsidR="00990E59" w:rsidRPr="00C531F3" w14:paraId="103D3466" w14:textId="77777777" w:rsidTr="006D7371">
        <w:trPr>
          <w:jc w:val="center"/>
        </w:trPr>
        <w:tc>
          <w:tcPr>
            <w:tcW w:w="1427" w:type="dxa"/>
            <w:tcBorders>
              <w:top w:val="nil"/>
              <w:bottom w:val="nil"/>
            </w:tcBorders>
            <w:hideMark/>
          </w:tcPr>
          <w:p w14:paraId="543FD41F" w14:textId="77777777" w:rsidR="00990E59" w:rsidRPr="00C531F3" w:rsidRDefault="00990E59" w:rsidP="00D02F04">
            <w:pPr>
              <w:jc w:val="both"/>
              <w:rPr>
                <w:rFonts w:ascii="Times New Roman" w:hAnsi="Times New Roman" w:cs="Times New Roman"/>
                <w:lang w:val="en-US"/>
              </w:rPr>
            </w:pPr>
            <w:r w:rsidRPr="00C531F3">
              <w:rPr>
                <w:rFonts w:ascii="Times New Roman" w:hAnsi="Times New Roman" w:cs="Times New Roman"/>
                <w:lang w:val="en-US"/>
              </w:rPr>
              <w:t>H2</w:t>
            </w:r>
          </w:p>
        </w:tc>
        <w:tc>
          <w:tcPr>
            <w:tcW w:w="1550" w:type="dxa"/>
            <w:tcBorders>
              <w:top w:val="nil"/>
              <w:bottom w:val="nil"/>
            </w:tcBorders>
            <w:hideMark/>
          </w:tcPr>
          <w:p w14:paraId="2FB9826D" w14:textId="77777777" w:rsidR="00990E59" w:rsidRPr="00C531F3" w:rsidRDefault="00990E59" w:rsidP="00D02F04">
            <w:pPr>
              <w:jc w:val="both"/>
              <w:rPr>
                <w:rFonts w:ascii="Times New Roman" w:hAnsi="Times New Roman" w:cs="Times New Roman"/>
                <w:lang w:val="en-US"/>
              </w:rPr>
            </w:pPr>
            <w:r w:rsidRPr="00C531F3">
              <w:rPr>
                <w:rFonts w:ascii="Times New Roman" w:hAnsi="Times New Roman" w:cs="Times New Roman"/>
                <w:lang w:val="en-US"/>
              </w:rPr>
              <w:t>DR → CU</w:t>
            </w:r>
          </w:p>
        </w:tc>
        <w:tc>
          <w:tcPr>
            <w:tcW w:w="1274" w:type="dxa"/>
            <w:tcBorders>
              <w:top w:val="nil"/>
              <w:bottom w:val="nil"/>
            </w:tcBorders>
            <w:hideMark/>
          </w:tcPr>
          <w:p w14:paraId="7ACD6F47" w14:textId="77777777" w:rsidR="00990E59" w:rsidRPr="00C531F3" w:rsidRDefault="00990E59" w:rsidP="006D7371">
            <w:pPr>
              <w:jc w:val="center"/>
              <w:rPr>
                <w:rFonts w:ascii="Times New Roman" w:hAnsi="Times New Roman" w:cs="Times New Roman"/>
                <w:lang w:val="en-US"/>
              </w:rPr>
            </w:pPr>
            <w:r w:rsidRPr="00C531F3">
              <w:rPr>
                <w:rFonts w:ascii="Times New Roman" w:hAnsi="Times New Roman" w:cs="Times New Roman"/>
                <w:lang w:val="en-US"/>
              </w:rPr>
              <w:t>.621</w:t>
            </w:r>
          </w:p>
        </w:tc>
        <w:tc>
          <w:tcPr>
            <w:tcW w:w="1274" w:type="dxa"/>
            <w:tcBorders>
              <w:top w:val="nil"/>
              <w:bottom w:val="nil"/>
            </w:tcBorders>
            <w:hideMark/>
          </w:tcPr>
          <w:p w14:paraId="3632F546" w14:textId="77777777" w:rsidR="00990E59" w:rsidRPr="00C531F3" w:rsidRDefault="00990E59" w:rsidP="006D7371">
            <w:pPr>
              <w:jc w:val="center"/>
              <w:rPr>
                <w:rFonts w:ascii="Times New Roman" w:hAnsi="Times New Roman" w:cs="Times New Roman"/>
                <w:lang w:val="en-US"/>
              </w:rPr>
            </w:pPr>
            <w:r w:rsidRPr="00C531F3">
              <w:rPr>
                <w:rFonts w:ascii="Times New Roman" w:hAnsi="Times New Roman" w:cs="Times New Roman"/>
                <w:lang w:val="en-US"/>
              </w:rPr>
              <w:t>.048</w:t>
            </w:r>
          </w:p>
        </w:tc>
        <w:tc>
          <w:tcPr>
            <w:tcW w:w="1274" w:type="dxa"/>
            <w:tcBorders>
              <w:top w:val="nil"/>
              <w:bottom w:val="nil"/>
            </w:tcBorders>
            <w:hideMark/>
          </w:tcPr>
          <w:p w14:paraId="5BF84948" w14:textId="77777777" w:rsidR="00990E59" w:rsidRPr="00C531F3" w:rsidRDefault="00990E59" w:rsidP="006D7371">
            <w:pPr>
              <w:jc w:val="center"/>
              <w:rPr>
                <w:rFonts w:ascii="Times New Roman" w:hAnsi="Times New Roman" w:cs="Times New Roman"/>
                <w:lang w:val="en-US"/>
              </w:rPr>
            </w:pPr>
            <w:r w:rsidRPr="00C531F3">
              <w:rPr>
                <w:rFonts w:ascii="Times New Roman" w:hAnsi="Times New Roman" w:cs="Times New Roman"/>
                <w:lang w:val="en-US"/>
              </w:rPr>
              <w:t>12.937</w:t>
            </w:r>
          </w:p>
        </w:tc>
        <w:tc>
          <w:tcPr>
            <w:tcW w:w="1274" w:type="dxa"/>
            <w:tcBorders>
              <w:top w:val="nil"/>
              <w:bottom w:val="nil"/>
            </w:tcBorders>
            <w:hideMark/>
          </w:tcPr>
          <w:p w14:paraId="5F203A9A" w14:textId="77777777" w:rsidR="00990E59" w:rsidRPr="00C531F3" w:rsidRDefault="00990E59" w:rsidP="006D7371">
            <w:pPr>
              <w:jc w:val="center"/>
              <w:rPr>
                <w:rFonts w:ascii="Times New Roman" w:hAnsi="Times New Roman" w:cs="Times New Roman"/>
                <w:lang w:val="en-US"/>
              </w:rPr>
            </w:pPr>
            <w:r w:rsidRPr="00C531F3">
              <w:rPr>
                <w:rFonts w:ascii="Times New Roman" w:hAnsi="Times New Roman" w:cs="Times New Roman"/>
                <w:lang w:val="en-US"/>
              </w:rPr>
              <w:t>&lt; .001</w:t>
            </w:r>
          </w:p>
        </w:tc>
        <w:tc>
          <w:tcPr>
            <w:tcW w:w="1275" w:type="dxa"/>
            <w:tcBorders>
              <w:top w:val="nil"/>
              <w:bottom w:val="nil"/>
            </w:tcBorders>
            <w:hideMark/>
          </w:tcPr>
          <w:p w14:paraId="727511EA" w14:textId="77777777" w:rsidR="00990E59" w:rsidRPr="00C531F3" w:rsidRDefault="00990E59" w:rsidP="006D7371">
            <w:pPr>
              <w:jc w:val="center"/>
              <w:rPr>
                <w:rFonts w:ascii="Times New Roman" w:hAnsi="Times New Roman" w:cs="Times New Roman"/>
                <w:lang w:val="en-US"/>
              </w:rPr>
            </w:pPr>
            <w:r w:rsidRPr="00C531F3">
              <w:rPr>
                <w:rFonts w:ascii="Times New Roman" w:hAnsi="Times New Roman" w:cs="Times New Roman"/>
                <w:lang w:val="en-US"/>
              </w:rPr>
              <w:t>Supported</w:t>
            </w:r>
          </w:p>
        </w:tc>
      </w:tr>
      <w:tr w:rsidR="00990E59" w:rsidRPr="00C531F3" w14:paraId="0448DCE0" w14:textId="77777777" w:rsidTr="006D7371">
        <w:trPr>
          <w:jc w:val="center"/>
        </w:trPr>
        <w:tc>
          <w:tcPr>
            <w:tcW w:w="1427" w:type="dxa"/>
            <w:tcBorders>
              <w:top w:val="nil"/>
            </w:tcBorders>
            <w:hideMark/>
          </w:tcPr>
          <w:p w14:paraId="170FE03C" w14:textId="77777777" w:rsidR="00990E59" w:rsidRPr="00C531F3" w:rsidRDefault="00990E59" w:rsidP="00D02F04">
            <w:pPr>
              <w:jc w:val="both"/>
              <w:rPr>
                <w:rFonts w:ascii="Times New Roman" w:hAnsi="Times New Roman" w:cs="Times New Roman"/>
                <w:lang w:val="en-US"/>
              </w:rPr>
            </w:pPr>
            <w:r w:rsidRPr="00C531F3">
              <w:rPr>
                <w:rFonts w:ascii="Times New Roman" w:hAnsi="Times New Roman" w:cs="Times New Roman"/>
                <w:lang w:val="en-US"/>
              </w:rPr>
              <w:t>H3</w:t>
            </w:r>
          </w:p>
        </w:tc>
        <w:tc>
          <w:tcPr>
            <w:tcW w:w="1550" w:type="dxa"/>
            <w:tcBorders>
              <w:top w:val="nil"/>
            </w:tcBorders>
            <w:hideMark/>
          </w:tcPr>
          <w:p w14:paraId="571A1398" w14:textId="77777777" w:rsidR="00990E59" w:rsidRPr="00C531F3" w:rsidRDefault="00990E59" w:rsidP="00D02F04">
            <w:pPr>
              <w:jc w:val="both"/>
              <w:rPr>
                <w:rFonts w:ascii="Times New Roman" w:hAnsi="Times New Roman" w:cs="Times New Roman"/>
                <w:lang w:val="en-US"/>
              </w:rPr>
            </w:pPr>
            <w:r w:rsidRPr="00C531F3">
              <w:rPr>
                <w:rFonts w:ascii="Times New Roman" w:hAnsi="Times New Roman" w:cs="Times New Roman"/>
                <w:lang w:val="en-US"/>
              </w:rPr>
              <w:t>CU → DTP</w:t>
            </w:r>
          </w:p>
        </w:tc>
        <w:tc>
          <w:tcPr>
            <w:tcW w:w="1274" w:type="dxa"/>
            <w:tcBorders>
              <w:top w:val="nil"/>
            </w:tcBorders>
            <w:hideMark/>
          </w:tcPr>
          <w:p w14:paraId="1E6E9818" w14:textId="77777777" w:rsidR="00990E59" w:rsidRPr="00C531F3" w:rsidRDefault="00990E59" w:rsidP="006D7371">
            <w:pPr>
              <w:jc w:val="center"/>
              <w:rPr>
                <w:rFonts w:ascii="Times New Roman" w:hAnsi="Times New Roman" w:cs="Times New Roman"/>
                <w:lang w:val="en-US"/>
              </w:rPr>
            </w:pPr>
            <w:r w:rsidRPr="00C531F3">
              <w:rPr>
                <w:rFonts w:ascii="Times New Roman" w:hAnsi="Times New Roman" w:cs="Times New Roman"/>
                <w:lang w:val="en-US"/>
              </w:rPr>
              <w:t>.482</w:t>
            </w:r>
          </w:p>
        </w:tc>
        <w:tc>
          <w:tcPr>
            <w:tcW w:w="1274" w:type="dxa"/>
            <w:tcBorders>
              <w:top w:val="nil"/>
            </w:tcBorders>
            <w:hideMark/>
          </w:tcPr>
          <w:p w14:paraId="13CD9D73" w14:textId="77777777" w:rsidR="00990E59" w:rsidRPr="00C531F3" w:rsidRDefault="00990E59" w:rsidP="006D7371">
            <w:pPr>
              <w:jc w:val="center"/>
              <w:rPr>
                <w:rFonts w:ascii="Times New Roman" w:hAnsi="Times New Roman" w:cs="Times New Roman"/>
                <w:lang w:val="en-US"/>
              </w:rPr>
            </w:pPr>
            <w:r w:rsidRPr="00C531F3">
              <w:rPr>
                <w:rFonts w:ascii="Times New Roman" w:hAnsi="Times New Roman" w:cs="Times New Roman"/>
                <w:lang w:val="en-US"/>
              </w:rPr>
              <w:t>.055</w:t>
            </w:r>
          </w:p>
        </w:tc>
        <w:tc>
          <w:tcPr>
            <w:tcW w:w="1274" w:type="dxa"/>
            <w:tcBorders>
              <w:top w:val="nil"/>
            </w:tcBorders>
            <w:hideMark/>
          </w:tcPr>
          <w:p w14:paraId="521DF841" w14:textId="77777777" w:rsidR="00990E59" w:rsidRPr="00C531F3" w:rsidRDefault="00990E59" w:rsidP="006D7371">
            <w:pPr>
              <w:jc w:val="center"/>
              <w:rPr>
                <w:rFonts w:ascii="Times New Roman" w:hAnsi="Times New Roman" w:cs="Times New Roman"/>
                <w:lang w:val="en-US"/>
              </w:rPr>
            </w:pPr>
            <w:r w:rsidRPr="00C531F3">
              <w:rPr>
                <w:rFonts w:ascii="Times New Roman" w:hAnsi="Times New Roman" w:cs="Times New Roman"/>
                <w:lang w:val="en-US"/>
              </w:rPr>
              <w:t>8.763</w:t>
            </w:r>
          </w:p>
        </w:tc>
        <w:tc>
          <w:tcPr>
            <w:tcW w:w="1274" w:type="dxa"/>
            <w:tcBorders>
              <w:top w:val="nil"/>
            </w:tcBorders>
            <w:hideMark/>
          </w:tcPr>
          <w:p w14:paraId="62C9A749" w14:textId="77777777" w:rsidR="00990E59" w:rsidRPr="00C531F3" w:rsidRDefault="00990E59" w:rsidP="006D7371">
            <w:pPr>
              <w:jc w:val="center"/>
              <w:rPr>
                <w:rFonts w:ascii="Times New Roman" w:hAnsi="Times New Roman" w:cs="Times New Roman"/>
                <w:lang w:val="en-US"/>
              </w:rPr>
            </w:pPr>
            <w:r w:rsidRPr="00C531F3">
              <w:rPr>
                <w:rFonts w:ascii="Times New Roman" w:hAnsi="Times New Roman" w:cs="Times New Roman"/>
                <w:lang w:val="en-US"/>
              </w:rPr>
              <w:t>&lt; .001</w:t>
            </w:r>
          </w:p>
        </w:tc>
        <w:tc>
          <w:tcPr>
            <w:tcW w:w="1275" w:type="dxa"/>
            <w:tcBorders>
              <w:top w:val="nil"/>
            </w:tcBorders>
            <w:hideMark/>
          </w:tcPr>
          <w:p w14:paraId="6D2374E8" w14:textId="77777777" w:rsidR="00990E59" w:rsidRPr="00C531F3" w:rsidRDefault="00990E59" w:rsidP="006D7371">
            <w:pPr>
              <w:jc w:val="center"/>
              <w:rPr>
                <w:rFonts w:ascii="Times New Roman" w:hAnsi="Times New Roman" w:cs="Times New Roman"/>
                <w:lang w:val="en-US"/>
              </w:rPr>
            </w:pPr>
            <w:r w:rsidRPr="00C531F3">
              <w:rPr>
                <w:rFonts w:ascii="Times New Roman" w:hAnsi="Times New Roman" w:cs="Times New Roman"/>
                <w:lang w:val="en-US"/>
              </w:rPr>
              <w:t>Supported</w:t>
            </w:r>
          </w:p>
        </w:tc>
      </w:tr>
    </w:tbl>
    <w:p w14:paraId="49B8D3D7" w14:textId="77777777" w:rsidR="00990E59" w:rsidRPr="00C531F3" w:rsidRDefault="00990E59" w:rsidP="00C21873">
      <w:pPr>
        <w:spacing w:before="240" w:after="240" w:line="240" w:lineRule="auto"/>
        <w:ind w:firstLine="709"/>
        <w:jc w:val="both"/>
        <w:rPr>
          <w:rFonts w:ascii="Times New Roman" w:hAnsi="Times New Roman" w:cs="Times New Roman"/>
          <w:lang w:val="en-US"/>
        </w:rPr>
      </w:pPr>
      <w:r w:rsidRPr="00C531F3">
        <w:rPr>
          <w:rFonts w:ascii="Times New Roman" w:hAnsi="Times New Roman" w:cs="Times New Roman"/>
          <w:lang w:val="en-US"/>
        </w:rPr>
        <w:t xml:space="preserve">Bootstrapped mediation analysis confirmed a significant indirect effect of Digital Readiness on Digital Transformation Preparedness through Cognitive Unlearning (β = .299, SE = .042, 95% CI [.221, .385]). Because both the direct and indirect effects were significant, the mediation was partial, supporting H4. Figure 1 </w:t>
      </w:r>
      <w:proofErr w:type="spellStart"/>
      <w:r w:rsidRPr="00C531F3">
        <w:rPr>
          <w:rFonts w:ascii="Times New Roman" w:hAnsi="Times New Roman" w:cs="Times New Roman"/>
          <w:lang w:val="en-US"/>
        </w:rPr>
        <w:t>summarises</w:t>
      </w:r>
      <w:proofErr w:type="spellEnd"/>
      <w:r w:rsidRPr="00C531F3">
        <w:rPr>
          <w:rFonts w:ascii="Times New Roman" w:hAnsi="Times New Roman" w:cs="Times New Roman"/>
          <w:lang w:val="en-US"/>
        </w:rPr>
        <w:t xml:space="preserve"> the structural relations and mediation pathway.</w:t>
      </w:r>
    </w:p>
    <w:p w14:paraId="2E85C43A" w14:textId="77777777" w:rsidR="00313636" w:rsidRPr="00C531F3" w:rsidRDefault="00313636" w:rsidP="00313636">
      <w:pPr>
        <w:spacing w:after="0" w:line="240" w:lineRule="auto"/>
        <w:jc w:val="center"/>
        <w:rPr>
          <w:rFonts w:ascii="Times New Roman" w:hAnsi="Times New Roman" w:cs="Times New Roman"/>
          <w:lang w:val="en-US"/>
        </w:rPr>
      </w:pPr>
      <w:r w:rsidRPr="00C531F3">
        <w:rPr>
          <w:rFonts w:ascii="Times New Roman" w:hAnsi="Times New Roman" w:cs="Times New Roman"/>
          <w:noProof/>
        </w:rPr>
        <w:drawing>
          <wp:inline distT="0" distB="0" distL="0" distR="0" wp14:anchorId="273FD914" wp14:editId="5F41A839">
            <wp:extent cx="4950829" cy="2238451"/>
            <wp:effectExtent l="0" t="0" r="2540" b="0"/>
            <wp:docPr id="1067815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6947" cy="2268345"/>
                    </a:xfrm>
                    <a:prstGeom prst="rect">
                      <a:avLst/>
                    </a:prstGeom>
                    <a:noFill/>
                    <a:ln>
                      <a:noFill/>
                    </a:ln>
                  </pic:spPr>
                </pic:pic>
              </a:graphicData>
            </a:graphic>
          </wp:inline>
        </w:drawing>
      </w:r>
    </w:p>
    <w:p w14:paraId="5CC5B1B8" w14:textId="77777777" w:rsidR="00313636" w:rsidRPr="00C531F3" w:rsidRDefault="00313636" w:rsidP="00313636">
      <w:pPr>
        <w:spacing w:after="0" w:line="240" w:lineRule="auto"/>
        <w:jc w:val="center"/>
        <w:rPr>
          <w:rFonts w:ascii="Times New Roman" w:hAnsi="Times New Roman" w:cs="Times New Roman"/>
          <w:lang w:val="en-US"/>
        </w:rPr>
      </w:pPr>
      <w:r w:rsidRPr="00C531F3">
        <w:rPr>
          <w:rFonts w:ascii="Times New Roman" w:hAnsi="Times New Roman" w:cs="Times New Roman"/>
          <w:lang w:val="en-US"/>
        </w:rPr>
        <w:t>Figure 1. Structural Model Results</w:t>
      </w:r>
    </w:p>
    <w:p w14:paraId="03EDEB0A" w14:textId="38622900" w:rsidR="001A6529" w:rsidRPr="00C531F3" w:rsidRDefault="001A6529" w:rsidP="00C21873">
      <w:pPr>
        <w:spacing w:before="240" w:after="240" w:line="240" w:lineRule="auto"/>
        <w:ind w:firstLine="720"/>
        <w:jc w:val="both"/>
        <w:rPr>
          <w:rFonts w:ascii="Times New Roman" w:hAnsi="Times New Roman" w:cs="Times New Roman"/>
          <w:lang w:val="en-US"/>
        </w:rPr>
      </w:pPr>
      <w:r w:rsidRPr="00C531F3">
        <w:rPr>
          <w:rFonts w:ascii="Times New Roman" w:hAnsi="Times New Roman" w:cs="Times New Roman"/>
          <w:lang w:val="en-US"/>
        </w:rPr>
        <w:t>The</w:t>
      </w:r>
      <w:r w:rsidR="00EA72A8" w:rsidRPr="00C531F3">
        <w:rPr>
          <w:rFonts w:ascii="Times New Roman" w:hAnsi="Times New Roman" w:cs="Times New Roman"/>
          <w:lang w:val="en-US"/>
        </w:rPr>
        <w:t xml:space="preserve"> </w:t>
      </w:r>
      <w:r w:rsidR="00515298" w:rsidRPr="00C531F3">
        <w:rPr>
          <w:rFonts w:ascii="Times New Roman" w:hAnsi="Times New Roman" w:cs="Times New Roman"/>
        </w:rPr>
        <w:t>model</w:t>
      </w:r>
      <w:r w:rsidR="00EA72A8" w:rsidRPr="00C531F3">
        <w:rPr>
          <w:rFonts w:ascii="Times New Roman" w:hAnsi="Times New Roman" w:cs="Times New Roman"/>
        </w:rPr>
        <w:t xml:space="preserve"> </w:t>
      </w:r>
      <w:r w:rsidR="00515298" w:rsidRPr="00C531F3">
        <w:rPr>
          <w:rFonts w:ascii="Times New Roman" w:hAnsi="Times New Roman" w:cs="Times New Roman"/>
        </w:rPr>
        <w:t>explained</w:t>
      </w:r>
      <w:r w:rsidR="00EA72A8" w:rsidRPr="00C531F3">
        <w:rPr>
          <w:rFonts w:ascii="Times New Roman" w:hAnsi="Times New Roman" w:cs="Times New Roman"/>
        </w:rPr>
        <w:t xml:space="preserve"> </w:t>
      </w:r>
      <w:r w:rsidR="00515298" w:rsidRPr="00C531F3">
        <w:rPr>
          <w:rFonts w:ascii="Times New Roman" w:hAnsi="Times New Roman" w:cs="Times New Roman"/>
        </w:rPr>
        <w:t>38.6%</w:t>
      </w:r>
      <w:r w:rsidR="00EA72A8" w:rsidRPr="00C531F3">
        <w:rPr>
          <w:rFonts w:ascii="Times New Roman" w:hAnsi="Times New Roman" w:cs="Times New Roman"/>
        </w:rPr>
        <w:t xml:space="preserve"> </w:t>
      </w:r>
      <w:r w:rsidR="00515298" w:rsidRPr="00C531F3">
        <w:rPr>
          <w:rFonts w:ascii="Times New Roman" w:hAnsi="Times New Roman" w:cs="Times New Roman"/>
        </w:rPr>
        <w:t>of</w:t>
      </w:r>
      <w:r w:rsidR="00EA72A8" w:rsidRPr="00C531F3">
        <w:rPr>
          <w:rFonts w:ascii="Times New Roman" w:hAnsi="Times New Roman" w:cs="Times New Roman"/>
        </w:rPr>
        <w:t xml:space="preserve"> </w:t>
      </w:r>
      <w:r w:rsidR="00515298" w:rsidRPr="00C531F3">
        <w:rPr>
          <w:rFonts w:ascii="Times New Roman" w:hAnsi="Times New Roman" w:cs="Times New Roman"/>
        </w:rPr>
        <w:t>the</w:t>
      </w:r>
      <w:r w:rsidR="00EA72A8" w:rsidRPr="00C531F3">
        <w:rPr>
          <w:rFonts w:ascii="Times New Roman" w:hAnsi="Times New Roman" w:cs="Times New Roman"/>
        </w:rPr>
        <w:t xml:space="preserve"> </w:t>
      </w:r>
      <w:r w:rsidR="00515298" w:rsidRPr="00C531F3">
        <w:rPr>
          <w:rFonts w:ascii="Times New Roman" w:hAnsi="Times New Roman" w:cs="Times New Roman"/>
        </w:rPr>
        <w:t>variance</w:t>
      </w:r>
      <w:r w:rsidR="00EA72A8" w:rsidRPr="00C531F3">
        <w:rPr>
          <w:rFonts w:ascii="Times New Roman" w:hAnsi="Times New Roman" w:cs="Times New Roman"/>
        </w:rPr>
        <w:t xml:space="preserve"> </w:t>
      </w:r>
      <w:r w:rsidR="00515298" w:rsidRPr="00C531F3">
        <w:rPr>
          <w:rFonts w:ascii="Times New Roman" w:hAnsi="Times New Roman" w:cs="Times New Roman"/>
        </w:rPr>
        <w:t>in</w:t>
      </w:r>
      <w:r w:rsidR="00EA72A8" w:rsidRPr="00C531F3">
        <w:rPr>
          <w:rFonts w:ascii="Times New Roman" w:hAnsi="Times New Roman" w:cs="Times New Roman"/>
        </w:rPr>
        <w:t xml:space="preserve"> </w:t>
      </w:r>
      <w:r w:rsidR="00515298" w:rsidRPr="00C531F3">
        <w:rPr>
          <w:rFonts w:ascii="Times New Roman" w:hAnsi="Times New Roman" w:cs="Times New Roman"/>
        </w:rPr>
        <w:t>Cognitive</w:t>
      </w:r>
      <w:r w:rsidR="00EA72A8" w:rsidRPr="00C531F3">
        <w:rPr>
          <w:rFonts w:ascii="Times New Roman" w:hAnsi="Times New Roman" w:cs="Times New Roman"/>
        </w:rPr>
        <w:t xml:space="preserve"> </w:t>
      </w:r>
      <w:r w:rsidR="00515298" w:rsidRPr="00C531F3">
        <w:rPr>
          <w:rFonts w:ascii="Times New Roman" w:hAnsi="Times New Roman" w:cs="Times New Roman"/>
        </w:rPr>
        <w:t>Unlearning</w:t>
      </w:r>
      <w:r w:rsidR="00EA72A8" w:rsidRPr="00C531F3">
        <w:rPr>
          <w:rFonts w:ascii="Times New Roman" w:hAnsi="Times New Roman" w:cs="Times New Roman"/>
        </w:rPr>
        <w:t xml:space="preserve"> </w:t>
      </w:r>
      <w:r w:rsidR="00515298" w:rsidRPr="00C531F3">
        <w:rPr>
          <w:rFonts w:ascii="Times New Roman" w:hAnsi="Times New Roman" w:cs="Times New Roman"/>
        </w:rPr>
        <w:t>(R²</w:t>
      </w:r>
      <w:r w:rsidR="00EA72A8" w:rsidRPr="00C531F3">
        <w:rPr>
          <w:rFonts w:ascii="Times New Roman" w:hAnsi="Times New Roman" w:cs="Times New Roman"/>
        </w:rPr>
        <w:t xml:space="preserve"> </w:t>
      </w:r>
      <w:r w:rsidR="00515298" w:rsidRPr="00C531F3">
        <w:rPr>
          <w:rFonts w:ascii="Times New Roman" w:hAnsi="Times New Roman" w:cs="Times New Roman"/>
        </w:rPr>
        <w:t>=</w:t>
      </w:r>
      <w:r w:rsidR="00EA72A8" w:rsidRPr="00C531F3">
        <w:rPr>
          <w:rFonts w:ascii="Times New Roman" w:hAnsi="Times New Roman" w:cs="Times New Roman"/>
        </w:rPr>
        <w:t xml:space="preserve"> </w:t>
      </w:r>
      <w:r w:rsidR="00515298" w:rsidRPr="00C531F3">
        <w:rPr>
          <w:rFonts w:ascii="Times New Roman" w:hAnsi="Times New Roman" w:cs="Times New Roman"/>
        </w:rPr>
        <w:t>.386)</w:t>
      </w:r>
      <w:r w:rsidR="00EA72A8" w:rsidRPr="00C531F3">
        <w:rPr>
          <w:rFonts w:ascii="Times New Roman" w:hAnsi="Times New Roman" w:cs="Times New Roman"/>
        </w:rPr>
        <w:t xml:space="preserve"> </w:t>
      </w:r>
      <w:r w:rsidR="00515298" w:rsidRPr="00C531F3">
        <w:rPr>
          <w:rFonts w:ascii="Times New Roman" w:hAnsi="Times New Roman" w:cs="Times New Roman"/>
        </w:rPr>
        <w:t>and</w:t>
      </w:r>
      <w:r w:rsidR="00EA72A8" w:rsidRPr="00C531F3">
        <w:rPr>
          <w:rFonts w:ascii="Times New Roman" w:hAnsi="Times New Roman" w:cs="Times New Roman"/>
        </w:rPr>
        <w:t xml:space="preserve"> </w:t>
      </w:r>
      <w:r w:rsidR="00515298" w:rsidRPr="00C531F3">
        <w:rPr>
          <w:rFonts w:ascii="Times New Roman" w:hAnsi="Times New Roman" w:cs="Times New Roman"/>
        </w:rPr>
        <w:t>52.4%</w:t>
      </w:r>
      <w:r w:rsidR="00EA72A8" w:rsidRPr="00C531F3">
        <w:rPr>
          <w:rFonts w:ascii="Times New Roman" w:hAnsi="Times New Roman" w:cs="Times New Roman"/>
        </w:rPr>
        <w:t xml:space="preserve"> </w:t>
      </w:r>
      <w:r w:rsidR="00515298" w:rsidRPr="00C531F3">
        <w:rPr>
          <w:rFonts w:ascii="Times New Roman" w:hAnsi="Times New Roman" w:cs="Times New Roman"/>
        </w:rPr>
        <w:t>of</w:t>
      </w:r>
      <w:r w:rsidR="00EA72A8" w:rsidRPr="00C531F3">
        <w:rPr>
          <w:rFonts w:ascii="Times New Roman" w:hAnsi="Times New Roman" w:cs="Times New Roman"/>
        </w:rPr>
        <w:t xml:space="preserve"> </w:t>
      </w:r>
      <w:r w:rsidR="00515298" w:rsidRPr="00C531F3">
        <w:rPr>
          <w:rFonts w:ascii="Times New Roman" w:hAnsi="Times New Roman" w:cs="Times New Roman"/>
        </w:rPr>
        <w:t>the</w:t>
      </w:r>
      <w:r w:rsidR="00EA72A8" w:rsidRPr="00C531F3">
        <w:rPr>
          <w:rFonts w:ascii="Times New Roman" w:hAnsi="Times New Roman" w:cs="Times New Roman"/>
        </w:rPr>
        <w:t xml:space="preserve"> </w:t>
      </w:r>
      <w:r w:rsidR="00515298" w:rsidRPr="00C531F3">
        <w:rPr>
          <w:rFonts w:ascii="Times New Roman" w:hAnsi="Times New Roman" w:cs="Times New Roman"/>
        </w:rPr>
        <w:t>variance</w:t>
      </w:r>
      <w:r w:rsidR="00EA72A8" w:rsidRPr="00C531F3">
        <w:rPr>
          <w:rFonts w:ascii="Times New Roman" w:hAnsi="Times New Roman" w:cs="Times New Roman"/>
        </w:rPr>
        <w:t xml:space="preserve"> </w:t>
      </w:r>
      <w:r w:rsidR="00515298" w:rsidRPr="00C531F3">
        <w:rPr>
          <w:rFonts w:ascii="Times New Roman" w:hAnsi="Times New Roman" w:cs="Times New Roman"/>
        </w:rPr>
        <w:t>in</w:t>
      </w:r>
      <w:r w:rsidR="00EA72A8" w:rsidRPr="00C531F3">
        <w:rPr>
          <w:rFonts w:ascii="Times New Roman" w:hAnsi="Times New Roman" w:cs="Times New Roman"/>
        </w:rPr>
        <w:t xml:space="preserve"> </w:t>
      </w:r>
      <w:r w:rsidR="00515298" w:rsidRPr="00C531F3">
        <w:rPr>
          <w:rFonts w:ascii="Times New Roman" w:hAnsi="Times New Roman" w:cs="Times New Roman"/>
        </w:rPr>
        <w:t>Digital</w:t>
      </w:r>
      <w:r w:rsidR="00EA72A8" w:rsidRPr="00C531F3">
        <w:rPr>
          <w:rFonts w:ascii="Times New Roman" w:hAnsi="Times New Roman" w:cs="Times New Roman"/>
        </w:rPr>
        <w:t xml:space="preserve"> </w:t>
      </w:r>
      <w:r w:rsidR="00515298" w:rsidRPr="00C531F3">
        <w:rPr>
          <w:rFonts w:ascii="Times New Roman" w:hAnsi="Times New Roman" w:cs="Times New Roman"/>
        </w:rPr>
        <w:t>Transformation</w:t>
      </w:r>
      <w:r w:rsidR="00EA72A8" w:rsidRPr="00C531F3">
        <w:rPr>
          <w:rFonts w:ascii="Times New Roman" w:hAnsi="Times New Roman" w:cs="Times New Roman"/>
        </w:rPr>
        <w:t xml:space="preserve"> </w:t>
      </w:r>
      <w:r w:rsidR="00515298" w:rsidRPr="00C531F3">
        <w:rPr>
          <w:rFonts w:ascii="Times New Roman" w:hAnsi="Times New Roman" w:cs="Times New Roman"/>
        </w:rPr>
        <w:t>Preparedness</w:t>
      </w:r>
      <w:r w:rsidR="00EA72A8" w:rsidRPr="00C531F3">
        <w:rPr>
          <w:rFonts w:ascii="Times New Roman" w:hAnsi="Times New Roman" w:cs="Times New Roman"/>
        </w:rPr>
        <w:t xml:space="preserve"> </w:t>
      </w:r>
      <w:r w:rsidR="00515298" w:rsidRPr="00C531F3">
        <w:rPr>
          <w:rFonts w:ascii="Times New Roman" w:hAnsi="Times New Roman" w:cs="Times New Roman"/>
        </w:rPr>
        <w:t>(R²</w:t>
      </w:r>
      <w:r w:rsidR="00EA72A8" w:rsidRPr="00C531F3">
        <w:rPr>
          <w:rFonts w:ascii="Times New Roman" w:hAnsi="Times New Roman" w:cs="Times New Roman"/>
        </w:rPr>
        <w:t xml:space="preserve"> </w:t>
      </w:r>
      <w:r w:rsidR="00515298" w:rsidRPr="00C531F3">
        <w:rPr>
          <w:rFonts w:ascii="Times New Roman" w:hAnsi="Times New Roman" w:cs="Times New Roman"/>
        </w:rPr>
        <w:t>=</w:t>
      </w:r>
      <w:r w:rsidR="00EA72A8" w:rsidRPr="00C531F3">
        <w:rPr>
          <w:rFonts w:ascii="Times New Roman" w:hAnsi="Times New Roman" w:cs="Times New Roman"/>
        </w:rPr>
        <w:t xml:space="preserve"> </w:t>
      </w:r>
      <w:r w:rsidR="00515298" w:rsidRPr="00C531F3">
        <w:rPr>
          <w:rFonts w:ascii="Times New Roman" w:hAnsi="Times New Roman" w:cs="Times New Roman"/>
        </w:rPr>
        <w:t>.524).</w:t>
      </w:r>
    </w:p>
    <w:p w14:paraId="31CAA93A" w14:textId="14515BED" w:rsidR="00DB491B" w:rsidRPr="00C531F3" w:rsidRDefault="001341A4" w:rsidP="00C21873">
      <w:pPr>
        <w:pStyle w:val="Heading2"/>
        <w:spacing w:before="240" w:after="240" w:line="240" w:lineRule="auto"/>
        <w:ind w:left="709" w:hanging="709"/>
        <w:jc w:val="both"/>
        <w:rPr>
          <w:rFonts w:ascii="Times New Roman" w:hAnsi="Times New Roman" w:cs="Times New Roman"/>
          <w:b/>
          <w:bCs/>
          <w:color w:val="auto"/>
          <w:sz w:val="24"/>
          <w:szCs w:val="24"/>
          <w:lang w:val="en-US"/>
        </w:rPr>
      </w:pPr>
      <w:r w:rsidRPr="00C531F3">
        <w:rPr>
          <w:rFonts w:ascii="Times New Roman" w:hAnsi="Times New Roman" w:cs="Times New Roman"/>
          <w:b/>
          <w:bCs/>
          <w:color w:val="auto"/>
          <w:sz w:val="24"/>
          <w:szCs w:val="24"/>
          <w:lang w:val="en-US"/>
        </w:rPr>
        <w:lastRenderedPageBreak/>
        <w:t>Robustness</w:t>
      </w:r>
      <w:r w:rsidR="00EA72A8" w:rsidRPr="00C531F3">
        <w:rPr>
          <w:rFonts w:ascii="Times New Roman" w:hAnsi="Times New Roman" w:cs="Times New Roman"/>
          <w:b/>
          <w:bCs/>
          <w:color w:val="auto"/>
          <w:sz w:val="24"/>
          <w:szCs w:val="24"/>
          <w:lang w:val="en-US"/>
        </w:rPr>
        <w:t xml:space="preserve"> </w:t>
      </w:r>
      <w:r w:rsidRPr="00C531F3">
        <w:rPr>
          <w:rFonts w:ascii="Times New Roman" w:hAnsi="Times New Roman" w:cs="Times New Roman"/>
          <w:b/>
          <w:bCs/>
          <w:color w:val="auto"/>
          <w:sz w:val="24"/>
          <w:szCs w:val="24"/>
          <w:lang w:val="en-US"/>
        </w:rPr>
        <w:t>and</w:t>
      </w:r>
      <w:r w:rsidR="00EA72A8" w:rsidRPr="00C531F3">
        <w:rPr>
          <w:rFonts w:ascii="Times New Roman" w:hAnsi="Times New Roman" w:cs="Times New Roman"/>
          <w:b/>
          <w:bCs/>
          <w:color w:val="auto"/>
          <w:sz w:val="24"/>
          <w:szCs w:val="24"/>
          <w:lang w:val="en-US"/>
        </w:rPr>
        <w:t xml:space="preserve"> </w:t>
      </w:r>
      <w:r w:rsidRPr="00C531F3">
        <w:rPr>
          <w:rFonts w:ascii="Times New Roman" w:hAnsi="Times New Roman" w:cs="Times New Roman"/>
          <w:b/>
          <w:bCs/>
          <w:color w:val="auto"/>
          <w:sz w:val="24"/>
          <w:szCs w:val="24"/>
          <w:lang w:val="en-US"/>
        </w:rPr>
        <w:t>Additional</w:t>
      </w:r>
      <w:r w:rsidR="00EA72A8" w:rsidRPr="00C531F3">
        <w:rPr>
          <w:rFonts w:ascii="Times New Roman" w:hAnsi="Times New Roman" w:cs="Times New Roman"/>
          <w:b/>
          <w:bCs/>
          <w:color w:val="auto"/>
          <w:sz w:val="24"/>
          <w:szCs w:val="24"/>
          <w:lang w:val="en-US"/>
        </w:rPr>
        <w:t xml:space="preserve"> </w:t>
      </w:r>
      <w:r w:rsidRPr="00C531F3">
        <w:rPr>
          <w:rFonts w:ascii="Times New Roman" w:hAnsi="Times New Roman" w:cs="Times New Roman"/>
          <w:b/>
          <w:bCs/>
          <w:color w:val="auto"/>
          <w:sz w:val="24"/>
          <w:szCs w:val="24"/>
          <w:lang w:val="en-US"/>
        </w:rPr>
        <w:t>Analyses</w:t>
      </w:r>
    </w:p>
    <w:p w14:paraId="697BDBC2" w14:textId="58D851C0" w:rsidR="00DB491B" w:rsidRPr="00C531F3" w:rsidRDefault="00EA57EC" w:rsidP="00C21873">
      <w:pPr>
        <w:spacing w:before="240" w:after="240" w:line="240" w:lineRule="auto"/>
        <w:ind w:firstLine="709"/>
        <w:jc w:val="both"/>
        <w:rPr>
          <w:rFonts w:ascii="Times New Roman" w:hAnsi="Times New Roman" w:cs="Times New Roman"/>
        </w:rPr>
      </w:pPr>
      <w:r w:rsidRPr="00C531F3">
        <w:rPr>
          <w:rFonts w:ascii="Times New Roman" w:hAnsi="Times New Roman" w:cs="Times New Roman"/>
        </w:rPr>
        <w:t xml:space="preserve">Robustness tests reinforced the main findings. Multi-group </w:t>
      </w:r>
      <w:r w:rsidR="00026E19" w:rsidRPr="00C531F3">
        <w:rPr>
          <w:rFonts w:ascii="Times New Roman" w:hAnsi="Times New Roman" w:cs="Times New Roman"/>
        </w:rPr>
        <w:t>analysis (</w:t>
      </w:r>
      <w:r w:rsidR="004D57E5" w:rsidRPr="00C531F3">
        <w:rPr>
          <w:rFonts w:ascii="Times New Roman" w:hAnsi="Times New Roman" w:cs="Times New Roman"/>
        </w:rPr>
        <w:t>Table 4</w:t>
      </w:r>
      <w:r w:rsidR="00026E19" w:rsidRPr="00C531F3">
        <w:rPr>
          <w:rFonts w:ascii="Times New Roman" w:hAnsi="Times New Roman" w:cs="Times New Roman"/>
        </w:rPr>
        <w:t>) showed</w:t>
      </w:r>
      <w:r w:rsidRPr="00C531F3">
        <w:rPr>
          <w:rFonts w:ascii="Times New Roman" w:hAnsi="Times New Roman" w:cs="Times New Roman"/>
        </w:rPr>
        <w:t xml:space="preserve"> that the path from Cognitive Unlearning to Digital Transformation Preparedness was stronger in Federal institutions than in State institutions (Δβ = .14, p = .032), while the Digital Readiness → Cognitive Unlearning path did not differ significantly between groups (Δβ = .04, p = .425). Model comparison </w:t>
      </w:r>
      <w:r w:rsidR="004D57E5" w:rsidRPr="00C531F3">
        <w:rPr>
          <w:rFonts w:ascii="Times New Roman" w:hAnsi="Times New Roman" w:cs="Times New Roman"/>
        </w:rPr>
        <w:t xml:space="preserve">(Table 5) </w:t>
      </w:r>
      <w:r w:rsidRPr="00C531F3">
        <w:rPr>
          <w:rFonts w:ascii="Times New Roman" w:hAnsi="Times New Roman" w:cs="Times New Roman"/>
        </w:rPr>
        <w:t>also favoured the proposed mediation model over the two alternatives, with the lowest information criteria and the best fit indices (AIC = 4250; BIC = 4410; CFI = .96; RMSEA = .054).</w:t>
      </w:r>
    </w:p>
    <w:p w14:paraId="55FFAAA0" w14:textId="7C9A73AD" w:rsidR="001A6529" w:rsidRPr="00C531F3" w:rsidRDefault="001A6529" w:rsidP="00B53B7E">
      <w:pPr>
        <w:spacing w:after="0" w:line="240" w:lineRule="auto"/>
        <w:jc w:val="center"/>
        <w:rPr>
          <w:rFonts w:ascii="Times New Roman" w:hAnsi="Times New Roman" w:cs="Times New Roman"/>
          <w:lang w:val="en-US"/>
        </w:rPr>
      </w:pPr>
      <w:r w:rsidRPr="00C531F3">
        <w:rPr>
          <w:rFonts w:ascii="Times New Roman" w:hAnsi="Times New Roman" w:cs="Times New Roman"/>
          <w:lang w:val="en-US"/>
        </w:rPr>
        <w:t>Table</w:t>
      </w:r>
      <w:r w:rsidR="00EA72A8" w:rsidRPr="00C531F3">
        <w:rPr>
          <w:rFonts w:ascii="Times New Roman" w:hAnsi="Times New Roman" w:cs="Times New Roman"/>
          <w:lang w:val="en-US"/>
        </w:rPr>
        <w:t xml:space="preserve"> </w:t>
      </w:r>
      <w:r w:rsidR="004D57E5" w:rsidRPr="00C531F3">
        <w:rPr>
          <w:rFonts w:ascii="Times New Roman" w:hAnsi="Times New Roman" w:cs="Times New Roman"/>
          <w:lang w:val="en-US"/>
        </w:rPr>
        <w:t>4</w:t>
      </w:r>
      <w:r w:rsidR="00B53B7E" w:rsidRPr="00C531F3">
        <w:rPr>
          <w:rFonts w:ascii="Times New Roman" w:hAnsi="Times New Roman" w:cs="Times New Roman"/>
          <w:lang w:val="en-US"/>
        </w:rPr>
        <w:t>.</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Multi-Group</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Structural</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Comparisons</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(Federal</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vs.</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State)</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696"/>
        <w:gridCol w:w="1424"/>
        <w:gridCol w:w="1323"/>
        <w:gridCol w:w="1323"/>
        <w:gridCol w:w="1323"/>
      </w:tblGrid>
      <w:tr w:rsidR="001A6529" w:rsidRPr="00C531F3" w14:paraId="442EEE26" w14:textId="77777777" w:rsidTr="000A7DA8">
        <w:trPr>
          <w:jc w:val="center"/>
        </w:trPr>
        <w:tc>
          <w:tcPr>
            <w:tcW w:w="1696" w:type="dxa"/>
            <w:tcBorders>
              <w:bottom w:val="single" w:sz="4" w:space="0" w:color="auto"/>
            </w:tcBorders>
            <w:hideMark/>
          </w:tcPr>
          <w:p w14:paraId="4C41A4CD" w14:textId="77777777" w:rsidR="001A6529" w:rsidRPr="00C531F3" w:rsidRDefault="001A6529" w:rsidP="001A6529">
            <w:pPr>
              <w:jc w:val="both"/>
              <w:rPr>
                <w:rFonts w:ascii="Times New Roman" w:hAnsi="Times New Roman" w:cs="Times New Roman"/>
                <w:b/>
                <w:bCs/>
                <w:lang w:val="en-US"/>
              </w:rPr>
            </w:pPr>
            <w:r w:rsidRPr="00C531F3">
              <w:rPr>
                <w:rFonts w:ascii="Times New Roman" w:hAnsi="Times New Roman" w:cs="Times New Roman"/>
                <w:b/>
                <w:bCs/>
                <w:lang w:val="en-US"/>
              </w:rPr>
              <w:t>Path</w:t>
            </w:r>
          </w:p>
        </w:tc>
        <w:tc>
          <w:tcPr>
            <w:tcW w:w="1424" w:type="dxa"/>
            <w:tcBorders>
              <w:bottom w:val="single" w:sz="4" w:space="0" w:color="auto"/>
            </w:tcBorders>
            <w:hideMark/>
          </w:tcPr>
          <w:p w14:paraId="0D5C1CCD" w14:textId="7678222E" w:rsidR="001A6529" w:rsidRPr="00C531F3" w:rsidRDefault="001A6529" w:rsidP="00B53B7E">
            <w:pPr>
              <w:jc w:val="center"/>
              <w:rPr>
                <w:rFonts w:ascii="Times New Roman" w:hAnsi="Times New Roman" w:cs="Times New Roman"/>
                <w:b/>
                <w:bCs/>
                <w:lang w:val="en-US"/>
              </w:rPr>
            </w:pPr>
            <w:r w:rsidRPr="00C531F3">
              <w:rPr>
                <w:rFonts w:ascii="Times New Roman" w:hAnsi="Times New Roman" w:cs="Times New Roman"/>
                <w:b/>
                <w:bCs/>
                <w:lang w:val="en-US"/>
              </w:rPr>
              <w:t>Federal</w:t>
            </w:r>
            <w:r w:rsidR="00EA72A8" w:rsidRPr="00C531F3">
              <w:rPr>
                <w:rFonts w:ascii="Times New Roman" w:hAnsi="Times New Roman" w:cs="Times New Roman"/>
                <w:b/>
                <w:bCs/>
                <w:lang w:val="en-US"/>
              </w:rPr>
              <w:t xml:space="preserve"> </w:t>
            </w:r>
            <w:r w:rsidRPr="00C531F3">
              <w:rPr>
                <w:rFonts w:ascii="Times New Roman" w:hAnsi="Times New Roman" w:cs="Times New Roman"/>
                <w:b/>
                <w:bCs/>
                <w:lang w:val="en-US"/>
              </w:rPr>
              <w:t>(</w:t>
            </w:r>
            <w:r w:rsidR="00122C51" w:rsidRPr="00C531F3">
              <w:rPr>
                <w:rFonts w:ascii="Times New Roman" w:hAnsi="Times New Roman" w:cs="Times New Roman"/>
                <w:b/>
                <w:bCs/>
                <w:i/>
                <w:iCs/>
                <w:lang w:val="en-US"/>
              </w:rPr>
              <w:t>β</w:t>
            </w:r>
            <w:r w:rsidRPr="00C531F3">
              <w:rPr>
                <w:rFonts w:ascii="Times New Roman" w:hAnsi="Times New Roman" w:cs="Times New Roman"/>
                <w:b/>
                <w:bCs/>
                <w:lang w:val="en-US"/>
              </w:rPr>
              <w:t>)</w:t>
            </w:r>
          </w:p>
        </w:tc>
        <w:tc>
          <w:tcPr>
            <w:tcW w:w="1323" w:type="dxa"/>
            <w:tcBorders>
              <w:bottom w:val="single" w:sz="4" w:space="0" w:color="auto"/>
            </w:tcBorders>
            <w:hideMark/>
          </w:tcPr>
          <w:p w14:paraId="21C98D29" w14:textId="75614EC6" w:rsidR="001A6529" w:rsidRPr="00C531F3" w:rsidRDefault="001A6529" w:rsidP="00B53B7E">
            <w:pPr>
              <w:jc w:val="center"/>
              <w:rPr>
                <w:rFonts w:ascii="Times New Roman" w:hAnsi="Times New Roman" w:cs="Times New Roman"/>
                <w:b/>
                <w:bCs/>
                <w:lang w:val="en-US"/>
              </w:rPr>
            </w:pPr>
            <w:r w:rsidRPr="00C531F3">
              <w:rPr>
                <w:rFonts w:ascii="Times New Roman" w:hAnsi="Times New Roman" w:cs="Times New Roman"/>
                <w:b/>
                <w:bCs/>
                <w:lang w:val="en-US"/>
              </w:rPr>
              <w:t>State</w:t>
            </w:r>
            <w:r w:rsidR="00EA72A8" w:rsidRPr="00C531F3">
              <w:rPr>
                <w:rFonts w:ascii="Times New Roman" w:hAnsi="Times New Roman" w:cs="Times New Roman"/>
                <w:b/>
                <w:bCs/>
                <w:lang w:val="en-US"/>
              </w:rPr>
              <w:t xml:space="preserve"> </w:t>
            </w:r>
            <w:r w:rsidRPr="00C531F3">
              <w:rPr>
                <w:rFonts w:ascii="Times New Roman" w:hAnsi="Times New Roman" w:cs="Times New Roman"/>
                <w:b/>
                <w:bCs/>
                <w:lang w:val="en-US"/>
              </w:rPr>
              <w:t>(</w:t>
            </w:r>
            <w:r w:rsidR="00122C51" w:rsidRPr="00C531F3">
              <w:rPr>
                <w:rFonts w:ascii="Times New Roman" w:hAnsi="Times New Roman" w:cs="Times New Roman"/>
                <w:b/>
                <w:bCs/>
                <w:i/>
                <w:iCs/>
                <w:lang w:val="en-US"/>
              </w:rPr>
              <w:t>β</w:t>
            </w:r>
            <w:r w:rsidRPr="00C531F3">
              <w:rPr>
                <w:rFonts w:ascii="Times New Roman" w:hAnsi="Times New Roman" w:cs="Times New Roman"/>
                <w:b/>
                <w:bCs/>
                <w:lang w:val="en-US"/>
              </w:rPr>
              <w:t>)</w:t>
            </w:r>
          </w:p>
        </w:tc>
        <w:tc>
          <w:tcPr>
            <w:tcW w:w="1323" w:type="dxa"/>
            <w:tcBorders>
              <w:bottom w:val="single" w:sz="4" w:space="0" w:color="auto"/>
            </w:tcBorders>
            <w:hideMark/>
          </w:tcPr>
          <w:p w14:paraId="4C392992" w14:textId="04BAFA86" w:rsidR="001A6529" w:rsidRPr="00C531F3" w:rsidRDefault="001A6529" w:rsidP="00B53B7E">
            <w:pPr>
              <w:jc w:val="center"/>
              <w:rPr>
                <w:rFonts w:ascii="Times New Roman" w:hAnsi="Times New Roman" w:cs="Times New Roman"/>
                <w:b/>
                <w:bCs/>
                <w:lang w:val="en-US"/>
              </w:rPr>
            </w:pPr>
            <w:r w:rsidRPr="00C531F3">
              <w:rPr>
                <w:rFonts w:ascii="Times New Roman" w:hAnsi="Times New Roman" w:cs="Times New Roman"/>
                <w:b/>
                <w:bCs/>
                <w:lang w:val="en-US"/>
              </w:rPr>
              <w:t>Δ</w:t>
            </w:r>
            <w:r w:rsidR="00122C51" w:rsidRPr="00C531F3">
              <w:rPr>
                <w:rFonts w:ascii="Times New Roman" w:hAnsi="Times New Roman" w:cs="Times New Roman"/>
                <w:b/>
                <w:bCs/>
                <w:i/>
                <w:iCs/>
                <w:lang w:val="en-US"/>
              </w:rPr>
              <w:t>β</w:t>
            </w:r>
          </w:p>
        </w:tc>
        <w:tc>
          <w:tcPr>
            <w:tcW w:w="1323" w:type="dxa"/>
            <w:tcBorders>
              <w:bottom w:val="single" w:sz="4" w:space="0" w:color="auto"/>
            </w:tcBorders>
            <w:hideMark/>
          </w:tcPr>
          <w:p w14:paraId="47FCB169" w14:textId="77777777" w:rsidR="001A6529" w:rsidRPr="00C531F3" w:rsidRDefault="001A6529" w:rsidP="00B53B7E">
            <w:pPr>
              <w:jc w:val="center"/>
              <w:rPr>
                <w:rFonts w:ascii="Times New Roman" w:hAnsi="Times New Roman" w:cs="Times New Roman"/>
                <w:b/>
                <w:bCs/>
                <w:lang w:val="en-US"/>
              </w:rPr>
            </w:pPr>
            <w:r w:rsidRPr="00C531F3">
              <w:rPr>
                <w:rFonts w:ascii="Times New Roman" w:hAnsi="Times New Roman" w:cs="Times New Roman"/>
                <w:b/>
                <w:bCs/>
                <w:lang w:val="en-US"/>
              </w:rPr>
              <w:t>p-value</w:t>
            </w:r>
          </w:p>
        </w:tc>
      </w:tr>
      <w:tr w:rsidR="001A6529" w:rsidRPr="00C531F3" w14:paraId="3B1A33C3" w14:textId="77777777" w:rsidTr="000A7DA8">
        <w:trPr>
          <w:jc w:val="center"/>
        </w:trPr>
        <w:tc>
          <w:tcPr>
            <w:tcW w:w="1696" w:type="dxa"/>
            <w:tcBorders>
              <w:bottom w:val="nil"/>
            </w:tcBorders>
            <w:hideMark/>
          </w:tcPr>
          <w:p w14:paraId="5772FBF3" w14:textId="360CC69B" w:rsidR="001A6529" w:rsidRPr="00C531F3" w:rsidRDefault="001A6529" w:rsidP="001A6529">
            <w:pPr>
              <w:jc w:val="both"/>
              <w:rPr>
                <w:rFonts w:ascii="Times New Roman" w:hAnsi="Times New Roman" w:cs="Times New Roman"/>
                <w:lang w:val="en-US"/>
              </w:rPr>
            </w:pPr>
            <w:r w:rsidRPr="00C531F3">
              <w:rPr>
                <w:rFonts w:ascii="Times New Roman" w:hAnsi="Times New Roman" w:cs="Times New Roman"/>
                <w:lang w:val="en-US"/>
              </w:rPr>
              <w:t>DR</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CU</w:t>
            </w:r>
          </w:p>
        </w:tc>
        <w:tc>
          <w:tcPr>
            <w:tcW w:w="1424" w:type="dxa"/>
            <w:tcBorders>
              <w:bottom w:val="nil"/>
            </w:tcBorders>
            <w:hideMark/>
          </w:tcPr>
          <w:p w14:paraId="71387270" w14:textId="77777777" w:rsidR="001A6529" w:rsidRPr="00C531F3" w:rsidRDefault="001A6529" w:rsidP="00B53B7E">
            <w:pPr>
              <w:jc w:val="center"/>
              <w:rPr>
                <w:rFonts w:ascii="Times New Roman" w:hAnsi="Times New Roman" w:cs="Times New Roman"/>
                <w:lang w:val="en-US"/>
              </w:rPr>
            </w:pPr>
            <w:r w:rsidRPr="00C531F3">
              <w:rPr>
                <w:rFonts w:ascii="Times New Roman" w:hAnsi="Times New Roman" w:cs="Times New Roman"/>
                <w:lang w:val="en-US"/>
              </w:rPr>
              <w:t>.64</w:t>
            </w:r>
          </w:p>
        </w:tc>
        <w:tc>
          <w:tcPr>
            <w:tcW w:w="1323" w:type="dxa"/>
            <w:tcBorders>
              <w:bottom w:val="nil"/>
            </w:tcBorders>
            <w:hideMark/>
          </w:tcPr>
          <w:p w14:paraId="1D8B38BD" w14:textId="77777777" w:rsidR="001A6529" w:rsidRPr="00C531F3" w:rsidRDefault="001A6529" w:rsidP="00B53B7E">
            <w:pPr>
              <w:jc w:val="center"/>
              <w:rPr>
                <w:rFonts w:ascii="Times New Roman" w:hAnsi="Times New Roman" w:cs="Times New Roman"/>
                <w:lang w:val="en-US"/>
              </w:rPr>
            </w:pPr>
            <w:r w:rsidRPr="00C531F3">
              <w:rPr>
                <w:rFonts w:ascii="Times New Roman" w:hAnsi="Times New Roman" w:cs="Times New Roman"/>
                <w:lang w:val="en-US"/>
              </w:rPr>
              <w:t>.60</w:t>
            </w:r>
          </w:p>
        </w:tc>
        <w:tc>
          <w:tcPr>
            <w:tcW w:w="1323" w:type="dxa"/>
            <w:tcBorders>
              <w:bottom w:val="nil"/>
            </w:tcBorders>
            <w:hideMark/>
          </w:tcPr>
          <w:p w14:paraId="010C5C7E" w14:textId="77777777" w:rsidR="001A6529" w:rsidRPr="00C531F3" w:rsidRDefault="001A6529" w:rsidP="00B53B7E">
            <w:pPr>
              <w:jc w:val="center"/>
              <w:rPr>
                <w:rFonts w:ascii="Times New Roman" w:hAnsi="Times New Roman" w:cs="Times New Roman"/>
                <w:lang w:val="en-US"/>
              </w:rPr>
            </w:pPr>
            <w:r w:rsidRPr="00C531F3">
              <w:rPr>
                <w:rFonts w:ascii="Times New Roman" w:hAnsi="Times New Roman" w:cs="Times New Roman"/>
                <w:lang w:val="en-US"/>
              </w:rPr>
              <w:t>.04</w:t>
            </w:r>
          </w:p>
        </w:tc>
        <w:tc>
          <w:tcPr>
            <w:tcW w:w="1323" w:type="dxa"/>
            <w:tcBorders>
              <w:bottom w:val="nil"/>
            </w:tcBorders>
            <w:hideMark/>
          </w:tcPr>
          <w:p w14:paraId="5244F93B" w14:textId="77777777" w:rsidR="001A6529" w:rsidRPr="00C531F3" w:rsidRDefault="001A6529" w:rsidP="00B53B7E">
            <w:pPr>
              <w:jc w:val="center"/>
              <w:rPr>
                <w:rFonts w:ascii="Times New Roman" w:hAnsi="Times New Roman" w:cs="Times New Roman"/>
                <w:lang w:val="en-US"/>
              </w:rPr>
            </w:pPr>
            <w:r w:rsidRPr="00C531F3">
              <w:rPr>
                <w:rFonts w:ascii="Times New Roman" w:hAnsi="Times New Roman" w:cs="Times New Roman"/>
                <w:lang w:val="en-US"/>
              </w:rPr>
              <w:t>.425</w:t>
            </w:r>
          </w:p>
        </w:tc>
      </w:tr>
      <w:tr w:rsidR="001A6529" w:rsidRPr="00C531F3" w14:paraId="349AB625" w14:textId="77777777" w:rsidTr="000A7DA8">
        <w:trPr>
          <w:jc w:val="center"/>
        </w:trPr>
        <w:tc>
          <w:tcPr>
            <w:tcW w:w="1696" w:type="dxa"/>
            <w:tcBorders>
              <w:top w:val="nil"/>
            </w:tcBorders>
            <w:hideMark/>
          </w:tcPr>
          <w:p w14:paraId="77409149" w14:textId="55EE7C0A" w:rsidR="001A6529" w:rsidRPr="00C531F3" w:rsidRDefault="001A6529" w:rsidP="001A6529">
            <w:pPr>
              <w:jc w:val="both"/>
              <w:rPr>
                <w:rFonts w:ascii="Times New Roman" w:hAnsi="Times New Roman" w:cs="Times New Roman"/>
                <w:lang w:val="en-US"/>
              </w:rPr>
            </w:pPr>
            <w:r w:rsidRPr="00C531F3">
              <w:rPr>
                <w:rFonts w:ascii="Times New Roman" w:hAnsi="Times New Roman" w:cs="Times New Roman"/>
                <w:lang w:val="en-US"/>
              </w:rPr>
              <w:t>CU</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DTP</w:t>
            </w:r>
          </w:p>
        </w:tc>
        <w:tc>
          <w:tcPr>
            <w:tcW w:w="1424" w:type="dxa"/>
            <w:tcBorders>
              <w:top w:val="nil"/>
            </w:tcBorders>
            <w:hideMark/>
          </w:tcPr>
          <w:p w14:paraId="0312885F" w14:textId="77777777" w:rsidR="001A6529" w:rsidRPr="00C531F3" w:rsidRDefault="001A6529" w:rsidP="00B53B7E">
            <w:pPr>
              <w:jc w:val="center"/>
              <w:rPr>
                <w:rFonts w:ascii="Times New Roman" w:hAnsi="Times New Roman" w:cs="Times New Roman"/>
                <w:lang w:val="en-US"/>
              </w:rPr>
            </w:pPr>
            <w:r w:rsidRPr="00C531F3">
              <w:rPr>
                <w:rFonts w:ascii="Times New Roman" w:hAnsi="Times New Roman" w:cs="Times New Roman"/>
                <w:lang w:val="en-US"/>
              </w:rPr>
              <w:t>.55</w:t>
            </w:r>
          </w:p>
        </w:tc>
        <w:tc>
          <w:tcPr>
            <w:tcW w:w="1323" w:type="dxa"/>
            <w:tcBorders>
              <w:top w:val="nil"/>
            </w:tcBorders>
            <w:hideMark/>
          </w:tcPr>
          <w:p w14:paraId="790658E2" w14:textId="77777777" w:rsidR="001A6529" w:rsidRPr="00C531F3" w:rsidRDefault="001A6529" w:rsidP="00B53B7E">
            <w:pPr>
              <w:jc w:val="center"/>
              <w:rPr>
                <w:rFonts w:ascii="Times New Roman" w:hAnsi="Times New Roman" w:cs="Times New Roman"/>
                <w:lang w:val="en-US"/>
              </w:rPr>
            </w:pPr>
            <w:r w:rsidRPr="00C531F3">
              <w:rPr>
                <w:rFonts w:ascii="Times New Roman" w:hAnsi="Times New Roman" w:cs="Times New Roman"/>
                <w:lang w:val="en-US"/>
              </w:rPr>
              <w:t>.41</w:t>
            </w:r>
          </w:p>
        </w:tc>
        <w:tc>
          <w:tcPr>
            <w:tcW w:w="1323" w:type="dxa"/>
            <w:tcBorders>
              <w:top w:val="nil"/>
            </w:tcBorders>
            <w:hideMark/>
          </w:tcPr>
          <w:p w14:paraId="038CD509" w14:textId="77777777" w:rsidR="001A6529" w:rsidRPr="00C531F3" w:rsidRDefault="001A6529" w:rsidP="00B53B7E">
            <w:pPr>
              <w:jc w:val="center"/>
              <w:rPr>
                <w:rFonts w:ascii="Times New Roman" w:hAnsi="Times New Roman" w:cs="Times New Roman"/>
                <w:lang w:val="en-US"/>
              </w:rPr>
            </w:pPr>
            <w:r w:rsidRPr="00C531F3">
              <w:rPr>
                <w:rFonts w:ascii="Times New Roman" w:hAnsi="Times New Roman" w:cs="Times New Roman"/>
                <w:lang w:val="en-US"/>
              </w:rPr>
              <w:t>.14</w:t>
            </w:r>
          </w:p>
        </w:tc>
        <w:tc>
          <w:tcPr>
            <w:tcW w:w="1323" w:type="dxa"/>
            <w:tcBorders>
              <w:top w:val="nil"/>
            </w:tcBorders>
            <w:hideMark/>
          </w:tcPr>
          <w:p w14:paraId="4CD57949" w14:textId="77777777" w:rsidR="001A6529" w:rsidRPr="00C531F3" w:rsidRDefault="001A6529" w:rsidP="00B53B7E">
            <w:pPr>
              <w:jc w:val="center"/>
              <w:rPr>
                <w:rFonts w:ascii="Times New Roman" w:hAnsi="Times New Roman" w:cs="Times New Roman"/>
                <w:lang w:val="en-US"/>
              </w:rPr>
            </w:pPr>
            <w:r w:rsidRPr="00C531F3">
              <w:rPr>
                <w:rFonts w:ascii="Times New Roman" w:hAnsi="Times New Roman" w:cs="Times New Roman"/>
                <w:lang w:val="en-US"/>
              </w:rPr>
              <w:t>.032</w:t>
            </w:r>
          </w:p>
        </w:tc>
      </w:tr>
    </w:tbl>
    <w:p w14:paraId="35DC4F75" w14:textId="67C01193" w:rsidR="001A6529" w:rsidRPr="00C531F3" w:rsidRDefault="001A6529" w:rsidP="00477A65">
      <w:pPr>
        <w:spacing w:before="240" w:after="0" w:line="240" w:lineRule="auto"/>
        <w:jc w:val="center"/>
        <w:rPr>
          <w:rFonts w:ascii="Times New Roman" w:hAnsi="Times New Roman" w:cs="Times New Roman"/>
          <w:lang w:val="en-US"/>
        </w:rPr>
      </w:pPr>
      <w:r w:rsidRPr="00C531F3">
        <w:rPr>
          <w:rFonts w:ascii="Times New Roman" w:hAnsi="Times New Roman" w:cs="Times New Roman"/>
          <w:lang w:val="en-US"/>
        </w:rPr>
        <w:t>Table</w:t>
      </w:r>
      <w:r w:rsidR="00EA72A8" w:rsidRPr="00C531F3">
        <w:rPr>
          <w:rFonts w:ascii="Times New Roman" w:hAnsi="Times New Roman" w:cs="Times New Roman"/>
          <w:lang w:val="en-US"/>
        </w:rPr>
        <w:t xml:space="preserve"> </w:t>
      </w:r>
      <w:r w:rsidR="004D57E5" w:rsidRPr="00C531F3">
        <w:rPr>
          <w:rFonts w:ascii="Times New Roman" w:hAnsi="Times New Roman" w:cs="Times New Roman"/>
          <w:lang w:val="en-US"/>
        </w:rPr>
        <w:t>5</w:t>
      </w:r>
      <w:r w:rsidR="00B53B7E" w:rsidRPr="00C531F3">
        <w:rPr>
          <w:rFonts w:ascii="Times New Roman" w:hAnsi="Times New Roman" w:cs="Times New Roman"/>
          <w:lang w:val="en-US"/>
        </w:rPr>
        <w:t>.</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Comparison</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of</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Competing</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Models</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3156"/>
        <w:gridCol w:w="1229"/>
        <w:gridCol w:w="1230"/>
        <w:gridCol w:w="1230"/>
        <w:gridCol w:w="1230"/>
        <w:gridCol w:w="1230"/>
        <w:gridCol w:w="1388"/>
      </w:tblGrid>
      <w:tr w:rsidR="001A6529" w:rsidRPr="00C531F3" w14:paraId="4CA96A8C" w14:textId="77777777" w:rsidTr="00477A65">
        <w:trPr>
          <w:jc w:val="center"/>
        </w:trPr>
        <w:tc>
          <w:tcPr>
            <w:tcW w:w="1476" w:type="pct"/>
            <w:tcBorders>
              <w:bottom w:val="single" w:sz="4" w:space="0" w:color="auto"/>
            </w:tcBorders>
            <w:hideMark/>
          </w:tcPr>
          <w:p w14:paraId="5FE1127E" w14:textId="77777777" w:rsidR="001A6529" w:rsidRPr="00C531F3" w:rsidRDefault="001A6529" w:rsidP="001A6529">
            <w:pPr>
              <w:jc w:val="both"/>
              <w:rPr>
                <w:rFonts w:ascii="Times New Roman" w:hAnsi="Times New Roman" w:cs="Times New Roman"/>
                <w:b/>
                <w:bCs/>
                <w:lang w:val="en-US"/>
              </w:rPr>
            </w:pPr>
            <w:r w:rsidRPr="00C531F3">
              <w:rPr>
                <w:rFonts w:ascii="Times New Roman" w:hAnsi="Times New Roman" w:cs="Times New Roman"/>
                <w:b/>
                <w:bCs/>
                <w:lang w:val="en-US"/>
              </w:rPr>
              <w:t>Model</w:t>
            </w:r>
          </w:p>
        </w:tc>
        <w:tc>
          <w:tcPr>
            <w:tcW w:w="575" w:type="pct"/>
            <w:tcBorders>
              <w:bottom w:val="single" w:sz="4" w:space="0" w:color="auto"/>
            </w:tcBorders>
            <w:hideMark/>
          </w:tcPr>
          <w:p w14:paraId="588F678E" w14:textId="77777777" w:rsidR="001A6529" w:rsidRPr="00C531F3" w:rsidRDefault="001A6529" w:rsidP="00EA57EC">
            <w:pPr>
              <w:jc w:val="center"/>
              <w:rPr>
                <w:rFonts w:ascii="Times New Roman" w:hAnsi="Times New Roman" w:cs="Times New Roman"/>
                <w:b/>
                <w:bCs/>
                <w:lang w:val="en-US"/>
              </w:rPr>
            </w:pPr>
            <w:r w:rsidRPr="00C531F3">
              <w:rPr>
                <w:rFonts w:ascii="Times New Roman" w:hAnsi="Times New Roman" w:cs="Times New Roman"/>
                <w:b/>
                <w:bCs/>
                <w:lang w:val="en-US"/>
              </w:rPr>
              <w:t>χ²</w:t>
            </w:r>
          </w:p>
        </w:tc>
        <w:tc>
          <w:tcPr>
            <w:tcW w:w="575" w:type="pct"/>
            <w:tcBorders>
              <w:bottom w:val="single" w:sz="4" w:space="0" w:color="auto"/>
            </w:tcBorders>
            <w:hideMark/>
          </w:tcPr>
          <w:p w14:paraId="10848F20" w14:textId="77777777" w:rsidR="001A6529" w:rsidRPr="00A103D7" w:rsidRDefault="001A6529" w:rsidP="00EA57EC">
            <w:pPr>
              <w:jc w:val="center"/>
              <w:rPr>
                <w:rFonts w:ascii="Times New Roman" w:hAnsi="Times New Roman" w:cs="Times New Roman"/>
                <w:b/>
                <w:bCs/>
                <w:i/>
                <w:iCs/>
                <w:lang w:val="en-US"/>
              </w:rPr>
            </w:pPr>
            <w:proofErr w:type="spellStart"/>
            <w:r w:rsidRPr="00A103D7">
              <w:rPr>
                <w:rFonts w:ascii="Times New Roman" w:hAnsi="Times New Roman" w:cs="Times New Roman"/>
                <w:b/>
                <w:bCs/>
                <w:i/>
                <w:iCs/>
                <w:lang w:val="en-US"/>
              </w:rPr>
              <w:t>df</w:t>
            </w:r>
            <w:proofErr w:type="spellEnd"/>
          </w:p>
        </w:tc>
        <w:tc>
          <w:tcPr>
            <w:tcW w:w="575" w:type="pct"/>
            <w:tcBorders>
              <w:bottom w:val="single" w:sz="4" w:space="0" w:color="auto"/>
            </w:tcBorders>
            <w:hideMark/>
          </w:tcPr>
          <w:p w14:paraId="48737E9D" w14:textId="77777777" w:rsidR="001A6529" w:rsidRPr="00C531F3" w:rsidRDefault="001A6529" w:rsidP="00EA57EC">
            <w:pPr>
              <w:jc w:val="center"/>
              <w:rPr>
                <w:rFonts w:ascii="Times New Roman" w:hAnsi="Times New Roman" w:cs="Times New Roman"/>
                <w:b/>
                <w:bCs/>
                <w:lang w:val="en-US"/>
              </w:rPr>
            </w:pPr>
            <w:r w:rsidRPr="00C531F3">
              <w:rPr>
                <w:rFonts w:ascii="Times New Roman" w:hAnsi="Times New Roman" w:cs="Times New Roman"/>
                <w:b/>
                <w:bCs/>
                <w:lang w:val="en-US"/>
              </w:rPr>
              <w:t>AIC</w:t>
            </w:r>
          </w:p>
        </w:tc>
        <w:tc>
          <w:tcPr>
            <w:tcW w:w="575" w:type="pct"/>
            <w:tcBorders>
              <w:bottom w:val="single" w:sz="4" w:space="0" w:color="auto"/>
            </w:tcBorders>
            <w:hideMark/>
          </w:tcPr>
          <w:p w14:paraId="11CD2B86" w14:textId="77777777" w:rsidR="001A6529" w:rsidRPr="00C531F3" w:rsidRDefault="001A6529" w:rsidP="00EA57EC">
            <w:pPr>
              <w:jc w:val="center"/>
              <w:rPr>
                <w:rFonts w:ascii="Times New Roman" w:hAnsi="Times New Roman" w:cs="Times New Roman"/>
                <w:b/>
                <w:bCs/>
                <w:lang w:val="en-US"/>
              </w:rPr>
            </w:pPr>
            <w:r w:rsidRPr="00C531F3">
              <w:rPr>
                <w:rFonts w:ascii="Times New Roman" w:hAnsi="Times New Roman" w:cs="Times New Roman"/>
                <w:b/>
                <w:bCs/>
                <w:lang w:val="en-US"/>
              </w:rPr>
              <w:t>BIC</w:t>
            </w:r>
          </w:p>
        </w:tc>
        <w:tc>
          <w:tcPr>
            <w:tcW w:w="575" w:type="pct"/>
            <w:tcBorders>
              <w:bottom w:val="single" w:sz="4" w:space="0" w:color="auto"/>
            </w:tcBorders>
            <w:hideMark/>
          </w:tcPr>
          <w:p w14:paraId="070B6908" w14:textId="77777777" w:rsidR="001A6529" w:rsidRPr="00C531F3" w:rsidRDefault="001A6529" w:rsidP="00EA57EC">
            <w:pPr>
              <w:jc w:val="center"/>
              <w:rPr>
                <w:rFonts w:ascii="Times New Roman" w:hAnsi="Times New Roman" w:cs="Times New Roman"/>
                <w:b/>
                <w:bCs/>
                <w:lang w:val="en-US"/>
              </w:rPr>
            </w:pPr>
            <w:r w:rsidRPr="00C531F3">
              <w:rPr>
                <w:rFonts w:ascii="Times New Roman" w:hAnsi="Times New Roman" w:cs="Times New Roman"/>
                <w:b/>
                <w:bCs/>
                <w:lang w:val="en-US"/>
              </w:rPr>
              <w:t>CFI</w:t>
            </w:r>
          </w:p>
        </w:tc>
        <w:tc>
          <w:tcPr>
            <w:tcW w:w="651" w:type="pct"/>
            <w:tcBorders>
              <w:bottom w:val="single" w:sz="4" w:space="0" w:color="auto"/>
            </w:tcBorders>
            <w:hideMark/>
          </w:tcPr>
          <w:p w14:paraId="5BC917F8" w14:textId="77777777" w:rsidR="001A6529" w:rsidRPr="00C531F3" w:rsidRDefault="001A6529" w:rsidP="00EA57EC">
            <w:pPr>
              <w:jc w:val="center"/>
              <w:rPr>
                <w:rFonts w:ascii="Times New Roman" w:hAnsi="Times New Roman" w:cs="Times New Roman"/>
                <w:b/>
                <w:bCs/>
                <w:lang w:val="en-US"/>
              </w:rPr>
            </w:pPr>
            <w:r w:rsidRPr="00C531F3">
              <w:rPr>
                <w:rFonts w:ascii="Times New Roman" w:hAnsi="Times New Roman" w:cs="Times New Roman"/>
                <w:b/>
                <w:bCs/>
                <w:lang w:val="en-US"/>
              </w:rPr>
              <w:t>RMSEA</w:t>
            </w:r>
          </w:p>
        </w:tc>
      </w:tr>
      <w:tr w:rsidR="001A6529" w:rsidRPr="00C531F3" w14:paraId="3EFF4366" w14:textId="77777777" w:rsidTr="00477A65">
        <w:trPr>
          <w:jc w:val="center"/>
        </w:trPr>
        <w:tc>
          <w:tcPr>
            <w:tcW w:w="1476" w:type="pct"/>
            <w:tcBorders>
              <w:bottom w:val="nil"/>
            </w:tcBorders>
            <w:hideMark/>
          </w:tcPr>
          <w:p w14:paraId="1A695474" w14:textId="79965DEE" w:rsidR="001A6529" w:rsidRPr="00C531F3" w:rsidRDefault="001A6529" w:rsidP="001A6529">
            <w:pPr>
              <w:jc w:val="both"/>
              <w:rPr>
                <w:rFonts w:ascii="Times New Roman" w:hAnsi="Times New Roman" w:cs="Times New Roman"/>
                <w:lang w:val="en-US"/>
              </w:rPr>
            </w:pPr>
            <w:r w:rsidRPr="00C531F3">
              <w:rPr>
                <w:rFonts w:ascii="Times New Roman" w:hAnsi="Times New Roman" w:cs="Times New Roman"/>
                <w:lang w:val="en-US"/>
              </w:rPr>
              <w:t>Proposed</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(Mediation)</w:t>
            </w:r>
          </w:p>
        </w:tc>
        <w:tc>
          <w:tcPr>
            <w:tcW w:w="575" w:type="pct"/>
            <w:tcBorders>
              <w:bottom w:val="nil"/>
            </w:tcBorders>
            <w:hideMark/>
          </w:tcPr>
          <w:p w14:paraId="55D9A694" w14:textId="77777777" w:rsidR="001A6529" w:rsidRPr="00C531F3" w:rsidRDefault="001A6529" w:rsidP="00EA57EC">
            <w:pPr>
              <w:jc w:val="center"/>
              <w:rPr>
                <w:rFonts w:ascii="Times New Roman" w:hAnsi="Times New Roman" w:cs="Times New Roman"/>
                <w:lang w:val="en-US"/>
              </w:rPr>
            </w:pPr>
            <w:r w:rsidRPr="00C531F3">
              <w:rPr>
                <w:rFonts w:ascii="Times New Roman" w:hAnsi="Times New Roman" w:cs="Times New Roman"/>
                <w:lang w:val="en-US"/>
              </w:rPr>
              <w:t>242.4</w:t>
            </w:r>
          </w:p>
        </w:tc>
        <w:tc>
          <w:tcPr>
            <w:tcW w:w="575" w:type="pct"/>
            <w:tcBorders>
              <w:bottom w:val="nil"/>
            </w:tcBorders>
            <w:hideMark/>
          </w:tcPr>
          <w:p w14:paraId="19D85DB3" w14:textId="77777777" w:rsidR="001A6529" w:rsidRPr="00C531F3" w:rsidRDefault="001A6529" w:rsidP="00EA57EC">
            <w:pPr>
              <w:jc w:val="center"/>
              <w:rPr>
                <w:rFonts w:ascii="Times New Roman" w:hAnsi="Times New Roman" w:cs="Times New Roman"/>
                <w:lang w:val="en-US"/>
              </w:rPr>
            </w:pPr>
            <w:r w:rsidRPr="00C531F3">
              <w:rPr>
                <w:rFonts w:ascii="Times New Roman" w:hAnsi="Times New Roman" w:cs="Times New Roman"/>
                <w:lang w:val="en-US"/>
              </w:rPr>
              <w:t>114</w:t>
            </w:r>
          </w:p>
        </w:tc>
        <w:tc>
          <w:tcPr>
            <w:tcW w:w="575" w:type="pct"/>
            <w:tcBorders>
              <w:bottom w:val="nil"/>
            </w:tcBorders>
            <w:hideMark/>
          </w:tcPr>
          <w:p w14:paraId="1C8F5F04" w14:textId="77777777" w:rsidR="001A6529" w:rsidRPr="00C531F3" w:rsidRDefault="001A6529" w:rsidP="00EA57EC">
            <w:pPr>
              <w:jc w:val="center"/>
              <w:rPr>
                <w:rFonts w:ascii="Times New Roman" w:hAnsi="Times New Roman" w:cs="Times New Roman"/>
                <w:lang w:val="en-US"/>
              </w:rPr>
            </w:pPr>
            <w:r w:rsidRPr="00C531F3">
              <w:rPr>
                <w:rFonts w:ascii="Times New Roman" w:hAnsi="Times New Roman" w:cs="Times New Roman"/>
                <w:lang w:val="en-US"/>
              </w:rPr>
              <w:t>4250</w:t>
            </w:r>
          </w:p>
        </w:tc>
        <w:tc>
          <w:tcPr>
            <w:tcW w:w="575" w:type="pct"/>
            <w:tcBorders>
              <w:bottom w:val="nil"/>
            </w:tcBorders>
            <w:hideMark/>
          </w:tcPr>
          <w:p w14:paraId="433CDEC4" w14:textId="77777777" w:rsidR="001A6529" w:rsidRPr="00C531F3" w:rsidRDefault="001A6529" w:rsidP="00EA57EC">
            <w:pPr>
              <w:jc w:val="center"/>
              <w:rPr>
                <w:rFonts w:ascii="Times New Roman" w:hAnsi="Times New Roman" w:cs="Times New Roman"/>
                <w:lang w:val="en-US"/>
              </w:rPr>
            </w:pPr>
            <w:r w:rsidRPr="00C531F3">
              <w:rPr>
                <w:rFonts w:ascii="Times New Roman" w:hAnsi="Times New Roman" w:cs="Times New Roman"/>
                <w:lang w:val="en-US"/>
              </w:rPr>
              <w:t>4410</w:t>
            </w:r>
          </w:p>
        </w:tc>
        <w:tc>
          <w:tcPr>
            <w:tcW w:w="575" w:type="pct"/>
            <w:tcBorders>
              <w:bottom w:val="nil"/>
            </w:tcBorders>
            <w:hideMark/>
          </w:tcPr>
          <w:p w14:paraId="113AD588" w14:textId="77777777" w:rsidR="001A6529" w:rsidRPr="00C531F3" w:rsidRDefault="001A6529" w:rsidP="00EA57EC">
            <w:pPr>
              <w:jc w:val="center"/>
              <w:rPr>
                <w:rFonts w:ascii="Times New Roman" w:hAnsi="Times New Roman" w:cs="Times New Roman"/>
                <w:lang w:val="en-US"/>
              </w:rPr>
            </w:pPr>
            <w:r w:rsidRPr="00C531F3">
              <w:rPr>
                <w:rFonts w:ascii="Times New Roman" w:hAnsi="Times New Roman" w:cs="Times New Roman"/>
                <w:lang w:val="en-US"/>
              </w:rPr>
              <w:t>.96</w:t>
            </w:r>
          </w:p>
        </w:tc>
        <w:tc>
          <w:tcPr>
            <w:tcW w:w="651" w:type="pct"/>
            <w:tcBorders>
              <w:bottom w:val="nil"/>
            </w:tcBorders>
            <w:hideMark/>
          </w:tcPr>
          <w:p w14:paraId="191E6B18" w14:textId="77777777" w:rsidR="001A6529" w:rsidRPr="00C531F3" w:rsidRDefault="001A6529" w:rsidP="00EA57EC">
            <w:pPr>
              <w:jc w:val="center"/>
              <w:rPr>
                <w:rFonts w:ascii="Times New Roman" w:hAnsi="Times New Roman" w:cs="Times New Roman"/>
                <w:lang w:val="en-US"/>
              </w:rPr>
            </w:pPr>
            <w:r w:rsidRPr="00C531F3">
              <w:rPr>
                <w:rFonts w:ascii="Times New Roman" w:hAnsi="Times New Roman" w:cs="Times New Roman"/>
                <w:lang w:val="en-US"/>
              </w:rPr>
              <w:t>.054</w:t>
            </w:r>
          </w:p>
        </w:tc>
      </w:tr>
      <w:tr w:rsidR="001A6529" w:rsidRPr="00C531F3" w14:paraId="288F0F92" w14:textId="77777777" w:rsidTr="00477A65">
        <w:trPr>
          <w:jc w:val="center"/>
        </w:trPr>
        <w:tc>
          <w:tcPr>
            <w:tcW w:w="1476" w:type="pct"/>
            <w:tcBorders>
              <w:top w:val="nil"/>
              <w:bottom w:val="nil"/>
            </w:tcBorders>
            <w:hideMark/>
          </w:tcPr>
          <w:p w14:paraId="61C96510" w14:textId="0FB72A4E" w:rsidR="001A6529" w:rsidRPr="00C531F3" w:rsidRDefault="001A6529" w:rsidP="001A6529">
            <w:pPr>
              <w:jc w:val="both"/>
              <w:rPr>
                <w:rFonts w:ascii="Times New Roman" w:hAnsi="Times New Roman" w:cs="Times New Roman"/>
                <w:lang w:val="en-US"/>
              </w:rPr>
            </w:pPr>
            <w:r w:rsidRPr="00C531F3">
              <w:rPr>
                <w:rFonts w:ascii="Times New Roman" w:hAnsi="Times New Roman" w:cs="Times New Roman"/>
                <w:lang w:val="en-US"/>
              </w:rPr>
              <w:t>Direct-Effects</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Only</w:t>
            </w:r>
          </w:p>
        </w:tc>
        <w:tc>
          <w:tcPr>
            <w:tcW w:w="575" w:type="pct"/>
            <w:tcBorders>
              <w:top w:val="nil"/>
              <w:bottom w:val="nil"/>
            </w:tcBorders>
            <w:hideMark/>
          </w:tcPr>
          <w:p w14:paraId="0636FBD2" w14:textId="77777777" w:rsidR="001A6529" w:rsidRPr="00C531F3" w:rsidRDefault="001A6529" w:rsidP="00EA57EC">
            <w:pPr>
              <w:jc w:val="center"/>
              <w:rPr>
                <w:rFonts w:ascii="Times New Roman" w:hAnsi="Times New Roman" w:cs="Times New Roman"/>
                <w:lang w:val="en-US"/>
              </w:rPr>
            </w:pPr>
            <w:r w:rsidRPr="00C531F3">
              <w:rPr>
                <w:rFonts w:ascii="Times New Roman" w:hAnsi="Times New Roman" w:cs="Times New Roman"/>
                <w:lang w:val="en-US"/>
              </w:rPr>
              <w:t>385.2</w:t>
            </w:r>
          </w:p>
        </w:tc>
        <w:tc>
          <w:tcPr>
            <w:tcW w:w="575" w:type="pct"/>
            <w:tcBorders>
              <w:top w:val="nil"/>
              <w:bottom w:val="nil"/>
            </w:tcBorders>
            <w:hideMark/>
          </w:tcPr>
          <w:p w14:paraId="06675513" w14:textId="77777777" w:rsidR="001A6529" w:rsidRPr="00C531F3" w:rsidRDefault="001A6529" w:rsidP="00EA57EC">
            <w:pPr>
              <w:jc w:val="center"/>
              <w:rPr>
                <w:rFonts w:ascii="Times New Roman" w:hAnsi="Times New Roman" w:cs="Times New Roman"/>
                <w:lang w:val="en-US"/>
              </w:rPr>
            </w:pPr>
            <w:r w:rsidRPr="00C531F3">
              <w:rPr>
                <w:rFonts w:ascii="Times New Roman" w:hAnsi="Times New Roman" w:cs="Times New Roman"/>
                <w:lang w:val="en-US"/>
              </w:rPr>
              <w:t>116</w:t>
            </w:r>
          </w:p>
        </w:tc>
        <w:tc>
          <w:tcPr>
            <w:tcW w:w="575" w:type="pct"/>
            <w:tcBorders>
              <w:top w:val="nil"/>
              <w:bottom w:val="nil"/>
            </w:tcBorders>
            <w:hideMark/>
          </w:tcPr>
          <w:p w14:paraId="45376CB4" w14:textId="77777777" w:rsidR="001A6529" w:rsidRPr="00C531F3" w:rsidRDefault="001A6529" w:rsidP="00EA57EC">
            <w:pPr>
              <w:jc w:val="center"/>
              <w:rPr>
                <w:rFonts w:ascii="Times New Roman" w:hAnsi="Times New Roman" w:cs="Times New Roman"/>
                <w:lang w:val="en-US"/>
              </w:rPr>
            </w:pPr>
            <w:r w:rsidRPr="00C531F3">
              <w:rPr>
                <w:rFonts w:ascii="Times New Roman" w:hAnsi="Times New Roman" w:cs="Times New Roman"/>
                <w:lang w:val="en-US"/>
              </w:rPr>
              <w:t>4580</w:t>
            </w:r>
          </w:p>
        </w:tc>
        <w:tc>
          <w:tcPr>
            <w:tcW w:w="575" w:type="pct"/>
            <w:tcBorders>
              <w:top w:val="nil"/>
              <w:bottom w:val="nil"/>
            </w:tcBorders>
            <w:hideMark/>
          </w:tcPr>
          <w:p w14:paraId="7A521512" w14:textId="77777777" w:rsidR="001A6529" w:rsidRPr="00C531F3" w:rsidRDefault="001A6529" w:rsidP="00EA57EC">
            <w:pPr>
              <w:jc w:val="center"/>
              <w:rPr>
                <w:rFonts w:ascii="Times New Roman" w:hAnsi="Times New Roman" w:cs="Times New Roman"/>
                <w:lang w:val="en-US"/>
              </w:rPr>
            </w:pPr>
            <w:r w:rsidRPr="00C531F3">
              <w:rPr>
                <w:rFonts w:ascii="Times New Roman" w:hAnsi="Times New Roman" w:cs="Times New Roman"/>
                <w:lang w:val="en-US"/>
              </w:rPr>
              <w:t>4730</w:t>
            </w:r>
          </w:p>
        </w:tc>
        <w:tc>
          <w:tcPr>
            <w:tcW w:w="575" w:type="pct"/>
            <w:tcBorders>
              <w:top w:val="nil"/>
              <w:bottom w:val="nil"/>
            </w:tcBorders>
            <w:hideMark/>
          </w:tcPr>
          <w:p w14:paraId="39FF5205" w14:textId="77777777" w:rsidR="001A6529" w:rsidRPr="00C531F3" w:rsidRDefault="001A6529" w:rsidP="00EA57EC">
            <w:pPr>
              <w:jc w:val="center"/>
              <w:rPr>
                <w:rFonts w:ascii="Times New Roman" w:hAnsi="Times New Roman" w:cs="Times New Roman"/>
                <w:lang w:val="en-US"/>
              </w:rPr>
            </w:pPr>
            <w:r w:rsidRPr="00C531F3">
              <w:rPr>
                <w:rFonts w:ascii="Times New Roman" w:hAnsi="Times New Roman" w:cs="Times New Roman"/>
                <w:lang w:val="en-US"/>
              </w:rPr>
              <w:t>.88</w:t>
            </w:r>
          </w:p>
        </w:tc>
        <w:tc>
          <w:tcPr>
            <w:tcW w:w="651" w:type="pct"/>
            <w:tcBorders>
              <w:top w:val="nil"/>
              <w:bottom w:val="nil"/>
            </w:tcBorders>
            <w:hideMark/>
          </w:tcPr>
          <w:p w14:paraId="12FA54AC" w14:textId="77777777" w:rsidR="001A6529" w:rsidRPr="00C531F3" w:rsidRDefault="001A6529" w:rsidP="00EA57EC">
            <w:pPr>
              <w:jc w:val="center"/>
              <w:rPr>
                <w:rFonts w:ascii="Times New Roman" w:hAnsi="Times New Roman" w:cs="Times New Roman"/>
                <w:lang w:val="en-US"/>
              </w:rPr>
            </w:pPr>
            <w:r w:rsidRPr="00C531F3">
              <w:rPr>
                <w:rFonts w:ascii="Times New Roman" w:hAnsi="Times New Roman" w:cs="Times New Roman"/>
                <w:lang w:val="en-US"/>
              </w:rPr>
              <w:t>.082</w:t>
            </w:r>
          </w:p>
        </w:tc>
      </w:tr>
      <w:tr w:rsidR="001A6529" w:rsidRPr="00C531F3" w14:paraId="080CFEA1" w14:textId="77777777" w:rsidTr="00477A65">
        <w:trPr>
          <w:jc w:val="center"/>
        </w:trPr>
        <w:tc>
          <w:tcPr>
            <w:tcW w:w="1476" w:type="pct"/>
            <w:tcBorders>
              <w:top w:val="nil"/>
            </w:tcBorders>
            <w:hideMark/>
          </w:tcPr>
          <w:p w14:paraId="135519A7" w14:textId="6009938F" w:rsidR="001A6529" w:rsidRPr="00C531F3" w:rsidRDefault="001A6529" w:rsidP="001A6529">
            <w:pPr>
              <w:jc w:val="both"/>
              <w:rPr>
                <w:rFonts w:ascii="Times New Roman" w:hAnsi="Times New Roman" w:cs="Times New Roman"/>
                <w:lang w:val="en-US"/>
              </w:rPr>
            </w:pPr>
            <w:r w:rsidRPr="00C531F3">
              <w:rPr>
                <w:rFonts w:ascii="Times New Roman" w:hAnsi="Times New Roman" w:cs="Times New Roman"/>
                <w:lang w:val="en-US"/>
              </w:rPr>
              <w:t>Alt</w:t>
            </w:r>
            <w:r w:rsidR="000C5F5C" w:rsidRPr="00C531F3">
              <w:rPr>
                <w:rFonts w:ascii="Times New Roman" w:hAnsi="Times New Roman" w:cs="Times New Roman"/>
                <w:lang w:val="en-US"/>
              </w:rPr>
              <w:t>ernative</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Causal</w:t>
            </w:r>
            <w:r w:rsidR="00EA72A8" w:rsidRPr="00C531F3">
              <w:rPr>
                <w:rFonts w:ascii="Times New Roman" w:hAnsi="Times New Roman" w:cs="Times New Roman"/>
                <w:lang w:val="en-US"/>
              </w:rPr>
              <w:t xml:space="preserve"> </w:t>
            </w:r>
            <w:r w:rsidRPr="00C531F3">
              <w:rPr>
                <w:rFonts w:ascii="Times New Roman" w:hAnsi="Times New Roman" w:cs="Times New Roman"/>
                <w:lang w:val="en-US"/>
              </w:rPr>
              <w:t>Order</w:t>
            </w:r>
          </w:p>
        </w:tc>
        <w:tc>
          <w:tcPr>
            <w:tcW w:w="575" w:type="pct"/>
            <w:tcBorders>
              <w:top w:val="nil"/>
            </w:tcBorders>
            <w:hideMark/>
          </w:tcPr>
          <w:p w14:paraId="42C5C554" w14:textId="77777777" w:rsidR="001A6529" w:rsidRPr="00C531F3" w:rsidRDefault="001A6529" w:rsidP="00EA57EC">
            <w:pPr>
              <w:jc w:val="center"/>
              <w:rPr>
                <w:rFonts w:ascii="Times New Roman" w:hAnsi="Times New Roman" w:cs="Times New Roman"/>
                <w:lang w:val="en-US"/>
              </w:rPr>
            </w:pPr>
            <w:r w:rsidRPr="00C531F3">
              <w:rPr>
                <w:rFonts w:ascii="Times New Roman" w:hAnsi="Times New Roman" w:cs="Times New Roman"/>
                <w:lang w:val="en-US"/>
              </w:rPr>
              <w:t>312.8</w:t>
            </w:r>
          </w:p>
        </w:tc>
        <w:tc>
          <w:tcPr>
            <w:tcW w:w="575" w:type="pct"/>
            <w:tcBorders>
              <w:top w:val="nil"/>
            </w:tcBorders>
            <w:hideMark/>
          </w:tcPr>
          <w:p w14:paraId="3830010E" w14:textId="77777777" w:rsidR="001A6529" w:rsidRPr="00C531F3" w:rsidRDefault="001A6529" w:rsidP="00EA57EC">
            <w:pPr>
              <w:jc w:val="center"/>
              <w:rPr>
                <w:rFonts w:ascii="Times New Roman" w:hAnsi="Times New Roman" w:cs="Times New Roman"/>
                <w:lang w:val="en-US"/>
              </w:rPr>
            </w:pPr>
            <w:r w:rsidRPr="00C531F3">
              <w:rPr>
                <w:rFonts w:ascii="Times New Roman" w:hAnsi="Times New Roman" w:cs="Times New Roman"/>
                <w:lang w:val="en-US"/>
              </w:rPr>
              <w:t>114</w:t>
            </w:r>
          </w:p>
        </w:tc>
        <w:tc>
          <w:tcPr>
            <w:tcW w:w="575" w:type="pct"/>
            <w:tcBorders>
              <w:top w:val="nil"/>
            </w:tcBorders>
            <w:hideMark/>
          </w:tcPr>
          <w:p w14:paraId="24A55240" w14:textId="77777777" w:rsidR="001A6529" w:rsidRPr="00C531F3" w:rsidRDefault="001A6529" w:rsidP="00EA57EC">
            <w:pPr>
              <w:jc w:val="center"/>
              <w:rPr>
                <w:rFonts w:ascii="Times New Roman" w:hAnsi="Times New Roman" w:cs="Times New Roman"/>
                <w:lang w:val="en-US"/>
              </w:rPr>
            </w:pPr>
            <w:r w:rsidRPr="00C531F3">
              <w:rPr>
                <w:rFonts w:ascii="Times New Roman" w:hAnsi="Times New Roman" w:cs="Times New Roman"/>
                <w:lang w:val="en-US"/>
              </w:rPr>
              <w:t>4390</w:t>
            </w:r>
          </w:p>
        </w:tc>
        <w:tc>
          <w:tcPr>
            <w:tcW w:w="575" w:type="pct"/>
            <w:tcBorders>
              <w:top w:val="nil"/>
            </w:tcBorders>
            <w:hideMark/>
          </w:tcPr>
          <w:p w14:paraId="755124C2" w14:textId="77777777" w:rsidR="001A6529" w:rsidRPr="00C531F3" w:rsidRDefault="001A6529" w:rsidP="00EA57EC">
            <w:pPr>
              <w:jc w:val="center"/>
              <w:rPr>
                <w:rFonts w:ascii="Times New Roman" w:hAnsi="Times New Roman" w:cs="Times New Roman"/>
                <w:lang w:val="en-US"/>
              </w:rPr>
            </w:pPr>
            <w:r w:rsidRPr="00C531F3">
              <w:rPr>
                <w:rFonts w:ascii="Times New Roman" w:hAnsi="Times New Roman" w:cs="Times New Roman"/>
                <w:lang w:val="en-US"/>
              </w:rPr>
              <w:t>4550</w:t>
            </w:r>
          </w:p>
        </w:tc>
        <w:tc>
          <w:tcPr>
            <w:tcW w:w="575" w:type="pct"/>
            <w:tcBorders>
              <w:top w:val="nil"/>
            </w:tcBorders>
            <w:hideMark/>
          </w:tcPr>
          <w:p w14:paraId="44FC1991" w14:textId="77777777" w:rsidR="001A6529" w:rsidRPr="00C531F3" w:rsidRDefault="001A6529" w:rsidP="00EA57EC">
            <w:pPr>
              <w:jc w:val="center"/>
              <w:rPr>
                <w:rFonts w:ascii="Times New Roman" w:hAnsi="Times New Roman" w:cs="Times New Roman"/>
                <w:lang w:val="en-US"/>
              </w:rPr>
            </w:pPr>
            <w:r w:rsidRPr="00C531F3">
              <w:rPr>
                <w:rFonts w:ascii="Times New Roman" w:hAnsi="Times New Roman" w:cs="Times New Roman"/>
                <w:lang w:val="en-US"/>
              </w:rPr>
              <w:t>.92</w:t>
            </w:r>
          </w:p>
        </w:tc>
        <w:tc>
          <w:tcPr>
            <w:tcW w:w="651" w:type="pct"/>
            <w:tcBorders>
              <w:top w:val="nil"/>
            </w:tcBorders>
            <w:hideMark/>
          </w:tcPr>
          <w:p w14:paraId="166DA985" w14:textId="77777777" w:rsidR="001A6529" w:rsidRPr="00C531F3" w:rsidRDefault="001A6529" w:rsidP="00EA57EC">
            <w:pPr>
              <w:jc w:val="center"/>
              <w:rPr>
                <w:rFonts w:ascii="Times New Roman" w:hAnsi="Times New Roman" w:cs="Times New Roman"/>
                <w:lang w:val="en-US"/>
              </w:rPr>
            </w:pPr>
            <w:r w:rsidRPr="00C531F3">
              <w:rPr>
                <w:rFonts w:ascii="Times New Roman" w:hAnsi="Times New Roman" w:cs="Times New Roman"/>
                <w:lang w:val="en-US"/>
              </w:rPr>
              <w:t>.068</w:t>
            </w:r>
          </w:p>
        </w:tc>
      </w:tr>
    </w:tbl>
    <w:p w14:paraId="42FA29CB" w14:textId="608933A9" w:rsidR="00DB491B" w:rsidRPr="00C531F3" w:rsidRDefault="00B53B7E" w:rsidP="00C21873">
      <w:pPr>
        <w:pStyle w:val="Heading2"/>
        <w:spacing w:before="240" w:after="240" w:line="240" w:lineRule="auto"/>
        <w:ind w:left="709" w:hanging="709"/>
        <w:jc w:val="both"/>
        <w:rPr>
          <w:rFonts w:ascii="Times New Roman" w:hAnsi="Times New Roman" w:cs="Times New Roman"/>
          <w:b/>
          <w:bCs/>
          <w:color w:val="auto"/>
          <w:sz w:val="24"/>
          <w:szCs w:val="24"/>
          <w:lang w:val="en-US"/>
        </w:rPr>
      </w:pPr>
      <w:r w:rsidRPr="00C531F3">
        <w:rPr>
          <w:rFonts w:ascii="Times New Roman" w:hAnsi="Times New Roman" w:cs="Times New Roman"/>
          <w:b/>
          <w:bCs/>
          <w:color w:val="auto"/>
          <w:sz w:val="24"/>
          <w:szCs w:val="24"/>
          <w:lang w:val="en-US"/>
        </w:rPr>
        <w:t>Results</w:t>
      </w:r>
      <w:r w:rsidR="00EA72A8" w:rsidRPr="00C531F3">
        <w:rPr>
          <w:rFonts w:ascii="Times New Roman" w:hAnsi="Times New Roman" w:cs="Times New Roman"/>
          <w:b/>
          <w:bCs/>
          <w:color w:val="auto"/>
          <w:sz w:val="24"/>
          <w:szCs w:val="24"/>
          <w:lang w:val="en-US"/>
        </w:rPr>
        <w:t xml:space="preserve"> </w:t>
      </w:r>
      <w:r w:rsidRPr="00C531F3">
        <w:rPr>
          <w:rFonts w:ascii="Times New Roman" w:hAnsi="Times New Roman" w:cs="Times New Roman"/>
          <w:b/>
          <w:bCs/>
          <w:color w:val="auto"/>
          <w:sz w:val="24"/>
          <w:szCs w:val="24"/>
          <w:lang w:val="en-US"/>
        </w:rPr>
        <w:t>Summary</w:t>
      </w:r>
    </w:p>
    <w:p w14:paraId="5756CC11" w14:textId="5A02090E" w:rsidR="00413E73" w:rsidRPr="00C531F3" w:rsidRDefault="00ED46BD" w:rsidP="00C21873">
      <w:pPr>
        <w:spacing w:before="240" w:after="240" w:line="240" w:lineRule="auto"/>
        <w:ind w:firstLine="709"/>
        <w:jc w:val="both"/>
        <w:rPr>
          <w:rFonts w:ascii="Times New Roman" w:hAnsi="Times New Roman" w:cs="Times New Roman"/>
        </w:rPr>
      </w:pPr>
      <w:r w:rsidRPr="00C531F3">
        <w:rPr>
          <w:rFonts w:ascii="Times New Roman" w:hAnsi="Times New Roman" w:cs="Times New Roman"/>
        </w:rPr>
        <w:t>Overall, the results show that Digital Readiness matters, but its effect on transformation preparedness is partly channelled through Cognitive Unlearning. The evidence therefore supports the BIFT logic that preparedness is not simply a function of capacity, but of the cognitive and institutional conversion of that capacity into sustained action.</w:t>
      </w:r>
    </w:p>
    <w:p w14:paraId="520E47B6" w14:textId="6CF488EF" w:rsidR="00335F5A" w:rsidRPr="00C531F3" w:rsidRDefault="00C21873" w:rsidP="00C21873">
      <w:pPr>
        <w:pStyle w:val="Heading1"/>
        <w:spacing w:before="240" w:after="240" w:line="240" w:lineRule="auto"/>
        <w:jc w:val="both"/>
        <w:rPr>
          <w:rFonts w:ascii="Times New Roman" w:hAnsi="Times New Roman" w:cs="Times New Roman"/>
          <w:b/>
          <w:bCs/>
          <w:color w:val="auto"/>
          <w:sz w:val="24"/>
          <w:szCs w:val="24"/>
          <w:lang w:val="en-US"/>
        </w:rPr>
      </w:pPr>
      <w:r w:rsidRPr="00C531F3">
        <w:rPr>
          <w:rFonts w:ascii="Times New Roman" w:hAnsi="Times New Roman" w:cs="Times New Roman"/>
          <w:b/>
          <w:bCs/>
          <w:color w:val="auto"/>
          <w:sz w:val="24"/>
          <w:szCs w:val="24"/>
          <w:lang w:val="en-US"/>
        </w:rPr>
        <w:t>DISCUSSION</w:t>
      </w:r>
    </w:p>
    <w:p w14:paraId="58A27674" w14:textId="77777777" w:rsidR="00E00126" w:rsidRPr="00C531F3" w:rsidRDefault="00E00126" w:rsidP="00C21873">
      <w:pPr>
        <w:spacing w:before="240" w:after="240" w:line="240" w:lineRule="auto"/>
        <w:ind w:firstLine="709"/>
        <w:jc w:val="both"/>
        <w:rPr>
          <w:rFonts w:ascii="Times New Roman" w:hAnsi="Times New Roman" w:cs="Times New Roman"/>
          <w:lang w:val="en-US"/>
        </w:rPr>
      </w:pPr>
      <w:r w:rsidRPr="00C531F3">
        <w:rPr>
          <w:rFonts w:ascii="Times New Roman" w:hAnsi="Times New Roman" w:cs="Times New Roman"/>
          <w:lang w:val="en-US"/>
        </w:rPr>
        <w:t>The findings reinforce the growing consensus that digital transformation in higher education cannot be explained by technological resources alone. Recent scholarship increasingly portrays digital readiness as a multidimensional construct in which technical competence must be complemented by digital confidence (</w:t>
      </w:r>
      <w:proofErr w:type="spellStart"/>
      <w:r w:rsidRPr="00C531F3">
        <w:rPr>
          <w:rFonts w:ascii="Times New Roman" w:hAnsi="Times New Roman" w:cs="Times New Roman"/>
          <w:lang w:val="en-US"/>
        </w:rPr>
        <w:t>Höyng</w:t>
      </w:r>
      <w:proofErr w:type="spellEnd"/>
      <w:r w:rsidRPr="00C531F3">
        <w:rPr>
          <w:rFonts w:ascii="Times New Roman" w:hAnsi="Times New Roman" w:cs="Times New Roman"/>
          <w:lang w:val="en-US"/>
        </w:rPr>
        <w:t xml:space="preserve"> &amp; Lau, 2023), adaptability and readiness for change (</w:t>
      </w:r>
      <w:proofErr w:type="spellStart"/>
      <w:r w:rsidRPr="00C531F3">
        <w:rPr>
          <w:rFonts w:ascii="Times New Roman" w:hAnsi="Times New Roman" w:cs="Times New Roman"/>
          <w:lang w:val="en-US"/>
        </w:rPr>
        <w:t>Trenerry</w:t>
      </w:r>
      <w:proofErr w:type="spellEnd"/>
      <w:r w:rsidRPr="00C531F3">
        <w:rPr>
          <w:rFonts w:ascii="Times New Roman" w:hAnsi="Times New Roman" w:cs="Times New Roman"/>
          <w:lang w:val="en-US"/>
        </w:rPr>
        <w:t xml:space="preserve"> et al., 2021), and supportive </w:t>
      </w:r>
      <w:proofErr w:type="spellStart"/>
      <w:r w:rsidRPr="00C531F3">
        <w:rPr>
          <w:rFonts w:ascii="Times New Roman" w:hAnsi="Times New Roman" w:cs="Times New Roman"/>
          <w:lang w:val="en-US"/>
        </w:rPr>
        <w:t>organisational</w:t>
      </w:r>
      <w:proofErr w:type="spellEnd"/>
      <w:r w:rsidRPr="00C531F3">
        <w:rPr>
          <w:rFonts w:ascii="Times New Roman" w:hAnsi="Times New Roman" w:cs="Times New Roman"/>
          <w:lang w:val="en-US"/>
        </w:rPr>
        <w:t xml:space="preserve"> conditions (</w:t>
      </w:r>
      <w:proofErr w:type="spellStart"/>
      <w:r w:rsidRPr="00C531F3">
        <w:rPr>
          <w:rFonts w:ascii="Times New Roman" w:hAnsi="Times New Roman" w:cs="Times New Roman"/>
          <w:lang w:val="en-US"/>
        </w:rPr>
        <w:t>Basalamah</w:t>
      </w:r>
      <w:proofErr w:type="spellEnd"/>
      <w:r w:rsidRPr="00C531F3">
        <w:rPr>
          <w:rFonts w:ascii="Times New Roman" w:hAnsi="Times New Roman" w:cs="Times New Roman"/>
          <w:lang w:val="en-US"/>
        </w:rPr>
        <w:t xml:space="preserve"> &amp; </w:t>
      </w:r>
      <w:proofErr w:type="spellStart"/>
      <w:r w:rsidRPr="00C531F3">
        <w:rPr>
          <w:rFonts w:ascii="Times New Roman" w:hAnsi="Times New Roman" w:cs="Times New Roman"/>
          <w:lang w:val="en-US"/>
        </w:rPr>
        <w:t>Basalamah</w:t>
      </w:r>
      <w:proofErr w:type="spellEnd"/>
      <w:r w:rsidRPr="00C531F3">
        <w:rPr>
          <w:rFonts w:ascii="Times New Roman" w:hAnsi="Times New Roman" w:cs="Times New Roman"/>
          <w:lang w:val="en-US"/>
        </w:rPr>
        <w:t xml:space="preserve">, 2025). The present study converges with this broader perspective but advances it by demonstrating that readiness, while necessary, is insufficient for generating digital transformation preparedness. In the Northeast Nigerian context, digital readiness created the conditions for change, yet its effects were substantially strengthened when individuals were willing to abandon entrenched routines and assumptions. This finding suggests that the persistent gap between digital investment and transformation outcomes is not simply a resource problem but also a </w:t>
      </w:r>
      <w:proofErr w:type="spellStart"/>
      <w:r w:rsidRPr="00C531F3">
        <w:rPr>
          <w:rFonts w:ascii="Times New Roman" w:hAnsi="Times New Roman" w:cs="Times New Roman"/>
          <w:lang w:val="en-US"/>
        </w:rPr>
        <w:t>behavioural</w:t>
      </w:r>
      <w:proofErr w:type="spellEnd"/>
      <w:r w:rsidRPr="00C531F3">
        <w:rPr>
          <w:rFonts w:ascii="Times New Roman" w:hAnsi="Times New Roman" w:cs="Times New Roman"/>
          <w:lang w:val="en-US"/>
        </w:rPr>
        <w:t xml:space="preserve"> and </w:t>
      </w:r>
      <w:proofErr w:type="spellStart"/>
      <w:r w:rsidRPr="00C531F3">
        <w:rPr>
          <w:rFonts w:ascii="Times New Roman" w:hAnsi="Times New Roman" w:cs="Times New Roman"/>
          <w:lang w:val="en-US"/>
        </w:rPr>
        <w:t>organisational</w:t>
      </w:r>
      <w:proofErr w:type="spellEnd"/>
      <w:r w:rsidRPr="00C531F3">
        <w:rPr>
          <w:rFonts w:ascii="Times New Roman" w:hAnsi="Times New Roman" w:cs="Times New Roman"/>
          <w:lang w:val="en-US"/>
        </w:rPr>
        <w:t xml:space="preserve"> challenge.</w:t>
      </w:r>
    </w:p>
    <w:p w14:paraId="6BA71C3A" w14:textId="77777777" w:rsidR="00E00126" w:rsidRPr="00C531F3" w:rsidRDefault="00E00126" w:rsidP="00C21873">
      <w:pPr>
        <w:spacing w:before="240" w:after="240" w:line="240" w:lineRule="auto"/>
        <w:ind w:firstLine="709"/>
        <w:jc w:val="both"/>
        <w:rPr>
          <w:rFonts w:ascii="Times New Roman" w:hAnsi="Times New Roman" w:cs="Times New Roman"/>
          <w:lang w:val="en-US"/>
        </w:rPr>
      </w:pPr>
      <w:r w:rsidRPr="00C531F3">
        <w:rPr>
          <w:rFonts w:ascii="Times New Roman" w:hAnsi="Times New Roman" w:cs="Times New Roman"/>
          <w:lang w:val="en-US"/>
        </w:rPr>
        <w:t xml:space="preserve">The most significant contribution of the study lies in its validation of cognitive unlearning as a key mechanism linking readiness to preparedness. Prior research has associated digital capability with employee learning and adaptation (Fu et al., 2023), employee unlearning during digital transformation (Zhou et al., 2025), readiness for </w:t>
      </w:r>
      <w:proofErr w:type="spellStart"/>
      <w:r w:rsidRPr="00C531F3">
        <w:rPr>
          <w:rFonts w:ascii="Times New Roman" w:hAnsi="Times New Roman" w:cs="Times New Roman"/>
          <w:lang w:val="en-US"/>
        </w:rPr>
        <w:t>organisational</w:t>
      </w:r>
      <w:proofErr w:type="spellEnd"/>
      <w:r w:rsidRPr="00C531F3">
        <w:rPr>
          <w:rFonts w:ascii="Times New Roman" w:hAnsi="Times New Roman" w:cs="Times New Roman"/>
          <w:lang w:val="en-US"/>
        </w:rPr>
        <w:t xml:space="preserve"> change (Kim &amp; Park, 2025), and workforce agility in digitally transforming </w:t>
      </w:r>
      <w:proofErr w:type="spellStart"/>
      <w:r w:rsidRPr="00C531F3">
        <w:rPr>
          <w:rFonts w:ascii="Times New Roman" w:hAnsi="Times New Roman" w:cs="Times New Roman"/>
          <w:lang w:val="en-US"/>
        </w:rPr>
        <w:t>organisations</w:t>
      </w:r>
      <w:proofErr w:type="spellEnd"/>
      <w:r w:rsidRPr="00C531F3">
        <w:rPr>
          <w:rFonts w:ascii="Times New Roman" w:hAnsi="Times New Roman" w:cs="Times New Roman"/>
          <w:lang w:val="en-US"/>
        </w:rPr>
        <w:t xml:space="preserve"> (Sharma et al., 2024). However, these studies generally treat unlearning, adaptability, and readiness for change as related but distinct constructs. The present findings extend this literature by demonstrating that cognitive unlearning occupies a more central role: it functions as the process through which digital readiness is translated into transformation preparedness. In doing so, the study provides empirical support for the BIFT proposition that transformation depends not only on the possession of capabilities but also on the capacity to disengage from obsolete ways of working.</w:t>
      </w:r>
    </w:p>
    <w:p w14:paraId="04F2BFFB" w14:textId="77777777" w:rsidR="00E00126" w:rsidRPr="00C531F3" w:rsidRDefault="00E00126" w:rsidP="00C21873">
      <w:pPr>
        <w:spacing w:before="240" w:after="240" w:line="240" w:lineRule="auto"/>
        <w:ind w:firstLine="709"/>
        <w:jc w:val="both"/>
        <w:rPr>
          <w:rFonts w:ascii="Times New Roman" w:hAnsi="Times New Roman" w:cs="Times New Roman"/>
          <w:lang w:val="en-US"/>
        </w:rPr>
      </w:pPr>
      <w:r w:rsidRPr="00C531F3">
        <w:rPr>
          <w:rFonts w:ascii="Times New Roman" w:hAnsi="Times New Roman" w:cs="Times New Roman"/>
          <w:lang w:val="en-US"/>
        </w:rPr>
        <w:t>This interpretation is consistent with evidence that digitally ready employees are more likely to engage with new technologies and practices (Vijayarani et al., 2025), develop intentional readiness for transformation (</w:t>
      </w:r>
      <w:proofErr w:type="spellStart"/>
      <w:r w:rsidRPr="00C531F3">
        <w:rPr>
          <w:rFonts w:ascii="Times New Roman" w:hAnsi="Times New Roman" w:cs="Times New Roman"/>
          <w:lang w:val="en-US"/>
        </w:rPr>
        <w:t>Höyng</w:t>
      </w:r>
      <w:proofErr w:type="spellEnd"/>
      <w:r w:rsidRPr="00C531F3">
        <w:rPr>
          <w:rFonts w:ascii="Times New Roman" w:hAnsi="Times New Roman" w:cs="Times New Roman"/>
          <w:lang w:val="en-US"/>
        </w:rPr>
        <w:t xml:space="preserve"> &amp; Lau, 2023), and overcome </w:t>
      </w:r>
      <w:proofErr w:type="spellStart"/>
      <w:r w:rsidRPr="00C531F3">
        <w:rPr>
          <w:rFonts w:ascii="Times New Roman" w:hAnsi="Times New Roman" w:cs="Times New Roman"/>
          <w:lang w:val="en-US"/>
        </w:rPr>
        <w:t>behavioural</w:t>
      </w:r>
      <w:proofErr w:type="spellEnd"/>
      <w:r w:rsidRPr="00C531F3">
        <w:rPr>
          <w:rFonts w:ascii="Times New Roman" w:hAnsi="Times New Roman" w:cs="Times New Roman"/>
          <w:lang w:val="en-US"/>
        </w:rPr>
        <w:t xml:space="preserve"> resistance to change (Zhao et al., 2026). It also aligns with </w:t>
      </w:r>
      <w:r w:rsidRPr="00C531F3">
        <w:rPr>
          <w:rFonts w:ascii="Times New Roman" w:hAnsi="Times New Roman" w:cs="Times New Roman"/>
          <w:lang w:val="en-US"/>
        </w:rPr>
        <w:lastRenderedPageBreak/>
        <w:t xml:space="preserve">research showing that </w:t>
      </w:r>
      <w:proofErr w:type="spellStart"/>
      <w:r w:rsidRPr="00C531F3">
        <w:rPr>
          <w:rFonts w:ascii="Times New Roman" w:hAnsi="Times New Roman" w:cs="Times New Roman"/>
          <w:lang w:val="en-US"/>
        </w:rPr>
        <w:t>organisational</w:t>
      </w:r>
      <w:proofErr w:type="spellEnd"/>
      <w:r w:rsidRPr="00C531F3">
        <w:rPr>
          <w:rFonts w:ascii="Times New Roman" w:hAnsi="Times New Roman" w:cs="Times New Roman"/>
          <w:lang w:val="en-US"/>
        </w:rPr>
        <w:t xml:space="preserve"> unlearning facilitates agility and digital adaptation (Cubillas-Para et al., 2024). Yet the present findings move beyond these studies by identifying unlearning as a mediating process rather than merely a correlating factor. The implication is that digital transformation requires more than the acquisition of new knowledge; it also requires the abandonment of routines, assumptions, and procedural habits that anchor </w:t>
      </w:r>
      <w:proofErr w:type="spellStart"/>
      <w:r w:rsidRPr="00C531F3">
        <w:rPr>
          <w:rFonts w:ascii="Times New Roman" w:hAnsi="Times New Roman" w:cs="Times New Roman"/>
          <w:lang w:val="en-US"/>
        </w:rPr>
        <w:t>organisations</w:t>
      </w:r>
      <w:proofErr w:type="spellEnd"/>
      <w:r w:rsidRPr="00C531F3">
        <w:rPr>
          <w:rFonts w:ascii="Times New Roman" w:hAnsi="Times New Roman" w:cs="Times New Roman"/>
          <w:lang w:val="en-US"/>
        </w:rPr>
        <w:t xml:space="preserve"> to legacy modes of operation. This distinction is particularly important in higher education, where institutional practices often persist long after technological alternatives become available.</w:t>
      </w:r>
    </w:p>
    <w:p w14:paraId="6FBBAAAA" w14:textId="77777777" w:rsidR="00E00126" w:rsidRPr="00C531F3" w:rsidRDefault="00E00126" w:rsidP="00C21873">
      <w:pPr>
        <w:spacing w:before="240" w:after="240" w:line="240" w:lineRule="auto"/>
        <w:ind w:firstLine="709"/>
        <w:jc w:val="both"/>
        <w:rPr>
          <w:rFonts w:ascii="Times New Roman" w:hAnsi="Times New Roman" w:cs="Times New Roman"/>
          <w:lang w:val="en-US"/>
        </w:rPr>
      </w:pPr>
      <w:r w:rsidRPr="00C531F3">
        <w:rPr>
          <w:rFonts w:ascii="Times New Roman" w:hAnsi="Times New Roman" w:cs="Times New Roman"/>
          <w:lang w:val="en-US"/>
        </w:rPr>
        <w:t xml:space="preserve">The findings also challenge the explanatory sufficiency of conventional technology adoption frameworks. Models such as TAM and UTAUT have proven valuable in explaining technology acceptance and early-stage use, but they offer a less complete account of how digital initiatives become embedded within </w:t>
      </w:r>
      <w:proofErr w:type="spellStart"/>
      <w:r w:rsidRPr="00C531F3">
        <w:rPr>
          <w:rFonts w:ascii="Times New Roman" w:hAnsi="Times New Roman" w:cs="Times New Roman"/>
          <w:lang w:val="en-US"/>
        </w:rPr>
        <w:t>organisational</w:t>
      </w:r>
      <w:proofErr w:type="spellEnd"/>
      <w:r w:rsidRPr="00C531F3">
        <w:rPr>
          <w:rFonts w:ascii="Times New Roman" w:hAnsi="Times New Roman" w:cs="Times New Roman"/>
          <w:lang w:val="en-US"/>
        </w:rPr>
        <w:t xml:space="preserve"> systems. The present results suggest that acceptance alone is insufficient to sustain transformation. Individuals may perceive technologies as useful and easy to use while continuing to rely on familiar routines that limit institutional change. By highlighting the mediating role of cognitive unlearning, the study shifts attention from adoption to transformation, thereby extending existing readiness research beyond questions of usage and intention.</w:t>
      </w:r>
    </w:p>
    <w:p w14:paraId="0D8F3B97" w14:textId="7BC70E59" w:rsidR="00E00126" w:rsidRPr="00C531F3" w:rsidRDefault="00E00126" w:rsidP="00C21873">
      <w:pPr>
        <w:spacing w:before="240" w:after="240" w:line="240" w:lineRule="auto"/>
        <w:ind w:firstLine="709"/>
        <w:jc w:val="both"/>
        <w:rPr>
          <w:rFonts w:ascii="Times New Roman" w:hAnsi="Times New Roman" w:cs="Times New Roman"/>
          <w:lang w:val="en-US"/>
        </w:rPr>
      </w:pPr>
      <w:r w:rsidRPr="00C531F3">
        <w:rPr>
          <w:rFonts w:ascii="Times New Roman" w:hAnsi="Times New Roman" w:cs="Times New Roman"/>
          <w:lang w:val="en-US"/>
        </w:rPr>
        <w:t xml:space="preserve">The ownership-based differences observed in the multi-group analysis provide further insight into the contextual nature of transformation. The stronger relationship between cognitive unlearning and preparedness in Federal institutions suggests that </w:t>
      </w:r>
      <w:proofErr w:type="spellStart"/>
      <w:r w:rsidRPr="00C531F3">
        <w:rPr>
          <w:rFonts w:ascii="Times New Roman" w:hAnsi="Times New Roman" w:cs="Times New Roman"/>
          <w:lang w:val="en-US"/>
        </w:rPr>
        <w:t>behavioural</w:t>
      </w:r>
      <w:proofErr w:type="spellEnd"/>
      <w:r w:rsidRPr="00C531F3">
        <w:rPr>
          <w:rFonts w:ascii="Times New Roman" w:hAnsi="Times New Roman" w:cs="Times New Roman"/>
          <w:lang w:val="en-US"/>
        </w:rPr>
        <w:t xml:space="preserve"> change produces greater </w:t>
      </w:r>
      <w:proofErr w:type="spellStart"/>
      <w:r w:rsidRPr="00C531F3">
        <w:rPr>
          <w:rFonts w:ascii="Times New Roman" w:hAnsi="Times New Roman" w:cs="Times New Roman"/>
          <w:lang w:val="en-US"/>
        </w:rPr>
        <w:t>organisational</w:t>
      </w:r>
      <w:proofErr w:type="spellEnd"/>
      <w:r w:rsidRPr="00C531F3">
        <w:rPr>
          <w:rFonts w:ascii="Times New Roman" w:hAnsi="Times New Roman" w:cs="Times New Roman"/>
          <w:lang w:val="en-US"/>
        </w:rPr>
        <w:t xml:space="preserve"> returns when supported by enabling institutional conditions. This finding is consistent with critiques of conventional readiness assessments, which often overlook the interaction between individual and </w:t>
      </w:r>
      <w:proofErr w:type="spellStart"/>
      <w:r w:rsidRPr="00C531F3">
        <w:rPr>
          <w:rFonts w:ascii="Times New Roman" w:hAnsi="Times New Roman" w:cs="Times New Roman"/>
          <w:lang w:val="en-US"/>
        </w:rPr>
        <w:t>organisational</w:t>
      </w:r>
      <w:proofErr w:type="spellEnd"/>
      <w:r w:rsidRPr="00C531F3">
        <w:rPr>
          <w:rFonts w:ascii="Times New Roman" w:hAnsi="Times New Roman" w:cs="Times New Roman"/>
          <w:lang w:val="en-US"/>
        </w:rPr>
        <w:t xml:space="preserve"> factors (</w:t>
      </w:r>
      <w:proofErr w:type="spellStart"/>
      <w:r w:rsidRPr="00C531F3">
        <w:rPr>
          <w:rFonts w:ascii="Times New Roman" w:hAnsi="Times New Roman" w:cs="Times New Roman"/>
          <w:lang w:val="en-US"/>
        </w:rPr>
        <w:t>Chounta</w:t>
      </w:r>
      <w:proofErr w:type="spellEnd"/>
      <w:r w:rsidRPr="00C531F3">
        <w:rPr>
          <w:rFonts w:ascii="Times New Roman" w:hAnsi="Times New Roman" w:cs="Times New Roman"/>
          <w:lang w:val="en-US"/>
        </w:rPr>
        <w:t xml:space="preserve"> et al., 2024). It also resonates with evidence that digital outcomes in Nigerian tertiary institutions are shaped by infrastructural reliability, governance arrangements, and institutional support systems (Ogbonna et al., 2025). The implication is that individual willingness to abandon obsolete routines is necessary but not always sufficient; its effectiveness depends on whether the institutional environment can absorb, reinforce, and sustain that change.</w:t>
      </w:r>
    </w:p>
    <w:p w14:paraId="4AEDBED6" w14:textId="77777777" w:rsidR="00E00126" w:rsidRPr="00C531F3" w:rsidRDefault="00E00126" w:rsidP="00C21873">
      <w:pPr>
        <w:spacing w:before="240" w:after="240" w:line="240" w:lineRule="auto"/>
        <w:ind w:firstLine="709"/>
        <w:jc w:val="both"/>
        <w:rPr>
          <w:rFonts w:ascii="Times New Roman" w:hAnsi="Times New Roman" w:cs="Times New Roman"/>
          <w:lang w:val="en-US"/>
        </w:rPr>
      </w:pPr>
      <w:r w:rsidRPr="00C531F3">
        <w:rPr>
          <w:rFonts w:ascii="Times New Roman" w:hAnsi="Times New Roman" w:cs="Times New Roman"/>
          <w:lang w:val="en-US"/>
        </w:rPr>
        <w:t xml:space="preserve">This contextual interpretation is further supported by research on technical debt and </w:t>
      </w:r>
      <w:proofErr w:type="spellStart"/>
      <w:r w:rsidRPr="00C531F3">
        <w:rPr>
          <w:rFonts w:ascii="Times New Roman" w:hAnsi="Times New Roman" w:cs="Times New Roman"/>
          <w:lang w:val="en-US"/>
        </w:rPr>
        <w:t>organisational</w:t>
      </w:r>
      <w:proofErr w:type="spellEnd"/>
      <w:r w:rsidRPr="00C531F3">
        <w:rPr>
          <w:rFonts w:ascii="Times New Roman" w:hAnsi="Times New Roman" w:cs="Times New Roman"/>
          <w:lang w:val="en-US"/>
        </w:rPr>
        <w:t xml:space="preserve"> rigidity. Park (2025) argues that legacy systems and accumulated procedural constraints frequently inhibit digital transformation despite substantial technological investment. The present findings lend empirical support to that argument. Even when staff exhibit readiness and a willingness to unlearn, transformation may remain constrained if institutional structures continue to reward legacy practices or require parallel manual and digital processes. Consequently, the results strengthen the BIFT proposition that transformation is fundamentally a multilevel phenomenon arising from the interaction of </w:t>
      </w:r>
      <w:proofErr w:type="spellStart"/>
      <w:r w:rsidRPr="00C531F3">
        <w:rPr>
          <w:rFonts w:ascii="Times New Roman" w:hAnsi="Times New Roman" w:cs="Times New Roman"/>
          <w:lang w:val="en-US"/>
        </w:rPr>
        <w:t>behavioural</w:t>
      </w:r>
      <w:proofErr w:type="spellEnd"/>
      <w:r w:rsidRPr="00C531F3">
        <w:rPr>
          <w:rFonts w:ascii="Times New Roman" w:hAnsi="Times New Roman" w:cs="Times New Roman"/>
          <w:lang w:val="en-US"/>
        </w:rPr>
        <w:t>, leadership, and institutional conditions rather than from any single factor in isolation.</w:t>
      </w:r>
    </w:p>
    <w:p w14:paraId="1DBEED50" w14:textId="77777777" w:rsidR="00E00126" w:rsidRPr="00C531F3" w:rsidRDefault="00E00126" w:rsidP="00C21873">
      <w:pPr>
        <w:spacing w:before="240" w:after="240" w:line="240" w:lineRule="auto"/>
        <w:ind w:firstLine="709"/>
        <w:jc w:val="both"/>
        <w:rPr>
          <w:rFonts w:ascii="Times New Roman" w:hAnsi="Times New Roman" w:cs="Times New Roman"/>
          <w:lang w:val="en-US"/>
        </w:rPr>
      </w:pPr>
      <w:r w:rsidRPr="00C531F3">
        <w:rPr>
          <w:rFonts w:ascii="Times New Roman" w:hAnsi="Times New Roman" w:cs="Times New Roman"/>
          <w:lang w:val="en-US"/>
        </w:rPr>
        <w:t xml:space="preserve">The practical implications are equally significant. For higher education leaders, the findings suggest that digital transformation strategies should move beyond procurement-led approaches that </w:t>
      </w:r>
      <w:proofErr w:type="spellStart"/>
      <w:r w:rsidRPr="00C531F3">
        <w:rPr>
          <w:rFonts w:ascii="Times New Roman" w:hAnsi="Times New Roman" w:cs="Times New Roman"/>
          <w:lang w:val="en-US"/>
        </w:rPr>
        <w:t>prioritise</w:t>
      </w:r>
      <w:proofErr w:type="spellEnd"/>
      <w:r w:rsidRPr="00C531F3">
        <w:rPr>
          <w:rFonts w:ascii="Times New Roman" w:hAnsi="Times New Roman" w:cs="Times New Roman"/>
          <w:lang w:val="en-US"/>
        </w:rPr>
        <w:t xml:space="preserve"> infrastructure acquisition and technical training. While such investments remain necessary, they are unlikely to generate sustainable transformation unless accompanied by interventions that address </w:t>
      </w:r>
      <w:proofErr w:type="spellStart"/>
      <w:r w:rsidRPr="00C531F3">
        <w:rPr>
          <w:rFonts w:ascii="Times New Roman" w:hAnsi="Times New Roman" w:cs="Times New Roman"/>
          <w:lang w:val="en-US"/>
        </w:rPr>
        <w:t>behavioural</w:t>
      </w:r>
      <w:proofErr w:type="spellEnd"/>
      <w:r w:rsidRPr="00C531F3">
        <w:rPr>
          <w:rFonts w:ascii="Times New Roman" w:hAnsi="Times New Roman" w:cs="Times New Roman"/>
          <w:lang w:val="en-US"/>
        </w:rPr>
        <w:t xml:space="preserve"> and </w:t>
      </w:r>
      <w:proofErr w:type="spellStart"/>
      <w:r w:rsidRPr="00C531F3">
        <w:rPr>
          <w:rFonts w:ascii="Times New Roman" w:hAnsi="Times New Roman" w:cs="Times New Roman"/>
          <w:lang w:val="en-US"/>
        </w:rPr>
        <w:t>organisational</w:t>
      </w:r>
      <w:proofErr w:type="spellEnd"/>
      <w:r w:rsidRPr="00C531F3">
        <w:rPr>
          <w:rFonts w:ascii="Times New Roman" w:hAnsi="Times New Roman" w:cs="Times New Roman"/>
          <w:lang w:val="en-US"/>
        </w:rPr>
        <w:t xml:space="preserve"> barriers. Training </w:t>
      </w:r>
      <w:proofErr w:type="spellStart"/>
      <w:r w:rsidRPr="00C531F3">
        <w:rPr>
          <w:rFonts w:ascii="Times New Roman" w:hAnsi="Times New Roman" w:cs="Times New Roman"/>
          <w:lang w:val="en-US"/>
        </w:rPr>
        <w:t>programmes</w:t>
      </w:r>
      <w:proofErr w:type="spellEnd"/>
      <w:r w:rsidRPr="00C531F3">
        <w:rPr>
          <w:rFonts w:ascii="Times New Roman" w:hAnsi="Times New Roman" w:cs="Times New Roman"/>
          <w:lang w:val="en-US"/>
        </w:rPr>
        <w:t xml:space="preserve"> should therefore incorporate opportunities for reflective practice, experimentation, and unlearning rather than focusing exclusively on technical proficiency. Similarly, leaders should cultivate psychologically safe environments in which staff can test new digital approaches without fear of penalty, thereby reducing the </w:t>
      </w:r>
      <w:proofErr w:type="spellStart"/>
      <w:r w:rsidRPr="00C531F3">
        <w:rPr>
          <w:rFonts w:ascii="Times New Roman" w:hAnsi="Times New Roman" w:cs="Times New Roman"/>
          <w:lang w:val="en-US"/>
        </w:rPr>
        <w:t>behavioural</w:t>
      </w:r>
      <w:proofErr w:type="spellEnd"/>
      <w:r w:rsidRPr="00C531F3">
        <w:rPr>
          <w:rFonts w:ascii="Times New Roman" w:hAnsi="Times New Roman" w:cs="Times New Roman"/>
          <w:lang w:val="en-US"/>
        </w:rPr>
        <w:t xml:space="preserve"> costs associated with abandoning established routines. Institutions should also address procedural debt by systematically retiring redundant manual workflows that compel staff to maintain parallel systems and reinforce legacy habits.</w:t>
      </w:r>
    </w:p>
    <w:p w14:paraId="40A2DA2C" w14:textId="77777777" w:rsidR="00E00126" w:rsidRPr="00C531F3" w:rsidRDefault="00E00126" w:rsidP="00C21873">
      <w:pPr>
        <w:spacing w:before="240" w:after="240" w:line="240" w:lineRule="auto"/>
        <w:ind w:firstLine="709"/>
        <w:jc w:val="both"/>
        <w:rPr>
          <w:rFonts w:ascii="Times New Roman" w:hAnsi="Times New Roman" w:cs="Times New Roman"/>
          <w:lang w:val="en-US"/>
        </w:rPr>
      </w:pPr>
      <w:r w:rsidRPr="00C531F3">
        <w:rPr>
          <w:rFonts w:ascii="Times New Roman" w:hAnsi="Times New Roman" w:cs="Times New Roman"/>
          <w:lang w:val="en-US"/>
        </w:rPr>
        <w:t xml:space="preserve">Taken together, the findings provide empirical support for the central claim of BIFT: digital transformation preparedness emerges not from the accumulation of digital resources but from the successful conversion of those resources into coordinated action. By demonstrating the mediating role of cognitive unlearning, the study contributes to a growing body of research that places human agency at the </w:t>
      </w:r>
      <w:proofErr w:type="spellStart"/>
      <w:r w:rsidRPr="00C531F3">
        <w:rPr>
          <w:rFonts w:ascii="Times New Roman" w:hAnsi="Times New Roman" w:cs="Times New Roman"/>
          <w:lang w:val="en-US"/>
        </w:rPr>
        <w:t>centre</w:t>
      </w:r>
      <w:proofErr w:type="spellEnd"/>
      <w:r w:rsidRPr="00C531F3">
        <w:rPr>
          <w:rFonts w:ascii="Times New Roman" w:hAnsi="Times New Roman" w:cs="Times New Roman"/>
          <w:lang w:val="en-US"/>
        </w:rPr>
        <w:t xml:space="preserve"> of digital transformation. It shows that the critical challenge facing higher education institutions is not simply learning new technologies but learning to let go of the assumptions, routines, and practices that prevent those technologies from becoming transformative. Future research should build on this insight through longitudinal designs that </w:t>
      </w:r>
      <w:r w:rsidRPr="00C531F3">
        <w:rPr>
          <w:rFonts w:ascii="Times New Roman" w:hAnsi="Times New Roman" w:cs="Times New Roman"/>
          <w:lang w:val="en-US"/>
        </w:rPr>
        <w:lastRenderedPageBreak/>
        <w:t xml:space="preserve">examine how unlearning evolves over time and through qualitative investigations that explore the institutional conditions under which cognitive change is most effectively translated into </w:t>
      </w:r>
      <w:proofErr w:type="spellStart"/>
      <w:r w:rsidRPr="00C531F3">
        <w:rPr>
          <w:rFonts w:ascii="Times New Roman" w:hAnsi="Times New Roman" w:cs="Times New Roman"/>
          <w:lang w:val="en-US"/>
        </w:rPr>
        <w:t>organisational</w:t>
      </w:r>
      <w:proofErr w:type="spellEnd"/>
      <w:r w:rsidRPr="00C531F3">
        <w:rPr>
          <w:rFonts w:ascii="Times New Roman" w:hAnsi="Times New Roman" w:cs="Times New Roman"/>
          <w:lang w:val="en-US"/>
        </w:rPr>
        <w:t xml:space="preserve"> transformation.</w:t>
      </w:r>
    </w:p>
    <w:p w14:paraId="28C9ACAE" w14:textId="50336009" w:rsidR="00B42846" w:rsidRPr="00C531F3" w:rsidRDefault="00C21873" w:rsidP="00C21873">
      <w:pPr>
        <w:pStyle w:val="Heading1"/>
        <w:spacing w:before="240" w:after="240" w:line="240" w:lineRule="auto"/>
        <w:jc w:val="both"/>
        <w:rPr>
          <w:rFonts w:ascii="Times New Roman" w:hAnsi="Times New Roman" w:cs="Times New Roman"/>
          <w:b/>
          <w:bCs/>
          <w:color w:val="auto"/>
          <w:sz w:val="24"/>
          <w:szCs w:val="24"/>
          <w:lang w:val="en-US"/>
        </w:rPr>
      </w:pPr>
      <w:r w:rsidRPr="00C531F3">
        <w:rPr>
          <w:rFonts w:ascii="Times New Roman" w:hAnsi="Times New Roman" w:cs="Times New Roman"/>
          <w:b/>
          <w:bCs/>
          <w:color w:val="auto"/>
          <w:sz w:val="24"/>
          <w:szCs w:val="24"/>
          <w:lang w:val="en-US"/>
        </w:rPr>
        <w:t>CONCLUSION</w:t>
      </w:r>
    </w:p>
    <w:p w14:paraId="20C6EF91" w14:textId="77777777" w:rsidR="00717EE7" w:rsidRPr="00C531F3" w:rsidRDefault="00717EE7" w:rsidP="00C21873">
      <w:pPr>
        <w:spacing w:before="240" w:after="240" w:line="240" w:lineRule="auto"/>
        <w:ind w:firstLine="709"/>
        <w:jc w:val="both"/>
        <w:rPr>
          <w:rFonts w:ascii="Times New Roman" w:hAnsi="Times New Roman" w:cs="Times New Roman"/>
          <w:lang w:val="en-US"/>
        </w:rPr>
      </w:pPr>
      <w:r w:rsidRPr="00C531F3">
        <w:rPr>
          <w:rFonts w:ascii="Times New Roman" w:hAnsi="Times New Roman" w:cs="Times New Roman"/>
          <w:lang w:val="en-US"/>
        </w:rPr>
        <w:t>This study examined how digital readiness translates into digital transformation preparedness among higher education institutions in Northeast Nigeria. The findings demonstrate that readiness alone is insufficient to produce sustained transformation outcomes. Instead, cognitive unlearning serves as a key mechanism through which digital capacity is converted into preparedness. The study thus extends the BIFT by providing empirical evidence that transformation depends not only on technological resources and competencies, but also on the willingness of individuals to abandon obsolete routines and adapt to new ways of working. In doing so, it challenges technology-</w:t>
      </w:r>
      <w:proofErr w:type="spellStart"/>
      <w:r w:rsidRPr="00C531F3">
        <w:rPr>
          <w:rFonts w:ascii="Times New Roman" w:hAnsi="Times New Roman" w:cs="Times New Roman"/>
          <w:lang w:val="en-US"/>
        </w:rPr>
        <w:t>centred</w:t>
      </w:r>
      <w:proofErr w:type="spellEnd"/>
      <w:r w:rsidRPr="00C531F3">
        <w:rPr>
          <w:rFonts w:ascii="Times New Roman" w:hAnsi="Times New Roman" w:cs="Times New Roman"/>
          <w:lang w:val="en-US"/>
        </w:rPr>
        <w:t xml:space="preserve"> accounts of digital change and supports a multilevel view in which preparedness emerges from the interaction of </w:t>
      </w:r>
      <w:proofErr w:type="spellStart"/>
      <w:r w:rsidRPr="00C531F3">
        <w:rPr>
          <w:rFonts w:ascii="Times New Roman" w:hAnsi="Times New Roman" w:cs="Times New Roman"/>
          <w:lang w:val="en-US"/>
        </w:rPr>
        <w:t>behavioural</w:t>
      </w:r>
      <w:proofErr w:type="spellEnd"/>
      <w:r w:rsidRPr="00C531F3">
        <w:rPr>
          <w:rFonts w:ascii="Times New Roman" w:hAnsi="Times New Roman" w:cs="Times New Roman"/>
          <w:lang w:val="en-US"/>
        </w:rPr>
        <w:t xml:space="preserve">, leadership, and institutional conditions. </w:t>
      </w:r>
    </w:p>
    <w:p w14:paraId="3C52C570" w14:textId="7228CA3E" w:rsidR="00717EE7" w:rsidRPr="00C531F3" w:rsidRDefault="00717EE7" w:rsidP="00C21873">
      <w:pPr>
        <w:spacing w:before="240" w:after="240" w:line="240" w:lineRule="auto"/>
        <w:ind w:firstLine="709"/>
        <w:jc w:val="both"/>
        <w:rPr>
          <w:rFonts w:ascii="Times New Roman" w:hAnsi="Times New Roman" w:cs="Times New Roman"/>
          <w:lang w:val="en-US"/>
        </w:rPr>
      </w:pPr>
      <w:r w:rsidRPr="00C531F3">
        <w:rPr>
          <w:rFonts w:ascii="Times New Roman" w:hAnsi="Times New Roman" w:cs="Times New Roman"/>
          <w:lang w:val="en-US"/>
        </w:rPr>
        <w:t>The practical implication is that higher education leaders should complement investments in digital infrastructure with interventions that promote unlearning, reduce procedural debt, and create environments supportive of experimentation and adaptation. Institutions that focus exclusively on technology acquisition risk accumulating digital capacity without achieving meaningful transformation.</w:t>
      </w:r>
    </w:p>
    <w:p w14:paraId="4E6D3E64" w14:textId="77777777" w:rsidR="00717EE7" w:rsidRPr="00C531F3" w:rsidRDefault="00717EE7" w:rsidP="00C21873">
      <w:pPr>
        <w:spacing w:before="240" w:after="240" w:line="240" w:lineRule="auto"/>
        <w:ind w:firstLine="709"/>
        <w:jc w:val="both"/>
        <w:rPr>
          <w:rFonts w:ascii="Times New Roman" w:hAnsi="Times New Roman" w:cs="Times New Roman"/>
          <w:lang w:val="en-US"/>
        </w:rPr>
      </w:pPr>
      <w:r w:rsidRPr="00C531F3">
        <w:rPr>
          <w:rFonts w:ascii="Times New Roman" w:hAnsi="Times New Roman" w:cs="Times New Roman"/>
          <w:lang w:val="en-US"/>
        </w:rPr>
        <w:t>Future research should test the BIFT model in other institutional and national contexts, particularly through longitudinal designs that can capture how cognitive unlearning and transformation preparedness evolve over time.</w:t>
      </w:r>
    </w:p>
    <w:p w14:paraId="7D7FCB28" w14:textId="0FFC569E" w:rsidR="008C15E0" w:rsidRPr="00C531F3" w:rsidRDefault="00C21873" w:rsidP="008C15E0">
      <w:pPr>
        <w:pStyle w:val="Heading1"/>
        <w:spacing w:before="0" w:after="0" w:line="240" w:lineRule="auto"/>
        <w:rPr>
          <w:rFonts w:ascii="Times New Roman" w:hAnsi="Times New Roman" w:cs="Times New Roman"/>
          <w:b/>
          <w:bCs/>
          <w:color w:val="auto"/>
          <w:sz w:val="24"/>
          <w:szCs w:val="24"/>
          <w:lang w:val="en-US"/>
        </w:rPr>
      </w:pPr>
      <w:r w:rsidRPr="00C531F3">
        <w:rPr>
          <w:rFonts w:ascii="Times New Roman" w:hAnsi="Times New Roman" w:cs="Times New Roman"/>
          <w:b/>
          <w:bCs/>
          <w:color w:val="auto"/>
          <w:sz w:val="24"/>
          <w:szCs w:val="24"/>
          <w:lang w:val="en-US"/>
        </w:rPr>
        <w:t>REFERENCES</w:t>
      </w:r>
    </w:p>
    <w:p w14:paraId="693974C5" w14:textId="77777777" w:rsidR="00A178B5" w:rsidRPr="00477A65" w:rsidRDefault="00A178B5" w:rsidP="00477A65">
      <w:pPr>
        <w:pStyle w:val="ListParagraph"/>
        <w:numPr>
          <w:ilvl w:val="0"/>
          <w:numId w:val="8"/>
        </w:numPr>
        <w:spacing w:after="0" w:line="240" w:lineRule="auto"/>
        <w:ind w:left="426" w:hanging="426"/>
        <w:jc w:val="both"/>
        <w:rPr>
          <w:rFonts w:ascii="Times New Roman" w:hAnsi="Times New Roman" w:cs="Times New Roman"/>
          <w:lang w:val="en-US"/>
        </w:rPr>
      </w:pPr>
      <w:r w:rsidRPr="00477A65">
        <w:rPr>
          <w:rFonts w:ascii="Times New Roman" w:hAnsi="Times New Roman" w:cs="Times New Roman"/>
          <w:lang w:val="en-US"/>
        </w:rPr>
        <w:t xml:space="preserve">Sharma, K., Nigam, N., Jha, J. K., &amp; Xu, X. (2024). Role of readiness to change in the relationship between workforce agility and digital transformation: A two-timeframe study. </w:t>
      </w:r>
      <w:r w:rsidRPr="00477A65">
        <w:rPr>
          <w:rFonts w:ascii="Times New Roman" w:hAnsi="Times New Roman" w:cs="Times New Roman"/>
          <w:i/>
          <w:iCs/>
          <w:lang w:val="en-US"/>
        </w:rPr>
        <w:t>Journal of Global Information Management</w:t>
      </w:r>
      <w:r w:rsidRPr="00477A65">
        <w:rPr>
          <w:rFonts w:ascii="Times New Roman" w:hAnsi="Times New Roman" w:cs="Times New Roman"/>
          <w:lang w:val="en-US"/>
        </w:rPr>
        <w:t xml:space="preserve">, </w:t>
      </w:r>
      <w:r w:rsidRPr="00477A65">
        <w:rPr>
          <w:rFonts w:ascii="Times New Roman" w:hAnsi="Times New Roman" w:cs="Times New Roman"/>
          <w:i/>
          <w:iCs/>
          <w:lang w:val="en-US"/>
        </w:rPr>
        <w:t>32</w:t>
      </w:r>
      <w:r w:rsidRPr="00477A65">
        <w:rPr>
          <w:rFonts w:ascii="Times New Roman" w:hAnsi="Times New Roman" w:cs="Times New Roman"/>
          <w:lang w:val="en-US"/>
        </w:rPr>
        <w:t xml:space="preserve">(1), 1–23. </w:t>
      </w:r>
      <w:hyperlink r:id="rId9" w:tgtFrame="_blank" w:history="1">
        <w:r w:rsidRPr="00477A65">
          <w:rPr>
            <w:rStyle w:val="Hyperlink"/>
            <w:rFonts w:ascii="Times New Roman" w:hAnsi="Times New Roman" w:cs="Times New Roman"/>
            <w:lang w:val="en-US"/>
          </w:rPr>
          <w:t>https://doi.org/10.4018/JGIM.345241</w:t>
        </w:r>
      </w:hyperlink>
    </w:p>
    <w:p w14:paraId="071FA854" w14:textId="2A8104DD" w:rsidR="008D67DB" w:rsidRPr="00477A65" w:rsidRDefault="008D67DB" w:rsidP="00477A65">
      <w:pPr>
        <w:pStyle w:val="ListParagraph"/>
        <w:numPr>
          <w:ilvl w:val="0"/>
          <w:numId w:val="8"/>
        </w:numPr>
        <w:spacing w:after="0" w:line="240" w:lineRule="auto"/>
        <w:ind w:left="426" w:hanging="426"/>
        <w:jc w:val="both"/>
        <w:rPr>
          <w:rFonts w:ascii="Times New Roman" w:hAnsi="Times New Roman" w:cs="Times New Roman"/>
          <w:lang w:val="en-US"/>
        </w:rPr>
      </w:pPr>
      <w:proofErr w:type="spellStart"/>
      <w:r w:rsidRPr="00477A65">
        <w:rPr>
          <w:rFonts w:ascii="Times New Roman" w:hAnsi="Times New Roman" w:cs="Times New Roman"/>
          <w:lang w:val="en-US"/>
        </w:rPr>
        <w:t>Adiwijaya</w:t>
      </w:r>
      <w:proofErr w:type="spellEnd"/>
      <w:r w:rsidRPr="00477A65">
        <w:rPr>
          <w:rFonts w:ascii="Times New Roman" w:hAnsi="Times New Roman" w:cs="Times New Roman"/>
          <w:lang w:val="en-US"/>
        </w:rPr>
        <w:t xml:space="preserve">, A., </w:t>
      </w:r>
      <w:proofErr w:type="spellStart"/>
      <w:r w:rsidRPr="00477A65">
        <w:rPr>
          <w:rFonts w:ascii="Times New Roman" w:hAnsi="Times New Roman" w:cs="Times New Roman"/>
          <w:lang w:val="en-US"/>
        </w:rPr>
        <w:t>Anggadwita</w:t>
      </w:r>
      <w:proofErr w:type="spellEnd"/>
      <w:r w:rsidRPr="00477A65">
        <w:rPr>
          <w:rFonts w:ascii="Times New Roman" w:hAnsi="Times New Roman" w:cs="Times New Roman"/>
          <w:lang w:val="en-US"/>
        </w:rPr>
        <w:t xml:space="preserve">, G., </w:t>
      </w:r>
      <w:proofErr w:type="spellStart"/>
      <w:r w:rsidRPr="00477A65">
        <w:rPr>
          <w:rFonts w:ascii="Times New Roman" w:hAnsi="Times New Roman" w:cs="Times New Roman"/>
          <w:lang w:val="en-US"/>
        </w:rPr>
        <w:t>Gozali</w:t>
      </w:r>
      <w:proofErr w:type="spellEnd"/>
      <w:r w:rsidRPr="00477A65">
        <w:rPr>
          <w:rFonts w:ascii="Times New Roman" w:hAnsi="Times New Roman" w:cs="Times New Roman"/>
          <w:lang w:val="en-US"/>
        </w:rPr>
        <w:t xml:space="preserve">, A. A., </w:t>
      </w:r>
      <w:proofErr w:type="spellStart"/>
      <w:r w:rsidRPr="00477A65">
        <w:rPr>
          <w:rFonts w:ascii="Times New Roman" w:hAnsi="Times New Roman" w:cs="Times New Roman"/>
          <w:lang w:val="en-US"/>
        </w:rPr>
        <w:t>Ramadhana</w:t>
      </w:r>
      <w:proofErr w:type="spellEnd"/>
      <w:r w:rsidRPr="00477A65">
        <w:rPr>
          <w:rFonts w:ascii="Times New Roman" w:hAnsi="Times New Roman" w:cs="Times New Roman"/>
          <w:lang w:val="en-US"/>
        </w:rPr>
        <w:t xml:space="preserve">, M. R., &amp; </w:t>
      </w:r>
      <w:proofErr w:type="spellStart"/>
      <w:r w:rsidRPr="00477A65">
        <w:rPr>
          <w:rFonts w:ascii="Times New Roman" w:hAnsi="Times New Roman" w:cs="Times New Roman"/>
          <w:lang w:val="en-US"/>
        </w:rPr>
        <w:t>Purbolaksono</w:t>
      </w:r>
      <w:proofErr w:type="spellEnd"/>
      <w:r w:rsidRPr="00477A65">
        <w:rPr>
          <w:rFonts w:ascii="Times New Roman" w:hAnsi="Times New Roman" w:cs="Times New Roman"/>
          <w:lang w:val="en-US"/>
        </w:rPr>
        <w:t xml:space="preserve">, M. D. (2025). Digital transformation in higher education: developing a new framework. </w:t>
      </w:r>
      <w:proofErr w:type="spellStart"/>
      <w:r w:rsidRPr="00477A65">
        <w:rPr>
          <w:rFonts w:ascii="Times New Roman" w:hAnsi="Times New Roman" w:cs="Times New Roman"/>
          <w:i/>
          <w:iCs/>
          <w:lang w:val="en-US"/>
        </w:rPr>
        <w:t>Globalisation</w:t>
      </w:r>
      <w:proofErr w:type="spellEnd"/>
      <w:r w:rsidRPr="00477A65">
        <w:rPr>
          <w:rFonts w:ascii="Times New Roman" w:hAnsi="Times New Roman" w:cs="Times New Roman"/>
          <w:i/>
          <w:iCs/>
          <w:lang w:val="en-US"/>
        </w:rPr>
        <w:t>, Societies and Education</w:t>
      </w:r>
      <w:r w:rsidRPr="00477A65">
        <w:rPr>
          <w:rFonts w:ascii="Times New Roman" w:hAnsi="Times New Roman" w:cs="Times New Roman"/>
          <w:lang w:val="en-US"/>
        </w:rPr>
        <w:t xml:space="preserve">, 23(1), 1–22. </w:t>
      </w:r>
      <w:hyperlink r:id="rId10" w:tgtFrame="_blank" w:history="1">
        <w:r w:rsidRPr="00477A65">
          <w:rPr>
            <w:rStyle w:val="Hyperlink"/>
            <w:rFonts w:ascii="Times New Roman" w:hAnsi="Times New Roman" w:cs="Times New Roman"/>
            <w:lang w:val="en-US"/>
          </w:rPr>
          <w:t>https://doi.org/10.1080/14767724.2025.2520952</w:t>
        </w:r>
      </w:hyperlink>
    </w:p>
    <w:p w14:paraId="042C62AA" w14:textId="77777777" w:rsidR="008D67DB" w:rsidRPr="00477A65" w:rsidRDefault="008D67DB" w:rsidP="00477A65">
      <w:pPr>
        <w:pStyle w:val="ListParagraph"/>
        <w:numPr>
          <w:ilvl w:val="0"/>
          <w:numId w:val="8"/>
        </w:numPr>
        <w:spacing w:after="0" w:line="240" w:lineRule="auto"/>
        <w:ind w:left="426" w:hanging="426"/>
        <w:jc w:val="both"/>
        <w:rPr>
          <w:rFonts w:ascii="Times New Roman" w:hAnsi="Times New Roman" w:cs="Times New Roman"/>
          <w:lang w:val="en-US"/>
        </w:rPr>
      </w:pPr>
      <w:r w:rsidRPr="00477A65">
        <w:rPr>
          <w:rFonts w:ascii="Times New Roman" w:hAnsi="Times New Roman" w:cs="Times New Roman"/>
          <w:lang w:val="en-US"/>
        </w:rPr>
        <w:t xml:space="preserve">Al-Ali, M., &amp; Marks, A. (2022). A digital maturity model for the education enterprise. </w:t>
      </w:r>
      <w:r w:rsidRPr="00477A65">
        <w:rPr>
          <w:rFonts w:ascii="Times New Roman" w:hAnsi="Times New Roman" w:cs="Times New Roman"/>
          <w:i/>
          <w:iCs/>
          <w:lang w:val="en-US"/>
        </w:rPr>
        <w:t>Perspectives: Policy and Practice in Higher Education</w:t>
      </w:r>
      <w:r w:rsidRPr="00477A65">
        <w:rPr>
          <w:rFonts w:ascii="Times New Roman" w:hAnsi="Times New Roman" w:cs="Times New Roman"/>
          <w:lang w:val="en-US"/>
        </w:rPr>
        <w:t xml:space="preserve">, 26(1), 12–21. </w:t>
      </w:r>
      <w:hyperlink r:id="rId11" w:tgtFrame="_blank" w:history="1">
        <w:r w:rsidRPr="00477A65">
          <w:rPr>
            <w:rStyle w:val="Hyperlink"/>
            <w:rFonts w:ascii="Times New Roman" w:hAnsi="Times New Roman" w:cs="Times New Roman"/>
            <w:lang w:val="en-US"/>
          </w:rPr>
          <w:t>https://doi.org/10.1080/13603108.2021.1978578</w:t>
        </w:r>
      </w:hyperlink>
    </w:p>
    <w:p w14:paraId="35D1BEEB" w14:textId="77777777" w:rsidR="008D67DB" w:rsidRPr="00477A65" w:rsidRDefault="008D67DB" w:rsidP="00477A65">
      <w:pPr>
        <w:pStyle w:val="ListParagraph"/>
        <w:numPr>
          <w:ilvl w:val="0"/>
          <w:numId w:val="8"/>
        </w:numPr>
        <w:spacing w:after="0" w:line="240" w:lineRule="auto"/>
        <w:ind w:left="426" w:hanging="426"/>
        <w:jc w:val="both"/>
        <w:rPr>
          <w:rFonts w:ascii="Times New Roman" w:hAnsi="Times New Roman" w:cs="Times New Roman"/>
          <w:lang w:val="en-US"/>
        </w:rPr>
      </w:pPr>
      <w:r w:rsidRPr="00477A65">
        <w:rPr>
          <w:rFonts w:ascii="Times New Roman" w:hAnsi="Times New Roman" w:cs="Times New Roman"/>
          <w:lang w:val="en-US"/>
        </w:rPr>
        <w:t xml:space="preserve">Arnaud, J., Mamede, H., &amp; Branco, F. (2025). The relationship between digital transformation and digital literacy - an explanatory model: Systematic literature review. </w:t>
      </w:r>
      <w:r w:rsidRPr="00477A65">
        <w:rPr>
          <w:rFonts w:ascii="Times New Roman" w:hAnsi="Times New Roman" w:cs="Times New Roman"/>
          <w:i/>
          <w:iCs/>
          <w:lang w:val="en-US"/>
        </w:rPr>
        <w:t>F1000Research</w:t>
      </w:r>
      <w:r w:rsidRPr="00477A65">
        <w:rPr>
          <w:rFonts w:ascii="Times New Roman" w:hAnsi="Times New Roman" w:cs="Times New Roman"/>
          <w:lang w:val="en-US"/>
        </w:rPr>
        <w:t xml:space="preserve">, 14, 146991. </w:t>
      </w:r>
      <w:hyperlink r:id="rId12" w:tgtFrame="_blank" w:history="1">
        <w:r w:rsidRPr="00477A65">
          <w:rPr>
            <w:rStyle w:val="Hyperlink"/>
            <w:rFonts w:ascii="Times New Roman" w:hAnsi="Times New Roman" w:cs="Times New Roman"/>
            <w:lang w:val="en-US"/>
          </w:rPr>
          <w:t>https://doi.org/10.12688/f1000research.146991.2</w:t>
        </w:r>
      </w:hyperlink>
    </w:p>
    <w:p w14:paraId="4A9608D3" w14:textId="77777777" w:rsidR="008D67DB" w:rsidRPr="00477A65" w:rsidRDefault="008D67DB" w:rsidP="00477A65">
      <w:pPr>
        <w:pStyle w:val="ListParagraph"/>
        <w:numPr>
          <w:ilvl w:val="0"/>
          <w:numId w:val="8"/>
        </w:numPr>
        <w:spacing w:after="0" w:line="240" w:lineRule="auto"/>
        <w:ind w:left="426" w:hanging="426"/>
        <w:jc w:val="both"/>
        <w:rPr>
          <w:rFonts w:ascii="Times New Roman" w:hAnsi="Times New Roman" w:cs="Times New Roman"/>
          <w:lang w:val="en-US"/>
        </w:rPr>
      </w:pPr>
      <w:proofErr w:type="spellStart"/>
      <w:r w:rsidRPr="00477A65">
        <w:rPr>
          <w:rFonts w:ascii="Times New Roman" w:hAnsi="Times New Roman" w:cs="Times New Roman"/>
          <w:lang w:val="en-US"/>
        </w:rPr>
        <w:t>Baiyere</w:t>
      </w:r>
      <w:proofErr w:type="spellEnd"/>
      <w:r w:rsidRPr="00477A65">
        <w:rPr>
          <w:rFonts w:ascii="Times New Roman" w:hAnsi="Times New Roman" w:cs="Times New Roman"/>
          <w:lang w:val="en-US"/>
        </w:rPr>
        <w:t xml:space="preserve">, A., </w:t>
      </w:r>
      <w:proofErr w:type="spellStart"/>
      <w:r w:rsidRPr="00477A65">
        <w:rPr>
          <w:rFonts w:ascii="Times New Roman" w:hAnsi="Times New Roman" w:cs="Times New Roman"/>
          <w:lang w:val="en-US"/>
        </w:rPr>
        <w:t>Constantiou</w:t>
      </w:r>
      <w:proofErr w:type="spellEnd"/>
      <w:r w:rsidRPr="00477A65">
        <w:rPr>
          <w:rFonts w:ascii="Times New Roman" w:hAnsi="Times New Roman" w:cs="Times New Roman"/>
          <w:lang w:val="en-US"/>
        </w:rPr>
        <w:t xml:space="preserve">, I., </w:t>
      </w:r>
      <w:proofErr w:type="spellStart"/>
      <w:r w:rsidRPr="00477A65">
        <w:rPr>
          <w:rFonts w:ascii="Times New Roman" w:hAnsi="Times New Roman" w:cs="Times New Roman"/>
          <w:lang w:val="en-US"/>
        </w:rPr>
        <w:t>Indulska</w:t>
      </w:r>
      <w:proofErr w:type="spellEnd"/>
      <w:r w:rsidRPr="00477A65">
        <w:rPr>
          <w:rFonts w:ascii="Times New Roman" w:hAnsi="Times New Roman" w:cs="Times New Roman"/>
          <w:lang w:val="en-US"/>
        </w:rPr>
        <w:t xml:space="preserve">, M., &amp; </w:t>
      </w:r>
      <w:proofErr w:type="spellStart"/>
      <w:r w:rsidRPr="00477A65">
        <w:rPr>
          <w:rFonts w:ascii="Times New Roman" w:hAnsi="Times New Roman" w:cs="Times New Roman"/>
          <w:lang w:val="en-US"/>
        </w:rPr>
        <w:t>Tuunainen</w:t>
      </w:r>
      <w:proofErr w:type="spellEnd"/>
      <w:r w:rsidRPr="00477A65">
        <w:rPr>
          <w:rFonts w:ascii="Times New Roman" w:hAnsi="Times New Roman" w:cs="Times New Roman"/>
          <w:lang w:val="en-US"/>
        </w:rPr>
        <w:t xml:space="preserve">, V. K. (2026). Digital transformation as future-ready strategizing: Beyond the destination view. </w:t>
      </w:r>
      <w:r w:rsidRPr="00477A65">
        <w:rPr>
          <w:rFonts w:ascii="Times New Roman" w:hAnsi="Times New Roman" w:cs="Times New Roman"/>
          <w:i/>
          <w:iCs/>
          <w:lang w:val="en-US"/>
        </w:rPr>
        <w:t>Journal of Strategic Information Systems</w:t>
      </w:r>
      <w:r w:rsidRPr="00477A65">
        <w:rPr>
          <w:rFonts w:ascii="Times New Roman" w:hAnsi="Times New Roman" w:cs="Times New Roman"/>
          <w:lang w:val="en-US"/>
        </w:rPr>
        <w:t xml:space="preserve">, 35(1), 101975. </w:t>
      </w:r>
      <w:hyperlink r:id="rId13" w:tgtFrame="_blank" w:history="1">
        <w:r w:rsidRPr="00477A65">
          <w:rPr>
            <w:rStyle w:val="Hyperlink"/>
            <w:rFonts w:ascii="Times New Roman" w:hAnsi="Times New Roman" w:cs="Times New Roman"/>
            <w:lang w:val="en-US"/>
          </w:rPr>
          <w:t>https://doi.org/10.1016/j.jsis.2026.101975</w:t>
        </w:r>
      </w:hyperlink>
    </w:p>
    <w:p w14:paraId="78DD5D1E" w14:textId="77777777" w:rsidR="008D67DB" w:rsidRPr="00477A65" w:rsidRDefault="008D67DB" w:rsidP="00477A65">
      <w:pPr>
        <w:pStyle w:val="ListParagraph"/>
        <w:numPr>
          <w:ilvl w:val="0"/>
          <w:numId w:val="8"/>
        </w:numPr>
        <w:spacing w:after="0" w:line="240" w:lineRule="auto"/>
        <w:ind w:left="426" w:hanging="426"/>
        <w:jc w:val="both"/>
        <w:rPr>
          <w:rFonts w:ascii="Times New Roman" w:hAnsi="Times New Roman" w:cs="Times New Roman"/>
          <w:lang w:val="en-US"/>
        </w:rPr>
      </w:pPr>
      <w:proofErr w:type="spellStart"/>
      <w:r w:rsidRPr="00477A65">
        <w:rPr>
          <w:rFonts w:ascii="Times New Roman" w:hAnsi="Times New Roman" w:cs="Times New Roman"/>
          <w:lang w:val="en-US"/>
        </w:rPr>
        <w:t>Basalamah</w:t>
      </w:r>
      <w:proofErr w:type="spellEnd"/>
      <w:r w:rsidRPr="00477A65">
        <w:rPr>
          <w:rFonts w:ascii="Times New Roman" w:hAnsi="Times New Roman" w:cs="Times New Roman"/>
          <w:lang w:val="en-US"/>
        </w:rPr>
        <w:t xml:space="preserve">, M. S. A., &amp; </w:t>
      </w:r>
      <w:proofErr w:type="spellStart"/>
      <w:r w:rsidRPr="00477A65">
        <w:rPr>
          <w:rFonts w:ascii="Times New Roman" w:hAnsi="Times New Roman" w:cs="Times New Roman"/>
          <w:lang w:val="en-US"/>
        </w:rPr>
        <w:t>Basalamah</w:t>
      </w:r>
      <w:proofErr w:type="spellEnd"/>
      <w:r w:rsidRPr="00477A65">
        <w:rPr>
          <w:rFonts w:ascii="Times New Roman" w:hAnsi="Times New Roman" w:cs="Times New Roman"/>
          <w:lang w:val="en-US"/>
        </w:rPr>
        <w:t xml:space="preserve">, J. (2025). The role of </w:t>
      </w:r>
      <w:proofErr w:type="spellStart"/>
      <w:r w:rsidRPr="00477A65">
        <w:rPr>
          <w:rFonts w:ascii="Times New Roman" w:hAnsi="Times New Roman" w:cs="Times New Roman"/>
          <w:lang w:val="en-US"/>
        </w:rPr>
        <w:t>organisational</w:t>
      </w:r>
      <w:proofErr w:type="spellEnd"/>
      <w:r w:rsidRPr="00477A65">
        <w:rPr>
          <w:rFonts w:ascii="Times New Roman" w:hAnsi="Times New Roman" w:cs="Times New Roman"/>
          <w:lang w:val="en-US"/>
        </w:rPr>
        <w:t xml:space="preserve"> culture and digital leadership in enhancing employee development skills during digital transformation: Mediating role of technology readiness. </w:t>
      </w:r>
      <w:r w:rsidRPr="00477A65">
        <w:rPr>
          <w:rFonts w:ascii="Times New Roman" w:hAnsi="Times New Roman" w:cs="Times New Roman"/>
          <w:i/>
          <w:iCs/>
          <w:lang w:val="en-US"/>
        </w:rPr>
        <w:t xml:space="preserve">International Journal of Business and </w:t>
      </w:r>
      <w:proofErr w:type="spellStart"/>
      <w:r w:rsidRPr="00477A65">
        <w:rPr>
          <w:rFonts w:ascii="Times New Roman" w:hAnsi="Times New Roman" w:cs="Times New Roman"/>
          <w:i/>
          <w:iCs/>
          <w:lang w:val="en-US"/>
        </w:rPr>
        <w:t>Globalisation</w:t>
      </w:r>
      <w:proofErr w:type="spellEnd"/>
      <w:r w:rsidRPr="00477A65">
        <w:rPr>
          <w:rFonts w:ascii="Times New Roman" w:hAnsi="Times New Roman" w:cs="Times New Roman"/>
          <w:lang w:val="en-US"/>
        </w:rPr>
        <w:t xml:space="preserve">, 34(1), 12–28. </w:t>
      </w:r>
      <w:hyperlink r:id="rId14" w:tgtFrame="_blank" w:history="1">
        <w:r w:rsidRPr="00477A65">
          <w:rPr>
            <w:rStyle w:val="Hyperlink"/>
            <w:rFonts w:ascii="Times New Roman" w:hAnsi="Times New Roman" w:cs="Times New Roman"/>
            <w:lang w:val="en-US"/>
          </w:rPr>
          <w:t>https://doi.org/10.1504/IJBG.2025.149031</w:t>
        </w:r>
      </w:hyperlink>
    </w:p>
    <w:p w14:paraId="5F4A3943" w14:textId="77777777" w:rsidR="008D67DB" w:rsidRPr="00477A65" w:rsidRDefault="008D67DB" w:rsidP="00477A65">
      <w:pPr>
        <w:pStyle w:val="ListParagraph"/>
        <w:numPr>
          <w:ilvl w:val="0"/>
          <w:numId w:val="8"/>
        </w:numPr>
        <w:spacing w:after="0" w:line="240" w:lineRule="auto"/>
        <w:ind w:left="426" w:hanging="426"/>
        <w:jc w:val="both"/>
        <w:rPr>
          <w:rFonts w:ascii="Times New Roman" w:hAnsi="Times New Roman" w:cs="Times New Roman"/>
          <w:lang w:val="en-US"/>
        </w:rPr>
      </w:pPr>
      <w:r w:rsidRPr="00477A65">
        <w:rPr>
          <w:rFonts w:ascii="Times New Roman" w:hAnsi="Times New Roman" w:cs="Times New Roman"/>
          <w:lang w:val="en-US"/>
        </w:rPr>
        <w:t xml:space="preserve">Ben Ghrbeia, S., &amp; Alzubi, A. (2024). Building micro-foundations for digital transformation: A moderated mediation model of the interplay between digital literacy and digital transformation. </w:t>
      </w:r>
      <w:r w:rsidRPr="00477A65">
        <w:rPr>
          <w:rFonts w:ascii="Times New Roman" w:hAnsi="Times New Roman" w:cs="Times New Roman"/>
          <w:i/>
          <w:iCs/>
          <w:lang w:val="en-US"/>
        </w:rPr>
        <w:t>Sustainability</w:t>
      </w:r>
      <w:r w:rsidRPr="00477A65">
        <w:rPr>
          <w:rFonts w:ascii="Times New Roman" w:hAnsi="Times New Roman" w:cs="Times New Roman"/>
          <w:lang w:val="en-US"/>
        </w:rPr>
        <w:t xml:space="preserve">, 16(9), 3749. </w:t>
      </w:r>
      <w:hyperlink r:id="rId15" w:tgtFrame="_blank" w:history="1">
        <w:r w:rsidRPr="00477A65">
          <w:rPr>
            <w:rStyle w:val="Hyperlink"/>
            <w:rFonts w:ascii="Times New Roman" w:hAnsi="Times New Roman" w:cs="Times New Roman"/>
            <w:lang w:val="en-US"/>
          </w:rPr>
          <w:t>https://doi.org/10.3390/su16093749</w:t>
        </w:r>
      </w:hyperlink>
    </w:p>
    <w:p w14:paraId="3D83B8CD" w14:textId="77777777" w:rsidR="008D67DB" w:rsidRPr="00477A65" w:rsidRDefault="008D67DB" w:rsidP="00477A65">
      <w:pPr>
        <w:pStyle w:val="ListParagraph"/>
        <w:numPr>
          <w:ilvl w:val="0"/>
          <w:numId w:val="8"/>
        </w:numPr>
        <w:spacing w:after="0" w:line="240" w:lineRule="auto"/>
        <w:ind w:left="426" w:hanging="426"/>
        <w:jc w:val="both"/>
        <w:rPr>
          <w:rFonts w:ascii="Times New Roman" w:hAnsi="Times New Roman" w:cs="Times New Roman"/>
          <w:lang w:val="en-US"/>
        </w:rPr>
      </w:pPr>
      <w:r w:rsidRPr="00477A65">
        <w:rPr>
          <w:rFonts w:ascii="Times New Roman" w:hAnsi="Times New Roman" w:cs="Times New Roman"/>
          <w:lang w:val="en-US"/>
        </w:rPr>
        <w:t xml:space="preserve">Bhavsar, V., Samanta, P. K., &amp; Balla, B. S. (2025). Enhancing port efficiency and competitiveness through </w:t>
      </w:r>
      <w:proofErr w:type="spellStart"/>
      <w:r w:rsidRPr="00477A65">
        <w:rPr>
          <w:rFonts w:ascii="Times New Roman" w:hAnsi="Times New Roman" w:cs="Times New Roman"/>
          <w:lang w:val="en-US"/>
        </w:rPr>
        <w:t>digitalisation</w:t>
      </w:r>
      <w:proofErr w:type="spellEnd"/>
      <w:r w:rsidRPr="00477A65">
        <w:rPr>
          <w:rFonts w:ascii="Times New Roman" w:hAnsi="Times New Roman" w:cs="Times New Roman"/>
          <w:lang w:val="en-US"/>
        </w:rPr>
        <w:t xml:space="preserve">: An assessment of India’s major ports using the digital readiness index. </w:t>
      </w:r>
      <w:r w:rsidRPr="00477A65">
        <w:rPr>
          <w:rFonts w:ascii="Times New Roman" w:hAnsi="Times New Roman" w:cs="Times New Roman"/>
          <w:i/>
          <w:iCs/>
          <w:lang w:val="en-US"/>
        </w:rPr>
        <w:t>World Review of Intermodal Transportation Research</w:t>
      </w:r>
      <w:r w:rsidRPr="00477A65">
        <w:rPr>
          <w:rFonts w:ascii="Times New Roman" w:hAnsi="Times New Roman" w:cs="Times New Roman"/>
          <w:lang w:val="en-US"/>
        </w:rPr>
        <w:t xml:space="preserve">, 19(2), 221–238. </w:t>
      </w:r>
      <w:hyperlink r:id="rId16" w:tgtFrame="_blank" w:history="1">
        <w:r w:rsidRPr="00477A65">
          <w:rPr>
            <w:rStyle w:val="Hyperlink"/>
            <w:rFonts w:ascii="Times New Roman" w:hAnsi="Times New Roman" w:cs="Times New Roman"/>
            <w:lang w:val="en-US"/>
          </w:rPr>
          <w:t>https://doi.org/10.1504/WRITR.2025.151049</w:t>
        </w:r>
      </w:hyperlink>
    </w:p>
    <w:p w14:paraId="015554D0" w14:textId="097993AC" w:rsidR="008D67DB" w:rsidRPr="00477A65" w:rsidRDefault="008D67DB" w:rsidP="00477A65">
      <w:pPr>
        <w:pStyle w:val="ListParagraph"/>
        <w:numPr>
          <w:ilvl w:val="0"/>
          <w:numId w:val="8"/>
        </w:numPr>
        <w:spacing w:after="0" w:line="240" w:lineRule="auto"/>
        <w:ind w:left="426" w:hanging="426"/>
        <w:jc w:val="both"/>
        <w:rPr>
          <w:rFonts w:ascii="Times New Roman" w:hAnsi="Times New Roman" w:cs="Times New Roman"/>
          <w:lang w:val="en-US"/>
        </w:rPr>
      </w:pPr>
      <w:r w:rsidRPr="00477A65">
        <w:rPr>
          <w:rFonts w:ascii="Times New Roman" w:hAnsi="Times New Roman" w:cs="Times New Roman"/>
          <w:lang w:val="en-US"/>
        </w:rPr>
        <w:t xml:space="preserve">Castro Benavides, L. M., Tamayo-Arias, J. A., Burgos, D., &amp; Martens, A. (2026). Measuring digital transformation in </w:t>
      </w:r>
      <w:r w:rsidR="00992C28" w:rsidRPr="00477A65">
        <w:rPr>
          <w:rFonts w:ascii="Times New Roman" w:hAnsi="Times New Roman" w:cs="Times New Roman"/>
          <w:lang w:val="en-US"/>
        </w:rPr>
        <w:t xml:space="preserve">higher education institutions </w:t>
      </w:r>
      <w:r w:rsidRPr="00477A65">
        <w:rPr>
          <w:rFonts w:ascii="Times New Roman" w:hAnsi="Times New Roman" w:cs="Times New Roman"/>
          <w:lang w:val="en-US"/>
        </w:rPr>
        <w:t xml:space="preserve">– content validity instrument. </w:t>
      </w:r>
      <w:r w:rsidRPr="00477A65">
        <w:rPr>
          <w:rFonts w:ascii="Times New Roman" w:hAnsi="Times New Roman" w:cs="Times New Roman"/>
          <w:i/>
          <w:iCs/>
          <w:lang w:val="en-US"/>
        </w:rPr>
        <w:t>Applied Computing and Informatics</w:t>
      </w:r>
      <w:r w:rsidRPr="00477A65">
        <w:rPr>
          <w:rFonts w:ascii="Times New Roman" w:hAnsi="Times New Roman" w:cs="Times New Roman"/>
          <w:lang w:val="en-US"/>
        </w:rPr>
        <w:t xml:space="preserve">, 26(1), 1–15. </w:t>
      </w:r>
      <w:hyperlink r:id="rId17" w:tgtFrame="_blank" w:history="1">
        <w:r w:rsidRPr="00477A65">
          <w:rPr>
            <w:rStyle w:val="Hyperlink"/>
            <w:rFonts w:ascii="Times New Roman" w:hAnsi="Times New Roman" w:cs="Times New Roman"/>
            <w:lang w:val="en-US"/>
          </w:rPr>
          <w:t>https://doi.org/10.1108/ACI-03-2022-0069</w:t>
        </w:r>
      </w:hyperlink>
    </w:p>
    <w:p w14:paraId="41A355DA" w14:textId="77777777" w:rsidR="008D67DB" w:rsidRPr="00477A65" w:rsidRDefault="008D67DB" w:rsidP="00477A65">
      <w:pPr>
        <w:pStyle w:val="ListParagraph"/>
        <w:numPr>
          <w:ilvl w:val="0"/>
          <w:numId w:val="8"/>
        </w:numPr>
        <w:spacing w:after="0" w:line="240" w:lineRule="auto"/>
        <w:ind w:left="426" w:hanging="426"/>
        <w:jc w:val="both"/>
        <w:rPr>
          <w:rFonts w:ascii="Times New Roman" w:hAnsi="Times New Roman" w:cs="Times New Roman"/>
          <w:lang w:val="en-US"/>
        </w:rPr>
      </w:pPr>
      <w:proofErr w:type="spellStart"/>
      <w:r w:rsidRPr="00477A65">
        <w:rPr>
          <w:rFonts w:ascii="Times New Roman" w:hAnsi="Times New Roman" w:cs="Times New Roman"/>
          <w:bCs/>
        </w:rPr>
        <w:t>Chikaji</w:t>
      </w:r>
      <w:proofErr w:type="spellEnd"/>
      <w:r w:rsidRPr="00477A65">
        <w:rPr>
          <w:rFonts w:ascii="Times New Roman" w:hAnsi="Times New Roman" w:cs="Times New Roman"/>
          <w:bCs/>
        </w:rPr>
        <w:t xml:space="preserve">, A. I., </w:t>
      </w:r>
      <w:r w:rsidRPr="00477A65">
        <w:rPr>
          <w:rFonts w:ascii="Times New Roman" w:hAnsi="Times New Roman" w:cs="Times New Roman"/>
        </w:rPr>
        <w:t>Salisu, B.</w:t>
      </w:r>
      <w:r w:rsidRPr="00477A65">
        <w:rPr>
          <w:rFonts w:ascii="Times New Roman" w:hAnsi="Times New Roman" w:cs="Times New Roman"/>
          <w:bCs/>
        </w:rPr>
        <w:t xml:space="preserve"> and Numan, P. E. (2024). Blended learning and student engagement in post-pandemic Northern Nigerian universities. </w:t>
      </w:r>
      <w:r w:rsidRPr="00477A65">
        <w:rPr>
          <w:rFonts w:ascii="Times New Roman" w:hAnsi="Times New Roman" w:cs="Times New Roman"/>
          <w:bCs/>
          <w:i/>
          <w:iCs/>
        </w:rPr>
        <w:t>International Journal of Economics &amp; Development Policy</w:t>
      </w:r>
      <w:r w:rsidRPr="00477A65">
        <w:rPr>
          <w:rFonts w:ascii="Times New Roman" w:hAnsi="Times New Roman" w:cs="Times New Roman"/>
          <w:bCs/>
        </w:rPr>
        <w:t xml:space="preserve">, </w:t>
      </w:r>
      <w:r w:rsidRPr="00477A65">
        <w:rPr>
          <w:rFonts w:ascii="Times New Roman" w:hAnsi="Times New Roman" w:cs="Times New Roman"/>
          <w:b/>
          <w:bCs/>
          <w:i/>
          <w:iCs/>
        </w:rPr>
        <w:t>7</w:t>
      </w:r>
      <w:r w:rsidRPr="00477A65">
        <w:rPr>
          <w:rFonts w:ascii="Times New Roman" w:hAnsi="Times New Roman" w:cs="Times New Roman"/>
          <w:bCs/>
        </w:rPr>
        <w:t>(1), 195-218.</w:t>
      </w:r>
    </w:p>
    <w:p w14:paraId="32215F11" w14:textId="77777777" w:rsidR="008D67DB" w:rsidRPr="00477A65" w:rsidRDefault="008D67DB" w:rsidP="00477A65">
      <w:pPr>
        <w:pStyle w:val="ListParagraph"/>
        <w:numPr>
          <w:ilvl w:val="0"/>
          <w:numId w:val="8"/>
        </w:numPr>
        <w:spacing w:after="0" w:line="240" w:lineRule="auto"/>
        <w:ind w:left="426" w:hanging="426"/>
        <w:jc w:val="both"/>
        <w:rPr>
          <w:rFonts w:ascii="Times New Roman" w:hAnsi="Times New Roman" w:cs="Times New Roman"/>
        </w:rPr>
      </w:pPr>
      <w:proofErr w:type="spellStart"/>
      <w:r w:rsidRPr="00477A65">
        <w:rPr>
          <w:rFonts w:ascii="Times New Roman" w:hAnsi="Times New Roman" w:cs="Times New Roman"/>
          <w:lang w:val="en-US"/>
        </w:rPr>
        <w:lastRenderedPageBreak/>
        <w:t>Chounta</w:t>
      </w:r>
      <w:proofErr w:type="spellEnd"/>
      <w:r w:rsidRPr="00477A65">
        <w:rPr>
          <w:rFonts w:ascii="Times New Roman" w:hAnsi="Times New Roman" w:cs="Times New Roman"/>
          <w:lang w:val="en-US"/>
        </w:rPr>
        <w:t xml:space="preserve">, I.-A., Ortega-Arranz, A., Daskalaki, S., &amp; </w:t>
      </w:r>
      <w:proofErr w:type="spellStart"/>
      <w:r w:rsidRPr="00477A65">
        <w:rPr>
          <w:rFonts w:ascii="Times New Roman" w:hAnsi="Times New Roman" w:cs="Times New Roman"/>
          <w:lang w:val="en-US"/>
        </w:rPr>
        <w:t>Avouris</w:t>
      </w:r>
      <w:proofErr w:type="spellEnd"/>
      <w:r w:rsidRPr="00477A65">
        <w:rPr>
          <w:rFonts w:ascii="Times New Roman" w:hAnsi="Times New Roman" w:cs="Times New Roman"/>
          <w:lang w:val="en-US"/>
        </w:rPr>
        <w:t xml:space="preserve">, N. (2024). Toward a data-informed framework for the assessment of digital readiness of polytechnic and universities. </w:t>
      </w:r>
      <w:r w:rsidRPr="00477A65">
        <w:rPr>
          <w:rFonts w:ascii="Times New Roman" w:hAnsi="Times New Roman" w:cs="Times New Roman"/>
          <w:i/>
          <w:iCs/>
          <w:lang w:val="en-US"/>
        </w:rPr>
        <w:t>International Journal of Educational Technology in Higher Education</w:t>
      </w:r>
      <w:r w:rsidRPr="00477A65">
        <w:rPr>
          <w:rFonts w:ascii="Times New Roman" w:hAnsi="Times New Roman" w:cs="Times New Roman"/>
          <w:lang w:val="en-US"/>
        </w:rPr>
        <w:t xml:space="preserve">, 21(1), Article 23. </w:t>
      </w:r>
      <w:hyperlink r:id="rId18" w:tgtFrame="_blank" w:history="1">
        <w:r w:rsidRPr="00477A65">
          <w:rPr>
            <w:rStyle w:val="Hyperlink"/>
            <w:rFonts w:ascii="Times New Roman" w:hAnsi="Times New Roman" w:cs="Times New Roman"/>
            <w:lang w:val="en-US"/>
          </w:rPr>
          <w:t>https://doi.org/10.1186/s41239-024-00491-0</w:t>
        </w:r>
      </w:hyperlink>
    </w:p>
    <w:p w14:paraId="4548F06F" w14:textId="77777777" w:rsidR="008D67DB" w:rsidRPr="00477A65" w:rsidRDefault="008D67DB" w:rsidP="00477A65">
      <w:pPr>
        <w:pStyle w:val="ListParagraph"/>
        <w:numPr>
          <w:ilvl w:val="0"/>
          <w:numId w:val="8"/>
        </w:numPr>
        <w:spacing w:after="0" w:line="240" w:lineRule="auto"/>
        <w:ind w:left="426" w:hanging="426"/>
        <w:jc w:val="both"/>
        <w:rPr>
          <w:rFonts w:ascii="Times New Roman" w:hAnsi="Times New Roman" w:cs="Times New Roman"/>
          <w:lang w:val="en-US"/>
        </w:rPr>
      </w:pPr>
      <w:r w:rsidRPr="00477A65">
        <w:rPr>
          <w:rFonts w:ascii="Times New Roman" w:hAnsi="Times New Roman" w:cs="Times New Roman"/>
          <w:lang w:val="en-US"/>
        </w:rPr>
        <w:t xml:space="preserve">Cochran, W. G. (1977). </w:t>
      </w:r>
      <w:r w:rsidRPr="00477A65">
        <w:rPr>
          <w:rFonts w:ascii="Times New Roman" w:hAnsi="Times New Roman" w:cs="Times New Roman"/>
          <w:i/>
          <w:iCs/>
          <w:lang w:val="en-US"/>
        </w:rPr>
        <w:t>Sampling techniques</w:t>
      </w:r>
      <w:r w:rsidRPr="00477A65">
        <w:rPr>
          <w:rFonts w:ascii="Times New Roman" w:hAnsi="Times New Roman" w:cs="Times New Roman"/>
          <w:lang w:val="en-US"/>
        </w:rPr>
        <w:t xml:space="preserve"> (3rd ed.). New York: John Wiley &amp; Sons.</w:t>
      </w:r>
    </w:p>
    <w:p w14:paraId="1A3CA353" w14:textId="77777777" w:rsidR="008D67DB" w:rsidRPr="00477A65" w:rsidRDefault="008D67DB" w:rsidP="00477A65">
      <w:pPr>
        <w:pStyle w:val="ListParagraph"/>
        <w:numPr>
          <w:ilvl w:val="0"/>
          <w:numId w:val="8"/>
        </w:numPr>
        <w:spacing w:after="0" w:line="240" w:lineRule="auto"/>
        <w:ind w:left="426" w:hanging="426"/>
        <w:jc w:val="both"/>
        <w:rPr>
          <w:rFonts w:ascii="Times New Roman" w:hAnsi="Times New Roman" w:cs="Times New Roman"/>
          <w:lang w:val="en-US"/>
        </w:rPr>
      </w:pPr>
      <w:r w:rsidRPr="00477A65">
        <w:rPr>
          <w:rFonts w:ascii="Times New Roman" w:hAnsi="Times New Roman" w:cs="Times New Roman"/>
          <w:lang w:val="en-US"/>
        </w:rPr>
        <w:t xml:space="preserve">Cubillas-Para, C., Cegarra-Navarro, J. G., &amp; </w:t>
      </w:r>
      <w:proofErr w:type="spellStart"/>
      <w:r w:rsidRPr="00477A65">
        <w:rPr>
          <w:rFonts w:ascii="Times New Roman" w:hAnsi="Times New Roman" w:cs="Times New Roman"/>
          <w:lang w:val="en-US"/>
        </w:rPr>
        <w:t>Vǎtǎmǎnescu</w:t>
      </w:r>
      <w:proofErr w:type="spellEnd"/>
      <w:r w:rsidRPr="00477A65">
        <w:rPr>
          <w:rFonts w:ascii="Times New Roman" w:hAnsi="Times New Roman" w:cs="Times New Roman"/>
          <w:lang w:val="en-US"/>
        </w:rPr>
        <w:t xml:space="preserve">, E.-M. (2024). Gliding from regenerative unlearning toward digital transformation via collaboration with customers and </w:t>
      </w:r>
      <w:proofErr w:type="spellStart"/>
      <w:r w:rsidRPr="00477A65">
        <w:rPr>
          <w:rFonts w:ascii="Times New Roman" w:hAnsi="Times New Roman" w:cs="Times New Roman"/>
          <w:lang w:val="en-US"/>
        </w:rPr>
        <w:t>organisational</w:t>
      </w:r>
      <w:proofErr w:type="spellEnd"/>
      <w:r w:rsidRPr="00477A65">
        <w:rPr>
          <w:rFonts w:ascii="Times New Roman" w:hAnsi="Times New Roman" w:cs="Times New Roman"/>
          <w:lang w:val="en-US"/>
        </w:rPr>
        <w:t xml:space="preserve"> agility. </w:t>
      </w:r>
      <w:r w:rsidRPr="00477A65">
        <w:rPr>
          <w:rFonts w:ascii="Times New Roman" w:hAnsi="Times New Roman" w:cs="Times New Roman"/>
          <w:i/>
          <w:iCs/>
          <w:lang w:val="en-US"/>
        </w:rPr>
        <w:t>Journal of Business Research</w:t>
      </w:r>
      <w:r w:rsidRPr="00477A65">
        <w:rPr>
          <w:rFonts w:ascii="Times New Roman" w:hAnsi="Times New Roman" w:cs="Times New Roman"/>
          <w:lang w:val="en-US"/>
        </w:rPr>
        <w:t xml:space="preserve">, 181, 114637. </w:t>
      </w:r>
      <w:hyperlink r:id="rId19" w:tgtFrame="_blank" w:history="1">
        <w:r w:rsidRPr="00477A65">
          <w:rPr>
            <w:rStyle w:val="Hyperlink"/>
            <w:rFonts w:ascii="Times New Roman" w:hAnsi="Times New Roman" w:cs="Times New Roman"/>
            <w:lang w:val="en-US"/>
          </w:rPr>
          <w:t>https://doi.org/10.1016/j.jbusres.2024.114637</w:t>
        </w:r>
      </w:hyperlink>
    </w:p>
    <w:p w14:paraId="23526831" w14:textId="77777777" w:rsidR="008D67DB" w:rsidRPr="00477A65" w:rsidRDefault="008D67DB" w:rsidP="00477A65">
      <w:pPr>
        <w:pStyle w:val="ListParagraph"/>
        <w:numPr>
          <w:ilvl w:val="0"/>
          <w:numId w:val="8"/>
        </w:numPr>
        <w:spacing w:after="0" w:line="240" w:lineRule="auto"/>
        <w:ind w:left="426" w:hanging="426"/>
        <w:jc w:val="both"/>
        <w:rPr>
          <w:rFonts w:ascii="Times New Roman" w:hAnsi="Times New Roman" w:cs="Times New Roman"/>
        </w:rPr>
      </w:pPr>
      <w:r w:rsidRPr="00477A65">
        <w:rPr>
          <w:rFonts w:ascii="Times New Roman" w:hAnsi="Times New Roman" w:cs="Times New Roman"/>
        </w:rPr>
        <w:t xml:space="preserve">Dosek, T. (2020). Multilevel research designs: Case selection, levels of analysis, and scope conditions. </w:t>
      </w:r>
      <w:r w:rsidRPr="00477A65">
        <w:rPr>
          <w:rFonts w:ascii="Times New Roman" w:hAnsi="Times New Roman" w:cs="Times New Roman"/>
          <w:i/>
          <w:iCs/>
        </w:rPr>
        <w:t>Studies in Comparative International Development</w:t>
      </w:r>
      <w:r w:rsidRPr="00477A65">
        <w:rPr>
          <w:rFonts w:ascii="Times New Roman" w:hAnsi="Times New Roman" w:cs="Times New Roman"/>
        </w:rPr>
        <w:t xml:space="preserve">, </w:t>
      </w:r>
      <w:r w:rsidRPr="00477A65">
        <w:rPr>
          <w:rFonts w:ascii="Times New Roman" w:hAnsi="Times New Roman" w:cs="Times New Roman"/>
          <w:i/>
          <w:iCs/>
        </w:rPr>
        <w:t>55</w:t>
      </w:r>
      <w:r w:rsidRPr="00477A65">
        <w:rPr>
          <w:rFonts w:ascii="Times New Roman" w:hAnsi="Times New Roman" w:cs="Times New Roman"/>
        </w:rPr>
        <w:t xml:space="preserve">(4), 460-480. </w:t>
      </w:r>
      <w:hyperlink r:id="rId20" w:history="1">
        <w:r w:rsidRPr="00477A65">
          <w:rPr>
            <w:rStyle w:val="Hyperlink"/>
            <w:rFonts w:ascii="Times New Roman" w:hAnsi="Times New Roman" w:cs="Times New Roman"/>
          </w:rPr>
          <w:t>https://doi.org/10.1007/s12116-020-09313-6</w:t>
        </w:r>
      </w:hyperlink>
    </w:p>
    <w:p w14:paraId="2B73ECC1" w14:textId="77777777" w:rsidR="008D67DB" w:rsidRPr="00477A65" w:rsidRDefault="008D67DB" w:rsidP="00477A65">
      <w:pPr>
        <w:pStyle w:val="ListParagraph"/>
        <w:numPr>
          <w:ilvl w:val="0"/>
          <w:numId w:val="8"/>
        </w:numPr>
        <w:spacing w:after="0" w:line="240" w:lineRule="auto"/>
        <w:ind w:left="426" w:hanging="426"/>
        <w:jc w:val="both"/>
        <w:rPr>
          <w:rFonts w:ascii="Times New Roman" w:hAnsi="Times New Roman" w:cs="Times New Roman"/>
          <w:lang w:val="en-US"/>
        </w:rPr>
      </w:pPr>
      <w:r w:rsidRPr="00477A65">
        <w:rPr>
          <w:rFonts w:ascii="Times New Roman" w:hAnsi="Times New Roman" w:cs="Times New Roman"/>
          <w:lang w:val="en-US"/>
        </w:rPr>
        <w:t xml:space="preserve">Fu, F., Zha, W., &amp; Zhou, Q. (2023). The impact of enterprise digital capability on employee sustainable performance: From the perspective of employee learning. </w:t>
      </w:r>
      <w:r w:rsidRPr="00477A65">
        <w:rPr>
          <w:rFonts w:ascii="Times New Roman" w:hAnsi="Times New Roman" w:cs="Times New Roman"/>
          <w:i/>
          <w:iCs/>
          <w:lang w:val="en-US"/>
        </w:rPr>
        <w:t>Sustainability</w:t>
      </w:r>
      <w:r w:rsidRPr="00477A65">
        <w:rPr>
          <w:rFonts w:ascii="Times New Roman" w:hAnsi="Times New Roman" w:cs="Times New Roman"/>
          <w:lang w:val="en-US"/>
        </w:rPr>
        <w:t xml:space="preserve">, 15(17), 12897. </w:t>
      </w:r>
      <w:hyperlink r:id="rId21" w:tgtFrame="_blank" w:history="1">
        <w:r w:rsidRPr="00477A65">
          <w:rPr>
            <w:rStyle w:val="Hyperlink"/>
            <w:rFonts w:ascii="Times New Roman" w:hAnsi="Times New Roman" w:cs="Times New Roman"/>
            <w:lang w:val="en-US"/>
          </w:rPr>
          <w:t>https://doi.org/10.3390/su151712897</w:t>
        </w:r>
      </w:hyperlink>
    </w:p>
    <w:p w14:paraId="194E707F" w14:textId="77777777" w:rsidR="008D67DB" w:rsidRPr="00477A65" w:rsidRDefault="008D67DB" w:rsidP="00477A65">
      <w:pPr>
        <w:pStyle w:val="ListParagraph"/>
        <w:numPr>
          <w:ilvl w:val="0"/>
          <w:numId w:val="8"/>
        </w:numPr>
        <w:spacing w:after="0" w:line="240" w:lineRule="auto"/>
        <w:ind w:left="426" w:hanging="426"/>
        <w:jc w:val="both"/>
        <w:rPr>
          <w:rFonts w:ascii="Times New Roman" w:hAnsi="Times New Roman" w:cs="Times New Roman"/>
          <w:lang w:val="en-US"/>
        </w:rPr>
      </w:pPr>
      <w:r w:rsidRPr="00477A65">
        <w:rPr>
          <w:rFonts w:ascii="Times New Roman" w:hAnsi="Times New Roman" w:cs="Times New Roman"/>
          <w:lang w:val="en-US"/>
        </w:rPr>
        <w:t xml:space="preserve">González Pérez, L.-I., Enciso-González, J. A., Vicario Solorzano, C. M., &amp; Ramirez-Montoya, M.-S. (2025). Measuring Digital Transformation in Education 4.0 with DT-Smarty: Valid and Reliable Model. </w:t>
      </w:r>
      <w:r w:rsidRPr="00477A65">
        <w:rPr>
          <w:rFonts w:ascii="Times New Roman" w:hAnsi="Times New Roman" w:cs="Times New Roman"/>
          <w:i/>
          <w:iCs/>
          <w:lang w:val="en-US"/>
        </w:rPr>
        <w:t>Technology, Knowledge and Learning</w:t>
      </w:r>
      <w:r w:rsidRPr="00477A65">
        <w:rPr>
          <w:rFonts w:ascii="Times New Roman" w:hAnsi="Times New Roman" w:cs="Times New Roman"/>
          <w:lang w:val="en-US"/>
        </w:rPr>
        <w:t xml:space="preserve">, 30(1), 45–68. </w:t>
      </w:r>
      <w:hyperlink r:id="rId22" w:tgtFrame="_blank" w:history="1">
        <w:r w:rsidRPr="00477A65">
          <w:rPr>
            <w:rStyle w:val="Hyperlink"/>
            <w:rFonts w:ascii="Times New Roman" w:hAnsi="Times New Roman" w:cs="Times New Roman"/>
            <w:lang w:val="en-US"/>
          </w:rPr>
          <w:t>https://doi.org/10.1007/s10758-025-09844-8</w:t>
        </w:r>
      </w:hyperlink>
    </w:p>
    <w:p w14:paraId="713E7D71" w14:textId="77777777" w:rsidR="008D67DB" w:rsidRPr="00477A65" w:rsidRDefault="008D67DB" w:rsidP="00477A65">
      <w:pPr>
        <w:pStyle w:val="ListParagraph"/>
        <w:numPr>
          <w:ilvl w:val="0"/>
          <w:numId w:val="8"/>
        </w:numPr>
        <w:spacing w:after="0" w:line="240" w:lineRule="auto"/>
        <w:ind w:left="426" w:hanging="426"/>
        <w:jc w:val="both"/>
        <w:rPr>
          <w:rFonts w:ascii="Times New Roman" w:hAnsi="Times New Roman" w:cs="Times New Roman"/>
          <w:lang w:val="en-US"/>
        </w:rPr>
      </w:pPr>
      <w:r w:rsidRPr="00477A65">
        <w:rPr>
          <w:rFonts w:ascii="Times New Roman" w:hAnsi="Times New Roman" w:cs="Times New Roman"/>
          <w:lang w:val="en-US"/>
        </w:rPr>
        <w:t xml:space="preserve">Hair, J. F., Hult, G. T. M., Ringle, C. M., &amp; Sarstedt, M. (2021). </w:t>
      </w:r>
      <w:r w:rsidRPr="00477A65">
        <w:rPr>
          <w:rFonts w:ascii="Times New Roman" w:hAnsi="Times New Roman" w:cs="Times New Roman"/>
          <w:i/>
          <w:iCs/>
          <w:lang w:val="en-US"/>
        </w:rPr>
        <w:t>Partial least squares structural equation modeling (PLS-SEM) using R: A workbook</w:t>
      </w:r>
      <w:r w:rsidRPr="00477A65">
        <w:rPr>
          <w:rFonts w:ascii="Times New Roman" w:hAnsi="Times New Roman" w:cs="Times New Roman"/>
          <w:lang w:val="en-US"/>
        </w:rPr>
        <w:t xml:space="preserve">. Springer Nature. </w:t>
      </w:r>
      <w:hyperlink r:id="rId23" w:tgtFrame="_blank" w:history="1">
        <w:r w:rsidRPr="00477A65">
          <w:rPr>
            <w:rStyle w:val="Hyperlink"/>
            <w:rFonts w:ascii="Times New Roman" w:hAnsi="Times New Roman" w:cs="Times New Roman"/>
            <w:lang w:val="en-US"/>
          </w:rPr>
          <w:t>https://doi.org/10.1007/978-3-030-80519-7</w:t>
        </w:r>
      </w:hyperlink>
    </w:p>
    <w:p w14:paraId="055F58EE" w14:textId="77777777" w:rsidR="008D67DB" w:rsidRPr="00477A65" w:rsidRDefault="008D67DB" w:rsidP="00477A65">
      <w:pPr>
        <w:pStyle w:val="ListParagraph"/>
        <w:numPr>
          <w:ilvl w:val="0"/>
          <w:numId w:val="8"/>
        </w:numPr>
        <w:spacing w:after="0" w:line="240" w:lineRule="auto"/>
        <w:ind w:left="426" w:hanging="426"/>
        <w:jc w:val="both"/>
        <w:rPr>
          <w:rFonts w:ascii="Times New Roman" w:hAnsi="Times New Roman" w:cs="Times New Roman"/>
          <w:lang w:val="en-US"/>
        </w:rPr>
      </w:pPr>
      <w:r w:rsidRPr="00477A65">
        <w:rPr>
          <w:rFonts w:ascii="Times New Roman" w:hAnsi="Times New Roman" w:cs="Times New Roman"/>
          <w:lang w:val="en-US"/>
        </w:rPr>
        <w:t xml:space="preserve">Hamid, R. (2022). The role of employees’ technology readiness, job meaningfulness and proactive personality in adaptive performance. </w:t>
      </w:r>
      <w:r w:rsidRPr="00477A65">
        <w:rPr>
          <w:rFonts w:ascii="Times New Roman" w:hAnsi="Times New Roman" w:cs="Times New Roman"/>
          <w:i/>
          <w:iCs/>
          <w:lang w:val="en-US"/>
        </w:rPr>
        <w:t>Sustainability</w:t>
      </w:r>
      <w:r w:rsidRPr="00477A65">
        <w:rPr>
          <w:rFonts w:ascii="Times New Roman" w:hAnsi="Times New Roman" w:cs="Times New Roman"/>
          <w:lang w:val="en-US"/>
        </w:rPr>
        <w:t xml:space="preserve">, 14(23), 15696. </w:t>
      </w:r>
      <w:hyperlink r:id="rId24" w:tgtFrame="_blank" w:history="1">
        <w:r w:rsidRPr="00477A65">
          <w:rPr>
            <w:rStyle w:val="Hyperlink"/>
            <w:rFonts w:ascii="Times New Roman" w:hAnsi="Times New Roman" w:cs="Times New Roman"/>
            <w:lang w:val="en-US"/>
          </w:rPr>
          <w:t>https://doi.org/10.3390/su142315696</w:t>
        </w:r>
      </w:hyperlink>
    </w:p>
    <w:p w14:paraId="35E3661F" w14:textId="77777777" w:rsidR="008D67DB" w:rsidRPr="00477A65" w:rsidRDefault="008D67DB" w:rsidP="00477A65">
      <w:pPr>
        <w:pStyle w:val="ListParagraph"/>
        <w:numPr>
          <w:ilvl w:val="0"/>
          <w:numId w:val="8"/>
        </w:numPr>
        <w:spacing w:after="0" w:line="240" w:lineRule="auto"/>
        <w:ind w:left="426" w:hanging="426"/>
        <w:jc w:val="both"/>
        <w:rPr>
          <w:rFonts w:ascii="Times New Roman" w:hAnsi="Times New Roman" w:cs="Times New Roman"/>
          <w:lang w:val="en-US"/>
        </w:rPr>
      </w:pPr>
      <w:proofErr w:type="spellStart"/>
      <w:r w:rsidRPr="00477A65">
        <w:rPr>
          <w:rFonts w:ascii="Times New Roman" w:hAnsi="Times New Roman" w:cs="Times New Roman"/>
          <w:lang w:val="en-US"/>
        </w:rPr>
        <w:t>Höyng</w:t>
      </w:r>
      <w:proofErr w:type="spellEnd"/>
      <w:r w:rsidRPr="00477A65">
        <w:rPr>
          <w:rFonts w:ascii="Times New Roman" w:hAnsi="Times New Roman" w:cs="Times New Roman"/>
          <w:lang w:val="en-US"/>
        </w:rPr>
        <w:t xml:space="preserve">, M., &amp; Lau, A. (2023). Being ready for digital transformation: How to enhance employees’ intentional digital readiness. </w:t>
      </w:r>
      <w:r w:rsidRPr="00477A65">
        <w:rPr>
          <w:rFonts w:ascii="Times New Roman" w:hAnsi="Times New Roman" w:cs="Times New Roman"/>
          <w:i/>
          <w:iCs/>
          <w:lang w:val="en-US"/>
        </w:rPr>
        <w:t>Computers in Human Behavior Reports</w:t>
      </w:r>
      <w:r w:rsidRPr="00477A65">
        <w:rPr>
          <w:rFonts w:ascii="Times New Roman" w:hAnsi="Times New Roman" w:cs="Times New Roman"/>
          <w:lang w:val="en-US"/>
        </w:rPr>
        <w:t xml:space="preserve">, 12, 100314. </w:t>
      </w:r>
      <w:hyperlink r:id="rId25" w:tgtFrame="_blank" w:history="1">
        <w:r w:rsidRPr="00477A65">
          <w:rPr>
            <w:rStyle w:val="Hyperlink"/>
            <w:rFonts w:ascii="Times New Roman" w:hAnsi="Times New Roman" w:cs="Times New Roman"/>
            <w:lang w:val="en-US"/>
          </w:rPr>
          <w:t>https://doi.org/10.1016/j.chbr.2023.100314</w:t>
        </w:r>
      </w:hyperlink>
    </w:p>
    <w:p w14:paraId="553E8EB2" w14:textId="77777777" w:rsidR="008D67DB" w:rsidRPr="00477A65" w:rsidRDefault="008D67DB" w:rsidP="00477A65">
      <w:pPr>
        <w:pStyle w:val="ListParagraph"/>
        <w:numPr>
          <w:ilvl w:val="0"/>
          <w:numId w:val="8"/>
        </w:numPr>
        <w:spacing w:after="0" w:line="240" w:lineRule="auto"/>
        <w:ind w:left="426" w:hanging="426"/>
        <w:jc w:val="both"/>
        <w:rPr>
          <w:rFonts w:ascii="Times New Roman" w:hAnsi="Times New Roman" w:cs="Times New Roman"/>
          <w:lang w:val="en-US"/>
        </w:rPr>
      </w:pPr>
      <w:proofErr w:type="spellStart"/>
      <w:r w:rsidRPr="00477A65">
        <w:rPr>
          <w:rFonts w:ascii="Times New Roman" w:hAnsi="Times New Roman" w:cs="Times New Roman"/>
          <w:lang w:val="en-US"/>
        </w:rPr>
        <w:t>Kadoić</w:t>
      </w:r>
      <w:proofErr w:type="spellEnd"/>
      <w:r w:rsidRPr="00477A65">
        <w:rPr>
          <w:rFonts w:ascii="Times New Roman" w:hAnsi="Times New Roman" w:cs="Times New Roman"/>
          <w:lang w:val="en-US"/>
        </w:rPr>
        <w:t xml:space="preserve">, N., </w:t>
      </w:r>
      <w:proofErr w:type="spellStart"/>
      <w:r w:rsidRPr="00477A65">
        <w:rPr>
          <w:rFonts w:ascii="Times New Roman" w:hAnsi="Times New Roman" w:cs="Times New Roman"/>
          <w:lang w:val="en-US"/>
        </w:rPr>
        <w:t>Monllau</w:t>
      </w:r>
      <w:proofErr w:type="spellEnd"/>
      <w:r w:rsidRPr="00477A65">
        <w:rPr>
          <w:rFonts w:ascii="Times New Roman" w:hAnsi="Times New Roman" w:cs="Times New Roman"/>
          <w:lang w:val="en-US"/>
        </w:rPr>
        <w:t xml:space="preserve">, T., &amp; </w:t>
      </w:r>
      <w:proofErr w:type="spellStart"/>
      <w:r w:rsidRPr="00477A65">
        <w:rPr>
          <w:rFonts w:ascii="Times New Roman" w:hAnsi="Times New Roman" w:cs="Times New Roman"/>
          <w:lang w:val="en-US"/>
        </w:rPr>
        <w:t>Lacueva</w:t>
      </w:r>
      <w:proofErr w:type="spellEnd"/>
      <w:r w:rsidRPr="00477A65">
        <w:rPr>
          <w:rFonts w:ascii="Times New Roman" w:hAnsi="Times New Roman" w:cs="Times New Roman"/>
          <w:lang w:val="en-US"/>
        </w:rPr>
        <w:t xml:space="preserve"> Rueda, J. (2024). Measuring the digital maturity of </w:t>
      </w:r>
      <w:proofErr w:type="spellStart"/>
      <w:r w:rsidRPr="00477A65">
        <w:rPr>
          <w:rFonts w:ascii="Times New Roman" w:hAnsi="Times New Roman" w:cs="Times New Roman"/>
          <w:lang w:val="en-US"/>
        </w:rPr>
        <w:t>organisations</w:t>
      </w:r>
      <w:proofErr w:type="spellEnd"/>
      <w:r w:rsidRPr="00477A65">
        <w:rPr>
          <w:rFonts w:ascii="Times New Roman" w:hAnsi="Times New Roman" w:cs="Times New Roman"/>
          <w:lang w:val="en-US"/>
        </w:rPr>
        <w:t xml:space="preserve"> in the people care sector. </w:t>
      </w:r>
      <w:r w:rsidRPr="00477A65">
        <w:rPr>
          <w:rFonts w:ascii="Times New Roman" w:hAnsi="Times New Roman" w:cs="Times New Roman"/>
          <w:i/>
          <w:iCs/>
          <w:lang w:val="en-US"/>
        </w:rPr>
        <w:t>Sustainability</w:t>
      </w:r>
      <w:r w:rsidRPr="00477A65">
        <w:rPr>
          <w:rFonts w:ascii="Times New Roman" w:hAnsi="Times New Roman" w:cs="Times New Roman"/>
          <w:lang w:val="en-US"/>
        </w:rPr>
        <w:t xml:space="preserve">, 16(20), 9053. </w:t>
      </w:r>
      <w:hyperlink r:id="rId26" w:tgtFrame="_blank" w:history="1">
        <w:r w:rsidRPr="00477A65">
          <w:rPr>
            <w:rStyle w:val="Hyperlink"/>
            <w:rFonts w:ascii="Times New Roman" w:hAnsi="Times New Roman" w:cs="Times New Roman"/>
            <w:lang w:val="en-US"/>
          </w:rPr>
          <w:t>https://doi.org/10.3390/su16209053</w:t>
        </w:r>
      </w:hyperlink>
    </w:p>
    <w:p w14:paraId="5BF51529" w14:textId="77777777" w:rsidR="008D67DB" w:rsidRPr="00477A65" w:rsidRDefault="008D67DB" w:rsidP="00477A65">
      <w:pPr>
        <w:pStyle w:val="ListParagraph"/>
        <w:numPr>
          <w:ilvl w:val="0"/>
          <w:numId w:val="8"/>
        </w:numPr>
        <w:spacing w:after="0" w:line="240" w:lineRule="auto"/>
        <w:ind w:left="426" w:hanging="426"/>
        <w:jc w:val="both"/>
        <w:rPr>
          <w:rFonts w:ascii="Times New Roman" w:hAnsi="Times New Roman" w:cs="Times New Roman"/>
          <w:lang w:val="en-US"/>
        </w:rPr>
      </w:pPr>
      <w:r w:rsidRPr="00477A65">
        <w:rPr>
          <w:rFonts w:ascii="Times New Roman" w:hAnsi="Times New Roman" w:cs="Times New Roman"/>
          <w:lang w:val="en-US"/>
        </w:rPr>
        <w:t xml:space="preserve">Kim, J., &amp; Park, Y. (2025). Influence of organizational digital transformation competencies on individual job performance: The mediating effects of organizational supportive learning environment and individual readiness for change. </w:t>
      </w:r>
      <w:r w:rsidRPr="00477A65">
        <w:rPr>
          <w:rFonts w:ascii="Times New Roman" w:hAnsi="Times New Roman" w:cs="Times New Roman"/>
          <w:i/>
          <w:iCs/>
          <w:lang w:val="en-US"/>
        </w:rPr>
        <w:t>Industrial and Commercial Training</w:t>
      </w:r>
      <w:r w:rsidRPr="00477A65">
        <w:rPr>
          <w:rFonts w:ascii="Times New Roman" w:hAnsi="Times New Roman" w:cs="Times New Roman"/>
          <w:lang w:val="en-US"/>
        </w:rPr>
        <w:t xml:space="preserve">, 57(2), 88–104. </w:t>
      </w:r>
      <w:hyperlink r:id="rId27" w:tgtFrame="_blank" w:history="1">
        <w:r w:rsidRPr="00477A65">
          <w:rPr>
            <w:rStyle w:val="Hyperlink"/>
            <w:rFonts w:ascii="Times New Roman" w:hAnsi="Times New Roman" w:cs="Times New Roman"/>
            <w:lang w:val="en-US"/>
          </w:rPr>
          <w:t>https://doi.org/10.1108/ICT-07-2024-0062</w:t>
        </w:r>
      </w:hyperlink>
    </w:p>
    <w:p w14:paraId="64399F35" w14:textId="77777777" w:rsidR="008D67DB" w:rsidRPr="00477A65" w:rsidRDefault="008D67DB" w:rsidP="00477A65">
      <w:pPr>
        <w:pStyle w:val="ListParagraph"/>
        <w:numPr>
          <w:ilvl w:val="0"/>
          <w:numId w:val="8"/>
        </w:numPr>
        <w:spacing w:after="0" w:line="240" w:lineRule="auto"/>
        <w:ind w:left="426" w:hanging="426"/>
        <w:jc w:val="both"/>
        <w:rPr>
          <w:rFonts w:ascii="Times New Roman" w:hAnsi="Times New Roman" w:cs="Times New Roman"/>
          <w:lang w:val="en-US"/>
        </w:rPr>
      </w:pPr>
      <w:proofErr w:type="spellStart"/>
      <w:r w:rsidRPr="00477A65">
        <w:rPr>
          <w:rFonts w:ascii="Times New Roman" w:hAnsi="Times New Roman" w:cs="Times New Roman"/>
          <w:lang w:val="en-US"/>
        </w:rPr>
        <w:t>Laaber</w:t>
      </w:r>
      <w:proofErr w:type="spellEnd"/>
      <w:r w:rsidRPr="00477A65">
        <w:rPr>
          <w:rFonts w:ascii="Times New Roman" w:hAnsi="Times New Roman" w:cs="Times New Roman"/>
          <w:lang w:val="en-US"/>
        </w:rPr>
        <w:t xml:space="preserve">, F., Florack, A., Koch, T., &amp; Hubert, M. (2023). Digital maturity: Development and validation of the Digital Maturity Inventory (DIMI). </w:t>
      </w:r>
      <w:r w:rsidRPr="00477A65">
        <w:rPr>
          <w:rFonts w:ascii="Times New Roman" w:hAnsi="Times New Roman" w:cs="Times New Roman"/>
          <w:i/>
          <w:iCs/>
          <w:lang w:val="en-US"/>
        </w:rPr>
        <w:t>Computers in Human Behavior</w:t>
      </w:r>
      <w:r w:rsidRPr="00477A65">
        <w:rPr>
          <w:rFonts w:ascii="Times New Roman" w:hAnsi="Times New Roman" w:cs="Times New Roman"/>
          <w:lang w:val="en-US"/>
        </w:rPr>
        <w:t xml:space="preserve">, 143, 107709. </w:t>
      </w:r>
      <w:hyperlink r:id="rId28" w:tgtFrame="_blank" w:history="1">
        <w:r w:rsidRPr="00477A65">
          <w:rPr>
            <w:rStyle w:val="Hyperlink"/>
            <w:rFonts w:ascii="Times New Roman" w:hAnsi="Times New Roman" w:cs="Times New Roman"/>
            <w:lang w:val="en-US"/>
          </w:rPr>
          <w:t>https://doi.org/10.1016/j.chb.2023.107709</w:t>
        </w:r>
      </w:hyperlink>
    </w:p>
    <w:p w14:paraId="30F608DB" w14:textId="77777777" w:rsidR="008D67DB" w:rsidRPr="00477A65" w:rsidRDefault="008D67DB" w:rsidP="00477A65">
      <w:pPr>
        <w:pStyle w:val="ListParagraph"/>
        <w:numPr>
          <w:ilvl w:val="0"/>
          <w:numId w:val="8"/>
        </w:numPr>
        <w:spacing w:after="0" w:line="240" w:lineRule="auto"/>
        <w:ind w:left="426" w:hanging="426"/>
        <w:jc w:val="both"/>
        <w:rPr>
          <w:rFonts w:ascii="Times New Roman" w:hAnsi="Times New Roman" w:cs="Times New Roman"/>
          <w:lang w:val="en-US"/>
        </w:rPr>
      </w:pPr>
      <w:r w:rsidRPr="00477A65">
        <w:rPr>
          <w:rFonts w:ascii="Times New Roman" w:hAnsi="Times New Roman" w:cs="Times New Roman"/>
          <w:lang w:val="en-US"/>
        </w:rPr>
        <w:t xml:space="preserve">Meena, G., &amp; Santhanalakshmi, K. (2025). Deconstructing digital transformation: A multidimensional analysis of digital literacy’s role in shaping human capital and driving organizational success. </w:t>
      </w:r>
      <w:r w:rsidRPr="00477A65">
        <w:rPr>
          <w:rFonts w:ascii="Times New Roman" w:hAnsi="Times New Roman" w:cs="Times New Roman"/>
          <w:i/>
          <w:iCs/>
          <w:lang w:val="en-US"/>
        </w:rPr>
        <w:t>ECONOMICS - Innovative and Economics Research Journal</w:t>
      </w:r>
      <w:r w:rsidRPr="00477A65">
        <w:rPr>
          <w:rFonts w:ascii="Times New Roman" w:hAnsi="Times New Roman" w:cs="Times New Roman"/>
          <w:lang w:val="en-US"/>
        </w:rPr>
        <w:t xml:space="preserve">, 13(1), 88–105. </w:t>
      </w:r>
      <w:hyperlink r:id="rId29" w:tgtFrame="_blank" w:history="1">
        <w:r w:rsidRPr="00477A65">
          <w:rPr>
            <w:rStyle w:val="Hyperlink"/>
            <w:rFonts w:ascii="Times New Roman" w:hAnsi="Times New Roman" w:cs="Times New Roman"/>
            <w:lang w:val="en-US"/>
          </w:rPr>
          <w:t>https://doi.org/10.2478/eoik-2025-0018</w:t>
        </w:r>
      </w:hyperlink>
    </w:p>
    <w:p w14:paraId="69BE7799" w14:textId="77777777" w:rsidR="008D67DB" w:rsidRPr="00477A65" w:rsidRDefault="008D67DB" w:rsidP="00477A65">
      <w:pPr>
        <w:pStyle w:val="ListParagraph"/>
        <w:numPr>
          <w:ilvl w:val="0"/>
          <w:numId w:val="8"/>
        </w:numPr>
        <w:spacing w:after="0" w:line="240" w:lineRule="auto"/>
        <w:ind w:left="426" w:hanging="426"/>
        <w:jc w:val="both"/>
        <w:rPr>
          <w:rFonts w:ascii="Times New Roman" w:hAnsi="Times New Roman" w:cs="Times New Roman"/>
          <w:lang w:val="en-US"/>
        </w:rPr>
      </w:pPr>
      <w:r w:rsidRPr="00477A65">
        <w:rPr>
          <w:rFonts w:ascii="Times New Roman" w:hAnsi="Times New Roman" w:cs="Times New Roman"/>
          <w:lang w:val="en-US"/>
        </w:rPr>
        <w:t xml:space="preserve">Muduli, A., &amp; Choudhury, A. (2025). Exploring the role of workforce agility on digital transformation: A systematic literature review. </w:t>
      </w:r>
      <w:r w:rsidRPr="00477A65">
        <w:rPr>
          <w:rFonts w:ascii="Times New Roman" w:hAnsi="Times New Roman" w:cs="Times New Roman"/>
          <w:i/>
          <w:iCs/>
          <w:lang w:val="en-US"/>
        </w:rPr>
        <w:t>Benchmarking: An International Journal</w:t>
      </w:r>
      <w:r w:rsidRPr="00477A65">
        <w:rPr>
          <w:rFonts w:ascii="Times New Roman" w:hAnsi="Times New Roman" w:cs="Times New Roman"/>
          <w:lang w:val="en-US"/>
        </w:rPr>
        <w:t xml:space="preserve">, 32(1), 45–68. </w:t>
      </w:r>
      <w:hyperlink r:id="rId30" w:tgtFrame="_blank" w:history="1">
        <w:r w:rsidRPr="00477A65">
          <w:rPr>
            <w:rStyle w:val="Hyperlink"/>
            <w:rFonts w:ascii="Times New Roman" w:hAnsi="Times New Roman" w:cs="Times New Roman"/>
            <w:lang w:val="en-US"/>
          </w:rPr>
          <w:t>https://doi.org/10.1108/BIJ-02-2023-0108</w:t>
        </w:r>
      </w:hyperlink>
    </w:p>
    <w:p w14:paraId="4AFF11B5" w14:textId="77777777" w:rsidR="008D67DB" w:rsidRPr="00477A65" w:rsidRDefault="008D67DB" w:rsidP="00477A65">
      <w:pPr>
        <w:pStyle w:val="ListParagraph"/>
        <w:numPr>
          <w:ilvl w:val="0"/>
          <w:numId w:val="8"/>
        </w:numPr>
        <w:spacing w:after="0" w:line="240" w:lineRule="auto"/>
        <w:ind w:left="426" w:hanging="426"/>
        <w:jc w:val="both"/>
        <w:rPr>
          <w:rFonts w:ascii="Times New Roman" w:hAnsi="Times New Roman" w:cs="Times New Roman"/>
          <w:lang w:val="en-US"/>
        </w:rPr>
      </w:pPr>
      <w:r w:rsidRPr="00477A65">
        <w:rPr>
          <w:rFonts w:ascii="Times New Roman" w:hAnsi="Times New Roman" w:cs="Times New Roman"/>
          <w:lang w:val="en-US"/>
        </w:rPr>
        <w:t xml:space="preserve">Mueller, R. O., &amp; Hancock, G. R. (2015). Factor analysis and latent structure analysis: Confirmatory factor analysis. In J. D. Wright (Ed.), </w:t>
      </w:r>
      <w:r w:rsidRPr="00477A65">
        <w:rPr>
          <w:rFonts w:ascii="Times New Roman" w:hAnsi="Times New Roman" w:cs="Times New Roman"/>
          <w:i/>
          <w:iCs/>
          <w:lang w:val="en-US"/>
        </w:rPr>
        <w:t>International Encyclopedia of the Social &amp; Behavioral Sciences</w:t>
      </w:r>
      <w:r w:rsidRPr="00477A65">
        <w:rPr>
          <w:rFonts w:ascii="Times New Roman" w:hAnsi="Times New Roman" w:cs="Times New Roman"/>
          <w:lang w:val="en-US"/>
        </w:rPr>
        <w:t xml:space="preserve"> (pp. 686–690). Elsevier. </w:t>
      </w:r>
      <w:hyperlink r:id="rId31" w:tgtFrame="_blank" w:history="1">
        <w:r w:rsidRPr="00477A65">
          <w:rPr>
            <w:rStyle w:val="Hyperlink"/>
            <w:rFonts w:ascii="Times New Roman" w:hAnsi="Times New Roman" w:cs="Times New Roman"/>
            <w:lang w:val="en-US"/>
          </w:rPr>
          <w:t>https://doi.org/10.1016/B978-0-08-097086-8.25009-5</w:t>
        </w:r>
      </w:hyperlink>
    </w:p>
    <w:p w14:paraId="36572086" w14:textId="72253220" w:rsidR="008D67DB" w:rsidRPr="00477A65" w:rsidRDefault="008D67DB" w:rsidP="00477A65">
      <w:pPr>
        <w:pStyle w:val="ListParagraph"/>
        <w:numPr>
          <w:ilvl w:val="0"/>
          <w:numId w:val="8"/>
        </w:numPr>
        <w:spacing w:after="0" w:line="240" w:lineRule="auto"/>
        <w:ind w:left="426" w:hanging="426"/>
        <w:jc w:val="both"/>
        <w:rPr>
          <w:rFonts w:ascii="Times New Roman" w:hAnsi="Times New Roman" w:cs="Times New Roman"/>
          <w:lang w:val="en-US"/>
        </w:rPr>
      </w:pPr>
      <w:r w:rsidRPr="00477A65">
        <w:rPr>
          <w:rFonts w:ascii="Times New Roman" w:hAnsi="Times New Roman" w:cs="Times New Roman"/>
          <w:lang w:val="en-US"/>
        </w:rPr>
        <w:t xml:space="preserve">Nair, B. B., &amp; Sandip, S. (2023). Student perceptions of knowledge management and institutional readiness for online classes amid COVID-19 pandemic. </w:t>
      </w:r>
      <w:r w:rsidRPr="00477A65">
        <w:rPr>
          <w:rFonts w:ascii="Times New Roman" w:hAnsi="Times New Roman" w:cs="Times New Roman"/>
          <w:i/>
          <w:iCs/>
          <w:lang w:val="en-US"/>
        </w:rPr>
        <w:t>Knowledge Management and E-Learning</w:t>
      </w:r>
      <w:r w:rsidRPr="00477A65">
        <w:rPr>
          <w:rFonts w:ascii="Times New Roman" w:hAnsi="Times New Roman" w:cs="Times New Roman"/>
          <w:lang w:val="en-US"/>
        </w:rPr>
        <w:t>, 15(2</w:t>
      </w:r>
      <w:r w:rsidR="009644BB" w:rsidRPr="00477A65">
        <w:rPr>
          <w:rFonts w:ascii="Times New Roman" w:hAnsi="Times New Roman" w:cs="Times New Roman"/>
          <w:lang w:val="en-US"/>
        </w:rPr>
        <w:t>), 245</w:t>
      </w:r>
      <w:r w:rsidRPr="00477A65">
        <w:rPr>
          <w:rFonts w:ascii="Times New Roman" w:hAnsi="Times New Roman" w:cs="Times New Roman"/>
          <w:lang w:val="en-US"/>
        </w:rPr>
        <w:t xml:space="preserve">–265. </w:t>
      </w:r>
      <w:hyperlink r:id="rId32" w:tgtFrame="_blank" w:history="1">
        <w:r w:rsidRPr="00477A65">
          <w:rPr>
            <w:rStyle w:val="Hyperlink"/>
            <w:rFonts w:ascii="Times New Roman" w:hAnsi="Times New Roman" w:cs="Times New Roman"/>
            <w:lang w:val="en-US"/>
          </w:rPr>
          <w:t>https://doi.org/10.34105/j.kmel.2023.15.016</w:t>
        </w:r>
      </w:hyperlink>
    </w:p>
    <w:p w14:paraId="4787915E" w14:textId="77777777" w:rsidR="008D67DB" w:rsidRPr="00477A65" w:rsidRDefault="008D67DB" w:rsidP="00477A65">
      <w:pPr>
        <w:pStyle w:val="ListParagraph"/>
        <w:numPr>
          <w:ilvl w:val="0"/>
          <w:numId w:val="8"/>
        </w:numPr>
        <w:spacing w:after="0" w:line="240" w:lineRule="auto"/>
        <w:ind w:left="426" w:hanging="426"/>
        <w:jc w:val="both"/>
        <w:rPr>
          <w:rFonts w:ascii="Times New Roman" w:hAnsi="Times New Roman" w:cs="Times New Roman"/>
          <w:lang w:val="en-US"/>
        </w:rPr>
      </w:pPr>
      <w:proofErr w:type="spellStart"/>
      <w:r w:rsidRPr="00477A65">
        <w:rPr>
          <w:rFonts w:ascii="Times New Roman" w:hAnsi="Times New Roman" w:cs="Times New Roman"/>
          <w:lang w:val="en-US"/>
        </w:rPr>
        <w:t>Nazyrova</w:t>
      </w:r>
      <w:proofErr w:type="spellEnd"/>
      <w:r w:rsidRPr="00477A65">
        <w:rPr>
          <w:rFonts w:ascii="Times New Roman" w:hAnsi="Times New Roman" w:cs="Times New Roman"/>
          <w:lang w:val="en-US"/>
        </w:rPr>
        <w:t xml:space="preserve">, A., Milosz, M., Bekmanova, G., &amp; Kadyr, Y. (2025). The digital transformation of higher education in the context of an AI-driven future. </w:t>
      </w:r>
      <w:r w:rsidRPr="00477A65">
        <w:rPr>
          <w:rFonts w:ascii="Times New Roman" w:hAnsi="Times New Roman" w:cs="Times New Roman"/>
          <w:i/>
          <w:iCs/>
          <w:lang w:val="en-US"/>
        </w:rPr>
        <w:t>Sustainability</w:t>
      </w:r>
      <w:r w:rsidRPr="00477A65">
        <w:rPr>
          <w:rFonts w:ascii="Times New Roman" w:hAnsi="Times New Roman" w:cs="Times New Roman"/>
          <w:lang w:val="en-US"/>
        </w:rPr>
        <w:t xml:space="preserve">, 17(22), Article 9927. </w:t>
      </w:r>
      <w:hyperlink r:id="rId33" w:tgtFrame="_blank" w:history="1">
        <w:r w:rsidRPr="00477A65">
          <w:rPr>
            <w:rStyle w:val="Hyperlink"/>
            <w:rFonts w:ascii="Times New Roman" w:hAnsi="Times New Roman" w:cs="Times New Roman"/>
            <w:lang w:val="en-US"/>
          </w:rPr>
          <w:t>https://doi.org/10.3390/su17229927</w:t>
        </w:r>
      </w:hyperlink>
    </w:p>
    <w:p w14:paraId="36E09113" w14:textId="77777777" w:rsidR="008D67DB" w:rsidRPr="00477A65" w:rsidRDefault="008D67DB" w:rsidP="00477A65">
      <w:pPr>
        <w:pStyle w:val="ListParagraph"/>
        <w:numPr>
          <w:ilvl w:val="0"/>
          <w:numId w:val="8"/>
        </w:numPr>
        <w:spacing w:after="0" w:line="240" w:lineRule="auto"/>
        <w:ind w:left="426" w:hanging="426"/>
        <w:jc w:val="both"/>
        <w:rPr>
          <w:rFonts w:ascii="Times New Roman" w:hAnsi="Times New Roman" w:cs="Times New Roman"/>
          <w:lang w:val="en-US"/>
        </w:rPr>
      </w:pPr>
      <w:r w:rsidRPr="00477A65">
        <w:rPr>
          <w:rFonts w:ascii="Times New Roman" w:hAnsi="Times New Roman" w:cs="Times New Roman"/>
          <w:lang w:val="en-US"/>
        </w:rPr>
        <w:t xml:space="preserve">Neunaber, T., </w:t>
      </w:r>
      <w:proofErr w:type="spellStart"/>
      <w:r w:rsidRPr="00477A65">
        <w:rPr>
          <w:rFonts w:ascii="Times New Roman" w:hAnsi="Times New Roman" w:cs="Times New Roman"/>
          <w:lang w:val="en-US"/>
        </w:rPr>
        <w:t>Mortsiefer</w:t>
      </w:r>
      <w:proofErr w:type="spellEnd"/>
      <w:r w:rsidRPr="00477A65">
        <w:rPr>
          <w:rFonts w:ascii="Times New Roman" w:hAnsi="Times New Roman" w:cs="Times New Roman"/>
          <w:lang w:val="en-US"/>
        </w:rPr>
        <w:t xml:space="preserve">, A., &amp; Meister, S. (2025). Development and validation of a questionnaire to measure digital maturity of general practitioner practices: Web-based cross-sectional survey study. </w:t>
      </w:r>
      <w:r w:rsidRPr="00477A65">
        <w:rPr>
          <w:rFonts w:ascii="Times New Roman" w:hAnsi="Times New Roman" w:cs="Times New Roman"/>
          <w:i/>
          <w:iCs/>
          <w:lang w:val="en-US"/>
        </w:rPr>
        <w:t>Journal of Medical Internet Research</w:t>
      </w:r>
      <w:r w:rsidRPr="00477A65">
        <w:rPr>
          <w:rFonts w:ascii="Times New Roman" w:hAnsi="Times New Roman" w:cs="Times New Roman"/>
          <w:lang w:val="en-US"/>
        </w:rPr>
        <w:t xml:space="preserve">, 27, e81416. </w:t>
      </w:r>
      <w:hyperlink r:id="rId34" w:history="1">
        <w:r w:rsidRPr="00477A65">
          <w:rPr>
            <w:rStyle w:val="Hyperlink"/>
            <w:rFonts w:ascii="Times New Roman" w:hAnsi="Times New Roman" w:cs="Times New Roman"/>
            <w:lang w:val="en-US"/>
          </w:rPr>
          <w:t>https://doi.org/10.2196/81416</w:t>
        </w:r>
      </w:hyperlink>
    </w:p>
    <w:p w14:paraId="602A5C25" w14:textId="77777777" w:rsidR="008D67DB" w:rsidRPr="00477A65" w:rsidRDefault="008D67DB" w:rsidP="00477A65">
      <w:pPr>
        <w:pStyle w:val="ListParagraph"/>
        <w:numPr>
          <w:ilvl w:val="0"/>
          <w:numId w:val="8"/>
        </w:numPr>
        <w:spacing w:after="0" w:line="240" w:lineRule="auto"/>
        <w:ind w:left="426" w:hanging="426"/>
        <w:jc w:val="both"/>
        <w:rPr>
          <w:rFonts w:ascii="Times New Roman" w:hAnsi="Times New Roman" w:cs="Times New Roman"/>
        </w:rPr>
      </w:pPr>
      <w:r w:rsidRPr="00477A65">
        <w:rPr>
          <w:rFonts w:ascii="Times New Roman" w:hAnsi="Times New Roman" w:cs="Times New Roman"/>
        </w:rPr>
        <w:t xml:space="preserve">Newman, D. A. (2014). Missing data: Five practical guidelines: </w:t>
      </w:r>
      <w:r w:rsidRPr="00477A65">
        <w:rPr>
          <w:rFonts w:ascii="Times New Roman" w:hAnsi="Times New Roman" w:cs="Times New Roman"/>
          <w:i/>
          <w:iCs/>
        </w:rPr>
        <w:t>Organizational Research Methods</w:t>
      </w:r>
      <w:r w:rsidRPr="00477A65">
        <w:rPr>
          <w:rFonts w:ascii="Times New Roman" w:hAnsi="Times New Roman" w:cs="Times New Roman"/>
        </w:rPr>
        <w:t xml:space="preserve">, </w:t>
      </w:r>
      <w:r w:rsidRPr="00477A65">
        <w:rPr>
          <w:rFonts w:ascii="Times New Roman" w:hAnsi="Times New Roman" w:cs="Times New Roman"/>
          <w:i/>
          <w:iCs/>
        </w:rPr>
        <w:t>17</w:t>
      </w:r>
      <w:r w:rsidRPr="00477A65">
        <w:rPr>
          <w:rFonts w:ascii="Times New Roman" w:hAnsi="Times New Roman" w:cs="Times New Roman"/>
        </w:rPr>
        <w:t xml:space="preserve">(4), 372-411. </w:t>
      </w:r>
      <w:hyperlink r:id="rId35" w:history="1">
        <w:r w:rsidRPr="00477A65">
          <w:rPr>
            <w:rStyle w:val="Hyperlink"/>
            <w:rFonts w:ascii="Times New Roman" w:hAnsi="Times New Roman" w:cs="Times New Roman"/>
          </w:rPr>
          <w:t>https://doi.org/10.1177/109442811454859</w:t>
        </w:r>
      </w:hyperlink>
    </w:p>
    <w:p w14:paraId="541DD3E7" w14:textId="77777777" w:rsidR="008D67DB" w:rsidRPr="00477A65" w:rsidRDefault="008D67DB" w:rsidP="00477A65">
      <w:pPr>
        <w:pStyle w:val="ListParagraph"/>
        <w:numPr>
          <w:ilvl w:val="0"/>
          <w:numId w:val="8"/>
        </w:numPr>
        <w:spacing w:after="0" w:line="240" w:lineRule="auto"/>
        <w:ind w:left="426" w:hanging="426"/>
        <w:jc w:val="both"/>
        <w:rPr>
          <w:rFonts w:ascii="Times New Roman" w:hAnsi="Times New Roman" w:cs="Times New Roman"/>
          <w:lang w:val="en-US"/>
        </w:rPr>
      </w:pPr>
      <w:r w:rsidRPr="00477A65">
        <w:rPr>
          <w:rFonts w:ascii="Times New Roman" w:hAnsi="Times New Roman" w:cs="Times New Roman"/>
          <w:lang w:val="en-US"/>
        </w:rPr>
        <w:lastRenderedPageBreak/>
        <w:t xml:space="preserve">Niemiec, A., &amp; Zerbst, S. ł. (2025). Between technology and institutions: systemic, institutional, and social enablers of digital transformation. </w:t>
      </w:r>
      <w:r w:rsidRPr="00477A65">
        <w:rPr>
          <w:rFonts w:ascii="Times New Roman" w:hAnsi="Times New Roman" w:cs="Times New Roman"/>
          <w:i/>
          <w:iCs/>
          <w:lang w:val="en-US"/>
        </w:rPr>
        <w:t>Procedia Computer Science</w:t>
      </w:r>
      <w:r w:rsidRPr="00477A65">
        <w:rPr>
          <w:rFonts w:ascii="Times New Roman" w:hAnsi="Times New Roman" w:cs="Times New Roman"/>
          <w:lang w:val="en-US"/>
        </w:rPr>
        <w:t xml:space="preserve">, 245, 554–563. </w:t>
      </w:r>
      <w:hyperlink r:id="rId36" w:tgtFrame="_blank" w:history="1">
        <w:r w:rsidRPr="00477A65">
          <w:rPr>
            <w:rStyle w:val="Hyperlink"/>
            <w:rFonts w:ascii="Times New Roman" w:hAnsi="Times New Roman" w:cs="Times New Roman"/>
            <w:lang w:val="en-US"/>
          </w:rPr>
          <w:t>https://doi.org/10.1016/j.procs.2025.09.554</w:t>
        </w:r>
      </w:hyperlink>
    </w:p>
    <w:p w14:paraId="1757244E" w14:textId="77777777" w:rsidR="008D67DB" w:rsidRPr="00477A65" w:rsidRDefault="008D67DB" w:rsidP="00477A65">
      <w:pPr>
        <w:pStyle w:val="ListParagraph"/>
        <w:numPr>
          <w:ilvl w:val="0"/>
          <w:numId w:val="8"/>
        </w:numPr>
        <w:spacing w:after="0" w:line="240" w:lineRule="auto"/>
        <w:ind w:left="426" w:hanging="426"/>
        <w:jc w:val="both"/>
        <w:rPr>
          <w:rFonts w:ascii="Times New Roman" w:hAnsi="Times New Roman" w:cs="Times New Roman"/>
          <w:lang w:val="en-US"/>
        </w:rPr>
      </w:pPr>
      <w:r w:rsidRPr="00477A65">
        <w:rPr>
          <w:rFonts w:ascii="Times New Roman" w:hAnsi="Times New Roman" w:cs="Times New Roman"/>
          <w:lang w:val="en-US"/>
        </w:rPr>
        <w:t xml:space="preserve">Ogbonna, R. N. O., Onuoha-Chidiebere, U., Ike, F., &amp; </w:t>
      </w:r>
      <w:proofErr w:type="spellStart"/>
      <w:r w:rsidRPr="00477A65">
        <w:rPr>
          <w:rFonts w:ascii="Times New Roman" w:hAnsi="Times New Roman" w:cs="Times New Roman"/>
          <w:lang w:val="en-US"/>
        </w:rPr>
        <w:t>Ofondu</w:t>
      </w:r>
      <w:proofErr w:type="spellEnd"/>
      <w:r w:rsidRPr="00477A65">
        <w:rPr>
          <w:rFonts w:ascii="Times New Roman" w:hAnsi="Times New Roman" w:cs="Times New Roman"/>
          <w:lang w:val="en-US"/>
        </w:rPr>
        <w:t xml:space="preserve">, M. M. (2025). Metacognitive analysis of electronic technology use in Nigerian tertiary institutions. </w:t>
      </w:r>
      <w:r w:rsidRPr="00477A65">
        <w:rPr>
          <w:rFonts w:ascii="Times New Roman" w:hAnsi="Times New Roman" w:cs="Times New Roman"/>
          <w:i/>
          <w:iCs/>
          <w:lang w:val="en-US"/>
        </w:rPr>
        <w:t>Discover Education</w:t>
      </w:r>
      <w:r w:rsidRPr="00477A65">
        <w:rPr>
          <w:rFonts w:ascii="Times New Roman" w:hAnsi="Times New Roman" w:cs="Times New Roman"/>
          <w:lang w:val="en-US"/>
        </w:rPr>
        <w:t xml:space="preserve">, 4(1), Article 25. </w:t>
      </w:r>
      <w:hyperlink r:id="rId37" w:tgtFrame="_blank" w:history="1">
        <w:r w:rsidRPr="00477A65">
          <w:rPr>
            <w:rStyle w:val="Hyperlink"/>
            <w:rFonts w:ascii="Times New Roman" w:hAnsi="Times New Roman" w:cs="Times New Roman"/>
            <w:lang w:val="en-US"/>
          </w:rPr>
          <w:t>https://doi.org/10.1007/s44217-025-00894-9</w:t>
        </w:r>
      </w:hyperlink>
    </w:p>
    <w:p w14:paraId="40DD9465" w14:textId="77777777" w:rsidR="008D67DB" w:rsidRPr="00477A65" w:rsidRDefault="008D67DB" w:rsidP="00477A65">
      <w:pPr>
        <w:pStyle w:val="ListParagraph"/>
        <w:numPr>
          <w:ilvl w:val="0"/>
          <w:numId w:val="8"/>
        </w:numPr>
        <w:spacing w:after="0" w:line="240" w:lineRule="auto"/>
        <w:ind w:left="426" w:hanging="426"/>
        <w:jc w:val="both"/>
        <w:rPr>
          <w:rFonts w:ascii="Times New Roman" w:hAnsi="Times New Roman" w:cs="Times New Roman"/>
          <w:lang w:val="en-US"/>
        </w:rPr>
      </w:pPr>
      <w:proofErr w:type="spellStart"/>
      <w:r w:rsidRPr="00477A65">
        <w:rPr>
          <w:rFonts w:ascii="Times New Roman" w:hAnsi="Times New Roman" w:cs="Times New Roman"/>
          <w:lang w:val="en-US"/>
        </w:rPr>
        <w:t>Özşahin</w:t>
      </w:r>
      <w:proofErr w:type="spellEnd"/>
      <w:r w:rsidRPr="00477A65">
        <w:rPr>
          <w:rFonts w:ascii="Times New Roman" w:hAnsi="Times New Roman" w:cs="Times New Roman"/>
          <w:lang w:val="en-US"/>
        </w:rPr>
        <w:t xml:space="preserve">, M., Alma </w:t>
      </w:r>
      <w:proofErr w:type="spellStart"/>
      <w:r w:rsidRPr="00477A65">
        <w:rPr>
          <w:rFonts w:ascii="Times New Roman" w:hAnsi="Times New Roman" w:cs="Times New Roman"/>
          <w:lang w:val="en-US"/>
        </w:rPr>
        <w:t>Çallı</w:t>
      </w:r>
      <w:proofErr w:type="spellEnd"/>
      <w:r w:rsidRPr="00477A65">
        <w:rPr>
          <w:rFonts w:ascii="Times New Roman" w:hAnsi="Times New Roman" w:cs="Times New Roman"/>
          <w:lang w:val="en-US"/>
        </w:rPr>
        <w:t xml:space="preserve">, B. A., &amp; Coşkun, E. (2022). ICT Adoption Scale Development for SMEs. </w:t>
      </w:r>
      <w:r w:rsidRPr="00477A65">
        <w:rPr>
          <w:rFonts w:ascii="Times New Roman" w:hAnsi="Times New Roman" w:cs="Times New Roman"/>
          <w:i/>
          <w:iCs/>
          <w:lang w:val="en-US"/>
        </w:rPr>
        <w:t>Sustainability</w:t>
      </w:r>
      <w:r w:rsidRPr="00477A65">
        <w:rPr>
          <w:rFonts w:ascii="Times New Roman" w:hAnsi="Times New Roman" w:cs="Times New Roman"/>
          <w:lang w:val="en-US"/>
        </w:rPr>
        <w:t xml:space="preserve">, 14(22), 14897. </w:t>
      </w:r>
      <w:hyperlink r:id="rId38" w:tgtFrame="_blank" w:history="1">
        <w:r w:rsidRPr="00477A65">
          <w:rPr>
            <w:rStyle w:val="Hyperlink"/>
            <w:rFonts w:ascii="Times New Roman" w:hAnsi="Times New Roman" w:cs="Times New Roman"/>
            <w:lang w:val="en-US"/>
          </w:rPr>
          <w:t>https://doi.org/10.3390/su142214897</w:t>
        </w:r>
      </w:hyperlink>
    </w:p>
    <w:p w14:paraId="0F92BA64" w14:textId="77777777" w:rsidR="008D67DB" w:rsidRPr="00477A65" w:rsidRDefault="008D67DB" w:rsidP="00477A65">
      <w:pPr>
        <w:pStyle w:val="ListParagraph"/>
        <w:numPr>
          <w:ilvl w:val="0"/>
          <w:numId w:val="8"/>
        </w:numPr>
        <w:spacing w:after="0" w:line="240" w:lineRule="auto"/>
        <w:ind w:left="426" w:hanging="426"/>
        <w:jc w:val="both"/>
        <w:rPr>
          <w:rFonts w:ascii="Times New Roman" w:hAnsi="Times New Roman" w:cs="Times New Roman"/>
          <w:lang w:val="en-US"/>
        </w:rPr>
      </w:pPr>
      <w:proofErr w:type="spellStart"/>
      <w:r w:rsidRPr="00477A65">
        <w:rPr>
          <w:rFonts w:ascii="Times New Roman" w:hAnsi="Times New Roman" w:cs="Times New Roman"/>
          <w:lang w:val="en-US"/>
        </w:rPr>
        <w:t>Papadonikolaki</w:t>
      </w:r>
      <w:proofErr w:type="spellEnd"/>
      <w:r w:rsidRPr="00477A65">
        <w:rPr>
          <w:rFonts w:ascii="Times New Roman" w:hAnsi="Times New Roman" w:cs="Times New Roman"/>
          <w:lang w:val="en-US"/>
        </w:rPr>
        <w:t xml:space="preserve">, E., &amp; Morgan, B. (2026). Leading psychologically safe digitally enabled project teams. </w:t>
      </w:r>
      <w:r w:rsidRPr="00477A65">
        <w:rPr>
          <w:rFonts w:ascii="Times New Roman" w:hAnsi="Times New Roman" w:cs="Times New Roman"/>
          <w:i/>
          <w:iCs/>
          <w:lang w:val="en-US"/>
        </w:rPr>
        <w:t>Project Management Journal</w:t>
      </w:r>
      <w:r w:rsidRPr="00477A65">
        <w:rPr>
          <w:rFonts w:ascii="Times New Roman" w:hAnsi="Times New Roman" w:cs="Times New Roman"/>
          <w:lang w:val="en-US"/>
        </w:rPr>
        <w:t xml:space="preserve">, 57(1), 45–62. </w:t>
      </w:r>
      <w:hyperlink r:id="rId39" w:tgtFrame="_blank" w:history="1">
        <w:r w:rsidRPr="00477A65">
          <w:rPr>
            <w:rStyle w:val="Hyperlink"/>
            <w:rFonts w:ascii="Times New Roman" w:hAnsi="Times New Roman" w:cs="Times New Roman"/>
            <w:lang w:val="en-US"/>
          </w:rPr>
          <w:t>https://doi.org/10.1177/87569728251362760</w:t>
        </w:r>
      </w:hyperlink>
    </w:p>
    <w:p w14:paraId="0B053DB0" w14:textId="77777777" w:rsidR="008D67DB" w:rsidRPr="00477A65" w:rsidRDefault="008D67DB" w:rsidP="00477A65">
      <w:pPr>
        <w:pStyle w:val="ListParagraph"/>
        <w:numPr>
          <w:ilvl w:val="0"/>
          <w:numId w:val="8"/>
        </w:numPr>
        <w:spacing w:after="0" w:line="240" w:lineRule="auto"/>
        <w:ind w:left="426" w:hanging="426"/>
        <w:jc w:val="both"/>
        <w:rPr>
          <w:rFonts w:ascii="Times New Roman" w:hAnsi="Times New Roman" w:cs="Times New Roman"/>
          <w:lang w:val="en-US"/>
        </w:rPr>
      </w:pPr>
      <w:r w:rsidRPr="00477A65">
        <w:rPr>
          <w:rFonts w:ascii="Times New Roman" w:hAnsi="Times New Roman" w:cs="Times New Roman"/>
          <w:lang w:val="en-US"/>
        </w:rPr>
        <w:t xml:space="preserve">Paredes-Aguirre, M., &amp; Fernandez-Solis, C. (2025). How digital self-efficacy boosts employment hope: A multigroup analysis across organizational levels. </w:t>
      </w:r>
      <w:r w:rsidRPr="00477A65">
        <w:rPr>
          <w:rFonts w:ascii="Times New Roman" w:hAnsi="Times New Roman" w:cs="Times New Roman"/>
          <w:i/>
          <w:iCs/>
          <w:lang w:val="en-US"/>
        </w:rPr>
        <w:t>Advances in Public Health</w:t>
      </w:r>
      <w:r w:rsidRPr="00477A65">
        <w:rPr>
          <w:rFonts w:ascii="Times New Roman" w:hAnsi="Times New Roman" w:cs="Times New Roman"/>
          <w:lang w:val="en-US"/>
        </w:rPr>
        <w:t xml:space="preserve">, 2025, Article 4055012. </w:t>
      </w:r>
      <w:hyperlink r:id="rId40" w:tgtFrame="_blank" w:history="1">
        <w:r w:rsidRPr="00477A65">
          <w:rPr>
            <w:rStyle w:val="Hyperlink"/>
            <w:rFonts w:ascii="Times New Roman" w:hAnsi="Times New Roman" w:cs="Times New Roman"/>
            <w:lang w:val="en-US"/>
          </w:rPr>
          <w:t>https://doi.org/10.1155/adph/4055012</w:t>
        </w:r>
      </w:hyperlink>
    </w:p>
    <w:p w14:paraId="631C349E" w14:textId="77777777" w:rsidR="008D67DB" w:rsidRPr="00477A65" w:rsidRDefault="008D67DB" w:rsidP="00477A65">
      <w:pPr>
        <w:pStyle w:val="ListParagraph"/>
        <w:numPr>
          <w:ilvl w:val="0"/>
          <w:numId w:val="8"/>
        </w:numPr>
        <w:spacing w:after="0" w:line="240" w:lineRule="auto"/>
        <w:ind w:left="426" w:hanging="426"/>
        <w:jc w:val="both"/>
        <w:rPr>
          <w:rFonts w:ascii="Times New Roman" w:hAnsi="Times New Roman" w:cs="Times New Roman"/>
          <w:lang w:val="en-US"/>
        </w:rPr>
      </w:pPr>
      <w:r w:rsidRPr="00477A65">
        <w:rPr>
          <w:rFonts w:ascii="Times New Roman" w:hAnsi="Times New Roman" w:cs="Times New Roman"/>
          <w:lang w:val="en-US"/>
        </w:rPr>
        <w:t xml:space="preserve">Park, H. E. (2025). Navigating the paradox of digital platforms: Affordances, constraints, and the gradual path. </w:t>
      </w:r>
      <w:r w:rsidRPr="00477A65">
        <w:rPr>
          <w:rFonts w:ascii="Times New Roman" w:hAnsi="Times New Roman" w:cs="Times New Roman"/>
          <w:i/>
          <w:iCs/>
          <w:lang w:val="en-US"/>
        </w:rPr>
        <w:t>Asia Pacific Journal of Information Systems</w:t>
      </w:r>
      <w:r w:rsidRPr="00477A65">
        <w:rPr>
          <w:rFonts w:ascii="Times New Roman" w:hAnsi="Times New Roman" w:cs="Times New Roman"/>
          <w:lang w:val="en-US"/>
        </w:rPr>
        <w:t xml:space="preserve">, 35(4), 896–915. </w:t>
      </w:r>
      <w:hyperlink r:id="rId41" w:tgtFrame="_blank" w:history="1">
        <w:r w:rsidRPr="00477A65">
          <w:rPr>
            <w:rStyle w:val="Hyperlink"/>
            <w:rFonts w:ascii="Times New Roman" w:hAnsi="Times New Roman" w:cs="Times New Roman"/>
            <w:lang w:val="en-US"/>
          </w:rPr>
          <w:t>https://doi.org/10.14329/apjis.2025.35.4.896</w:t>
        </w:r>
      </w:hyperlink>
    </w:p>
    <w:p w14:paraId="4C1B8DA1" w14:textId="77777777" w:rsidR="008D67DB" w:rsidRPr="00477A65" w:rsidRDefault="008D67DB" w:rsidP="00477A65">
      <w:pPr>
        <w:pStyle w:val="ListParagraph"/>
        <w:numPr>
          <w:ilvl w:val="0"/>
          <w:numId w:val="8"/>
        </w:numPr>
        <w:spacing w:after="0" w:line="240" w:lineRule="auto"/>
        <w:ind w:left="426" w:hanging="426"/>
        <w:jc w:val="both"/>
        <w:rPr>
          <w:rFonts w:ascii="Times New Roman" w:hAnsi="Times New Roman" w:cs="Times New Roman"/>
          <w:lang w:val="en-US"/>
        </w:rPr>
      </w:pPr>
      <w:r w:rsidRPr="00477A65">
        <w:rPr>
          <w:rFonts w:ascii="Times New Roman" w:hAnsi="Times New Roman" w:cs="Times New Roman"/>
          <w:lang w:val="en-US"/>
        </w:rPr>
        <w:t xml:space="preserve">Pingali, S. R., Singha, S., Arunachalam, S., &amp; </w:t>
      </w:r>
      <w:proofErr w:type="spellStart"/>
      <w:r w:rsidRPr="00477A65">
        <w:rPr>
          <w:rFonts w:ascii="Times New Roman" w:hAnsi="Times New Roman" w:cs="Times New Roman"/>
          <w:lang w:val="en-US"/>
        </w:rPr>
        <w:t>Pedada</w:t>
      </w:r>
      <w:proofErr w:type="spellEnd"/>
      <w:r w:rsidRPr="00477A65">
        <w:rPr>
          <w:rFonts w:ascii="Times New Roman" w:hAnsi="Times New Roman" w:cs="Times New Roman"/>
          <w:lang w:val="en-US"/>
        </w:rPr>
        <w:t xml:space="preserve">, K. (2023). Digital readiness of small and medium enterprises in emerging markets: The construct, propositions, measurement, and implications. </w:t>
      </w:r>
      <w:r w:rsidRPr="00477A65">
        <w:rPr>
          <w:rFonts w:ascii="Times New Roman" w:hAnsi="Times New Roman" w:cs="Times New Roman"/>
          <w:i/>
          <w:iCs/>
          <w:lang w:val="en-US"/>
        </w:rPr>
        <w:t>Journal of Business Research</w:t>
      </w:r>
      <w:r w:rsidRPr="00477A65">
        <w:rPr>
          <w:rFonts w:ascii="Times New Roman" w:hAnsi="Times New Roman" w:cs="Times New Roman"/>
          <w:lang w:val="en-US"/>
        </w:rPr>
        <w:t xml:space="preserve">, 157, 113973. </w:t>
      </w:r>
      <w:hyperlink r:id="rId42" w:tgtFrame="_blank" w:history="1">
        <w:r w:rsidRPr="00477A65">
          <w:rPr>
            <w:rStyle w:val="Hyperlink"/>
            <w:rFonts w:ascii="Times New Roman" w:hAnsi="Times New Roman" w:cs="Times New Roman"/>
            <w:lang w:val="en-US"/>
          </w:rPr>
          <w:t>https://doi.org/10.1016/j.jbusres.2023.113973</w:t>
        </w:r>
      </w:hyperlink>
    </w:p>
    <w:p w14:paraId="58153978" w14:textId="77777777" w:rsidR="008D67DB" w:rsidRPr="00477A65" w:rsidRDefault="008D67DB" w:rsidP="00477A65">
      <w:pPr>
        <w:pStyle w:val="ListParagraph"/>
        <w:numPr>
          <w:ilvl w:val="0"/>
          <w:numId w:val="8"/>
        </w:numPr>
        <w:spacing w:after="0" w:line="240" w:lineRule="auto"/>
        <w:ind w:left="426" w:hanging="426"/>
        <w:jc w:val="both"/>
        <w:rPr>
          <w:rFonts w:ascii="Times New Roman" w:hAnsi="Times New Roman" w:cs="Times New Roman"/>
        </w:rPr>
      </w:pPr>
      <w:r w:rsidRPr="00477A65">
        <w:rPr>
          <w:rFonts w:ascii="Times New Roman" w:hAnsi="Times New Roman" w:cs="Times New Roman"/>
        </w:rPr>
        <w:t xml:space="preserve">Podsakoff, P. M., Podsakoff, N. P., Williams, L. J., Huang, C., &amp; Yang, J. (2024). Common method bias: It's bad, it's complex, it's widespread, and it's not easy to fix. </w:t>
      </w:r>
      <w:r w:rsidRPr="00477A65">
        <w:rPr>
          <w:rFonts w:ascii="Times New Roman" w:hAnsi="Times New Roman" w:cs="Times New Roman"/>
          <w:i/>
          <w:iCs/>
        </w:rPr>
        <w:t xml:space="preserve">Annual Review Organizational Psychology and Organizational </w:t>
      </w:r>
      <w:proofErr w:type="spellStart"/>
      <w:r w:rsidRPr="00477A65">
        <w:rPr>
          <w:rFonts w:ascii="Times New Roman" w:hAnsi="Times New Roman" w:cs="Times New Roman"/>
          <w:i/>
          <w:iCs/>
        </w:rPr>
        <w:t>Behavior</w:t>
      </w:r>
      <w:proofErr w:type="spellEnd"/>
      <w:r w:rsidRPr="00477A65">
        <w:rPr>
          <w:rFonts w:ascii="Times New Roman" w:hAnsi="Times New Roman" w:cs="Times New Roman"/>
        </w:rPr>
        <w:t xml:space="preserve">, 11, 17-61. </w:t>
      </w:r>
      <w:hyperlink r:id="rId43" w:history="1">
        <w:r w:rsidRPr="00477A65">
          <w:rPr>
            <w:rStyle w:val="Hyperlink"/>
            <w:rFonts w:ascii="Times New Roman" w:hAnsi="Times New Roman" w:cs="Times New Roman"/>
          </w:rPr>
          <w:t>https://doi.org/10.1146/annurev-orgpsych-110721-040030</w:t>
        </w:r>
      </w:hyperlink>
    </w:p>
    <w:p w14:paraId="6B5E8CDE" w14:textId="77777777" w:rsidR="008D67DB" w:rsidRPr="00477A65" w:rsidRDefault="008D67DB" w:rsidP="00477A65">
      <w:pPr>
        <w:pStyle w:val="ListParagraph"/>
        <w:numPr>
          <w:ilvl w:val="0"/>
          <w:numId w:val="8"/>
        </w:numPr>
        <w:spacing w:after="0" w:line="240" w:lineRule="auto"/>
        <w:ind w:left="426" w:hanging="426"/>
        <w:jc w:val="both"/>
        <w:rPr>
          <w:rFonts w:ascii="Times New Roman" w:hAnsi="Times New Roman" w:cs="Times New Roman"/>
          <w:lang w:val="en-US"/>
        </w:rPr>
      </w:pPr>
      <w:proofErr w:type="spellStart"/>
      <w:r w:rsidRPr="00477A65">
        <w:rPr>
          <w:rFonts w:ascii="Times New Roman" w:hAnsi="Times New Roman" w:cs="Times New Roman"/>
          <w:lang w:val="en-US"/>
        </w:rPr>
        <w:t>Rüller</w:t>
      </w:r>
      <w:proofErr w:type="spellEnd"/>
      <w:r w:rsidRPr="00477A65">
        <w:rPr>
          <w:rFonts w:ascii="Times New Roman" w:hAnsi="Times New Roman" w:cs="Times New Roman"/>
          <w:lang w:val="en-US"/>
        </w:rPr>
        <w:t xml:space="preserve">, S. (2025), </w:t>
      </w:r>
      <w:r w:rsidRPr="00477A65">
        <w:rPr>
          <w:rFonts w:ascii="Times New Roman" w:hAnsi="Times New Roman" w:cs="Times New Roman"/>
          <w:i/>
          <w:iCs/>
          <w:lang w:val="en-US"/>
        </w:rPr>
        <w:t>Moving beyond the WEIRD: Lessons from an Amazigh community in shaping pluralistic digital futures</w:t>
      </w:r>
      <w:r w:rsidRPr="00477A65">
        <w:rPr>
          <w:rFonts w:ascii="Times New Roman" w:hAnsi="Times New Roman" w:cs="Times New Roman"/>
          <w:lang w:val="en-US"/>
        </w:rPr>
        <w:t>, Springer VS, Wiesbaden.</w:t>
      </w:r>
    </w:p>
    <w:p w14:paraId="254EFE89" w14:textId="77777777" w:rsidR="008D67DB" w:rsidRPr="00477A65" w:rsidRDefault="008D67DB" w:rsidP="00477A65">
      <w:pPr>
        <w:pStyle w:val="ListParagraph"/>
        <w:numPr>
          <w:ilvl w:val="0"/>
          <w:numId w:val="8"/>
        </w:numPr>
        <w:spacing w:after="0" w:line="240" w:lineRule="auto"/>
        <w:ind w:left="426" w:hanging="426"/>
        <w:jc w:val="both"/>
        <w:rPr>
          <w:rFonts w:ascii="Times New Roman" w:hAnsi="Times New Roman" w:cs="Times New Roman"/>
          <w:lang w:val="en-US"/>
        </w:rPr>
      </w:pPr>
      <w:r w:rsidRPr="00477A65">
        <w:rPr>
          <w:rFonts w:ascii="Times New Roman" w:hAnsi="Times New Roman" w:cs="Times New Roman"/>
          <w:lang w:val="en-US"/>
        </w:rPr>
        <w:t xml:space="preserve">Ryder, C., MacKean, T., Ullah, S., Hunter, K., Rogers, K., Coombs, J., &amp; Edmondson, W. (2019). Development and validation of a questionnaire to measure attitude change in health professionals after completion of an Aboriginal Health and Cultural Safety Training </w:t>
      </w:r>
      <w:proofErr w:type="spellStart"/>
      <w:r w:rsidRPr="00477A65">
        <w:rPr>
          <w:rFonts w:ascii="Times New Roman" w:hAnsi="Times New Roman" w:cs="Times New Roman"/>
          <w:lang w:val="en-US"/>
        </w:rPr>
        <w:t>Programme</w:t>
      </w:r>
      <w:proofErr w:type="spellEnd"/>
      <w:r w:rsidRPr="00477A65">
        <w:rPr>
          <w:rFonts w:ascii="Times New Roman" w:hAnsi="Times New Roman" w:cs="Times New Roman"/>
          <w:lang w:val="en-US"/>
        </w:rPr>
        <w:t xml:space="preserve">. </w:t>
      </w:r>
      <w:r w:rsidRPr="00477A65">
        <w:rPr>
          <w:rFonts w:ascii="Times New Roman" w:hAnsi="Times New Roman" w:cs="Times New Roman"/>
          <w:i/>
          <w:iCs/>
          <w:lang w:val="en-US"/>
        </w:rPr>
        <w:t>The Australian Journal of Indigenous Education</w:t>
      </w:r>
      <w:r w:rsidRPr="00477A65">
        <w:rPr>
          <w:rFonts w:ascii="Times New Roman" w:hAnsi="Times New Roman" w:cs="Times New Roman"/>
          <w:lang w:val="en-US"/>
        </w:rPr>
        <w:t xml:space="preserve">, 48(2), 180–192. </w:t>
      </w:r>
      <w:hyperlink r:id="rId44" w:tgtFrame="_blank" w:history="1">
        <w:r w:rsidRPr="00477A65">
          <w:rPr>
            <w:rStyle w:val="Hyperlink"/>
            <w:rFonts w:ascii="Times New Roman" w:hAnsi="Times New Roman" w:cs="Times New Roman"/>
            <w:lang w:val="en-US"/>
          </w:rPr>
          <w:t>https://doi.org/10.1017/jie.2017.37</w:t>
        </w:r>
      </w:hyperlink>
    </w:p>
    <w:p w14:paraId="6287982C" w14:textId="77777777" w:rsidR="008D67DB" w:rsidRPr="00477A65" w:rsidRDefault="008D67DB" w:rsidP="00477A65">
      <w:pPr>
        <w:pStyle w:val="ListParagraph"/>
        <w:numPr>
          <w:ilvl w:val="0"/>
          <w:numId w:val="8"/>
        </w:numPr>
        <w:spacing w:after="0" w:line="240" w:lineRule="auto"/>
        <w:ind w:left="426" w:hanging="426"/>
        <w:jc w:val="both"/>
        <w:rPr>
          <w:rFonts w:ascii="Times New Roman" w:hAnsi="Times New Roman" w:cs="Times New Roman"/>
          <w:lang w:val="en-US"/>
        </w:rPr>
      </w:pPr>
      <w:r w:rsidRPr="00477A65">
        <w:rPr>
          <w:rFonts w:ascii="Times New Roman" w:hAnsi="Times New Roman" w:cs="Times New Roman"/>
          <w:lang w:val="en-US"/>
        </w:rPr>
        <w:t xml:space="preserve">Sabani, N., Jimmie, A., &amp; Salleh, S. M. (2023. Factors influencing the use of digital learning personalization. </w:t>
      </w:r>
      <w:r w:rsidRPr="00477A65">
        <w:rPr>
          <w:rFonts w:ascii="Times New Roman" w:hAnsi="Times New Roman" w:cs="Times New Roman"/>
          <w:i/>
          <w:iCs/>
          <w:lang w:val="en-US"/>
        </w:rPr>
        <w:t>11th International Conference on Information and Education Technology (ICIET)</w:t>
      </w:r>
      <w:r w:rsidRPr="00477A65">
        <w:rPr>
          <w:rFonts w:ascii="Times New Roman" w:hAnsi="Times New Roman" w:cs="Times New Roman"/>
          <w:lang w:val="en-US"/>
        </w:rPr>
        <w:t xml:space="preserve">, pp. 45–50. </w:t>
      </w:r>
      <w:hyperlink r:id="rId45" w:tgtFrame="_blank" w:history="1">
        <w:r w:rsidRPr="00477A65">
          <w:rPr>
            <w:rStyle w:val="Hyperlink"/>
            <w:rFonts w:ascii="Times New Roman" w:hAnsi="Times New Roman" w:cs="Times New Roman"/>
            <w:lang w:val="en-US"/>
          </w:rPr>
          <w:t>https://doi.org/10.1109/ICIET56899.2023.10111345</w:t>
        </w:r>
      </w:hyperlink>
    </w:p>
    <w:p w14:paraId="06E5B7FD" w14:textId="77777777" w:rsidR="008D67DB" w:rsidRPr="00477A65" w:rsidRDefault="008D67DB" w:rsidP="00477A65">
      <w:pPr>
        <w:pStyle w:val="ListParagraph"/>
        <w:numPr>
          <w:ilvl w:val="0"/>
          <w:numId w:val="8"/>
        </w:numPr>
        <w:spacing w:after="0" w:line="240" w:lineRule="auto"/>
        <w:ind w:left="426" w:hanging="426"/>
        <w:jc w:val="both"/>
        <w:rPr>
          <w:rFonts w:ascii="Times New Roman" w:hAnsi="Times New Roman" w:cs="Times New Roman"/>
          <w:lang w:val="en-US"/>
        </w:rPr>
      </w:pPr>
      <w:r w:rsidRPr="00477A65">
        <w:rPr>
          <w:rFonts w:ascii="Times New Roman" w:hAnsi="Times New Roman" w:cs="Times New Roman"/>
          <w:lang w:val="en-US"/>
        </w:rPr>
        <w:t xml:space="preserve">Salisu, B. (2026, Feb. 8). </w:t>
      </w:r>
      <w:r w:rsidRPr="00477A65">
        <w:rPr>
          <w:rFonts w:ascii="Times New Roman" w:hAnsi="Times New Roman" w:cs="Times New Roman"/>
          <w:i/>
          <w:iCs/>
          <w:lang w:val="en-US"/>
        </w:rPr>
        <w:t xml:space="preserve">Rethinking digital readiness in higher education: A </w:t>
      </w:r>
      <w:proofErr w:type="spellStart"/>
      <w:r w:rsidRPr="00477A65">
        <w:rPr>
          <w:rFonts w:ascii="Times New Roman" w:hAnsi="Times New Roman" w:cs="Times New Roman"/>
          <w:i/>
          <w:iCs/>
          <w:lang w:val="en-US"/>
        </w:rPr>
        <w:t>behavioural</w:t>
      </w:r>
      <w:proofErr w:type="spellEnd"/>
      <w:r w:rsidRPr="00477A65">
        <w:rPr>
          <w:rFonts w:ascii="Times New Roman" w:hAnsi="Times New Roman" w:cs="Times New Roman"/>
          <w:i/>
          <w:iCs/>
          <w:lang w:val="en-US"/>
        </w:rPr>
        <w:t>–institutional framework for transformation</w:t>
      </w:r>
      <w:r w:rsidRPr="00477A65">
        <w:rPr>
          <w:rFonts w:ascii="Times New Roman" w:hAnsi="Times New Roman" w:cs="Times New Roman"/>
          <w:lang w:val="en-US"/>
        </w:rPr>
        <w:t>. Staff Working Paper No. FPD/SMS/BAM/WP001 (8 February 2026), Department of Business Administration and Management, School of Management Sciences, The Federal Polytechnic Damaturu, Nigeria.</w:t>
      </w:r>
    </w:p>
    <w:p w14:paraId="35D01CE2" w14:textId="77777777" w:rsidR="008D67DB" w:rsidRPr="00477A65" w:rsidRDefault="008D67DB" w:rsidP="00477A65">
      <w:pPr>
        <w:pStyle w:val="ListParagraph"/>
        <w:numPr>
          <w:ilvl w:val="0"/>
          <w:numId w:val="8"/>
        </w:numPr>
        <w:spacing w:after="0" w:line="240" w:lineRule="auto"/>
        <w:ind w:left="426" w:hanging="426"/>
        <w:jc w:val="both"/>
        <w:rPr>
          <w:rFonts w:ascii="Times New Roman" w:hAnsi="Times New Roman" w:cs="Times New Roman"/>
        </w:rPr>
      </w:pPr>
      <w:r w:rsidRPr="00477A65">
        <w:rPr>
          <w:rFonts w:ascii="Times New Roman" w:hAnsi="Times New Roman" w:cs="Times New Roman"/>
        </w:rPr>
        <w:t xml:space="preserve">Salmerón-Gómez, R., García-García, C. B. &amp; García-Pérez, J. (2025). A redefined variance inflation factor: Overcoming the limitations of the variance inflation factor. </w:t>
      </w:r>
      <w:r w:rsidRPr="00477A65">
        <w:rPr>
          <w:rFonts w:ascii="Times New Roman" w:hAnsi="Times New Roman" w:cs="Times New Roman"/>
          <w:i/>
          <w:iCs/>
        </w:rPr>
        <w:t>Computational Economics,</w:t>
      </w:r>
      <w:r w:rsidRPr="00477A65">
        <w:rPr>
          <w:rFonts w:ascii="Times New Roman" w:hAnsi="Times New Roman" w:cs="Times New Roman"/>
        </w:rPr>
        <w:t xml:space="preserve"> </w:t>
      </w:r>
      <w:r w:rsidRPr="00477A65">
        <w:rPr>
          <w:rFonts w:ascii="Times New Roman" w:hAnsi="Times New Roman" w:cs="Times New Roman"/>
          <w:i/>
          <w:iCs/>
        </w:rPr>
        <w:t>65</w:t>
      </w:r>
      <w:r w:rsidRPr="00477A65">
        <w:rPr>
          <w:rFonts w:ascii="Times New Roman" w:hAnsi="Times New Roman" w:cs="Times New Roman"/>
        </w:rPr>
        <w:t xml:space="preserve">, 337–363. </w:t>
      </w:r>
      <w:hyperlink r:id="rId46" w:history="1">
        <w:r w:rsidRPr="00477A65">
          <w:rPr>
            <w:rStyle w:val="Hyperlink"/>
            <w:rFonts w:ascii="Times New Roman" w:hAnsi="Times New Roman" w:cs="Times New Roman"/>
          </w:rPr>
          <w:t>https://doi.org/10.1007/s10614-024-10575-8</w:t>
        </w:r>
      </w:hyperlink>
    </w:p>
    <w:p w14:paraId="0BF0D7E1" w14:textId="77777777" w:rsidR="008D67DB" w:rsidRPr="00477A65" w:rsidRDefault="008D67DB" w:rsidP="00477A65">
      <w:pPr>
        <w:pStyle w:val="ListParagraph"/>
        <w:numPr>
          <w:ilvl w:val="0"/>
          <w:numId w:val="8"/>
        </w:numPr>
        <w:spacing w:after="0" w:line="240" w:lineRule="auto"/>
        <w:ind w:left="426" w:hanging="426"/>
        <w:jc w:val="both"/>
        <w:rPr>
          <w:rFonts w:ascii="Times New Roman" w:hAnsi="Times New Roman" w:cs="Times New Roman"/>
          <w:lang w:val="en-US"/>
        </w:rPr>
      </w:pPr>
      <w:proofErr w:type="spellStart"/>
      <w:r w:rsidRPr="00477A65">
        <w:rPr>
          <w:rFonts w:ascii="Times New Roman" w:hAnsi="Times New Roman" w:cs="Times New Roman"/>
          <w:lang w:val="en-US"/>
        </w:rPr>
        <w:t>Scherrenberg</w:t>
      </w:r>
      <w:proofErr w:type="spellEnd"/>
      <w:r w:rsidRPr="00477A65">
        <w:rPr>
          <w:rFonts w:ascii="Times New Roman" w:hAnsi="Times New Roman" w:cs="Times New Roman"/>
          <w:lang w:val="en-US"/>
        </w:rPr>
        <w:t xml:space="preserve">, M., Falter, M., </w:t>
      </w:r>
      <w:proofErr w:type="spellStart"/>
      <w:r w:rsidRPr="00477A65">
        <w:rPr>
          <w:rFonts w:ascii="Times New Roman" w:hAnsi="Times New Roman" w:cs="Times New Roman"/>
          <w:lang w:val="en-US"/>
        </w:rPr>
        <w:t>Kaihara</w:t>
      </w:r>
      <w:proofErr w:type="spellEnd"/>
      <w:r w:rsidRPr="00477A65">
        <w:rPr>
          <w:rFonts w:ascii="Times New Roman" w:hAnsi="Times New Roman" w:cs="Times New Roman"/>
          <w:lang w:val="en-US"/>
        </w:rPr>
        <w:t xml:space="preserve">, T., </w:t>
      </w:r>
      <w:proofErr w:type="spellStart"/>
      <w:r w:rsidRPr="00477A65">
        <w:rPr>
          <w:rFonts w:ascii="Times New Roman" w:hAnsi="Times New Roman" w:cs="Times New Roman"/>
          <w:lang w:val="en-US"/>
        </w:rPr>
        <w:t>Dendale</w:t>
      </w:r>
      <w:proofErr w:type="spellEnd"/>
      <w:r w:rsidRPr="00477A65">
        <w:rPr>
          <w:rFonts w:ascii="Times New Roman" w:hAnsi="Times New Roman" w:cs="Times New Roman"/>
          <w:lang w:val="en-US"/>
        </w:rPr>
        <w:t xml:space="preserve">, P., &amp; </w:t>
      </w:r>
      <w:proofErr w:type="spellStart"/>
      <w:r w:rsidRPr="00477A65">
        <w:rPr>
          <w:rFonts w:ascii="Times New Roman" w:hAnsi="Times New Roman" w:cs="Times New Roman"/>
          <w:lang w:val="en-US"/>
        </w:rPr>
        <w:t>Coninx</w:t>
      </w:r>
      <w:proofErr w:type="spellEnd"/>
      <w:r w:rsidRPr="00477A65">
        <w:rPr>
          <w:rFonts w:ascii="Times New Roman" w:hAnsi="Times New Roman" w:cs="Times New Roman"/>
          <w:lang w:val="en-US"/>
        </w:rPr>
        <w:t xml:space="preserve">, K. (2023). Development and internal validation of the Digital Health Readiness Questionnaire: Prospective single-center survey study. </w:t>
      </w:r>
      <w:r w:rsidRPr="00477A65">
        <w:rPr>
          <w:rFonts w:ascii="Times New Roman" w:hAnsi="Times New Roman" w:cs="Times New Roman"/>
          <w:i/>
          <w:iCs/>
          <w:lang w:val="en-US"/>
        </w:rPr>
        <w:t>Journal of Medical Internet Research</w:t>
      </w:r>
      <w:r w:rsidRPr="00477A65">
        <w:rPr>
          <w:rFonts w:ascii="Times New Roman" w:hAnsi="Times New Roman" w:cs="Times New Roman"/>
          <w:lang w:val="en-US"/>
        </w:rPr>
        <w:t xml:space="preserve">, 25, e41615. </w:t>
      </w:r>
      <w:hyperlink r:id="rId47" w:tgtFrame="_blank" w:history="1">
        <w:r w:rsidRPr="00477A65">
          <w:rPr>
            <w:rStyle w:val="Hyperlink"/>
            <w:rFonts w:ascii="Times New Roman" w:hAnsi="Times New Roman" w:cs="Times New Roman"/>
            <w:lang w:val="en-US"/>
          </w:rPr>
          <w:t>https://doi.org/10.2196/41615</w:t>
        </w:r>
      </w:hyperlink>
    </w:p>
    <w:p w14:paraId="31969B0C" w14:textId="77777777" w:rsidR="008D67DB" w:rsidRPr="00477A65" w:rsidRDefault="008D67DB" w:rsidP="00477A65">
      <w:pPr>
        <w:pStyle w:val="ListParagraph"/>
        <w:numPr>
          <w:ilvl w:val="0"/>
          <w:numId w:val="8"/>
        </w:numPr>
        <w:spacing w:after="0" w:line="240" w:lineRule="auto"/>
        <w:ind w:left="426" w:hanging="426"/>
        <w:jc w:val="both"/>
        <w:rPr>
          <w:rFonts w:ascii="Times New Roman" w:hAnsi="Times New Roman" w:cs="Times New Roman"/>
          <w:lang w:val="en-US"/>
        </w:rPr>
      </w:pPr>
      <w:proofErr w:type="spellStart"/>
      <w:r w:rsidRPr="00477A65">
        <w:rPr>
          <w:rFonts w:ascii="Times New Roman" w:hAnsi="Times New Roman" w:cs="Times New Roman"/>
          <w:lang w:val="en-US"/>
        </w:rPr>
        <w:t>Schiuma</w:t>
      </w:r>
      <w:proofErr w:type="spellEnd"/>
      <w:r w:rsidRPr="00477A65">
        <w:rPr>
          <w:rFonts w:ascii="Times New Roman" w:hAnsi="Times New Roman" w:cs="Times New Roman"/>
          <w:lang w:val="en-US"/>
        </w:rPr>
        <w:t xml:space="preserve">, G., Santarsiero, F., Carlucci, D., &amp; Jarrar, Y. (2024). Transformative leadership competencies for organizational digital transformation. </w:t>
      </w:r>
      <w:r w:rsidRPr="00477A65">
        <w:rPr>
          <w:rFonts w:ascii="Times New Roman" w:hAnsi="Times New Roman" w:cs="Times New Roman"/>
          <w:i/>
          <w:iCs/>
          <w:lang w:val="en-US"/>
        </w:rPr>
        <w:t>Business Horizons</w:t>
      </w:r>
      <w:r w:rsidRPr="00477A65">
        <w:rPr>
          <w:rFonts w:ascii="Times New Roman" w:hAnsi="Times New Roman" w:cs="Times New Roman"/>
          <w:lang w:val="en-US"/>
        </w:rPr>
        <w:t xml:space="preserve">, 67(5), 581–591. </w:t>
      </w:r>
      <w:hyperlink r:id="rId48" w:tgtFrame="_blank" w:history="1">
        <w:r w:rsidRPr="00477A65">
          <w:rPr>
            <w:rStyle w:val="Hyperlink"/>
            <w:rFonts w:ascii="Times New Roman" w:hAnsi="Times New Roman" w:cs="Times New Roman"/>
            <w:lang w:val="en-US"/>
          </w:rPr>
          <w:t>https://doi.org/10.1016/j.bushor.2024.04.004</w:t>
        </w:r>
      </w:hyperlink>
    </w:p>
    <w:p w14:paraId="79C6D9B2" w14:textId="77777777" w:rsidR="008D67DB" w:rsidRPr="00477A65" w:rsidRDefault="008D67DB" w:rsidP="00477A65">
      <w:pPr>
        <w:pStyle w:val="ListParagraph"/>
        <w:numPr>
          <w:ilvl w:val="0"/>
          <w:numId w:val="8"/>
        </w:numPr>
        <w:spacing w:after="0" w:line="240" w:lineRule="auto"/>
        <w:ind w:left="426" w:hanging="426"/>
        <w:jc w:val="both"/>
        <w:rPr>
          <w:rFonts w:ascii="Times New Roman" w:hAnsi="Times New Roman" w:cs="Times New Roman"/>
          <w:lang w:val="en-US"/>
        </w:rPr>
      </w:pPr>
      <w:r w:rsidRPr="00477A65">
        <w:rPr>
          <w:rFonts w:ascii="Times New Roman" w:hAnsi="Times New Roman" w:cs="Times New Roman"/>
          <w:lang w:val="en-US"/>
        </w:rPr>
        <w:t xml:space="preserve">Sharafi, A., </w:t>
      </w:r>
      <w:proofErr w:type="spellStart"/>
      <w:r w:rsidRPr="00477A65">
        <w:rPr>
          <w:rFonts w:ascii="Times New Roman" w:hAnsi="Times New Roman" w:cs="Times New Roman"/>
          <w:lang w:val="en-US"/>
        </w:rPr>
        <w:t>Beheshtifar</w:t>
      </w:r>
      <w:proofErr w:type="spellEnd"/>
      <w:r w:rsidRPr="00477A65">
        <w:rPr>
          <w:rFonts w:ascii="Times New Roman" w:hAnsi="Times New Roman" w:cs="Times New Roman"/>
          <w:lang w:val="en-US"/>
        </w:rPr>
        <w:t xml:space="preserve">, M., &amp; </w:t>
      </w:r>
      <w:proofErr w:type="spellStart"/>
      <w:r w:rsidRPr="00477A65">
        <w:rPr>
          <w:rFonts w:ascii="Times New Roman" w:hAnsi="Times New Roman" w:cs="Times New Roman"/>
          <w:lang w:val="en-US"/>
        </w:rPr>
        <w:t>Ziyaaddini</w:t>
      </w:r>
      <w:proofErr w:type="spellEnd"/>
      <w:r w:rsidRPr="00477A65">
        <w:rPr>
          <w:rFonts w:ascii="Times New Roman" w:hAnsi="Times New Roman" w:cs="Times New Roman"/>
          <w:lang w:val="en-US"/>
        </w:rPr>
        <w:t xml:space="preserve">, M. (2024). The study strategic unlearning model of sharing knowledge in Iran. </w:t>
      </w:r>
      <w:r w:rsidRPr="00477A65">
        <w:rPr>
          <w:rFonts w:ascii="Times New Roman" w:hAnsi="Times New Roman" w:cs="Times New Roman"/>
          <w:i/>
          <w:iCs/>
          <w:lang w:val="en-US"/>
        </w:rPr>
        <w:t>International Journal of Knowledge Processing Studies</w:t>
      </w:r>
      <w:r w:rsidRPr="00477A65">
        <w:rPr>
          <w:rFonts w:ascii="Times New Roman" w:hAnsi="Times New Roman" w:cs="Times New Roman"/>
          <w:lang w:val="en-US"/>
        </w:rPr>
        <w:t xml:space="preserve">, 4(1), 44–59. </w:t>
      </w:r>
      <w:hyperlink r:id="rId49" w:tgtFrame="_blank" w:history="1">
        <w:r w:rsidRPr="00477A65">
          <w:rPr>
            <w:rStyle w:val="Hyperlink"/>
            <w:rFonts w:ascii="Times New Roman" w:hAnsi="Times New Roman" w:cs="Times New Roman"/>
            <w:lang w:val="en-US"/>
          </w:rPr>
          <w:t>https://doi.org/10.22034/kps.2023.392615.1121</w:t>
        </w:r>
      </w:hyperlink>
    </w:p>
    <w:p w14:paraId="2F2CEB1F" w14:textId="77777777" w:rsidR="008D67DB" w:rsidRPr="00477A65" w:rsidRDefault="008D67DB" w:rsidP="00477A65">
      <w:pPr>
        <w:pStyle w:val="ListParagraph"/>
        <w:numPr>
          <w:ilvl w:val="0"/>
          <w:numId w:val="8"/>
        </w:numPr>
        <w:spacing w:after="0" w:line="240" w:lineRule="auto"/>
        <w:ind w:left="426" w:hanging="426"/>
        <w:jc w:val="both"/>
        <w:rPr>
          <w:rFonts w:ascii="Times New Roman" w:hAnsi="Times New Roman" w:cs="Times New Roman"/>
          <w:lang w:val="en-US"/>
        </w:rPr>
      </w:pPr>
      <w:r w:rsidRPr="00477A65">
        <w:rPr>
          <w:rFonts w:ascii="Times New Roman" w:hAnsi="Times New Roman" w:cs="Times New Roman"/>
          <w:lang w:val="en-US"/>
        </w:rPr>
        <w:t xml:space="preserve">Silva, R. P., Mamede, H. S., &amp; Santos, V. (2025). A new proposed model to assess the digital organizational readiness to maximize the results of the digital transformation in SMEs. </w:t>
      </w:r>
      <w:r w:rsidRPr="00477A65">
        <w:rPr>
          <w:rFonts w:ascii="Times New Roman" w:hAnsi="Times New Roman" w:cs="Times New Roman"/>
          <w:i/>
          <w:iCs/>
          <w:lang w:val="en-US"/>
        </w:rPr>
        <w:t>Journal of Innovation and Knowledge</w:t>
      </w:r>
      <w:r w:rsidRPr="00477A65">
        <w:rPr>
          <w:rFonts w:ascii="Times New Roman" w:hAnsi="Times New Roman" w:cs="Times New Roman"/>
          <w:lang w:val="en-US"/>
        </w:rPr>
        <w:t xml:space="preserve">, 10(1), 100644. </w:t>
      </w:r>
      <w:hyperlink r:id="rId50" w:tgtFrame="_blank" w:history="1">
        <w:r w:rsidRPr="00477A65">
          <w:rPr>
            <w:rStyle w:val="Hyperlink"/>
            <w:rFonts w:ascii="Times New Roman" w:hAnsi="Times New Roman" w:cs="Times New Roman"/>
            <w:lang w:val="en-US"/>
          </w:rPr>
          <w:t>https://doi.org/10.1016/j.jik.2024.100644</w:t>
        </w:r>
      </w:hyperlink>
    </w:p>
    <w:p w14:paraId="6944C30D" w14:textId="77777777" w:rsidR="008D67DB" w:rsidRPr="00477A65" w:rsidRDefault="008D67DB" w:rsidP="00477A65">
      <w:pPr>
        <w:pStyle w:val="ListParagraph"/>
        <w:numPr>
          <w:ilvl w:val="0"/>
          <w:numId w:val="8"/>
        </w:numPr>
        <w:spacing w:after="0" w:line="240" w:lineRule="auto"/>
        <w:ind w:left="426" w:hanging="426"/>
        <w:jc w:val="both"/>
        <w:rPr>
          <w:rFonts w:ascii="Times New Roman" w:hAnsi="Times New Roman" w:cs="Times New Roman"/>
          <w:lang w:val="en-US"/>
        </w:rPr>
      </w:pPr>
      <w:r w:rsidRPr="00477A65">
        <w:rPr>
          <w:rFonts w:ascii="Times New Roman" w:hAnsi="Times New Roman" w:cs="Times New Roman"/>
          <w:lang w:val="en-US"/>
        </w:rPr>
        <w:t>Soomro, M. A., Hizam-</w:t>
      </w:r>
      <w:proofErr w:type="spellStart"/>
      <w:r w:rsidRPr="00477A65">
        <w:rPr>
          <w:rFonts w:ascii="Times New Roman" w:hAnsi="Times New Roman" w:cs="Times New Roman"/>
          <w:lang w:val="en-US"/>
        </w:rPr>
        <w:t>Hanafiah</w:t>
      </w:r>
      <w:proofErr w:type="spellEnd"/>
      <w:r w:rsidRPr="00477A65">
        <w:rPr>
          <w:rFonts w:ascii="Times New Roman" w:hAnsi="Times New Roman" w:cs="Times New Roman"/>
          <w:lang w:val="en-US"/>
        </w:rPr>
        <w:t xml:space="preserve">, M., &amp; Abdullah, N.L. (2020). Digital readiness models: A systematic literature review. </w:t>
      </w:r>
      <w:proofErr w:type="spellStart"/>
      <w:r w:rsidRPr="00477A65">
        <w:rPr>
          <w:rFonts w:ascii="Times New Roman" w:hAnsi="Times New Roman" w:cs="Times New Roman"/>
          <w:i/>
          <w:iCs/>
          <w:lang w:val="en-US"/>
        </w:rPr>
        <w:t>Compusoft</w:t>
      </w:r>
      <w:proofErr w:type="spellEnd"/>
      <w:r w:rsidRPr="00477A65">
        <w:rPr>
          <w:rFonts w:ascii="Times New Roman" w:hAnsi="Times New Roman" w:cs="Times New Roman"/>
          <w:lang w:val="en-US"/>
        </w:rPr>
        <w:t>, 9(3), 3575–3580.</w:t>
      </w:r>
    </w:p>
    <w:p w14:paraId="0DFBABCF" w14:textId="77777777" w:rsidR="008D67DB" w:rsidRPr="00477A65" w:rsidRDefault="008D67DB" w:rsidP="00477A65">
      <w:pPr>
        <w:pStyle w:val="ListParagraph"/>
        <w:numPr>
          <w:ilvl w:val="0"/>
          <w:numId w:val="8"/>
        </w:numPr>
        <w:spacing w:after="0" w:line="240" w:lineRule="auto"/>
        <w:ind w:left="426" w:hanging="426"/>
        <w:jc w:val="both"/>
        <w:rPr>
          <w:rFonts w:ascii="Times New Roman" w:hAnsi="Times New Roman" w:cs="Times New Roman"/>
          <w:lang w:val="en-US"/>
        </w:rPr>
      </w:pPr>
      <w:r w:rsidRPr="00477A65">
        <w:rPr>
          <w:rFonts w:ascii="Times New Roman" w:hAnsi="Times New Roman" w:cs="Times New Roman"/>
          <w:lang w:val="en-US"/>
        </w:rPr>
        <w:lastRenderedPageBreak/>
        <w:t xml:space="preserve">Starke, S., &amp; </w:t>
      </w:r>
      <w:proofErr w:type="spellStart"/>
      <w:r w:rsidRPr="00477A65">
        <w:rPr>
          <w:rFonts w:ascii="Times New Roman" w:hAnsi="Times New Roman" w:cs="Times New Roman"/>
          <w:lang w:val="en-US"/>
        </w:rPr>
        <w:t>Ludviga</w:t>
      </w:r>
      <w:proofErr w:type="spellEnd"/>
      <w:r w:rsidRPr="00477A65">
        <w:rPr>
          <w:rFonts w:ascii="Times New Roman" w:hAnsi="Times New Roman" w:cs="Times New Roman"/>
          <w:lang w:val="en-US"/>
        </w:rPr>
        <w:t xml:space="preserve">, I. (2025). Sustained learning as a dynamic capability for digital transformation: A multilevel quantitative study on workforce readiness and digital services in healthcare. </w:t>
      </w:r>
      <w:r w:rsidRPr="00477A65">
        <w:rPr>
          <w:rFonts w:ascii="Times New Roman" w:hAnsi="Times New Roman" w:cs="Times New Roman"/>
          <w:i/>
          <w:iCs/>
          <w:lang w:val="en-US"/>
        </w:rPr>
        <w:t>Sustainability</w:t>
      </w:r>
      <w:r w:rsidRPr="00477A65">
        <w:rPr>
          <w:rFonts w:ascii="Times New Roman" w:hAnsi="Times New Roman" w:cs="Times New Roman"/>
          <w:lang w:val="en-US"/>
        </w:rPr>
        <w:t xml:space="preserve">, 17(20), 9184. </w:t>
      </w:r>
      <w:hyperlink r:id="rId51" w:tgtFrame="_blank" w:history="1">
        <w:r w:rsidRPr="00477A65">
          <w:rPr>
            <w:rStyle w:val="Hyperlink"/>
            <w:rFonts w:ascii="Times New Roman" w:hAnsi="Times New Roman" w:cs="Times New Roman"/>
            <w:lang w:val="en-US"/>
          </w:rPr>
          <w:t>https://doi.org/10.3390/su17209184</w:t>
        </w:r>
      </w:hyperlink>
    </w:p>
    <w:p w14:paraId="52DAC8E9" w14:textId="77777777" w:rsidR="008D67DB" w:rsidRPr="00477A65" w:rsidRDefault="008D67DB" w:rsidP="00477A65">
      <w:pPr>
        <w:pStyle w:val="ListParagraph"/>
        <w:numPr>
          <w:ilvl w:val="0"/>
          <w:numId w:val="8"/>
        </w:numPr>
        <w:spacing w:after="0" w:line="240" w:lineRule="auto"/>
        <w:ind w:left="426" w:hanging="426"/>
        <w:jc w:val="both"/>
        <w:rPr>
          <w:rFonts w:ascii="Times New Roman" w:hAnsi="Times New Roman" w:cs="Times New Roman"/>
          <w:lang w:val="en-US"/>
        </w:rPr>
      </w:pPr>
      <w:r w:rsidRPr="00477A65">
        <w:rPr>
          <w:rFonts w:ascii="Times New Roman" w:hAnsi="Times New Roman" w:cs="Times New Roman"/>
          <w:lang w:val="en-US"/>
        </w:rPr>
        <w:t xml:space="preserve">Thuy, N. T. T., Thanh, H. P. T., Tran, T. T. B., &amp; Si, L. T. (2023). Determinants of employee digital transformation readiness and job performance: A case of SMEs in Vietnam. </w:t>
      </w:r>
      <w:r w:rsidRPr="00477A65">
        <w:rPr>
          <w:rFonts w:ascii="Times New Roman" w:hAnsi="Times New Roman" w:cs="Times New Roman"/>
          <w:i/>
          <w:iCs/>
          <w:lang w:val="en-US"/>
        </w:rPr>
        <w:t>Problems and Perspectives in Management</w:t>
      </w:r>
      <w:r w:rsidRPr="00477A65">
        <w:rPr>
          <w:rFonts w:ascii="Times New Roman" w:hAnsi="Times New Roman" w:cs="Times New Roman"/>
          <w:lang w:val="en-US"/>
        </w:rPr>
        <w:t xml:space="preserve">, 21(4), 18–31. </w:t>
      </w:r>
      <w:hyperlink r:id="rId52" w:tgtFrame="_blank" w:history="1">
        <w:r w:rsidRPr="00477A65">
          <w:rPr>
            <w:rStyle w:val="Hyperlink"/>
            <w:rFonts w:ascii="Times New Roman" w:hAnsi="Times New Roman" w:cs="Times New Roman"/>
            <w:lang w:val="en-US"/>
          </w:rPr>
          <w:t>https://doi.org/10.21511/ppm.21(4).2023.18</w:t>
        </w:r>
      </w:hyperlink>
    </w:p>
    <w:p w14:paraId="2E5A63B8" w14:textId="77777777" w:rsidR="008D67DB" w:rsidRPr="00477A65" w:rsidRDefault="008D67DB" w:rsidP="00477A65">
      <w:pPr>
        <w:pStyle w:val="ListParagraph"/>
        <w:numPr>
          <w:ilvl w:val="0"/>
          <w:numId w:val="8"/>
        </w:numPr>
        <w:spacing w:after="0" w:line="240" w:lineRule="auto"/>
        <w:ind w:left="426" w:hanging="426"/>
        <w:jc w:val="both"/>
        <w:rPr>
          <w:rFonts w:ascii="Times New Roman" w:hAnsi="Times New Roman" w:cs="Times New Roman"/>
          <w:lang w:val="en-US"/>
        </w:rPr>
      </w:pPr>
      <w:proofErr w:type="spellStart"/>
      <w:r w:rsidRPr="00477A65">
        <w:rPr>
          <w:rFonts w:ascii="Times New Roman" w:hAnsi="Times New Roman" w:cs="Times New Roman"/>
          <w:lang w:val="en-US"/>
        </w:rPr>
        <w:t>Trenerry</w:t>
      </w:r>
      <w:proofErr w:type="spellEnd"/>
      <w:r w:rsidRPr="00477A65">
        <w:rPr>
          <w:rFonts w:ascii="Times New Roman" w:hAnsi="Times New Roman" w:cs="Times New Roman"/>
          <w:lang w:val="en-US"/>
        </w:rPr>
        <w:t xml:space="preserve">, B., Chng, S., Wang, Y., Suhaili, Z. S., Lim, S. S., Lu, H. Y., &amp; Oh, P. H. (2021). Preparing workplaces for digital transformation: An integrative review and framework of multi-level factors. </w:t>
      </w:r>
      <w:r w:rsidRPr="00477A65">
        <w:rPr>
          <w:rFonts w:ascii="Times New Roman" w:hAnsi="Times New Roman" w:cs="Times New Roman"/>
          <w:i/>
          <w:iCs/>
          <w:lang w:val="en-US"/>
        </w:rPr>
        <w:t>Frontiers in Psychology</w:t>
      </w:r>
      <w:r w:rsidRPr="00477A65">
        <w:rPr>
          <w:rFonts w:ascii="Times New Roman" w:hAnsi="Times New Roman" w:cs="Times New Roman"/>
          <w:lang w:val="en-US"/>
        </w:rPr>
        <w:t xml:space="preserve">, 12, 620766. </w:t>
      </w:r>
      <w:hyperlink r:id="rId53" w:tgtFrame="_blank" w:history="1">
        <w:r w:rsidRPr="00477A65">
          <w:rPr>
            <w:rStyle w:val="Hyperlink"/>
            <w:rFonts w:ascii="Times New Roman" w:hAnsi="Times New Roman" w:cs="Times New Roman"/>
            <w:lang w:val="en-US"/>
          </w:rPr>
          <w:t>https://doi.org/10.3389/fpsyg.2021.620766</w:t>
        </w:r>
      </w:hyperlink>
    </w:p>
    <w:p w14:paraId="7340E106" w14:textId="77777777" w:rsidR="008D67DB" w:rsidRPr="00477A65" w:rsidRDefault="008D67DB" w:rsidP="00477A65">
      <w:pPr>
        <w:pStyle w:val="ListParagraph"/>
        <w:numPr>
          <w:ilvl w:val="0"/>
          <w:numId w:val="8"/>
        </w:numPr>
        <w:spacing w:after="0" w:line="240" w:lineRule="auto"/>
        <w:ind w:left="426" w:hanging="426"/>
        <w:jc w:val="both"/>
        <w:rPr>
          <w:rFonts w:ascii="Times New Roman" w:hAnsi="Times New Roman" w:cs="Times New Roman"/>
          <w:lang w:val="en-US"/>
        </w:rPr>
      </w:pPr>
      <w:r w:rsidRPr="00477A65">
        <w:rPr>
          <w:rFonts w:ascii="Times New Roman" w:hAnsi="Times New Roman" w:cs="Times New Roman"/>
          <w:lang w:val="en-US"/>
        </w:rPr>
        <w:t xml:space="preserve">Tsimpanis, K., </w:t>
      </w:r>
      <w:proofErr w:type="spellStart"/>
      <w:r w:rsidRPr="00477A65">
        <w:rPr>
          <w:rFonts w:ascii="Times New Roman" w:hAnsi="Times New Roman" w:cs="Times New Roman"/>
          <w:lang w:val="en-US"/>
        </w:rPr>
        <w:t>Avouris</w:t>
      </w:r>
      <w:proofErr w:type="spellEnd"/>
      <w:r w:rsidRPr="00477A65">
        <w:rPr>
          <w:rFonts w:ascii="Times New Roman" w:hAnsi="Times New Roman" w:cs="Times New Roman"/>
          <w:lang w:val="en-US"/>
        </w:rPr>
        <w:t xml:space="preserve">, N., </w:t>
      </w:r>
      <w:proofErr w:type="spellStart"/>
      <w:r w:rsidRPr="00477A65">
        <w:rPr>
          <w:rFonts w:ascii="Times New Roman" w:hAnsi="Times New Roman" w:cs="Times New Roman"/>
          <w:lang w:val="en-US"/>
        </w:rPr>
        <w:t>Chounta</w:t>
      </w:r>
      <w:proofErr w:type="spellEnd"/>
      <w:r w:rsidRPr="00477A65">
        <w:rPr>
          <w:rFonts w:ascii="Times New Roman" w:hAnsi="Times New Roman" w:cs="Times New Roman"/>
          <w:lang w:val="en-US"/>
        </w:rPr>
        <w:t xml:space="preserve">, I. A., &amp; </w:t>
      </w:r>
      <w:proofErr w:type="spellStart"/>
      <w:r w:rsidRPr="00477A65">
        <w:rPr>
          <w:rFonts w:ascii="Times New Roman" w:hAnsi="Times New Roman" w:cs="Times New Roman"/>
          <w:lang w:val="en-US"/>
        </w:rPr>
        <w:t>Balaouras</w:t>
      </w:r>
      <w:proofErr w:type="spellEnd"/>
      <w:r w:rsidRPr="00477A65">
        <w:rPr>
          <w:rFonts w:ascii="Times New Roman" w:hAnsi="Times New Roman" w:cs="Times New Roman"/>
          <w:lang w:val="en-US"/>
        </w:rPr>
        <w:t xml:space="preserve">, P. (2023). Implementing a data-driven framework for measuring digital readiness. </w:t>
      </w:r>
      <w:proofErr w:type="spellStart"/>
      <w:r w:rsidRPr="00477A65">
        <w:rPr>
          <w:rFonts w:ascii="Times New Roman" w:hAnsi="Times New Roman" w:cs="Times New Roman"/>
          <w:i/>
          <w:iCs/>
          <w:lang w:val="en-US"/>
        </w:rPr>
        <w:t>EPiC</w:t>
      </w:r>
      <w:proofErr w:type="spellEnd"/>
      <w:r w:rsidRPr="00477A65">
        <w:rPr>
          <w:rFonts w:ascii="Times New Roman" w:hAnsi="Times New Roman" w:cs="Times New Roman"/>
          <w:i/>
          <w:iCs/>
          <w:lang w:val="en-US"/>
        </w:rPr>
        <w:t xml:space="preserve"> Series in Computing</w:t>
      </w:r>
      <w:r w:rsidRPr="00477A65">
        <w:rPr>
          <w:rFonts w:ascii="Times New Roman" w:hAnsi="Times New Roman" w:cs="Times New Roman"/>
          <w:lang w:val="en-US"/>
        </w:rPr>
        <w:t xml:space="preserve">, 90, 45–55. </w:t>
      </w:r>
      <w:hyperlink r:id="rId54" w:tgtFrame="_blank" w:history="1">
        <w:r w:rsidRPr="00477A65">
          <w:rPr>
            <w:rStyle w:val="Hyperlink"/>
            <w:rFonts w:ascii="Times New Roman" w:hAnsi="Times New Roman" w:cs="Times New Roman"/>
            <w:lang w:val="en-US"/>
          </w:rPr>
          <w:t>https://doi.org/10.29007/ds3v</w:t>
        </w:r>
      </w:hyperlink>
    </w:p>
    <w:p w14:paraId="3FCA55D6" w14:textId="77777777" w:rsidR="008D67DB" w:rsidRPr="00477A65" w:rsidRDefault="008D67DB" w:rsidP="00477A65">
      <w:pPr>
        <w:pStyle w:val="ListParagraph"/>
        <w:numPr>
          <w:ilvl w:val="0"/>
          <w:numId w:val="8"/>
        </w:numPr>
        <w:spacing w:after="0" w:line="240" w:lineRule="auto"/>
        <w:ind w:left="426" w:hanging="426"/>
        <w:jc w:val="both"/>
        <w:rPr>
          <w:rFonts w:ascii="Times New Roman" w:hAnsi="Times New Roman" w:cs="Times New Roman"/>
          <w:lang w:val="en-US"/>
        </w:rPr>
      </w:pPr>
      <w:r w:rsidRPr="00477A65">
        <w:rPr>
          <w:rFonts w:ascii="Times New Roman" w:hAnsi="Times New Roman" w:cs="Times New Roman"/>
          <w:lang w:val="en-US"/>
        </w:rPr>
        <w:t xml:space="preserve">Vijayarani, S., Sowmiya, M., Harish, M., &amp; Balaraman, B. (2025). Employee adoption of digital technologies: Role of employee competence and readiness. </w:t>
      </w:r>
      <w:r w:rsidRPr="00477A65">
        <w:rPr>
          <w:rFonts w:ascii="Times New Roman" w:hAnsi="Times New Roman" w:cs="Times New Roman"/>
          <w:i/>
          <w:iCs/>
          <w:lang w:val="en-US"/>
        </w:rPr>
        <w:t>International Journal of Business and Systems Research</w:t>
      </w:r>
      <w:r w:rsidRPr="00477A65">
        <w:rPr>
          <w:rFonts w:ascii="Times New Roman" w:hAnsi="Times New Roman" w:cs="Times New Roman"/>
          <w:lang w:val="en-US"/>
        </w:rPr>
        <w:t xml:space="preserve">, 19(1), 101–115. </w:t>
      </w:r>
      <w:hyperlink r:id="rId55" w:tgtFrame="_blank" w:history="1">
        <w:r w:rsidRPr="00477A65">
          <w:rPr>
            <w:rStyle w:val="Hyperlink"/>
            <w:rFonts w:ascii="Times New Roman" w:hAnsi="Times New Roman" w:cs="Times New Roman"/>
            <w:lang w:val="en-US"/>
          </w:rPr>
          <w:t>https://doi.org/10.1504/IJBSR.2025.149072</w:t>
        </w:r>
      </w:hyperlink>
    </w:p>
    <w:p w14:paraId="0502F82E" w14:textId="77777777" w:rsidR="008D67DB" w:rsidRPr="00477A65" w:rsidRDefault="008D67DB" w:rsidP="00477A65">
      <w:pPr>
        <w:pStyle w:val="ListParagraph"/>
        <w:numPr>
          <w:ilvl w:val="0"/>
          <w:numId w:val="8"/>
        </w:numPr>
        <w:spacing w:after="0" w:line="240" w:lineRule="auto"/>
        <w:ind w:left="426" w:hanging="426"/>
        <w:jc w:val="both"/>
        <w:rPr>
          <w:rFonts w:ascii="Times New Roman" w:hAnsi="Times New Roman" w:cs="Times New Roman"/>
          <w:lang w:val="en-US"/>
        </w:rPr>
      </w:pPr>
      <w:r w:rsidRPr="00477A65">
        <w:rPr>
          <w:rFonts w:ascii="Times New Roman" w:hAnsi="Times New Roman" w:cs="Times New Roman"/>
          <w:lang w:val="en-US"/>
        </w:rPr>
        <w:t xml:space="preserve">Zhao, D., Wang, Y., Shu, E., &amp; Wu, Y. J. (2026). Impact of individual unlearning on employees’ behavioral resistance to digital transformation. </w:t>
      </w:r>
      <w:r w:rsidRPr="00477A65">
        <w:rPr>
          <w:rFonts w:ascii="Times New Roman" w:hAnsi="Times New Roman" w:cs="Times New Roman"/>
          <w:i/>
          <w:iCs/>
          <w:lang w:val="en-US"/>
        </w:rPr>
        <w:t>Technological Forecasting and Social Change</w:t>
      </w:r>
      <w:r w:rsidRPr="00477A65">
        <w:rPr>
          <w:rFonts w:ascii="Times New Roman" w:hAnsi="Times New Roman" w:cs="Times New Roman"/>
          <w:lang w:val="en-US"/>
        </w:rPr>
        <w:t xml:space="preserve">, 202, Article 124405. </w:t>
      </w:r>
      <w:hyperlink r:id="rId56" w:tgtFrame="_blank" w:history="1">
        <w:r w:rsidRPr="00477A65">
          <w:rPr>
            <w:rStyle w:val="Hyperlink"/>
            <w:rFonts w:ascii="Times New Roman" w:hAnsi="Times New Roman" w:cs="Times New Roman"/>
            <w:lang w:val="en-US"/>
          </w:rPr>
          <w:t>https://doi.org/10.1016/j.techfore.2025.124405</w:t>
        </w:r>
      </w:hyperlink>
    </w:p>
    <w:p w14:paraId="5DF79FC7" w14:textId="77777777" w:rsidR="008D67DB" w:rsidRPr="00477A65" w:rsidRDefault="008D67DB" w:rsidP="00477A65">
      <w:pPr>
        <w:pStyle w:val="ListParagraph"/>
        <w:numPr>
          <w:ilvl w:val="0"/>
          <w:numId w:val="8"/>
        </w:numPr>
        <w:spacing w:after="0" w:line="240" w:lineRule="auto"/>
        <w:ind w:left="426" w:hanging="426"/>
        <w:jc w:val="both"/>
        <w:rPr>
          <w:rFonts w:ascii="Times New Roman" w:hAnsi="Times New Roman" w:cs="Times New Roman"/>
          <w:lang w:val="en-US"/>
        </w:rPr>
      </w:pPr>
      <w:r w:rsidRPr="00477A65">
        <w:rPr>
          <w:rFonts w:ascii="Times New Roman" w:hAnsi="Times New Roman" w:cs="Times New Roman"/>
          <w:lang w:val="en-US"/>
        </w:rPr>
        <w:t xml:space="preserve">Zhong, Q., Jiang, J., Bai, W., Zhong, X. (2025). Application of digital-intelligent technologies in physical education. </w:t>
      </w:r>
      <w:r w:rsidRPr="00477A65">
        <w:rPr>
          <w:rFonts w:ascii="Times New Roman" w:hAnsi="Times New Roman" w:cs="Times New Roman"/>
          <w:i/>
          <w:iCs/>
          <w:lang w:val="en-US"/>
        </w:rPr>
        <w:t>Frontiers in Public Health</w:t>
      </w:r>
      <w:r w:rsidRPr="00477A65">
        <w:rPr>
          <w:rFonts w:ascii="Times New Roman" w:hAnsi="Times New Roman" w:cs="Times New Roman"/>
          <w:lang w:val="en-US"/>
        </w:rPr>
        <w:t xml:space="preserve">, 13, Article 1626603. </w:t>
      </w:r>
      <w:hyperlink r:id="rId57" w:tgtFrame="_blank" w:history="1">
        <w:r w:rsidRPr="00477A65">
          <w:rPr>
            <w:rStyle w:val="Hyperlink"/>
            <w:rFonts w:ascii="Times New Roman" w:hAnsi="Times New Roman" w:cs="Times New Roman"/>
            <w:lang w:val="en-US"/>
          </w:rPr>
          <w:t>https://doi.org/10.3389/fpubh.2025.1626603</w:t>
        </w:r>
      </w:hyperlink>
    </w:p>
    <w:p w14:paraId="7FB96F6E" w14:textId="77777777" w:rsidR="008D67DB" w:rsidRPr="00477A65" w:rsidRDefault="008D67DB" w:rsidP="00477A65">
      <w:pPr>
        <w:pStyle w:val="ListParagraph"/>
        <w:numPr>
          <w:ilvl w:val="0"/>
          <w:numId w:val="8"/>
        </w:numPr>
        <w:spacing w:after="0" w:line="240" w:lineRule="auto"/>
        <w:ind w:left="426" w:hanging="426"/>
        <w:jc w:val="both"/>
        <w:rPr>
          <w:rFonts w:ascii="Times New Roman" w:hAnsi="Times New Roman" w:cs="Times New Roman"/>
          <w:lang w:val="en-US"/>
        </w:rPr>
      </w:pPr>
      <w:r w:rsidRPr="00477A65">
        <w:rPr>
          <w:rFonts w:ascii="Times New Roman" w:hAnsi="Times New Roman" w:cs="Times New Roman"/>
          <w:lang w:val="en-US"/>
        </w:rPr>
        <w:t xml:space="preserve">Zhou, Q., Huang, R., &amp; Mao, J. Y. (2025). A serial mediation effect of digital transformation on employee performance: An ability-motivation-opportunity framework and employee unlearning. </w:t>
      </w:r>
      <w:r w:rsidRPr="00477A65">
        <w:rPr>
          <w:rFonts w:ascii="Times New Roman" w:hAnsi="Times New Roman" w:cs="Times New Roman"/>
          <w:i/>
          <w:iCs/>
          <w:lang w:val="en-US"/>
        </w:rPr>
        <w:t>Journal of Business Research</w:t>
      </w:r>
      <w:r w:rsidRPr="00477A65">
        <w:rPr>
          <w:rFonts w:ascii="Times New Roman" w:hAnsi="Times New Roman" w:cs="Times New Roman"/>
          <w:lang w:val="en-US"/>
        </w:rPr>
        <w:t xml:space="preserve">, 186, 115696. </w:t>
      </w:r>
      <w:hyperlink r:id="rId58" w:tgtFrame="_blank" w:history="1">
        <w:r w:rsidRPr="00477A65">
          <w:rPr>
            <w:rStyle w:val="Hyperlink"/>
            <w:rFonts w:ascii="Times New Roman" w:hAnsi="Times New Roman" w:cs="Times New Roman"/>
            <w:lang w:val="en-US"/>
          </w:rPr>
          <w:t>https://doi.org/10.1016/j.jbusres.2025.115696</w:t>
        </w:r>
      </w:hyperlink>
    </w:p>
    <w:p w14:paraId="07F4BC83" w14:textId="77777777" w:rsidR="008D67DB" w:rsidRPr="00477A65" w:rsidRDefault="008D67DB" w:rsidP="00477A65">
      <w:pPr>
        <w:pStyle w:val="ListParagraph"/>
        <w:numPr>
          <w:ilvl w:val="0"/>
          <w:numId w:val="8"/>
        </w:numPr>
        <w:spacing w:after="0" w:line="240" w:lineRule="auto"/>
        <w:ind w:left="426" w:hanging="426"/>
        <w:jc w:val="both"/>
        <w:rPr>
          <w:rFonts w:ascii="Times New Roman" w:hAnsi="Times New Roman" w:cs="Times New Roman"/>
        </w:rPr>
      </w:pPr>
      <w:proofErr w:type="spellStart"/>
      <w:r w:rsidRPr="00477A65">
        <w:rPr>
          <w:rFonts w:ascii="Times New Roman" w:hAnsi="Times New Roman" w:cs="Times New Roman"/>
          <w:lang w:val="en-US"/>
        </w:rPr>
        <w:t>Zincirli</w:t>
      </w:r>
      <w:proofErr w:type="spellEnd"/>
      <w:r w:rsidRPr="00477A65">
        <w:rPr>
          <w:rFonts w:ascii="Times New Roman" w:hAnsi="Times New Roman" w:cs="Times New Roman"/>
          <w:lang w:val="en-US"/>
        </w:rPr>
        <w:t xml:space="preserve">, M., &amp; Polat, E. (2025). Development of the Digital Transformation Scale: Assessment of measurement invariance. </w:t>
      </w:r>
      <w:r w:rsidRPr="00477A65">
        <w:rPr>
          <w:rFonts w:ascii="Times New Roman" w:hAnsi="Times New Roman" w:cs="Times New Roman"/>
          <w:i/>
          <w:iCs/>
          <w:lang w:val="en-US"/>
        </w:rPr>
        <w:t>SAGE Open</w:t>
      </w:r>
      <w:r w:rsidRPr="00477A65">
        <w:rPr>
          <w:rFonts w:ascii="Times New Roman" w:hAnsi="Times New Roman" w:cs="Times New Roman"/>
          <w:lang w:val="en-US"/>
        </w:rPr>
        <w:t xml:space="preserve">, 15(1). </w:t>
      </w:r>
      <w:hyperlink r:id="rId59" w:tgtFrame="_blank" w:history="1">
        <w:r w:rsidRPr="00477A65">
          <w:rPr>
            <w:rStyle w:val="Hyperlink"/>
            <w:rFonts w:ascii="Times New Roman" w:hAnsi="Times New Roman" w:cs="Times New Roman"/>
            <w:lang w:val="en-US"/>
          </w:rPr>
          <w:t>https://doi.org/10.1177/21582440251378827</w:t>
        </w:r>
      </w:hyperlink>
    </w:p>
    <w:p w14:paraId="3122C35D" w14:textId="77777777" w:rsidR="00FC1865" w:rsidRPr="00C531F3" w:rsidRDefault="00FC1865" w:rsidP="00BE2884">
      <w:pPr>
        <w:spacing w:after="0" w:line="240" w:lineRule="auto"/>
        <w:ind w:left="709" w:hanging="709"/>
        <w:jc w:val="both"/>
        <w:rPr>
          <w:rFonts w:ascii="Times New Roman" w:hAnsi="Times New Roman" w:cs="Times New Roman"/>
        </w:rPr>
      </w:pPr>
    </w:p>
    <w:p w14:paraId="54753534" w14:textId="113C0524" w:rsidR="008A7719" w:rsidRPr="00C531F3" w:rsidRDefault="008A7719" w:rsidP="008A7719">
      <w:pPr>
        <w:pStyle w:val="Heading1"/>
        <w:spacing w:before="0" w:after="0" w:line="240" w:lineRule="auto"/>
        <w:rPr>
          <w:rFonts w:ascii="Times New Roman" w:hAnsi="Times New Roman" w:cs="Times New Roman"/>
          <w:b/>
          <w:bCs/>
          <w:color w:val="auto"/>
          <w:sz w:val="24"/>
          <w:szCs w:val="24"/>
          <w:lang w:val="en-US"/>
        </w:rPr>
      </w:pPr>
      <w:r w:rsidRPr="00C531F3">
        <w:rPr>
          <w:rFonts w:ascii="Times New Roman" w:hAnsi="Times New Roman" w:cs="Times New Roman"/>
          <w:b/>
          <w:bCs/>
          <w:color w:val="auto"/>
          <w:sz w:val="24"/>
          <w:szCs w:val="24"/>
        </w:rPr>
        <w:t>Appendix A. Measurement Instruments</w:t>
      </w:r>
    </w:p>
    <w:p w14:paraId="1C51A5BB" w14:textId="77777777" w:rsidR="00B23210" w:rsidRPr="00C531F3" w:rsidRDefault="00B23210" w:rsidP="00B23210">
      <w:pPr>
        <w:spacing w:after="0" w:line="240" w:lineRule="auto"/>
        <w:ind w:left="709" w:hanging="709"/>
        <w:jc w:val="both"/>
        <w:rPr>
          <w:rFonts w:ascii="Times New Roman" w:hAnsi="Times New Roman" w:cs="Times New Roman"/>
        </w:rPr>
      </w:pPr>
    </w:p>
    <w:p w14:paraId="669D4BCA" w14:textId="2DDD429F" w:rsidR="007E717A" w:rsidRPr="00C531F3" w:rsidRDefault="007E717A" w:rsidP="00F159B4">
      <w:pPr>
        <w:spacing w:after="0" w:line="240" w:lineRule="auto"/>
        <w:ind w:left="709" w:hanging="709"/>
        <w:jc w:val="center"/>
        <w:rPr>
          <w:rFonts w:ascii="Times New Roman" w:hAnsi="Times New Roman" w:cs="Times New Roman"/>
        </w:rPr>
      </w:pPr>
      <w:r w:rsidRPr="00C531F3">
        <w:rPr>
          <w:rFonts w:ascii="Times New Roman" w:hAnsi="Times New Roman" w:cs="Times New Roman"/>
        </w:rPr>
        <w:t>Table A1. Digital Readiness Scale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680"/>
        <w:gridCol w:w="811"/>
        <w:gridCol w:w="5787"/>
        <w:gridCol w:w="2415"/>
      </w:tblGrid>
      <w:tr w:rsidR="007E717A" w:rsidRPr="00C531F3" w14:paraId="280BD864" w14:textId="77777777" w:rsidTr="00FA3585">
        <w:trPr>
          <w:tblHeader/>
        </w:trPr>
        <w:tc>
          <w:tcPr>
            <w:tcW w:w="0" w:type="auto"/>
            <w:vAlign w:val="center"/>
            <w:hideMark/>
          </w:tcPr>
          <w:p w14:paraId="17153E51" w14:textId="77777777" w:rsidR="007E717A" w:rsidRPr="00C531F3" w:rsidRDefault="007E717A" w:rsidP="007E717A">
            <w:pPr>
              <w:rPr>
                <w:rFonts w:ascii="Times New Roman" w:hAnsi="Times New Roman" w:cs="Times New Roman"/>
                <w:b/>
                <w:bCs/>
                <w:lang w:val="en-US"/>
              </w:rPr>
            </w:pPr>
            <w:r w:rsidRPr="00C531F3">
              <w:rPr>
                <w:rFonts w:ascii="Times New Roman" w:hAnsi="Times New Roman" w:cs="Times New Roman"/>
                <w:b/>
                <w:bCs/>
                <w:lang w:val="en-US"/>
              </w:rPr>
              <w:t>Dimension</w:t>
            </w:r>
          </w:p>
        </w:tc>
        <w:tc>
          <w:tcPr>
            <w:tcW w:w="0" w:type="auto"/>
            <w:vAlign w:val="center"/>
            <w:hideMark/>
          </w:tcPr>
          <w:p w14:paraId="25046465" w14:textId="15BF5F66" w:rsidR="007E717A" w:rsidRPr="00C531F3" w:rsidRDefault="007E717A" w:rsidP="007E717A">
            <w:pPr>
              <w:rPr>
                <w:rFonts w:ascii="Times New Roman" w:hAnsi="Times New Roman" w:cs="Times New Roman"/>
                <w:b/>
                <w:bCs/>
                <w:lang w:val="en-US"/>
              </w:rPr>
            </w:pPr>
            <w:r w:rsidRPr="00C531F3">
              <w:rPr>
                <w:rFonts w:ascii="Times New Roman" w:hAnsi="Times New Roman" w:cs="Times New Roman"/>
                <w:b/>
                <w:bCs/>
                <w:lang w:val="en-US"/>
              </w:rPr>
              <w:t>Code</w:t>
            </w:r>
          </w:p>
        </w:tc>
        <w:tc>
          <w:tcPr>
            <w:tcW w:w="0" w:type="auto"/>
            <w:vAlign w:val="center"/>
            <w:hideMark/>
          </w:tcPr>
          <w:p w14:paraId="348C4EA9" w14:textId="77777777" w:rsidR="007E717A" w:rsidRPr="00C531F3" w:rsidRDefault="007E717A" w:rsidP="007E717A">
            <w:pPr>
              <w:rPr>
                <w:rFonts w:ascii="Times New Roman" w:hAnsi="Times New Roman" w:cs="Times New Roman"/>
                <w:b/>
                <w:bCs/>
                <w:lang w:val="en-US"/>
              </w:rPr>
            </w:pPr>
            <w:r w:rsidRPr="00C531F3">
              <w:rPr>
                <w:rFonts w:ascii="Times New Roman" w:hAnsi="Times New Roman" w:cs="Times New Roman"/>
                <w:b/>
                <w:bCs/>
                <w:lang w:val="en-US"/>
              </w:rPr>
              <w:t>Item Statement</w:t>
            </w:r>
          </w:p>
        </w:tc>
        <w:tc>
          <w:tcPr>
            <w:tcW w:w="0" w:type="auto"/>
            <w:vAlign w:val="center"/>
            <w:hideMark/>
          </w:tcPr>
          <w:p w14:paraId="05B26651" w14:textId="5BCAC822" w:rsidR="007E717A" w:rsidRPr="00C531F3" w:rsidRDefault="007E717A" w:rsidP="007E717A">
            <w:pPr>
              <w:rPr>
                <w:rFonts w:ascii="Times New Roman" w:hAnsi="Times New Roman" w:cs="Times New Roman"/>
                <w:b/>
                <w:bCs/>
                <w:lang w:val="en-US"/>
              </w:rPr>
            </w:pPr>
            <w:r w:rsidRPr="00C531F3">
              <w:rPr>
                <w:rFonts w:ascii="Times New Roman" w:hAnsi="Times New Roman" w:cs="Times New Roman"/>
                <w:b/>
                <w:bCs/>
                <w:lang w:val="en-US"/>
              </w:rPr>
              <w:t>Source Basis</w:t>
            </w:r>
          </w:p>
        </w:tc>
      </w:tr>
      <w:tr w:rsidR="007E717A" w:rsidRPr="00C531F3" w14:paraId="2DC4DD7C" w14:textId="77777777" w:rsidTr="00FA3585">
        <w:tc>
          <w:tcPr>
            <w:tcW w:w="0" w:type="auto"/>
            <w:vMerge w:val="restart"/>
            <w:vAlign w:val="center"/>
            <w:hideMark/>
          </w:tcPr>
          <w:p w14:paraId="6979392F" w14:textId="77777777" w:rsidR="007E717A" w:rsidRPr="00C531F3" w:rsidRDefault="007E717A" w:rsidP="007E717A">
            <w:pPr>
              <w:rPr>
                <w:rFonts w:ascii="Times New Roman" w:hAnsi="Times New Roman" w:cs="Times New Roman"/>
                <w:lang w:val="en-US"/>
              </w:rPr>
            </w:pPr>
            <w:r w:rsidRPr="00C531F3">
              <w:rPr>
                <w:rFonts w:ascii="Times New Roman" w:hAnsi="Times New Roman" w:cs="Times New Roman"/>
                <w:lang w:val="en-US"/>
              </w:rPr>
              <w:t>Skills and Confidence</w:t>
            </w:r>
          </w:p>
        </w:tc>
        <w:tc>
          <w:tcPr>
            <w:tcW w:w="0" w:type="auto"/>
            <w:vAlign w:val="center"/>
            <w:hideMark/>
          </w:tcPr>
          <w:p w14:paraId="6A93BD80" w14:textId="77777777" w:rsidR="007E717A" w:rsidRPr="00C531F3" w:rsidRDefault="007E717A" w:rsidP="007E717A">
            <w:pPr>
              <w:rPr>
                <w:rFonts w:ascii="Times New Roman" w:hAnsi="Times New Roman" w:cs="Times New Roman"/>
                <w:lang w:val="en-US"/>
              </w:rPr>
            </w:pPr>
            <w:r w:rsidRPr="00C531F3">
              <w:rPr>
                <w:rFonts w:ascii="Times New Roman" w:hAnsi="Times New Roman" w:cs="Times New Roman"/>
                <w:lang w:val="en-US"/>
              </w:rPr>
              <w:t>DSC1</w:t>
            </w:r>
          </w:p>
        </w:tc>
        <w:tc>
          <w:tcPr>
            <w:tcW w:w="0" w:type="auto"/>
            <w:vAlign w:val="center"/>
            <w:hideMark/>
          </w:tcPr>
          <w:p w14:paraId="40D9DA40" w14:textId="77777777" w:rsidR="007E717A" w:rsidRPr="00C531F3" w:rsidRDefault="007E717A" w:rsidP="007E717A">
            <w:pPr>
              <w:rPr>
                <w:rFonts w:ascii="Times New Roman" w:hAnsi="Times New Roman" w:cs="Times New Roman"/>
                <w:lang w:val="en-US"/>
              </w:rPr>
            </w:pPr>
            <w:r w:rsidRPr="00C531F3">
              <w:rPr>
                <w:rFonts w:ascii="Times New Roman" w:hAnsi="Times New Roman" w:cs="Times New Roman"/>
                <w:lang w:val="en-US"/>
              </w:rPr>
              <w:t>I am confident in my ability to perform all core professional duties using the institution’s digital platforms.</w:t>
            </w:r>
          </w:p>
        </w:tc>
        <w:tc>
          <w:tcPr>
            <w:tcW w:w="0" w:type="auto"/>
            <w:vAlign w:val="center"/>
            <w:hideMark/>
          </w:tcPr>
          <w:p w14:paraId="0096A1AB" w14:textId="77777777" w:rsidR="007E717A" w:rsidRPr="00C531F3" w:rsidRDefault="007E717A" w:rsidP="007E717A">
            <w:pPr>
              <w:rPr>
                <w:rFonts w:ascii="Times New Roman" w:hAnsi="Times New Roman" w:cs="Times New Roman"/>
                <w:lang w:val="en-US"/>
              </w:rPr>
            </w:pPr>
            <w:r w:rsidRPr="00C531F3">
              <w:rPr>
                <w:rFonts w:ascii="Times New Roman" w:hAnsi="Times New Roman" w:cs="Times New Roman"/>
                <w:lang w:val="en-US"/>
              </w:rPr>
              <w:t>Inferred from Neunaber et al. (2025)</w:t>
            </w:r>
          </w:p>
        </w:tc>
      </w:tr>
      <w:tr w:rsidR="007E717A" w:rsidRPr="00C531F3" w14:paraId="6B201884" w14:textId="77777777" w:rsidTr="00FA3585">
        <w:tc>
          <w:tcPr>
            <w:tcW w:w="0" w:type="auto"/>
            <w:vMerge/>
            <w:vAlign w:val="center"/>
            <w:hideMark/>
          </w:tcPr>
          <w:p w14:paraId="7471B902" w14:textId="77777777" w:rsidR="007E717A" w:rsidRPr="00C531F3" w:rsidRDefault="007E717A" w:rsidP="007E717A">
            <w:pPr>
              <w:rPr>
                <w:rFonts w:ascii="Times New Roman" w:hAnsi="Times New Roman" w:cs="Times New Roman"/>
                <w:lang w:val="en-US"/>
              </w:rPr>
            </w:pPr>
          </w:p>
        </w:tc>
        <w:tc>
          <w:tcPr>
            <w:tcW w:w="0" w:type="auto"/>
            <w:vAlign w:val="center"/>
            <w:hideMark/>
          </w:tcPr>
          <w:p w14:paraId="49D37AB3" w14:textId="77777777" w:rsidR="007E717A" w:rsidRPr="00C531F3" w:rsidRDefault="007E717A" w:rsidP="007E717A">
            <w:pPr>
              <w:rPr>
                <w:rFonts w:ascii="Times New Roman" w:hAnsi="Times New Roman" w:cs="Times New Roman"/>
                <w:lang w:val="en-US"/>
              </w:rPr>
            </w:pPr>
            <w:r w:rsidRPr="00C531F3">
              <w:rPr>
                <w:rFonts w:ascii="Times New Roman" w:hAnsi="Times New Roman" w:cs="Times New Roman"/>
                <w:lang w:val="en-US"/>
              </w:rPr>
              <w:t>DSC2</w:t>
            </w:r>
          </w:p>
        </w:tc>
        <w:tc>
          <w:tcPr>
            <w:tcW w:w="0" w:type="auto"/>
            <w:vAlign w:val="center"/>
            <w:hideMark/>
          </w:tcPr>
          <w:p w14:paraId="5116F5B9" w14:textId="77777777" w:rsidR="007E717A" w:rsidRPr="00C531F3" w:rsidRDefault="007E717A" w:rsidP="007E717A">
            <w:pPr>
              <w:rPr>
                <w:rFonts w:ascii="Times New Roman" w:hAnsi="Times New Roman" w:cs="Times New Roman"/>
                <w:lang w:val="en-US"/>
              </w:rPr>
            </w:pPr>
            <w:r w:rsidRPr="00C531F3">
              <w:rPr>
                <w:rFonts w:ascii="Times New Roman" w:hAnsi="Times New Roman" w:cs="Times New Roman"/>
                <w:lang w:val="en-US"/>
              </w:rPr>
              <w:t>When a new digital application is introduced, I can master its functions quickly and independently.</w:t>
            </w:r>
          </w:p>
        </w:tc>
        <w:tc>
          <w:tcPr>
            <w:tcW w:w="0" w:type="auto"/>
            <w:vAlign w:val="center"/>
            <w:hideMark/>
          </w:tcPr>
          <w:p w14:paraId="78DDAC18" w14:textId="77777777" w:rsidR="007E717A" w:rsidRPr="00C531F3" w:rsidRDefault="007E717A" w:rsidP="007E717A">
            <w:pPr>
              <w:rPr>
                <w:rFonts w:ascii="Times New Roman" w:hAnsi="Times New Roman" w:cs="Times New Roman"/>
                <w:lang w:val="en-US"/>
              </w:rPr>
            </w:pPr>
            <w:r w:rsidRPr="00C531F3">
              <w:rPr>
                <w:rFonts w:ascii="Times New Roman" w:hAnsi="Times New Roman" w:cs="Times New Roman"/>
                <w:lang w:val="en-US"/>
              </w:rPr>
              <w:t xml:space="preserve">Adapted from </w:t>
            </w:r>
            <w:proofErr w:type="spellStart"/>
            <w:r w:rsidRPr="00C531F3">
              <w:rPr>
                <w:rFonts w:ascii="Times New Roman" w:hAnsi="Times New Roman" w:cs="Times New Roman"/>
                <w:lang w:val="en-US"/>
              </w:rPr>
              <w:t>Scherrenberg</w:t>
            </w:r>
            <w:proofErr w:type="spellEnd"/>
            <w:r w:rsidRPr="00C531F3">
              <w:rPr>
                <w:rFonts w:ascii="Times New Roman" w:hAnsi="Times New Roman" w:cs="Times New Roman"/>
                <w:lang w:val="en-US"/>
              </w:rPr>
              <w:t xml:space="preserve"> et al. (2023)</w:t>
            </w:r>
          </w:p>
        </w:tc>
      </w:tr>
      <w:tr w:rsidR="007E717A" w:rsidRPr="00C531F3" w14:paraId="5AEE5692" w14:textId="77777777" w:rsidTr="00FA3585">
        <w:tc>
          <w:tcPr>
            <w:tcW w:w="0" w:type="auto"/>
            <w:vMerge/>
            <w:vAlign w:val="center"/>
            <w:hideMark/>
          </w:tcPr>
          <w:p w14:paraId="49596D46" w14:textId="77777777" w:rsidR="007E717A" w:rsidRPr="00C531F3" w:rsidRDefault="007E717A" w:rsidP="007E717A">
            <w:pPr>
              <w:rPr>
                <w:rFonts w:ascii="Times New Roman" w:hAnsi="Times New Roman" w:cs="Times New Roman"/>
                <w:lang w:val="en-US"/>
              </w:rPr>
            </w:pPr>
          </w:p>
        </w:tc>
        <w:tc>
          <w:tcPr>
            <w:tcW w:w="0" w:type="auto"/>
            <w:vAlign w:val="center"/>
            <w:hideMark/>
          </w:tcPr>
          <w:p w14:paraId="06C1F0DF" w14:textId="77777777" w:rsidR="007E717A" w:rsidRPr="00C531F3" w:rsidRDefault="007E717A" w:rsidP="007E717A">
            <w:pPr>
              <w:rPr>
                <w:rFonts w:ascii="Times New Roman" w:hAnsi="Times New Roman" w:cs="Times New Roman"/>
                <w:lang w:val="en-US"/>
              </w:rPr>
            </w:pPr>
            <w:r w:rsidRPr="00C531F3">
              <w:rPr>
                <w:rFonts w:ascii="Times New Roman" w:hAnsi="Times New Roman" w:cs="Times New Roman"/>
                <w:lang w:val="en-US"/>
              </w:rPr>
              <w:t>DSC3</w:t>
            </w:r>
          </w:p>
        </w:tc>
        <w:tc>
          <w:tcPr>
            <w:tcW w:w="0" w:type="auto"/>
            <w:vAlign w:val="center"/>
            <w:hideMark/>
          </w:tcPr>
          <w:p w14:paraId="594257B4" w14:textId="77777777" w:rsidR="007E717A" w:rsidRPr="00C531F3" w:rsidRDefault="007E717A" w:rsidP="007E717A">
            <w:pPr>
              <w:rPr>
                <w:rFonts w:ascii="Times New Roman" w:hAnsi="Times New Roman" w:cs="Times New Roman"/>
                <w:lang w:val="en-US"/>
              </w:rPr>
            </w:pPr>
            <w:r w:rsidRPr="00C531F3">
              <w:rPr>
                <w:rFonts w:ascii="Times New Roman" w:hAnsi="Times New Roman" w:cs="Times New Roman"/>
                <w:lang w:val="en-US"/>
              </w:rPr>
              <w:t>I possess the necessary digital literacy to troubleshoot basic technical challenges encountered during my work.</w:t>
            </w:r>
          </w:p>
        </w:tc>
        <w:tc>
          <w:tcPr>
            <w:tcW w:w="0" w:type="auto"/>
            <w:vAlign w:val="center"/>
            <w:hideMark/>
          </w:tcPr>
          <w:p w14:paraId="612B732C" w14:textId="77777777" w:rsidR="007E717A" w:rsidRPr="00C531F3" w:rsidRDefault="007E717A" w:rsidP="007E717A">
            <w:pPr>
              <w:rPr>
                <w:rFonts w:ascii="Times New Roman" w:hAnsi="Times New Roman" w:cs="Times New Roman"/>
                <w:lang w:val="en-US"/>
              </w:rPr>
            </w:pPr>
            <w:r w:rsidRPr="00C531F3">
              <w:rPr>
                <w:rFonts w:ascii="Times New Roman" w:hAnsi="Times New Roman" w:cs="Times New Roman"/>
                <w:lang w:val="en-US"/>
              </w:rPr>
              <w:t>Inferred from Bhavsar et al. (2025)</w:t>
            </w:r>
          </w:p>
        </w:tc>
      </w:tr>
      <w:tr w:rsidR="007E717A" w:rsidRPr="00C531F3" w14:paraId="76A14633" w14:textId="77777777" w:rsidTr="00FA3585">
        <w:tc>
          <w:tcPr>
            <w:tcW w:w="0" w:type="auto"/>
            <w:vMerge/>
            <w:vAlign w:val="center"/>
            <w:hideMark/>
          </w:tcPr>
          <w:p w14:paraId="047BF4FC" w14:textId="77777777" w:rsidR="007E717A" w:rsidRPr="00C531F3" w:rsidRDefault="007E717A" w:rsidP="007E717A">
            <w:pPr>
              <w:rPr>
                <w:rFonts w:ascii="Times New Roman" w:hAnsi="Times New Roman" w:cs="Times New Roman"/>
                <w:lang w:val="en-US"/>
              </w:rPr>
            </w:pPr>
          </w:p>
        </w:tc>
        <w:tc>
          <w:tcPr>
            <w:tcW w:w="0" w:type="auto"/>
            <w:vAlign w:val="center"/>
            <w:hideMark/>
          </w:tcPr>
          <w:p w14:paraId="22722823" w14:textId="77777777" w:rsidR="007E717A" w:rsidRPr="00C531F3" w:rsidRDefault="007E717A" w:rsidP="007E717A">
            <w:pPr>
              <w:rPr>
                <w:rFonts w:ascii="Times New Roman" w:hAnsi="Times New Roman" w:cs="Times New Roman"/>
                <w:lang w:val="en-US"/>
              </w:rPr>
            </w:pPr>
            <w:r w:rsidRPr="00C531F3">
              <w:rPr>
                <w:rFonts w:ascii="Times New Roman" w:hAnsi="Times New Roman" w:cs="Times New Roman"/>
                <w:lang w:val="en-US"/>
              </w:rPr>
              <w:t>DSC4</w:t>
            </w:r>
          </w:p>
        </w:tc>
        <w:tc>
          <w:tcPr>
            <w:tcW w:w="0" w:type="auto"/>
            <w:vAlign w:val="center"/>
            <w:hideMark/>
          </w:tcPr>
          <w:p w14:paraId="107A9039" w14:textId="77777777" w:rsidR="007E717A" w:rsidRPr="00C531F3" w:rsidRDefault="007E717A" w:rsidP="007E717A">
            <w:pPr>
              <w:rPr>
                <w:rFonts w:ascii="Times New Roman" w:hAnsi="Times New Roman" w:cs="Times New Roman"/>
                <w:lang w:val="en-US"/>
              </w:rPr>
            </w:pPr>
            <w:r w:rsidRPr="00C531F3">
              <w:rPr>
                <w:rFonts w:ascii="Times New Roman" w:hAnsi="Times New Roman" w:cs="Times New Roman"/>
                <w:lang w:val="en-US"/>
              </w:rPr>
              <w:t>I have a clear understanding of which digital tools are most appropriate for specific tasks in my role.</w:t>
            </w:r>
          </w:p>
        </w:tc>
        <w:tc>
          <w:tcPr>
            <w:tcW w:w="0" w:type="auto"/>
            <w:vAlign w:val="center"/>
            <w:hideMark/>
          </w:tcPr>
          <w:p w14:paraId="48FB9573" w14:textId="77777777" w:rsidR="007E717A" w:rsidRPr="00C531F3" w:rsidRDefault="007E717A" w:rsidP="007E717A">
            <w:pPr>
              <w:rPr>
                <w:rFonts w:ascii="Times New Roman" w:hAnsi="Times New Roman" w:cs="Times New Roman"/>
                <w:lang w:val="en-US"/>
              </w:rPr>
            </w:pPr>
            <w:r w:rsidRPr="00C531F3">
              <w:rPr>
                <w:rFonts w:ascii="Times New Roman" w:hAnsi="Times New Roman" w:cs="Times New Roman"/>
                <w:lang w:val="en-US"/>
              </w:rPr>
              <w:t>Adapted from Neunaber et al. (2025)</w:t>
            </w:r>
          </w:p>
        </w:tc>
      </w:tr>
      <w:tr w:rsidR="007E717A" w:rsidRPr="00C531F3" w14:paraId="2BD049F7" w14:textId="77777777" w:rsidTr="00FA3585">
        <w:tc>
          <w:tcPr>
            <w:tcW w:w="0" w:type="auto"/>
            <w:vMerge w:val="restart"/>
            <w:vAlign w:val="center"/>
            <w:hideMark/>
          </w:tcPr>
          <w:p w14:paraId="240F022C" w14:textId="77777777" w:rsidR="007E717A" w:rsidRPr="00C531F3" w:rsidRDefault="007E717A" w:rsidP="007E717A">
            <w:pPr>
              <w:rPr>
                <w:rFonts w:ascii="Times New Roman" w:hAnsi="Times New Roman" w:cs="Times New Roman"/>
                <w:lang w:val="en-US"/>
              </w:rPr>
            </w:pPr>
            <w:r w:rsidRPr="00C531F3">
              <w:rPr>
                <w:rFonts w:ascii="Times New Roman" w:hAnsi="Times New Roman" w:cs="Times New Roman"/>
                <w:lang w:val="en-US"/>
              </w:rPr>
              <w:t>Usage and Adoption</w:t>
            </w:r>
          </w:p>
        </w:tc>
        <w:tc>
          <w:tcPr>
            <w:tcW w:w="0" w:type="auto"/>
            <w:vAlign w:val="center"/>
            <w:hideMark/>
          </w:tcPr>
          <w:p w14:paraId="6ED31E55" w14:textId="77777777" w:rsidR="007E717A" w:rsidRPr="00C531F3" w:rsidRDefault="007E717A" w:rsidP="007E717A">
            <w:pPr>
              <w:rPr>
                <w:rFonts w:ascii="Times New Roman" w:hAnsi="Times New Roman" w:cs="Times New Roman"/>
                <w:lang w:val="en-US"/>
              </w:rPr>
            </w:pPr>
            <w:r w:rsidRPr="00C531F3">
              <w:rPr>
                <w:rFonts w:ascii="Times New Roman" w:hAnsi="Times New Roman" w:cs="Times New Roman"/>
                <w:lang w:val="en-US"/>
              </w:rPr>
              <w:t>DTA1</w:t>
            </w:r>
          </w:p>
        </w:tc>
        <w:tc>
          <w:tcPr>
            <w:tcW w:w="0" w:type="auto"/>
            <w:vAlign w:val="center"/>
            <w:hideMark/>
          </w:tcPr>
          <w:p w14:paraId="343FA69B" w14:textId="77777777" w:rsidR="007E717A" w:rsidRPr="00C531F3" w:rsidRDefault="007E717A" w:rsidP="007E717A">
            <w:pPr>
              <w:rPr>
                <w:rFonts w:ascii="Times New Roman" w:hAnsi="Times New Roman" w:cs="Times New Roman"/>
                <w:lang w:val="en-US"/>
              </w:rPr>
            </w:pPr>
            <w:r w:rsidRPr="00C531F3">
              <w:rPr>
                <w:rFonts w:ascii="Times New Roman" w:hAnsi="Times New Roman" w:cs="Times New Roman"/>
                <w:lang w:val="en-US"/>
              </w:rPr>
              <w:t>Digital tools and platforms are an essential and integrated part of my daily routine work practices.</w:t>
            </w:r>
          </w:p>
        </w:tc>
        <w:tc>
          <w:tcPr>
            <w:tcW w:w="0" w:type="auto"/>
            <w:vAlign w:val="center"/>
            <w:hideMark/>
          </w:tcPr>
          <w:p w14:paraId="08E74860" w14:textId="77777777" w:rsidR="007E717A" w:rsidRPr="00C531F3" w:rsidRDefault="007E717A" w:rsidP="007E717A">
            <w:pPr>
              <w:rPr>
                <w:rFonts w:ascii="Times New Roman" w:hAnsi="Times New Roman" w:cs="Times New Roman"/>
                <w:lang w:val="en-US"/>
              </w:rPr>
            </w:pPr>
            <w:r w:rsidRPr="00C531F3">
              <w:rPr>
                <w:rFonts w:ascii="Times New Roman" w:hAnsi="Times New Roman" w:cs="Times New Roman"/>
                <w:lang w:val="en-US"/>
              </w:rPr>
              <w:t xml:space="preserve">Adapted from </w:t>
            </w:r>
            <w:proofErr w:type="spellStart"/>
            <w:r w:rsidRPr="00C531F3">
              <w:rPr>
                <w:rFonts w:ascii="Times New Roman" w:hAnsi="Times New Roman" w:cs="Times New Roman"/>
                <w:lang w:val="en-US"/>
              </w:rPr>
              <w:t>Scherrenberg</w:t>
            </w:r>
            <w:proofErr w:type="spellEnd"/>
            <w:r w:rsidRPr="00C531F3">
              <w:rPr>
                <w:rFonts w:ascii="Times New Roman" w:hAnsi="Times New Roman" w:cs="Times New Roman"/>
                <w:lang w:val="en-US"/>
              </w:rPr>
              <w:t xml:space="preserve"> et al. (2023)</w:t>
            </w:r>
          </w:p>
        </w:tc>
      </w:tr>
      <w:tr w:rsidR="007E717A" w:rsidRPr="00C531F3" w14:paraId="6C0648F9" w14:textId="77777777" w:rsidTr="00FA3585">
        <w:tc>
          <w:tcPr>
            <w:tcW w:w="0" w:type="auto"/>
            <w:vMerge/>
            <w:vAlign w:val="center"/>
            <w:hideMark/>
          </w:tcPr>
          <w:p w14:paraId="70B26052" w14:textId="77777777" w:rsidR="007E717A" w:rsidRPr="00C531F3" w:rsidRDefault="007E717A" w:rsidP="007E717A">
            <w:pPr>
              <w:rPr>
                <w:rFonts w:ascii="Times New Roman" w:hAnsi="Times New Roman" w:cs="Times New Roman"/>
                <w:lang w:val="en-US"/>
              </w:rPr>
            </w:pPr>
          </w:p>
        </w:tc>
        <w:tc>
          <w:tcPr>
            <w:tcW w:w="0" w:type="auto"/>
            <w:vAlign w:val="center"/>
            <w:hideMark/>
          </w:tcPr>
          <w:p w14:paraId="06261098" w14:textId="77777777" w:rsidR="007E717A" w:rsidRPr="00C531F3" w:rsidRDefault="007E717A" w:rsidP="007E717A">
            <w:pPr>
              <w:rPr>
                <w:rFonts w:ascii="Times New Roman" w:hAnsi="Times New Roman" w:cs="Times New Roman"/>
                <w:lang w:val="en-US"/>
              </w:rPr>
            </w:pPr>
            <w:r w:rsidRPr="00C531F3">
              <w:rPr>
                <w:rFonts w:ascii="Times New Roman" w:hAnsi="Times New Roman" w:cs="Times New Roman"/>
                <w:lang w:val="en-US"/>
              </w:rPr>
              <w:t>DTA2</w:t>
            </w:r>
          </w:p>
        </w:tc>
        <w:tc>
          <w:tcPr>
            <w:tcW w:w="0" w:type="auto"/>
            <w:vAlign w:val="center"/>
            <w:hideMark/>
          </w:tcPr>
          <w:p w14:paraId="7D5752C9" w14:textId="77777777" w:rsidR="007E717A" w:rsidRPr="00C531F3" w:rsidRDefault="007E717A" w:rsidP="007E717A">
            <w:pPr>
              <w:rPr>
                <w:rFonts w:ascii="Times New Roman" w:hAnsi="Times New Roman" w:cs="Times New Roman"/>
                <w:lang w:val="en-US"/>
              </w:rPr>
            </w:pPr>
            <w:r w:rsidRPr="00C531F3">
              <w:rPr>
                <w:rFonts w:ascii="Times New Roman" w:hAnsi="Times New Roman" w:cs="Times New Roman"/>
                <w:lang w:val="en-US"/>
              </w:rPr>
              <w:t xml:space="preserve">I </w:t>
            </w:r>
            <w:proofErr w:type="spellStart"/>
            <w:r w:rsidRPr="00C531F3">
              <w:rPr>
                <w:rFonts w:ascii="Times New Roman" w:hAnsi="Times New Roman" w:cs="Times New Roman"/>
                <w:lang w:val="en-US"/>
              </w:rPr>
              <w:t>prioritise</w:t>
            </w:r>
            <w:proofErr w:type="spellEnd"/>
            <w:r w:rsidRPr="00C531F3">
              <w:rPr>
                <w:rFonts w:ascii="Times New Roman" w:hAnsi="Times New Roman" w:cs="Times New Roman"/>
                <w:lang w:val="en-US"/>
              </w:rPr>
              <w:t xml:space="preserve"> using institutional digital systems over manual or paper-based methods for professional documentation and communication.</w:t>
            </w:r>
          </w:p>
        </w:tc>
        <w:tc>
          <w:tcPr>
            <w:tcW w:w="0" w:type="auto"/>
            <w:vAlign w:val="center"/>
            <w:hideMark/>
          </w:tcPr>
          <w:p w14:paraId="1A0FD25F" w14:textId="77777777" w:rsidR="007E717A" w:rsidRPr="00C531F3" w:rsidRDefault="007E717A" w:rsidP="007E717A">
            <w:pPr>
              <w:rPr>
                <w:rFonts w:ascii="Times New Roman" w:hAnsi="Times New Roman" w:cs="Times New Roman"/>
                <w:lang w:val="en-US"/>
              </w:rPr>
            </w:pPr>
            <w:r w:rsidRPr="00C531F3">
              <w:rPr>
                <w:rFonts w:ascii="Times New Roman" w:hAnsi="Times New Roman" w:cs="Times New Roman"/>
                <w:lang w:val="en-US"/>
              </w:rPr>
              <w:t>Adapted from Pingali et al. (2023)</w:t>
            </w:r>
          </w:p>
        </w:tc>
      </w:tr>
      <w:tr w:rsidR="007E717A" w:rsidRPr="00C531F3" w14:paraId="2F2855EC" w14:textId="77777777" w:rsidTr="00FA3585">
        <w:tc>
          <w:tcPr>
            <w:tcW w:w="0" w:type="auto"/>
            <w:vMerge/>
            <w:vAlign w:val="center"/>
            <w:hideMark/>
          </w:tcPr>
          <w:p w14:paraId="482A56B7" w14:textId="77777777" w:rsidR="007E717A" w:rsidRPr="00C531F3" w:rsidRDefault="007E717A" w:rsidP="007E717A">
            <w:pPr>
              <w:rPr>
                <w:rFonts w:ascii="Times New Roman" w:hAnsi="Times New Roman" w:cs="Times New Roman"/>
                <w:lang w:val="en-US"/>
              </w:rPr>
            </w:pPr>
          </w:p>
        </w:tc>
        <w:tc>
          <w:tcPr>
            <w:tcW w:w="0" w:type="auto"/>
            <w:vAlign w:val="center"/>
            <w:hideMark/>
          </w:tcPr>
          <w:p w14:paraId="1B4D97CE" w14:textId="77777777" w:rsidR="007E717A" w:rsidRPr="00C531F3" w:rsidRDefault="007E717A" w:rsidP="007E717A">
            <w:pPr>
              <w:rPr>
                <w:rFonts w:ascii="Times New Roman" w:hAnsi="Times New Roman" w:cs="Times New Roman"/>
                <w:lang w:val="en-US"/>
              </w:rPr>
            </w:pPr>
            <w:r w:rsidRPr="00C531F3">
              <w:rPr>
                <w:rFonts w:ascii="Times New Roman" w:hAnsi="Times New Roman" w:cs="Times New Roman"/>
                <w:lang w:val="en-US"/>
              </w:rPr>
              <w:t>DTA3</w:t>
            </w:r>
          </w:p>
        </w:tc>
        <w:tc>
          <w:tcPr>
            <w:tcW w:w="0" w:type="auto"/>
            <w:vAlign w:val="center"/>
            <w:hideMark/>
          </w:tcPr>
          <w:p w14:paraId="0AC56DD7" w14:textId="77777777" w:rsidR="007E717A" w:rsidRPr="00C531F3" w:rsidRDefault="007E717A" w:rsidP="007E717A">
            <w:pPr>
              <w:rPr>
                <w:rFonts w:ascii="Times New Roman" w:hAnsi="Times New Roman" w:cs="Times New Roman"/>
                <w:lang w:val="en-US"/>
              </w:rPr>
            </w:pPr>
            <w:r w:rsidRPr="00C531F3">
              <w:rPr>
                <w:rFonts w:ascii="Times New Roman" w:hAnsi="Times New Roman" w:cs="Times New Roman"/>
                <w:lang w:val="en-US"/>
              </w:rPr>
              <w:t xml:space="preserve">I regularly </w:t>
            </w:r>
            <w:proofErr w:type="spellStart"/>
            <w:r w:rsidRPr="00C531F3">
              <w:rPr>
                <w:rFonts w:ascii="Times New Roman" w:hAnsi="Times New Roman" w:cs="Times New Roman"/>
                <w:lang w:val="en-US"/>
              </w:rPr>
              <w:t>utilise</w:t>
            </w:r>
            <w:proofErr w:type="spellEnd"/>
            <w:r w:rsidRPr="00C531F3">
              <w:rPr>
                <w:rFonts w:ascii="Times New Roman" w:hAnsi="Times New Roman" w:cs="Times New Roman"/>
                <w:lang w:val="en-US"/>
              </w:rPr>
              <w:t xml:space="preserve"> digital platforms to collaborate with colleagues on teaching, research, or administrative projects.</w:t>
            </w:r>
          </w:p>
        </w:tc>
        <w:tc>
          <w:tcPr>
            <w:tcW w:w="0" w:type="auto"/>
            <w:vAlign w:val="center"/>
            <w:hideMark/>
          </w:tcPr>
          <w:p w14:paraId="531386D4" w14:textId="77777777" w:rsidR="007E717A" w:rsidRPr="00C531F3" w:rsidRDefault="007E717A" w:rsidP="007E717A">
            <w:pPr>
              <w:rPr>
                <w:rFonts w:ascii="Times New Roman" w:hAnsi="Times New Roman" w:cs="Times New Roman"/>
                <w:lang w:val="en-US"/>
              </w:rPr>
            </w:pPr>
            <w:r w:rsidRPr="00C531F3">
              <w:rPr>
                <w:rFonts w:ascii="Times New Roman" w:hAnsi="Times New Roman" w:cs="Times New Roman"/>
                <w:lang w:val="en-US"/>
              </w:rPr>
              <w:t xml:space="preserve">Inferred from </w:t>
            </w:r>
            <w:proofErr w:type="spellStart"/>
            <w:r w:rsidRPr="00C531F3">
              <w:rPr>
                <w:rFonts w:ascii="Times New Roman" w:hAnsi="Times New Roman" w:cs="Times New Roman"/>
                <w:lang w:val="en-US"/>
              </w:rPr>
              <w:t>Laaber</w:t>
            </w:r>
            <w:proofErr w:type="spellEnd"/>
            <w:r w:rsidRPr="00C531F3">
              <w:rPr>
                <w:rFonts w:ascii="Times New Roman" w:hAnsi="Times New Roman" w:cs="Times New Roman"/>
                <w:lang w:val="en-US"/>
              </w:rPr>
              <w:t xml:space="preserve"> et al. (2023)</w:t>
            </w:r>
          </w:p>
        </w:tc>
      </w:tr>
      <w:tr w:rsidR="007E717A" w:rsidRPr="00C531F3" w14:paraId="2E4B8F6E" w14:textId="77777777" w:rsidTr="00FA3585">
        <w:tc>
          <w:tcPr>
            <w:tcW w:w="0" w:type="auto"/>
            <w:vMerge/>
            <w:vAlign w:val="center"/>
            <w:hideMark/>
          </w:tcPr>
          <w:p w14:paraId="39750F95" w14:textId="77777777" w:rsidR="007E717A" w:rsidRPr="00C531F3" w:rsidRDefault="007E717A" w:rsidP="007E717A">
            <w:pPr>
              <w:rPr>
                <w:rFonts w:ascii="Times New Roman" w:hAnsi="Times New Roman" w:cs="Times New Roman"/>
                <w:lang w:val="en-US"/>
              </w:rPr>
            </w:pPr>
          </w:p>
        </w:tc>
        <w:tc>
          <w:tcPr>
            <w:tcW w:w="0" w:type="auto"/>
            <w:vAlign w:val="center"/>
            <w:hideMark/>
          </w:tcPr>
          <w:p w14:paraId="5AE3A098" w14:textId="77777777" w:rsidR="007E717A" w:rsidRPr="00C531F3" w:rsidRDefault="007E717A" w:rsidP="007E717A">
            <w:pPr>
              <w:rPr>
                <w:rFonts w:ascii="Times New Roman" w:hAnsi="Times New Roman" w:cs="Times New Roman"/>
                <w:lang w:val="en-US"/>
              </w:rPr>
            </w:pPr>
            <w:r w:rsidRPr="00C531F3">
              <w:rPr>
                <w:rFonts w:ascii="Times New Roman" w:hAnsi="Times New Roman" w:cs="Times New Roman"/>
                <w:lang w:val="en-US"/>
              </w:rPr>
              <w:t>DTA4</w:t>
            </w:r>
          </w:p>
        </w:tc>
        <w:tc>
          <w:tcPr>
            <w:tcW w:w="0" w:type="auto"/>
            <w:vAlign w:val="center"/>
            <w:hideMark/>
          </w:tcPr>
          <w:p w14:paraId="6994BC69" w14:textId="77777777" w:rsidR="007E717A" w:rsidRPr="00C531F3" w:rsidRDefault="007E717A" w:rsidP="007E717A">
            <w:pPr>
              <w:rPr>
                <w:rFonts w:ascii="Times New Roman" w:hAnsi="Times New Roman" w:cs="Times New Roman"/>
                <w:lang w:val="en-US"/>
              </w:rPr>
            </w:pPr>
            <w:r w:rsidRPr="00C531F3">
              <w:rPr>
                <w:rFonts w:ascii="Times New Roman" w:hAnsi="Times New Roman" w:cs="Times New Roman"/>
                <w:lang w:val="en-US"/>
              </w:rPr>
              <w:t>I actively explore and adopt new features within institutional software to improve the efficiency of my workflow.</w:t>
            </w:r>
          </w:p>
        </w:tc>
        <w:tc>
          <w:tcPr>
            <w:tcW w:w="0" w:type="auto"/>
            <w:vAlign w:val="center"/>
            <w:hideMark/>
          </w:tcPr>
          <w:p w14:paraId="0A0CF625" w14:textId="77777777" w:rsidR="007E717A" w:rsidRPr="00C531F3" w:rsidRDefault="007E717A" w:rsidP="007E717A">
            <w:pPr>
              <w:rPr>
                <w:rFonts w:ascii="Times New Roman" w:hAnsi="Times New Roman" w:cs="Times New Roman"/>
                <w:lang w:val="en-US"/>
              </w:rPr>
            </w:pPr>
            <w:r w:rsidRPr="00C531F3">
              <w:rPr>
                <w:rFonts w:ascii="Times New Roman" w:hAnsi="Times New Roman" w:cs="Times New Roman"/>
                <w:lang w:val="en-US"/>
              </w:rPr>
              <w:t xml:space="preserve">Inferred from </w:t>
            </w:r>
            <w:proofErr w:type="spellStart"/>
            <w:r w:rsidRPr="00C531F3">
              <w:rPr>
                <w:rFonts w:ascii="Times New Roman" w:hAnsi="Times New Roman" w:cs="Times New Roman"/>
                <w:lang w:val="en-US"/>
              </w:rPr>
              <w:t>Kadoić</w:t>
            </w:r>
            <w:proofErr w:type="spellEnd"/>
            <w:r w:rsidRPr="00C531F3">
              <w:rPr>
                <w:rFonts w:ascii="Times New Roman" w:hAnsi="Times New Roman" w:cs="Times New Roman"/>
                <w:lang w:val="en-US"/>
              </w:rPr>
              <w:t xml:space="preserve"> et al. (2024)</w:t>
            </w:r>
          </w:p>
        </w:tc>
      </w:tr>
    </w:tbl>
    <w:p w14:paraId="1E86B96D" w14:textId="0687C61C" w:rsidR="007E717A" w:rsidRPr="00C531F3" w:rsidRDefault="003A576E" w:rsidP="00B242D9">
      <w:pPr>
        <w:spacing w:before="240" w:after="0" w:line="240" w:lineRule="auto"/>
        <w:jc w:val="center"/>
        <w:rPr>
          <w:rFonts w:ascii="Times New Roman" w:hAnsi="Times New Roman" w:cs="Times New Roman"/>
          <w:lang w:val="en-US"/>
        </w:rPr>
      </w:pPr>
      <w:r w:rsidRPr="00C531F3">
        <w:rPr>
          <w:rFonts w:ascii="Times New Roman" w:hAnsi="Times New Roman" w:cs="Times New Roman"/>
          <w:lang w:val="en-US"/>
        </w:rPr>
        <w:t>Table A2. Cognitive Unlearning Scale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60"/>
        <w:gridCol w:w="790"/>
        <w:gridCol w:w="5367"/>
        <w:gridCol w:w="2276"/>
      </w:tblGrid>
      <w:tr w:rsidR="001A2329" w:rsidRPr="00C531F3" w14:paraId="0AFE24E4" w14:textId="77777777" w:rsidTr="00FA3585">
        <w:trPr>
          <w:tblHeader/>
        </w:trPr>
        <w:tc>
          <w:tcPr>
            <w:tcW w:w="0" w:type="auto"/>
            <w:vAlign w:val="center"/>
            <w:hideMark/>
          </w:tcPr>
          <w:p w14:paraId="02698988" w14:textId="77777777" w:rsidR="001A2329" w:rsidRPr="00C531F3" w:rsidRDefault="001A2329" w:rsidP="001A2329">
            <w:pPr>
              <w:rPr>
                <w:rFonts w:ascii="Times New Roman" w:hAnsi="Times New Roman" w:cs="Times New Roman"/>
                <w:b/>
                <w:bCs/>
                <w:lang w:val="en-US"/>
              </w:rPr>
            </w:pPr>
            <w:r w:rsidRPr="00C531F3">
              <w:rPr>
                <w:rFonts w:ascii="Times New Roman" w:hAnsi="Times New Roman" w:cs="Times New Roman"/>
                <w:b/>
                <w:bCs/>
                <w:lang w:val="en-US"/>
              </w:rPr>
              <w:lastRenderedPageBreak/>
              <w:t>Dimension</w:t>
            </w:r>
          </w:p>
        </w:tc>
        <w:tc>
          <w:tcPr>
            <w:tcW w:w="0" w:type="auto"/>
            <w:vAlign w:val="center"/>
            <w:hideMark/>
          </w:tcPr>
          <w:p w14:paraId="25CDD3D1" w14:textId="3B4A66EE" w:rsidR="001A2329" w:rsidRPr="00C531F3" w:rsidRDefault="001A2329" w:rsidP="001A2329">
            <w:pPr>
              <w:rPr>
                <w:rFonts w:ascii="Times New Roman" w:hAnsi="Times New Roman" w:cs="Times New Roman"/>
                <w:b/>
                <w:bCs/>
                <w:lang w:val="en-US"/>
              </w:rPr>
            </w:pPr>
            <w:r w:rsidRPr="00C531F3">
              <w:rPr>
                <w:rFonts w:ascii="Times New Roman" w:hAnsi="Times New Roman" w:cs="Times New Roman"/>
                <w:b/>
                <w:bCs/>
                <w:lang w:val="en-US"/>
              </w:rPr>
              <w:t>Code</w:t>
            </w:r>
          </w:p>
        </w:tc>
        <w:tc>
          <w:tcPr>
            <w:tcW w:w="0" w:type="auto"/>
            <w:vAlign w:val="center"/>
            <w:hideMark/>
          </w:tcPr>
          <w:p w14:paraId="6443AF40" w14:textId="77777777" w:rsidR="001A2329" w:rsidRPr="00C531F3" w:rsidRDefault="001A2329" w:rsidP="001A2329">
            <w:pPr>
              <w:rPr>
                <w:rFonts w:ascii="Times New Roman" w:hAnsi="Times New Roman" w:cs="Times New Roman"/>
                <w:b/>
                <w:bCs/>
                <w:lang w:val="en-US"/>
              </w:rPr>
            </w:pPr>
            <w:r w:rsidRPr="00C531F3">
              <w:rPr>
                <w:rFonts w:ascii="Times New Roman" w:hAnsi="Times New Roman" w:cs="Times New Roman"/>
                <w:b/>
                <w:bCs/>
                <w:lang w:val="en-US"/>
              </w:rPr>
              <w:t>Item Statement</w:t>
            </w:r>
          </w:p>
        </w:tc>
        <w:tc>
          <w:tcPr>
            <w:tcW w:w="0" w:type="auto"/>
            <w:vAlign w:val="center"/>
            <w:hideMark/>
          </w:tcPr>
          <w:p w14:paraId="13A70F2E" w14:textId="50D5E395" w:rsidR="001A2329" w:rsidRPr="00C531F3" w:rsidRDefault="001A2329" w:rsidP="001A2329">
            <w:pPr>
              <w:rPr>
                <w:rFonts w:ascii="Times New Roman" w:hAnsi="Times New Roman" w:cs="Times New Roman"/>
                <w:b/>
                <w:bCs/>
                <w:lang w:val="en-US"/>
              </w:rPr>
            </w:pPr>
            <w:r w:rsidRPr="00C531F3">
              <w:rPr>
                <w:rFonts w:ascii="Times New Roman" w:hAnsi="Times New Roman" w:cs="Times New Roman"/>
                <w:b/>
                <w:bCs/>
                <w:lang w:val="en-US"/>
              </w:rPr>
              <w:t>Source Basis</w:t>
            </w:r>
          </w:p>
        </w:tc>
      </w:tr>
      <w:tr w:rsidR="001A2329" w:rsidRPr="00C531F3" w14:paraId="66673559" w14:textId="77777777" w:rsidTr="00FA3585">
        <w:tc>
          <w:tcPr>
            <w:tcW w:w="0" w:type="auto"/>
            <w:vMerge w:val="restart"/>
            <w:vAlign w:val="center"/>
            <w:hideMark/>
          </w:tcPr>
          <w:p w14:paraId="52D9F5C0" w14:textId="77777777" w:rsidR="001A2329" w:rsidRPr="00C531F3" w:rsidRDefault="001A2329" w:rsidP="001A2329">
            <w:pPr>
              <w:rPr>
                <w:rFonts w:ascii="Times New Roman" w:hAnsi="Times New Roman" w:cs="Times New Roman"/>
                <w:lang w:val="en-US"/>
              </w:rPr>
            </w:pPr>
            <w:r w:rsidRPr="00C531F3">
              <w:rPr>
                <w:rFonts w:ascii="Times New Roman" w:hAnsi="Times New Roman" w:cs="Times New Roman"/>
                <w:lang w:val="en-US"/>
              </w:rPr>
              <w:t>Challenge of Prior Assumptions</w:t>
            </w:r>
          </w:p>
        </w:tc>
        <w:tc>
          <w:tcPr>
            <w:tcW w:w="0" w:type="auto"/>
            <w:vAlign w:val="center"/>
            <w:hideMark/>
          </w:tcPr>
          <w:p w14:paraId="0EB5A610" w14:textId="77777777" w:rsidR="001A2329" w:rsidRPr="00C531F3" w:rsidRDefault="001A2329" w:rsidP="001A2329">
            <w:pPr>
              <w:rPr>
                <w:rFonts w:ascii="Times New Roman" w:hAnsi="Times New Roman" w:cs="Times New Roman"/>
                <w:lang w:val="en-US"/>
              </w:rPr>
            </w:pPr>
            <w:r w:rsidRPr="00C531F3">
              <w:rPr>
                <w:rFonts w:ascii="Times New Roman" w:hAnsi="Times New Roman" w:cs="Times New Roman"/>
                <w:lang w:val="en-US"/>
              </w:rPr>
              <w:t>CU1</w:t>
            </w:r>
          </w:p>
        </w:tc>
        <w:tc>
          <w:tcPr>
            <w:tcW w:w="0" w:type="auto"/>
            <w:vAlign w:val="center"/>
            <w:hideMark/>
          </w:tcPr>
          <w:p w14:paraId="69B06916" w14:textId="77777777" w:rsidR="001A2329" w:rsidRPr="00C531F3" w:rsidRDefault="001A2329" w:rsidP="001A2329">
            <w:pPr>
              <w:rPr>
                <w:rFonts w:ascii="Times New Roman" w:hAnsi="Times New Roman" w:cs="Times New Roman"/>
                <w:lang w:val="en-US"/>
              </w:rPr>
            </w:pPr>
            <w:r w:rsidRPr="00C531F3">
              <w:rPr>
                <w:rFonts w:ascii="Times New Roman" w:hAnsi="Times New Roman" w:cs="Times New Roman"/>
                <w:lang w:val="en-US"/>
              </w:rPr>
              <w:t>I actively question the long-held professional assumptions that guide my teaching or administrative work.</w:t>
            </w:r>
          </w:p>
        </w:tc>
        <w:tc>
          <w:tcPr>
            <w:tcW w:w="0" w:type="auto"/>
            <w:vAlign w:val="center"/>
            <w:hideMark/>
          </w:tcPr>
          <w:p w14:paraId="2FBC5074" w14:textId="77777777" w:rsidR="001A2329" w:rsidRPr="00C531F3" w:rsidRDefault="001A2329" w:rsidP="001A2329">
            <w:pPr>
              <w:rPr>
                <w:rFonts w:ascii="Times New Roman" w:hAnsi="Times New Roman" w:cs="Times New Roman"/>
                <w:lang w:val="en-US"/>
              </w:rPr>
            </w:pPr>
            <w:r w:rsidRPr="00C531F3">
              <w:rPr>
                <w:rFonts w:ascii="Times New Roman" w:hAnsi="Times New Roman" w:cs="Times New Roman"/>
                <w:lang w:val="en-US"/>
              </w:rPr>
              <w:t>Inferred from Ryder et al. (2019)</w:t>
            </w:r>
          </w:p>
        </w:tc>
      </w:tr>
      <w:tr w:rsidR="001A2329" w:rsidRPr="00C531F3" w14:paraId="7DC0C101" w14:textId="77777777" w:rsidTr="00FA3585">
        <w:tc>
          <w:tcPr>
            <w:tcW w:w="0" w:type="auto"/>
            <w:vMerge/>
            <w:vAlign w:val="center"/>
            <w:hideMark/>
          </w:tcPr>
          <w:p w14:paraId="207694EA" w14:textId="77777777" w:rsidR="001A2329" w:rsidRPr="00C531F3" w:rsidRDefault="001A2329" w:rsidP="001A2329">
            <w:pPr>
              <w:rPr>
                <w:rFonts w:ascii="Times New Roman" w:hAnsi="Times New Roman" w:cs="Times New Roman"/>
                <w:lang w:val="en-US"/>
              </w:rPr>
            </w:pPr>
          </w:p>
        </w:tc>
        <w:tc>
          <w:tcPr>
            <w:tcW w:w="0" w:type="auto"/>
            <w:vAlign w:val="center"/>
            <w:hideMark/>
          </w:tcPr>
          <w:p w14:paraId="003B98F9" w14:textId="77777777" w:rsidR="001A2329" w:rsidRPr="00C531F3" w:rsidRDefault="001A2329" w:rsidP="001A2329">
            <w:pPr>
              <w:rPr>
                <w:rFonts w:ascii="Times New Roman" w:hAnsi="Times New Roman" w:cs="Times New Roman"/>
                <w:lang w:val="en-US"/>
              </w:rPr>
            </w:pPr>
            <w:r w:rsidRPr="00C531F3">
              <w:rPr>
                <w:rFonts w:ascii="Times New Roman" w:hAnsi="Times New Roman" w:cs="Times New Roman"/>
                <w:lang w:val="en-US"/>
              </w:rPr>
              <w:t>CU2</w:t>
            </w:r>
          </w:p>
        </w:tc>
        <w:tc>
          <w:tcPr>
            <w:tcW w:w="0" w:type="auto"/>
            <w:vAlign w:val="center"/>
            <w:hideMark/>
          </w:tcPr>
          <w:p w14:paraId="09683245" w14:textId="77777777" w:rsidR="001A2329" w:rsidRPr="00C531F3" w:rsidRDefault="001A2329" w:rsidP="001A2329">
            <w:pPr>
              <w:rPr>
                <w:rFonts w:ascii="Times New Roman" w:hAnsi="Times New Roman" w:cs="Times New Roman"/>
                <w:lang w:val="en-US"/>
              </w:rPr>
            </w:pPr>
            <w:r w:rsidRPr="00C531F3">
              <w:rPr>
                <w:rFonts w:ascii="Times New Roman" w:hAnsi="Times New Roman" w:cs="Times New Roman"/>
                <w:lang w:val="en-US"/>
              </w:rPr>
              <w:t>I reconsider established institutional practices when evidence suggests they are no longer effective in a digital context.</w:t>
            </w:r>
          </w:p>
        </w:tc>
        <w:tc>
          <w:tcPr>
            <w:tcW w:w="0" w:type="auto"/>
            <w:vAlign w:val="center"/>
            <w:hideMark/>
          </w:tcPr>
          <w:p w14:paraId="7D5D422D" w14:textId="77777777" w:rsidR="001A2329" w:rsidRPr="00C531F3" w:rsidRDefault="001A2329" w:rsidP="001A2329">
            <w:pPr>
              <w:rPr>
                <w:rFonts w:ascii="Times New Roman" w:hAnsi="Times New Roman" w:cs="Times New Roman"/>
                <w:lang w:val="en-US"/>
              </w:rPr>
            </w:pPr>
            <w:r w:rsidRPr="00C531F3">
              <w:rPr>
                <w:rFonts w:ascii="Times New Roman" w:hAnsi="Times New Roman" w:cs="Times New Roman"/>
                <w:lang w:val="en-US"/>
              </w:rPr>
              <w:t>Inferred from Ryder et al. (2019)</w:t>
            </w:r>
          </w:p>
        </w:tc>
      </w:tr>
      <w:tr w:rsidR="001A2329" w:rsidRPr="00C531F3" w14:paraId="474CC9DB" w14:textId="77777777" w:rsidTr="00FA3585">
        <w:tc>
          <w:tcPr>
            <w:tcW w:w="0" w:type="auto"/>
            <w:vMerge w:val="restart"/>
            <w:vAlign w:val="center"/>
            <w:hideMark/>
          </w:tcPr>
          <w:p w14:paraId="66B9406B" w14:textId="77777777" w:rsidR="001A2329" w:rsidRPr="00C531F3" w:rsidRDefault="001A2329" w:rsidP="001A2329">
            <w:pPr>
              <w:rPr>
                <w:rFonts w:ascii="Times New Roman" w:hAnsi="Times New Roman" w:cs="Times New Roman"/>
                <w:lang w:val="en-US"/>
              </w:rPr>
            </w:pPr>
            <w:r w:rsidRPr="00C531F3">
              <w:rPr>
                <w:rFonts w:ascii="Times New Roman" w:hAnsi="Times New Roman" w:cs="Times New Roman"/>
                <w:lang w:val="en-US"/>
              </w:rPr>
              <w:t>Openness to Alternative Perspectives</w:t>
            </w:r>
          </w:p>
        </w:tc>
        <w:tc>
          <w:tcPr>
            <w:tcW w:w="0" w:type="auto"/>
            <w:vAlign w:val="center"/>
            <w:hideMark/>
          </w:tcPr>
          <w:p w14:paraId="6BE928DA" w14:textId="77777777" w:rsidR="001A2329" w:rsidRPr="00C531F3" w:rsidRDefault="001A2329" w:rsidP="001A2329">
            <w:pPr>
              <w:rPr>
                <w:rFonts w:ascii="Times New Roman" w:hAnsi="Times New Roman" w:cs="Times New Roman"/>
                <w:lang w:val="en-US"/>
              </w:rPr>
            </w:pPr>
            <w:r w:rsidRPr="00C531F3">
              <w:rPr>
                <w:rFonts w:ascii="Times New Roman" w:hAnsi="Times New Roman" w:cs="Times New Roman"/>
                <w:lang w:val="en-US"/>
              </w:rPr>
              <w:t>CU3</w:t>
            </w:r>
          </w:p>
        </w:tc>
        <w:tc>
          <w:tcPr>
            <w:tcW w:w="0" w:type="auto"/>
            <w:vAlign w:val="center"/>
            <w:hideMark/>
          </w:tcPr>
          <w:p w14:paraId="6AD1272F" w14:textId="77777777" w:rsidR="001A2329" w:rsidRPr="00C531F3" w:rsidRDefault="001A2329" w:rsidP="001A2329">
            <w:pPr>
              <w:rPr>
                <w:rFonts w:ascii="Times New Roman" w:hAnsi="Times New Roman" w:cs="Times New Roman"/>
                <w:lang w:val="en-US"/>
              </w:rPr>
            </w:pPr>
            <w:r w:rsidRPr="00C531F3">
              <w:rPr>
                <w:rFonts w:ascii="Times New Roman" w:hAnsi="Times New Roman" w:cs="Times New Roman"/>
                <w:lang w:val="en-US"/>
              </w:rPr>
              <w:t>I am willing to let go of familiar pedagogical or administrative approaches if better digital alternatives exist.</w:t>
            </w:r>
          </w:p>
        </w:tc>
        <w:tc>
          <w:tcPr>
            <w:tcW w:w="0" w:type="auto"/>
            <w:vAlign w:val="center"/>
            <w:hideMark/>
          </w:tcPr>
          <w:p w14:paraId="74D916CE" w14:textId="77777777" w:rsidR="001A2329" w:rsidRPr="00C531F3" w:rsidRDefault="001A2329" w:rsidP="001A2329">
            <w:pPr>
              <w:rPr>
                <w:rFonts w:ascii="Times New Roman" w:hAnsi="Times New Roman" w:cs="Times New Roman"/>
                <w:lang w:val="en-US"/>
              </w:rPr>
            </w:pPr>
            <w:r w:rsidRPr="00C531F3">
              <w:rPr>
                <w:rFonts w:ascii="Times New Roman" w:hAnsi="Times New Roman" w:cs="Times New Roman"/>
                <w:lang w:val="en-US"/>
              </w:rPr>
              <w:t>Inferred from Ryder et al. (2019)</w:t>
            </w:r>
          </w:p>
        </w:tc>
      </w:tr>
      <w:tr w:rsidR="001A2329" w:rsidRPr="00C531F3" w14:paraId="3901DE95" w14:textId="77777777" w:rsidTr="00FA3585">
        <w:tc>
          <w:tcPr>
            <w:tcW w:w="0" w:type="auto"/>
            <w:vMerge/>
            <w:vAlign w:val="center"/>
            <w:hideMark/>
          </w:tcPr>
          <w:p w14:paraId="67E8BB7C" w14:textId="77777777" w:rsidR="001A2329" w:rsidRPr="00C531F3" w:rsidRDefault="001A2329" w:rsidP="001A2329">
            <w:pPr>
              <w:rPr>
                <w:rFonts w:ascii="Times New Roman" w:hAnsi="Times New Roman" w:cs="Times New Roman"/>
                <w:lang w:val="en-US"/>
              </w:rPr>
            </w:pPr>
          </w:p>
        </w:tc>
        <w:tc>
          <w:tcPr>
            <w:tcW w:w="0" w:type="auto"/>
            <w:vAlign w:val="center"/>
            <w:hideMark/>
          </w:tcPr>
          <w:p w14:paraId="666D7796" w14:textId="77777777" w:rsidR="001A2329" w:rsidRPr="00C531F3" w:rsidRDefault="001A2329" w:rsidP="001A2329">
            <w:pPr>
              <w:rPr>
                <w:rFonts w:ascii="Times New Roman" w:hAnsi="Times New Roman" w:cs="Times New Roman"/>
                <w:lang w:val="en-US"/>
              </w:rPr>
            </w:pPr>
            <w:r w:rsidRPr="00C531F3">
              <w:rPr>
                <w:rFonts w:ascii="Times New Roman" w:hAnsi="Times New Roman" w:cs="Times New Roman"/>
                <w:lang w:val="en-US"/>
              </w:rPr>
              <w:t>CU4</w:t>
            </w:r>
          </w:p>
        </w:tc>
        <w:tc>
          <w:tcPr>
            <w:tcW w:w="0" w:type="auto"/>
            <w:vAlign w:val="center"/>
            <w:hideMark/>
          </w:tcPr>
          <w:p w14:paraId="109192C8" w14:textId="77777777" w:rsidR="001A2329" w:rsidRPr="00C531F3" w:rsidRDefault="001A2329" w:rsidP="001A2329">
            <w:pPr>
              <w:rPr>
                <w:rFonts w:ascii="Times New Roman" w:hAnsi="Times New Roman" w:cs="Times New Roman"/>
                <w:lang w:val="en-US"/>
              </w:rPr>
            </w:pPr>
            <w:r w:rsidRPr="00C531F3">
              <w:rPr>
                <w:rFonts w:ascii="Times New Roman" w:hAnsi="Times New Roman" w:cs="Times New Roman"/>
                <w:lang w:val="en-US"/>
              </w:rPr>
              <w:t>I seek out viewpoints and workflows that challenge my traditional way of thinking about institutional processes.</w:t>
            </w:r>
          </w:p>
        </w:tc>
        <w:tc>
          <w:tcPr>
            <w:tcW w:w="0" w:type="auto"/>
            <w:vAlign w:val="center"/>
            <w:hideMark/>
          </w:tcPr>
          <w:p w14:paraId="3BB8BB9A" w14:textId="77777777" w:rsidR="001A2329" w:rsidRPr="00C531F3" w:rsidRDefault="001A2329" w:rsidP="001A2329">
            <w:pPr>
              <w:rPr>
                <w:rFonts w:ascii="Times New Roman" w:hAnsi="Times New Roman" w:cs="Times New Roman"/>
                <w:lang w:val="en-US"/>
              </w:rPr>
            </w:pPr>
            <w:r w:rsidRPr="00C531F3">
              <w:rPr>
                <w:rFonts w:ascii="Times New Roman" w:hAnsi="Times New Roman" w:cs="Times New Roman"/>
                <w:lang w:val="en-US"/>
              </w:rPr>
              <w:t>Inferred from Ryder et al. (2019)</w:t>
            </w:r>
          </w:p>
        </w:tc>
      </w:tr>
      <w:tr w:rsidR="001A2329" w:rsidRPr="00C531F3" w14:paraId="656D3CD7" w14:textId="77777777" w:rsidTr="00FA3585">
        <w:tc>
          <w:tcPr>
            <w:tcW w:w="0" w:type="auto"/>
            <w:vMerge w:val="restart"/>
            <w:vAlign w:val="center"/>
            <w:hideMark/>
          </w:tcPr>
          <w:p w14:paraId="17C4D997" w14:textId="77777777" w:rsidR="001A2329" w:rsidRPr="00C531F3" w:rsidRDefault="001A2329" w:rsidP="001A2329">
            <w:pPr>
              <w:rPr>
                <w:rFonts w:ascii="Times New Roman" w:hAnsi="Times New Roman" w:cs="Times New Roman"/>
                <w:lang w:val="en-US"/>
              </w:rPr>
            </w:pPr>
            <w:r w:rsidRPr="00C531F3">
              <w:rPr>
                <w:rFonts w:ascii="Times New Roman" w:hAnsi="Times New Roman" w:cs="Times New Roman"/>
                <w:lang w:val="en-US"/>
              </w:rPr>
              <w:t>Reflection and Re-evaluation</w:t>
            </w:r>
          </w:p>
        </w:tc>
        <w:tc>
          <w:tcPr>
            <w:tcW w:w="0" w:type="auto"/>
            <w:vAlign w:val="center"/>
            <w:hideMark/>
          </w:tcPr>
          <w:p w14:paraId="75DC3910" w14:textId="77777777" w:rsidR="001A2329" w:rsidRPr="00C531F3" w:rsidRDefault="001A2329" w:rsidP="001A2329">
            <w:pPr>
              <w:rPr>
                <w:rFonts w:ascii="Times New Roman" w:hAnsi="Times New Roman" w:cs="Times New Roman"/>
                <w:lang w:val="en-US"/>
              </w:rPr>
            </w:pPr>
            <w:r w:rsidRPr="00C531F3">
              <w:rPr>
                <w:rFonts w:ascii="Times New Roman" w:hAnsi="Times New Roman" w:cs="Times New Roman"/>
                <w:lang w:val="en-US"/>
              </w:rPr>
              <w:t>CU5</w:t>
            </w:r>
          </w:p>
        </w:tc>
        <w:tc>
          <w:tcPr>
            <w:tcW w:w="0" w:type="auto"/>
            <w:vAlign w:val="center"/>
            <w:hideMark/>
          </w:tcPr>
          <w:p w14:paraId="1C861865" w14:textId="77777777" w:rsidR="001A2329" w:rsidRPr="00C531F3" w:rsidRDefault="001A2329" w:rsidP="001A2329">
            <w:pPr>
              <w:rPr>
                <w:rFonts w:ascii="Times New Roman" w:hAnsi="Times New Roman" w:cs="Times New Roman"/>
                <w:lang w:val="en-US"/>
              </w:rPr>
            </w:pPr>
            <w:r w:rsidRPr="00C531F3">
              <w:rPr>
                <w:rFonts w:ascii="Times New Roman" w:hAnsi="Times New Roman" w:cs="Times New Roman"/>
                <w:lang w:val="en-US"/>
              </w:rPr>
              <w:t>I regularly reflect on whether my professional beliefs and habits still align with the current digital realities of higher education.</w:t>
            </w:r>
          </w:p>
        </w:tc>
        <w:tc>
          <w:tcPr>
            <w:tcW w:w="0" w:type="auto"/>
            <w:vAlign w:val="center"/>
            <w:hideMark/>
          </w:tcPr>
          <w:p w14:paraId="5F629EA6" w14:textId="77777777" w:rsidR="001A2329" w:rsidRPr="00C531F3" w:rsidRDefault="001A2329" w:rsidP="001A2329">
            <w:pPr>
              <w:rPr>
                <w:rFonts w:ascii="Times New Roman" w:hAnsi="Times New Roman" w:cs="Times New Roman"/>
                <w:lang w:val="en-US"/>
              </w:rPr>
            </w:pPr>
            <w:r w:rsidRPr="00C531F3">
              <w:rPr>
                <w:rFonts w:ascii="Times New Roman" w:hAnsi="Times New Roman" w:cs="Times New Roman"/>
                <w:lang w:val="en-US"/>
              </w:rPr>
              <w:t>Supported indirectly by Ryder et al. (2019)</w:t>
            </w:r>
          </w:p>
        </w:tc>
      </w:tr>
      <w:tr w:rsidR="001A2329" w:rsidRPr="00C531F3" w14:paraId="7621FC6C" w14:textId="77777777" w:rsidTr="00FA3585">
        <w:tc>
          <w:tcPr>
            <w:tcW w:w="0" w:type="auto"/>
            <w:vMerge/>
            <w:vAlign w:val="center"/>
            <w:hideMark/>
          </w:tcPr>
          <w:p w14:paraId="2AC3EB95" w14:textId="77777777" w:rsidR="001A2329" w:rsidRPr="00C531F3" w:rsidRDefault="001A2329" w:rsidP="001A2329">
            <w:pPr>
              <w:rPr>
                <w:rFonts w:ascii="Times New Roman" w:hAnsi="Times New Roman" w:cs="Times New Roman"/>
                <w:lang w:val="en-US"/>
              </w:rPr>
            </w:pPr>
          </w:p>
        </w:tc>
        <w:tc>
          <w:tcPr>
            <w:tcW w:w="0" w:type="auto"/>
            <w:vAlign w:val="center"/>
            <w:hideMark/>
          </w:tcPr>
          <w:p w14:paraId="3931870D" w14:textId="77777777" w:rsidR="001A2329" w:rsidRPr="00C531F3" w:rsidRDefault="001A2329" w:rsidP="001A2329">
            <w:pPr>
              <w:rPr>
                <w:rFonts w:ascii="Times New Roman" w:hAnsi="Times New Roman" w:cs="Times New Roman"/>
                <w:lang w:val="en-US"/>
              </w:rPr>
            </w:pPr>
            <w:r w:rsidRPr="00C531F3">
              <w:rPr>
                <w:rFonts w:ascii="Times New Roman" w:hAnsi="Times New Roman" w:cs="Times New Roman"/>
                <w:lang w:val="en-US"/>
              </w:rPr>
              <w:t>CU6</w:t>
            </w:r>
          </w:p>
        </w:tc>
        <w:tc>
          <w:tcPr>
            <w:tcW w:w="0" w:type="auto"/>
            <w:vAlign w:val="center"/>
            <w:hideMark/>
          </w:tcPr>
          <w:p w14:paraId="3C16C1FC" w14:textId="77777777" w:rsidR="001A2329" w:rsidRPr="00C531F3" w:rsidRDefault="001A2329" w:rsidP="001A2329">
            <w:pPr>
              <w:rPr>
                <w:rFonts w:ascii="Times New Roman" w:hAnsi="Times New Roman" w:cs="Times New Roman"/>
                <w:lang w:val="en-US"/>
              </w:rPr>
            </w:pPr>
            <w:r w:rsidRPr="00C531F3">
              <w:rPr>
                <w:rFonts w:ascii="Times New Roman" w:hAnsi="Times New Roman" w:cs="Times New Roman"/>
                <w:lang w:val="en-US"/>
              </w:rPr>
              <w:t>I am able to revise my professional judgments quickly after being exposed to new digital information or systems.</w:t>
            </w:r>
          </w:p>
        </w:tc>
        <w:tc>
          <w:tcPr>
            <w:tcW w:w="0" w:type="auto"/>
            <w:vAlign w:val="center"/>
            <w:hideMark/>
          </w:tcPr>
          <w:p w14:paraId="501CA63B" w14:textId="77777777" w:rsidR="001A2329" w:rsidRPr="00C531F3" w:rsidRDefault="001A2329" w:rsidP="001A2329">
            <w:pPr>
              <w:rPr>
                <w:rFonts w:ascii="Times New Roman" w:hAnsi="Times New Roman" w:cs="Times New Roman"/>
                <w:lang w:val="en-US"/>
              </w:rPr>
            </w:pPr>
            <w:r w:rsidRPr="00C531F3">
              <w:rPr>
                <w:rFonts w:ascii="Times New Roman" w:hAnsi="Times New Roman" w:cs="Times New Roman"/>
                <w:lang w:val="en-US"/>
              </w:rPr>
              <w:t>Supported indirectly by Ryder et al. (2019)</w:t>
            </w:r>
          </w:p>
        </w:tc>
      </w:tr>
      <w:tr w:rsidR="001A2329" w:rsidRPr="00C531F3" w14:paraId="3AB2C25D" w14:textId="77777777" w:rsidTr="00FA3585">
        <w:tc>
          <w:tcPr>
            <w:tcW w:w="0" w:type="auto"/>
            <w:vMerge w:val="restart"/>
            <w:vAlign w:val="center"/>
            <w:hideMark/>
          </w:tcPr>
          <w:p w14:paraId="10DDB705" w14:textId="77777777" w:rsidR="001A2329" w:rsidRPr="00C531F3" w:rsidRDefault="001A2329" w:rsidP="001A2329">
            <w:pPr>
              <w:rPr>
                <w:rFonts w:ascii="Times New Roman" w:hAnsi="Times New Roman" w:cs="Times New Roman"/>
                <w:lang w:val="en-US"/>
              </w:rPr>
            </w:pPr>
            <w:r w:rsidRPr="00C531F3">
              <w:rPr>
                <w:rFonts w:ascii="Times New Roman" w:hAnsi="Times New Roman" w:cs="Times New Roman"/>
                <w:lang w:val="en-US"/>
              </w:rPr>
              <w:t>Discarding Outdated Practices</w:t>
            </w:r>
          </w:p>
        </w:tc>
        <w:tc>
          <w:tcPr>
            <w:tcW w:w="0" w:type="auto"/>
            <w:vAlign w:val="center"/>
            <w:hideMark/>
          </w:tcPr>
          <w:p w14:paraId="24C2F0FE" w14:textId="77777777" w:rsidR="001A2329" w:rsidRPr="00C531F3" w:rsidRDefault="001A2329" w:rsidP="001A2329">
            <w:pPr>
              <w:rPr>
                <w:rFonts w:ascii="Times New Roman" w:hAnsi="Times New Roman" w:cs="Times New Roman"/>
                <w:lang w:val="en-US"/>
              </w:rPr>
            </w:pPr>
            <w:r w:rsidRPr="00C531F3">
              <w:rPr>
                <w:rFonts w:ascii="Times New Roman" w:hAnsi="Times New Roman" w:cs="Times New Roman"/>
                <w:lang w:val="en-US"/>
              </w:rPr>
              <w:t>CU7</w:t>
            </w:r>
          </w:p>
        </w:tc>
        <w:tc>
          <w:tcPr>
            <w:tcW w:w="0" w:type="auto"/>
            <w:vAlign w:val="center"/>
            <w:hideMark/>
          </w:tcPr>
          <w:p w14:paraId="65A40043" w14:textId="77777777" w:rsidR="001A2329" w:rsidRPr="00C531F3" w:rsidRDefault="001A2329" w:rsidP="001A2329">
            <w:pPr>
              <w:rPr>
                <w:rFonts w:ascii="Times New Roman" w:hAnsi="Times New Roman" w:cs="Times New Roman"/>
                <w:lang w:val="en-US"/>
              </w:rPr>
            </w:pPr>
            <w:r w:rsidRPr="00C531F3">
              <w:rPr>
                <w:rFonts w:ascii="Times New Roman" w:hAnsi="Times New Roman" w:cs="Times New Roman"/>
                <w:lang w:val="en-US"/>
              </w:rPr>
              <w:t>I can consciously stop using manual or ad hoc methods once institutional digital systems have replaced them.</w:t>
            </w:r>
          </w:p>
        </w:tc>
        <w:tc>
          <w:tcPr>
            <w:tcW w:w="0" w:type="auto"/>
            <w:vAlign w:val="center"/>
            <w:hideMark/>
          </w:tcPr>
          <w:p w14:paraId="5FAAE8D3" w14:textId="77777777" w:rsidR="001A2329" w:rsidRPr="00C531F3" w:rsidRDefault="001A2329" w:rsidP="001A2329">
            <w:pPr>
              <w:rPr>
                <w:rFonts w:ascii="Times New Roman" w:hAnsi="Times New Roman" w:cs="Times New Roman"/>
                <w:lang w:val="en-US"/>
              </w:rPr>
            </w:pPr>
            <w:r w:rsidRPr="00C531F3">
              <w:rPr>
                <w:rFonts w:ascii="Times New Roman" w:hAnsi="Times New Roman" w:cs="Times New Roman"/>
                <w:lang w:val="en-US"/>
              </w:rPr>
              <w:t>Supported by Sharafi et al. (2024)</w:t>
            </w:r>
          </w:p>
        </w:tc>
      </w:tr>
      <w:tr w:rsidR="001A2329" w:rsidRPr="00C531F3" w14:paraId="3C620E19" w14:textId="77777777" w:rsidTr="00FA3585">
        <w:tc>
          <w:tcPr>
            <w:tcW w:w="0" w:type="auto"/>
            <w:vMerge/>
            <w:vAlign w:val="center"/>
            <w:hideMark/>
          </w:tcPr>
          <w:p w14:paraId="76D75036" w14:textId="77777777" w:rsidR="001A2329" w:rsidRPr="00C531F3" w:rsidRDefault="001A2329" w:rsidP="001A2329">
            <w:pPr>
              <w:rPr>
                <w:rFonts w:ascii="Times New Roman" w:hAnsi="Times New Roman" w:cs="Times New Roman"/>
                <w:lang w:val="en-US"/>
              </w:rPr>
            </w:pPr>
          </w:p>
        </w:tc>
        <w:tc>
          <w:tcPr>
            <w:tcW w:w="0" w:type="auto"/>
            <w:vAlign w:val="center"/>
            <w:hideMark/>
          </w:tcPr>
          <w:p w14:paraId="3D2D0D12" w14:textId="77777777" w:rsidR="001A2329" w:rsidRPr="00C531F3" w:rsidRDefault="001A2329" w:rsidP="001A2329">
            <w:pPr>
              <w:rPr>
                <w:rFonts w:ascii="Times New Roman" w:hAnsi="Times New Roman" w:cs="Times New Roman"/>
                <w:lang w:val="en-US"/>
              </w:rPr>
            </w:pPr>
            <w:r w:rsidRPr="00C531F3">
              <w:rPr>
                <w:rFonts w:ascii="Times New Roman" w:hAnsi="Times New Roman" w:cs="Times New Roman"/>
                <w:lang w:val="en-US"/>
              </w:rPr>
              <w:t>CU8</w:t>
            </w:r>
          </w:p>
        </w:tc>
        <w:tc>
          <w:tcPr>
            <w:tcW w:w="0" w:type="auto"/>
            <w:vAlign w:val="center"/>
            <w:hideMark/>
          </w:tcPr>
          <w:p w14:paraId="045B4349" w14:textId="77777777" w:rsidR="001A2329" w:rsidRPr="00C531F3" w:rsidRDefault="001A2329" w:rsidP="001A2329">
            <w:pPr>
              <w:rPr>
                <w:rFonts w:ascii="Times New Roman" w:hAnsi="Times New Roman" w:cs="Times New Roman"/>
                <w:lang w:val="en-US"/>
              </w:rPr>
            </w:pPr>
            <w:r w:rsidRPr="00C531F3">
              <w:rPr>
                <w:rFonts w:ascii="Times New Roman" w:hAnsi="Times New Roman" w:cs="Times New Roman"/>
                <w:lang w:val="en-US"/>
              </w:rPr>
              <w:t xml:space="preserve">I </w:t>
            </w:r>
            <w:proofErr w:type="spellStart"/>
            <w:r w:rsidRPr="00C531F3">
              <w:rPr>
                <w:rFonts w:ascii="Times New Roman" w:hAnsi="Times New Roman" w:cs="Times New Roman"/>
                <w:lang w:val="en-US"/>
              </w:rPr>
              <w:t>recognise</w:t>
            </w:r>
            <w:proofErr w:type="spellEnd"/>
            <w:r w:rsidRPr="00C531F3">
              <w:rPr>
                <w:rFonts w:ascii="Times New Roman" w:hAnsi="Times New Roman" w:cs="Times New Roman"/>
                <w:lang w:val="en-US"/>
              </w:rPr>
              <w:t xml:space="preserve"> when an old routine should no longer influence my decision-making process.</w:t>
            </w:r>
          </w:p>
        </w:tc>
        <w:tc>
          <w:tcPr>
            <w:tcW w:w="0" w:type="auto"/>
            <w:vAlign w:val="center"/>
            <w:hideMark/>
          </w:tcPr>
          <w:p w14:paraId="3C30EF88" w14:textId="77777777" w:rsidR="001A2329" w:rsidRPr="00C531F3" w:rsidRDefault="001A2329" w:rsidP="001A2329">
            <w:pPr>
              <w:rPr>
                <w:rFonts w:ascii="Times New Roman" w:hAnsi="Times New Roman" w:cs="Times New Roman"/>
                <w:lang w:val="en-US"/>
              </w:rPr>
            </w:pPr>
            <w:r w:rsidRPr="00C531F3">
              <w:rPr>
                <w:rFonts w:ascii="Times New Roman" w:hAnsi="Times New Roman" w:cs="Times New Roman"/>
                <w:lang w:val="en-US"/>
              </w:rPr>
              <w:t>Supported by Sharafi et al. (2024)</w:t>
            </w:r>
          </w:p>
        </w:tc>
      </w:tr>
      <w:tr w:rsidR="001A2329" w:rsidRPr="00C531F3" w14:paraId="639EE384" w14:textId="77777777" w:rsidTr="00FA3585">
        <w:tc>
          <w:tcPr>
            <w:tcW w:w="0" w:type="auto"/>
            <w:vMerge w:val="restart"/>
            <w:vAlign w:val="center"/>
            <w:hideMark/>
          </w:tcPr>
          <w:p w14:paraId="18C398D2" w14:textId="77777777" w:rsidR="001A2329" w:rsidRPr="00C531F3" w:rsidRDefault="001A2329" w:rsidP="001A2329">
            <w:pPr>
              <w:rPr>
                <w:rFonts w:ascii="Times New Roman" w:hAnsi="Times New Roman" w:cs="Times New Roman"/>
                <w:lang w:val="en-US"/>
              </w:rPr>
            </w:pPr>
            <w:r w:rsidRPr="00C531F3">
              <w:rPr>
                <w:rFonts w:ascii="Times New Roman" w:hAnsi="Times New Roman" w:cs="Times New Roman"/>
                <w:lang w:val="en-US"/>
              </w:rPr>
              <w:t>Context-Sensitive Adaptation</w:t>
            </w:r>
          </w:p>
        </w:tc>
        <w:tc>
          <w:tcPr>
            <w:tcW w:w="0" w:type="auto"/>
            <w:vAlign w:val="center"/>
            <w:hideMark/>
          </w:tcPr>
          <w:p w14:paraId="22CA6B8F" w14:textId="77777777" w:rsidR="001A2329" w:rsidRPr="00C531F3" w:rsidRDefault="001A2329" w:rsidP="001A2329">
            <w:pPr>
              <w:rPr>
                <w:rFonts w:ascii="Times New Roman" w:hAnsi="Times New Roman" w:cs="Times New Roman"/>
                <w:lang w:val="en-US"/>
              </w:rPr>
            </w:pPr>
            <w:r w:rsidRPr="00C531F3">
              <w:rPr>
                <w:rFonts w:ascii="Times New Roman" w:hAnsi="Times New Roman" w:cs="Times New Roman"/>
                <w:lang w:val="en-US"/>
              </w:rPr>
              <w:t>CU9</w:t>
            </w:r>
          </w:p>
        </w:tc>
        <w:tc>
          <w:tcPr>
            <w:tcW w:w="0" w:type="auto"/>
            <w:vAlign w:val="center"/>
            <w:hideMark/>
          </w:tcPr>
          <w:p w14:paraId="4A8D1A6D" w14:textId="77777777" w:rsidR="001A2329" w:rsidRPr="00C531F3" w:rsidRDefault="001A2329" w:rsidP="001A2329">
            <w:pPr>
              <w:rPr>
                <w:rFonts w:ascii="Times New Roman" w:hAnsi="Times New Roman" w:cs="Times New Roman"/>
                <w:lang w:val="en-US"/>
              </w:rPr>
            </w:pPr>
            <w:r w:rsidRPr="00C531F3">
              <w:rPr>
                <w:rFonts w:ascii="Times New Roman" w:hAnsi="Times New Roman" w:cs="Times New Roman"/>
                <w:lang w:val="en-US"/>
              </w:rPr>
              <w:t xml:space="preserve">I adapt my thinking and </w:t>
            </w:r>
            <w:proofErr w:type="spellStart"/>
            <w:r w:rsidRPr="00C531F3">
              <w:rPr>
                <w:rFonts w:ascii="Times New Roman" w:hAnsi="Times New Roman" w:cs="Times New Roman"/>
                <w:lang w:val="en-US"/>
              </w:rPr>
              <w:t>behaviour</w:t>
            </w:r>
            <w:proofErr w:type="spellEnd"/>
            <w:r w:rsidRPr="00C531F3">
              <w:rPr>
                <w:rFonts w:ascii="Times New Roman" w:hAnsi="Times New Roman" w:cs="Times New Roman"/>
                <w:lang w:val="en-US"/>
              </w:rPr>
              <w:t xml:space="preserve"> when institutional priorities shift toward digital innovation and configuration.</w:t>
            </w:r>
          </w:p>
        </w:tc>
        <w:tc>
          <w:tcPr>
            <w:tcW w:w="0" w:type="auto"/>
            <w:vAlign w:val="center"/>
            <w:hideMark/>
          </w:tcPr>
          <w:p w14:paraId="223B9A65" w14:textId="77777777" w:rsidR="001A2329" w:rsidRPr="00C531F3" w:rsidRDefault="001A2329" w:rsidP="001A2329">
            <w:pPr>
              <w:rPr>
                <w:rFonts w:ascii="Times New Roman" w:hAnsi="Times New Roman" w:cs="Times New Roman"/>
                <w:lang w:val="en-US"/>
              </w:rPr>
            </w:pPr>
            <w:r w:rsidRPr="00C531F3">
              <w:rPr>
                <w:rFonts w:ascii="Times New Roman" w:hAnsi="Times New Roman" w:cs="Times New Roman"/>
                <w:lang w:val="en-US"/>
              </w:rPr>
              <w:t>Inferred from Sharafi et al. (2024)</w:t>
            </w:r>
          </w:p>
        </w:tc>
      </w:tr>
      <w:tr w:rsidR="001A2329" w:rsidRPr="00C531F3" w14:paraId="64623DAA" w14:textId="77777777" w:rsidTr="00FA3585">
        <w:tc>
          <w:tcPr>
            <w:tcW w:w="0" w:type="auto"/>
            <w:vMerge/>
            <w:vAlign w:val="center"/>
            <w:hideMark/>
          </w:tcPr>
          <w:p w14:paraId="618B1C16" w14:textId="77777777" w:rsidR="001A2329" w:rsidRPr="00C531F3" w:rsidRDefault="001A2329" w:rsidP="001A2329">
            <w:pPr>
              <w:rPr>
                <w:rFonts w:ascii="Times New Roman" w:hAnsi="Times New Roman" w:cs="Times New Roman"/>
                <w:lang w:val="en-US"/>
              </w:rPr>
            </w:pPr>
          </w:p>
        </w:tc>
        <w:tc>
          <w:tcPr>
            <w:tcW w:w="0" w:type="auto"/>
            <w:vAlign w:val="center"/>
            <w:hideMark/>
          </w:tcPr>
          <w:p w14:paraId="30C16FBB" w14:textId="77777777" w:rsidR="001A2329" w:rsidRPr="00C531F3" w:rsidRDefault="001A2329" w:rsidP="001A2329">
            <w:pPr>
              <w:rPr>
                <w:rFonts w:ascii="Times New Roman" w:hAnsi="Times New Roman" w:cs="Times New Roman"/>
                <w:lang w:val="en-US"/>
              </w:rPr>
            </w:pPr>
            <w:r w:rsidRPr="00C531F3">
              <w:rPr>
                <w:rFonts w:ascii="Times New Roman" w:hAnsi="Times New Roman" w:cs="Times New Roman"/>
                <w:lang w:val="en-US"/>
              </w:rPr>
              <w:t>CU10</w:t>
            </w:r>
          </w:p>
        </w:tc>
        <w:tc>
          <w:tcPr>
            <w:tcW w:w="0" w:type="auto"/>
            <w:vAlign w:val="center"/>
            <w:hideMark/>
          </w:tcPr>
          <w:p w14:paraId="07E81674" w14:textId="77777777" w:rsidR="001A2329" w:rsidRPr="00C531F3" w:rsidRDefault="001A2329" w:rsidP="001A2329">
            <w:pPr>
              <w:rPr>
                <w:rFonts w:ascii="Times New Roman" w:hAnsi="Times New Roman" w:cs="Times New Roman"/>
                <w:lang w:val="en-US"/>
              </w:rPr>
            </w:pPr>
            <w:r w:rsidRPr="00C531F3">
              <w:rPr>
                <w:rFonts w:ascii="Times New Roman" w:hAnsi="Times New Roman" w:cs="Times New Roman"/>
                <w:lang w:val="en-US"/>
              </w:rPr>
              <w:t>I am comfortable abandoning previous strategies when they no longer serve the strategic digital transformation of the institution.</w:t>
            </w:r>
          </w:p>
        </w:tc>
        <w:tc>
          <w:tcPr>
            <w:tcW w:w="0" w:type="auto"/>
            <w:vAlign w:val="center"/>
            <w:hideMark/>
          </w:tcPr>
          <w:p w14:paraId="6DB2187C" w14:textId="77777777" w:rsidR="001A2329" w:rsidRPr="00C531F3" w:rsidRDefault="001A2329" w:rsidP="001A2329">
            <w:pPr>
              <w:rPr>
                <w:rFonts w:ascii="Times New Roman" w:hAnsi="Times New Roman" w:cs="Times New Roman"/>
                <w:lang w:val="en-US"/>
              </w:rPr>
            </w:pPr>
            <w:r w:rsidRPr="00C531F3">
              <w:rPr>
                <w:rFonts w:ascii="Times New Roman" w:hAnsi="Times New Roman" w:cs="Times New Roman"/>
                <w:lang w:val="en-US"/>
              </w:rPr>
              <w:t>Inferred from Sharafi et al. (2024)</w:t>
            </w:r>
          </w:p>
        </w:tc>
      </w:tr>
    </w:tbl>
    <w:p w14:paraId="490285E9" w14:textId="14BBF333" w:rsidR="001A2329" w:rsidRPr="00C531F3" w:rsidRDefault="00CD70D6" w:rsidP="00B242D9">
      <w:pPr>
        <w:spacing w:before="240" w:after="0" w:line="240" w:lineRule="auto"/>
        <w:jc w:val="center"/>
        <w:rPr>
          <w:rFonts w:ascii="Times New Roman" w:hAnsi="Times New Roman" w:cs="Times New Roman"/>
          <w:lang w:val="en-US"/>
        </w:rPr>
      </w:pPr>
      <w:r w:rsidRPr="00C531F3">
        <w:rPr>
          <w:rFonts w:ascii="Times New Roman" w:hAnsi="Times New Roman" w:cs="Times New Roman"/>
        </w:rPr>
        <w:t>Table A3. Digital Transformation Preparedness Scale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694"/>
        <w:gridCol w:w="1708"/>
        <w:gridCol w:w="851"/>
        <w:gridCol w:w="4128"/>
        <w:gridCol w:w="2312"/>
      </w:tblGrid>
      <w:tr w:rsidR="00CD70D6" w:rsidRPr="00C531F3" w14:paraId="10A95D16" w14:textId="77777777" w:rsidTr="007262BE">
        <w:trPr>
          <w:tblHeader/>
        </w:trPr>
        <w:tc>
          <w:tcPr>
            <w:tcW w:w="0" w:type="auto"/>
            <w:vAlign w:val="center"/>
            <w:hideMark/>
          </w:tcPr>
          <w:p w14:paraId="5CCE4C0C" w14:textId="77777777" w:rsidR="00CD70D6" w:rsidRPr="00C531F3" w:rsidRDefault="00CD70D6" w:rsidP="00CD70D6">
            <w:pPr>
              <w:rPr>
                <w:rFonts w:ascii="Times New Roman" w:hAnsi="Times New Roman" w:cs="Times New Roman"/>
                <w:b/>
                <w:bCs/>
                <w:lang w:val="en-US"/>
              </w:rPr>
            </w:pPr>
            <w:r w:rsidRPr="00C531F3">
              <w:rPr>
                <w:rFonts w:ascii="Times New Roman" w:hAnsi="Times New Roman" w:cs="Times New Roman"/>
                <w:b/>
                <w:bCs/>
                <w:lang w:val="en-US"/>
              </w:rPr>
              <w:t>BIFT Level</w:t>
            </w:r>
          </w:p>
        </w:tc>
        <w:tc>
          <w:tcPr>
            <w:tcW w:w="1708" w:type="dxa"/>
            <w:vAlign w:val="center"/>
            <w:hideMark/>
          </w:tcPr>
          <w:p w14:paraId="71485D18" w14:textId="1B6E4D8F" w:rsidR="00CD70D6" w:rsidRPr="00C531F3" w:rsidRDefault="00CD70D6" w:rsidP="00CD70D6">
            <w:pPr>
              <w:rPr>
                <w:rFonts w:ascii="Times New Roman" w:hAnsi="Times New Roman" w:cs="Times New Roman"/>
                <w:b/>
                <w:bCs/>
                <w:lang w:val="en-US"/>
              </w:rPr>
            </w:pPr>
            <w:r w:rsidRPr="00C531F3">
              <w:rPr>
                <w:rFonts w:ascii="Times New Roman" w:hAnsi="Times New Roman" w:cs="Times New Roman"/>
                <w:b/>
                <w:bCs/>
                <w:lang w:val="en-US"/>
              </w:rPr>
              <w:t>Descriptor</w:t>
            </w:r>
          </w:p>
        </w:tc>
        <w:tc>
          <w:tcPr>
            <w:tcW w:w="851" w:type="dxa"/>
            <w:vAlign w:val="center"/>
            <w:hideMark/>
          </w:tcPr>
          <w:p w14:paraId="002861C7" w14:textId="4232FB89" w:rsidR="00CD70D6" w:rsidRPr="00C531F3" w:rsidRDefault="00CD70D6" w:rsidP="00CD70D6">
            <w:pPr>
              <w:rPr>
                <w:rFonts w:ascii="Times New Roman" w:hAnsi="Times New Roman" w:cs="Times New Roman"/>
                <w:b/>
                <w:bCs/>
                <w:lang w:val="en-US"/>
              </w:rPr>
            </w:pPr>
            <w:r w:rsidRPr="00C531F3">
              <w:rPr>
                <w:rFonts w:ascii="Times New Roman" w:hAnsi="Times New Roman" w:cs="Times New Roman"/>
                <w:b/>
                <w:bCs/>
                <w:lang w:val="en-US"/>
              </w:rPr>
              <w:t>Code</w:t>
            </w:r>
          </w:p>
        </w:tc>
        <w:tc>
          <w:tcPr>
            <w:tcW w:w="4128" w:type="dxa"/>
            <w:vAlign w:val="center"/>
            <w:hideMark/>
          </w:tcPr>
          <w:p w14:paraId="283BACBE" w14:textId="77777777" w:rsidR="00CD70D6" w:rsidRPr="00C531F3" w:rsidRDefault="00CD70D6" w:rsidP="00CD70D6">
            <w:pPr>
              <w:rPr>
                <w:rFonts w:ascii="Times New Roman" w:hAnsi="Times New Roman" w:cs="Times New Roman"/>
                <w:b/>
                <w:bCs/>
                <w:lang w:val="en-US"/>
              </w:rPr>
            </w:pPr>
            <w:r w:rsidRPr="00C531F3">
              <w:rPr>
                <w:rFonts w:ascii="Times New Roman" w:hAnsi="Times New Roman" w:cs="Times New Roman"/>
                <w:b/>
                <w:bCs/>
                <w:lang w:val="en-US"/>
              </w:rPr>
              <w:t>Item Statement</w:t>
            </w:r>
          </w:p>
        </w:tc>
        <w:tc>
          <w:tcPr>
            <w:tcW w:w="0" w:type="auto"/>
            <w:vAlign w:val="center"/>
            <w:hideMark/>
          </w:tcPr>
          <w:p w14:paraId="145EB744" w14:textId="03760549" w:rsidR="00CD70D6" w:rsidRPr="00C531F3" w:rsidRDefault="00CD70D6" w:rsidP="00CD70D6">
            <w:pPr>
              <w:rPr>
                <w:rFonts w:ascii="Times New Roman" w:hAnsi="Times New Roman" w:cs="Times New Roman"/>
                <w:b/>
                <w:bCs/>
                <w:lang w:val="en-US"/>
              </w:rPr>
            </w:pPr>
            <w:r w:rsidRPr="00C531F3">
              <w:rPr>
                <w:rFonts w:ascii="Times New Roman" w:hAnsi="Times New Roman" w:cs="Times New Roman"/>
                <w:b/>
                <w:bCs/>
                <w:lang w:val="en-US"/>
              </w:rPr>
              <w:t>Source Basis</w:t>
            </w:r>
          </w:p>
        </w:tc>
      </w:tr>
      <w:tr w:rsidR="00CD70D6" w:rsidRPr="00C531F3" w14:paraId="0E53AF91" w14:textId="77777777" w:rsidTr="007262BE">
        <w:tc>
          <w:tcPr>
            <w:tcW w:w="0" w:type="auto"/>
            <w:vMerge w:val="restart"/>
            <w:vAlign w:val="center"/>
            <w:hideMark/>
          </w:tcPr>
          <w:p w14:paraId="4C64BD01" w14:textId="77777777" w:rsidR="00CD70D6" w:rsidRPr="00C531F3" w:rsidRDefault="00CD70D6" w:rsidP="00CD70D6">
            <w:pPr>
              <w:rPr>
                <w:rFonts w:ascii="Times New Roman" w:hAnsi="Times New Roman" w:cs="Times New Roman"/>
                <w:lang w:val="en-US"/>
              </w:rPr>
            </w:pPr>
            <w:proofErr w:type="spellStart"/>
            <w:r w:rsidRPr="00C531F3">
              <w:rPr>
                <w:rFonts w:ascii="Times New Roman" w:hAnsi="Times New Roman" w:cs="Times New Roman"/>
                <w:lang w:val="en-US"/>
              </w:rPr>
              <w:t>Meso</w:t>
            </w:r>
            <w:proofErr w:type="spellEnd"/>
            <w:r w:rsidRPr="00C531F3">
              <w:rPr>
                <w:rFonts w:ascii="Times New Roman" w:hAnsi="Times New Roman" w:cs="Times New Roman"/>
                <w:lang w:val="en-US"/>
              </w:rPr>
              <w:t xml:space="preserve"> (Leadership)</w:t>
            </w:r>
          </w:p>
        </w:tc>
        <w:tc>
          <w:tcPr>
            <w:tcW w:w="1708" w:type="dxa"/>
            <w:vAlign w:val="center"/>
            <w:hideMark/>
          </w:tcPr>
          <w:p w14:paraId="4FB3A90D" w14:textId="77777777" w:rsidR="00CD70D6" w:rsidRPr="00C531F3" w:rsidRDefault="00CD70D6" w:rsidP="00CD70D6">
            <w:pPr>
              <w:rPr>
                <w:rFonts w:ascii="Times New Roman" w:hAnsi="Times New Roman" w:cs="Times New Roman"/>
                <w:lang w:val="en-US"/>
              </w:rPr>
            </w:pPr>
            <w:r w:rsidRPr="00C531F3">
              <w:rPr>
                <w:rFonts w:ascii="Times New Roman" w:hAnsi="Times New Roman" w:cs="Times New Roman"/>
                <w:lang w:val="en-US"/>
              </w:rPr>
              <w:t>Digital Leadership and Planning</w:t>
            </w:r>
          </w:p>
        </w:tc>
        <w:tc>
          <w:tcPr>
            <w:tcW w:w="851" w:type="dxa"/>
            <w:vAlign w:val="center"/>
            <w:hideMark/>
          </w:tcPr>
          <w:p w14:paraId="3A6941D2" w14:textId="77777777" w:rsidR="00CD70D6" w:rsidRPr="00C531F3" w:rsidRDefault="00CD70D6" w:rsidP="00CD70D6">
            <w:pPr>
              <w:rPr>
                <w:rFonts w:ascii="Times New Roman" w:hAnsi="Times New Roman" w:cs="Times New Roman"/>
                <w:lang w:val="en-US"/>
              </w:rPr>
            </w:pPr>
            <w:r w:rsidRPr="00C531F3">
              <w:rPr>
                <w:rFonts w:ascii="Times New Roman" w:hAnsi="Times New Roman" w:cs="Times New Roman"/>
                <w:lang w:val="en-US"/>
              </w:rPr>
              <w:t>DTP1</w:t>
            </w:r>
          </w:p>
        </w:tc>
        <w:tc>
          <w:tcPr>
            <w:tcW w:w="4128" w:type="dxa"/>
            <w:vAlign w:val="center"/>
            <w:hideMark/>
          </w:tcPr>
          <w:p w14:paraId="730EF6EB" w14:textId="77777777" w:rsidR="00CD70D6" w:rsidRPr="00C531F3" w:rsidRDefault="00CD70D6" w:rsidP="00CD70D6">
            <w:pPr>
              <w:rPr>
                <w:rFonts w:ascii="Times New Roman" w:hAnsi="Times New Roman" w:cs="Times New Roman"/>
                <w:lang w:val="en-US"/>
              </w:rPr>
            </w:pPr>
            <w:r w:rsidRPr="00C531F3">
              <w:rPr>
                <w:rFonts w:ascii="Times New Roman" w:hAnsi="Times New Roman" w:cs="Times New Roman"/>
                <w:lang w:val="en-US"/>
              </w:rPr>
              <w:t>I am well-informed about the priorities and strategic plans our leaders have established for digital transformation.</w:t>
            </w:r>
          </w:p>
        </w:tc>
        <w:tc>
          <w:tcPr>
            <w:tcW w:w="0" w:type="auto"/>
            <w:vAlign w:val="center"/>
            <w:hideMark/>
          </w:tcPr>
          <w:p w14:paraId="20238936" w14:textId="77777777" w:rsidR="00CD70D6" w:rsidRPr="00C531F3" w:rsidRDefault="00CD70D6" w:rsidP="00CD70D6">
            <w:pPr>
              <w:rPr>
                <w:rFonts w:ascii="Times New Roman" w:hAnsi="Times New Roman" w:cs="Times New Roman"/>
                <w:lang w:val="en-US"/>
              </w:rPr>
            </w:pPr>
            <w:r w:rsidRPr="00C531F3">
              <w:rPr>
                <w:rFonts w:ascii="Times New Roman" w:hAnsi="Times New Roman" w:cs="Times New Roman"/>
                <w:lang w:val="en-US"/>
              </w:rPr>
              <w:t>Castro Benavides et al. (2026); Silva et al. (2025)</w:t>
            </w:r>
          </w:p>
        </w:tc>
      </w:tr>
      <w:tr w:rsidR="00CD70D6" w:rsidRPr="00C531F3" w14:paraId="6192DB76" w14:textId="77777777" w:rsidTr="007262BE">
        <w:tc>
          <w:tcPr>
            <w:tcW w:w="0" w:type="auto"/>
            <w:vMerge/>
            <w:vAlign w:val="center"/>
            <w:hideMark/>
          </w:tcPr>
          <w:p w14:paraId="3B830413" w14:textId="77777777" w:rsidR="00CD70D6" w:rsidRPr="00C531F3" w:rsidRDefault="00CD70D6" w:rsidP="00CD70D6">
            <w:pPr>
              <w:rPr>
                <w:rFonts w:ascii="Times New Roman" w:hAnsi="Times New Roman" w:cs="Times New Roman"/>
                <w:lang w:val="en-US"/>
              </w:rPr>
            </w:pPr>
          </w:p>
        </w:tc>
        <w:tc>
          <w:tcPr>
            <w:tcW w:w="1708" w:type="dxa"/>
            <w:vAlign w:val="center"/>
            <w:hideMark/>
          </w:tcPr>
          <w:p w14:paraId="2C4021CC" w14:textId="77777777" w:rsidR="00CD70D6" w:rsidRPr="00C531F3" w:rsidRDefault="00CD70D6" w:rsidP="00CD70D6">
            <w:pPr>
              <w:rPr>
                <w:rFonts w:ascii="Times New Roman" w:hAnsi="Times New Roman" w:cs="Times New Roman"/>
                <w:lang w:val="en-US"/>
              </w:rPr>
            </w:pPr>
            <w:r w:rsidRPr="00C531F3">
              <w:rPr>
                <w:rFonts w:ascii="Times New Roman" w:hAnsi="Times New Roman" w:cs="Times New Roman"/>
                <w:lang w:val="en-US"/>
              </w:rPr>
              <w:t>Digital Leadership and Planning</w:t>
            </w:r>
          </w:p>
        </w:tc>
        <w:tc>
          <w:tcPr>
            <w:tcW w:w="851" w:type="dxa"/>
            <w:vAlign w:val="center"/>
            <w:hideMark/>
          </w:tcPr>
          <w:p w14:paraId="335D613B" w14:textId="77777777" w:rsidR="00CD70D6" w:rsidRPr="00C531F3" w:rsidRDefault="00CD70D6" w:rsidP="00CD70D6">
            <w:pPr>
              <w:rPr>
                <w:rFonts w:ascii="Times New Roman" w:hAnsi="Times New Roman" w:cs="Times New Roman"/>
                <w:lang w:val="en-US"/>
              </w:rPr>
            </w:pPr>
            <w:r w:rsidRPr="00C531F3">
              <w:rPr>
                <w:rFonts w:ascii="Times New Roman" w:hAnsi="Times New Roman" w:cs="Times New Roman"/>
                <w:lang w:val="en-US"/>
              </w:rPr>
              <w:t>DTP2</w:t>
            </w:r>
          </w:p>
        </w:tc>
        <w:tc>
          <w:tcPr>
            <w:tcW w:w="4128" w:type="dxa"/>
            <w:vAlign w:val="center"/>
            <w:hideMark/>
          </w:tcPr>
          <w:p w14:paraId="2067F146" w14:textId="77777777" w:rsidR="00CD70D6" w:rsidRPr="00C531F3" w:rsidRDefault="00CD70D6" w:rsidP="00CD70D6">
            <w:pPr>
              <w:rPr>
                <w:rFonts w:ascii="Times New Roman" w:hAnsi="Times New Roman" w:cs="Times New Roman"/>
                <w:lang w:val="en-US"/>
              </w:rPr>
            </w:pPr>
            <w:r w:rsidRPr="00C531F3">
              <w:rPr>
                <w:rFonts w:ascii="Times New Roman" w:hAnsi="Times New Roman" w:cs="Times New Roman"/>
                <w:lang w:val="en-US"/>
              </w:rPr>
              <w:t>I receive the necessary support and resources from management to coordinate digital changes within my area of work.</w:t>
            </w:r>
          </w:p>
        </w:tc>
        <w:tc>
          <w:tcPr>
            <w:tcW w:w="0" w:type="auto"/>
            <w:vAlign w:val="center"/>
            <w:hideMark/>
          </w:tcPr>
          <w:p w14:paraId="4E9FBFEE" w14:textId="77777777" w:rsidR="00CD70D6" w:rsidRPr="00C531F3" w:rsidRDefault="00CD70D6" w:rsidP="00CD70D6">
            <w:pPr>
              <w:rPr>
                <w:rFonts w:ascii="Times New Roman" w:hAnsi="Times New Roman" w:cs="Times New Roman"/>
                <w:lang w:val="en-US"/>
              </w:rPr>
            </w:pPr>
            <w:r w:rsidRPr="00C531F3">
              <w:rPr>
                <w:rFonts w:ascii="Times New Roman" w:hAnsi="Times New Roman" w:cs="Times New Roman"/>
                <w:lang w:val="en-US"/>
              </w:rPr>
              <w:t>Salisu (2026); Silva et al. (2025)</w:t>
            </w:r>
          </w:p>
        </w:tc>
      </w:tr>
      <w:tr w:rsidR="00CD70D6" w:rsidRPr="00C531F3" w14:paraId="7BD96A24" w14:textId="77777777" w:rsidTr="007262BE">
        <w:tc>
          <w:tcPr>
            <w:tcW w:w="0" w:type="auto"/>
            <w:vMerge w:val="restart"/>
            <w:vAlign w:val="center"/>
            <w:hideMark/>
          </w:tcPr>
          <w:p w14:paraId="59FA1B14" w14:textId="77777777" w:rsidR="00CD70D6" w:rsidRPr="00C531F3" w:rsidRDefault="00CD70D6" w:rsidP="00CD70D6">
            <w:pPr>
              <w:rPr>
                <w:rFonts w:ascii="Times New Roman" w:hAnsi="Times New Roman" w:cs="Times New Roman"/>
                <w:lang w:val="en-US"/>
              </w:rPr>
            </w:pPr>
            <w:r w:rsidRPr="00C531F3">
              <w:rPr>
                <w:rFonts w:ascii="Times New Roman" w:hAnsi="Times New Roman" w:cs="Times New Roman"/>
                <w:lang w:val="en-US"/>
              </w:rPr>
              <w:t>Macro (Institutional)</w:t>
            </w:r>
          </w:p>
        </w:tc>
        <w:tc>
          <w:tcPr>
            <w:tcW w:w="1708" w:type="dxa"/>
            <w:vAlign w:val="center"/>
            <w:hideMark/>
          </w:tcPr>
          <w:p w14:paraId="6AEDA69B" w14:textId="77777777" w:rsidR="00CD70D6" w:rsidRPr="00C531F3" w:rsidRDefault="00CD70D6" w:rsidP="00CD70D6">
            <w:pPr>
              <w:rPr>
                <w:rFonts w:ascii="Times New Roman" w:hAnsi="Times New Roman" w:cs="Times New Roman"/>
                <w:lang w:val="en-US"/>
              </w:rPr>
            </w:pPr>
            <w:r w:rsidRPr="00C531F3">
              <w:rPr>
                <w:rFonts w:ascii="Times New Roman" w:hAnsi="Times New Roman" w:cs="Times New Roman"/>
                <w:lang w:val="en-US"/>
              </w:rPr>
              <w:t>ICT Infrastructure</w:t>
            </w:r>
          </w:p>
        </w:tc>
        <w:tc>
          <w:tcPr>
            <w:tcW w:w="851" w:type="dxa"/>
            <w:vAlign w:val="center"/>
            <w:hideMark/>
          </w:tcPr>
          <w:p w14:paraId="3A1D6811" w14:textId="77777777" w:rsidR="00CD70D6" w:rsidRPr="00C531F3" w:rsidRDefault="00CD70D6" w:rsidP="00CD70D6">
            <w:pPr>
              <w:rPr>
                <w:rFonts w:ascii="Times New Roman" w:hAnsi="Times New Roman" w:cs="Times New Roman"/>
                <w:lang w:val="en-US"/>
              </w:rPr>
            </w:pPr>
            <w:r w:rsidRPr="00C531F3">
              <w:rPr>
                <w:rFonts w:ascii="Times New Roman" w:hAnsi="Times New Roman" w:cs="Times New Roman"/>
                <w:lang w:val="en-US"/>
              </w:rPr>
              <w:t>DTP3</w:t>
            </w:r>
          </w:p>
        </w:tc>
        <w:tc>
          <w:tcPr>
            <w:tcW w:w="4128" w:type="dxa"/>
            <w:vAlign w:val="center"/>
            <w:hideMark/>
          </w:tcPr>
          <w:p w14:paraId="152E336A" w14:textId="77777777" w:rsidR="00CD70D6" w:rsidRPr="00C531F3" w:rsidRDefault="00CD70D6" w:rsidP="00CD70D6">
            <w:pPr>
              <w:rPr>
                <w:rFonts w:ascii="Times New Roman" w:hAnsi="Times New Roman" w:cs="Times New Roman"/>
                <w:lang w:val="en-US"/>
              </w:rPr>
            </w:pPr>
            <w:r w:rsidRPr="00C531F3">
              <w:rPr>
                <w:rFonts w:ascii="Times New Roman" w:hAnsi="Times New Roman" w:cs="Times New Roman"/>
                <w:lang w:val="en-US"/>
              </w:rPr>
              <w:t>I find our institution’s digital infrastructure reliable and effective for exchanging information with other units.</w:t>
            </w:r>
          </w:p>
        </w:tc>
        <w:tc>
          <w:tcPr>
            <w:tcW w:w="0" w:type="auto"/>
            <w:vAlign w:val="center"/>
            <w:hideMark/>
          </w:tcPr>
          <w:p w14:paraId="287717D1" w14:textId="77777777" w:rsidR="00CD70D6" w:rsidRPr="00C531F3" w:rsidRDefault="00CD70D6" w:rsidP="00CD70D6">
            <w:pPr>
              <w:rPr>
                <w:rFonts w:ascii="Times New Roman" w:hAnsi="Times New Roman" w:cs="Times New Roman"/>
                <w:lang w:val="en-US"/>
              </w:rPr>
            </w:pPr>
            <w:r w:rsidRPr="00C531F3">
              <w:rPr>
                <w:rFonts w:ascii="Times New Roman" w:hAnsi="Times New Roman" w:cs="Times New Roman"/>
                <w:lang w:val="en-US"/>
              </w:rPr>
              <w:t xml:space="preserve">Al-Ali &amp; Marks (2022); </w:t>
            </w:r>
            <w:proofErr w:type="spellStart"/>
            <w:r w:rsidRPr="00C531F3">
              <w:rPr>
                <w:rFonts w:ascii="Times New Roman" w:hAnsi="Times New Roman" w:cs="Times New Roman"/>
                <w:lang w:val="en-US"/>
              </w:rPr>
              <w:t>Özşahin</w:t>
            </w:r>
            <w:proofErr w:type="spellEnd"/>
            <w:r w:rsidRPr="00C531F3">
              <w:rPr>
                <w:rFonts w:ascii="Times New Roman" w:hAnsi="Times New Roman" w:cs="Times New Roman"/>
                <w:lang w:val="en-US"/>
              </w:rPr>
              <w:t xml:space="preserve"> et al. (2022)</w:t>
            </w:r>
          </w:p>
        </w:tc>
      </w:tr>
      <w:tr w:rsidR="00CD70D6" w:rsidRPr="00C531F3" w14:paraId="68FA8A50" w14:textId="77777777" w:rsidTr="007262BE">
        <w:tc>
          <w:tcPr>
            <w:tcW w:w="0" w:type="auto"/>
            <w:vMerge/>
            <w:vAlign w:val="center"/>
            <w:hideMark/>
          </w:tcPr>
          <w:p w14:paraId="5EC9D047" w14:textId="77777777" w:rsidR="00CD70D6" w:rsidRPr="00C531F3" w:rsidRDefault="00CD70D6" w:rsidP="00CD70D6">
            <w:pPr>
              <w:rPr>
                <w:rFonts w:ascii="Times New Roman" w:hAnsi="Times New Roman" w:cs="Times New Roman"/>
                <w:lang w:val="en-US"/>
              </w:rPr>
            </w:pPr>
          </w:p>
        </w:tc>
        <w:tc>
          <w:tcPr>
            <w:tcW w:w="1708" w:type="dxa"/>
            <w:vAlign w:val="center"/>
            <w:hideMark/>
          </w:tcPr>
          <w:p w14:paraId="7F480E87" w14:textId="77777777" w:rsidR="00CD70D6" w:rsidRPr="00C531F3" w:rsidRDefault="00CD70D6" w:rsidP="00CD70D6">
            <w:pPr>
              <w:rPr>
                <w:rFonts w:ascii="Times New Roman" w:hAnsi="Times New Roman" w:cs="Times New Roman"/>
                <w:lang w:val="en-US"/>
              </w:rPr>
            </w:pPr>
            <w:r w:rsidRPr="00C531F3">
              <w:rPr>
                <w:rFonts w:ascii="Times New Roman" w:hAnsi="Times New Roman" w:cs="Times New Roman"/>
                <w:lang w:val="en-US"/>
              </w:rPr>
              <w:t>Digital Culture</w:t>
            </w:r>
          </w:p>
        </w:tc>
        <w:tc>
          <w:tcPr>
            <w:tcW w:w="851" w:type="dxa"/>
            <w:vAlign w:val="center"/>
            <w:hideMark/>
          </w:tcPr>
          <w:p w14:paraId="0A624FFA" w14:textId="77777777" w:rsidR="00CD70D6" w:rsidRPr="00C531F3" w:rsidRDefault="00CD70D6" w:rsidP="00CD70D6">
            <w:pPr>
              <w:rPr>
                <w:rFonts w:ascii="Times New Roman" w:hAnsi="Times New Roman" w:cs="Times New Roman"/>
                <w:lang w:val="en-US"/>
              </w:rPr>
            </w:pPr>
            <w:r w:rsidRPr="00C531F3">
              <w:rPr>
                <w:rFonts w:ascii="Times New Roman" w:hAnsi="Times New Roman" w:cs="Times New Roman"/>
                <w:lang w:val="en-US"/>
              </w:rPr>
              <w:t>DTP4</w:t>
            </w:r>
          </w:p>
        </w:tc>
        <w:tc>
          <w:tcPr>
            <w:tcW w:w="4128" w:type="dxa"/>
            <w:vAlign w:val="center"/>
            <w:hideMark/>
          </w:tcPr>
          <w:p w14:paraId="78A2D1E7" w14:textId="77777777" w:rsidR="00CD70D6" w:rsidRPr="00C531F3" w:rsidRDefault="00CD70D6" w:rsidP="00CD70D6">
            <w:pPr>
              <w:rPr>
                <w:rFonts w:ascii="Times New Roman" w:hAnsi="Times New Roman" w:cs="Times New Roman"/>
                <w:lang w:val="en-US"/>
              </w:rPr>
            </w:pPr>
            <w:r w:rsidRPr="00C531F3">
              <w:rPr>
                <w:rFonts w:ascii="Times New Roman" w:hAnsi="Times New Roman" w:cs="Times New Roman"/>
                <w:lang w:val="en-US"/>
              </w:rPr>
              <w:t>I perceive a shared willingness among my immediate colleagues to embrace digital change and innovation.</w:t>
            </w:r>
          </w:p>
        </w:tc>
        <w:tc>
          <w:tcPr>
            <w:tcW w:w="0" w:type="auto"/>
            <w:vAlign w:val="center"/>
            <w:hideMark/>
          </w:tcPr>
          <w:p w14:paraId="195B91F1" w14:textId="77777777" w:rsidR="00CD70D6" w:rsidRPr="00C531F3" w:rsidRDefault="00CD70D6" w:rsidP="00CD70D6">
            <w:pPr>
              <w:rPr>
                <w:rFonts w:ascii="Times New Roman" w:hAnsi="Times New Roman" w:cs="Times New Roman"/>
                <w:lang w:val="en-US"/>
              </w:rPr>
            </w:pPr>
            <w:proofErr w:type="spellStart"/>
            <w:r w:rsidRPr="00C531F3">
              <w:rPr>
                <w:rFonts w:ascii="Times New Roman" w:hAnsi="Times New Roman" w:cs="Times New Roman"/>
                <w:lang w:val="en-US"/>
              </w:rPr>
              <w:t>Laaber</w:t>
            </w:r>
            <w:proofErr w:type="spellEnd"/>
            <w:r w:rsidRPr="00C531F3">
              <w:rPr>
                <w:rFonts w:ascii="Times New Roman" w:hAnsi="Times New Roman" w:cs="Times New Roman"/>
                <w:lang w:val="en-US"/>
              </w:rPr>
              <w:t xml:space="preserve"> et al. (2023); Pingali et al. (2023)</w:t>
            </w:r>
          </w:p>
        </w:tc>
      </w:tr>
      <w:tr w:rsidR="00CD70D6" w:rsidRPr="00C531F3" w14:paraId="5EA13CAD" w14:textId="77777777" w:rsidTr="007262BE">
        <w:tc>
          <w:tcPr>
            <w:tcW w:w="0" w:type="auto"/>
            <w:vMerge/>
            <w:vAlign w:val="center"/>
            <w:hideMark/>
          </w:tcPr>
          <w:p w14:paraId="6E990F01" w14:textId="77777777" w:rsidR="00CD70D6" w:rsidRPr="00C531F3" w:rsidRDefault="00CD70D6" w:rsidP="00CD70D6">
            <w:pPr>
              <w:rPr>
                <w:rFonts w:ascii="Times New Roman" w:hAnsi="Times New Roman" w:cs="Times New Roman"/>
                <w:lang w:val="en-US"/>
              </w:rPr>
            </w:pPr>
          </w:p>
        </w:tc>
        <w:tc>
          <w:tcPr>
            <w:tcW w:w="1708" w:type="dxa"/>
            <w:vAlign w:val="center"/>
            <w:hideMark/>
          </w:tcPr>
          <w:p w14:paraId="00E18171" w14:textId="77777777" w:rsidR="00CD70D6" w:rsidRPr="00C531F3" w:rsidRDefault="00CD70D6" w:rsidP="00CD70D6">
            <w:pPr>
              <w:rPr>
                <w:rFonts w:ascii="Times New Roman" w:hAnsi="Times New Roman" w:cs="Times New Roman"/>
                <w:lang w:val="en-US"/>
              </w:rPr>
            </w:pPr>
            <w:r w:rsidRPr="00C531F3">
              <w:rPr>
                <w:rFonts w:ascii="Times New Roman" w:hAnsi="Times New Roman" w:cs="Times New Roman"/>
                <w:lang w:val="en-US"/>
              </w:rPr>
              <w:t>Operational Integration</w:t>
            </w:r>
          </w:p>
        </w:tc>
        <w:tc>
          <w:tcPr>
            <w:tcW w:w="851" w:type="dxa"/>
            <w:vAlign w:val="center"/>
            <w:hideMark/>
          </w:tcPr>
          <w:p w14:paraId="662F8B10" w14:textId="77777777" w:rsidR="00CD70D6" w:rsidRPr="00C531F3" w:rsidRDefault="00CD70D6" w:rsidP="00CD70D6">
            <w:pPr>
              <w:rPr>
                <w:rFonts w:ascii="Times New Roman" w:hAnsi="Times New Roman" w:cs="Times New Roman"/>
                <w:lang w:val="en-US"/>
              </w:rPr>
            </w:pPr>
            <w:r w:rsidRPr="00C531F3">
              <w:rPr>
                <w:rFonts w:ascii="Times New Roman" w:hAnsi="Times New Roman" w:cs="Times New Roman"/>
                <w:lang w:val="en-US"/>
              </w:rPr>
              <w:t>DTP5</w:t>
            </w:r>
          </w:p>
        </w:tc>
        <w:tc>
          <w:tcPr>
            <w:tcW w:w="4128" w:type="dxa"/>
            <w:vAlign w:val="center"/>
            <w:hideMark/>
          </w:tcPr>
          <w:p w14:paraId="48F6DBCD" w14:textId="77777777" w:rsidR="00CD70D6" w:rsidRPr="00C531F3" w:rsidRDefault="00CD70D6" w:rsidP="00CD70D6">
            <w:pPr>
              <w:rPr>
                <w:rFonts w:ascii="Times New Roman" w:hAnsi="Times New Roman" w:cs="Times New Roman"/>
                <w:lang w:val="en-US"/>
              </w:rPr>
            </w:pPr>
            <w:r w:rsidRPr="00C531F3">
              <w:rPr>
                <w:rFonts w:ascii="Times New Roman" w:hAnsi="Times New Roman" w:cs="Times New Roman"/>
                <w:lang w:val="en-US"/>
              </w:rPr>
              <w:t xml:space="preserve">I </w:t>
            </w:r>
            <w:proofErr w:type="spellStart"/>
            <w:r w:rsidRPr="00C531F3">
              <w:rPr>
                <w:rFonts w:ascii="Times New Roman" w:hAnsi="Times New Roman" w:cs="Times New Roman"/>
                <w:lang w:val="en-US"/>
              </w:rPr>
              <w:t>utilise</w:t>
            </w:r>
            <w:proofErr w:type="spellEnd"/>
            <w:r w:rsidRPr="00C531F3">
              <w:rPr>
                <w:rFonts w:ascii="Times New Roman" w:hAnsi="Times New Roman" w:cs="Times New Roman"/>
                <w:lang w:val="en-US"/>
              </w:rPr>
              <w:t xml:space="preserve"> digital tools that are well-integrated into my daily academic and administrative routines.</w:t>
            </w:r>
          </w:p>
        </w:tc>
        <w:tc>
          <w:tcPr>
            <w:tcW w:w="0" w:type="auto"/>
            <w:vAlign w:val="center"/>
            <w:hideMark/>
          </w:tcPr>
          <w:p w14:paraId="415B177F" w14:textId="77777777" w:rsidR="00CD70D6" w:rsidRPr="00C531F3" w:rsidRDefault="00CD70D6" w:rsidP="00CD70D6">
            <w:pPr>
              <w:rPr>
                <w:rFonts w:ascii="Times New Roman" w:hAnsi="Times New Roman" w:cs="Times New Roman"/>
                <w:lang w:val="en-US"/>
              </w:rPr>
            </w:pPr>
            <w:r w:rsidRPr="00C531F3">
              <w:rPr>
                <w:rFonts w:ascii="Times New Roman" w:hAnsi="Times New Roman" w:cs="Times New Roman"/>
                <w:lang w:val="en-US"/>
              </w:rPr>
              <w:t xml:space="preserve">Al-Ali &amp; Marks (2022); </w:t>
            </w:r>
            <w:proofErr w:type="spellStart"/>
            <w:r w:rsidRPr="00C531F3">
              <w:rPr>
                <w:rFonts w:ascii="Times New Roman" w:hAnsi="Times New Roman" w:cs="Times New Roman"/>
                <w:lang w:val="en-US"/>
              </w:rPr>
              <w:t>Özşahin</w:t>
            </w:r>
            <w:proofErr w:type="spellEnd"/>
            <w:r w:rsidRPr="00C531F3">
              <w:rPr>
                <w:rFonts w:ascii="Times New Roman" w:hAnsi="Times New Roman" w:cs="Times New Roman"/>
                <w:lang w:val="en-US"/>
              </w:rPr>
              <w:t xml:space="preserve"> et al. (2022)</w:t>
            </w:r>
          </w:p>
        </w:tc>
      </w:tr>
      <w:tr w:rsidR="00CD70D6" w:rsidRPr="00C531F3" w14:paraId="64AC1C0A" w14:textId="77777777" w:rsidTr="007262BE">
        <w:tc>
          <w:tcPr>
            <w:tcW w:w="0" w:type="auto"/>
            <w:vMerge/>
            <w:vAlign w:val="center"/>
            <w:hideMark/>
          </w:tcPr>
          <w:p w14:paraId="6AA19502" w14:textId="77777777" w:rsidR="00CD70D6" w:rsidRPr="00C531F3" w:rsidRDefault="00CD70D6" w:rsidP="00CD70D6">
            <w:pPr>
              <w:rPr>
                <w:rFonts w:ascii="Times New Roman" w:hAnsi="Times New Roman" w:cs="Times New Roman"/>
                <w:lang w:val="en-US"/>
              </w:rPr>
            </w:pPr>
          </w:p>
        </w:tc>
        <w:tc>
          <w:tcPr>
            <w:tcW w:w="1708" w:type="dxa"/>
            <w:vAlign w:val="center"/>
            <w:hideMark/>
          </w:tcPr>
          <w:p w14:paraId="53DE5799" w14:textId="77777777" w:rsidR="00CD70D6" w:rsidRPr="00C531F3" w:rsidRDefault="00CD70D6" w:rsidP="00CD70D6">
            <w:pPr>
              <w:rPr>
                <w:rFonts w:ascii="Times New Roman" w:hAnsi="Times New Roman" w:cs="Times New Roman"/>
                <w:lang w:val="en-US"/>
              </w:rPr>
            </w:pPr>
            <w:r w:rsidRPr="00C531F3">
              <w:rPr>
                <w:rFonts w:ascii="Times New Roman" w:hAnsi="Times New Roman" w:cs="Times New Roman"/>
                <w:lang w:val="en-US"/>
              </w:rPr>
              <w:t>Data and Analytics</w:t>
            </w:r>
          </w:p>
        </w:tc>
        <w:tc>
          <w:tcPr>
            <w:tcW w:w="851" w:type="dxa"/>
            <w:vAlign w:val="center"/>
            <w:hideMark/>
          </w:tcPr>
          <w:p w14:paraId="13D37BAD" w14:textId="77777777" w:rsidR="00CD70D6" w:rsidRPr="00C531F3" w:rsidRDefault="00CD70D6" w:rsidP="00CD70D6">
            <w:pPr>
              <w:rPr>
                <w:rFonts w:ascii="Times New Roman" w:hAnsi="Times New Roman" w:cs="Times New Roman"/>
                <w:lang w:val="en-US"/>
              </w:rPr>
            </w:pPr>
            <w:r w:rsidRPr="00C531F3">
              <w:rPr>
                <w:rFonts w:ascii="Times New Roman" w:hAnsi="Times New Roman" w:cs="Times New Roman"/>
                <w:lang w:val="en-US"/>
              </w:rPr>
              <w:t>DTP6</w:t>
            </w:r>
          </w:p>
        </w:tc>
        <w:tc>
          <w:tcPr>
            <w:tcW w:w="4128" w:type="dxa"/>
            <w:vAlign w:val="center"/>
            <w:hideMark/>
          </w:tcPr>
          <w:p w14:paraId="333C4F53" w14:textId="77777777" w:rsidR="00CD70D6" w:rsidRPr="00C531F3" w:rsidRDefault="00CD70D6" w:rsidP="00CD70D6">
            <w:pPr>
              <w:rPr>
                <w:rFonts w:ascii="Times New Roman" w:hAnsi="Times New Roman" w:cs="Times New Roman"/>
                <w:lang w:val="en-US"/>
              </w:rPr>
            </w:pPr>
            <w:r w:rsidRPr="00C531F3">
              <w:rPr>
                <w:rFonts w:ascii="Times New Roman" w:hAnsi="Times New Roman" w:cs="Times New Roman"/>
                <w:lang w:val="en-US"/>
              </w:rPr>
              <w:t xml:space="preserve">I am aware of how our institution </w:t>
            </w:r>
            <w:proofErr w:type="spellStart"/>
            <w:r w:rsidRPr="00C531F3">
              <w:rPr>
                <w:rFonts w:ascii="Times New Roman" w:hAnsi="Times New Roman" w:cs="Times New Roman"/>
                <w:lang w:val="en-US"/>
              </w:rPr>
              <w:t>utilises</w:t>
            </w:r>
            <w:proofErr w:type="spellEnd"/>
            <w:r w:rsidRPr="00C531F3">
              <w:rPr>
                <w:rFonts w:ascii="Times New Roman" w:hAnsi="Times New Roman" w:cs="Times New Roman"/>
                <w:lang w:val="en-US"/>
              </w:rPr>
              <w:t xml:space="preserve"> digital data and analytics to inform decisions that affect my work.</w:t>
            </w:r>
          </w:p>
        </w:tc>
        <w:tc>
          <w:tcPr>
            <w:tcW w:w="0" w:type="auto"/>
            <w:vAlign w:val="center"/>
            <w:hideMark/>
          </w:tcPr>
          <w:p w14:paraId="2BBBF4D3" w14:textId="77777777" w:rsidR="00CD70D6" w:rsidRPr="00C531F3" w:rsidRDefault="00CD70D6" w:rsidP="00CD70D6">
            <w:pPr>
              <w:rPr>
                <w:rFonts w:ascii="Times New Roman" w:hAnsi="Times New Roman" w:cs="Times New Roman"/>
                <w:lang w:val="en-US"/>
              </w:rPr>
            </w:pPr>
            <w:r w:rsidRPr="00C531F3">
              <w:rPr>
                <w:rFonts w:ascii="Times New Roman" w:hAnsi="Times New Roman" w:cs="Times New Roman"/>
                <w:lang w:val="en-US"/>
              </w:rPr>
              <w:t>Castro Benavides et al. (2026); González Pérez et al. (2025)</w:t>
            </w:r>
          </w:p>
        </w:tc>
      </w:tr>
    </w:tbl>
    <w:p w14:paraId="0B1AC3CB" w14:textId="77777777" w:rsidR="00B242D9" w:rsidRPr="00C531F3" w:rsidRDefault="00B242D9" w:rsidP="007E717A">
      <w:pPr>
        <w:spacing w:after="0" w:line="240" w:lineRule="auto"/>
        <w:jc w:val="both"/>
        <w:rPr>
          <w:rFonts w:ascii="Times New Roman" w:hAnsi="Times New Roman" w:cs="Times New Roman"/>
          <w:lang w:val="en-US"/>
        </w:rPr>
      </w:pPr>
    </w:p>
    <w:p w14:paraId="67C49445" w14:textId="7B323B19" w:rsidR="008A7719" w:rsidRPr="00C531F3" w:rsidRDefault="008A7719" w:rsidP="008A7719">
      <w:pPr>
        <w:pStyle w:val="Heading1"/>
        <w:spacing w:before="0" w:after="0" w:line="240" w:lineRule="auto"/>
        <w:rPr>
          <w:rFonts w:ascii="Times New Roman" w:hAnsi="Times New Roman" w:cs="Times New Roman"/>
          <w:b/>
          <w:bCs/>
          <w:color w:val="auto"/>
          <w:sz w:val="24"/>
          <w:szCs w:val="24"/>
          <w:lang w:val="en-US"/>
        </w:rPr>
      </w:pPr>
      <w:r w:rsidRPr="00C531F3">
        <w:rPr>
          <w:rFonts w:ascii="Times New Roman" w:hAnsi="Times New Roman" w:cs="Times New Roman"/>
          <w:b/>
          <w:bCs/>
          <w:color w:val="auto"/>
          <w:sz w:val="24"/>
          <w:szCs w:val="24"/>
        </w:rPr>
        <w:t>Appendix B. Demographics</w:t>
      </w:r>
    </w:p>
    <w:p w14:paraId="67F5CE78" w14:textId="77777777" w:rsidR="00F35EB9" w:rsidRPr="00C531F3" w:rsidRDefault="00F35EB9" w:rsidP="007E717A">
      <w:pPr>
        <w:spacing w:after="0" w:line="240" w:lineRule="auto"/>
        <w:jc w:val="both"/>
        <w:rPr>
          <w:rFonts w:ascii="Times New Roman" w:hAnsi="Times New Roman" w:cs="Times New Roman"/>
          <w:lang w:val="en-US"/>
        </w:rPr>
      </w:pPr>
    </w:p>
    <w:p w14:paraId="11E90D27" w14:textId="46B768BF" w:rsidR="00F35EB9" w:rsidRPr="00C531F3" w:rsidRDefault="00F35EB9" w:rsidP="00F35EB9">
      <w:pPr>
        <w:spacing w:after="0" w:line="240" w:lineRule="auto"/>
        <w:jc w:val="center"/>
        <w:rPr>
          <w:rFonts w:ascii="Times New Roman" w:hAnsi="Times New Roman" w:cs="Times New Roman"/>
          <w:lang w:val="en-US"/>
        </w:rPr>
      </w:pPr>
      <w:r w:rsidRPr="00C531F3">
        <w:rPr>
          <w:rFonts w:ascii="Times New Roman" w:hAnsi="Times New Roman" w:cs="Times New Roman"/>
          <w:lang w:val="en-US"/>
        </w:rPr>
        <w:t>Table 1</w:t>
      </w:r>
      <w:r w:rsidR="00B23210" w:rsidRPr="00C531F3">
        <w:rPr>
          <w:rFonts w:ascii="Times New Roman" w:hAnsi="Times New Roman" w:cs="Times New Roman"/>
          <w:lang w:val="en-US"/>
        </w:rPr>
        <w:t>B</w:t>
      </w:r>
      <w:r w:rsidRPr="00C531F3">
        <w:rPr>
          <w:rFonts w:ascii="Times New Roman" w:hAnsi="Times New Roman" w:cs="Times New Roman"/>
          <w:lang w:val="en-US"/>
        </w:rPr>
        <w:t>. Demographic Profile of Respondents (</w:t>
      </w:r>
      <w:r w:rsidR="005C29EB" w:rsidRPr="00C531F3">
        <w:rPr>
          <w:rFonts w:ascii="Times New Roman" w:hAnsi="Times New Roman" w:cs="Times New Roman"/>
          <w:i/>
          <w:iCs/>
          <w:lang w:val="en-US"/>
        </w:rPr>
        <w:t>n</w:t>
      </w:r>
      <w:r w:rsidRPr="00C531F3">
        <w:rPr>
          <w:rFonts w:ascii="Times New Roman" w:hAnsi="Times New Roman" w:cs="Times New Roman"/>
          <w:lang w:val="en-US"/>
        </w:rPr>
        <w:t xml:space="preserve"> = 384)</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756"/>
        <w:gridCol w:w="1350"/>
        <w:gridCol w:w="1310"/>
        <w:gridCol w:w="1349"/>
      </w:tblGrid>
      <w:tr w:rsidR="005C29EB" w:rsidRPr="00C531F3" w14:paraId="50942DF9" w14:textId="77777777" w:rsidTr="00FA3585">
        <w:trPr>
          <w:trHeight w:val="300"/>
          <w:jc w:val="center"/>
        </w:trPr>
        <w:tc>
          <w:tcPr>
            <w:tcW w:w="0" w:type="auto"/>
            <w:noWrap/>
            <w:vAlign w:val="center"/>
            <w:hideMark/>
          </w:tcPr>
          <w:p w14:paraId="34F5E796" w14:textId="77777777" w:rsidR="005C29EB" w:rsidRPr="00C531F3" w:rsidRDefault="005C29EB" w:rsidP="005C29EB">
            <w:pPr>
              <w:spacing w:after="0" w:line="240" w:lineRule="auto"/>
              <w:rPr>
                <w:rFonts w:ascii="Times New Roman" w:eastAsia="Times New Roman" w:hAnsi="Times New Roman" w:cs="Times New Roman"/>
                <w:b/>
                <w:bCs/>
                <w:color w:val="000000"/>
                <w:kern w:val="0"/>
                <w:lang w:val="en-US"/>
                <w14:ligatures w14:val="none"/>
              </w:rPr>
            </w:pPr>
            <w:r w:rsidRPr="00C531F3">
              <w:rPr>
                <w:rFonts w:ascii="Times New Roman" w:eastAsia="Times New Roman" w:hAnsi="Times New Roman" w:cs="Times New Roman"/>
                <w:b/>
                <w:bCs/>
                <w:color w:val="000000"/>
                <w:kern w:val="0"/>
                <w:lang w:val="en-US"/>
                <w14:ligatures w14:val="none"/>
              </w:rPr>
              <w:t>Variable</w:t>
            </w:r>
          </w:p>
        </w:tc>
        <w:tc>
          <w:tcPr>
            <w:tcW w:w="0" w:type="auto"/>
            <w:tcBorders>
              <w:bottom w:val="single" w:sz="4" w:space="0" w:color="auto"/>
            </w:tcBorders>
            <w:noWrap/>
            <w:vAlign w:val="center"/>
            <w:hideMark/>
          </w:tcPr>
          <w:p w14:paraId="58C22CBF" w14:textId="77777777" w:rsidR="005C29EB" w:rsidRPr="00C531F3" w:rsidRDefault="005C29EB" w:rsidP="005C29EB">
            <w:pPr>
              <w:spacing w:after="0" w:line="240" w:lineRule="auto"/>
              <w:rPr>
                <w:rFonts w:ascii="Times New Roman" w:eastAsia="Times New Roman" w:hAnsi="Times New Roman" w:cs="Times New Roman"/>
                <w:b/>
                <w:bCs/>
                <w:color w:val="000000"/>
                <w:kern w:val="0"/>
                <w:lang w:val="en-US"/>
                <w14:ligatures w14:val="none"/>
              </w:rPr>
            </w:pPr>
            <w:r w:rsidRPr="00C531F3">
              <w:rPr>
                <w:rFonts w:ascii="Times New Roman" w:eastAsia="Times New Roman" w:hAnsi="Times New Roman" w:cs="Times New Roman"/>
                <w:b/>
                <w:bCs/>
                <w:color w:val="000000"/>
                <w:kern w:val="0"/>
                <w:lang w:val="en-US"/>
                <w14:ligatures w14:val="none"/>
              </w:rPr>
              <w:t>Category</w:t>
            </w:r>
          </w:p>
        </w:tc>
        <w:tc>
          <w:tcPr>
            <w:tcW w:w="0" w:type="auto"/>
            <w:tcBorders>
              <w:bottom w:val="single" w:sz="4" w:space="0" w:color="auto"/>
            </w:tcBorders>
            <w:noWrap/>
            <w:vAlign w:val="center"/>
            <w:hideMark/>
          </w:tcPr>
          <w:p w14:paraId="2C3B91A0" w14:textId="77777777" w:rsidR="005C29EB" w:rsidRPr="00C531F3" w:rsidRDefault="005C29EB" w:rsidP="005C29EB">
            <w:pPr>
              <w:spacing w:after="0" w:line="240" w:lineRule="auto"/>
              <w:jc w:val="center"/>
              <w:rPr>
                <w:rFonts w:ascii="Times New Roman" w:eastAsia="Times New Roman" w:hAnsi="Times New Roman" w:cs="Times New Roman"/>
                <w:b/>
                <w:bCs/>
                <w:color w:val="000000"/>
                <w:kern w:val="0"/>
                <w:lang w:val="en-US"/>
                <w14:ligatures w14:val="none"/>
              </w:rPr>
            </w:pPr>
            <w:r w:rsidRPr="00C531F3">
              <w:rPr>
                <w:rFonts w:ascii="Times New Roman" w:eastAsia="Times New Roman" w:hAnsi="Times New Roman" w:cs="Times New Roman"/>
                <w:b/>
                <w:bCs/>
                <w:color w:val="000000"/>
                <w:kern w:val="0"/>
                <w:lang w:val="en-US"/>
                <w14:ligatures w14:val="none"/>
              </w:rPr>
              <w:t>Frequency</w:t>
            </w:r>
          </w:p>
        </w:tc>
        <w:tc>
          <w:tcPr>
            <w:tcW w:w="0" w:type="auto"/>
            <w:tcBorders>
              <w:bottom w:val="single" w:sz="4" w:space="0" w:color="auto"/>
            </w:tcBorders>
            <w:noWrap/>
            <w:vAlign w:val="center"/>
            <w:hideMark/>
          </w:tcPr>
          <w:p w14:paraId="044E72BB" w14:textId="77777777" w:rsidR="005C29EB" w:rsidRPr="00C531F3" w:rsidRDefault="005C29EB" w:rsidP="005C29EB">
            <w:pPr>
              <w:spacing w:after="0" w:line="240" w:lineRule="auto"/>
              <w:jc w:val="center"/>
              <w:rPr>
                <w:rFonts w:ascii="Times New Roman" w:eastAsia="Times New Roman" w:hAnsi="Times New Roman" w:cs="Times New Roman"/>
                <w:b/>
                <w:bCs/>
                <w:color w:val="000000"/>
                <w:kern w:val="0"/>
                <w:lang w:val="en-US"/>
                <w14:ligatures w14:val="none"/>
              </w:rPr>
            </w:pPr>
            <w:r w:rsidRPr="00C531F3">
              <w:rPr>
                <w:rFonts w:ascii="Times New Roman" w:eastAsia="Times New Roman" w:hAnsi="Times New Roman" w:cs="Times New Roman"/>
                <w:b/>
                <w:bCs/>
                <w:color w:val="000000"/>
                <w:kern w:val="0"/>
                <w:lang w:val="en-US"/>
                <w14:ligatures w14:val="none"/>
              </w:rPr>
              <w:t>Percentage</w:t>
            </w:r>
          </w:p>
        </w:tc>
      </w:tr>
      <w:tr w:rsidR="005C29EB" w:rsidRPr="00C531F3" w14:paraId="5B32B305" w14:textId="77777777" w:rsidTr="00FA3585">
        <w:trPr>
          <w:trHeight w:val="300"/>
          <w:jc w:val="center"/>
        </w:trPr>
        <w:tc>
          <w:tcPr>
            <w:tcW w:w="0" w:type="auto"/>
            <w:vMerge w:val="restart"/>
            <w:vAlign w:val="center"/>
            <w:hideMark/>
          </w:tcPr>
          <w:p w14:paraId="5FB49294" w14:textId="77777777" w:rsidR="005C29EB" w:rsidRPr="00C531F3" w:rsidRDefault="005C29EB" w:rsidP="005C29EB">
            <w:pPr>
              <w:spacing w:after="0" w:line="240" w:lineRule="auto"/>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Gender</w:t>
            </w:r>
          </w:p>
        </w:tc>
        <w:tc>
          <w:tcPr>
            <w:tcW w:w="0" w:type="auto"/>
            <w:tcBorders>
              <w:bottom w:val="nil"/>
            </w:tcBorders>
            <w:noWrap/>
            <w:vAlign w:val="center"/>
            <w:hideMark/>
          </w:tcPr>
          <w:p w14:paraId="2D6831E6" w14:textId="77777777" w:rsidR="005C29EB" w:rsidRPr="00C531F3" w:rsidRDefault="005C29EB" w:rsidP="005C29EB">
            <w:pPr>
              <w:spacing w:after="0" w:line="240" w:lineRule="auto"/>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Male</w:t>
            </w:r>
          </w:p>
        </w:tc>
        <w:tc>
          <w:tcPr>
            <w:tcW w:w="0" w:type="auto"/>
            <w:tcBorders>
              <w:bottom w:val="nil"/>
            </w:tcBorders>
            <w:noWrap/>
            <w:vAlign w:val="center"/>
            <w:hideMark/>
          </w:tcPr>
          <w:p w14:paraId="114F213F" w14:textId="77777777" w:rsidR="005C29EB" w:rsidRPr="00C531F3" w:rsidRDefault="005C29EB" w:rsidP="005C29EB">
            <w:pPr>
              <w:spacing w:after="0" w:line="240" w:lineRule="auto"/>
              <w:jc w:val="center"/>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236</w:t>
            </w:r>
          </w:p>
        </w:tc>
        <w:tc>
          <w:tcPr>
            <w:tcW w:w="0" w:type="auto"/>
            <w:tcBorders>
              <w:bottom w:val="nil"/>
            </w:tcBorders>
            <w:noWrap/>
            <w:vAlign w:val="center"/>
            <w:hideMark/>
          </w:tcPr>
          <w:p w14:paraId="23BB1573" w14:textId="77777777" w:rsidR="005C29EB" w:rsidRPr="00C531F3" w:rsidRDefault="005C29EB" w:rsidP="005C29EB">
            <w:pPr>
              <w:spacing w:after="0" w:line="240" w:lineRule="auto"/>
              <w:jc w:val="center"/>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61.5</w:t>
            </w:r>
          </w:p>
        </w:tc>
      </w:tr>
      <w:tr w:rsidR="005C29EB" w:rsidRPr="00C531F3" w14:paraId="33A281C5" w14:textId="77777777" w:rsidTr="00FA3585">
        <w:trPr>
          <w:trHeight w:val="300"/>
          <w:jc w:val="center"/>
        </w:trPr>
        <w:tc>
          <w:tcPr>
            <w:tcW w:w="0" w:type="auto"/>
            <w:vMerge/>
            <w:vAlign w:val="center"/>
            <w:hideMark/>
          </w:tcPr>
          <w:p w14:paraId="430AA347" w14:textId="77777777" w:rsidR="005C29EB" w:rsidRPr="00C531F3" w:rsidRDefault="005C29EB" w:rsidP="005C29EB">
            <w:pPr>
              <w:spacing w:after="0" w:line="240" w:lineRule="auto"/>
              <w:rPr>
                <w:rFonts w:ascii="Times New Roman" w:eastAsia="Times New Roman" w:hAnsi="Times New Roman" w:cs="Times New Roman"/>
                <w:color w:val="000000"/>
                <w:kern w:val="0"/>
                <w:lang w:val="en-US"/>
                <w14:ligatures w14:val="none"/>
              </w:rPr>
            </w:pPr>
          </w:p>
        </w:tc>
        <w:tc>
          <w:tcPr>
            <w:tcW w:w="0" w:type="auto"/>
            <w:tcBorders>
              <w:top w:val="nil"/>
              <w:bottom w:val="single" w:sz="4" w:space="0" w:color="auto"/>
            </w:tcBorders>
            <w:noWrap/>
            <w:vAlign w:val="center"/>
            <w:hideMark/>
          </w:tcPr>
          <w:p w14:paraId="0A26BA2E" w14:textId="77777777" w:rsidR="005C29EB" w:rsidRPr="00C531F3" w:rsidRDefault="005C29EB" w:rsidP="005C29EB">
            <w:pPr>
              <w:spacing w:after="0" w:line="240" w:lineRule="auto"/>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Female</w:t>
            </w:r>
          </w:p>
        </w:tc>
        <w:tc>
          <w:tcPr>
            <w:tcW w:w="0" w:type="auto"/>
            <w:tcBorders>
              <w:top w:val="nil"/>
              <w:bottom w:val="single" w:sz="4" w:space="0" w:color="auto"/>
            </w:tcBorders>
            <w:noWrap/>
            <w:vAlign w:val="center"/>
            <w:hideMark/>
          </w:tcPr>
          <w:p w14:paraId="0AC132F5" w14:textId="77777777" w:rsidR="005C29EB" w:rsidRPr="00C531F3" w:rsidRDefault="005C29EB" w:rsidP="005C29EB">
            <w:pPr>
              <w:spacing w:after="0" w:line="240" w:lineRule="auto"/>
              <w:jc w:val="center"/>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148</w:t>
            </w:r>
          </w:p>
        </w:tc>
        <w:tc>
          <w:tcPr>
            <w:tcW w:w="0" w:type="auto"/>
            <w:tcBorders>
              <w:top w:val="nil"/>
              <w:bottom w:val="single" w:sz="4" w:space="0" w:color="auto"/>
            </w:tcBorders>
            <w:noWrap/>
            <w:vAlign w:val="center"/>
            <w:hideMark/>
          </w:tcPr>
          <w:p w14:paraId="30CC95FB" w14:textId="77777777" w:rsidR="005C29EB" w:rsidRPr="00C531F3" w:rsidRDefault="005C29EB" w:rsidP="005C29EB">
            <w:pPr>
              <w:spacing w:after="0" w:line="240" w:lineRule="auto"/>
              <w:jc w:val="center"/>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38.5</w:t>
            </w:r>
          </w:p>
        </w:tc>
      </w:tr>
      <w:tr w:rsidR="005C29EB" w:rsidRPr="00C531F3" w14:paraId="6DF77B58" w14:textId="77777777" w:rsidTr="00FA3585">
        <w:trPr>
          <w:trHeight w:val="300"/>
          <w:jc w:val="center"/>
        </w:trPr>
        <w:tc>
          <w:tcPr>
            <w:tcW w:w="0" w:type="auto"/>
            <w:vMerge w:val="restart"/>
            <w:vAlign w:val="center"/>
            <w:hideMark/>
          </w:tcPr>
          <w:p w14:paraId="7C593642" w14:textId="77777777" w:rsidR="005C29EB" w:rsidRPr="00C531F3" w:rsidRDefault="005C29EB" w:rsidP="005C29EB">
            <w:pPr>
              <w:spacing w:after="0" w:line="240" w:lineRule="auto"/>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Age</w:t>
            </w:r>
          </w:p>
        </w:tc>
        <w:tc>
          <w:tcPr>
            <w:tcW w:w="0" w:type="auto"/>
            <w:tcBorders>
              <w:bottom w:val="nil"/>
            </w:tcBorders>
            <w:noWrap/>
            <w:vAlign w:val="center"/>
            <w:hideMark/>
          </w:tcPr>
          <w:p w14:paraId="05837E10" w14:textId="77777777" w:rsidR="005C29EB" w:rsidRPr="00C531F3" w:rsidRDefault="005C29EB" w:rsidP="005C29EB">
            <w:pPr>
              <w:spacing w:after="0" w:line="240" w:lineRule="auto"/>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25–35</w:t>
            </w:r>
          </w:p>
        </w:tc>
        <w:tc>
          <w:tcPr>
            <w:tcW w:w="0" w:type="auto"/>
            <w:tcBorders>
              <w:bottom w:val="nil"/>
            </w:tcBorders>
            <w:noWrap/>
            <w:vAlign w:val="center"/>
            <w:hideMark/>
          </w:tcPr>
          <w:p w14:paraId="2087D77F" w14:textId="77777777" w:rsidR="005C29EB" w:rsidRPr="00C531F3" w:rsidRDefault="005C29EB" w:rsidP="005C29EB">
            <w:pPr>
              <w:spacing w:after="0" w:line="240" w:lineRule="auto"/>
              <w:jc w:val="center"/>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82</w:t>
            </w:r>
          </w:p>
        </w:tc>
        <w:tc>
          <w:tcPr>
            <w:tcW w:w="0" w:type="auto"/>
            <w:tcBorders>
              <w:bottom w:val="nil"/>
            </w:tcBorders>
            <w:noWrap/>
            <w:vAlign w:val="center"/>
            <w:hideMark/>
          </w:tcPr>
          <w:p w14:paraId="1662F902" w14:textId="77777777" w:rsidR="005C29EB" w:rsidRPr="00C531F3" w:rsidRDefault="005C29EB" w:rsidP="005C29EB">
            <w:pPr>
              <w:spacing w:after="0" w:line="240" w:lineRule="auto"/>
              <w:jc w:val="center"/>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21.4</w:t>
            </w:r>
          </w:p>
        </w:tc>
      </w:tr>
      <w:tr w:rsidR="005C29EB" w:rsidRPr="00C531F3" w14:paraId="739F1478" w14:textId="77777777" w:rsidTr="00FA3585">
        <w:trPr>
          <w:trHeight w:val="300"/>
          <w:jc w:val="center"/>
        </w:trPr>
        <w:tc>
          <w:tcPr>
            <w:tcW w:w="0" w:type="auto"/>
            <w:vMerge/>
            <w:vAlign w:val="center"/>
            <w:hideMark/>
          </w:tcPr>
          <w:p w14:paraId="4A43D2F5" w14:textId="77777777" w:rsidR="005C29EB" w:rsidRPr="00C531F3" w:rsidRDefault="005C29EB" w:rsidP="005C29EB">
            <w:pPr>
              <w:spacing w:after="0" w:line="240" w:lineRule="auto"/>
              <w:rPr>
                <w:rFonts w:ascii="Times New Roman" w:eastAsia="Times New Roman" w:hAnsi="Times New Roman" w:cs="Times New Roman"/>
                <w:color w:val="000000"/>
                <w:kern w:val="0"/>
                <w:lang w:val="en-US"/>
                <w14:ligatures w14:val="none"/>
              </w:rPr>
            </w:pPr>
          </w:p>
        </w:tc>
        <w:tc>
          <w:tcPr>
            <w:tcW w:w="0" w:type="auto"/>
            <w:tcBorders>
              <w:top w:val="nil"/>
              <w:bottom w:val="nil"/>
            </w:tcBorders>
            <w:noWrap/>
            <w:vAlign w:val="center"/>
            <w:hideMark/>
          </w:tcPr>
          <w:p w14:paraId="2700E1BD" w14:textId="77777777" w:rsidR="005C29EB" w:rsidRPr="00C531F3" w:rsidRDefault="005C29EB" w:rsidP="005C29EB">
            <w:pPr>
              <w:spacing w:after="0" w:line="240" w:lineRule="auto"/>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36–45</w:t>
            </w:r>
          </w:p>
        </w:tc>
        <w:tc>
          <w:tcPr>
            <w:tcW w:w="0" w:type="auto"/>
            <w:tcBorders>
              <w:top w:val="nil"/>
              <w:bottom w:val="nil"/>
            </w:tcBorders>
            <w:noWrap/>
            <w:vAlign w:val="center"/>
            <w:hideMark/>
          </w:tcPr>
          <w:p w14:paraId="67E0D63E" w14:textId="77777777" w:rsidR="005C29EB" w:rsidRPr="00C531F3" w:rsidRDefault="005C29EB" w:rsidP="005C29EB">
            <w:pPr>
              <w:spacing w:after="0" w:line="240" w:lineRule="auto"/>
              <w:jc w:val="center"/>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162</w:t>
            </w:r>
          </w:p>
        </w:tc>
        <w:tc>
          <w:tcPr>
            <w:tcW w:w="0" w:type="auto"/>
            <w:tcBorders>
              <w:top w:val="nil"/>
              <w:bottom w:val="nil"/>
            </w:tcBorders>
            <w:noWrap/>
            <w:vAlign w:val="center"/>
            <w:hideMark/>
          </w:tcPr>
          <w:p w14:paraId="3787E669" w14:textId="77777777" w:rsidR="005C29EB" w:rsidRPr="00C531F3" w:rsidRDefault="005C29EB" w:rsidP="005C29EB">
            <w:pPr>
              <w:spacing w:after="0" w:line="240" w:lineRule="auto"/>
              <w:jc w:val="center"/>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42.2</w:t>
            </w:r>
          </w:p>
        </w:tc>
      </w:tr>
      <w:tr w:rsidR="005C29EB" w:rsidRPr="00C531F3" w14:paraId="30018BDF" w14:textId="77777777" w:rsidTr="00FA3585">
        <w:trPr>
          <w:trHeight w:val="300"/>
          <w:jc w:val="center"/>
        </w:trPr>
        <w:tc>
          <w:tcPr>
            <w:tcW w:w="0" w:type="auto"/>
            <w:vMerge/>
            <w:vAlign w:val="center"/>
            <w:hideMark/>
          </w:tcPr>
          <w:p w14:paraId="38E146FD" w14:textId="77777777" w:rsidR="005C29EB" w:rsidRPr="00C531F3" w:rsidRDefault="005C29EB" w:rsidP="005C29EB">
            <w:pPr>
              <w:spacing w:after="0" w:line="240" w:lineRule="auto"/>
              <w:rPr>
                <w:rFonts w:ascii="Times New Roman" w:eastAsia="Times New Roman" w:hAnsi="Times New Roman" w:cs="Times New Roman"/>
                <w:color w:val="000000"/>
                <w:kern w:val="0"/>
                <w:lang w:val="en-US"/>
                <w14:ligatures w14:val="none"/>
              </w:rPr>
            </w:pPr>
          </w:p>
        </w:tc>
        <w:tc>
          <w:tcPr>
            <w:tcW w:w="0" w:type="auto"/>
            <w:tcBorders>
              <w:top w:val="nil"/>
              <w:bottom w:val="nil"/>
            </w:tcBorders>
            <w:noWrap/>
            <w:vAlign w:val="center"/>
            <w:hideMark/>
          </w:tcPr>
          <w:p w14:paraId="356D3A71" w14:textId="77777777" w:rsidR="005C29EB" w:rsidRPr="00C531F3" w:rsidRDefault="005C29EB" w:rsidP="005C29EB">
            <w:pPr>
              <w:spacing w:after="0" w:line="240" w:lineRule="auto"/>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46–55</w:t>
            </w:r>
          </w:p>
        </w:tc>
        <w:tc>
          <w:tcPr>
            <w:tcW w:w="0" w:type="auto"/>
            <w:tcBorders>
              <w:top w:val="nil"/>
              <w:bottom w:val="nil"/>
            </w:tcBorders>
            <w:noWrap/>
            <w:vAlign w:val="center"/>
            <w:hideMark/>
          </w:tcPr>
          <w:p w14:paraId="3A67D56C" w14:textId="77777777" w:rsidR="005C29EB" w:rsidRPr="00C531F3" w:rsidRDefault="005C29EB" w:rsidP="005C29EB">
            <w:pPr>
              <w:spacing w:after="0" w:line="240" w:lineRule="auto"/>
              <w:jc w:val="center"/>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104</w:t>
            </w:r>
          </w:p>
        </w:tc>
        <w:tc>
          <w:tcPr>
            <w:tcW w:w="0" w:type="auto"/>
            <w:tcBorders>
              <w:top w:val="nil"/>
              <w:bottom w:val="nil"/>
            </w:tcBorders>
            <w:noWrap/>
            <w:vAlign w:val="center"/>
            <w:hideMark/>
          </w:tcPr>
          <w:p w14:paraId="3C7357F1" w14:textId="77777777" w:rsidR="005C29EB" w:rsidRPr="00C531F3" w:rsidRDefault="005C29EB" w:rsidP="005C29EB">
            <w:pPr>
              <w:spacing w:after="0" w:line="240" w:lineRule="auto"/>
              <w:jc w:val="center"/>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27.1</w:t>
            </w:r>
          </w:p>
        </w:tc>
      </w:tr>
      <w:tr w:rsidR="005C29EB" w:rsidRPr="00C531F3" w14:paraId="3F892EB9" w14:textId="77777777" w:rsidTr="00FA3585">
        <w:trPr>
          <w:trHeight w:val="300"/>
          <w:jc w:val="center"/>
        </w:trPr>
        <w:tc>
          <w:tcPr>
            <w:tcW w:w="0" w:type="auto"/>
            <w:vMerge/>
            <w:vAlign w:val="center"/>
            <w:hideMark/>
          </w:tcPr>
          <w:p w14:paraId="465FC340" w14:textId="77777777" w:rsidR="005C29EB" w:rsidRPr="00C531F3" w:rsidRDefault="005C29EB" w:rsidP="005C29EB">
            <w:pPr>
              <w:spacing w:after="0" w:line="240" w:lineRule="auto"/>
              <w:rPr>
                <w:rFonts w:ascii="Times New Roman" w:eastAsia="Times New Roman" w:hAnsi="Times New Roman" w:cs="Times New Roman"/>
                <w:color w:val="000000"/>
                <w:kern w:val="0"/>
                <w:lang w:val="en-US"/>
                <w14:ligatures w14:val="none"/>
              </w:rPr>
            </w:pPr>
          </w:p>
        </w:tc>
        <w:tc>
          <w:tcPr>
            <w:tcW w:w="0" w:type="auto"/>
            <w:tcBorders>
              <w:top w:val="nil"/>
              <w:bottom w:val="single" w:sz="4" w:space="0" w:color="auto"/>
            </w:tcBorders>
            <w:noWrap/>
            <w:vAlign w:val="center"/>
            <w:hideMark/>
          </w:tcPr>
          <w:p w14:paraId="62D254E6" w14:textId="77777777" w:rsidR="005C29EB" w:rsidRPr="00C531F3" w:rsidRDefault="005C29EB" w:rsidP="005C29EB">
            <w:pPr>
              <w:spacing w:after="0" w:line="240" w:lineRule="auto"/>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Above 55</w:t>
            </w:r>
          </w:p>
        </w:tc>
        <w:tc>
          <w:tcPr>
            <w:tcW w:w="0" w:type="auto"/>
            <w:tcBorders>
              <w:top w:val="nil"/>
              <w:bottom w:val="single" w:sz="4" w:space="0" w:color="auto"/>
            </w:tcBorders>
            <w:noWrap/>
            <w:vAlign w:val="center"/>
            <w:hideMark/>
          </w:tcPr>
          <w:p w14:paraId="3A0FF5EA" w14:textId="77777777" w:rsidR="005C29EB" w:rsidRPr="00C531F3" w:rsidRDefault="005C29EB" w:rsidP="005C29EB">
            <w:pPr>
              <w:spacing w:after="0" w:line="240" w:lineRule="auto"/>
              <w:jc w:val="center"/>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36</w:t>
            </w:r>
          </w:p>
        </w:tc>
        <w:tc>
          <w:tcPr>
            <w:tcW w:w="0" w:type="auto"/>
            <w:tcBorders>
              <w:top w:val="nil"/>
              <w:bottom w:val="single" w:sz="4" w:space="0" w:color="auto"/>
            </w:tcBorders>
            <w:noWrap/>
            <w:vAlign w:val="center"/>
            <w:hideMark/>
          </w:tcPr>
          <w:p w14:paraId="1159DD3D" w14:textId="77777777" w:rsidR="005C29EB" w:rsidRPr="00C531F3" w:rsidRDefault="005C29EB" w:rsidP="005C29EB">
            <w:pPr>
              <w:spacing w:after="0" w:line="240" w:lineRule="auto"/>
              <w:jc w:val="center"/>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9.4</w:t>
            </w:r>
          </w:p>
        </w:tc>
      </w:tr>
      <w:tr w:rsidR="005C29EB" w:rsidRPr="00C531F3" w14:paraId="202A0252" w14:textId="77777777" w:rsidTr="00FA3585">
        <w:trPr>
          <w:trHeight w:val="300"/>
          <w:jc w:val="center"/>
        </w:trPr>
        <w:tc>
          <w:tcPr>
            <w:tcW w:w="0" w:type="auto"/>
            <w:vMerge w:val="restart"/>
            <w:vAlign w:val="center"/>
            <w:hideMark/>
          </w:tcPr>
          <w:p w14:paraId="0CD24694" w14:textId="77777777" w:rsidR="005C29EB" w:rsidRPr="00C531F3" w:rsidRDefault="005C29EB" w:rsidP="005C29EB">
            <w:pPr>
              <w:spacing w:after="0" w:line="240" w:lineRule="auto"/>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Institution Type</w:t>
            </w:r>
          </w:p>
        </w:tc>
        <w:tc>
          <w:tcPr>
            <w:tcW w:w="0" w:type="auto"/>
            <w:tcBorders>
              <w:bottom w:val="nil"/>
            </w:tcBorders>
            <w:noWrap/>
            <w:vAlign w:val="center"/>
            <w:hideMark/>
          </w:tcPr>
          <w:p w14:paraId="79EA474C" w14:textId="77777777" w:rsidR="005C29EB" w:rsidRPr="00C531F3" w:rsidRDefault="005C29EB" w:rsidP="005C29EB">
            <w:pPr>
              <w:spacing w:after="0" w:line="240" w:lineRule="auto"/>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University</w:t>
            </w:r>
          </w:p>
        </w:tc>
        <w:tc>
          <w:tcPr>
            <w:tcW w:w="0" w:type="auto"/>
            <w:tcBorders>
              <w:bottom w:val="nil"/>
            </w:tcBorders>
            <w:noWrap/>
            <w:vAlign w:val="center"/>
            <w:hideMark/>
          </w:tcPr>
          <w:p w14:paraId="2BBE1CE8" w14:textId="77777777" w:rsidR="005C29EB" w:rsidRPr="00C531F3" w:rsidRDefault="005C29EB" w:rsidP="005C29EB">
            <w:pPr>
              <w:spacing w:after="0" w:line="240" w:lineRule="auto"/>
              <w:jc w:val="center"/>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212</w:t>
            </w:r>
          </w:p>
        </w:tc>
        <w:tc>
          <w:tcPr>
            <w:tcW w:w="0" w:type="auto"/>
            <w:tcBorders>
              <w:bottom w:val="nil"/>
            </w:tcBorders>
            <w:noWrap/>
            <w:vAlign w:val="center"/>
            <w:hideMark/>
          </w:tcPr>
          <w:p w14:paraId="3767B225" w14:textId="77777777" w:rsidR="005C29EB" w:rsidRPr="00C531F3" w:rsidRDefault="005C29EB" w:rsidP="005C29EB">
            <w:pPr>
              <w:spacing w:after="0" w:line="240" w:lineRule="auto"/>
              <w:jc w:val="center"/>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55.2</w:t>
            </w:r>
          </w:p>
        </w:tc>
      </w:tr>
      <w:tr w:rsidR="005C29EB" w:rsidRPr="00C531F3" w14:paraId="455CA3B8" w14:textId="77777777" w:rsidTr="00FA3585">
        <w:trPr>
          <w:trHeight w:val="300"/>
          <w:jc w:val="center"/>
        </w:trPr>
        <w:tc>
          <w:tcPr>
            <w:tcW w:w="0" w:type="auto"/>
            <w:vMerge/>
            <w:vAlign w:val="center"/>
            <w:hideMark/>
          </w:tcPr>
          <w:p w14:paraId="06A7C535" w14:textId="77777777" w:rsidR="005C29EB" w:rsidRPr="00C531F3" w:rsidRDefault="005C29EB" w:rsidP="005C29EB">
            <w:pPr>
              <w:spacing w:after="0" w:line="240" w:lineRule="auto"/>
              <w:rPr>
                <w:rFonts w:ascii="Times New Roman" w:eastAsia="Times New Roman" w:hAnsi="Times New Roman" w:cs="Times New Roman"/>
                <w:color w:val="000000"/>
                <w:kern w:val="0"/>
                <w:lang w:val="en-US"/>
                <w14:ligatures w14:val="none"/>
              </w:rPr>
            </w:pPr>
          </w:p>
        </w:tc>
        <w:tc>
          <w:tcPr>
            <w:tcW w:w="0" w:type="auto"/>
            <w:tcBorders>
              <w:top w:val="nil"/>
              <w:bottom w:val="single" w:sz="4" w:space="0" w:color="auto"/>
            </w:tcBorders>
            <w:noWrap/>
            <w:vAlign w:val="center"/>
            <w:hideMark/>
          </w:tcPr>
          <w:p w14:paraId="6D452551" w14:textId="77777777" w:rsidR="005C29EB" w:rsidRPr="00C531F3" w:rsidRDefault="005C29EB" w:rsidP="005C29EB">
            <w:pPr>
              <w:spacing w:after="0" w:line="240" w:lineRule="auto"/>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Polytechnic</w:t>
            </w:r>
          </w:p>
        </w:tc>
        <w:tc>
          <w:tcPr>
            <w:tcW w:w="0" w:type="auto"/>
            <w:tcBorders>
              <w:top w:val="nil"/>
              <w:bottom w:val="single" w:sz="4" w:space="0" w:color="auto"/>
            </w:tcBorders>
            <w:noWrap/>
            <w:vAlign w:val="center"/>
            <w:hideMark/>
          </w:tcPr>
          <w:p w14:paraId="10B594EE" w14:textId="77777777" w:rsidR="005C29EB" w:rsidRPr="00C531F3" w:rsidRDefault="005C29EB" w:rsidP="005C29EB">
            <w:pPr>
              <w:spacing w:after="0" w:line="240" w:lineRule="auto"/>
              <w:jc w:val="center"/>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172</w:t>
            </w:r>
          </w:p>
        </w:tc>
        <w:tc>
          <w:tcPr>
            <w:tcW w:w="0" w:type="auto"/>
            <w:tcBorders>
              <w:top w:val="nil"/>
              <w:bottom w:val="single" w:sz="4" w:space="0" w:color="auto"/>
            </w:tcBorders>
            <w:noWrap/>
            <w:vAlign w:val="center"/>
            <w:hideMark/>
          </w:tcPr>
          <w:p w14:paraId="211F35B8" w14:textId="77777777" w:rsidR="005C29EB" w:rsidRPr="00C531F3" w:rsidRDefault="005C29EB" w:rsidP="005C29EB">
            <w:pPr>
              <w:spacing w:after="0" w:line="240" w:lineRule="auto"/>
              <w:jc w:val="center"/>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44.8</w:t>
            </w:r>
          </w:p>
        </w:tc>
      </w:tr>
      <w:tr w:rsidR="005C29EB" w:rsidRPr="00C531F3" w14:paraId="02896156" w14:textId="77777777" w:rsidTr="00FA3585">
        <w:trPr>
          <w:trHeight w:val="300"/>
          <w:jc w:val="center"/>
        </w:trPr>
        <w:tc>
          <w:tcPr>
            <w:tcW w:w="0" w:type="auto"/>
            <w:vMerge w:val="restart"/>
            <w:vAlign w:val="center"/>
            <w:hideMark/>
          </w:tcPr>
          <w:p w14:paraId="0E019573" w14:textId="77777777" w:rsidR="005C29EB" w:rsidRPr="00C531F3" w:rsidRDefault="005C29EB" w:rsidP="005C29EB">
            <w:pPr>
              <w:spacing w:after="0" w:line="240" w:lineRule="auto"/>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Ownership</w:t>
            </w:r>
          </w:p>
        </w:tc>
        <w:tc>
          <w:tcPr>
            <w:tcW w:w="0" w:type="auto"/>
            <w:tcBorders>
              <w:bottom w:val="nil"/>
            </w:tcBorders>
            <w:noWrap/>
            <w:vAlign w:val="center"/>
            <w:hideMark/>
          </w:tcPr>
          <w:p w14:paraId="6DCF1AD1" w14:textId="77777777" w:rsidR="005C29EB" w:rsidRPr="00C531F3" w:rsidRDefault="005C29EB" w:rsidP="005C29EB">
            <w:pPr>
              <w:spacing w:after="0" w:line="240" w:lineRule="auto"/>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Federal</w:t>
            </w:r>
          </w:p>
        </w:tc>
        <w:tc>
          <w:tcPr>
            <w:tcW w:w="0" w:type="auto"/>
            <w:tcBorders>
              <w:bottom w:val="nil"/>
            </w:tcBorders>
            <w:noWrap/>
            <w:vAlign w:val="center"/>
            <w:hideMark/>
          </w:tcPr>
          <w:p w14:paraId="3D44AD0D" w14:textId="77777777" w:rsidR="005C29EB" w:rsidRPr="00C531F3" w:rsidRDefault="005C29EB" w:rsidP="005C29EB">
            <w:pPr>
              <w:spacing w:after="0" w:line="240" w:lineRule="auto"/>
              <w:jc w:val="center"/>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224</w:t>
            </w:r>
          </w:p>
        </w:tc>
        <w:tc>
          <w:tcPr>
            <w:tcW w:w="0" w:type="auto"/>
            <w:tcBorders>
              <w:bottom w:val="nil"/>
            </w:tcBorders>
            <w:noWrap/>
            <w:vAlign w:val="center"/>
            <w:hideMark/>
          </w:tcPr>
          <w:p w14:paraId="0EAF9F92" w14:textId="77777777" w:rsidR="005C29EB" w:rsidRPr="00C531F3" w:rsidRDefault="005C29EB" w:rsidP="005C29EB">
            <w:pPr>
              <w:spacing w:after="0" w:line="240" w:lineRule="auto"/>
              <w:jc w:val="center"/>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58.3</w:t>
            </w:r>
          </w:p>
        </w:tc>
      </w:tr>
      <w:tr w:rsidR="005C29EB" w:rsidRPr="00C531F3" w14:paraId="4B8A8D46" w14:textId="77777777" w:rsidTr="00FA3585">
        <w:trPr>
          <w:trHeight w:val="300"/>
          <w:jc w:val="center"/>
        </w:trPr>
        <w:tc>
          <w:tcPr>
            <w:tcW w:w="0" w:type="auto"/>
            <w:vMerge/>
            <w:vAlign w:val="center"/>
            <w:hideMark/>
          </w:tcPr>
          <w:p w14:paraId="6B67C3AE" w14:textId="77777777" w:rsidR="005C29EB" w:rsidRPr="00C531F3" w:rsidRDefault="005C29EB" w:rsidP="005C29EB">
            <w:pPr>
              <w:spacing w:after="0" w:line="240" w:lineRule="auto"/>
              <w:rPr>
                <w:rFonts w:ascii="Times New Roman" w:eastAsia="Times New Roman" w:hAnsi="Times New Roman" w:cs="Times New Roman"/>
                <w:color w:val="000000"/>
                <w:kern w:val="0"/>
                <w:lang w:val="en-US"/>
                <w14:ligatures w14:val="none"/>
              </w:rPr>
            </w:pPr>
          </w:p>
        </w:tc>
        <w:tc>
          <w:tcPr>
            <w:tcW w:w="0" w:type="auto"/>
            <w:tcBorders>
              <w:top w:val="nil"/>
              <w:bottom w:val="single" w:sz="4" w:space="0" w:color="auto"/>
            </w:tcBorders>
            <w:noWrap/>
            <w:vAlign w:val="center"/>
            <w:hideMark/>
          </w:tcPr>
          <w:p w14:paraId="06CAE733" w14:textId="77777777" w:rsidR="005C29EB" w:rsidRPr="00C531F3" w:rsidRDefault="005C29EB" w:rsidP="005C29EB">
            <w:pPr>
              <w:spacing w:after="0" w:line="240" w:lineRule="auto"/>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State</w:t>
            </w:r>
          </w:p>
        </w:tc>
        <w:tc>
          <w:tcPr>
            <w:tcW w:w="0" w:type="auto"/>
            <w:tcBorders>
              <w:top w:val="nil"/>
              <w:bottom w:val="single" w:sz="4" w:space="0" w:color="auto"/>
            </w:tcBorders>
            <w:noWrap/>
            <w:vAlign w:val="center"/>
            <w:hideMark/>
          </w:tcPr>
          <w:p w14:paraId="311432D2" w14:textId="77777777" w:rsidR="005C29EB" w:rsidRPr="00C531F3" w:rsidRDefault="005C29EB" w:rsidP="005C29EB">
            <w:pPr>
              <w:spacing w:after="0" w:line="240" w:lineRule="auto"/>
              <w:jc w:val="center"/>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160</w:t>
            </w:r>
          </w:p>
        </w:tc>
        <w:tc>
          <w:tcPr>
            <w:tcW w:w="0" w:type="auto"/>
            <w:tcBorders>
              <w:top w:val="nil"/>
              <w:bottom w:val="single" w:sz="4" w:space="0" w:color="auto"/>
            </w:tcBorders>
            <w:noWrap/>
            <w:vAlign w:val="center"/>
            <w:hideMark/>
          </w:tcPr>
          <w:p w14:paraId="6EEE6AF8" w14:textId="77777777" w:rsidR="005C29EB" w:rsidRPr="00C531F3" w:rsidRDefault="005C29EB" w:rsidP="005C29EB">
            <w:pPr>
              <w:spacing w:after="0" w:line="240" w:lineRule="auto"/>
              <w:jc w:val="center"/>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41.7</w:t>
            </w:r>
          </w:p>
        </w:tc>
      </w:tr>
      <w:tr w:rsidR="005C29EB" w:rsidRPr="00C531F3" w14:paraId="7C2DEB77" w14:textId="77777777" w:rsidTr="00FA3585">
        <w:trPr>
          <w:trHeight w:val="300"/>
          <w:jc w:val="center"/>
        </w:trPr>
        <w:tc>
          <w:tcPr>
            <w:tcW w:w="0" w:type="auto"/>
            <w:vMerge w:val="restart"/>
            <w:vAlign w:val="center"/>
            <w:hideMark/>
          </w:tcPr>
          <w:p w14:paraId="1D5AA6E6" w14:textId="77777777" w:rsidR="005C29EB" w:rsidRPr="00C531F3" w:rsidRDefault="005C29EB" w:rsidP="005C29EB">
            <w:pPr>
              <w:spacing w:after="0" w:line="240" w:lineRule="auto"/>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State</w:t>
            </w:r>
          </w:p>
        </w:tc>
        <w:tc>
          <w:tcPr>
            <w:tcW w:w="0" w:type="auto"/>
            <w:tcBorders>
              <w:bottom w:val="nil"/>
            </w:tcBorders>
            <w:noWrap/>
            <w:vAlign w:val="center"/>
            <w:hideMark/>
          </w:tcPr>
          <w:p w14:paraId="39C191AF" w14:textId="77777777" w:rsidR="005C29EB" w:rsidRPr="00C531F3" w:rsidRDefault="005C29EB" w:rsidP="005C29EB">
            <w:pPr>
              <w:spacing w:after="0" w:line="240" w:lineRule="auto"/>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Bauchi</w:t>
            </w:r>
          </w:p>
        </w:tc>
        <w:tc>
          <w:tcPr>
            <w:tcW w:w="0" w:type="auto"/>
            <w:tcBorders>
              <w:bottom w:val="nil"/>
            </w:tcBorders>
            <w:noWrap/>
            <w:vAlign w:val="center"/>
            <w:hideMark/>
          </w:tcPr>
          <w:p w14:paraId="51FEAF07" w14:textId="77777777" w:rsidR="005C29EB" w:rsidRPr="00C531F3" w:rsidRDefault="005C29EB" w:rsidP="005C29EB">
            <w:pPr>
              <w:spacing w:after="0" w:line="240" w:lineRule="auto"/>
              <w:jc w:val="center"/>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68</w:t>
            </w:r>
          </w:p>
        </w:tc>
        <w:tc>
          <w:tcPr>
            <w:tcW w:w="0" w:type="auto"/>
            <w:tcBorders>
              <w:bottom w:val="nil"/>
            </w:tcBorders>
            <w:noWrap/>
            <w:vAlign w:val="center"/>
            <w:hideMark/>
          </w:tcPr>
          <w:p w14:paraId="328D922F" w14:textId="77777777" w:rsidR="005C29EB" w:rsidRPr="00C531F3" w:rsidRDefault="005C29EB" w:rsidP="005C29EB">
            <w:pPr>
              <w:spacing w:after="0" w:line="240" w:lineRule="auto"/>
              <w:jc w:val="center"/>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17.7</w:t>
            </w:r>
          </w:p>
        </w:tc>
      </w:tr>
      <w:tr w:rsidR="005C29EB" w:rsidRPr="00C531F3" w14:paraId="5A01F604" w14:textId="77777777" w:rsidTr="00FA3585">
        <w:trPr>
          <w:trHeight w:val="300"/>
          <w:jc w:val="center"/>
        </w:trPr>
        <w:tc>
          <w:tcPr>
            <w:tcW w:w="0" w:type="auto"/>
            <w:vMerge/>
            <w:vAlign w:val="center"/>
            <w:hideMark/>
          </w:tcPr>
          <w:p w14:paraId="08AF1EA2" w14:textId="77777777" w:rsidR="005C29EB" w:rsidRPr="00C531F3" w:rsidRDefault="005C29EB" w:rsidP="005C29EB">
            <w:pPr>
              <w:spacing w:after="0" w:line="240" w:lineRule="auto"/>
              <w:rPr>
                <w:rFonts w:ascii="Times New Roman" w:eastAsia="Times New Roman" w:hAnsi="Times New Roman" w:cs="Times New Roman"/>
                <w:color w:val="000000"/>
                <w:kern w:val="0"/>
                <w:lang w:val="en-US"/>
                <w14:ligatures w14:val="none"/>
              </w:rPr>
            </w:pPr>
          </w:p>
        </w:tc>
        <w:tc>
          <w:tcPr>
            <w:tcW w:w="0" w:type="auto"/>
            <w:tcBorders>
              <w:top w:val="nil"/>
              <w:bottom w:val="nil"/>
            </w:tcBorders>
            <w:noWrap/>
            <w:vAlign w:val="center"/>
            <w:hideMark/>
          </w:tcPr>
          <w:p w14:paraId="4136DDA1" w14:textId="77777777" w:rsidR="005C29EB" w:rsidRPr="00C531F3" w:rsidRDefault="005C29EB" w:rsidP="005C29EB">
            <w:pPr>
              <w:spacing w:after="0" w:line="240" w:lineRule="auto"/>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Adamawa</w:t>
            </w:r>
          </w:p>
        </w:tc>
        <w:tc>
          <w:tcPr>
            <w:tcW w:w="0" w:type="auto"/>
            <w:tcBorders>
              <w:top w:val="nil"/>
              <w:bottom w:val="nil"/>
            </w:tcBorders>
            <w:noWrap/>
            <w:vAlign w:val="center"/>
            <w:hideMark/>
          </w:tcPr>
          <w:p w14:paraId="70E14CD7" w14:textId="77777777" w:rsidR="005C29EB" w:rsidRPr="00C531F3" w:rsidRDefault="005C29EB" w:rsidP="005C29EB">
            <w:pPr>
              <w:spacing w:after="0" w:line="240" w:lineRule="auto"/>
              <w:jc w:val="center"/>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56</w:t>
            </w:r>
          </w:p>
        </w:tc>
        <w:tc>
          <w:tcPr>
            <w:tcW w:w="0" w:type="auto"/>
            <w:tcBorders>
              <w:top w:val="nil"/>
              <w:bottom w:val="nil"/>
            </w:tcBorders>
            <w:noWrap/>
            <w:vAlign w:val="center"/>
            <w:hideMark/>
          </w:tcPr>
          <w:p w14:paraId="0E4DCEC4" w14:textId="77777777" w:rsidR="005C29EB" w:rsidRPr="00C531F3" w:rsidRDefault="005C29EB" w:rsidP="005C29EB">
            <w:pPr>
              <w:spacing w:after="0" w:line="240" w:lineRule="auto"/>
              <w:jc w:val="center"/>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14.6</w:t>
            </w:r>
          </w:p>
        </w:tc>
      </w:tr>
      <w:tr w:rsidR="005C29EB" w:rsidRPr="00C531F3" w14:paraId="435EAB70" w14:textId="77777777" w:rsidTr="00FA3585">
        <w:trPr>
          <w:trHeight w:val="300"/>
          <w:jc w:val="center"/>
        </w:trPr>
        <w:tc>
          <w:tcPr>
            <w:tcW w:w="0" w:type="auto"/>
            <w:vMerge/>
            <w:vAlign w:val="center"/>
            <w:hideMark/>
          </w:tcPr>
          <w:p w14:paraId="1847D5DE" w14:textId="77777777" w:rsidR="005C29EB" w:rsidRPr="00C531F3" w:rsidRDefault="005C29EB" w:rsidP="005C29EB">
            <w:pPr>
              <w:spacing w:after="0" w:line="240" w:lineRule="auto"/>
              <w:rPr>
                <w:rFonts w:ascii="Times New Roman" w:eastAsia="Times New Roman" w:hAnsi="Times New Roman" w:cs="Times New Roman"/>
                <w:color w:val="000000"/>
                <w:kern w:val="0"/>
                <w:lang w:val="en-US"/>
                <w14:ligatures w14:val="none"/>
              </w:rPr>
            </w:pPr>
          </w:p>
        </w:tc>
        <w:tc>
          <w:tcPr>
            <w:tcW w:w="0" w:type="auto"/>
            <w:tcBorders>
              <w:top w:val="nil"/>
              <w:bottom w:val="nil"/>
            </w:tcBorders>
            <w:noWrap/>
            <w:vAlign w:val="center"/>
            <w:hideMark/>
          </w:tcPr>
          <w:p w14:paraId="16E45408" w14:textId="77777777" w:rsidR="005C29EB" w:rsidRPr="00C531F3" w:rsidRDefault="005C29EB" w:rsidP="005C29EB">
            <w:pPr>
              <w:spacing w:after="0" w:line="240" w:lineRule="auto"/>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Borno</w:t>
            </w:r>
          </w:p>
        </w:tc>
        <w:tc>
          <w:tcPr>
            <w:tcW w:w="0" w:type="auto"/>
            <w:tcBorders>
              <w:top w:val="nil"/>
              <w:bottom w:val="nil"/>
            </w:tcBorders>
            <w:noWrap/>
            <w:vAlign w:val="center"/>
            <w:hideMark/>
          </w:tcPr>
          <w:p w14:paraId="50787B17" w14:textId="77777777" w:rsidR="005C29EB" w:rsidRPr="00C531F3" w:rsidRDefault="005C29EB" w:rsidP="005C29EB">
            <w:pPr>
              <w:spacing w:after="0" w:line="240" w:lineRule="auto"/>
              <w:jc w:val="center"/>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76</w:t>
            </w:r>
          </w:p>
        </w:tc>
        <w:tc>
          <w:tcPr>
            <w:tcW w:w="0" w:type="auto"/>
            <w:tcBorders>
              <w:top w:val="nil"/>
              <w:bottom w:val="nil"/>
            </w:tcBorders>
            <w:noWrap/>
            <w:vAlign w:val="center"/>
            <w:hideMark/>
          </w:tcPr>
          <w:p w14:paraId="3917066F" w14:textId="77777777" w:rsidR="005C29EB" w:rsidRPr="00C531F3" w:rsidRDefault="005C29EB" w:rsidP="005C29EB">
            <w:pPr>
              <w:spacing w:after="0" w:line="240" w:lineRule="auto"/>
              <w:jc w:val="center"/>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19.8</w:t>
            </w:r>
          </w:p>
        </w:tc>
      </w:tr>
      <w:tr w:rsidR="005C29EB" w:rsidRPr="00C531F3" w14:paraId="624CC74C" w14:textId="77777777" w:rsidTr="00FA3585">
        <w:trPr>
          <w:trHeight w:val="300"/>
          <w:jc w:val="center"/>
        </w:trPr>
        <w:tc>
          <w:tcPr>
            <w:tcW w:w="0" w:type="auto"/>
            <w:vMerge/>
            <w:vAlign w:val="center"/>
            <w:hideMark/>
          </w:tcPr>
          <w:p w14:paraId="21E3BCBC" w14:textId="77777777" w:rsidR="005C29EB" w:rsidRPr="00C531F3" w:rsidRDefault="005C29EB" w:rsidP="005C29EB">
            <w:pPr>
              <w:spacing w:after="0" w:line="240" w:lineRule="auto"/>
              <w:rPr>
                <w:rFonts w:ascii="Times New Roman" w:eastAsia="Times New Roman" w:hAnsi="Times New Roman" w:cs="Times New Roman"/>
                <w:color w:val="000000"/>
                <w:kern w:val="0"/>
                <w:lang w:val="en-US"/>
                <w14:ligatures w14:val="none"/>
              </w:rPr>
            </w:pPr>
          </w:p>
        </w:tc>
        <w:tc>
          <w:tcPr>
            <w:tcW w:w="0" w:type="auto"/>
            <w:tcBorders>
              <w:top w:val="nil"/>
              <w:bottom w:val="nil"/>
            </w:tcBorders>
            <w:noWrap/>
            <w:vAlign w:val="center"/>
            <w:hideMark/>
          </w:tcPr>
          <w:p w14:paraId="38CC31FE" w14:textId="77777777" w:rsidR="005C29EB" w:rsidRPr="00C531F3" w:rsidRDefault="005C29EB" w:rsidP="005C29EB">
            <w:pPr>
              <w:spacing w:after="0" w:line="240" w:lineRule="auto"/>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Yobe</w:t>
            </w:r>
          </w:p>
        </w:tc>
        <w:tc>
          <w:tcPr>
            <w:tcW w:w="0" w:type="auto"/>
            <w:tcBorders>
              <w:top w:val="nil"/>
              <w:bottom w:val="nil"/>
            </w:tcBorders>
            <w:noWrap/>
            <w:vAlign w:val="center"/>
            <w:hideMark/>
          </w:tcPr>
          <w:p w14:paraId="0CA6B1DF" w14:textId="77777777" w:rsidR="005C29EB" w:rsidRPr="00C531F3" w:rsidRDefault="005C29EB" w:rsidP="005C29EB">
            <w:pPr>
              <w:spacing w:after="0" w:line="240" w:lineRule="auto"/>
              <w:jc w:val="center"/>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64</w:t>
            </w:r>
          </w:p>
        </w:tc>
        <w:tc>
          <w:tcPr>
            <w:tcW w:w="0" w:type="auto"/>
            <w:tcBorders>
              <w:top w:val="nil"/>
              <w:bottom w:val="nil"/>
            </w:tcBorders>
            <w:noWrap/>
            <w:vAlign w:val="center"/>
            <w:hideMark/>
          </w:tcPr>
          <w:p w14:paraId="72026E42" w14:textId="77777777" w:rsidR="005C29EB" w:rsidRPr="00C531F3" w:rsidRDefault="005C29EB" w:rsidP="005C29EB">
            <w:pPr>
              <w:spacing w:after="0" w:line="240" w:lineRule="auto"/>
              <w:jc w:val="center"/>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16.7</w:t>
            </w:r>
          </w:p>
        </w:tc>
      </w:tr>
      <w:tr w:rsidR="005C29EB" w:rsidRPr="00C531F3" w14:paraId="09F6B48A" w14:textId="77777777" w:rsidTr="00FA3585">
        <w:trPr>
          <w:trHeight w:val="300"/>
          <w:jc w:val="center"/>
        </w:trPr>
        <w:tc>
          <w:tcPr>
            <w:tcW w:w="0" w:type="auto"/>
            <w:vMerge/>
            <w:vAlign w:val="center"/>
            <w:hideMark/>
          </w:tcPr>
          <w:p w14:paraId="3686890C" w14:textId="77777777" w:rsidR="005C29EB" w:rsidRPr="00C531F3" w:rsidRDefault="005C29EB" w:rsidP="005C29EB">
            <w:pPr>
              <w:spacing w:after="0" w:line="240" w:lineRule="auto"/>
              <w:rPr>
                <w:rFonts w:ascii="Times New Roman" w:eastAsia="Times New Roman" w:hAnsi="Times New Roman" w:cs="Times New Roman"/>
                <w:color w:val="000000"/>
                <w:kern w:val="0"/>
                <w:lang w:val="en-US"/>
                <w14:ligatures w14:val="none"/>
              </w:rPr>
            </w:pPr>
          </w:p>
        </w:tc>
        <w:tc>
          <w:tcPr>
            <w:tcW w:w="0" w:type="auto"/>
            <w:tcBorders>
              <w:top w:val="nil"/>
              <w:bottom w:val="nil"/>
            </w:tcBorders>
            <w:noWrap/>
            <w:vAlign w:val="center"/>
            <w:hideMark/>
          </w:tcPr>
          <w:p w14:paraId="6244746A" w14:textId="77777777" w:rsidR="005C29EB" w:rsidRPr="00C531F3" w:rsidRDefault="005C29EB" w:rsidP="005C29EB">
            <w:pPr>
              <w:spacing w:after="0" w:line="240" w:lineRule="auto"/>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Gombe</w:t>
            </w:r>
          </w:p>
        </w:tc>
        <w:tc>
          <w:tcPr>
            <w:tcW w:w="0" w:type="auto"/>
            <w:tcBorders>
              <w:top w:val="nil"/>
              <w:bottom w:val="nil"/>
            </w:tcBorders>
            <w:noWrap/>
            <w:vAlign w:val="center"/>
            <w:hideMark/>
          </w:tcPr>
          <w:p w14:paraId="7732E54A" w14:textId="77777777" w:rsidR="005C29EB" w:rsidRPr="00C531F3" w:rsidRDefault="005C29EB" w:rsidP="005C29EB">
            <w:pPr>
              <w:spacing w:after="0" w:line="240" w:lineRule="auto"/>
              <w:jc w:val="center"/>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66</w:t>
            </w:r>
          </w:p>
        </w:tc>
        <w:tc>
          <w:tcPr>
            <w:tcW w:w="0" w:type="auto"/>
            <w:tcBorders>
              <w:top w:val="nil"/>
              <w:bottom w:val="nil"/>
            </w:tcBorders>
            <w:noWrap/>
            <w:vAlign w:val="center"/>
            <w:hideMark/>
          </w:tcPr>
          <w:p w14:paraId="76933F77" w14:textId="77777777" w:rsidR="005C29EB" w:rsidRPr="00C531F3" w:rsidRDefault="005C29EB" w:rsidP="005C29EB">
            <w:pPr>
              <w:spacing w:after="0" w:line="240" w:lineRule="auto"/>
              <w:jc w:val="center"/>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17.2</w:t>
            </w:r>
          </w:p>
        </w:tc>
      </w:tr>
      <w:tr w:rsidR="005C29EB" w:rsidRPr="00C531F3" w14:paraId="22837801" w14:textId="77777777" w:rsidTr="00FA3585">
        <w:trPr>
          <w:trHeight w:val="300"/>
          <w:jc w:val="center"/>
        </w:trPr>
        <w:tc>
          <w:tcPr>
            <w:tcW w:w="0" w:type="auto"/>
            <w:vMerge/>
            <w:vAlign w:val="center"/>
            <w:hideMark/>
          </w:tcPr>
          <w:p w14:paraId="5878D2CB" w14:textId="77777777" w:rsidR="005C29EB" w:rsidRPr="00C531F3" w:rsidRDefault="005C29EB" w:rsidP="005C29EB">
            <w:pPr>
              <w:spacing w:after="0" w:line="240" w:lineRule="auto"/>
              <w:rPr>
                <w:rFonts w:ascii="Times New Roman" w:eastAsia="Times New Roman" w:hAnsi="Times New Roman" w:cs="Times New Roman"/>
                <w:color w:val="000000"/>
                <w:kern w:val="0"/>
                <w:lang w:val="en-US"/>
                <w14:ligatures w14:val="none"/>
              </w:rPr>
            </w:pPr>
          </w:p>
        </w:tc>
        <w:tc>
          <w:tcPr>
            <w:tcW w:w="0" w:type="auto"/>
            <w:tcBorders>
              <w:top w:val="nil"/>
            </w:tcBorders>
            <w:noWrap/>
            <w:vAlign w:val="center"/>
            <w:hideMark/>
          </w:tcPr>
          <w:p w14:paraId="2E3BAC95" w14:textId="77777777" w:rsidR="005C29EB" w:rsidRPr="00C531F3" w:rsidRDefault="005C29EB" w:rsidP="005C29EB">
            <w:pPr>
              <w:spacing w:after="0" w:line="240" w:lineRule="auto"/>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Taraba</w:t>
            </w:r>
          </w:p>
        </w:tc>
        <w:tc>
          <w:tcPr>
            <w:tcW w:w="0" w:type="auto"/>
            <w:tcBorders>
              <w:top w:val="nil"/>
            </w:tcBorders>
            <w:noWrap/>
            <w:vAlign w:val="center"/>
            <w:hideMark/>
          </w:tcPr>
          <w:p w14:paraId="4258AD1D" w14:textId="77777777" w:rsidR="005C29EB" w:rsidRPr="00C531F3" w:rsidRDefault="005C29EB" w:rsidP="005C29EB">
            <w:pPr>
              <w:spacing w:after="0" w:line="240" w:lineRule="auto"/>
              <w:jc w:val="center"/>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54</w:t>
            </w:r>
          </w:p>
        </w:tc>
        <w:tc>
          <w:tcPr>
            <w:tcW w:w="0" w:type="auto"/>
            <w:tcBorders>
              <w:top w:val="nil"/>
            </w:tcBorders>
            <w:noWrap/>
            <w:vAlign w:val="center"/>
            <w:hideMark/>
          </w:tcPr>
          <w:p w14:paraId="5EF61B55" w14:textId="77777777" w:rsidR="005C29EB" w:rsidRPr="00C531F3" w:rsidRDefault="005C29EB" w:rsidP="005C29EB">
            <w:pPr>
              <w:spacing w:after="0" w:line="240" w:lineRule="auto"/>
              <w:jc w:val="center"/>
              <w:rPr>
                <w:rFonts w:ascii="Times New Roman" w:eastAsia="Times New Roman" w:hAnsi="Times New Roman" w:cs="Times New Roman"/>
                <w:color w:val="000000"/>
                <w:kern w:val="0"/>
                <w:lang w:val="en-US"/>
                <w14:ligatures w14:val="none"/>
              </w:rPr>
            </w:pPr>
            <w:r w:rsidRPr="00C531F3">
              <w:rPr>
                <w:rFonts w:ascii="Times New Roman" w:eastAsia="Times New Roman" w:hAnsi="Times New Roman" w:cs="Times New Roman"/>
                <w:color w:val="000000"/>
                <w:kern w:val="0"/>
                <w:lang w:val="en-US"/>
                <w14:ligatures w14:val="none"/>
              </w:rPr>
              <w:t>14.1</w:t>
            </w:r>
          </w:p>
        </w:tc>
      </w:tr>
    </w:tbl>
    <w:p w14:paraId="3A60FF7B" w14:textId="77777777" w:rsidR="00F35EB9" w:rsidRPr="00C531F3" w:rsidRDefault="00F35EB9" w:rsidP="00F35EB9">
      <w:pPr>
        <w:spacing w:after="0" w:line="240" w:lineRule="auto"/>
        <w:jc w:val="both"/>
        <w:rPr>
          <w:rFonts w:ascii="Times New Roman" w:hAnsi="Times New Roman" w:cs="Times New Roman"/>
          <w:lang w:val="en-US"/>
        </w:rPr>
      </w:pPr>
    </w:p>
    <w:p w14:paraId="579889BD" w14:textId="77777777" w:rsidR="00F35EB9" w:rsidRPr="00C531F3" w:rsidRDefault="00F35EB9" w:rsidP="007E717A">
      <w:pPr>
        <w:spacing w:after="0" w:line="240" w:lineRule="auto"/>
        <w:jc w:val="both"/>
        <w:rPr>
          <w:rFonts w:ascii="Times New Roman" w:hAnsi="Times New Roman" w:cs="Times New Roman"/>
          <w:sz w:val="20"/>
          <w:szCs w:val="20"/>
          <w:lang w:val="en-US"/>
        </w:rPr>
      </w:pPr>
    </w:p>
    <w:sectPr w:rsidR="00F35EB9" w:rsidRPr="00C531F3" w:rsidSect="00644EC5">
      <w:footerReference w:type="default" r:id="rId60"/>
      <w:pgSz w:w="11907" w:h="16840" w:code="9"/>
      <w:pgMar w:top="1094" w:right="607" w:bottom="607" w:left="607"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AAB00" w14:textId="77777777" w:rsidR="001E4FB8" w:rsidRDefault="001E4FB8" w:rsidP="00F94DD5">
      <w:pPr>
        <w:spacing w:after="0" w:line="240" w:lineRule="auto"/>
      </w:pPr>
      <w:r>
        <w:separator/>
      </w:r>
    </w:p>
  </w:endnote>
  <w:endnote w:type="continuationSeparator" w:id="0">
    <w:p w14:paraId="69A0A362" w14:textId="77777777" w:rsidR="001E4FB8" w:rsidRDefault="001E4FB8" w:rsidP="00F9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063456475"/>
      <w:docPartObj>
        <w:docPartGallery w:val="Page Numbers (Bottom of Page)"/>
        <w:docPartUnique/>
      </w:docPartObj>
    </w:sdtPr>
    <w:sdtEndPr>
      <w:rPr>
        <w:noProof/>
      </w:rPr>
    </w:sdtEndPr>
    <w:sdtContent>
      <w:p w14:paraId="4887C2A1" w14:textId="29569093" w:rsidR="00F94DD5" w:rsidRPr="00EC7B2A" w:rsidRDefault="00F94DD5">
        <w:pPr>
          <w:pStyle w:val="Footer"/>
          <w:jc w:val="center"/>
          <w:rPr>
            <w:rFonts w:ascii="Times New Roman" w:hAnsi="Times New Roman" w:cs="Times New Roman"/>
          </w:rPr>
        </w:pPr>
        <w:r w:rsidRPr="00EC7B2A">
          <w:rPr>
            <w:rFonts w:ascii="Times New Roman" w:hAnsi="Times New Roman" w:cs="Times New Roman"/>
          </w:rPr>
          <w:fldChar w:fldCharType="begin"/>
        </w:r>
        <w:r w:rsidRPr="00EC7B2A">
          <w:rPr>
            <w:rFonts w:ascii="Times New Roman" w:hAnsi="Times New Roman" w:cs="Times New Roman"/>
          </w:rPr>
          <w:instrText xml:space="preserve"> PAGE   \* MERGEFORMAT </w:instrText>
        </w:r>
        <w:r w:rsidRPr="00EC7B2A">
          <w:rPr>
            <w:rFonts w:ascii="Times New Roman" w:hAnsi="Times New Roman" w:cs="Times New Roman"/>
          </w:rPr>
          <w:fldChar w:fldCharType="separate"/>
        </w:r>
        <w:r w:rsidRPr="00EC7B2A">
          <w:rPr>
            <w:rFonts w:ascii="Times New Roman" w:hAnsi="Times New Roman" w:cs="Times New Roman"/>
            <w:noProof/>
          </w:rPr>
          <w:t>2</w:t>
        </w:r>
        <w:r w:rsidRPr="00EC7B2A">
          <w:rPr>
            <w:rFonts w:ascii="Times New Roman" w:hAnsi="Times New Roman" w:cs="Times New Roman"/>
            <w:noProof/>
          </w:rPr>
          <w:fldChar w:fldCharType="end"/>
        </w:r>
      </w:p>
    </w:sdtContent>
  </w:sdt>
  <w:p w14:paraId="5FFD9C1C" w14:textId="77777777" w:rsidR="00F94DD5" w:rsidRDefault="00F94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18DA2" w14:textId="77777777" w:rsidR="001E4FB8" w:rsidRDefault="001E4FB8" w:rsidP="00F94DD5">
      <w:pPr>
        <w:spacing w:after="0" w:line="240" w:lineRule="auto"/>
      </w:pPr>
      <w:r>
        <w:separator/>
      </w:r>
    </w:p>
  </w:footnote>
  <w:footnote w:type="continuationSeparator" w:id="0">
    <w:p w14:paraId="793F5D61" w14:textId="77777777" w:rsidR="001E4FB8" w:rsidRDefault="001E4FB8" w:rsidP="00F94D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A1AFE"/>
    <w:multiLevelType w:val="multilevel"/>
    <w:tmpl w:val="80B2B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AD441A"/>
    <w:multiLevelType w:val="multilevel"/>
    <w:tmpl w:val="96E2C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EC65EC"/>
    <w:multiLevelType w:val="hybridMultilevel"/>
    <w:tmpl w:val="A82E9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3E1394"/>
    <w:multiLevelType w:val="multilevel"/>
    <w:tmpl w:val="B53A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EC686D"/>
    <w:multiLevelType w:val="multilevel"/>
    <w:tmpl w:val="B9E4E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F65B46"/>
    <w:multiLevelType w:val="multilevel"/>
    <w:tmpl w:val="C1C8B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851998"/>
    <w:multiLevelType w:val="multilevel"/>
    <w:tmpl w:val="2996D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664803"/>
    <w:multiLevelType w:val="multilevel"/>
    <w:tmpl w:val="9ED8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2629831">
    <w:abstractNumId w:val="3"/>
  </w:num>
  <w:num w:numId="2" w16cid:durableId="977681992">
    <w:abstractNumId w:val="6"/>
  </w:num>
  <w:num w:numId="3" w16cid:durableId="1462074642">
    <w:abstractNumId w:val="0"/>
  </w:num>
  <w:num w:numId="4" w16cid:durableId="1521121001">
    <w:abstractNumId w:val="7"/>
  </w:num>
  <w:num w:numId="5" w16cid:durableId="1654288486">
    <w:abstractNumId w:val="5"/>
  </w:num>
  <w:num w:numId="6" w16cid:durableId="615059728">
    <w:abstractNumId w:val="1"/>
  </w:num>
  <w:num w:numId="7" w16cid:durableId="50810942">
    <w:abstractNumId w:val="4"/>
  </w:num>
  <w:num w:numId="8" w16cid:durableId="242841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E73"/>
    <w:rsid w:val="00026E19"/>
    <w:rsid w:val="00030041"/>
    <w:rsid w:val="000615F4"/>
    <w:rsid w:val="00063B78"/>
    <w:rsid w:val="00065B9B"/>
    <w:rsid w:val="000706D5"/>
    <w:rsid w:val="00081FFD"/>
    <w:rsid w:val="00090908"/>
    <w:rsid w:val="00095794"/>
    <w:rsid w:val="000A7DA8"/>
    <w:rsid w:val="000B3717"/>
    <w:rsid w:val="000C0A89"/>
    <w:rsid w:val="000C5F5C"/>
    <w:rsid w:val="000C677D"/>
    <w:rsid w:val="000D15CE"/>
    <w:rsid w:val="000F4AB8"/>
    <w:rsid w:val="000F5A8C"/>
    <w:rsid w:val="000F79D1"/>
    <w:rsid w:val="00111008"/>
    <w:rsid w:val="00122C51"/>
    <w:rsid w:val="00130BFE"/>
    <w:rsid w:val="00133793"/>
    <w:rsid w:val="001341A4"/>
    <w:rsid w:val="001462B7"/>
    <w:rsid w:val="00151A78"/>
    <w:rsid w:val="00152569"/>
    <w:rsid w:val="001612E0"/>
    <w:rsid w:val="001644CA"/>
    <w:rsid w:val="00164F1B"/>
    <w:rsid w:val="00165304"/>
    <w:rsid w:val="00191F67"/>
    <w:rsid w:val="001A2329"/>
    <w:rsid w:val="001A28A8"/>
    <w:rsid w:val="001A6529"/>
    <w:rsid w:val="001C006A"/>
    <w:rsid w:val="001C0473"/>
    <w:rsid w:val="001E1D84"/>
    <w:rsid w:val="001E4FB8"/>
    <w:rsid w:val="00215E9D"/>
    <w:rsid w:val="002402FD"/>
    <w:rsid w:val="00266F4B"/>
    <w:rsid w:val="002A3DDE"/>
    <w:rsid w:val="002A47BF"/>
    <w:rsid w:val="002C32B4"/>
    <w:rsid w:val="002E7172"/>
    <w:rsid w:val="003123E3"/>
    <w:rsid w:val="00313636"/>
    <w:rsid w:val="00315B50"/>
    <w:rsid w:val="003300B2"/>
    <w:rsid w:val="00334A67"/>
    <w:rsid w:val="00335F5A"/>
    <w:rsid w:val="00353A89"/>
    <w:rsid w:val="00377002"/>
    <w:rsid w:val="00394307"/>
    <w:rsid w:val="003A08D7"/>
    <w:rsid w:val="003A4B5B"/>
    <w:rsid w:val="003A576E"/>
    <w:rsid w:val="003B63EA"/>
    <w:rsid w:val="003C1095"/>
    <w:rsid w:val="003D61F3"/>
    <w:rsid w:val="0040297F"/>
    <w:rsid w:val="00413E73"/>
    <w:rsid w:val="004232F2"/>
    <w:rsid w:val="00434098"/>
    <w:rsid w:val="00444A44"/>
    <w:rsid w:val="00446741"/>
    <w:rsid w:val="00456AD5"/>
    <w:rsid w:val="004772EC"/>
    <w:rsid w:val="00477A65"/>
    <w:rsid w:val="004910AA"/>
    <w:rsid w:val="00497993"/>
    <w:rsid w:val="004A4C4F"/>
    <w:rsid w:val="004A54D7"/>
    <w:rsid w:val="004C38A8"/>
    <w:rsid w:val="004D20BD"/>
    <w:rsid w:val="004D57E5"/>
    <w:rsid w:val="004D6E13"/>
    <w:rsid w:val="004D6E28"/>
    <w:rsid w:val="004E1594"/>
    <w:rsid w:val="004F652D"/>
    <w:rsid w:val="00515298"/>
    <w:rsid w:val="005319D9"/>
    <w:rsid w:val="00551ACC"/>
    <w:rsid w:val="00555C80"/>
    <w:rsid w:val="00556239"/>
    <w:rsid w:val="00590C64"/>
    <w:rsid w:val="005B00C4"/>
    <w:rsid w:val="005C0ED8"/>
    <w:rsid w:val="005C29EB"/>
    <w:rsid w:val="005D2592"/>
    <w:rsid w:val="005E1CDB"/>
    <w:rsid w:val="005F2B38"/>
    <w:rsid w:val="00603D52"/>
    <w:rsid w:val="00604286"/>
    <w:rsid w:val="006101D9"/>
    <w:rsid w:val="006105B9"/>
    <w:rsid w:val="00644EC5"/>
    <w:rsid w:val="0065014E"/>
    <w:rsid w:val="00684499"/>
    <w:rsid w:val="006A24FD"/>
    <w:rsid w:val="006A55FE"/>
    <w:rsid w:val="006C2337"/>
    <w:rsid w:val="006D24E3"/>
    <w:rsid w:val="006D5085"/>
    <w:rsid w:val="006D7371"/>
    <w:rsid w:val="006E006A"/>
    <w:rsid w:val="006E0554"/>
    <w:rsid w:val="006E4C2B"/>
    <w:rsid w:val="007049DC"/>
    <w:rsid w:val="00710B6F"/>
    <w:rsid w:val="00717EE7"/>
    <w:rsid w:val="007262BE"/>
    <w:rsid w:val="00753FCA"/>
    <w:rsid w:val="00757A5D"/>
    <w:rsid w:val="007641D3"/>
    <w:rsid w:val="007753F3"/>
    <w:rsid w:val="00784DDC"/>
    <w:rsid w:val="00786AED"/>
    <w:rsid w:val="00794B00"/>
    <w:rsid w:val="007B2634"/>
    <w:rsid w:val="007C43CD"/>
    <w:rsid w:val="007E1EE1"/>
    <w:rsid w:val="007E717A"/>
    <w:rsid w:val="00801507"/>
    <w:rsid w:val="00805021"/>
    <w:rsid w:val="0081439A"/>
    <w:rsid w:val="008551E2"/>
    <w:rsid w:val="00855578"/>
    <w:rsid w:val="008670BD"/>
    <w:rsid w:val="0088380B"/>
    <w:rsid w:val="008A444E"/>
    <w:rsid w:val="008A7719"/>
    <w:rsid w:val="008B0B2E"/>
    <w:rsid w:val="008B2C6E"/>
    <w:rsid w:val="008C15E0"/>
    <w:rsid w:val="008C1935"/>
    <w:rsid w:val="008D67DB"/>
    <w:rsid w:val="008F130A"/>
    <w:rsid w:val="009068C7"/>
    <w:rsid w:val="00915DB0"/>
    <w:rsid w:val="00932F51"/>
    <w:rsid w:val="009644BB"/>
    <w:rsid w:val="00990E59"/>
    <w:rsid w:val="00992C28"/>
    <w:rsid w:val="00992FCE"/>
    <w:rsid w:val="009A4ED2"/>
    <w:rsid w:val="009B0806"/>
    <w:rsid w:val="009B142F"/>
    <w:rsid w:val="009B1C18"/>
    <w:rsid w:val="009C0534"/>
    <w:rsid w:val="009C4ADB"/>
    <w:rsid w:val="009D02CF"/>
    <w:rsid w:val="009D32EA"/>
    <w:rsid w:val="009D4080"/>
    <w:rsid w:val="009D4E39"/>
    <w:rsid w:val="009E15B1"/>
    <w:rsid w:val="009E3B8A"/>
    <w:rsid w:val="00A103D7"/>
    <w:rsid w:val="00A178B5"/>
    <w:rsid w:val="00A276E1"/>
    <w:rsid w:val="00A45B1A"/>
    <w:rsid w:val="00A60ED9"/>
    <w:rsid w:val="00A903D5"/>
    <w:rsid w:val="00A94941"/>
    <w:rsid w:val="00A97656"/>
    <w:rsid w:val="00AB0355"/>
    <w:rsid w:val="00AB68D0"/>
    <w:rsid w:val="00B04F97"/>
    <w:rsid w:val="00B118B6"/>
    <w:rsid w:val="00B16EA2"/>
    <w:rsid w:val="00B23210"/>
    <w:rsid w:val="00B242D9"/>
    <w:rsid w:val="00B42846"/>
    <w:rsid w:val="00B53B7E"/>
    <w:rsid w:val="00B660D5"/>
    <w:rsid w:val="00B71F05"/>
    <w:rsid w:val="00B73E27"/>
    <w:rsid w:val="00BB13F2"/>
    <w:rsid w:val="00BB16FF"/>
    <w:rsid w:val="00BC1E93"/>
    <w:rsid w:val="00BD00C9"/>
    <w:rsid w:val="00BD4C9A"/>
    <w:rsid w:val="00BE156D"/>
    <w:rsid w:val="00BE2884"/>
    <w:rsid w:val="00BF29D9"/>
    <w:rsid w:val="00C02C13"/>
    <w:rsid w:val="00C2123A"/>
    <w:rsid w:val="00C21873"/>
    <w:rsid w:val="00C3093F"/>
    <w:rsid w:val="00C416A7"/>
    <w:rsid w:val="00C44519"/>
    <w:rsid w:val="00C4493D"/>
    <w:rsid w:val="00C531F3"/>
    <w:rsid w:val="00C54AB6"/>
    <w:rsid w:val="00C77DC2"/>
    <w:rsid w:val="00C93405"/>
    <w:rsid w:val="00CA17AE"/>
    <w:rsid w:val="00CB059D"/>
    <w:rsid w:val="00CD70D6"/>
    <w:rsid w:val="00CD71CB"/>
    <w:rsid w:val="00D10DB4"/>
    <w:rsid w:val="00D26C0E"/>
    <w:rsid w:val="00D306EC"/>
    <w:rsid w:val="00D376A4"/>
    <w:rsid w:val="00D76C64"/>
    <w:rsid w:val="00D77485"/>
    <w:rsid w:val="00D82A06"/>
    <w:rsid w:val="00D92CAE"/>
    <w:rsid w:val="00DA2E47"/>
    <w:rsid w:val="00DB3FB4"/>
    <w:rsid w:val="00DB491B"/>
    <w:rsid w:val="00DD67F1"/>
    <w:rsid w:val="00DE2AEC"/>
    <w:rsid w:val="00E00126"/>
    <w:rsid w:val="00E00F6C"/>
    <w:rsid w:val="00E02B07"/>
    <w:rsid w:val="00E04BAD"/>
    <w:rsid w:val="00E11A60"/>
    <w:rsid w:val="00E425FD"/>
    <w:rsid w:val="00E47C7F"/>
    <w:rsid w:val="00E652C1"/>
    <w:rsid w:val="00E6536E"/>
    <w:rsid w:val="00E65B8A"/>
    <w:rsid w:val="00E71894"/>
    <w:rsid w:val="00E772D4"/>
    <w:rsid w:val="00E9314B"/>
    <w:rsid w:val="00EA57EC"/>
    <w:rsid w:val="00EA72A8"/>
    <w:rsid w:val="00EB02C9"/>
    <w:rsid w:val="00EB13B4"/>
    <w:rsid w:val="00EB5CFE"/>
    <w:rsid w:val="00EC7B2A"/>
    <w:rsid w:val="00ED46BD"/>
    <w:rsid w:val="00ED6A5F"/>
    <w:rsid w:val="00EE4E41"/>
    <w:rsid w:val="00EE5A85"/>
    <w:rsid w:val="00EF47B1"/>
    <w:rsid w:val="00EF4C40"/>
    <w:rsid w:val="00EF5BE2"/>
    <w:rsid w:val="00F063E1"/>
    <w:rsid w:val="00F159B4"/>
    <w:rsid w:val="00F16AD3"/>
    <w:rsid w:val="00F33024"/>
    <w:rsid w:val="00F35102"/>
    <w:rsid w:val="00F35EB9"/>
    <w:rsid w:val="00F429FE"/>
    <w:rsid w:val="00F753C0"/>
    <w:rsid w:val="00F83A12"/>
    <w:rsid w:val="00F94DD5"/>
    <w:rsid w:val="00F9653C"/>
    <w:rsid w:val="00FA3585"/>
    <w:rsid w:val="00FC1865"/>
    <w:rsid w:val="00FC7194"/>
    <w:rsid w:val="00FD1B04"/>
    <w:rsid w:val="00FE7BFF"/>
    <w:rsid w:val="00FF7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D2527"/>
  <w15:chartTrackingRefBased/>
  <w15:docId w15:val="{D3B3BAE6-9418-486C-8546-9223DA383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413E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3E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13E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3E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3E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3E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3E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3E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3E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E73"/>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413E73"/>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rsid w:val="00413E73"/>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413E73"/>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413E73"/>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413E7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13E7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13E7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13E7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413E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E7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413E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3E7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13E73"/>
    <w:pPr>
      <w:spacing w:before="160"/>
      <w:jc w:val="center"/>
    </w:pPr>
    <w:rPr>
      <w:i/>
      <w:iCs/>
      <w:color w:val="404040" w:themeColor="text1" w:themeTint="BF"/>
    </w:rPr>
  </w:style>
  <w:style w:type="character" w:customStyle="1" w:styleId="QuoteChar">
    <w:name w:val="Quote Char"/>
    <w:basedOn w:val="DefaultParagraphFont"/>
    <w:link w:val="Quote"/>
    <w:uiPriority w:val="29"/>
    <w:rsid w:val="00413E73"/>
    <w:rPr>
      <w:i/>
      <w:iCs/>
      <w:color w:val="404040" w:themeColor="text1" w:themeTint="BF"/>
      <w:lang w:val="en-GB"/>
    </w:rPr>
  </w:style>
  <w:style w:type="paragraph" w:styleId="ListParagraph">
    <w:name w:val="List Paragraph"/>
    <w:basedOn w:val="Normal"/>
    <w:uiPriority w:val="34"/>
    <w:qFormat/>
    <w:rsid w:val="00413E73"/>
    <w:pPr>
      <w:ind w:left="720"/>
      <w:contextualSpacing/>
    </w:pPr>
  </w:style>
  <w:style w:type="character" w:styleId="IntenseEmphasis">
    <w:name w:val="Intense Emphasis"/>
    <w:basedOn w:val="DefaultParagraphFont"/>
    <w:uiPriority w:val="21"/>
    <w:qFormat/>
    <w:rsid w:val="00413E73"/>
    <w:rPr>
      <w:i/>
      <w:iCs/>
      <w:color w:val="2F5496" w:themeColor="accent1" w:themeShade="BF"/>
    </w:rPr>
  </w:style>
  <w:style w:type="paragraph" w:styleId="IntenseQuote">
    <w:name w:val="Intense Quote"/>
    <w:basedOn w:val="Normal"/>
    <w:next w:val="Normal"/>
    <w:link w:val="IntenseQuoteChar"/>
    <w:uiPriority w:val="30"/>
    <w:qFormat/>
    <w:rsid w:val="00413E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3E73"/>
    <w:rPr>
      <w:i/>
      <w:iCs/>
      <w:color w:val="2F5496" w:themeColor="accent1" w:themeShade="BF"/>
      <w:lang w:val="en-GB"/>
    </w:rPr>
  </w:style>
  <w:style w:type="character" w:styleId="IntenseReference">
    <w:name w:val="Intense Reference"/>
    <w:basedOn w:val="DefaultParagraphFont"/>
    <w:uiPriority w:val="32"/>
    <w:qFormat/>
    <w:rsid w:val="00413E73"/>
    <w:rPr>
      <w:b/>
      <w:bCs/>
      <w:smallCaps/>
      <w:color w:val="2F5496" w:themeColor="accent1" w:themeShade="BF"/>
      <w:spacing w:val="5"/>
    </w:rPr>
  </w:style>
  <w:style w:type="character" w:styleId="Hyperlink">
    <w:name w:val="Hyperlink"/>
    <w:basedOn w:val="DefaultParagraphFont"/>
    <w:uiPriority w:val="99"/>
    <w:unhideWhenUsed/>
    <w:rsid w:val="00413E73"/>
    <w:rPr>
      <w:color w:val="0563C1" w:themeColor="hyperlink"/>
      <w:u w:val="single"/>
    </w:rPr>
  </w:style>
  <w:style w:type="character" w:styleId="UnresolvedMention">
    <w:name w:val="Unresolved Mention"/>
    <w:basedOn w:val="DefaultParagraphFont"/>
    <w:uiPriority w:val="99"/>
    <w:semiHidden/>
    <w:unhideWhenUsed/>
    <w:rsid w:val="00413E73"/>
    <w:rPr>
      <w:color w:val="605E5C"/>
      <w:shd w:val="clear" w:color="auto" w:fill="E1DFDD"/>
    </w:rPr>
  </w:style>
  <w:style w:type="table" w:styleId="TableGrid">
    <w:name w:val="Table Grid"/>
    <w:basedOn w:val="TableNormal"/>
    <w:uiPriority w:val="39"/>
    <w:rsid w:val="001A2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4D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DD5"/>
    <w:rPr>
      <w:lang w:val="en-GB"/>
    </w:rPr>
  </w:style>
  <w:style w:type="paragraph" w:styleId="Footer">
    <w:name w:val="footer"/>
    <w:basedOn w:val="Normal"/>
    <w:link w:val="FooterChar"/>
    <w:uiPriority w:val="99"/>
    <w:unhideWhenUsed/>
    <w:rsid w:val="00F94D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DD5"/>
    <w:rPr>
      <w:lang w:val="en-GB"/>
    </w:rPr>
  </w:style>
  <w:style w:type="character" w:styleId="FollowedHyperlink">
    <w:name w:val="FollowedHyperlink"/>
    <w:basedOn w:val="DefaultParagraphFont"/>
    <w:uiPriority w:val="99"/>
    <w:semiHidden/>
    <w:unhideWhenUsed/>
    <w:rsid w:val="001653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url?sa=E&amp;q=https%3A%2F%2Fdoi.org%2F10.1016%2Fj.jsis.2026.101975" TargetMode="External"/><Relationship Id="rId18" Type="http://schemas.openxmlformats.org/officeDocument/2006/relationships/hyperlink" Target="https://www.google.com/url?sa=E&amp;q=https%3A%2F%2Fdoi.org%2F10.1186%2Fs41239-024-00491-0" TargetMode="External"/><Relationship Id="rId26" Type="http://schemas.openxmlformats.org/officeDocument/2006/relationships/hyperlink" Target="https://www.google.com/url?sa=E&amp;q=https%3A%2F%2Fdoi.org%2F10.3390%2Fsu16209053" TargetMode="External"/><Relationship Id="rId39" Type="http://schemas.openxmlformats.org/officeDocument/2006/relationships/hyperlink" Target="https://www.google.com/url?sa=E&amp;q=https%3A%2F%2Fdoi.org%2F10.1177%2F87569728251362760" TargetMode="External"/><Relationship Id="rId21" Type="http://schemas.openxmlformats.org/officeDocument/2006/relationships/hyperlink" Target="https://www.google.com/url?sa=E&amp;q=https%3A%2F%2Fdoi.org%2F10.3390%2Fsu151712897" TargetMode="External"/><Relationship Id="rId34" Type="http://schemas.openxmlformats.org/officeDocument/2006/relationships/hyperlink" Target="https://doi.org/10.2196/81416" TargetMode="External"/><Relationship Id="rId42" Type="http://schemas.openxmlformats.org/officeDocument/2006/relationships/hyperlink" Target="https://www.google.com/url?sa=E&amp;q=https%3A%2F%2Fdoi.org%2F10.1016%2Fj.jbusres.2023.113973" TargetMode="External"/><Relationship Id="rId47" Type="http://schemas.openxmlformats.org/officeDocument/2006/relationships/hyperlink" Target="https://www.google.com/url?sa=E&amp;q=https%3A%2F%2Fdoi.org%2F10.2196%2F41615" TargetMode="External"/><Relationship Id="rId50" Type="http://schemas.openxmlformats.org/officeDocument/2006/relationships/hyperlink" Target="https://www.google.com/url?sa=E&amp;q=https%3A%2F%2Fdoi.org%2F10.1016%2Fj.jik.2024.100644" TargetMode="External"/><Relationship Id="rId55" Type="http://schemas.openxmlformats.org/officeDocument/2006/relationships/hyperlink" Target="https://www.google.com/url?sa=E&amp;q=https%3A%2F%2Fdoi.org%2F10.1504%2FIJBSR.2025.149072" TargetMode="External"/><Relationship Id="rId7" Type="http://schemas.openxmlformats.org/officeDocument/2006/relationships/hyperlink" Target="https://doi.org/10.47772/IJRISS.2026.XXXXXXXX" TargetMode="External"/><Relationship Id="rId2" Type="http://schemas.openxmlformats.org/officeDocument/2006/relationships/styles" Target="styles.xml"/><Relationship Id="rId16" Type="http://schemas.openxmlformats.org/officeDocument/2006/relationships/hyperlink" Target="https://www.google.com/url?sa=E&amp;q=https%3A%2F%2Fdoi.org%2F10.1504%2FWRITR.2025.151049" TargetMode="External"/><Relationship Id="rId29" Type="http://schemas.openxmlformats.org/officeDocument/2006/relationships/hyperlink" Target="https://www.google.com/url?sa=E&amp;q=https%3A%2F%2Fdoi.org%2F10.2478%2Feoik-2025-0018" TargetMode="External"/><Relationship Id="rId11" Type="http://schemas.openxmlformats.org/officeDocument/2006/relationships/hyperlink" Target="https://www.google.com/url?sa=E&amp;q=https%3A%2F%2Fdoi.org%2F10.1080%2F13603108.2021.1978578" TargetMode="External"/><Relationship Id="rId24" Type="http://schemas.openxmlformats.org/officeDocument/2006/relationships/hyperlink" Target="https://www.google.com/url?sa=E&amp;q=https%3A%2F%2Fdoi.org%2F10.3390%2Fsu142315696" TargetMode="External"/><Relationship Id="rId32" Type="http://schemas.openxmlformats.org/officeDocument/2006/relationships/hyperlink" Target="https://www.google.com/url?sa=E&amp;q=https%3A%2F%2Fdoi.org%2F10.34105%2Fj.kmel.2023.15.016" TargetMode="External"/><Relationship Id="rId37" Type="http://schemas.openxmlformats.org/officeDocument/2006/relationships/hyperlink" Target="https://www.google.com/url?sa=E&amp;q=https%3A%2F%2Fdoi.org%2F10.1007%2Fs44217-025-00894-9" TargetMode="External"/><Relationship Id="rId40" Type="http://schemas.openxmlformats.org/officeDocument/2006/relationships/hyperlink" Target="https://www.google.com/url?sa=E&amp;q=https%3A%2F%2Fdoi.org%2F10.1155%2Fadph%2F4055012" TargetMode="External"/><Relationship Id="rId45" Type="http://schemas.openxmlformats.org/officeDocument/2006/relationships/hyperlink" Target="https://www.google.com/url?sa=E&amp;q=https%3A%2F%2Fdoi.org%2F10.1109%2FICIET56899.2023.10111345" TargetMode="External"/><Relationship Id="rId53" Type="http://schemas.openxmlformats.org/officeDocument/2006/relationships/hyperlink" Target="https://www.google.com/url?sa=E&amp;q=https%3A%2F%2Fdoi.org%2F10.3389%2Ffpsyg.2021.620766" TargetMode="External"/><Relationship Id="rId58" Type="http://schemas.openxmlformats.org/officeDocument/2006/relationships/hyperlink" Target="https://www.google.com/url?sa=E&amp;q=https%3A%2F%2Fdoi.org%2F10.1016%2Fj.jbusres.2025.115696" TargetMode="Externa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www.google.com/url?sa=E&amp;q=https%3A%2F%2Fdoi.org%2F10.1016%2Fj.jbusres.2024.114637" TargetMode="External"/><Relationship Id="rId14" Type="http://schemas.openxmlformats.org/officeDocument/2006/relationships/hyperlink" Target="https://www.google.com/url?sa=E&amp;q=https%3A%2F%2Fdoi.org%2F10.1504%2FIJBG.2025.149031" TargetMode="External"/><Relationship Id="rId22" Type="http://schemas.openxmlformats.org/officeDocument/2006/relationships/hyperlink" Target="https://www.google.com/url?sa=E&amp;q=https%3A%2F%2Fdoi.org%2F10.1007%2Fs10758-025-09844-8" TargetMode="External"/><Relationship Id="rId27" Type="http://schemas.openxmlformats.org/officeDocument/2006/relationships/hyperlink" Target="https://www.google.com/url?sa=E&amp;q=https%3A%2F%2Fdoi.org%2F10.1108%2FICT-07-2024-0062" TargetMode="External"/><Relationship Id="rId30" Type="http://schemas.openxmlformats.org/officeDocument/2006/relationships/hyperlink" Target="https://www.google.com/url?sa=E&amp;q=https%3A%2F%2Fdoi.org%2F10.1108%2FBIJ-02-2023-0108" TargetMode="External"/><Relationship Id="rId35" Type="http://schemas.openxmlformats.org/officeDocument/2006/relationships/hyperlink" Target="https://doi.org/10.1177/1094428114548590" TargetMode="External"/><Relationship Id="rId43" Type="http://schemas.openxmlformats.org/officeDocument/2006/relationships/hyperlink" Target="https://doi.org/10.1146/annurev-orgpsych-110721-040030" TargetMode="External"/><Relationship Id="rId48" Type="http://schemas.openxmlformats.org/officeDocument/2006/relationships/hyperlink" Target="https://www.google.com/url?sa=E&amp;q=https%3A%2F%2Fdoi.org%2F10.1016%2Fj.bushor.2024.04.004" TargetMode="External"/><Relationship Id="rId56" Type="http://schemas.openxmlformats.org/officeDocument/2006/relationships/hyperlink" Target="https://www.google.com/url?sa=E&amp;q=https%3A%2F%2Fdoi.org%2F10.1016%2Fj.techfore.2025.124405" TargetMode="External"/><Relationship Id="rId8" Type="http://schemas.openxmlformats.org/officeDocument/2006/relationships/image" Target="media/image1.png"/><Relationship Id="rId51" Type="http://schemas.openxmlformats.org/officeDocument/2006/relationships/hyperlink" Target="https://www.google.com/url?sa=E&amp;q=https%3A%2F%2Fdoi.org%2F10.3390%2Fsu17209184" TargetMode="External"/><Relationship Id="rId3" Type="http://schemas.openxmlformats.org/officeDocument/2006/relationships/settings" Target="settings.xml"/><Relationship Id="rId12" Type="http://schemas.openxmlformats.org/officeDocument/2006/relationships/hyperlink" Target="https://www.google.com/url?sa=E&amp;q=https%3A%2F%2Fdoi.org%2F10.12688%2Ff1000research.146991.2" TargetMode="External"/><Relationship Id="rId17" Type="http://schemas.openxmlformats.org/officeDocument/2006/relationships/hyperlink" Target="https://www.google.com/url?sa=E&amp;q=https%3A%2F%2Fdoi.org%2F10.1108%2FACI-03-2022-0069" TargetMode="External"/><Relationship Id="rId25" Type="http://schemas.openxmlformats.org/officeDocument/2006/relationships/hyperlink" Target="https://www.google.com/url?sa=E&amp;q=https%3A%2F%2Fdoi.org%2F10.1016%2Fj.chbr.2023.100314" TargetMode="External"/><Relationship Id="rId33" Type="http://schemas.openxmlformats.org/officeDocument/2006/relationships/hyperlink" Target="https://www.google.com/url?sa=E&amp;q=https%3A%2F%2Fdoi.org%2F10.3390%2Fsu17229927" TargetMode="External"/><Relationship Id="rId38" Type="http://schemas.openxmlformats.org/officeDocument/2006/relationships/hyperlink" Target="https://www.google.com/url?sa=E&amp;q=https%3A%2F%2Fdoi.org%2F10.3390%2Fsu142214897" TargetMode="External"/><Relationship Id="rId46" Type="http://schemas.openxmlformats.org/officeDocument/2006/relationships/hyperlink" Target="https://doi.org/10.1007/s10614-024-10575-8" TargetMode="External"/><Relationship Id="rId59" Type="http://schemas.openxmlformats.org/officeDocument/2006/relationships/hyperlink" Target="https://www.google.com/url?sa=E&amp;q=https%3A%2F%2Fdoi.org%2F10.1177%2F21582440251378827" TargetMode="External"/><Relationship Id="rId20" Type="http://schemas.openxmlformats.org/officeDocument/2006/relationships/hyperlink" Target="https://doi.org/10.1007/s12116-020-09313-6" TargetMode="External"/><Relationship Id="rId41" Type="http://schemas.openxmlformats.org/officeDocument/2006/relationships/hyperlink" Target="https://www.google.com/url?sa=E&amp;q=https%3A%2F%2Fdoi.org%2F10.14329%2Fapjis.2025.35.4.896" TargetMode="External"/><Relationship Id="rId54" Type="http://schemas.openxmlformats.org/officeDocument/2006/relationships/hyperlink" Target="https://www.google.com/url?sa=E&amp;q=https%3A%2F%2Fdoi.org%2F10.29007%2Fds3v"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ogle.com/url?sa=E&amp;q=https%3A%2F%2Fdoi.org%2F10.3390%2Fsu16093749" TargetMode="External"/><Relationship Id="rId23" Type="http://schemas.openxmlformats.org/officeDocument/2006/relationships/hyperlink" Target="https://www.google.com/url?sa=E&amp;q=https%3A%2F%2Fdoi.org%2F10.1007%2F978-3-030-80519-7" TargetMode="External"/><Relationship Id="rId28" Type="http://schemas.openxmlformats.org/officeDocument/2006/relationships/hyperlink" Target="https://www.google.com/url?sa=E&amp;q=https%3A%2F%2Fdoi.org%2F10.1016%2Fj.chb.2023.107709" TargetMode="External"/><Relationship Id="rId36" Type="http://schemas.openxmlformats.org/officeDocument/2006/relationships/hyperlink" Target="https://www.google.com/url?sa=E&amp;q=https%3A%2F%2Fdoi.org%2F10.1016%2Fj.procs.2025.09.554" TargetMode="External"/><Relationship Id="rId49" Type="http://schemas.openxmlformats.org/officeDocument/2006/relationships/hyperlink" Target="https://www.google.com/url?sa=E&amp;q=https%3A%2F%2Fdoi.org%2F10.22034%2Fkps.2023.392615.1121" TargetMode="External"/><Relationship Id="rId57" Type="http://schemas.openxmlformats.org/officeDocument/2006/relationships/hyperlink" Target="https://www.google.com/url?sa=E&amp;q=https%3A%2F%2Fdoi.org%2F10.3389%2Ffpubh.2025.1626603" TargetMode="External"/><Relationship Id="rId10" Type="http://schemas.openxmlformats.org/officeDocument/2006/relationships/hyperlink" Target="https://www.google.com/url?sa=E&amp;q=https%3A%2F%2Fdoi.org%2F10.1080%2F14767724.2025.2520952" TargetMode="External"/><Relationship Id="rId31" Type="http://schemas.openxmlformats.org/officeDocument/2006/relationships/hyperlink" Target="https://www.google.com/url?sa=E&amp;q=https%3A%2F%2Fdoi.org%2F10.1016%2FB978-0-08-097086-8.25009-5" TargetMode="External"/><Relationship Id="rId44" Type="http://schemas.openxmlformats.org/officeDocument/2006/relationships/hyperlink" Target="https://www.google.com/url?sa=E&amp;q=https%3A%2F%2Fdoi.org%2F10.1017%2Fjie.2017.37" TargetMode="External"/><Relationship Id="rId52" Type="http://schemas.openxmlformats.org/officeDocument/2006/relationships/hyperlink" Target="https://www.google.com/url?sa=E&amp;q=https%3A%2F%2Fdoi.org%2F10.21511%2Fppm.21(4).2023.18"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ogle.com/url?sa=E&amp;q=https%3A%2F%2Fdoi.org%2F10.4018%2FJGIM.3452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8247</Words>
  <Characters>47009</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 Salisu</dc:creator>
  <cp:keywords/>
  <dc:description/>
  <cp:lastModifiedBy>Bala Salisu</cp:lastModifiedBy>
  <cp:revision>3</cp:revision>
  <cp:lastPrinted>2026-06-15T04:30:00Z</cp:lastPrinted>
  <dcterms:created xsi:type="dcterms:W3CDTF">2026-06-20T18:14:00Z</dcterms:created>
  <dcterms:modified xsi:type="dcterms:W3CDTF">2026-06-20T18:14:00Z</dcterms:modified>
</cp:coreProperties>
</file>