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83CF8" w14:textId="77777777" w:rsidR="005A5970" w:rsidRPr="005A5970" w:rsidRDefault="005A5970" w:rsidP="005A5970">
      <w:pPr>
        <w:spacing w:after="0" w:line="240" w:lineRule="auto"/>
        <w:jc w:val="center"/>
        <w:rPr>
          <w:rFonts w:ascii="Times New Roman" w:hAnsi="Times New Roman" w:cs="Times New Roman"/>
          <w:b/>
          <w:bCs/>
          <w:sz w:val="28"/>
          <w:szCs w:val="28"/>
        </w:rPr>
      </w:pPr>
      <w:r w:rsidRPr="005A5970">
        <w:rPr>
          <w:rFonts w:ascii="Times New Roman" w:hAnsi="Times New Roman" w:cs="Times New Roman"/>
          <w:b/>
          <w:bCs/>
          <w:sz w:val="28"/>
          <w:szCs w:val="28"/>
        </w:rPr>
        <w:t xml:space="preserve">Mahatma Gandhi National Rural Employment Guarantee Act 2005: </w:t>
      </w:r>
    </w:p>
    <w:p w14:paraId="7A5B03F8" w14:textId="599C2C66" w:rsidR="005A5970" w:rsidRDefault="002E1015" w:rsidP="005A597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 </w:t>
      </w:r>
      <w:r w:rsidR="005A5970" w:rsidRPr="005A5970">
        <w:rPr>
          <w:rFonts w:ascii="Times New Roman" w:hAnsi="Times New Roman" w:cs="Times New Roman"/>
          <w:b/>
          <w:bCs/>
          <w:sz w:val="28"/>
          <w:szCs w:val="28"/>
        </w:rPr>
        <w:t>Brief Review</w:t>
      </w:r>
    </w:p>
    <w:p w14:paraId="17C4F02E" w14:textId="776B8F9A" w:rsidR="005A5970" w:rsidRPr="005A5970" w:rsidRDefault="005A5970" w:rsidP="005A5970">
      <w:pPr>
        <w:spacing w:after="0" w:line="240" w:lineRule="auto"/>
        <w:jc w:val="center"/>
        <w:rPr>
          <w:rFonts w:ascii="Times New Roman" w:hAnsi="Times New Roman" w:cs="Times New Roman"/>
          <w:b/>
          <w:bCs/>
          <w:sz w:val="24"/>
          <w:szCs w:val="24"/>
        </w:rPr>
      </w:pPr>
      <w:r w:rsidRPr="005A5970">
        <w:rPr>
          <w:rFonts w:ascii="Times New Roman" w:hAnsi="Times New Roman" w:cs="Times New Roman"/>
          <w:b/>
          <w:bCs/>
          <w:sz w:val="24"/>
          <w:szCs w:val="24"/>
        </w:rPr>
        <w:t xml:space="preserve">                                                                  Dr. D. Tata Rao*</w:t>
      </w:r>
    </w:p>
    <w:p w14:paraId="25CEC72D" w14:textId="51C0F552" w:rsidR="005A5970" w:rsidRPr="005A5970" w:rsidRDefault="005A5970" w:rsidP="005A5970">
      <w:pPr>
        <w:spacing w:after="0" w:line="240" w:lineRule="auto"/>
        <w:jc w:val="center"/>
        <w:rPr>
          <w:rFonts w:ascii="Times New Roman" w:hAnsi="Times New Roman" w:cs="Times New Roman"/>
          <w:b/>
          <w:bCs/>
          <w:sz w:val="24"/>
          <w:szCs w:val="24"/>
        </w:rPr>
      </w:pPr>
      <w:r w:rsidRPr="005A597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A5970">
        <w:rPr>
          <w:rFonts w:ascii="Times New Roman" w:hAnsi="Times New Roman" w:cs="Times New Roman"/>
          <w:b/>
          <w:bCs/>
          <w:sz w:val="24"/>
          <w:szCs w:val="24"/>
        </w:rPr>
        <w:t xml:space="preserve">      Dr. B. Muralidhara Rao**</w:t>
      </w:r>
    </w:p>
    <w:p w14:paraId="3391694C" w14:textId="77777777" w:rsidR="005A5970" w:rsidRDefault="005A5970" w:rsidP="005A5970">
      <w:pPr>
        <w:spacing w:after="0" w:line="240" w:lineRule="auto"/>
        <w:jc w:val="center"/>
        <w:rPr>
          <w:rFonts w:ascii="Times New Roman" w:hAnsi="Times New Roman" w:cs="Times New Roman"/>
          <w:b/>
          <w:bCs/>
          <w:sz w:val="28"/>
          <w:szCs w:val="28"/>
        </w:rPr>
      </w:pPr>
    </w:p>
    <w:p w14:paraId="39D03147" w14:textId="77777777" w:rsidR="005A5970" w:rsidRPr="005A5970" w:rsidRDefault="005A5970" w:rsidP="005A5970">
      <w:pPr>
        <w:spacing w:after="0" w:line="240" w:lineRule="auto"/>
        <w:jc w:val="center"/>
        <w:rPr>
          <w:rFonts w:ascii="Times New Roman" w:hAnsi="Times New Roman" w:cs="Times New Roman"/>
          <w:b/>
          <w:bCs/>
          <w:sz w:val="28"/>
          <w:szCs w:val="28"/>
        </w:rPr>
      </w:pPr>
    </w:p>
    <w:p w14:paraId="009DC15C" w14:textId="77777777" w:rsidR="003C6036" w:rsidRPr="003C6036" w:rsidRDefault="003C6036" w:rsidP="003C6036">
      <w:pPr>
        <w:spacing w:line="360" w:lineRule="auto"/>
        <w:rPr>
          <w:rFonts w:ascii="Times New Roman" w:hAnsi="Times New Roman" w:cs="Times New Roman"/>
          <w:b/>
          <w:bCs/>
          <w:sz w:val="24"/>
          <w:szCs w:val="24"/>
        </w:rPr>
      </w:pPr>
      <w:r w:rsidRPr="003C6036">
        <w:rPr>
          <w:rFonts w:ascii="Times New Roman" w:hAnsi="Times New Roman" w:cs="Times New Roman"/>
          <w:b/>
          <w:bCs/>
          <w:sz w:val="24"/>
          <w:szCs w:val="24"/>
        </w:rPr>
        <w:t>Abstract</w:t>
      </w:r>
    </w:p>
    <w:p w14:paraId="4929E046" w14:textId="16173B00" w:rsidR="001F3A9C" w:rsidRDefault="006765A7" w:rsidP="001F3A9C">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3C6036" w:rsidRPr="003C6036">
        <w:rPr>
          <w:rFonts w:ascii="Times New Roman" w:hAnsi="Times New Roman" w:cs="Times New Roman"/>
          <w:sz w:val="24"/>
          <w:szCs w:val="24"/>
        </w:rPr>
        <w:t xml:space="preserve">he Mahatma Gandhi National Rural Employment Guarantee </w:t>
      </w:r>
      <w:r>
        <w:rPr>
          <w:rFonts w:ascii="Times New Roman" w:hAnsi="Times New Roman" w:cs="Times New Roman"/>
          <w:sz w:val="24"/>
          <w:szCs w:val="24"/>
        </w:rPr>
        <w:t>Act, 2005</w:t>
      </w:r>
      <w:r w:rsidR="003C6036" w:rsidRPr="003C6036">
        <w:rPr>
          <w:rFonts w:ascii="Times New Roman" w:hAnsi="Times New Roman" w:cs="Times New Roman"/>
          <w:sz w:val="24"/>
          <w:szCs w:val="24"/>
        </w:rPr>
        <w:t xml:space="preserve"> (MGNREG</w:t>
      </w:r>
      <w:r>
        <w:rPr>
          <w:rFonts w:ascii="Times New Roman" w:hAnsi="Times New Roman" w:cs="Times New Roman"/>
          <w:sz w:val="24"/>
          <w:szCs w:val="24"/>
        </w:rPr>
        <w:t>A</w:t>
      </w:r>
      <w:r w:rsidR="003C6036" w:rsidRPr="003C6036">
        <w:rPr>
          <w:rFonts w:ascii="Times New Roman" w:hAnsi="Times New Roman" w:cs="Times New Roman"/>
          <w:sz w:val="24"/>
          <w:szCs w:val="24"/>
        </w:rPr>
        <w:t xml:space="preserve">) is considered to be a game changer for rural India. Assessing the first </w:t>
      </w:r>
      <w:r w:rsidR="001F3A9C">
        <w:rPr>
          <w:rFonts w:ascii="Times New Roman" w:hAnsi="Times New Roman" w:cs="Times New Roman"/>
          <w:sz w:val="24"/>
          <w:szCs w:val="24"/>
        </w:rPr>
        <w:t>20</w:t>
      </w:r>
      <w:r w:rsidR="003C6036" w:rsidRPr="003C6036">
        <w:rPr>
          <w:rFonts w:ascii="Times New Roman" w:hAnsi="Times New Roman" w:cs="Times New Roman"/>
          <w:sz w:val="24"/>
          <w:szCs w:val="24"/>
        </w:rPr>
        <w:t xml:space="preserve"> years of its implementation, this </w:t>
      </w:r>
      <w:r w:rsidR="001F3A9C">
        <w:rPr>
          <w:rFonts w:ascii="Times New Roman" w:hAnsi="Times New Roman" w:cs="Times New Roman"/>
          <w:sz w:val="24"/>
          <w:szCs w:val="24"/>
        </w:rPr>
        <w:t>study</w:t>
      </w:r>
      <w:r w:rsidR="003C6036" w:rsidRPr="003C6036">
        <w:rPr>
          <w:rFonts w:ascii="Times New Roman" w:hAnsi="Times New Roman" w:cs="Times New Roman"/>
          <w:sz w:val="24"/>
          <w:szCs w:val="24"/>
        </w:rPr>
        <w:t xml:space="preserve"> mainly </w:t>
      </w:r>
      <w:r w:rsidR="001F3A9C">
        <w:rPr>
          <w:rFonts w:ascii="Times New Roman" w:hAnsi="Times New Roman" w:cs="Times New Roman"/>
          <w:sz w:val="24"/>
          <w:szCs w:val="24"/>
        </w:rPr>
        <w:t>focus</w:t>
      </w:r>
      <w:r w:rsidR="003C6036" w:rsidRPr="003C6036">
        <w:rPr>
          <w:rFonts w:ascii="Times New Roman" w:hAnsi="Times New Roman" w:cs="Times New Roman"/>
          <w:sz w:val="24"/>
          <w:szCs w:val="24"/>
        </w:rPr>
        <w:t xml:space="preserve"> on its performance in various Indian states and then seeks to explain why some indicators may look less successful in different states. Many factors contribute to variations in MGNREGS performance, but what effects were observed in economically backward states to protect impoverished rural Indians from sinking into distress scenarios? Based on the official </w:t>
      </w:r>
      <w:r w:rsidR="001F3A9C">
        <w:rPr>
          <w:rFonts w:ascii="Times New Roman" w:hAnsi="Times New Roman" w:cs="Times New Roman"/>
          <w:sz w:val="24"/>
          <w:szCs w:val="24"/>
        </w:rPr>
        <w:t>data</w:t>
      </w:r>
      <w:r w:rsidR="001F3A9C" w:rsidRPr="004224BA">
        <w:rPr>
          <w:rFonts w:ascii="Times New Roman" w:hAnsi="Times New Roman" w:cs="Times New Roman"/>
          <w:sz w:val="24"/>
          <w:szCs w:val="24"/>
        </w:rPr>
        <w:t xml:space="preserve"> related to MGNREGS performance and the differences among the states, given the vast costs involved. What are the contributing factors for success or failure? Specifically, did MGNREGS perform satisfactorily in economically backward states? In light of such questions, this article, rather than engaging in debate over the various divisions of opinion, lets the figures speak for themselves. It collates the relevant statistics in user-friendly form and the concluding analysis then briefly analyses particularly the inter-state differences in the MGNREGS performance for the period of 2006–</w:t>
      </w:r>
      <w:r w:rsidR="001F3A9C">
        <w:rPr>
          <w:rFonts w:ascii="Times New Roman" w:hAnsi="Times New Roman" w:cs="Times New Roman"/>
          <w:sz w:val="24"/>
          <w:szCs w:val="24"/>
        </w:rPr>
        <w:t>24</w:t>
      </w:r>
      <w:r w:rsidR="001F3A9C" w:rsidRPr="004224BA">
        <w:rPr>
          <w:rFonts w:ascii="Times New Roman" w:hAnsi="Times New Roman" w:cs="Times New Roman"/>
          <w:sz w:val="24"/>
          <w:szCs w:val="24"/>
        </w:rPr>
        <w:t>.</w:t>
      </w:r>
    </w:p>
    <w:p w14:paraId="0A6AA196" w14:textId="7C2FD441" w:rsidR="00101BA1" w:rsidRDefault="00101BA1" w:rsidP="001F3A9C">
      <w:pPr>
        <w:spacing w:line="360" w:lineRule="auto"/>
        <w:jc w:val="both"/>
        <w:rPr>
          <w:rFonts w:ascii="Times New Roman" w:hAnsi="Times New Roman" w:cs="Times New Roman"/>
          <w:sz w:val="24"/>
          <w:szCs w:val="24"/>
        </w:rPr>
      </w:pPr>
      <w:r w:rsidRPr="00101BA1">
        <w:rPr>
          <w:rFonts w:ascii="Times New Roman" w:hAnsi="Times New Roman" w:cs="Times New Roman"/>
          <w:b/>
          <w:bCs/>
          <w:sz w:val="24"/>
          <w:szCs w:val="24"/>
        </w:rPr>
        <w:t>Key words:</w:t>
      </w:r>
      <w:r>
        <w:rPr>
          <w:rFonts w:ascii="Times New Roman" w:hAnsi="Times New Roman" w:cs="Times New Roman"/>
          <w:sz w:val="24"/>
          <w:szCs w:val="24"/>
        </w:rPr>
        <w:t xml:space="preserve"> MGNREGA, Rural Employment, Horticulture, Gram Panchayat, Agriculture</w:t>
      </w:r>
    </w:p>
    <w:p w14:paraId="501DFA35" w14:textId="698B3270" w:rsidR="00101BA1" w:rsidRDefault="00101BA1" w:rsidP="001F3A9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4D66EEB8" w14:textId="050F9ECE" w:rsidR="00101BA1" w:rsidRDefault="00101BA1" w:rsidP="001F3A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D. Tata Rao, Assistant Professor &amp; Course Coordinator, Department of Rural Development, Dr. B. R. Ambedkar University, Srikakulam, </w:t>
      </w:r>
      <w:proofErr w:type="spellStart"/>
      <w:r>
        <w:rPr>
          <w:rFonts w:ascii="Times New Roman" w:hAnsi="Times New Roman" w:cs="Times New Roman"/>
          <w:sz w:val="24"/>
          <w:szCs w:val="24"/>
        </w:rPr>
        <w:t>Etcherla</w:t>
      </w:r>
      <w:proofErr w:type="spellEnd"/>
      <w:r>
        <w:rPr>
          <w:rFonts w:ascii="Times New Roman" w:hAnsi="Times New Roman" w:cs="Times New Roman"/>
          <w:sz w:val="24"/>
          <w:szCs w:val="24"/>
        </w:rPr>
        <w:t>, Andhra Pradesh</w:t>
      </w:r>
    </w:p>
    <w:p w14:paraId="3E4BDA0C" w14:textId="08B6DC22" w:rsidR="00101BA1" w:rsidRPr="004224BA" w:rsidRDefault="00101BA1" w:rsidP="00101B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B. Muralidhara Rao, Assistant Professor, Department of Rural Development, Dr. B. R. Ambedkar University, Srikakulam, </w:t>
      </w:r>
      <w:proofErr w:type="spellStart"/>
      <w:r>
        <w:rPr>
          <w:rFonts w:ascii="Times New Roman" w:hAnsi="Times New Roman" w:cs="Times New Roman"/>
          <w:sz w:val="24"/>
          <w:szCs w:val="24"/>
        </w:rPr>
        <w:t>Etcherla</w:t>
      </w:r>
      <w:proofErr w:type="spellEnd"/>
      <w:r>
        <w:rPr>
          <w:rFonts w:ascii="Times New Roman" w:hAnsi="Times New Roman" w:cs="Times New Roman"/>
          <w:sz w:val="24"/>
          <w:szCs w:val="24"/>
        </w:rPr>
        <w:t>, Andhra Pradesh</w:t>
      </w:r>
    </w:p>
    <w:p w14:paraId="74D22E6C" w14:textId="77777777" w:rsidR="00101BA1" w:rsidRPr="004224BA" w:rsidRDefault="00101BA1" w:rsidP="001F3A9C">
      <w:pPr>
        <w:spacing w:line="360" w:lineRule="auto"/>
        <w:jc w:val="both"/>
        <w:rPr>
          <w:rFonts w:ascii="Times New Roman" w:hAnsi="Times New Roman" w:cs="Times New Roman"/>
          <w:sz w:val="24"/>
          <w:szCs w:val="24"/>
        </w:rPr>
      </w:pPr>
    </w:p>
    <w:p w14:paraId="58F4FA0E" w14:textId="77777777" w:rsidR="001F3A9C" w:rsidRPr="003C6036" w:rsidRDefault="001F3A9C" w:rsidP="003C6036">
      <w:pPr>
        <w:spacing w:line="360" w:lineRule="auto"/>
        <w:jc w:val="both"/>
        <w:rPr>
          <w:rFonts w:ascii="Times New Roman" w:hAnsi="Times New Roman" w:cs="Times New Roman"/>
          <w:sz w:val="24"/>
          <w:szCs w:val="24"/>
        </w:rPr>
      </w:pPr>
    </w:p>
    <w:p w14:paraId="3C49C3A8" w14:textId="77777777" w:rsidR="003C6036" w:rsidRDefault="003C6036" w:rsidP="004224BA">
      <w:pPr>
        <w:spacing w:line="360" w:lineRule="auto"/>
        <w:rPr>
          <w:rFonts w:ascii="Times New Roman" w:hAnsi="Times New Roman" w:cs="Times New Roman"/>
          <w:b/>
          <w:bCs/>
          <w:sz w:val="24"/>
          <w:szCs w:val="24"/>
        </w:rPr>
      </w:pPr>
    </w:p>
    <w:p w14:paraId="7017659F" w14:textId="77777777" w:rsidR="0060345A" w:rsidRDefault="0060345A" w:rsidP="004224BA">
      <w:pPr>
        <w:spacing w:line="360" w:lineRule="auto"/>
        <w:rPr>
          <w:rFonts w:ascii="Times New Roman" w:hAnsi="Times New Roman" w:cs="Times New Roman"/>
          <w:b/>
          <w:bCs/>
          <w:sz w:val="24"/>
          <w:szCs w:val="24"/>
        </w:rPr>
      </w:pPr>
    </w:p>
    <w:p w14:paraId="0FD70072" w14:textId="77777777" w:rsidR="0060345A" w:rsidRDefault="0060345A" w:rsidP="004224BA">
      <w:pPr>
        <w:spacing w:line="360" w:lineRule="auto"/>
        <w:rPr>
          <w:rFonts w:ascii="Times New Roman" w:hAnsi="Times New Roman" w:cs="Times New Roman"/>
          <w:b/>
          <w:bCs/>
          <w:sz w:val="24"/>
          <w:szCs w:val="24"/>
        </w:rPr>
      </w:pPr>
    </w:p>
    <w:p w14:paraId="0799A0B4" w14:textId="3EE5DDF9" w:rsidR="004224BA" w:rsidRPr="0060345A" w:rsidRDefault="004224BA" w:rsidP="0060345A">
      <w:pPr>
        <w:pStyle w:val="ListParagraph"/>
        <w:numPr>
          <w:ilvl w:val="0"/>
          <w:numId w:val="4"/>
        </w:numPr>
        <w:spacing w:line="360" w:lineRule="auto"/>
        <w:rPr>
          <w:rFonts w:ascii="Times New Roman" w:hAnsi="Times New Roman" w:cs="Times New Roman"/>
          <w:b/>
          <w:bCs/>
          <w:sz w:val="24"/>
          <w:szCs w:val="24"/>
        </w:rPr>
      </w:pPr>
      <w:r w:rsidRPr="0060345A">
        <w:rPr>
          <w:rFonts w:ascii="Times New Roman" w:hAnsi="Times New Roman" w:cs="Times New Roman"/>
          <w:b/>
          <w:bCs/>
          <w:sz w:val="24"/>
          <w:szCs w:val="24"/>
        </w:rPr>
        <w:lastRenderedPageBreak/>
        <w:t>Introduction</w:t>
      </w:r>
    </w:p>
    <w:p w14:paraId="2BB6BB09" w14:textId="77777777" w:rsidR="004224BA" w:rsidRPr="004224BA" w:rsidRDefault="004224BA" w:rsidP="004224BA">
      <w:pPr>
        <w:spacing w:line="360" w:lineRule="auto"/>
        <w:jc w:val="both"/>
        <w:rPr>
          <w:rFonts w:ascii="Times New Roman" w:hAnsi="Times New Roman" w:cs="Times New Roman"/>
          <w:sz w:val="24"/>
          <w:szCs w:val="24"/>
        </w:rPr>
      </w:pPr>
      <w:r w:rsidRPr="004224BA">
        <w:rPr>
          <w:rFonts w:ascii="Times New Roman" w:hAnsi="Times New Roman" w:cs="Times New Roman"/>
          <w:sz w:val="24"/>
          <w:szCs w:val="24"/>
        </w:rPr>
        <w:t>The highly complex process of economic development has over time given rise to important theories that remain partly relevant to current developments in the twenty-first century. Lewis (</w:t>
      </w:r>
      <w:hyperlink r:id="rId5" w:anchor="bibr21-02627280221085195" w:history="1">
        <w:r w:rsidRPr="004224BA">
          <w:rPr>
            <w:rStyle w:val="Hyperlink"/>
            <w:rFonts w:ascii="Times New Roman" w:hAnsi="Times New Roman" w:cs="Times New Roman"/>
            <w:color w:val="auto"/>
            <w:sz w:val="24"/>
            <w:szCs w:val="24"/>
          </w:rPr>
          <w:t>1954</w:t>
        </w:r>
      </w:hyperlink>
      <w:r w:rsidRPr="004224BA">
        <w:rPr>
          <w:rFonts w:ascii="Times New Roman" w:hAnsi="Times New Roman" w:cs="Times New Roman"/>
          <w:sz w:val="24"/>
          <w:szCs w:val="24"/>
        </w:rPr>
        <w:t>) suggested the possibilities of constant economic transformation by shifting surplus labour from the subsistence sector to the capitalist sector, assuming skilled labour as a quasi-bottleneck. Unemployment would be the direct consequence of this incomplete and insufficient transformation. Todaro (</w:t>
      </w:r>
      <w:hyperlink r:id="rId6" w:anchor="bibr44-02627280221085195" w:history="1">
        <w:r w:rsidRPr="004224BA">
          <w:rPr>
            <w:rStyle w:val="Hyperlink"/>
            <w:rFonts w:ascii="Times New Roman" w:hAnsi="Times New Roman" w:cs="Times New Roman"/>
            <w:color w:val="auto"/>
            <w:sz w:val="24"/>
            <w:szCs w:val="24"/>
          </w:rPr>
          <w:t>1969</w:t>
        </w:r>
      </w:hyperlink>
      <w:r w:rsidRPr="004224BA">
        <w:rPr>
          <w:rFonts w:ascii="Times New Roman" w:hAnsi="Times New Roman" w:cs="Times New Roman"/>
          <w:sz w:val="24"/>
          <w:szCs w:val="24"/>
        </w:rPr>
        <w:t>) theorised how rural workforces would flock into urban areas in the hope of finding employment, which then creates unemployment and slum populations in urban areas. Meanwhile, twentieth-century capitalist systems have evolved into liberal capitalist democracies. The key role of the state now lies in managing political balances of democratisation and equitable distribution of resources with encouraging capitalist development. Continuing problems such as poverty, unemployment and inequalities at massive scales risk creating social unrest (</w:t>
      </w:r>
      <w:hyperlink r:id="rId7" w:anchor="bibr9-02627280221085195" w:history="1">
        <w:r w:rsidRPr="004224BA">
          <w:rPr>
            <w:rStyle w:val="Hyperlink"/>
            <w:rFonts w:ascii="Times New Roman" w:hAnsi="Times New Roman" w:cs="Times New Roman"/>
            <w:color w:val="auto"/>
            <w:sz w:val="24"/>
            <w:szCs w:val="24"/>
          </w:rPr>
          <w:t>Chatterjee, 2008</w:t>
        </w:r>
      </w:hyperlink>
      <w:r w:rsidRPr="004224BA">
        <w:rPr>
          <w:rFonts w:ascii="Times New Roman" w:hAnsi="Times New Roman" w:cs="Times New Roman"/>
          <w:sz w:val="24"/>
          <w:szCs w:val="24"/>
        </w:rPr>
        <w:t>). As rightly pointed out by Karl Polanyi (</w:t>
      </w:r>
      <w:hyperlink r:id="rId8" w:anchor="bibr33-02627280221085195" w:history="1">
        <w:r w:rsidRPr="004224BA">
          <w:rPr>
            <w:rStyle w:val="Hyperlink"/>
            <w:rFonts w:ascii="Times New Roman" w:hAnsi="Times New Roman" w:cs="Times New Roman"/>
            <w:color w:val="auto"/>
            <w:sz w:val="24"/>
            <w:szCs w:val="24"/>
          </w:rPr>
          <w:t>1944</w:t>
        </w:r>
      </w:hyperlink>
      <w:r w:rsidRPr="004224BA">
        <w:rPr>
          <w:rFonts w:ascii="Times New Roman" w:hAnsi="Times New Roman" w:cs="Times New Roman"/>
          <w:sz w:val="24"/>
          <w:szCs w:val="24"/>
        </w:rPr>
        <w:t>), the state’s role is essential in avoiding such social turbulence and managing political balances in society by arranging subsistence for the poor, which he had called a ‘double movement’. This included the emergence of protective legislation for minimum wages, schemes for medical insurance, regulation of the working day and labour conditions, protection against arbitrary dismissal, maternity leave and dearness allowances, which can all be effectively interpreted as parts of this double movement.</w:t>
      </w:r>
    </w:p>
    <w:p w14:paraId="1C32111A" w14:textId="77777777" w:rsidR="004224BA" w:rsidRPr="004224BA" w:rsidRDefault="004224BA" w:rsidP="004224BA">
      <w:pPr>
        <w:spacing w:line="360" w:lineRule="auto"/>
        <w:jc w:val="both"/>
        <w:rPr>
          <w:rFonts w:ascii="Times New Roman" w:hAnsi="Times New Roman" w:cs="Times New Roman"/>
          <w:sz w:val="24"/>
          <w:szCs w:val="24"/>
        </w:rPr>
      </w:pPr>
      <w:r w:rsidRPr="004224BA">
        <w:rPr>
          <w:rFonts w:ascii="Times New Roman" w:hAnsi="Times New Roman" w:cs="Times New Roman"/>
          <w:sz w:val="24"/>
          <w:szCs w:val="24"/>
        </w:rPr>
        <w:t>Postcolonial India’s rural employment guarantee programme can be seen as one of such state interventions in the process of contemporary capitalist development. India’s Mahatma Gandhi National Rural Employment Guarantee Act (MGNREGA) of 2005 and the Mahatma Gandhi National Rural Employment Guarantee Scheme (MGNREGS) operated under it, first introduced in 2006 in 200 most backward districts of India, and then rolled out nationally in 2008, is a very important economic development scheme operated by the government (</w:t>
      </w:r>
      <w:hyperlink r:id="rId9" w:anchor="bibr12-02627280221085195" w:history="1">
        <w:r w:rsidRPr="004224BA">
          <w:rPr>
            <w:rStyle w:val="Hyperlink"/>
            <w:rFonts w:ascii="Times New Roman" w:hAnsi="Times New Roman" w:cs="Times New Roman"/>
            <w:color w:val="auto"/>
            <w:sz w:val="24"/>
            <w:szCs w:val="24"/>
          </w:rPr>
          <w:t>Government of India, 2013a</w:t>
        </w:r>
      </w:hyperlink>
      <w:r w:rsidRPr="004224BA">
        <w:rPr>
          <w:rFonts w:ascii="Times New Roman" w:hAnsi="Times New Roman" w:cs="Times New Roman"/>
          <w:sz w:val="24"/>
          <w:szCs w:val="24"/>
        </w:rPr>
        <w:t>, </w:t>
      </w:r>
      <w:hyperlink r:id="rId10" w:anchor="bibr13-02627280221085195" w:history="1">
        <w:r w:rsidRPr="004224BA">
          <w:rPr>
            <w:rStyle w:val="Hyperlink"/>
            <w:rFonts w:ascii="Times New Roman" w:hAnsi="Times New Roman" w:cs="Times New Roman"/>
            <w:color w:val="auto"/>
            <w:sz w:val="24"/>
            <w:szCs w:val="24"/>
          </w:rPr>
          <w:t>2013b</w:t>
        </w:r>
      </w:hyperlink>
      <w:r w:rsidRPr="004224BA">
        <w:rPr>
          <w:rFonts w:ascii="Times New Roman" w:hAnsi="Times New Roman" w:cs="Times New Roman"/>
          <w:sz w:val="24"/>
          <w:szCs w:val="24"/>
        </w:rPr>
        <w:t>). The present article examines specifically the inter-state variations in the performance of MGNREGS during 2006–7 to 2020–21.</w:t>
      </w:r>
    </w:p>
    <w:p w14:paraId="47C6DB33" w14:textId="77777777" w:rsidR="004224BA" w:rsidRPr="004224BA" w:rsidRDefault="004224BA" w:rsidP="004224BA">
      <w:pPr>
        <w:spacing w:line="360" w:lineRule="auto"/>
        <w:jc w:val="both"/>
        <w:rPr>
          <w:rFonts w:ascii="Times New Roman" w:hAnsi="Times New Roman" w:cs="Times New Roman"/>
          <w:sz w:val="24"/>
          <w:szCs w:val="24"/>
        </w:rPr>
      </w:pPr>
      <w:r w:rsidRPr="004224BA">
        <w:rPr>
          <w:rFonts w:ascii="Times New Roman" w:hAnsi="Times New Roman" w:cs="Times New Roman"/>
          <w:sz w:val="24"/>
          <w:szCs w:val="24"/>
        </w:rPr>
        <w:t>In Indian history, apart from the Maharashtra Employment Guarantee Scheme (MEGS) of 1975, which started as a drought-relief measure in 1972–73 (</w:t>
      </w:r>
      <w:hyperlink r:id="rId11" w:anchor="bibr30-02627280221085195" w:history="1">
        <w:r w:rsidRPr="004224BA">
          <w:rPr>
            <w:rStyle w:val="Hyperlink"/>
            <w:rFonts w:ascii="Times New Roman" w:hAnsi="Times New Roman" w:cs="Times New Roman"/>
            <w:color w:val="auto"/>
            <w:sz w:val="24"/>
            <w:szCs w:val="24"/>
          </w:rPr>
          <w:t>Pankaj, 2012</w:t>
        </w:r>
      </w:hyperlink>
      <w:r w:rsidRPr="004224BA">
        <w:rPr>
          <w:rFonts w:ascii="Times New Roman" w:hAnsi="Times New Roman" w:cs="Times New Roman"/>
          <w:sz w:val="24"/>
          <w:szCs w:val="24"/>
        </w:rPr>
        <w:t xml:space="preserve">: 11), MGNREGS is the only flagship wage employment programme on the lines of the right to work. For the first time, a large wage employment programme has been designed within a constitutional framework to provide employment guarantees to rural households who are willing to do manual </w:t>
      </w:r>
      <w:r w:rsidRPr="004224BA">
        <w:rPr>
          <w:rFonts w:ascii="Times New Roman" w:hAnsi="Times New Roman" w:cs="Times New Roman"/>
          <w:sz w:val="24"/>
          <w:szCs w:val="24"/>
        </w:rPr>
        <w:lastRenderedPageBreak/>
        <w:t>work. With unique features like employment on demand within 15 days, wage payments within 15 days, equal wages for men and women, the active role of local bodies (Gram Panchayat), use of information technology and social audits, MGNREGS completely differs from previously introduced wage employment schemes in the country. It is expected to provide at least 100 days of employment to every participating household in a year to enhance their livelihood security.</w:t>
      </w:r>
    </w:p>
    <w:p w14:paraId="32D41BAE" w14:textId="77777777" w:rsidR="004224BA" w:rsidRPr="004224BA" w:rsidRDefault="004224BA" w:rsidP="004224BA">
      <w:pPr>
        <w:spacing w:line="360" w:lineRule="auto"/>
        <w:jc w:val="both"/>
        <w:rPr>
          <w:rFonts w:ascii="Times New Roman" w:hAnsi="Times New Roman" w:cs="Times New Roman"/>
          <w:sz w:val="24"/>
          <w:szCs w:val="24"/>
        </w:rPr>
      </w:pPr>
      <w:r w:rsidRPr="004224BA">
        <w:rPr>
          <w:rFonts w:ascii="Times New Roman" w:hAnsi="Times New Roman" w:cs="Times New Roman"/>
          <w:sz w:val="24"/>
          <w:szCs w:val="24"/>
        </w:rPr>
        <w:t>Being a huge quasi-federal state, India is highly diversified across its regions in terms of economic, political, geographical and sociocultural factors. In such a scenario, the country’s economic phenomena cannot be uniform, and the implementation of MGNREGS is no exception. There are wide variations among the states in different aspects related to MGNREGS implementation and achievements. Generally speaking, the performance of MGNREGS is expected to be better in poorer states where such an employment guarantee is direly needed. At the same time, states’ capability to implement the scheme effectively is also equally important. Crucial questions thus arise related to MGNREGS performance, concerning the differences among the states and the contributing factors of differential evidence of MGNREGS successes and failures.</w:t>
      </w:r>
    </w:p>
    <w:p w14:paraId="0E36A81F" w14:textId="77777777" w:rsidR="004224BA" w:rsidRPr="004224BA" w:rsidRDefault="004224BA" w:rsidP="004224BA">
      <w:pPr>
        <w:spacing w:line="360" w:lineRule="auto"/>
        <w:jc w:val="both"/>
        <w:rPr>
          <w:rFonts w:ascii="Times New Roman" w:hAnsi="Times New Roman" w:cs="Times New Roman"/>
          <w:sz w:val="24"/>
          <w:szCs w:val="24"/>
        </w:rPr>
      </w:pPr>
      <w:r w:rsidRPr="004224BA">
        <w:rPr>
          <w:rFonts w:ascii="Times New Roman" w:hAnsi="Times New Roman" w:cs="Times New Roman"/>
          <w:sz w:val="24"/>
          <w:szCs w:val="24"/>
        </w:rPr>
        <w:t>Within the specific economic development trajectory of postcolonial India, the necessity of multi-pronged state intervention in the form of the MGNREGS appears to have arisen as a consequence of increasing inegalitarian growth processes in the phase of economic reforms during the early 1990s. It is undoubted ‘a bold experiment in providing minimum livelihood security to rural households’ (</w:t>
      </w:r>
      <w:hyperlink r:id="rId12" w:anchor="bibr30-02627280221085195" w:history="1">
        <w:r w:rsidRPr="004224BA">
          <w:rPr>
            <w:rStyle w:val="Hyperlink"/>
            <w:rFonts w:ascii="Times New Roman" w:hAnsi="Times New Roman" w:cs="Times New Roman"/>
            <w:color w:val="auto"/>
            <w:sz w:val="24"/>
            <w:szCs w:val="24"/>
          </w:rPr>
          <w:t>Pankaj, 2012</w:t>
        </w:r>
      </w:hyperlink>
      <w:r w:rsidRPr="004224BA">
        <w:rPr>
          <w:rFonts w:ascii="Times New Roman" w:hAnsi="Times New Roman" w:cs="Times New Roman"/>
          <w:sz w:val="24"/>
          <w:szCs w:val="24"/>
        </w:rPr>
        <w:t>: 1) has given rise to many policy-focused discussions (</w:t>
      </w:r>
      <w:proofErr w:type="spellStart"/>
      <w:r w:rsidRPr="004224BA">
        <w:rPr>
          <w:rFonts w:ascii="Times New Roman" w:hAnsi="Times New Roman" w:cs="Times New Roman"/>
          <w:sz w:val="24"/>
          <w:szCs w:val="24"/>
        </w:rPr>
        <w:fldChar w:fldCharType="begin"/>
      </w:r>
      <w:r w:rsidRPr="004224BA">
        <w:rPr>
          <w:rFonts w:ascii="Times New Roman" w:hAnsi="Times New Roman" w:cs="Times New Roman"/>
          <w:sz w:val="24"/>
          <w:szCs w:val="24"/>
        </w:rPr>
        <w:instrText>HYPERLINK "https://journals.sagepub.com/doi/full/10.1177/02627280221085195" \l "bibr7-02627280221085195"</w:instrText>
      </w:r>
      <w:r w:rsidRPr="004224BA">
        <w:rPr>
          <w:rFonts w:ascii="Times New Roman" w:hAnsi="Times New Roman" w:cs="Times New Roman"/>
          <w:sz w:val="24"/>
          <w:szCs w:val="24"/>
        </w:rPr>
      </w:r>
      <w:r w:rsidRPr="004224BA">
        <w:rPr>
          <w:rFonts w:ascii="Times New Roman" w:hAnsi="Times New Roman" w:cs="Times New Roman"/>
          <w:sz w:val="24"/>
          <w:szCs w:val="24"/>
        </w:rPr>
        <w:fldChar w:fldCharType="separate"/>
      </w:r>
      <w:r w:rsidRPr="004224BA">
        <w:rPr>
          <w:rStyle w:val="Hyperlink"/>
          <w:rFonts w:ascii="Times New Roman" w:hAnsi="Times New Roman" w:cs="Times New Roman"/>
          <w:color w:val="auto"/>
          <w:sz w:val="24"/>
          <w:szCs w:val="24"/>
        </w:rPr>
        <w:t>Breitkreuz</w:t>
      </w:r>
      <w:proofErr w:type="spellEnd"/>
      <w:r w:rsidRPr="004224BA">
        <w:rPr>
          <w:rStyle w:val="Hyperlink"/>
          <w:rFonts w:ascii="Times New Roman" w:hAnsi="Times New Roman" w:cs="Times New Roman"/>
          <w:color w:val="auto"/>
          <w:sz w:val="24"/>
          <w:szCs w:val="24"/>
        </w:rPr>
        <w:t xml:space="preserve"> et al., 2017</w:t>
      </w:r>
      <w:r w:rsidRPr="004224BA">
        <w:rPr>
          <w:rFonts w:ascii="Times New Roman" w:hAnsi="Times New Roman" w:cs="Times New Roman"/>
          <w:sz w:val="24"/>
          <w:szCs w:val="24"/>
        </w:rPr>
        <w:fldChar w:fldCharType="end"/>
      </w:r>
      <w:r w:rsidRPr="004224BA">
        <w:rPr>
          <w:rFonts w:ascii="Times New Roman" w:hAnsi="Times New Roman" w:cs="Times New Roman"/>
          <w:sz w:val="24"/>
          <w:szCs w:val="24"/>
        </w:rPr>
        <w:t>), including studies about women’s participation (</w:t>
      </w:r>
      <w:hyperlink r:id="rId13" w:anchor="bibr10-02627280221085195" w:history="1">
        <w:r w:rsidRPr="004224BA">
          <w:rPr>
            <w:rStyle w:val="Hyperlink"/>
            <w:rFonts w:ascii="Times New Roman" w:hAnsi="Times New Roman" w:cs="Times New Roman"/>
            <w:color w:val="auto"/>
            <w:sz w:val="24"/>
            <w:szCs w:val="24"/>
          </w:rPr>
          <w:t>Chopra, 2019</w:t>
        </w:r>
      </w:hyperlink>
      <w:r w:rsidRPr="004224BA">
        <w:rPr>
          <w:rFonts w:ascii="Times New Roman" w:hAnsi="Times New Roman" w:cs="Times New Roman"/>
          <w:sz w:val="24"/>
          <w:szCs w:val="24"/>
        </w:rPr>
        <w:t>; </w:t>
      </w:r>
      <w:hyperlink r:id="rId14" w:anchor="bibr23-02627280221085195" w:history="1">
        <w:r w:rsidRPr="004224BA">
          <w:rPr>
            <w:rStyle w:val="Hyperlink"/>
            <w:rFonts w:ascii="Times New Roman" w:hAnsi="Times New Roman" w:cs="Times New Roman"/>
            <w:color w:val="auto"/>
            <w:sz w:val="24"/>
            <w:szCs w:val="24"/>
          </w:rPr>
          <w:t>Maiorano et al., 2016</w:t>
        </w:r>
      </w:hyperlink>
      <w:r w:rsidRPr="004224BA">
        <w:rPr>
          <w:rFonts w:ascii="Times New Roman" w:hAnsi="Times New Roman" w:cs="Times New Roman"/>
          <w:sz w:val="24"/>
          <w:szCs w:val="24"/>
        </w:rPr>
        <w:t>; </w:t>
      </w:r>
      <w:hyperlink r:id="rId15" w:anchor="bibr27-02627280221085195" w:history="1">
        <w:r w:rsidRPr="004224BA">
          <w:rPr>
            <w:rStyle w:val="Hyperlink"/>
            <w:rFonts w:ascii="Times New Roman" w:hAnsi="Times New Roman" w:cs="Times New Roman"/>
            <w:color w:val="auto"/>
            <w:sz w:val="24"/>
            <w:szCs w:val="24"/>
          </w:rPr>
          <w:t>Narayanan, 2008</w:t>
        </w:r>
      </w:hyperlink>
      <w:r w:rsidRPr="004224BA">
        <w:rPr>
          <w:rFonts w:ascii="Times New Roman" w:hAnsi="Times New Roman" w:cs="Times New Roman"/>
          <w:sz w:val="24"/>
          <w:szCs w:val="24"/>
        </w:rPr>
        <w:t>; </w:t>
      </w:r>
      <w:hyperlink r:id="rId16" w:anchor="bibr43-02627280221085195" w:history="1">
        <w:r w:rsidRPr="004224BA">
          <w:rPr>
            <w:rStyle w:val="Hyperlink"/>
            <w:rFonts w:ascii="Times New Roman" w:hAnsi="Times New Roman" w:cs="Times New Roman"/>
            <w:color w:val="auto"/>
            <w:sz w:val="24"/>
            <w:szCs w:val="24"/>
          </w:rPr>
          <w:t>Tagat, 2020</w:t>
        </w:r>
      </w:hyperlink>
      <w:r w:rsidRPr="004224BA">
        <w:rPr>
          <w:rFonts w:ascii="Times New Roman" w:hAnsi="Times New Roman" w:cs="Times New Roman"/>
          <w:sz w:val="24"/>
          <w:szCs w:val="24"/>
        </w:rPr>
        <w:t>). It involves many millions of rural people in public works-based employment programmes at minimum wage levels, which some scholars treat as problematic (</w:t>
      </w:r>
      <w:hyperlink r:id="rId17" w:anchor="bibr3-02627280221085195" w:history="1">
        <w:r w:rsidRPr="004224BA">
          <w:rPr>
            <w:rStyle w:val="Hyperlink"/>
            <w:rFonts w:ascii="Times New Roman" w:hAnsi="Times New Roman" w:cs="Times New Roman"/>
            <w:color w:val="auto"/>
            <w:sz w:val="24"/>
            <w:szCs w:val="24"/>
          </w:rPr>
          <w:t>Berg et al., 2012</w:t>
        </w:r>
      </w:hyperlink>
      <w:r w:rsidRPr="004224BA">
        <w:rPr>
          <w:rFonts w:ascii="Times New Roman" w:hAnsi="Times New Roman" w:cs="Times New Roman"/>
          <w:sz w:val="24"/>
          <w:szCs w:val="24"/>
        </w:rPr>
        <w:t>; </w:t>
      </w:r>
      <w:hyperlink r:id="rId18" w:anchor="bibr17-02627280221085195" w:history="1">
        <w:r w:rsidRPr="004224BA">
          <w:rPr>
            <w:rStyle w:val="Hyperlink"/>
            <w:rFonts w:ascii="Times New Roman" w:hAnsi="Times New Roman" w:cs="Times New Roman"/>
            <w:color w:val="auto"/>
            <w:sz w:val="24"/>
            <w:szCs w:val="24"/>
          </w:rPr>
          <w:t>Imbert &amp; Papp, 2015</w:t>
        </w:r>
      </w:hyperlink>
      <w:r w:rsidRPr="004224BA">
        <w:rPr>
          <w:rFonts w:ascii="Times New Roman" w:hAnsi="Times New Roman" w:cs="Times New Roman"/>
          <w:sz w:val="24"/>
          <w:szCs w:val="24"/>
        </w:rPr>
        <w:t>; </w:t>
      </w:r>
      <w:hyperlink r:id="rId19" w:anchor="bibr25-02627280221085195" w:history="1">
        <w:r w:rsidRPr="004224BA">
          <w:rPr>
            <w:rStyle w:val="Hyperlink"/>
            <w:rFonts w:ascii="Times New Roman" w:hAnsi="Times New Roman" w:cs="Times New Roman"/>
            <w:color w:val="auto"/>
            <w:sz w:val="24"/>
            <w:szCs w:val="24"/>
          </w:rPr>
          <w:t>Misra, 2019</w:t>
        </w:r>
      </w:hyperlink>
      <w:r w:rsidRPr="004224BA">
        <w:rPr>
          <w:rFonts w:ascii="Times New Roman" w:hAnsi="Times New Roman" w:cs="Times New Roman"/>
          <w:sz w:val="24"/>
          <w:szCs w:val="24"/>
        </w:rPr>
        <w:t>; </w:t>
      </w:r>
      <w:hyperlink r:id="rId20" w:anchor="bibr36-02627280221085195" w:history="1">
        <w:r w:rsidRPr="004224BA">
          <w:rPr>
            <w:rStyle w:val="Hyperlink"/>
            <w:rFonts w:ascii="Times New Roman" w:hAnsi="Times New Roman" w:cs="Times New Roman"/>
            <w:color w:val="auto"/>
            <w:sz w:val="24"/>
            <w:szCs w:val="24"/>
          </w:rPr>
          <w:t>Sampath &amp; Rukhmini, 2015</w:t>
        </w:r>
      </w:hyperlink>
      <w:r w:rsidRPr="004224BA">
        <w:rPr>
          <w:rFonts w:ascii="Times New Roman" w:hAnsi="Times New Roman" w:cs="Times New Roman"/>
          <w:sz w:val="24"/>
          <w:szCs w:val="24"/>
        </w:rPr>
        <w:t>). To what extent this kind of targeted affirmative action programme really ‘cannot be run for years and years’ (</w:t>
      </w:r>
      <w:hyperlink r:id="rId21" w:anchor="bibr30-02627280221085195" w:history="1">
        <w:r w:rsidRPr="004224BA">
          <w:rPr>
            <w:rStyle w:val="Hyperlink"/>
            <w:rFonts w:ascii="Times New Roman" w:hAnsi="Times New Roman" w:cs="Times New Roman"/>
            <w:color w:val="auto"/>
            <w:sz w:val="24"/>
            <w:szCs w:val="24"/>
          </w:rPr>
          <w:t>Pankaj, 2012</w:t>
        </w:r>
      </w:hyperlink>
      <w:r w:rsidRPr="004224BA">
        <w:rPr>
          <w:rFonts w:ascii="Times New Roman" w:hAnsi="Times New Roman" w:cs="Times New Roman"/>
          <w:sz w:val="24"/>
          <w:szCs w:val="24"/>
        </w:rPr>
        <w:t>: 28) also remains to be debated, since, for now it is certainly proving its worth. There have been several major assessments of this national project and political views on this continue to clash (</w:t>
      </w:r>
      <w:hyperlink r:id="rId22" w:anchor="bibr31-02627280221085195" w:history="1">
        <w:r w:rsidRPr="004224BA">
          <w:rPr>
            <w:rStyle w:val="Hyperlink"/>
            <w:rFonts w:ascii="Times New Roman" w:hAnsi="Times New Roman" w:cs="Times New Roman"/>
            <w:color w:val="auto"/>
            <w:sz w:val="24"/>
            <w:szCs w:val="24"/>
          </w:rPr>
          <w:t>Pankaj, 2017</w:t>
        </w:r>
      </w:hyperlink>
      <w:r w:rsidRPr="004224BA">
        <w:rPr>
          <w:rFonts w:ascii="Times New Roman" w:hAnsi="Times New Roman" w:cs="Times New Roman"/>
          <w:sz w:val="24"/>
          <w:szCs w:val="24"/>
        </w:rPr>
        <w:t>). Opponents of India’s MGNREGS approach to addressing rural unemployment and underemployment problems may still find it easy to criticise that, for example, it could so far only provide a maximum of 54 days of employment per household at a national level, which is just over half of the proposed official target of 100 person-days per participating household.</w:t>
      </w:r>
    </w:p>
    <w:p w14:paraId="61DC72CB" w14:textId="77777777" w:rsidR="004224BA" w:rsidRPr="004224BA" w:rsidRDefault="004224BA" w:rsidP="004224BA">
      <w:pPr>
        <w:spacing w:line="360" w:lineRule="auto"/>
        <w:jc w:val="both"/>
        <w:rPr>
          <w:rFonts w:ascii="Times New Roman" w:hAnsi="Times New Roman" w:cs="Times New Roman"/>
          <w:sz w:val="24"/>
          <w:szCs w:val="24"/>
        </w:rPr>
      </w:pPr>
      <w:r w:rsidRPr="004224BA">
        <w:rPr>
          <w:rFonts w:ascii="Times New Roman" w:hAnsi="Times New Roman" w:cs="Times New Roman"/>
          <w:sz w:val="24"/>
          <w:szCs w:val="24"/>
        </w:rPr>
        <w:lastRenderedPageBreak/>
        <w:t>The lived reality of this scheme is very complex as, not un-controversially, it serves many purposes and also appears to have changed in nature over time, with an extremely varied picture across the nation. Importantly, as Pankaj (</w:t>
      </w:r>
      <w:hyperlink r:id="rId23" w:anchor="bibr30-02627280221085195" w:history="1">
        <w:r w:rsidRPr="004224BA">
          <w:rPr>
            <w:rStyle w:val="Hyperlink"/>
            <w:rFonts w:ascii="Times New Roman" w:hAnsi="Times New Roman" w:cs="Times New Roman"/>
            <w:color w:val="auto"/>
            <w:sz w:val="24"/>
            <w:szCs w:val="24"/>
          </w:rPr>
          <w:t>2012</w:t>
        </w:r>
      </w:hyperlink>
      <w:r w:rsidRPr="004224BA">
        <w:rPr>
          <w:rFonts w:ascii="Times New Roman" w:hAnsi="Times New Roman" w:cs="Times New Roman"/>
          <w:sz w:val="24"/>
          <w:szCs w:val="24"/>
        </w:rPr>
        <w:t>: 28) has highlighted, ‘[un]precedented political consensus backs the programme’. This consensus is multi-dimensional, as it includes not only concerns over rights-protection under the Indian Constitution for numerically significant voters’ groups but also food security agenda as well as policies to keep rural people in their respective locality to calm down India’s rapid urbanisation processes. MGNREGS has also proven useful as a device for disaster responses in emergencies. This has also become obvious during the still current COVID-19 turmoil in India. It is already known that MGNREGS received new impetus as a protective measure at the local level during this pandemic emergency. The central government allocated an additional ₹40,000 crores (about $5 billion), as a temporary COVID-19 relief measure (</w:t>
      </w:r>
      <w:hyperlink r:id="rId24" w:anchor="bibr46-02627280221085195" w:history="1">
        <w:r w:rsidRPr="004224BA">
          <w:rPr>
            <w:rStyle w:val="Hyperlink"/>
            <w:rFonts w:ascii="Times New Roman" w:hAnsi="Times New Roman" w:cs="Times New Roman"/>
            <w:color w:val="auto"/>
            <w:sz w:val="24"/>
            <w:szCs w:val="24"/>
          </w:rPr>
          <w:t>Vasudevan et al., 2020</w:t>
        </w:r>
      </w:hyperlink>
      <w:r w:rsidRPr="004224BA">
        <w:rPr>
          <w:rFonts w:ascii="Times New Roman" w:hAnsi="Times New Roman" w:cs="Times New Roman"/>
          <w:sz w:val="24"/>
          <w:szCs w:val="24"/>
        </w:rPr>
        <w:t>), and even those increased budgets were used up within a few months in several states (</w:t>
      </w:r>
      <w:hyperlink r:id="rId25" w:anchor="bibr4-02627280221085195" w:history="1">
        <w:r w:rsidRPr="004224BA">
          <w:rPr>
            <w:rStyle w:val="Hyperlink"/>
            <w:rFonts w:ascii="Times New Roman" w:hAnsi="Times New Roman" w:cs="Times New Roman"/>
            <w:color w:val="auto"/>
            <w:sz w:val="24"/>
            <w:szCs w:val="24"/>
          </w:rPr>
          <w:t>Bhaduri, 2020</w:t>
        </w:r>
      </w:hyperlink>
      <w:r w:rsidRPr="004224BA">
        <w:rPr>
          <w:rFonts w:ascii="Times New Roman" w:hAnsi="Times New Roman" w:cs="Times New Roman"/>
          <w:sz w:val="24"/>
          <w:szCs w:val="24"/>
        </w:rPr>
        <w:t>).</w:t>
      </w:r>
    </w:p>
    <w:p w14:paraId="612CC52A" w14:textId="77777777" w:rsidR="004224BA" w:rsidRDefault="004224BA" w:rsidP="006A011C">
      <w:pPr>
        <w:spacing w:line="360" w:lineRule="auto"/>
        <w:jc w:val="both"/>
        <w:rPr>
          <w:rFonts w:ascii="Times New Roman" w:hAnsi="Times New Roman" w:cs="Times New Roman"/>
          <w:sz w:val="24"/>
          <w:szCs w:val="24"/>
        </w:rPr>
      </w:pPr>
      <w:r w:rsidRPr="004224BA">
        <w:rPr>
          <w:rFonts w:ascii="Times New Roman" w:hAnsi="Times New Roman" w:cs="Times New Roman"/>
          <w:sz w:val="24"/>
          <w:szCs w:val="24"/>
        </w:rPr>
        <w:t>While the MGNREGS is a device to strengthen food security among the rural precariat, it is also a response to significant evidence in post-liberalisation India after 1990 of massive underemployment (</w:t>
      </w:r>
      <w:hyperlink r:id="rId26" w:anchor="bibr30-02627280221085195" w:history="1">
        <w:r w:rsidRPr="004224BA">
          <w:rPr>
            <w:rStyle w:val="Hyperlink"/>
            <w:rFonts w:ascii="Times New Roman" w:hAnsi="Times New Roman" w:cs="Times New Roman"/>
            <w:color w:val="auto"/>
            <w:sz w:val="24"/>
            <w:szCs w:val="24"/>
          </w:rPr>
          <w:t>Pankaj, 2012</w:t>
        </w:r>
      </w:hyperlink>
      <w:r w:rsidRPr="004224BA">
        <w:rPr>
          <w:rFonts w:ascii="Times New Roman" w:hAnsi="Times New Roman" w:cs="Times New Roman"/>
          <w:sz w:val="24"/>
          <w:szCs w:val="24"/>
        </w:rPr>
        <w:t>: 15). Inevitably connected to this is the risk, already noted, that continuing problems like poverty, unemployment and inequalities at a massive scale create social unrest (</w:t>
      </w:r>
      <w:hyperlink r:id="rId27" w:anchor="bibr9-02627280221085195" w:history="1">
        <w:r w:rsidRPr="004224BA">
          <w:rPr>
            <w:rStyle w:val="Hyperlink"/>
            <w:rFonts w:ascii="Times New Roman" w:hAnsi="Times New Roman" w:cs="Times New Roman"/>
            <w:color w:val="auto"/>
            <w:sz w:val="24"/>
            <w:szCs w:val="24"/>
          </w:rPr>
          <w:t>Chatterjee, 2008</w:t>
        </w:r>
      </w:hyperlink>
      <w:r w:rsidRPr="004224BA">
        <w:rPr>
          <w:rFonts w:ascii="Times New Roman" w:hAnsi="Times New Roman" w:cs="Times New Roman"/>
          <w:sz w:val="24"/>
          <w:szCs w:val="24"/>
        </w:rPr>
        <w:t>). Precisely this is where discussions about the ‘double movement’ (</w:t>
      </w:r>
      <w:hyperlink r:id="rId28" w:anchor="bibr33-02627280221085195" w:history="1">
        <w:r w:rsidRPr="004224BA">
          <w:rPr>
            <w:rStyle w:val="Hyperlink"/>
            <w:rFonts w:ascii="Times New Roman" w:hAnsi="Times New Roman" w:cs="Times New Roman"/>
            <w:color w:val="auto"/>
            <w:sz w:val="24"/>
            <w:szCs w:val="24"/>
          </w:rPr>
          <w:t>Polanyi, 1944</w:t>
        </w:r>
      </w:hyperlink>
      <w:r w:rsidRPr="004224BA">
        <w:rPr>
          <w:rFonts w:ascii="Times New Roman" w:hAnsi="Times New Roman" w:cs="Times New Roman"/>
          <w:sz w:val="24"/>
          <w:szCs w:val="24"/>
        </w:rPr>
        <w:t>) of state management and the role of unemployment benefits come in. In a large country like India, however, simply transferring some form of cash-based unemployment benefit to the poor to enable them to survive has not been seen as feasible, given the scale of the problem. Rather, the constitutionally anchored concept of the right to work, notably connected to the increasingly all-encompassing right to life in Article 21 of the Indian Constitution, has been put to work, as it involved a right to livelihood (</w:t>
      </w:r>
      <w:hyperlink r:id="rId29" w:anchor="bibr30-02627280221085195" w:history="1">
        <w:r w:rsidRPr="004224BA">
          <w:rPr>
            <w:rStyle w:val="Hyperlink"/>
            <w:rFonts w:ascii="Times New Roman" w:hAnsi="Times New Roman" w:cs="Times New Roman"/>
            <w:color w:val="auto"/>
            <w:sz w:val="24"/>
            <w:szCs w:val="24"/>
          </w:rPr>
          <w:t>Pankaj, 2012</w:t>
        </w:r>
      </w:hyperlink>
      <w:r w:rsidRPr="004224BA">
        <w:rPr>
          <w:rFonts w:ascii="Times New Roman" w:hAnsi="Times New Roman" w:cs="Times New Roman"/>
          <w:sz w:val="24"/>
          <w:szCs w:val="24"/>
        </w:rPr>
        <w:t>: 9). This is combined with the concept of the ‘able-bodied person’, placing a set of duties to the nation on individual citizens, expecting them to contribute their labour to useful projects directed by the state, rather than expecting cash transfers (</w:t>
      </w:r>
      <w:hyperlink r:id="rId30" w:anchor="bibr30-02627280221085195" w:history="1">
        <w:r w:rsidRPr="004224BA">
          <w:rPr>
            <w:rStyle w:val="Hyperlink"/>
            <w:rFonts w:ascii="Times New Roman" w:hAnsi="Times New Roman" w:cs="Times New Roman"/>
            <w:color w:val="auto"/>
            <w:sz w:val="24"/>
            <w:szCs w:val="24"/>
          </w:rPr>
          <w:t>Pankaj, 2012</w:t>
        </w:r>
      </w:hyperlink>
      <w:r w:rsidRPr="004224BA">
        <w:rPr>
          <w:rFonts w:ascii="Times New Roman" w:hAnsi="Times New Roman" w:cs="Times New Roman"/>
          <w:sz w:val="24"/>
          <w:szCs w:val="24"/>
        </w:rPr>
        <w:t>: 18) as some kind of unemployment benefit. This can effectively be interpreted as the part of the above-mentioned ‘double movement’ that Polanyi (</w:t>
      </w:r>
      <w:hyperlink r:id="rId31" w:anchor="bibr33-02627280221085195" w:history="1">
        <w:r w:rsidRPr="004224BA">
          <w:rPr>
            <w:rStyle w:val="Hyperlink"/>
            <w:rFonts w:ascii="Times New Roman" w:hAnsi="Times New Roman" w:cs="Times New Roman"/>
            <w:color w:val="auto"/>
            <w:sz w:val="24"/>
            <w:szCs w:val="24"/>
          </w:rPr>
          <w:t>1944</w:t>
        </w:r>
      </w:hyperlink>
      <w:r w:rsidRPr="004224BA">
        <w:rPr>
          <w:rFonts w:ascii="Times New Roman" w:hAnsi="Times New Roman" w:cs="Times New Roman"/>
          <w:sz w:val="24"/>
          <w:szCs w:val="24"/>
        </w:rPr>
        <w:t>) had in mind.</w:t>
      </w:r>
    </w:p>
    <w:p w14:paraId="1B532DD3" w14:textId="77777777" w:rsidR="0060345A" w:rsidRDefault="0060345A" w:rsidP="006A011C">
      <w:pPr>
        <w:spacing w:line="360" w:lineRule="auto"/>
        <w:jc w:val="both"/>
        <w:rPr>
          <w:rFonts w:ascii="Times New Roman" w:hAnsi="Times New Roman" w:cs="Times New Roman"/>
          <w:sz w:val="24"/>
          <w:szCs w:val="24"/>
        </w:rPr>
      </w:pPr>
    </w:p>
    <w:p w14:paraId="7F37D323" w14:textId="77777777" w:rsidR="0060345A" w:rsidRDefault="0060345A" w:rsidP="006A011C">
      <w:pPr>
        <w:spacing w:line="360" w:lineRule="auto"/>
        <w:jc w:val="both"/>
        <w:rPr>
          <w:rFonts w:ascii="Times New Roman" w:hAnsi="Times New Roman" w:cs="Times New Roman"/>
          <w:sz w:val="24"/>
          <w:szCs w:val="24"/>
        </w:rPr>
      </w:pPr>
    </w:p>
    <w:p w14:paraId="7169AC4C" w14:textId="67A4B20D" w:rsidR="003E287C" w:rsidRPr="0060345A" w:rsidRDefault="003E287C" w:rsidP="0060345A">
      <w:pPr>
        <w:pStyle w:val="ListParagraph"/>
        <w:numPr>
          <w:ilvl w:val="0"/>
          <w:numId w:val="4"/>
        </w:numPr>
        <w:spacing w:line="360" w:lineRule="auto"/>
        <w:rPr>
          <w:rFonts w:ascii="Times New Roman" w:hAnsi="Times New Roman" w:cs="Times New Roman"/>
          <w:b/>
          <w:bCs/>
          <w:sz w:val="24"/>
          <w:szCs w:val="24"/>
        </w:rPr>
      </w:pPr>
      <w:r w:rsidRPr="0060345A">
        <w:rPr>
          <w:rFonts w:ascii="Times New Roman" w:hAnsi="Times New Roman" w:cs="Times New Roman"/>
          <w:b/>
          <w:bCs/>
          <w:sz w:val="24"/>
          <w:szCs w:val="24"/>
        </w:rPr>
        <w:lastRenderedPageBreak/>
        <w:t xml:space="preserve">Preparation of Labour Budget and the Annual Convergent Planning Exercise for Identification of Projects </w:t>
      </w:r>
    </w:p>
    <w:p w14:paraId="542B0937" w14:textId="77777777" w:rsidR="00C9150B" w:rsidRDefault="003E287C" w:rsidP="003E287C">
      <w:pPr>
        <w:spacing w:line="360" w:lineRule="auto"/>
        <w:jc w:val="both"/>
        <w:rPr>
          <w:rFonts w:ascii="Times New Roman" w:hAnsi="Times New Roman" w:cs="Times New Roman"/>
          <w:sz w:val="24"/>
          <w:szCs w:val="24"/>
        </w:rPr>
      </w:pPr>
      <w:r w:rsidRPr="003E287C">
        <w:rPr>
          <w:rFonts w:ascii="Times New Roman" w:hAnsi="Times New Roman" w:cs="Times New Roman"/>
          <w:sz w:val="24"/>
          <w:szCs w:val="24"/>
        </w:rPr>
        <w:t xml:space="preserve">Identification of Shelf of Projects and preparation of Labour Budget (LB) estimate is an essential annual work plan document that entails planning, approval, funding and project execution modalities. Since the Shelf of Works and </w:t>
      </w:r>
      <w:proofErr w:type="spellStart"/>
      <w:r w:rsidRPr="003E287C">
        <w:rPr>
          <w:rFonts w:ascii="Times New Roman" w:hAnsi="Times New Roman" w:cs="Times New Roman"/>
          <w:sz w:val="24"/>
          <w:szCs w:val="24"/>
        </w:rPr>
        <w:t>LBs</w:t>
      </w:r>
      <w:proofErr w:type="spellEnd"/>
      <w:r w:rsidRPr="003E287C">
        <w:rPr>
          <w:rFonts w:ascii="Times New Roman" w:hAnsi="Times New Roman" w:cs="Times New Roman"/>
          <w:sz w:val="24"/>
          <w:szCs w:val="24"/>
        </w:rPr>
        <w:t xml:space="preserve"> are prepared in accordance with the provisions under sections 13 to 16 of the Mahatma Gandhi NREGA, the District Programme Coordinator has to ensure strict adherence to the principle of bottom-up approach from the stage of planning to approval of the selected shelf of projects by each Gram Sabha / Ward Sabha in the district. The District Programme Coordinator is also responsible for preparing in the month of December every year a labour budget for the next financial year containing the details of anticipated demand for unskilled manual work in the district. The annual planning exercise for Mahatma Gandhi NREGS will be part of the Convergent Planning Exercise for the Ministry. The thrust is on planning for works related to Natural Resource Management (NRM), agriculture and allied activities and livelihood related works on individual’s land leading to sustainable</w:t>
      </w:r>
      <w:r w:rsidR="003B32EC">
        <w:rPr>
          <w:rFonts w:ascii="Times New Roman" w:hAnsi="Times New Roman" w:cs="Times New Roman"/>
          <w:sz w:val="24"/>
          <w:szCs w:val="24"/>
        </w:rPr>
        <w:t xml:space="preserve"> </w:t>
      </w:r>
      <w:r w:rsidR="003B32EC" w:rsidRPr="003B32EC">
        <w:rPr>
          <w:rFonts w:ascii="Times New Roman" w:hAnsi="Times New Roman" w:cs="Times New Roman"/>
          <w:sz w:val="24"/>
          <w:szCs w:val="24"/>
        </w:rPr>
        <w:t xml:space="preserve">livelihoods as well as provisioning of livestock shelters for the individual households. </w:t>
      </w:r>
    </w:p>
    <w:p w14:paraId="7681123C" w14:textId="3B70098C" w:rsidR="00C9150B" w:rsidRDefault="003B32EC" w:rsidP="003E287C">
      <w:pPr>
        <w:spacing w:line="360" w:lineRule="auto"/>
        <w:jc w:val="both"/>
        <w:rPr>
          <w:rFonts w:ascii="Times New Roman" w:hAnsi="Times New Roman" w:cs="Times New Roman"/>
          <w:sz w:val="24"/>
          <w:szCs w:val="24"/>
        </w:rPr>
      </w:pPr>
      <w:r w:rsidRPr="003B32EC">
        <w:rPr>
          <w:rFonts w:ascii="Times New Roman" w:hAnsi="Times New Roman" w:cs="Times New Roman"/>
          <w:sz w:val="24"/>
          <w:szCs w:val="24"/>
        </w:rPr>
        <w:t xml:space="preserve">The NRM related works under Mahatma Gandhi NREGS shall be taken up in convergence with Pradhan Mantri Krishi </w:t>
      </w:r>
      <w:proofErr w:type="spellStart"/>
      <w:r w:rsidRPr="003B32EC">
        <w:rPr>
          <w:rFonts w:ascii="Times New Roman" w:hAnsi="Times New Roman" w:cs="Times New Roman"/>
          <w:sz w:val="24"/>
          <w:szCs w:val="24"/>
        </w:rPr>
        <w:t>Sinchayee</w:t>
      </w:r>
      <w:proofErr w:type="spellEnd"/>
      <w:r w:rsidRPr="003B32EC">
        <w:rPr>
          <w:rFonts w:ascii="Times New Roman" w:hAnsi="Times New Roman" w:cs="Times New Roman"/>
          <w:sz w:val="24"/>
          <w:szCs w:val="24"/>
        </w:rPr>
        <w:t xml:space="preserve"> Yojana (PMKSY), Integrated Watershed Management Programme (IWMP) and Command Area and Water Management (CAD&amp;WM) schemes for better outcomes of the water conservation and water harvesting measures. Technical inputs for planning shall be drawn from the resources available in the district under Mahatma Gandhi NREGS, CSO partners and other line department agencies. In case of planning for NRM works, the technical inputs will be drawn from the joint pool of technical personnel of IWMP in Watershed Cell cum Data Centre (WCDC), Mahatma Gandhi NREGS unit, Water Resource Department and the Agriculture Department. The technical inputs relating to Excavation, Renovation &amp; Modernisation (ERM) / water bodies may also be sought from Regional Office of Central Ground Water Commission (CWC). </w:t>
      </w:r>
    </w:p>
    <w:p w14:paraId="52DD40E7" w14:textId="77777777" w:rsidR="00C9150B" w:rsidRDefault="003B32EC" w:rsidP="003E287C">
      <w:pPr>
        <w:spacing w:line="360" w:lineRule="auto"/>
        <w:jc w:val="both"/>
        <w:rPr>
          <w:rFonts w:ascii="Times New Roman" w:hAnsi="Times New Roman" w:cs="Times New Roman"/>
          <w:sz w:val="24"/>
          <w:szCs w:val="24"/>
        </w:rPr>
      </w:pPr>
      <w:r w:rsidRPr="003B32EC">
        <w:rPr>
          <w:rFonts w:ascii="Times New Roman" w:hAnsi="Times New Roman" w:cs="Times New Roman"/>
          <w:sz w:val="24"/>
          <w:szCs w:val="24"/>
        </w:rPr>
        <w:t>The Self-Help Groups (</w:t>
      </w:r>
      <w:proofErr w:type="spellStart"/>
      <w:r w:rsidRPr="003B32EC">
        <w:rPr>
          <w:rFonts w:ascii="Times New Roman" w:hAnsi="Times New Roman" w:cs="Times New Roman"/>
          <w:sz w:val="24"/>
          <w:szCs w:val="24"/>
        </w:rPr>
        <w:t>SHGs</w:t>
      </w:r>
      <w:proofErr w:type="spellEnd"/>
      <w:r w:rsidRPr="003B32EC">
        <w:rPr>
          <w:rFonts w:ascii="Times New Roman" w:hAnsi="Times New Roman" w:cs="Times New Roman"/>
          <w:sz w:val="24"/>
          <w:szCs w:val="24"/>
        </w:rPr>
        <w:t>) and Producers’ Groups under DAY- NRLM will be closely involved in the planning especially in case of implementation of watershed projects under Mahatma Gandhi NREGS.</w:t>
      </w:r>
      <w:r w:rsidR="00C9150B">
        <w:rPr>
          <w:rFonts w:ascii="Times New Roman" w:hAnsi="Times New Roman" w:cs="Times New Roman"/>
          <w:sz w:val="24"/>
          <w:szCs w:val="24"/>
        </w:rPr>
        <w:t xml:space="preserve"> </w:t>
      </w:r>
      <w:r w:rsidRPr="003B32EC">
        <w:rPr>
          <w:rFonts w:ascii="Times New Roman" w:hAnsi="Times New Roman" w:cs="Times New Roman"/>
          <w:sz w:val="24"/>
          <w:szCs w:val="24"/>
        </w:rPr>
        <w:t xml:space="preserve">The Gram Panchayat, while deliberating and finalizing prioritization of shelf of projects, will keep Micro watersheds of 500-1000 hectares that often comprise 1-10 Gram Panchayats, in perspective. To facilitate evidence based scientific NRM </w:t>
      </w:r>
      <w:r w:rsidRPr="003B32EC">
        <w:rPr>
          <w:rFonts w:ascii="Times New Roman" w:hAnsi="Times New Roman" w:cs="Times New Roman"/>
          <w:sz w:val="24"/>
          <w:szCs w:val="24"/>
        </w:rPr>
        <w:lastRenderedPageBreak/>
        <w:t xml:space="preserve">planning process, the recommended work plan on Watersheds/ Command Area approach as approved in the District Irrigation Plan will be sent to all the concerned Gram Panchayats for community validation and vetting. The final DPR, reflecting all community suggestions will then be recommended by all Gram Sabhas of all Gram Panchayats involved in the Watershed/ Command Area. The process of creating a community organization at the watershed level will also commence simultaneously so that a community led planning and implementation structure is in place well before financial resources are committed for the project. </w:t>
      </w:r>
    </w:p>
    <w:p w14:paraId="1AF3C1B3" w14:textId="5E669A38" w:rsidR="003E287C" w:rsidRPr="003E287C" w:rsidRDefault="003B32EC" w:rsidP="003E287C">
      <w:pPr>
        <w:spacing w:line="360" w:lineRule="auto"/>
        <w:jc w:val="both"/>
        <w:rPr>
          <w:rFonts w:ascii="Times New Roman" w:hAnsi="Times New Roman" w:cs="Times New Roman"/>
          <w:sz w:val="24"/>
          <w:szCs w:val="24"/>
        </w:rPr>
      </w:pPr>
      <w:r w:rsidRPr="003B32EC">
        <w:rPr>
          <w:rFonts w:ascii="Times New Roman" w:hAnsi="Times New Roman" w:cs="Times New Roman"/>
          <w:sz w:val="24"/>
          <w:szCs w:val="24"/>
        </w:rPr>
        <w:t xml:space="preserve">The Gram Panchayat should also synchronize the shelf of projects with Gram Panchayat Development Plan (GPDP) so that all Mahatma Gandhi NREGS works are necessarily part of the GPDP. Proceedings of each Gram Sabha/Ward Sabha in which the respective shelf of projects for the GP has been approved, have to be uploaded as an attachment to the respective LB in the </w:t>
      </w:r>
      <w:proofErr w:type="spellStart"/>
      <w:r w:rsidRPr="003B32EC">
        <w:rPr>
          <w:rFonts w:ascii="Times New Roman" w:hAnsi="Times New Roman" w:cs="Times New Roman"/>
          <w:sz w:val="24"/>
          <w:szCs w:val="24"/>
        </w:rPr>
        <w:t>NREGASoft</w:t>
      </w:r>
      <w:proofErr w:type="spellEnd"/>
      <w:r w:rsidRPr="003B32EC">
        <w:rPr>
          <w:rFonts w:ascii="Times New Roman" w:hAnsi="Times New Roman" w:cs="Times New Roman"/>
          <w:sz w:val="24"/>
          <w:szCs w:val="24"/>
        </w:rPr>
        <w:t>. The State Government is also required to furnish a certificate to the effect that the provisions made in the Mahatma Gandhi NREGA for preparation of Shelf of Works and LB have been taken into account and a bottom-up approach has been adhered to in the preparation of Shelf of Works.</w:t>
      </w:r>
      <w:r w:rsidR="00C457C0">
        <w:rPr>
          <w:rFonts w:ascii="Times New Roman" w:hAnsi="Times New Roman" w:cs="Times New Roman"/>
          <w:sz w:val="24"/>
          <w:szCs w:val="24"/>
        </w:rPr>
        <w:t xml:space="preserve"> </w:t>
      </w:r>
      <w:r w:rsidR="00C457C0" w:rsidRPr="00C457C0">
        <w:rPr>
          <w:rFonts w:ascii="Times New Roman" w:hAnsi="Times New Roman" w:cs="Times New Roman"/>
          <w:sz w:val="24"/>
          <w:szCs w:val="24"/>
        </w:rPr>
        <w:t>The Labour Budget should comprise a month wise anticipated quantum of demand for work along with a plan that outlines the quantum and schedule of works to be provided to those who demand work. Steps in the Labour Budget Preparation and Consolidation: The District Programme Coordinator will ensure estimation of anticipated demand for unskilled manual work in the district. The assessment of need for asset creation through Mahatma Gandhi NREGA is to be undertaken at the community level, by the Gram Panchayat through participatory processes. The outputs of these processes need to be consolidated at the Gram Panchayat level and presented before the Gram Sabha for approval.</w:t>
      </w:r>
    </w:p>
    <w:p w14:paraId="3DC92AE3" w14:textId="44076538" w:rsidR="00446D4E" w:rsidRPr="0060345A" w:rsidRDefault="00446D4E" w:rsidP="0060345A">
      <w:pPr>
        <w:pStyle w:val="ListParagraph"/>
        <w:numPr>
          <w:ilvl w:val="0"/>
          <w:numId w:val="4"/>
        </w:numPr>
        <w:spacing w:line="360" w:lineRule="auto"/>
        <w:rPr>
          <w:rFonts w:ascii="Times New Roman" w:hAnsi="Times New Roman" w:cs="Times New Roman"/>
          <w:b/>
          <w:bCs/>
          <w:sz w:val="24"/>
          <w:szCs w:val="24"/>
        </w:rPr>
      </w:pPr>
      <w:r w:rsidRPr="0060345A">
        <w:rPr>
          <w:rFonts w:ascii="Times New Roman" w:hAnsi="Times New Roman" w:cs="Times New Roman"/>
          <w:b/>
          <w:bCs/>
          <w:sz w:val="24"/>
          <w:szCs w:val="24"/>
        </w:rPr>
        <w:t xml:space="preserve">Role of State Government: </w:t>
      </w:r>
    </w:p>
    <w:p w14:paraId="3DAFF72D" w14:textId="7272EBB3" w:rsidR="00446D4E" w:rsidRPr="00446D4E" w:rsidRDefault="00446D4E" w:rsidP="00446D4E">
      <w:pPr>
        <w:spacing w:line="360" w:lineRule="auto"/>
        <w:jc w:val="both"/>
        <w:rPr>
          <w:rFonts w:ascii="Times New Roman" w:hAnsi="Times New Roman" w:cs="Times New Roman"/>
          <w:sz w:val="24"/>
          <w:szCs w:val="24"/>
        </w:rPr>
      </w:pPr>
      <w:r w:rsidRPr="00446D4E">
        <w:rPr>
          <w:rFonts w:ascii="Times New Roman" w:hAnsi="Times New Roman" w:cs="Times New Roman"/>
          <w:sz w:val="24"/>
          <w:szCs w:val="24"/>
        </w:rPr>
        <w:t xml:space="preserve">Similar consolidation and approval process should also be undertaken at the State Level. The States/ </w:t>
      </w:r>
      <w:proofErr w:type="spellStart"/>
      <w:r w:rsidRPr="00446D4E">
        <w:rPr>
          <w:rFonts w:ascii="Times New Roman" w:hAnsi="Times New Roman" w:cs="Times New Roman"/>
          <w:sz w:val="24"/>
          <w:szCs w:val="24"/>
        </w:rPr>
        <w:t>UTs</w:t>
      </w:r>
      <w:proofErr w:type="spellEnd"/>
      <w:r w:rsidRPr="00446D4E">
        <w:rPr>
          <w:rFonts w:ascii="Times New Roman" w:hAnsi="Times New Roman" w:cs="Times New Roman"/>
          <w:sz w:val="24"/>
          <w:szCs w:val="24"/>
        </w:rPr>
        <w:t xml:space="preserve"> are advised to incorporate the advancement in space technology and remote sensing to take up GIS based planning and to also ensure that all the permissible works under Mahatma Gandhi NREGS are identified in saturation mode and are included in the plan for implementation in a phased manner. The State Governments should ensure that in such cases where Gram Panchayat is the implementing agency, the works are ratified by the concerned Gram Sabha. In case of implementing agencies being other than the Gram Panchayat, the works should have been ratified by the intermediate or the District Panchayats along with the expected outcomes.</w:t>
      </w:r>
    </w:p>
    <w:p w14:paraId="266BC153" w14:textId="76C49775" w:rsidR="00BE60D6" w:rsidRPr="0060345A" w:rsidRDefault="00BE60D6" w:rsidP="0060345A">
      <w:pPr>
        <w:pStyle w:val="ListParagraph"/>
        <w:numPr>
          <w:ilvl w:val="0"/>
          <w:numId w:val="4"/>
        </w:numPr>
        <w:spacing w:line="360" w:lineRule="auto"/>
        <w:rPr>
          <w:rFonts w:ascii="Times New Roman" w:hAnsi="Times New Roman" w:cs="Times New Roman"/>
          <w:b/>
          <w:bCs/>
          <w:sz w:val="24"/>
          <w:szCs w:val="24"/>
        </w:rPr>
      </w:pPr>
      <w:r w:rsidRPr="0060345A">
        <w:rPr>
          <w:rFonts w:ascii="Times New Roman" w:hAnsi="Times New Roman" w:cs="Times New Roman"/>
          <w:b/>
          <w:bCs/>
          <w:sz w:val="24"/>
          <w:szCs w:val="24"/>
        </w:rPr>
        <w:lastRenderedPageBreak/>
        <w:t xml:space="preserve">Focus on Climate Change </w:t>
      </w:r>
    </w:p>
    <w:p w14:paraId="60651107" w14:textId="7F306C4E" w:rsidR="00C74BDE" w:rsidRDefault="00BE60D6" w:rsidP="00BE60D6">
      <w:pPr>
        <w:spacing w:line="360" w:lineRule="auto"/>
        <w:jc w:val="both"/>
        <w:rPr>
          <w:rFonts w:ascii="Times New Roman" w:hAnsi="Times New Roman" w:cs="Times New Roman"/>
          <w:sz w:val="24"/>
          <w:szCs w:val="24"/>
        </w:rPr>
      </w:pPr>
      <w:r w:rsidRPr="00BE60D6">
        <w:rPr>
          <w:rFonts w:ascii="Times New Roman" w:hAnsi="Times New Roman" w:cs="Times New Roman"/>
          <w:sz w:val="24"/>
          <w:szCs w:val="24"/>
        </w:rPr>
        <w:t>Infrastructure built under Mahatma Gandhi NREGS leads to increased water availability for irrigation, groundwater recharge, increased agricultural production and carbon sequestration. The Ministry of Environment, Forest and Climate Change recognizes Mahatma Gandhi NREGA as one of the 24 key initiatives to address the problem of climate change, while simultaneously improving the livelihoods of the poor, particularly the Category A activities, which are public works relating to natural resource management. Planning and design of works under Mahatma Gandhi NREGS should take into account, impacts of climate change in order to ensure resilience of vulnerable rural communities and make the benefits sustainable in the long run. Specifically, the following things should be ensured:</w:t>
      </w:r>
    </w:p>
    <w:p w14:paraId="7B8104C7" w14:textId="7FB7F0F5" w:rsidR="00C74BDE" w:rsidRDefault="00BE60D6" w:rsidP="00BE60D6">
      <w:pPr>
        <w:spacing w:line="360" w:lineRule="auto"/>
        <w:jc w:val="both"/>
        <w:rPr>
          <w:rFonts w:ascii="Times New Roman" w:hAnsi="Times New Roman" w:cs="Times New Roman"/>
          <w:sz w:val="24"/>
          <w:szCs w:val="24"/>
        </w:rPr>
      </w:pPr>
      <w:r w:rsidRPr="00BE60D6">
        <w:rPr>
          <w:rFonts w:ascii="Times New Roman" w:hAnsi="Times New Roman" w:cs="Times New Roman"/>
          <w:sz w:val="24"/>
          <w:szCs w:val="24"/>
        </w:rPr>
        <w:t xml:space="preserve">I. Historical and projected climate change data, especially incidence of droughts and floods, along with vulnerability assessment at the district, block or gram panchayat level should be used in the planning and design of Mahatma Gandhi NREGS works. </w:t>
      </w:r>
    </w:p>
    <w:p w14:paraId="0CFD4E92" w14:textId="167DED35" w:rsidR="008D5085" w:rsidRDefault="00C74BDE" w:rsidP="00BE60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BE60D6" w:rsidRPr="00BE60D6">
        <w:rPr>
          <w:rFonts w:ascii="Times New Roman" w:hAnsi="Times New Roman" w:cs="Times New Roman"/>
          <w:sz w:val="24"/>
          <w:szCs w:val="24"/>
        </w:rPr>
        <w:t>Different kinds of complementary Natural Resource Management (NRM) work such as land development with plantation on the bunds, farm ponds and compost pits should be combined, in order to ensure durability of assets and resilience of communities that depend on such assets.</w:t>
      </w:r>
    </w:p>
    <w:p w14:paraId="42686600" w14:textId="3A9941A4" w:rsidR="009C7E0D" w:rsidRPr="0060345A" w:rsidRDefault="009C7E0D" w:rsidP="0060345A">
      <w:pPr>
        <w:pStyle w:val="ListParagraph"/>
        <w:numPr>
          <w:ilvl w:val="0"/>
          <w:numId w:val="4"/>
        </w:numPr>
        <w:spacing w:line="360" w:lineRule="auto"/>
        <w:jc w:val="both"/>
        <w:rPr>
          <w:rFonts w:ascii="Times New Roman" w:hAnsi="Times New Roman" w:cs="Times New Roman"/>
          <w:b/>
          <w:bCs/>
          <w:sz w:val="24"/>
          <w:szCs w:val="24"/>
        </w:rPr>
      </w:pPr>
      <w:r w:rsidRPr="0060345A">
        <w:rPr>
          <w:rFonts w:ascii="Times New Roman" w:hAnsi="Times New Roman" w:cs="Times New Roman"/>
          <w:b/>
          <w:bCs/>
          <w:sz w:val="24"/>
          <w:szCs w:val="24"/>
        </w:rPr>
        <w:t xml:space="preserve">Natural Resource Management Works - Mission Water Conservation (MWC) </w:t>
      </w:r>
    </w:p>
    <w:p w14:paraId="05073F10" w14:textId="27194B5B" w:rsidR="009C7E0D" w:rsidRDefault="009C7E0D" w:rsidP="00BE60D6">
      <w:pPr>
        <w:spacing w:line="360" w:lineRule="auto"/>
        <w:jc w:val="both"/>
        <w:rPr>
          <w:rFonts w:ascii="Times New Roman" w:hAnsi="Times New Roman" w:cs="Times New Roman"/>
          <w:sz w:val="24"/>
          <w:szCs w:val="24"/>
        </w:rPr>
      </w:pPr>
      <w:r w:rsidRPr="009C7E0D">
        <w:rPr>
          <w:rFonts w:ascii="Times New Roman" w:hAnsi="Times New Roman" w:cs="Times New Roman"/>
          <w:sz w:val="24"/>
          <w:szCs w:val="24"/>
        </w:rPr>
        <w:t>A convergence Framework for scientific planning and execution of water management works with the use of latest technology has been mandated in consultation with an agreement of the Ministry of Water Resources, River Development &amp; Ganga Rejuvenation and the Ministry of Agriculture and Farmers Welfare. The focus will be on 2129 Blocks identified under MWC. In pursuance of Schedule-I of Mahatma Gandhi NREGA, 266 kinds of works/ activities have been identified as permissible works, of which 58 kinds of works relate to NRM alone and 150 works are related to agriculture and allied activities. The works taken up in Mahatma Gandhi NREGS should change from taking up individual, stand-alone works in a typical ‘relief works mode’ to an INRM perspective. Planned and systematic development of land and harnessing of rainwater following watershed principles should become the central focus of Mahatma Gandhi NREGS work across the country to sustainably enhance farm productivity and income of poor people. Even the works on private lands should be taken up following the principles of watershed management in an integrated manner.</w:t>
      </w:r>
    </w:p>
    <w:p w14:paraId="19839261" w14:textId="77777777" w:rsidR="00177D12" w:rsidRDefault="009C7E0D" w:rsidP="00BE60D6">
      <w:pPr>
        <w:spacing w:line="360" w:lineRule="auto"/>
        <w:jc w:val="both"/>
        <w:rPr>
          <w:rFonts w:ascii="Times New Roman" w:hAnsi="Times New Roman" w:cs="Times New Roman"/>
          <w:sz w:val="24"/>
          <w:szCs w:val="24"/>
        </w:rPr>
      </w:pPr>
      <w:r w:rsidRPr="009C7E0D">
        <w:rPr>
          <w:rFonts w:ascii="Times New Roman" w:hAnsi="Times New Roman" w:cs="Times New Roman"/>
          <w:sz w:val="24"/>
          <w:szCs w:val="24"/>
        </w:rPr>
        <w:lastRenderedPageBreak/>
        <w:t>Technological support shall be taken from National Remote Sensing Centre, ISRO for identification and holistic planning of permissible works to be taken up in the watersheds using GIS Technology (BHUVAN). The GIS plans shall be comprehensive ones incorporating all eligible works under Mahatma Gandhi NREGS and the same shall be implemented in a phased manner. Central Ground Water Board, a storehouse of information related to groundwater resources and having technical expertise available at regional/ State level on designs and structures suitable/ required for water stressed blocks based on their geomorphological and climatic zone, should be consulted for planning, monitoring and execution of structures impacting ground water resource.</w:t>
      </w:r>
      <w:r w:rsidR="00177D12">
        <w:rPr>
          <w:rFonts w:ascii="Times New Roman" w:hAnsi="Times New Roman" w:cs="Times New Roman"/>
          <w:sz w:val="24"/>
          <w:szCs w:val="24"/>
        </w:rPr>
        <w:t xml:space="preserve"> </w:t>
      </w:r>
      <w:r w:rsidRPr="009C7E0D">
        <w:rPr>
          <w:rFonts w:ascii="Times New Roman" w:hAnsi="Times New Roman" w:cs="Times New Roman"/>
          <w:sz w:val="24"/>
          <w:szCs w:val="24"/>
        </w:rPr>
        <w:t xml:space="preserve">Watershed management works can be taken up independently under Mahatma Gandhi NREGA where there is no IWMP project sanctioned/proposed, subject to the conditions that: </w:t>
      </w:r>
    </w:p>
    <w:p w14:paraId="7906F224" w14:textId="77777777" w:rsidR="00177D12" w:rsidRDefault="009C7E0D" w:rsidP="00BE60D6">
      <w:pPr>
        <w:spacing w:line="360" w:lineRule="auto"/>
        <w:jc w:val="both"/>
        <w:rPr>
          <w:rFonts w:ascii="Times New Roman" w:hAnsi="Times New Roman" w:cs="Times New Roman"/>
          <w:sz w:val="24"/>
          <w:szCs w:val="24"/>
        </w:rPr>
      </w:pPr>
      <w:r w:rsidRPr="009C7E0D">
        <w:rPr>
          <w:rFonts w:ascii="Times New Roman" w:hAnsi="Times New Roman" w:cs="Times New Roman"/>
          <w:sz w:val="24"/>
          <w:szCs w:val="24"/>
        </w:rPr>
        <w:t xml:space="preserve">1) Watershed Management works will be taken up only after a comprehensive assessment of the entire watershed in the GP and shall address all issues of soil erosion, rain water retention and afforestation; </w:t>
      </w:r>
    </w:p>
    <w:p w14:paraId="5D6736FE" w14:textId="77777777" w:rsidR="00177D12" w:rsidRDefault="009C7E0D" w:rsidP="00BE60D6">
      <w:pPr>
        <w:spacing w:line="360" w:lineRule="auto"/>
        <w:jc w:val="both"/>
        <w:rPr>
          <w:rFonts w:ascii="Times New Roman" w:hAnsi="Times New Roman" w:cs="Times New Roman"/>
          <w:sz w:val="24"/>
          <w:szCs w:val="24"/>
        </w:rPr>
      </w:pPr>
      <w:r w:rsidRPr="009C7E0D">
        <w:rPr>
          <w:rFonts w:ascii="Times New Roman" w:hAnsi="Times New Roman" w:cs="Times New Roman"/>
          <w:sz w:val="24"/>
          <w:szCs w:val="24"/>
        </w:rPr>
        <w:t xml:space="preserve">2) Stand-alone works in the above category without a comprehensive watershed plan shall not be permitted; </w:t>
      </w:r>
    </w:p>
    <w:p w14:paraId="60E8530A" w14:textId="77777777" w:rsidR="00177D12" w:rsidRDefault="009C7E0D" w:rsidP="00BE60D6">
      <w:pPr>
        <w:spacing w:line="360" w:lineRule="auto"/>
        <w:jc w:val="both"/>
        <w:rPr>
          <w:rFonts w:ascii="Times New Roman" w:hAnsi="Times New Roman" w:cs="Times New Roman"/>
          <w:sz w:val="24"/>
          <w:szCs w:val="24"/>
        </w:rPr>
      </w:pPr>
      <w:r w:rsidRPr="009C7E0D">
        <w:rPr>
          <w:rFonts w:ascii="Times New Roman" w:hAnsi="Times New Roman" w:cs="Times New Roman"/>
          <w:sz w:val="24"/>
          <w:szCs w:val="24"/>
        </w:rPr>
        <w:t xml:space="preserve">3) Efforts to complete structures in one working season will be made rather than carrying on works for many years; </w:t>
      </w:r>
    </w:p>
    <w:p w14:paraId="19CE0D09" w14:textId="28341F2A" w:rsidR="00177D12" w:rsidRDefault="009C7E0D" w:rsidP="00BE60D6">
      <w:pPr>
        <w:spacing w:line="360" w:lineRule="auto"/>
        <w:jc w:val="both"/>
        <w:rPr>
          <w:rFonts w:ascii="Times New Roman" w:hAnsi="Times New Roman" w:cs="Times New Roman"/>
          <w:sz w:val="24"/>
          <w:szCs w:val="24"/>
        </w:rPr>
      </w:pPr>
      <w:r w:rsidRPr="009C7E0D">
        <w:rPr>
          <w:rFonts w:ascii="Times New Roman" w:hAnsi="Times New Roman" w:cs="Times New Roman"/>
          <w:sz w:val="24"/>
          <w:szCs w:val="24"/>
        </w:rPr>
        <w:t>4) The comprehensive watershed plan shall be prepared in accordance with the concepts of ridge to valley treatment. It is recommended to use the satellite imagery for this planning work. GIS technology should be used for the watershed planning;</w:t>
      </w:r>
    </w:p>
    <w:p w14:paraId="5ADA79A4" w14:textId="77777777" w:rsidR="00FA1CA2" w:rsidRDefault="009C7E0D" w:rsidP="00BE60D6">
      <w:pPr>
        <w:spacing w:line="360" w:lineRule="auto"/>
        <w:jc w:val="both"/>
        <w:rPr>
          <w:rFonts w:ascii="Times New Roman" w:hAnsi="Times New Roman" w:cs="Times New Roman"/>
          <w:sz w:val="24"/>
          <w:szCs w:val="24"/>
        </w:rPr>
      </w:pPr>
      <w:r w:rsidRPr="009C7E0D">
        <w:rPr>
          <w:rFonts w:ascii="Times New Roman" w:hAnsi="Times New Roman" w:cs="Times New Roman"/>
          <w:sz w:val="24"/>
          <w:szCs w:val="24"/>
        </w:rPr>
        <w:t xml:space="preserve">5) For selection of the appropriate sites and preparing the above plans, the Engineers/Technical Assistants and Mates of Mahatma Gandhi NREGS at Block and GP level would be trained and supported by the State Level Nodal Agency (SLNA) of IWMP and technical personnel of WCDC, the cost of which would be met by the Administrative cost of Mahatma Gandhi NREGS. E-Saksham, the massive open online course is available on </w:t>
      </w:r>
      <w:proofErr w:type="spellStart"/>
      <w:r w:rsidRPr="009C7E0D">
        <w:rPr>
          <w:rFonts w:ascii="Times New Roman" w:hAnsi="Times New Roman" w:cs="Times New Roman"/>
          <w:sz w:val="24"/>
          <w:szCs w:val="24"/>
        </w:rPr>
        <w:t>NREGASoft</w:t>
      </w:r>
      <w:proofErr w:type="spellEnd"/>
      <w:r w:rsidRPr="009C7E0D">
        <w:rPr>
          <w:rFonts w:ascii="Times New Roman" w:hAnsi="Times New Roman" w:cs="Times New Roman"/>
          <w:sz w:val="24"/>
          <w:szCs w:val="24"/>
        </w:rPr>
        <w:t xml:space="preserve">, which can be used by the technical functionaries for enhancing their capacity for GIS based planning; </w:t>
      </w:r>
    </w:p>
    <w:p w14:paraId="7098B3D2" w14:textId="77777777" w:rsidR="00FA1CA2" w:rsidRDefault="009C7E0D" w:rsidP="00BE60D6">
      <w:pPr>
        <w:spacing w:line="360" w:lineRule="auto"/>
        <w:jc w:val="both"/>
        <w:rPr>
          <w:rFonts w:ascii="Times New Roman" w:hAnsi="Times New Roman" w:cs="Times New Roman"/>
          <w:sz w:val="24"/>
          <w:szCs w:val="24"/>
        </w:rPr>
      </w:pPr>
      <w:r w:rsidRPr="009C7E0D">
        <w:rPr>
          <w:rFonts w:ascii="Times New Roman" w:hAnsi="Times New Roman" w:cs="Times New Roman"/>
          <w:sz w:val="24"/>
          <w:szCs w:val="24"/>
        </w:rPr>
        <w:t>6) Watershed works will preferably be taken up in a cluster mode.</w:t>
      </w:r>
    </w:p>
    <w:p w14:paraId="3149D397" w14:textId="41024E07" w:rsidR="009C7E0D" w:rsidRDefault="009C7E0D" w:rsidP="00BE60D6">
      <w:pPr>
        <w:spacing w:line="360" w:lineRule="auto"/>
        <w:jc w:val="both"/>
        <w:rPr>
          <w:rFonts w:ascii="Times New Roman" w:hAnsi="Times New Roman" w:cs="Times New Roman"/>
          <w:sz w:val="24"/>
          <w:szCs w:val="24"/>
        </w:rPr>
      </w:pPr>
      <w:r w:rsidRPr="009C7E0D">
        <w:rPr>
          <w:rFonts w:ascii="Times New Roman" w:hAnsi="Times New Roman" w:cs="Times New Roman"/>
          <w:sz w:val="24"/>
          <w:szCs w:val="24"/>
        </w:rPr>
        <w:t xml:space="preserve">Watershed management works under Mahatma Gandhi NREGA in convergence with IWMP- wherever IWMP project is already sanctioned, it must be ensured that the material intensive works are taken up under IWMP, and all the other labour intensive NRM works are done under </w:t>
      </w:r>
      <w:r w:rsidRPr="009C7E0D">
        <w:rPr>
          <w:rFonts w:ascii="Times New Roman" w:hAnsi="Times New Roman" w:cs="Times New Roman"/>
          <w:sz w:val="24"/>
          <w:szCs w:val="24"/>
        </w:rPr>
        <w:lastRenderedPageBreak/>
        <w:t>Mahatma Gandhi NREGS. Under no circumstance there shall be duplication or double counting of works. It shall be the responsibility of the Programme Officers of Mahatma Gandhi NREGS</w:t>
      </w:r>
      <w:r w:rsidR="007053A0">
        <w:rPr>
          <w:rFonts w:ascii="Times New Roman" w:hAnsi="Times New Roman" w:cs="Times New Roman"/>
          <w:sz w:val="24"/>
          <w:szCs w:val="24"/>
        </w:rPr>
        <w:t xml:space="preserve"> </w:t>
      </w:r>
      <w:r w:rsidR="007053A0" w:rsidRPr="007053A0">
        <w:rPr>
          <w:rFonts w:ascii="Times New Roman" w:hAnsi="Times New Roman" w:cs="Times New Roman"/>
          <w:sz w:val="24"/>
          <w:szCs w:val="24"/>
        </w:rPr>
        <w:t xml:space="preserve">and IWMP to ensure this convergence and follow all non-negotiables and processes of Mahatma Gandhi NREGA. The Department of Land Resources has transferred uninitiated projects and projects in preparatory phase under Pradhan Mantri Krishi </w:t>
      </w:r>
      <w:proofErr w:type="spellStart"/>
      <w:r w:rsidR="007053A0" w:rsidRPr="007053A0">
        <w:rPr>
          <w:rFonts w:ascii="Times New Roman" w:hAnsi="Times New Roman" w:cs="Times New Roman"/>
          <w:sz w:val="24"/>
          <w:szCs w:val="24"/>
        </w:rPr>
        <w:t>Sinchayee</w:t>
      </w:r>
      <w:proofErr w:type="spellEnd"/>
      <w:r w:rsidR="007053A0" w:rsidRPr="007053A0">
        <w:rPr>
          <w:rFonts w:ascii="Times New Roman" w:hAnsi="Times New Roman" w:cs="Times New Roman"/>
          <w:sz w:val="24"/>
          <w:szCs w:val="24"/>
        </w:rPr>
        <w:t xml:space="preserve"> Yojana (WDC-PMKSY) to the respective States to take them up under the respective States’ budget. </w:t>
      </w:r>
    </w:p>
    <w:p w14:paraId="1594FFF5" w14:textId="77777777" w:rsidR="00B25607" w:rsidRDefault="00B25607" w:rsidP="00BE60D6">
      <w:pPr>
        <w:spacing w:line="360" w:lineRule="auto"/>
        <w:jc w:val="both"/>
        <w:rPr>
          <w:rFonts w:ascii="Times New Roman" w:hAnsi="Times New Roman" w:cs="Times New Roman"/>
          <w:sz w:val="24"/>
          <w:szCs w:val="24"/>
        </w:rPr>
      </w:pPr>
      <w:r w:rsidRPr="00B25607">
        <w:rPr>
          <w:rFonts w:ascii="Times New Roman" w:hAnsi="Times New Roman" w:cs="Times New Roman"/>
          <w:sz w:val="24"/>
          <w:szCs w:val="24"/>
        </w:rPr>
        <w:t xml:space="preserve">Areas where DPR needs to be revisited due to inadequacy, the </w:t>
      </w:r>
      <w:proofErr w:type="spellStart"/>
      <w:r w:rsidRPr="00B25607">
        <w:rPr>
          <w:rFonts w:ascii="Times New Roman" w:hAnsi="Times New Roman" w:cs="Times New Roman"/>
          <w:sz w:val="24"/>
          <w:szCs w:val="24"/>
        </w:rPr>
        <w:t>eDPRs</w:t>
      </w:r>
      <w:proofErr w:type="spellEnd"/>
      <w:r w:rsidRPr="00B25607">
        <w:rPr>
          <w:rFonts w:ascii="Times New Roman" w:hAnsi="Times New Roman" w:cs="Times New Roman"/>
          <w:sz w:val="24"/>
          <w:szCs w:val="24"/>
        </w:rPr>
        <w:t xml:space="preserve"> of these watersheds should be used. New IWMP projects - In all future IWMP projects where </w:t>
      </w:r>
      <w:proofErr w:type="spellStart"/>
      <w:r w:rsidRPr="00B25607">
        <w:rPr>
          <w:rFonts w:ascii="Times New Roman" w:hAnsi="Times New Roman" w:cs="Times New Roman"/>
          <w:sz w:val="24"/>
          <w:szCs w:val="24"/>
        </w:rPr>
        <w:t>DPRs</w:t>
      </w:r>
      <w:proofErr w:type="spellEnd"/>
      <w:r w:rsidRPr="00B25607">
        <w:rPr>
          <w:rFonts w:ascii="Times New Roman" w:hAnsi="Times New Roman" w:cs="Times New Roman"/>
          <w:sz w:val="24"/>
          <w:szCs w:val="24"/>
        </w:rPr>
        <w:t xml:space="preserve"> of IWMP will be prepared, the NRM activities to be taken up through convergence with Mahatma Gandhi NREGA need to be included and clearly indicated in the DPR in consultation with concerned officials of Mahatma Gandhi NREGS, watershed committees and Gram Sabha. The technical resources of Watershed areas should be moved in these areas to prepare the </w:t>
      </w:r>
      <w:proofErr w:type="spellStart"/>
      <w:r w:rsidRPr="00B25607">
        <w:rPr>
          <w:rFonts w:ascii="Times New Roman" w:hAnsi="Times New Roman" w:cs="Times New Roman"/>
          <w:sz w:val="24"/>
          <w:szCs w:val="24"/>
        </w:rPr>
        <w:t>DPRs</w:t>
      </w:r>
      <w:proofErr w:type="spellEnd"/>
      <w:r w:rsidRPr="00B25607">
        <w:rPr>
          <w:rFonts w:ascii="Times New Roman" w:hAnsi="Times New Roman" w:cs="Times New Roman"/>
          <w:sz w:val="24"/>
          <w:szCs w:val="24"/>
        </w:rPr>
        <w:t xml:space="preserve">. CSR support should be encouraged to provide technical resources for these areas so that good </w:t>
      </w:r>
      <w:proofErr w:type="spellStart"/>
      <w:r w:rsidRPr="00B25607">
        <w:rPr>
          <w:rFonts w:ascii="Times New Roman" w:hAnsi="Times New Roman" w:cs="Times New Roman"/>
          <w:sz w:val="24"/>
          <w:szCs w:val="24"/>
        </w:rPr>
        <w:t>DPRs</w:t>
      </w:r>
      <w:proofErr w:type="spellEnd"/>
      <w:r w:rsidRPr="00B25607">
        <w:rPr>
          <w:rFonts w:ascii="Times New Roman" w:hAnsi="Times New Roman" w:cs="Times New Roman"/>
          <w:sz w:val="24"/>
          <w:szCs w:val="24"/>
        </w:rPr>
        <w:t xml:space="preserve"> may be prepared and effective monitoring is done. Prioritising Works of Command Area Development &amp; Water Management (CAD&amp;WM), Extension, Renovation &amp; Modernization (ERM) of old CAD&amp;WM projects and Water Bodies: The growing gap between irrigation capacity created and irrigation capacity utilised is a major challenge facing surface irrigation systems. </w:t>
      </w:r>
    </w:p>
    <w:p w14:paraId="42D4B0C4" w14:textId="1B2A5D6D" w:rsidR="00B25607" w:rsidRDefault="00B25607" w:rsidP="00BE60D6">
      <w:pPr>
        <w:spacing w:line="360" w:lineRule="auto"/>
        <w:jc w:val="both"/>
        <w:rPr>
          <w:rFonts w:ascii="Times New Roman" w:hAnsi="Times New Roman" w:cs="Times New Roman"/>
          <w:sz w:val="24"/>
          <w:szCs w:val="24"/>
        </w:rPr>
      </w:pPr>
      <w:r w:rsidRPr="00B25607">
        <w:rPr>
          <w:rFonts w:ascii="Times New Roman" w:hAnsi="Times New Roman" w:cs="Times New Roman"/>
          <w:sz w:val="24"/>
          <w:szCs w:val="24"/>
        </w:rPr>
        <w:t>The major reason for this growing gap is the neglect of Command Area Development (CAD) works, especially On Farm Development (OFD) works like field channels, field drains, farm drains, etc. The works permissible under Mahatma Gandhi NREGA will entail one-time rehabilitation of minors, sub- minors and field channels, including desilting, repair of minor cracks, land levelling, repairs of earthen embankments, bank raising and resurfacing canal base with clay, lining of canals, field drains and farm net. Regular O&amp;M will not be a permissible activity under Mahatma Gandhi NREGA. It is advised that proposal(s) of maintenance of irrigation channels of the GPs (after compilation at Block and District level) should be considered in</w:t>
      </w:r>
      <w:r>
        <w:rPr>
          <w:rFonts w:ascii="Times New Roman" w:hAnsi="Times New Roman" w:cs="Times New Roman"/>
          <w:sz w:val="24"/>
          <w:szCs w:val="24"/>
        </w:rPr>
        <w:t xml:space="preserve"> </w:t>
      </w:r>
      <w:r w:rsidRPr="00B25607">
        <w:rPr>
          <w:rFonts w:ascii="Times New Roman" w:hAnsi="Times New Roman" w:cs="Times New Roman"/>
          <w:sz w:val="24"/>
          <w:szCs w:val="24"/>
        </w:rPr>
        <w:t xml:space="preserve">consultation with the Irrigation Department. Only those cases, where maintenance requirement is established, but could not be addressed as a part of the regular maintenance work, can be considered under Mahatma Gandhi NREGA, which may include desilting, maintenance of canal bunds and repair of lining etc., for which detailed survey, with existing L-section &amp; designed L section has to be carried out. The States/ </w:t>
      </w:r>
      <w:proofErr w:type="spellStart"/>
      <w:r w:rsidRPr="00B25607">
        <w:rPr>
          <w:rFonts w:ascii="Times New Roman" w:hAnsi="Times New Roman" w:cs="Times New Roman"/>
          <w:sz w:val="24"/>
          <w:szCs w:val="24"/>
        </w:rPr>
        <w:t>UTs</w:t>
      </w:r>
      <w:proofErr w:type="spellEnd"/>
      <w:r w:rsidRPr="00B25607">
        <w:rPr>
          <w:rFonts w:ascii="Times New Roman" w:hAnsi="Times New Roman" w:cs="Times New Roman"/>
          <w:sz w:val="24"/>
          <w:szCs w:val="24"/>
        </w:rPr>
        <w:t xml:space="preserve"> should use list of completed AIBP/ other projects for ERM works and list of non-functional Water Bodies for planning. There shall be no duplication or double counting in respect of any other scheme of the Ministry of Water Resources, River Development &amp; Gang Rejuvenation.</w:t>
      </w:r>
    </w:p>
    <w:p w14:paraId="5D56172F" w14:textId="00AF384E" w:rsidR="006A3E55" w:rsidRPr="0060345A" w:rsidRDefault="006A3E55" w:rsidP="0060345A">
      <w:pPr>
        <w:pStyle w:val="ListParagraph"/>
        <w:numPr>
          <w:ilvl w:val="0"/>
          <w:numId w:val="4"/>
        </w:numPr>
        <w:spacing w:line="360" w:lineRule="auto"/>
        <w:jc w:val="both"/>
        <w:rPr>
          <w:rFonts w:ascii="Times New Roman" w:hAnsi="Times New Roman" w:cs="Times New Roman"/>
          <w:b/>
          <w:bCs/>
          <w:sz w:val="24"/>
          <w:szCs w:val="24"/>
        </w:rPr>
      </w:pPr>
      <w:r w:rsidRPr="0060345A">
        <w:rPr>
          <w:rFonts w:ascii="Times New Roman" w:hAnsi="Times New Roman" w:cs="Times New Roman"/>
          <w:b/>
          <w:bCs/>
          <w:sz w:val="24"/>
          <w:szCs w:val="24"/>
        </w:rPr>
        <w:lastRenderedPageBreak/>
        <w:t xml:space="preserve">Rural Infrastructure </w:t>
      </w:r>
    </w:p>
    <w:p w14:paraId="6D896F27" w14:textId="77777777" w:rsidR="006A3E55" w:rsidRDefault="006A3E55" w:rsidP="00BE60D6">
      <w:pPr>
        <w:spacing w:line="360" w:lineRule="auto"/>
        <w:jc w:val="both"/>
        <w:rPr>
          <w:rFonts w:ascii="Times New Roman" w:hAnsi="Times New Roman" w:cs="Times New Roman"/>
          <w:sz w:val="24"/>
          <w:szCs w:val="24"/>
        </w:rPr>
      </w:pPr>
      <w:r w:rsidRPr="006A3E55">
        <w:rPr>
          <w:rFonts w:ascii="Times New Roman" w:hAnsi="Times New Roman" w:cs="Times New Roman"/>
          <w:sz w:val="24"/>
          <w:szCs w:val="24"/>
        </w:rPr>
        <w:t xml:space="preserve">The following significant instructions are noteworthy: </w:t>
      </w:r>
    </w:p>
    <w:p w14:paraId="22A00C60" w14:textId="68E7D767" w:rsidR="006A3E55" w:rsidRPr="00B41C44" w:rsidRDefault="006A3E55" w:rsidP="00B41C44">
      <w:pPr>
        <w:pStyle w:val="ListParagraph"/>
        <w:numPr>
          <w:ilvl w:val="0"/>
          <w:numId w:val="3"/>
        </w:numPr>
        <w:spacing w:line="360" w:lineRule="auto"/>
        <w:jc w:val="both"/>
        <w:rPr>
          <w:rFonts w:ascii="Times New Roman" w:hAnsi="Times New Roman" w:cs="Times New Roman"/>
          <w:sz w:val="24"/>
          <w:szCs w:val="24"/>
        </w:rPr>
      </w:pPr>
      <w:r w:rsidRPr="00B41C44">
        <w:rPr>
          <w:rFonts w:ascii="Times New Roman" w:hAnsi="Times New Roman" w:cs="Times New Roman"/>
          <w:b/>
          <w:bCs/>
          <w:sz w:val="24"/>
          <w:szCs w:val="24"/>
        </w:rPr>
        <w:t>Use of Appropriate technologies:</w:t>
      </w:r>
      <w:r w:rsidRPr="00B41C44">
        <w:rPr>
          <w:rFonts w:ascii="Times New Roman" w:hAnsi="Times New Roman" w:cs="Times New Roman"/>
          <w:sz w:val="24"/>
          <w:szCs w:val="24"/>
        </w:rPr>
        <w:t xml:space="preserve"> The paragraph 13(a) of schedule I of Mahatma Gandhi NREGA has mandated use of labour intensive and cost effective technologies and local materials in construction. Accordingly, the appropriate technologies for buildings under Mahatma Gandhi NREGS may be promoted, wherein, local building traditions/ other appropriate technologies are used so that the use of cement, sand and steel in construction is substantially reduced, without compromising the durability of the structure. Suitable building materials may be selected for each building and produced at/near to the construction site under Mahatma Gandhi NREGS. Use of fly ash and its products should be promoted in the construction activities under Mahatma Gandhi NREGS as a sustainable and environment friendly measure. States may consider setting up of a Centre for Appropriate Technologies for design, technology and training for eco-friendly building technologies and preparation/ dissemination of IEC material to promote the same.</w:t>
      </w:r>
    </w:p>
    <w:p w14:paraId="4CC5C643" w14:textId="77777777" w:rsidR="00945E69" w:rsidRDefault="00B41C44" w:rsidP="00B41C44">
      <w:pPr>
        <w:pStyle w:val="ListParagraph"/>
        <w:numPr>
          <w:ilvl w:val="0"/>
          <w:numId w:val="3"/>
        </w:numPr>
        <w:spacing w:line="360" w:lineRule="auto"/>
        <w:jc w:val="both"/>
        <w:rPr>
          <w:rFonts w:ascii="Times New Roman" w:hAnsi="Times New Roman" w:cs="Times New Roman"/>
          <w:sz w:val="24"/>
          <w:szCs w:val="24"/>
        </w:rPr>
      </w:pPr>
      <w:r w:rsidRPr="00B41C44">
        <w:rPr>
          <w:rFonts w:ascii="Times New Roman" w:hAnsi="Times New Roman" w:cs="Times New Roman"/>
          <w:b/>
          <w:bCs/>
          <w:sz w:val="24"/>
          <w:szCs w:val="24"/>
        </w:rPr>
        <w:t>Gramin (Rural) Haats:</w:t>
      </w:r>
      <w:r w:rsidRPr="00B41C44">
        <w:rPr>
          <w:rFonts w:ascii="Times New Roman" w:hAnsi="Times New Roman" w:cs="Times New Roman"/>
          <w:sz w:val="24"/>
          <w:szCs w:val="24"/>
        </w:rPr>
        <w:t xml:space="preserve"> Construction/upgradation of Rural Haats infrastructure would help rural artisans and farmers connect to the market. Rural Haats may be constructed at the existing place of marketing in the villages or blocks where weekly/daily Haats already exist. The land for the proposed rural Haats must be owned by the Gram Panchayat / Government. The structure can be an open raised &amp; covered platform with facilities like storage, drinking water, toilets, garbage pits, parking space etc. A model plan for the construction of new </w:t>
      </w:r>
      <w:proofErr w:type="spellStart"/>
      <w:r w:rsidRPr="00B41C44">
        <w:rPr>
          <w:rFonts w:ascii="Times New Roman" w:hAnsi="Times New Roman" w:cs="Times New Roman"/>
          <w:sz w:val="24"/>
          <w:szCs w:val="24"/>
        </w:rPr>
        <w:t>Haat</w:t>
      </w:r>
      <w:proofErr w:type="spellEnd"/>
      <w:r w:rsidRPr="00B41C44">
        <w:rPr>
          <w:rFonts w:ascii="Times New Roman" w:hAnsi="Times New Roman" w:cs="Times New Roman"/>
          <w:sz w:val="24"/>
          <w:szCs w:val="24"/>
        </w:rPr>
        <w:t xml:space="preserve"> is given in Samarthya Technical Manual. The Mahatma Gandhi NREGA officials may also co-ordinate with the State Rural Livelihoods Mission &amp; Department of Agriculture Marketing officials to identify possible locations and involvement of </w:t>
      </w:r>
      <w:proofErr w:type="spellStart"/>
      <w:r w:rsidRPr="00B41C44">
        <w:rPr>
          <w:rFonts w:ascii="Times New Roman" w:hAnsi="Times New Roman" w:cs="Times New Roman"/>
          <w:sz w:val="24"/>
          <w:szCs w:val="24"/>
        </w:rPr>
        <w:t>SHGs</w:t>
      </w:r>
      <w:proofErr w:type="spellEnd"/>
      <w:r w:rsidRPr="00B41C44">
        <w:rPr>
          <w:rFonts w:ascii="Times New Roman" w:hAnsi="Times New Roman" w:cs="Times New Roman"/>
          <w:sz w:val="24"/>
          <w:szCs w:val="24"/>
        </w:rPr>
        <w:t xml:space="preserve"> / producers’ groups for development of the rural Haats. </w:t>
      </w:r>
    </w:p>
    <w:p w14:paraId="0461589B" w14:textId="77777777" w:rsidR="00077A06" w:rsidRDefault="00B41C44" w:rsidP="00B41C44">
      <w:pPr>
        <w:pStyle w:val="ListParagraph"/>
        <w:numPr>
          <w:ilvl w:val="0"/>
          <w:numId w:val="3"/>
        </w:numPr>
        <w:spacing w:line="360" w:lineRule="auto"/>
        <w:jc w:val="both"/>
        <w:rPr>
          <w:rFonts w:ascii="Times New Roman" w:hAnsi="Times New Roman" w:cs="Times New Roman"/>
          <w:sz w:val="24"/>
          <w:szCs w:val="24"/>
        </w:rPr>
      </w:pPr>
      <w:r w:rsidRPr="00945E69">
        <w:rPr>
          <w:rFonts w:ascii="Times New Roman" w:hAnsi="Times New Roman" w:cs="Times New Roman"/>
          <w:b/>
          <w:bCs/>
          <w:sz w:val="24"/>
          <w:szCs w:val="24"/>
        </w:rPr>
        <w:t xml:space="preserve">Common Infrastructure for </w:t>
      </w:r>
      <w:proofErr w:type="spellStart"/>
      <w:r w:rsidRPr="00945E69">
        <w:rPr>
          <w:rFonts w:ascii="Times New Roman" w:hAnsi="Times New Roman" w:cs="Times New Roman"/>
          <w:b/>
          <w:bCs/>
          <w:sz w:val="24"/>
          <w:szCs w:val="24"/>
        </w:rPr>
        <w:t>SHGs</w:t>
      </w:r>
      <w:proofErr w:type="spellEnd"/>
      <w:r w:rsidRPr="00945E69">
        <w:rPr>
          <w:rFonts w:ascii="Times New Roman" w:hAnsi="Times New Roman" w:cs="Times New Roman"/>
          <w:b/>
          <w:bCs/>
          <w:sz w:val="24"/>
          <w:szCs w:val="24"/>
        </w:rPr>
        <w:t>:</w:t>
      </w:r>
      <w:r w:rsidRPr="00B41C44">
        <w:rPr>
          <w:rFonts w:ascii="Times New Roman" w:hAnsi="Times New Roman" w:cs="Times New Roman"/>
          <w:sz w:val="24"/>
          <w:szCs w:val="24"/>
        </w:rPr>
        <w:t xml:space="preserve"> Common work sheds for livelihood activities of self-help groups/ producer groups under DAY- NRLM can be taken up under Mahatma Gandhi NREGS. These could include creation of productive infrastructure for processing, storage, marketing and value addition (one-time expenditure), storage sheds for custom hiring centres / tool banks, sheds for milk collection centres and sheds/storage units for </w:t>
      </w:r>
      <w:proofErr w:type="spellStart"/>
      <w:r w:rsidRPr="00B41C44">
        <w:rPr>
          <w:rFonts w:ascii="Times New Roman" w:hAnsi="Times New Roman" w:cs="Times New Roman"/>
          <w:sz w:val="24"/>
          <w:szCs w:val="24"/>
        </w:rPr>
        <w:t>Tasar</w:t>
      </w:r>
      <w:proofErr w:type="spellEnd"/>
      <w:r w:rsidRPr="00B41C44">
        <w:rPr>
          <w:rFonts w:ascii="Times New Roman" w:hAnsi="Times New Roman" w:cs="Times New Roman"/>
          <w:sz w:val="24"/>
          <w:szCs w:val="24"/>
        </w:rPr>
        <w:t xml:space="preserve"> interventions. Only the fixed cost and not the recurring </w:t>
      </w:r>
      <w:r w:rsidRPr="00B41C44">
        <w:rPr>
          <w:rFonts w:ascii="Times New Roman" w:hAnsi="Times New Roman" w:cs="Times New Roman"/>
          <w:sz w:val="24"/>
          <w:szCs w:val="24"/>
        </w:rPr>
        <w:lastRenderedPageBreak/>
        <w:t xml:space="preserve">expenditure for infrastructure creation should be met with Mahatma Gandhi NREGS funds. </w:t>
      </w:r>
    </w:p>
    <w:p w14:paraId="0F8E8097" w14:textId="4024755F" w:rsidR="00B41C44" w:rsidRDefault="00B41C44" w:rsidP="00B41C44">
      <w:pPr>
        <w:pStyle w:val="ListParagraph"/>
        <w:numPr>
          <w:ilvl w:val="0"/>
          <w:numId w:val="3"/>
        </w:numPr>
        <w:spacing w:line="360" w:lineRule="auto"/>
        <w:jc w:val="both"/>
        <w:rPr>
          <w:rFonts w:ascii="Times New Roman" w:hAnsi="Times New Roman" w:cs="Times New Roman"/>
          <w:sz w:val="24"/>
          <w:szCs w:val="24"/>
        </w:rPr>
      </w:pPr>
      <w:r w:rsidRPr="00077A06">
        <w:rPr>
          <w:rFonts w:ascii="Times New Roman" w:hAnsi="Times New Roman" w:cs="Times New Roman"/>
          <w:b/>
          <w:bCs/>
          <w:sz w:val="24"/>
          <w:szCs w:val="24"/>
        </w:rPr>
        <w:t>Storage Godowns:</w:t>
      </w:r>
      <w:r w:rsidRPr="00B41C44">
        <w:rPr>
          <w:rFonts w:ascii="Times New Roman" w:hAnsi="Times New Roman" w:cs="Times New Roman"/>
          <w:sz w:val="24"/>
          <w:szCs w:val="24"/>
        </w:rPr>
        <w:t xml:space="preserve"> To augment the initiatives of Operation Green, which aims to promote Farmer Producers Organisations (FPOs) and </w:t>
      </w:r>
      <w:proofErr w:type="spellStart"/>
      <w:r w:rsidRPr="00B41C44">
        <w:rPr>
          <w:rFonts w:ascii="Times New Roman" w:hAnsi="Times New Roman" w:cs="Times New Roman"/>
          <w:sz w:val="24"/>
          <w:szCs w:val="24"/>
        </w:rPr>
        <w:t>agri</w:t>
      </w:r>
      <w:proofErr w:type="spellEnd"/>
      <w:r w:rsidRPr="00B41C44">
        <w:rPr>
          <w:rFonts w:ascii="Times New Roman" w:hAnsi="Times New Roman" w:cs="Times New Roman"/>
          <w:sz w:val="24"/>
          <w:szCs w:val="24"/>
        </w:rPr>
        <w:t xml:space="preserve">-logistics to limit the price fluctuations of onion, potato and tomato, storage godowns can be constructed at the Block /Gram Panchayat level under Mahatma Gandhi NREGS. Suitable amendments have been made vide notification dated 11th November 2013. To enable the </w:t>
      </w:r>
      <w:proofErr w:type="spellStart"/>
      <w:r w:rsidRPr="00B41C44">
        <w:rPr>
          <w:rFonts w:ascii="Times New Roman" w:hAnsi="Times New Roman" w:cs="Times New Roman"/>
          <w:sz w:val="24"/>
          <w:szCs w:val="24"/>
        </w:rPr>
        <w:t>SHGs</w:t>
      </w:r>
      <w:proofErr w:type="spellEnd"/>
      <w:r w:rsidRPr="00B41C44">
        <w:rPr>
          <w:rFonts w:ascii="Times New Roman" w:hAnsi="Times New Roman" w:cs="Times New Roman"/>
          <w:sz w:val="24"/>
          <w:szCs w:val="24"/>
        </w:rPr>
        <w:t xml:space="preserve"> / producer groups / producers’ enterprises under DAY NRLM to run their business without facing any difficulty in storage, grading etc. storage godowns may be constructed under Mahatma Gandhi NREGS. In any case drying platform should not be taken up in the name of storage godown. Drying platform/yard is not a permissible activity under Mahatma Gandhi NREGS.</w:t>
      </w:r>
    </w:p>
    <w:p w14:paraId="4C353FA3" w14:textId="77777777" w:rsidR="00450341" w:rsidRDefault="00B86821" w:rsidP="00B41C44">
      <w:pPr>
        <w:pStyle w:val="ListParagraph"/>
        <w:numPr>
          <w:ilvl w:val="0"/>
          <w:numId w:val="3"/>
        </w:numPr>
        <w:spacing w:line="360" w:lineRule="auto"/>
        <w:jc w:val="both"/>
        <w:rPr>
          <w:rFonts w:ascii="Times New Roman" w:hAnsi="Times New Roman" w:cs="Times New Roman"/>
          <w:sz w:val="24"/>
          <w:szCs w:val="24"/>
        </w:rPr>
      </w:pPr>
      <w:r w:rsidRPr="00B86821">
        <w:rPr>
          <w:rFonts w:ascii="Times New Roman" w:hAnsi="Times New Roman" w:cs="Times New Roman"/>
          <w:b/>
          <w:bCs/>
          <w:sz w:val="24"/>
          <w:szCs w:val="24"/>
        </w:rPr>
        <w:t>Construction of playfields:</w:t>
      </w:r>
      <w:r w:rsidRPr="00B86821">
        <w:rPr>
          <w:rFonts w:ascii="Times New Roman" w:hAnsi="Times New Roman" w:cs="Times New Roman"/>
          <w:sz w:val="24"/>
          <w:szCs w:val="24"/>
        </w:rPr>
        <w:t xml:space="preserve"> Only one play field in a Gram Panchayat can be constructed under Mahatma Gandhi NREGS. </w:t>
      </w:r>
    </w:p>
    <w:p w14:paraId="121C96DB" w14:textId="74B359F3" w:rsidR="00B86821" w:rsidRPr="00B41C44" w:rsidRDefault="00B86821" w:rsidP="00B41C44">
      <w:pPr>
        <w:pStyle w:val="ListParagraph"/>
        <w:numPr>
          <w:ilvl w:val="0"/>
          <w:numId w:val="3"/>
        </w:numPr>
        <w:spacing w:line="360" w:lineRule="auto"/>
        <w:jc w:val="both"/>
        <w:rPr>
          <w:rFonts w:ascii="Times New Roman" w:hAnsi="Times New Roman" w:cs="Times New Roman"/>
          <w:sz w:val="24"/>
          <w:szCs w:val="24"/>
        </w:rPr>
      </w:pPr>
      <w:r w:rsidRPr="00450341">
        <w:rPr>
          <w:rFonts w:ascii="Times New Roman" w:hAnsi="Times New Roman" w:cs="Times New Roman"/>
          <w:b/>
          <w:bCs/>
          <w:sz w:val="24"/>
          <w:szCs w:val="24"/>
        </w:rPr>
        <w:t>Construction of compound walls</w:t>
      </w:r>
      <w:r w:rsidRPr="00B86821">
        <w:rPr>
          <w:rFonts w:ascii="Times New Roman" w:hAnsi="Times New Roman" w:cs="Times New Roman"/>
          <w:sz w:val="24"/>
          <w:szCs w:val="24"/>
        </w:rPr>
        <w:t xml:space="preserve"> for Government run schools in the villages: Compound walls of the Government run schools may be taken up under Mahatma Gandhi NREGS or in convergence with other schemes/ programmes, where it has not been constructed or provided for by the Ministry of Human Resource Development, Government of India or under any state Programme.</w:t>
      </w:r>
    </w:p>
    <w:p w14:paraId="15718F45" w14:textId="1B686586" w:rsidR="00D83C47" w:rsidRPr="0060345A" w:rsidRDefault="00D83C47" w:rsidP="0060345A">
      <w:pPr>
        <w:pStyle w:val="ListParagraph"/>
        <w:numPr>
          <w:ilvl w:val="0"/>
          <w:numId w:val="4"/>
        </w:numPr>
        <w:spacing w:line="360" w:lineRule="auto"/>
        <w:jc w:val="both"/>
        <w:rPr>
          <w:rFonts w:ascii="Times New Roman" w:hAnsi="Times New Roman" w:cs="Times New Roman"/>
          <w:b/>
          <w:bCs/>
          <w:sz w:val="24"/>
          <w:szCs w:val="24"/>
        </w:rPr>
      </w:pPr>
      <w:r w:rsidRPr="0060345A">
        <w:rPr>
          <w:rFonts w:ascii="Times New Roman" w:hAnsi="Times New Roman" w:cs="Times New Roman"/>
          <w:b/>
          <w:bCs/>
          <w:sz w:val="24"/>
          <w:szCs w:val="24"/>
        </w:rPr>
        <w:t xml:space="preserve">Promotion of Aquaculture </w:t>
      </w:r>
    </w:p>
    <w:p w14:paraId="7FCD6E60" w14:textId="77777777" w:rsidR="00B25607" w:rsidRDefault="00D83C47" w:rsidP="00BE60D6">
      <w:pPr>
        <w:spacing w:line="360" w:lineRule="auto"/>
        <w:jc w:val="both"/>
        <w:rPr>
          <w:rFonts w:ascii="Times New Roman" w:hAnsi="Times New Roman" w:cs="Times New Roman"/>
          <w:sz w:val="24"/>
          <w:szCs w:val="24"/>
        </w:rPr>
      </w:pPr>
      <w:r w:rsidRPr="00D83C47">
        <w:rPr>
          <w:rFonts w:ascii="Times New Roman" w:hAnsi="Times New Roman" w:cs="Times New Roman"/>
          <w:sz w:val="24"/>
          <w:szCs w:val="24"/>
        </w:rPr>
        <w:t xml:space="preserve">For promotion of aquaculture Mahatma Gandhi NREGS ponds can be adopted for synergizing their use in fisheries development in the Blue Revolution. The joint guidelines were issued on 9thNovember 2017, vide letter number F.No.27035/22/2016-FY (IV) (available at ‘Circular’ section of </w:t>
      </w:r>
      <w:proofErr w:type="spellStart"/>
      <w:r w:rsidRPr="00D83C47">
        <w:rPr>
          <w:rFonts w:ascii="Times New Roman" w:hAnsi="Times New Roman" w:cs="Times New Roman"/>
          <w:sz w:val="24"/>
          <w:szCs w:val="24"/>
        </w:rPr>
        <w:t>NREGASoft</w:t>
      </w:r>
      <w:proofErr w:type="spellEnd"/>
      <w:r w:rsidRPr="00D83C47">
        <w:rPr>
          <w:rFonts w:ascii="Times New Roman" w:hAnsi="Times New Roman" w:cs="Times New Roman"/>
          <w:sz w:val="24"/>
          <w:szCs w:val="24"/>
        </w:rPr>
        <w:t xml:space="preserve"> website). There are two kinds of ponds that can be taken up for the purpose of aquaculture - (1) Existing community ponds (2) Ponds created using Mahatma Gandhi NREGA funds. Both these ponds can be taken up for promotion of aquaculture after approval of Fishery department of the State, both for fish seed rearing and table fish production depending on the size and depth of the pond, water holding capacity, water retention period etc. Following parameters need to be followed for taking up these kinds of works:– </w:t>
      </w:r>
    </w:p>
    <w:p w14:paraId="18A66C7B" w14:textId="77777777" w:rsidR="00B25607" w:rsidRDefault="00D83C47" w:rsidP="00BE60D6">
      <w:pPr>
        <w:spacing w:line="360" w:lineRule="auto"/>
        <w:jc w:val="both"/>
        <w:rPr>
          <w:rFonts w:ascii="Times New Roman" w:hAnsi="Times New Roman" w:cs="Times New Roman"/>
          <w:sz w:val="24"/>
          <w:szCs w:val="24"/>
        </w:rPr>
      </w:pPr>
      <w:r w:rsidRPr="00D83C47">
        <w:rPr>
          <w:rFonts w:ascii="Times New Roman" w:hAnsi="Times New Roman" w:cs="Times New Roman"/>
          <w:sz w:val="24"/>
          <w:szCs w:val="24"/>
        </w:rPr>
        <w:t xml:space="preserve">1) In case of excavation / renovation / modification of ponds under Mahatma Gandhi NREGS, all prescribed norms and processes as per the Mahatma Gandhi NREG Act 2005, and its Schedules as well as AMC will be followed. </w:t>
      </w:r>
    </w:p>
    <w:p w14:paraId="63F158BE" w14:textId="77777777" w:rsidR="00B25607" w:rsidRDefault="00D83C47" w:rsidP="00BE60D6">
      <w:pPr>
        <w:spacing w:line="360" w:lineRule="auto"/>
        <w:jc w:val="both"/>
        <w:rPr>
          <w:rFonts w:ascii="Times New Roman" w:hAnsi="Times New Roman" w:cs="Times New Roman"/>
          <w:sz w:val="24"/>
          <w:szCs w:val="24"/>
        </w:rPr>
      </w:pPr>
      <w:r w:rsidRPr="00D83C47">
        <w:rPr>
          <w:rFonts w:ascii="Times New Roman" w:hAnsi="Times New Roman" w:cs="Times New Roman"/>
          <w:sz w:val="24"/>
          <w:szCs w:val="24"/>
        </w:rPr>
        <w:lastRenderedPageBreak/>
        <w:t xml:space="preserve">2) Under no circumstances the input cost of fingerlings, manures etc. will be met from Mahatma Gandhi NREGS. </w:t>
      </w:r>
    </w:p>
    <w:p w14:paraId="6B28E291" w14:textId="77777777" w:rsidR="00B25607" w:rsidRDefault="00D83C47" w:rsidP="00BE60D6">
      <w:pPr>
        <w:spacing w:line="360" w:lineRule="auto"/>
        <w:jc w:val="both"/>
        <w:rPr>
          <w:rFonts w:ascii="Times New Roman" w:hAnsi="Times New Roman" w:cs="Times New Roman"/>
          <w:sz w:val="24"/>
          <w:szCs w:val="24"/>
        </w:rPr>
      </w:pPr>
      <w:r w:rsidRPr="00D83C47">
        <w:rPr>
          <w:rFonts w:ascii="Times New Roman" w:hAnsi="Times New Roman" w:cs="Times New Roman"/>
          <w:sz w:val="24"/>
          <w:szCs w:val="24"/>
        </w:rPr>
        <w:t xml:space="preserve">3) Re-excavation/renovation of individual farm ponds are not a permissible activity under Mahatma Gandhi NREGS. </w:t>
      </w:r>
    </w:p>
    <w:p w14:paraId="09C9A20D" w14:textId="77777777" w:rsidR="00B25607" w:rsidRDefault="00D83C47" w:rsidP="00BE60D6">
      <w:pPr>
        <w:spacing w:line="360" w:lineRule="auto"/>
        <w:jc w:val="both"/>
        <w:rPr>
          <w:rFonts w:ascii="Times New Roman" w:hAnsi="Times New Roman" w:cs="Times New Roman"/>
          <w:sz w:val="24"/>
          <w:szCs w:val="24"/>
        </w:rPr>
      </w:pPr>
      <w:r w:rsidRPr="00D83C47">
        <w:rPr>
          <w:rFonts w:ascii="Times New Roman" w:hAnsi="Times New Roman" w:cs="Times New Roman"/>
          <w:sz w:val="24"/>
          <w:szCs w:val="24"/>
        </w:rPr>
        <w:t xml:space="preserve">4) The maintenance of community assets (ponds on public lands in this case) is allowed under Mahatma Gandhi NREGS. </w:t>
      </w:r>
    </w:p>
    <w:p w14:paraId="06CA68D0" w14:textId="1A88B663" w:rsidR="00D83C47" w:rsidRDefault="00D83C47" w:rsidP="00BE60D6">
      <w:pPr>
        <w:spacing w:line="360" w:lineRule="auto"/>
        <w:jc w:val="both"/>
        <w:rPr>
          <w:rFonts w:ascii="Times New Roman" w:hAnsi="Times New Roman" w:cs="Times New Roman"/>
          <w:sz w:val="24"/>
          <w:szCs w:val="24"/>
        </w:rPr>
      </w:pPr>
      <w:r w:rsidRPr="00D83C47">
        <w:rPr>
          <w:rFonts w:ascii="Times New Roman" w:hAnsi="Times New Roman" w:cs="Times New Roman"/>
          <w:sz w:val="24"/>
          <w:szCs w:val="24"/>
        </w:rPr>
        <w:t>5) The maintenance of all individual assets, including farm ponds on individual land) is not allowed under Mahatma Gandhi NREGS, if an individual farm pond has been excavated under Mahatma Gandhi NREGS and the same has to be renovated for the purpose of aquaculture / fisheries, the cost of renovation will be borne by the beneficiary or through any other source other than Mahatma Gandhi NREGS. However, the renovation/ customization of water bodies / ponds on public lands can be taken up for aquaculture / fisheries under Mahatma Gandhi NREGS.</w:t>
      </w:r>
    </w:p>
    <w:p w14:paraId="7A73AA7D" w14:textId="7D21CFA3" w:rsidR="00D83C47" w:rsidRDefault="0060345A" w:rsidP="00BE60D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8. </w:t>
      </w:r>
      <w:r w:rsidR="00D83C47" w:rsidRPr="00D83C47">
        <w:rPr>
          <w:rFonts w:ascii="Times New Roman" w:hAnsi="Times New Roman" w:cs="Times New Roman"/>
          <w:b/>
          <w:bCs/>
          <w:sz w:val="24"/>
          <w:szCs w:val="24"/>
        </w:rPr>
        <w:t>Solid Waste Management (SWM) under Mahatma Gandhi NREGS</w:t>
      </w:r>
      <w:r w:rsidR="00D83C47" w:rsidRPr="00D83C47">
        <w:rPr>
          <w:rFonts w:ascii="Times New Roman" w:hAnsi="Times New Roman" w:cs="Times New Roman"/>
          <w:sz w:val="24"/>
          <w:szCs w:val="24"/>
        </w:rPr>
        <w:t xml:space="preserve"> </w:t>
      </w:r>
    </w:p>
    <w:p w14:paraId="7A0B1C9C" w14:textId="77777777" w:rsidR="00EB0C70" w:rsidRDefault="00D83C47" w:rsidP="00BE60D6">
      <w:pPr>
        <w:spacing w:line="360" w:lineRule="auto"/>
        <w:jc w:val="both"/>
        <w:rPr>
          <w:rFonts w:ascii="Times New Roman" w:hAnsi="Times New Roman" w:cs="Times New Roman"/>
          <w:sz w:val="24"/>
          <w:szCs w:val="24"/>
        </w:rPr>
      </w:pPr>
      <w:r w:rsidRPr="00D83C47">
        <w:rPr>
          <w:rFonts w:ascii="Times New Roman" w:hAnsi="Times New Roman" w:cs="Times New Roman"/>
          <w:sz w:val="24"/>
          <w:szCs w:val="24"/>
        </w:rPr>
        <w:t>Para 4 (1) IV (</w:t>
      </w:r>
      <w:proofErr w:type="spellStart"/>
      <w:r w:rsidRPr="00D83C47">
        <w:rPr>
          <w:rFonts w:ascii="Times New Roman" w:hAnsi="Times New Roman" w:cs="Times New Roman"/>
          <w:sz w:val="24"/>
          <w:szCs w:val="24"/>
        </w:rPr>
        <w:t>i</w:t>
      </w:r>
      <w:proofErr w:type="spellEnd"/>
      <w:r w:rsidRPr="00D83C47">
        <w:rPr>
          <w:rFonts w:ascii="Times New Roman" w:hAnsi="Times New Roman" w:cs="Times New Roman"/>
          <w:sz w:val="24"/>
          <w:szCs w:val="24"/>
        </w:rPr>
        <w:t>) of Schedule I of the Mahatma Gandhi NREG Act provides for rural sanitation works under Rural Infrastructure category, wherein solid and liquid waste management works (SLWM) may be undertaken amongst other listed works. Accordingly, works like construction of Individual Household Latrines (</w:t>
      </w:r>
      <w:proofErr w:type="spellStart"/>
      <w:r w:rsidRPr="00D83C47">
        <w:rPr>
          <w:rFonts w:ascii="Times New Roman" w:hAnsi="Times New Roman" w:cs="Times New Roman"/>
          <w:sz w:val="24"/>
          <w:szCs w:val="24"/>
        </w:rPr>
        <w:t>IHHLs</w:t>
      </w:r>
      <w:proofErr w:type="spellEnd"/>
      <w:r w:rsidRPr="00D83C47">
        <w:rPr>
          <w:rFonts w:ascii="Times New Roman" w:hAnsi="Times New Roman" w:cs="Times New Roman"/>
          <w:sz w:val="24"/>
          <w:szCs w:val="24"/>
        </w:rPr>
        <w:t xml:space="preserve">), soak pits, village drains for disposal of grey water, stabilization ponds (3/ 5 ponds system) for treatment of water and construction of grey infrastructures for composting may be undertaken under Mahatma Gandhi NREGS as standalone works. For comprehensive management of solid waste, it is advised that:- </w:t>
      </w:r>
    </w:p>
    <w:p w14:paraId="458C1BD5" w14:textId="0F325C1C" w:rsidR="00EB0C70" w:rsidRPr="00EB0C70" w:rsidRDefault="00D83C47" w:rsidP="00EB0C70">
      <w:pPr>
        <w:pStyle w:val="ListParagraph"/>
        <w:numPr>
          <w:ilvl w:val="0"/>
          <w:numId w:val="1"/>
        </w:numPr>
        <w:spacing w:line="360" w:lineRule="auto"/>
        <w:jc w:val="both"/>
        <w:rPr>
          <w:rFonts w:ascii="Times New Roman" w:hAnsi="Times New Roman" w:cs="Times New Roman"/>
          <w:sz w:val="24"/>
          <w:szCs w:val="24"/>
        </w:rPr>
      </w:pPr>
      <w:r w:rsidRPr="00EB0C70">
        <w:rPr>
          <w:rFonts w:ascii="Times New Roman" w:hAnsi="Times New Roman" w:cs="Times New Roman"/>
          <w:sz w:val="24"/>
          <w:szCs w:val="24"/>
        </w:rPr>
        <w:t xml:space="preserve">SWM works should be economically viable and sustainable. </w:t>
      </w:r>
    </w:p>
    <w:p w14:paraId="29651AAC" w14:textId="77777777" w:rsidR="00EB0C70" w:rsidRDefault="00D83C47" w:rsidP="00EB0C70">
      <w:pPr>
        <w:pStyle w:val="ListParagraph"/>
        <w:numPr>
          <w:ilvl w:val="0"/>
          <w:numId w:val="1"/>
        </w:numPr>
        <w:spacing w:line="360" w:lineRule="auto"/>
        <w:jc w:val="both"/>
        <w:rPr>
          <w:rFonts w:ascii="Times New Roman" w:hAnsi="Times New Roman" w:cs="Times New Roman"/>
          <w:sz w:val="24"/>
          <w:szCs w:val="24"/>
        </w:rPr>
      </w:pPr>
      <w:r w:rsidRPr="00EB0C70">
        <w:rPr>
          <w:rFonts w:ascii="Times New Roman" w:hAnsi="Times New Roman" w:cs="Times New Roman"/>
          <w:sz w:val="24"/>
          <w:szCs w:val="24"/>
        </w:rPr>
        <w:t xml:space="preserve">They should be user friendly and should not have any detrimental effects upon human health or to the environment. </w:t>
      </w:r>
    </w:p>
    <w:p w14:paraId="4198EBBA" w14:textId="22981D5B" w:rsidR="004E1D56" w:rsidRDefault="00D83C47" w:rsidP="00EB0C70">
      <w:pPr>
        <w:pStyle w:val="ListParagraph"/>
        <w:numPr>
          <w:ilvl w:val="0"/>
          <w:numId w:val="1"/>
        </w:numPr>
        <w:spacing w:line="360" w:lineRule="auto"/>
        <w:jc w:val="both"/>
        <w:rPr>
          <w:rFonts w:ascii="Times New Roman" w:hAnsi="Times New Roman" w:cs="Times New Roman"/>
          <w:sz w:val="24"/>
          <w:szCs w:val="24"/>
        </w:rPr>
      </w:pPr>
      <w:r w:rsidRPr="00EB0C70">
        <w:rPr>
          <w:rFonts w:ascii="Times New Roman" w:hAnsi="Times New Roman" w:cs="Times New Roman"/>
          <w:sz w:val="24"/>
          <w:szCs w:val="24"/>
        </w:rPr>
        <w:t xml:space="preserve">It should be in project mode, for each GP or cluster of habitations, and should take into account sustainable sources of income through involvement of community. The guidelines of SBM (G) provides that SLWM can be taken up by the Gram Panchayat (GP) with financial assistance capped for a GP on the basis of number of households to enable all GPs to implement sustainable SLWM projects maximum of Rs.7 lakh for a GP having </w:t>
      </w:r>
      <w:proofErr w:type="spellStart"/>
      <w:r w:rsidRPr="00EB0C70">
        <w:rPr>
          <w:rFonts w:ascii="Times New Roman" w:hAnsi="Times New Roman" w:cs="Times New Roman"/>
          <w:sz w:val="24"/>
          <w:szCs w:val="24"/>
        </w:rPr>
        <w:t>upto</w:t>
      </w:r>
      <w:proofErr w:type="spellEnd"/>
      <w:r w:rsidRPr="00EB0C70">
        <w:rPr>
          <w:rFonts w:ascii="Times New Roman" w:hAnsi="Times New Roman" w:cs="Times New Roman"/>
          <w:sz w:val="24"/>
          <w:szCs w:val="24"/>
        </w:rPr>
        <w:t xml:space="preserve"> 150 households, Rs.12 lakh </w:t>
      </w:r>
      <w:proofErr w:type="spellStart"/>
      <w:r w:rsidRPr="00EB0C70">
        <w:rPr>
          <w:rFonts w:ascii="Times New Roman" w:hAnsi="Times New Roman" w:cs="Times New Roman"/>
          <w:sz w:val="24"/>
          <w:szCs w:val="24"/>
        </w:rPr>
        <w:t>upto</w:t>
      </w:r>
      <w:proofErr w:type="spellEnd"/>
      <w:r w:rsidRPr="00EB0C70">
        <w:rPr>
          <w:rFonts w:ascii="Times New Roman" w:hAnsi="Times New Roman" w:cs="Times New Roman"/>
          <w:sz w:val="24"/>
          <w:szCs w:val="24"/>
        </w:rPr>
        <w:t xml:space="preserve"> 300 households and Rs.15 lakh </w:t>
      </w:r>
      <w:proofErr w:type="spellStart"/>
      <w:r w:rsidRPr="00EB0C70">
        <w:rPr>
          <w:rFonts w:ascii="Times New Roman" w:hAnsi="Times New Roman" w:cs="Times New Roman"/>
          <w:sz w:val="24"/>
          <w:szCs w:val="24"/>
        </w:rPr>
        <w:t>upto</w:t>
      </w:r>
      <w:proofErr w:type="spellEnd"/>
      <w:r w:rsidRPr="00EB0C70">
        <w:rPr>
          <w:rFonts w:ascii="Times New Roman" w:hAnsi="Times New Roman" w:cs="Times New Roman"/>
          <w:sz w:val="24"/>
          <w:szCs w:val="24"/>
        </w:rPr>
        <w:t xml:space="preserve"> 500 households. Funding for SLWM project under SBM(G) is provided </w:t>
      </w:r>
      <w:r w:rsidRPr="00EB0C70">
        <w:rPr>
          <w:rFonts w:ascii="Times New Roman" w:hAnsi="Times New Roman" w:cs="Times New Roman"/>
          <w:sz w:val="24"/>
          <w:szCs w:val="24"/>
        </w:rPr>
        <w:lastRenderedPageBreak/>
        <w:t>by the Central and State Government in the ratio of 60:40. SLWM project can be made financially viable by dovetailing funds from other programmes and sources of funding like Mahatma Gandhi NREGS. Funding from programmes of other Ministries and departments may also be converged. It is clear that SWM can be taken up from SBM (G) funds and that Mahatma Gandhi NREGS is one of the many possible sources for supporting SLWM efforts of the GP/ community. The Solid Waste Management work for the GP will become self-sustainable by:-</w:t>
      </w:r>
    </w:p>
    <w:p w14:paraId="58427D8C" w14:textId="77777777" w:rsidR="004E1D56" w:rsidRDefault="00D83C47" w:rsidP="004E1D56">
      <w:pPr>
        <w:pStyle w:val="ListParagraph"/>
        <w:spacing w:line="360" w:lineRule="auto"/>
        <w:ind w:left="1080"/>
        <w:jc w:val="both"/>
        <w:rPr>
          <w:rFonts w:ascii="Times New Roman" w:hAnsi="Times New Roman" w:cs="Times New Roman"/>
          <w:sz w:val="24"/>
          <w:szCs w:val="24"/>
        </w:rPr>
      </w:pPr>
      <w:r w:rsidRPr="00EB0C70">
        <w:rPr>
          <w:rFonts w:ascii="Times New Roman" w:hAnsi="Times New Roman" w:cs="Times New Roman"/>
          <w:sz w:val="24"/>
          <w:szCs w:val="24"/>
        </w:rPr>
        <w:t xml:space="preserve">• collecting collection charges from households, shops, hut, Government institutions, </w:t>
      </w:r>
    </w:p>
    <w:p w14:paraId="252402A3" w14:textId="77777777" w:rsidR="004E1D56" w:rsidRDefault="00D83C47" w:rsidP="004E1D56">
      <w:pPr>
        <w:pStyle w:val="ListParagraph"/>
        <w:spacing w:line="360" w:lineRule="auto"/>
        <w:ind w:left="1080"/>
        <w:jc w:val="both"/>
        <w:rPr>
          <w:rFonts w:ascii="Times New Roman" w:hAnsi="Times New Roman" w:cs="Times New Roman"/>
          <w:sz w:val="24"/>
          <w:szCs w:val="24"/>
        </w:rPr>
      </w:pPr>
      <w:r w:rsidRPr="00EB0C70">
        <w:rPr>
          <w:rFonts w:ascii="Times New Roman" w:hAnsi="Times New Roman" w:cs="Times New Roman"/>
          <w:sz w:val="24"/>
          <w:szCs w:val="24"/>
        </w:rPr>
        <w:t xml:space="preserve">• Sale of recyclable / reusable waste items and sale of compost / </w:t>
      </w:r>
      <w:proofErr w:type="spellStart"/>
      <w:r w:rsidRPr="00EB0C70">
        <w:rPr>
          <w:rFonts w:ascii="Times New Roman" w:hAnsi="Times New Roman" w:cs="Times New Roman"/>
          <w:sz w:val="24"/>
          <w:szCs w:val="24"/>
        </w:rPr>
        <w:t>vermi</w:t>
      </w:r>
      <w:proofErr w:type="spellEnd"/>
      <w:r w:rsidRPr="00EB0C70">
        <w:rPr>
          <w:rFonts w:ascii="Times New Roman" w:hAnsi="Times New Roman" w:cs="Times New Roman"/>
          <w:sz w:val="24"/>
          <w:szCs w:val="24"/>
        </w:rPr>
        <w:t xml:space="preserve"> compost.</w:t>
      </w:r>
    </w:p>
    <w:p w14:paraId="1E1651C7" w14:textId="77777777" w:rsidR="0013647F" w:rsidRDefault="00D83C47" w:rsidP="004E1D56">
      <w:pPr>
        <w:pStyle w:val="ListParagraph"/>
        <w:numPr>
          <w:ilvl w:val="0"/>
          <w:numId w:val="1"/>
        </w:numPr>
        <w:spacing w:line="360" w:lineRule="auto"/>
        <w:jc w:val="both"/>
        <w:rPr>
          <w:rFonts w:ascii="Times New Roman" w:hAnsi="Times New Roman" w:cs="Times New Roman"/>
          <w:sz w:val="24"/>
          <w:szCs w:val="24"/>
        </w:rPr>
      </w:pPr>
      <w:r w:rsidRPr="004E1D56">
        <w:rPr>
          <w:rFonts w:ascii="Times New Roman" w:hAnsi="Times New Roman" w:cs="Times New Roman"/>
          <w:sz w:val="24"/>
          <w:szCs w:val="24"/>
        </w:rPr>
        <w:t xml:space="preserve">The DPR of the SWM should cover in depth analysis of total waste generated from households, shops, schools, ICDS, hut, marriage halls etc., distance from the SWM unit, transportation and segregation, organic and inorganic (including recyclable) waste. The land requirement for compost pits, </w:t>
      </w:r>
      <w:proofErr w:type="spellStart"/>
      <w:r w:rsidRPr="004E1D56">
        <w:rPr>
          <w:rFonts w:ascii="Times New Roman" w:hAnsi="Times New Roman" w:cs="Times New Roman"/>
          <w:sz w:val="24"/>
          <w:szCs w:val="24"/>
        </w:rPr>
        <w:t>vermi</w:t>
      </w:r>
      <w:proofErr w:type="spellEnd"/>
      <w:r w:rsidRPr="004E1D56">
        <w:rPr>
          <w:rFonts w:ascii="Times New Roman" w:hAnsi="Times New Roman" w:cs="Times New Roman"/>
          <w:sz w:val="24"/>
          <w:szCs w:val="24"/>
        </w:rPr>
        <w:t xml:space="preserve"> compost shed, segregation shed, tri-cycle parking space, cleaning &amp; drying of waste, recycle waste shed, office-cum godown and other staff facilities should be incorporated. The space requirement for SWM unit and landfill area may vary from place to place depending upon the number of HHs and</w:t>
      </w:r>
      <w:r w:rsidR="0013647F">
        <w:rPr>
          <w:rFonts w:ascii="Times New Roman" w:hAnsi="Times New Roman" w:cs="Times New Roman"/>
          <w:sz w:val="24"/>
          <w:szCs w:val="24"/>
        </w:rPr>
        <w:t xml:space="preserve"> </w:t>
      </w:r>
      <w:r w:rsidR="0013647F" w:rsidRPr="0013647F">
        <w:rPr>
          <w:rFonts w:ascii="Times New Roman" w:hAnsi="Times New Roman" w:cs="Times New Roman"/>
          <w:sz w:val="24"/>
          <w:szCs w:val="24"/>
        </w:rPr>
        <w:t xml:space="preserve">other criteria. The land for all these activities may be provided by the concerned Gram Panchayat. </w:t>
      </w:r>
    </w:p>
    <w:p w14:paraId="5E57ACD7" w14:textId="77777777" w:rsidR="0013647F" w:rsidRDefault="0013647F" w:rsidP="004E1D56">
      <w:pPr>
        <w:pStyle w:val="ListParagraph"/>
        <w:numPr>
          <w:ilvl w:val="0"/>
          <w:numId w:val="1"/>
        </w:numPr>
        <w:spacing w:line="360" w:lineRule="auto"/>
        <w:jc w:val="both"/>
        <w:rPr>
          <w:rFonts w:ascii="Times New Roman" w:hAnsi="Times New Roman" w:cs="Times New Roman"/>
          <w:sz w:val="24"/>
          <w:szCs w:val="24"/>
        </w:rPr>
      </w:pPr>
      <w:r w:rsidRPr="0013647F">
        <w:rPr>
          <w:rFonts w:ascii="Times New Roman" w:hAnsi="Times New Roman" w:cs="Times New Roman"/>
          <w:sz w:val="24"/>
          <w:szCs w:val="24"/>
        </w:rPr>
        <w:t xml:space="preserve">Only permissible activities/ works that are non-repetitive, durable and tangible in nature shall be taken up under Mahatma Gandhi NREGS for promoting solid waste management. </w:t>
      </w:r>
    </w:p>
    <w:p w14:paraId="26B366BA" w14:textId="77777777" w:rsidR="0013647F" w:rsidRDefault="0013647F" w:rsidP="004E1D56">
      <w:pPr>
        <w:pStyle w:val="ListParagraph"/>
        <w:numPr>
          <w:ilvl w:val="0"/>
          <w:numId w:val="1"/>
        </w:numPr>
        <w:spacing w:line="360" w:lineRule="auto"/>
        <w:jc w:val="both"/>
        <w:rPr>
          <w:rFonts w:ascii="Times New Roman" w:hAnsi="Times New Roman" w:cs="Times New Roman"/>
          <w:sz w:val="24"/>
          <w:szCs w:val="24"/>
        </w:rPr>
      </w:pPr>
      <w:r w:rsidRPr="0013647F">
        <w:rPr>
          <w:rFonts w:ascii="Times New Roman" w:hAnsi="Times New Roman" w:cs="Times New Roman"/>
          <w:sz w:val="24"/>
          <w:szCs w:val="24"/>
        </w:rPr>
        <w:t xml:space="preserve">All the durable assets like </w:t>
      </w:r>
      <w:proofErr w:type="spellStart"/>
      <w:r w:rsidRPr="0013647F">
        <w:rPr>
          <w:rFonts w:ascii="Times New Roman" w:hAnsi="Times New Roman" w:cs="Times New Roman"/>
          <w:sz w:val="24"/>
          <w:szCs w:val="24"/>
        </w:rPr>
        <w:t>vermi</w:t>
      </w:r>
      <w:proofErr w:type="spellEnd"/>
      <w:r w:rsidRPr="0013647F">
        <w:rPr>
          <w:rFonts w:ascii="Times New Roman" w:hAnsi="Times New Roman" w:cs="Times New Roman"/>
          <w:sz w:val="24"/>
          <w:szCs w:val="24"/>
        </w:rPr>
        <w:t xml:space="preserve">-compost unit, segregation unit, tri- cycle shed, office room &amp; store room, toilets, bathroom may be funded from Mahatma Gandhi NREGS. </w:t>
      </w:r>
    </w:p>
    <w:p w14:paraId="744E7586" w14:textId="77777777" w:rsidR="0013647F" w:rsidRDefault="0013647F" w:rsidP="004E1D56">
      <w:pPr>
        <w:pStyle w:val="ListParagraph"/>
        <w:numPr>
          <w:ilvl w:val="0"/>
          <w:numId w:val="1"/>
        </w:numPr>
        <w:spacing w:line="360" w:lineRule="auto"/>
        <w:jc w:val="both"/>
        <w:rPr>
          <w:rFonts w:ascii="Times New Roman" w:hAnsi="Times New Roman" w:cs="Times New Roman"/>
          <w:sz w:val="24"/>
          <w:szCs w:val="24"/>
        </w:rPr>
      </w:pPr>
      <w:r w:rsidRPr="0013647F">
        <w:rPr>
          <w:rFonts w:ascii="Times New Roman" w:hAnsi="Times New Roman" w:cs="Times New Roman"/>
          <w:sz w:val="24"/>
          <w:szCs w:val="24"/>
        </w:rPr>
        <w:t xml:space="preserve">The funds from SBM-G or Finance Commission grants or other sources of revenue of the GPs may be utilized for providing e-rickshaw / push cart for door to door collection, brooms, baskets, spades, safety kits, gloves, vaccinations of workers, buckets etc. including payments of wages to sanitary workers, maintenance of e-rickshaws. </w:t>
      </w:r>
    </w:p>
    <w:p w14:paraId="3F973105" w14:textId="77777777" w:rsidR="0013647F" w:rsidRDefault="0013647F" w:rsidP="004E1D56">
      <w:pPr>
        <w:pStyle w:val="ListParagraph"/>
        <w:numPr>
          <w:ilvl w:val="0"/>
          <w:numId w:val="1"/>
        </w:numPr>
        <w:spacing w:line="360" w:lineRule="auto"/>
        <w:jc w:val="both"/>
        <w:rPr>
          <w:rFonts w:ascii="Times New Roman" w:hAnsi="Times New Roman" w:cs="Times New Roman"/>
          <w:sz w:val="24"/>
          <w:szCs w:val="24"/>
        </w:rPr>
      </w:pPr>
      <w:r w:rsidRPr="0013647F">
        <w:rPr>
          <w:rFonts w:ascii="Times New Roman" w:hAnsi="Times New Roman" w:cs="Times New Roman"/>
          <w:sz w:val="24"/>
          <w:szCs w:val="24"/>
        </w:rPr>
        <w:t xml:space="preserve">The training and exposure of sanitary workers, supervisors, IEC (advertisements and awareness) initiatives may be conducted from DAY NRLM / SPMRM/ CSR or funds other than Mahatma Gandhi NREGS, to the extent permitted therein. </w:t>
      </w:r>
    </w:p>
    <w:p w14:paraId="531AF62B" w14:textId="77777777" w:rsidR="0013647F" w:rsidRDefault="0013647F" w:rsidP="004E1D56">
      <w:pPr>
        <w:pStyle w:val="ListParagraph"/>
        <w:numPr>
          <w:ilvl w:val="0"/>
          <w:numId w:val="1"/>
        </w:numPr>
        <w:spacing w:line="360" w:lineRule="auto"/>
        <w:jc w:val="both"/>
        <w:rPr>
          <w:rFonts w:ascii="Times New Roman" w:hAnsi="Times New Roman" w:cs="Times New Roman"/>
          <w:sz w:val="24"/>
          <w:szCs w:val="24"/>
        </w:rPr>
      </w:pPr>
      <w:r w:rsidRPr="0013647F">
        <w:rPr>
          <w:rFonts w:ascii="Times New Roman" w:hAnsi="Times New Roman" w:cs="Times New Roman"/>
          <w:sz w:val="24"/>
          <w:szCs w:val="24"/>
        </w:rPr>
        <w:lastRenderedPageBreak/>
        <w:t xml:space="preserve">The recurring expenditures like wages to sanitary workers (waste collectors and segregators), supervisors and office accessories may be funded from any of the above listed sources, other than Mahatma Gandhi NREGS. </w:t>
      </w:r>
    </w:p>
    <w:p w14:paraId="092349D9" w14:textId="732555EE" w:rsidR="00CC7BA9" w:rsidRDefault="0013647F" w:rsidP="00CC7BA9">
      <w:pPr>
        <w:pStyle w:val="ListParagraph"/>
        <w:numPr>
          <w:ilvl w:val="0"/>
          <w:numId w:val="1"/>
        </w:numPr>
        <w:spacing w:line="360" w:lineRule="auto"/>
        <w:jc w:val="both"/>
        <w:rPr>
          <w:rFonts w:ascii="Times New Roman" w:hAnsi="Times New Roman" w:cs="Times New Roman"/>
          <w:sz w:val="24"/>
          <w:szCs w:val="24"/>
        </w:rPr>
      </w:pPr>
      <w:r w:rsidRPr="0013647F">
        <w:rPr>
          <w:rFonts w:ascii="Times New Roman" w:hAnsi="Times New Roman" w:cs="Times New Roman"/>
          <w:sz w:val="24"/>
          <w:szCs w:val="24"/>
        </w:rPr>
        <w:t>In this matter guidelines have been issued by the Ministry vide letter number J-11017/41/2012-MGNREGA (UN) dated 09.02.2018</w:t>
      </w:r>
    </w:p>
    <w:p w14:paraId="05ED3DE8" w14:textId="77777777" w:rsidR="0060345A" w:rsidRDefault="0060345A" w:rsidP="0060345A">
      <w:pPr>
        <w:pStyle w:val="ListParagraph"/>
        <w:spacing w:line="360" w:lineRule="auto"/>
        <w:ind w:left="1080"/>
        <w:jc w:val="both"/>
        <w:rPr>
          <w:rFonts w:ascii="Times New Roman" w:hAnsi="Times New Roman" w:cs="Times New Roman"/>
          <w:sz w:val="24"/>
          <w:szCs w:val="24"/>
        </w:rPr>
      </w:pPr>
    </w:p>
    <w:p w14:paraId="3B396926" w14:textId="6CEA735C" w:rsidR="00CC7BA9" w:rsidRPr="0060345A" w:rsidRDefault="00CC7BA9" w:rsidP="0060345A">
      <w:pPr>
        <w:pStyle w:val="ListParagraph"/>
        <w:numPr>
          <w:ilvl w:val="0"/>
          <w:numId w:val="5"/>
        </w:numPr>
        <w:spacing w:line="360" w:lineRule="auto"/>
        <w:jc w:val="both"/>
        <w:rPr>
          <w:rFonts w:ascii="Times New Roman" w:hAnsi="Times New Roman" w:cs="Times New Roman"/>
          <w:b/>
          <w:bCs/>
          <w:sz w:val="24"/>
          <w:szCs w:val="24"/>
        </w:rPr>
      </w:pPr>
      <w:proofErr w:type="spellStart"/>
      <w:r w:rsidRPr="0060345A">
        <w:rPr>
          <w:rFonts w:ascii="Times New Roman" w:hAnsi="Times New Roman" w:cs="Times New Roman"/>
          <w:b/>
          <w:bCs/>
          <w:sz w:val="24"/>
          <w:szCs w:val="24"/>
        </w:rPr>
        <w:t>GeoMGNREGA</w:t>
      </w:r>
      <w:proofErr w:type="spellEnd"/>
      <w:r w:rsidRPr="0060345A">
        <w:rPr>
          <w:rFonts w:ascii="Times New Roman" w:hAnsi="Times New Roman" w:cs="Times New Roman"/>
          <w:b/>
          <w:bCs/>
          <w:sz w:val="24"/>
          <w:szCs w:val="24"/>
        </w:rPr>
        <w:t xml:space="preserve"> – GIS Implementation under Mahatma Gandhi NREGA </w:t>
      </w:r>
    </w:p>
    <w:p w14:paraId="1A0D5D26" w14:textId="61469A57" w:rsidR="00CC7BA9" w:rsidRPr="00CC7BA9" w:rsidRDefault="00CC7BA9" w:rsidP="004224BA">
      <w:pPr>
        <w:spacing w:line="360" w:lineRule="auto"/>
        <w:jc w:val="both"/>
        <w:rPr>
          <w:rFonts w:ascii="Times New Roman" w:hAnsi="Times New Roman" w:cs="Times New Roman"/>
          <w:sz w:val="24"/>
          <w:szCs w:val="24"/>
        </w:rPr>
      </w:pPr>
      <w:r w:rsidRPr="00CC7BA9">
        <w:rPr>
          <w:rFonts w:ascii="Times New Roman" w:hAnsi="Times New Roman" w:cs="Times New Roman"/>
          <w:sz w:val="24"/>
          <w:szCs w:val="24"/>
        </w:rPr>
        <w:t xml:space="preserve">The Ministry has started implementation of </w:t>
      </w:r>
      <w:proofErr w:type="spellStart"/>
      <w:r w:rsidRPr="00CC7BA9">
        <w:rPr>
          <w:rFonts w:ascii="Times New Roman" w:hAnsi="Times New Roman" w:cs="Times New Roman"/>
          <w:sz w:val="24"/>
          <w:szCs w:val="24"/>
        </w:rPr>
        <w:t>GeoMGNREGA</w:t>
      </w:r>
      <w:proofErr w:type="spellEnd"/>
      <w:r w:rsidRPr="00CC7BA9">
        <w:rPr>
          <w:rFonts w:ascii="Times New Roman" w:hAnsi="Times New Roman" w:cs="Times New Roman"/>
          <w:sz w:val="24"/>
          <w:szCs w:val="24"/>
        </w:rPr>
        <w:t xml:space="preserve"> for geo tagging of assets created under Mahatma Gandhi NREGS in partnership with National Remote Sensing Centre (NRSC) of Indian Space Research Organisation (ISRO). It follows a systematic creation of a database on assets using technological interventions like mobile based photo geo- tagging and a GIS based information system for online recording and monitoring. The GIS database and maps will further be used for analysis and planning for works under Mahatma Gandhi NREGS. The National level geospatial framework is being implemented with geospatial information compatible with industry. The BHUVAN geoportal of NRSC has been customized for this purpose. The database is accessible to the Ministry and States for monitoring and database creation, respectively. The location of each asset is to be geotagged along with three photographs. Standard web-based mechanism has been put in place to consume assets data pulled from the </w:t>
      </w:r>
      <w:proofErr w:type="spellStart"/>
      <w:r w:rsidRPr="00CC7BA9">
        <w:rPr>
          <w:rFonts w:ascii="Times New Roman" w:hAnsi="Times New Roman" w:cs="Times New Roman"/>
          <w:sz w:val="24"/>
          <w:szCs w:val="24"/>
        </w:rPr>
        <w:t>NREGASoft</w:t>
      </w:r>
      <w:proofErr w:type="spellEnd"/>
      <w:r w:rsidRPr="00CC7BA9">
        <w:rPr>
          <w:rFonts w:ascii="Times New Roman" w:hAnsi="Times New Roman" w:cs="Times New Roman"/>
          <w:sz w:val="24"/>
          <w:szCs w:val="24"/>
        </w:rPr>
        <w:t xml:space="preserve">. Operating procedure has been established to enable a smooth exchange of data as services between </w:t>
      </w:r>
      <w:proofErr w:type="spellStart"/>
      <w:r w:rsidRPr="00CC7BA9">
        <w:rPr>
          <w:rFonts w:ascii="Times New Roman" w:hAnsi="Times New Roman" w:cs="Times New Roman"/>
          <w:sz w:val="24"/>
          <w:szCs w:val="24"/>
        </w:rPr>
        <w:t>NREGASoft</w:t>
      </w:r>
      <w:proofErr w:type="spellEnd"/>
      <w:r w:rsidRPr="00CC7BA9">
        <w:rPr>
          <w:rFonts w:ascii="Times New Roman" w:hAnsi="Times New Roman" w:cs="Times New Roman"/>
          <w:sz w:val="24"/>
          <w:szCs w:val="24"/>
        </w:rPr>
        <w:t xml:space="preserve"> and Bhuvan geoportal, while ensuring data integrity and security. So far more than 4.75 Crore assets created under Mahatma Gandhi NREGS have been geotagged. </w:t>
      </w:r>
    </w:p>
    <w:p w14:paraId="43C1CEC9" w14:textId="796CA16E" w:rsidR="004224BA" w:rsidRPr="0060345A" w:rsidRDefault="00CC7BA9" w:rsidP="004224BA">
      <w:pPr>
        <w:spacing w:line="360" w:lineRule="auto"/>
        <w:jc w:val="both"/>
        <w:rPr>
          <w:rFonts w:ascii="Times New Roman" w:hAnsi="Times New Roman" w:cs="Times New Roman"/>
          <w:sz w:val="24"/>
          <w:szCs w:val="24"/>
        </w:rPr>
      </w:pPr>
      <w:r w:rsidRPr="00CC7BA9">
        <w:rPr>
          <w:rFonts w:ascii="Times New Roman" w:hAnsi="Times New Roman" w:cs="Times New Roman"/>
          <w:sz w:val="24"/>
          <w:szCs w:val="24"/>
        </w:rPr>
        <w:t xml:space="preserve">For checking the Geotagging one should open </w:t>
      </w:r>
      <w:hyperlink r:id="rId32" w:history="1">
        <w:r w:rsidR="003A3071" w:rsidRPr="00CC7BA9">
          <w:rPr>
            <w:rStyle w:val="Hyperlink"/>
            <w:rFonts w:ascii="Times New Roman" w:hAnsi="Times New Roman" w:cs="Times New Roman"/>
            <w:sz w:val="24"/>
            <w:szCs w:val="24"/>
          </w:rPr>
          <w:t>https://bhuvan</w:t>
        </w:r>
      </w:hyperlink>
      <w:r w:rsidR="003A3071">
        <w:rPr>
          <w:rFonts w:ascii="Times New Roman" w:hAnsi="Times New Roman" w:cs="Times New Roman"/>
          <w:sz w:val="24"/>
          <w:szCs w:val="24"/>
        </w:rPr>
        <w:t xml:space="preserve"> </w:t>
      </w:r>
      <w:r w:rsidRPr="00CC7BA9">
        <w:rPr>
          <w:rFonts w:ascii="Times New Roman" w:hAnsi="Times New Roman" w:cs="Times New Roman"/>
          <w:sz w:val="24"/>
          <w:szCs w:val="24"/>
        </w:rPr>
        <w:t>app2.nrsc.gov.in/</w:t>
      </w:r>
      <w:proofErr w:type="spellStart"/>
      <w:r w:rsidRPr="00CC7BA9">
        <w:rPr>
          <w:rFonts w:ascii="Times New Roman" w:hAnsi="Times New Roman" w:cs="Times New Roman"/>
          <w:sz w:val="24"/>
          <w:szCs w:val="24"/>
        </w:rPr>
        <w:t>mgnrega</w:t>
      </w:r>
      <w:proofErr w:type="spellEnd"/>
      <w:r w:rsidRPr="00CC7BA9">
        <w:rPr>
          <w:rFonts w:ascii="Times New Roman" w:hAnsi="Times New Roman" w:cs="Times New Roman"/>
          <w:sz w:val="24"/>
          <w:szCs w:val="24"/>
        </w:rPr>
        <w:t>/mgnrega_phase2.php# and click on Statistics to check the Geotagged Assets. For checking more one has to create login credentials and search assets as per work code and view photograph of the assets with expenditure, manpower used etc.</w:t>
      </w:r>
    </w:p>
    <w:p w14:paraId="21CD3AA5" w14:textId="21C1AAB6" w:rsidR="00DC1904" w:rsidRPr="0060345A" w:rsidRDefault="00DC1904" w:rsidP="0060345A">
      <w:pPr>
        <w:pStyle w:val="ListParagraph"/>
        <w:numPr>
          <w:ilvl w:val="0"/>
          <w:numId w:val="5"/>
        </w:numPr>
        <w:spacing w:line="360" w:lineRule="auto"/>
        <w:jc w:val="both"/>
        <w:rPr>
          <w:rFonts w:ascii="Times New Roman" w:hAnsi="Times New Roman" w:cs="Times New Roman"/>
          <w:b/>
          <w:bCs/>
          <w:sz w:val="24"/>
          <w:szCs w:val="24"/>
        </w:rPr>
      </w:pPr>
      <w:r w:rsidRPr="0060345A">
        <w:rPr>
          <w:rFonts w:ascii="Times New Roman" w:hAnsi="Times New Roman" w:cs="Times New Roman"/>
          <w:b/>
          <w:bCs/>
          <w:sz w:val="24"/>
          <w:szCs w:val="24"/>
        </w:rPr>
        <w:t xml:space="preserve">Planning of works under Mahatma Gandhi NREGS using Geospatial Technology </w:t>
      </w:r>
    </w:p>
    <w:p w14:paraId="6DD58BF2" w14:textId="77777777" w:rsidR="00BC5CE1" w:rsidRDefault="00DC1904" w:rsidP="004224BA">
      <w:pPr>
        <w:spacing w:line="360" w:lineRule="auto"/>
        <w:jc w:val="both"/>
        <w:rPr>
          <w:rFonts w:ascii="Times New Roman" w:hAnsi="Times New Roman" w:cs="Times New Roman"/>
          <w:sz w:val="24"/>
          <w:szCs w:val="24"/>
        </w:rPr>
      </w:pPr>
      <w:r w:rsidRPr="00DC1904">
        <w:rPr>
          <w:rFonts w:ascii="Times New Roman" w:hAnsi="Times New Roman" w:cs="Times New Roman"/>
          <w:sz w:val="24"/>
          <w:szCs w:val="24"/>
        </w:rPr>
        <w:t xml:space="preserve">Mahatma Gandhi NREGS is emphasizing on Natural Resource Management (NRM) based planning to enhance the livelihood and NRM resource base in Rural Areas. The systematic development of land, harnessing of rainwater following watershed principles (Ridge to Valley Approach) and creation of income generating assets should become the central focus of Mahatma Gandhi NREGS works. Natural Resource based planning need to consider different </w:t>
      </w:r>
      <w:r w:rsidRPr="00DC1904">
        <w:rPr>
          <w:rFonts w:ascii="Times New Roman" w:hAnsi="Times New Roman" w:cs="Times New Roman"/>
          <w:sz w:val="24"/>
          <w:szCs w:val="24"/>
        </w:rPr>
        <w:lastRenderedPageBreak/>
        <w:t xml:space="preserve">kind of information simultaneously. For comprehensive planning and decision-making spatial analysis and representation is of significant importance. </w:t>
      </w:r>
    </w:p>
    <w:p w14:paraId="61A67244" w14:textId="77777777" w:rsidR="00BC5CE1" w:rsidRDefault="00DC1904" w:rsidP="004224BA">
      <w:pPr>
        <w:spacing w:line="360" w:lineRule="auto"/>
        <w:jc w:val="both"/>
        <w:rPr>
          <w:rFonts w:ascii="Times New Roman" w:hAnsi="Times New Roman" w:cs="Times New Roman"/>
          <w:sz w:val="24"/>
          <w:szCs w:val="24"/>
        </w:rPr>
      </w:pPr>
      <w:r w:rsidRPr="00DC1904">
        <w:rPr>
          <w:rFonts w:ascii="Times New Roman" w:hAnsi="Times New Roman" w:cs="Times New Roman"/>
          <w:sz w:val="24"/>
          <w:szCs w:val="24"/>
        </w:rPr>
        <w:t>In view of this, planning of works under Mahatma Gandhi NREGS have been started using advanced technologies viz. Geographical Information System (GIS) and Remote Sensing (RS). Ministry has provided States/</w:t>
      </w:r>
      <w:proofErr w:type="spellStart"/>
      <w:r w:rsidRPr="00DC1904">
        <w:rPr>
          <w:rFonts w:ascii="Times New Roman" w:hAnsi="Times New Roman" w:cs="Times New Roman"/>
          <w:sz w:val="24"/>
          <w:szCs w:val="24"/>
        </w:rPr>
        <w:t>UTs</w:t>
      </w:r>
      <w:proofErr w:type="spellEnd"/>
      <w:r w:rsidRPr="00DC1904">
        <w:rPr>
          <w:rFonts w:ascii="Times New Roman" w:hAnsi="Times New Roman" w:cs="Times New Roman"/>
          <w:sz w:val="24"/>
          <w:szCs w:val="24"/>
        </w:rPr>
        <w:t xml:space="preserve"> wise detailed training to Mahatma Gandhi NREGS functionaries on using GIS &amp; RS technology in rural area planning. Thereafter, all the States/</w:t>
      </w:r>
      <w:proofErr w:type="spellStart"/>
      <w:r w:rsidRPr="00DC1904">
        <w:rPr>
          <w:rFonts w:ascii="Times New Roman" w:hAnsi="Times New Roman" w:cs="Times New Roman"/>
          <w:sz w:val="24"/>
          <w:szCs w:val="24"/>
        </w:rPr>
        <w:t>UTs</w:t>
      </w:r>
      <w:proofErr w:type="spellEnd"/>
      <w:r w:rsidRPr="00DC1904">
        <w:rPr>
          <w:rFonts w:ascii="Times New Roman" w:hAnsi="Times New Roman" w:cs="Times New Roman"/>
          <w:sz w:val="24"/>
          <w:szCs w:val="24"/>
        </w:rPr>
        <w:t xml:space="preserve"> have been directed to start the preparation of GIS based Gram Panchayat plans in saturation mode in 2 to 4 Gram Panchayats per Block and accordingly prepare shelf of works from the GIS based Integrated Plan during FY 2020 21. Now, the States/</w:t>
      </w:r>
      <w:proofErr w:type="spellStart"/>
      <w:r w:rsidRPr="00DC1904">
        <w:rPr>
          <w:rFonts w:ascii="Times New Roman" w:hAnsi="Times New Roman" w:cs="Times New Roman"/>
          <w:sz w:val="24"/>
          <w:szCs w:val="24"/>
        </w:rPr>
        <w:t>UTs</w:t>
      </w:r>
      <w:proofErr w:type="spellEnd"/>
      <w:r w:rsidRPr="00DC1904">
        <w:rPr>
          <w:rFonts w:ascii="Times New Roman" w:hAnsi="Times New Roman" w:cs="Times New Roman"/>
          <w:sz w:val="24"/>
          <w:szCs w:val="24"/>
        </w:rPr>
        <w:t xml:space="preserve"> have been directed to prepare GIS based plans of all the Gram Panchayats of the Block in the State in FY 2021-22. The Gram Panchayats which will initiate GIS based planning are to be marked on </w:t>
      </w:r>
      <w:proofErr w:type="spellStart"/>
      <w:r w:rsidRPr="00DC1904">
        <w:rPr>
          <w:rFonts w:ascii="Times New Roman" w:hAnsi="Times New Roman" w:cs="Times New Roman"/>
          <w:sz w:val="24"/>
          <w:szCs w:val="24"/>
        </w:rPr>
        <w:t>NREGASoft</w:t>
      </w:r>
      <w:proofErr w:type="spellEnd"/>
      <w:r w:rsidRPr="00DC1904">
        <w:rPr>
          <w:rFonts w:ascii="Times New Roman" w:hAnsi="Times New Roman" w:cs="Times New Roman"/>
          <w:sz w:val="24"/>
          <w:szCs w:val="24"/>
        </w:rPr>
        <w:t xml:space="preserve"> so that information of GIS based planned works can be captured. </w:t>
      </w:r>
    </w:p>
    <w:p w14:paraId="7DD23C41" w14:textId="74ADD72C" w:rsidR="00BC5CE1" w:rsidRPr="0060345A" w:rsidRDefault="00DC1904" w:rsidP="0060345A">
      <w:pPr>
        <w:pStyle w:val="ListParagraph"/>
        <w:numPr>
          <w:ilvl w:val="0"/>
          <w:numId w:val="5"/>
        </w:numPr>
        <w:spacing w:line="360" w:lineRule="auto"/>
        <w:jc w:val="both"/>
        <w:rPr>
          <w:rFonts w:ascii="Times New Roman" w:hAnsi="Times New Roman" w:cs="Times New Roman"/>
          <w:b/>
          <w:bCs/>
          <w:sz w:val="24"/>
          <w:szCs w:val="24"/>
        </w:rPr>
      </w:pPr>
      <w:proofErr w:type="spellStart"/>
      <w:r w:rsidRPr="0060345A">
        <w:rPr>
          <w:rFonts w:ascii="Times New Roman" w:hAnsi="Times New Roman" w:cs="Times New Roman"/>
          <w:b/>
          <w:bCs/>
          <w:sz w:val="24"/>
          <w:szCs w:val="24"/>
        </w:rPr>
        <w:t>Yuktdahara</w:t>
      </w:r>
      <w:proofErr w:type="spellEnd"/>
      <w:r w:rsidRPr="0060345A">
        <w:rPr>
          <w:rFonts w:ascii="Times New Roman" w:hAnsi="Times New Roman" w:cs="Times New Roman"/>
          <w:b/>
          <w:bCs/>
          <w:sz w:val="24"/>
          <w:szCs w:val="24"/>
        </w:rPr>
        <w:t xml:space="preserve">: A planning portal </w:t>
      </w:r>
    </w:p>
    <w:p w14:paraId="2EDA4D66" w14:textId="77777777" w:rsidR="003106CF" w:rsidRDefault="00DC1904" w:rsidP="004224BA">
      <w:pPr>
        <w:spacing w:line="360" w:lineRule="auto"/>
        <w:jc w:val="both"/>
        <w:rPr>
          <w:rFonts w:ascii="Times New Roman" w:hAnsi="Times New Roman" w:cs="Times New Roman"/>
          <w:sz w:val="24"/>
          <w:szCs w:val="24"/>
        </w:rPr>
      </w:pPr>
      <w:proofErr w:type="spellStart"/>
      <w:r w:rsidRPr="00DC1904">
        <w:rPr>
          <w:rFonts w:ascii="Times New Roman" w:hAnsi="Times New Roman" w:cs="Times New Roman"/>
          <w:sz w:val="24"/>
          <w:szCs w:val="24"/>
        </w:rPr>
        <w:t>Yuktdhara</w:t>
      </w:r>
      <w:proofErr w:type="spellEnd"/>
      <w:r w:rsidRPr="00DC1904">
        <w:rPr>
          <w:rFonts w:ascii="Times New Roman" w:hAnsi="Times New Roman" w:cs="Times New Roman"/>
          <w:sz w:val="24"/>
          <w:szCs w:val="24"/>
        </w:rPr>
        <w:t xml:space="preserve"> is a geospatial planning portal developed by National Remote Sensing Centre (NRSC), ISRO was launched on 23rd August 2021 for facilitating Gram Panchayat level Planning of Mahatma Gandhi NREGA activities across India. NRSC has taken up analytics of the geotags inventoried involving both open sources as well as commercially available algorithms. This is followed by the realization of a planning portal that addresses the need for multi theme-based suitability decisions now and hereafter for all Mahatma Gandhi NREGA activities. The capacity building for this development as well as principles of GIS in planning new activities has been accomplished so that stakeholders realize the significance of GIS and the role of BHUVAN-based tools for scientifically allocating the works. </w:t>
      </w:r>
    </w:p>
    <w:p w14:paraId="33B5D842" w14:textId="77777777" w:rsidR="000649EA" w:rsidRDefault="00DC1904" w:rsidP="004224BA">
      <w:pPr>
        <w:spacing w:line="360" w:lineRule="auto"/>
        <w:jc w:val="both"/>
        <w:rPr>
          <w:rFonts w:ascii="Times New Roman" w:hAnsi="Times New Roman" w:cs="Times New Roman"/>
          <w:sz w:val="24"/>
          <w:szCs w:val="24"/>
        </w:rPr>
      </w:pPr>
      <w:r w:rsidRPr="00DC1904">
        <w:rPr>
          <w:rFonts w:ascii="Times New Roman" w:hAnsi="Times New Roman" w:cs="Times New Roman"/>
          <w:sz w:val="24"/>
          <w:szCs w:val="24"/>
        </w:rPr>
        <w:t xml:space="preserve">As on date Out of 2.69 Lakhs GPs, 2.66 Lakhs GP plans have been prepared in </w:t>
      </w:r>
      <w:proofErr w:type="spellStart"/>
      <w:r w:rsidRPr="00DC1904">
        <w:rPr>
          <w:rFonts w:ascii="Times New Roman" w:hAnsi="Times New Roman" w:cs="Times New Roman"/>
          <w:sz w:val="24"/>
          <w:szCs w:val="24"/>
        </w:rPr>
        <w:t>NREGASoft</w:t>
      </w:r>
      <w:proofErr w:type="spellEnd"/>
      <w:r w:rsidRPr="00DC1904">
        <w:rPr>
          <w:rFonts w:ascii="Times New Roman" w:hAnsi="Times New Roman" w:cs="Times New Roman"/>
          <w:sz w:val="24"/>
          <w:szCs w:val="24"/>
        </w:rPr>
        <w:t xml:space="preserve">. Prepared plans are available through </w:t>
      </w:r>
      <w:proofErr w:type="spellStart"/>
      <w:r w:rsidRPr="00DC1904">
        <w:rPr>
          <w:rFonts w:ascii="Times New Roman" w:hAnsi="Times New Roman" w:cs="Times New Roman"/>
          <w:sz w:val="24"/>
          <w:szCs w:val="24"/>
        </w:rPr>
        <w:t>Yuktdhara</w:t>
      </w:r>
      <w:proofErr w:type="spellEnd"/>
      <w:r w:rsidRPr="00DC1904">
        <w:rPr>
          <w:rFonts w:ascii="Times New Roman" w:hAnsi="Times New Roman" w:cs="Times New Roman"/>
          <w:sz w:val="24"/>
          <w:szCs w:val="24"/>
        </w:rPr>
        <w:t xml:space="preserve"> Portal at NRSC website.</w:t>
      </w:r>
      <w:r w:rsidR="000649EA" w:rsidRPr="000649EA">
        <w:t xml:space="preserve"> </w:t>
      </w:r>
      <w:r w:rsidR="000649EA" w:rsidRPr="000649EA">
        <w:rPr>
          <w:rFonts w:ascii="Times New Roman" w:hAnsi="Times New Roman" w:cs="Times New Roman"/>
          <w:sz w:val="24"/>
          <w:szCs w:val="24"/>
        </w:rPr>
        <w:t xml:space="preserve">A web link of </w:t>
      </w:r>
      <w:proofErr w:type="spellStart"/>
      <w:r w:rsidR="000649EA" w:rsidRPr="000649EA">
        <w:rPr>
          <w:rFonts w:ascii="Times New Roman" w:hAnsi="Times New Roman" w:cs="Times New Roman"/>
          <w:sz w:val="24"/>
          <w:szCs w:val="24"/>
        </w:rPr>
        <w:t>Yuktdhara</w:t>
      </w:r>
      <w:proofErr w:type="spellEnd"/>
      <w:r w:rsidR="000649EA" w:rsidRPr="000649EA">
        <w:rPr>
          <w:rFonts w:ascii="Times New Roman" w:hAnsi="Times New Roman" w:cs="Times New Roman"/>
          <w:sz w:val="24"/>
          <w:szCs w:val="24"/>
        </w:rPr>
        <w:t xml:space="preserve"> planning Portal is made available </w:t>
      </w:r>
      <w:proofErr w:type="spellStart"/>
      <w:r w:rsidR="000649EA" w:rsidRPr="000649EA">
        <w:rPr>
          <w:rFonts w:ascii="Times New Roman" w:hAnsi="Times New Roman" w:cs="Times New Roman"/>
          <w:sz w:val="24"/>
          <w:szCs w:val="24"/>
        </w:rPr>
        <w:t>at:https</w:t>
      </w:r>
      <w:proofErr w:type="spellEnd"/>
      <w:r w:rsidR="000649EA" w:rsidRPr="000649EA">
        <w:rPr>
          <w:rFonts w:ascii="Times New Roman" w:hAnsi="Times New Roman" w:cs="Times New Roman"/>
          <w:sz w:val="24"/>
          <w:szCs w:val="24"/>
        </w:rPr>
        <w:t>://</w:t>
      </w:r>
      <w:proofErr w:type="spellStart"/>
      <w:r w:rsidR="000649EA" w:rsidRPr="000649EA">
        <w:rPr>
          <w:rFonts w:ascii="Times New Roman" w:hAnsi="Times New Roman" w:cs="Times New Roman"/>
          <w:sz w:val="24"/>
          <w:szCs w:val="24"/>
        </w:rPr>
        <w:t>bhuvan</w:t>
      </w:r>
      <w:proofErr w:type="spellEnd"/>
      <w:r w:rsidR="000649EA" w:rsidRPr="000649EA">
        <w:rPr>
          <w:rFonts w:ascii="Times New Roman" w:hAnsi="Times New Roman" w:cs="Times New Roman"/>
          <w:sz w:val="24"/>
          <w:szCs w:val="24"/>
        </w:rPr>
        <w:t xml:space="preserve"> app2.nrsc.gov.in/planner/</w:t>
      </w:r>
      <w:proofErr w:type="spellStart"/>
      <w:r w:rsidR="000649EA" w:rsidRPr="000649EA">
        <w:rPr>
          <w:rFonts w:ascii="Times New Roman" w:hAnsi="Times New Roman" w:cs="Times New Roman"/>
          <w:sz w:val="24"/>
          <w:szCs w:val="24"/>
        </w:rPr>
        <w:t>plannerhome.php</w:t>
      </w:r>
      <w:proofErr w:type="spellEnd"/>
      <w:r w:rsidR="000649EA" w:rsidRPr="000649EA">
        <w:rPr>
          <w:rFonts w:ascii="Times New Roman" w:hAnsi="Times New Roman" w:cs="Times New Roman"/>
          <w:sz w:val="24"/>
          <w:szCs w:val="24"/>
        </w:rPr>
        <w:t xml:space="preserve"> </w:t>
      </w:r>
    </w:p>
    <w:p w14:paraId="62F532C3" w14:textId="74CE91A2" w:rsidR="00DC1904" w:rsidRDefault="000649EA" w:rsidP="004224BA">
      <w:pPr>
        <w:spacing w:line="360" w:lineRule="auto"/>
        <w:jc w:val="both"/>
        <w:rPr>
          <w:rFonts w:ascii="Times New Roman" w:hAnsi="Times New Roman" w:cs="Times New Roman"/>
          <w:sz w:val="24"/>
          <w:szCs w:val="24"/>
        </w:rPr>
      </w:pPr>
      <w:r w:rsidRPr="000649EA">
        <w:rPr>
          <w:rFonts w:ascii="Times New Roman" w:hAnsi="Times New Roman" w:cs="Times New Roman"/>
          <w:sz w:val="24"/>
          <w:szCs w:val="24"/>
        </w:rPr>
        <w:t xml:space="preserve">For facilitating the GIS analysis especially in case of NRM planning under Mahatma Gandhi NREGS, need information/data like Spatial and Non-Spatial data and its analysis. Non-spatial information collected, </w:t>
      </w:r>
      <w:proofErr w:type="spellStart"/>
      <w:r w:rsidRPr="000649EA">
        <w:rPr>
          <w:rFonts w:ascii="Times New Roman" w:hAnsi="Times New Roman" w:cs="Times New Roman"/>
          <w:sz w:val="24"/>
          <w:szCs w:val="24"/>
        </w:rPr>
        <w:t>analyzed</w:t>
      </w:r>
      <w:proofErr w:type="spellEnd"/>
      <w:r w:rsidRPr="000649EA">
        <w:rPr>
          <w:rFonts w:ascii="Times New Roman" w:hAnsi="Times New Roman" w:cs="Times New Roman"/>
          <w:sz w:val="24"/>
          <w:szCs w:val="24"/>
        </w:rPr>
        <w:t xml:space="preserve"> and represented mostly in tabular and textual formats and useful to understand the overview of different perspective. Spatial component of planning requires collection of information, analysis and its representation through maps.</w:t>
      </w:r>
    </w:p>
    <w:p w14:paraId="49D73DBB" w14:textId="42F8F97D" w:rsidR="006A011C" w:rsidRPr="0060345A" w:rsidRDefault="006A011C" w:rsidP="0060345A">
      <w:pPr>
        <w:pStyle w:val="ListParagraph"/>
        <w:numPr>
          <w:ilvl w:val="0"/>
          <w:numId w:val="5"/>
        </w:numPr>
        <w:spacing w:line="360" w:lineRule="auto"/>
        <w:jc w:val="both"/>
        <w:rPr>
          <w:rFonts w:ascii="Times New Roman" w:hAnsi="Times New Roman" w:cs="Times New Roman"/>
          <w:b/>
          <w:bCs/>
          <w:sz w:val="24"/>
          <w:szCs w:val="24"/>
        </w:rPr>
      </w:pPr>
      <w:r w:rsidRPr="0060345A">
        <w:rPr>
          <w:rFonts w:ascii="Times New Roman" w:hAnsi="Times New Roman" w:cs="Times New Roman"/>
          <w:b/>
          <w:bCs/>
          <w:sz w:val="24"/>
          <w:szCs w:val="24"/>
        </w:rPr>
        <w:lastRenderedPageBreak/>
        <w:t>Conclusion</w:t>
      </w:r>
      <w:r w:rsidR="0060345A">
        <w:rPr>
          <w:rFonts w:ascii="Times New Roman" w:hAnsi="Times New Roman" w:cs="Times New Roman"/>
          <w:b/>
          <w:bCs/>
          <w:sz w:val="24"/>
          <w:szCs w:val="24"/>
        </w:rPr>
        <w:t xml:space="preserve"> and Policy Suggestions</w:t>
      </w:r>
    </w:p>
    <w:p w14:paraId="61681BF4" w14:textId="77777777" w:rsidR="006A011C" w:rsidRPr="006A011C" w:rsidRDefault="006A011C" w:rsidP="006A011C">
      <w:pPr>
        <w:spacing w:line="360" w:lineRule="auto"/>
        <w:jc w:val="both"/>
        <w:rPr>
          <w:rFonts w:ascii="Times New Roman" w:hAnsi="Times New Roman" w:cs="Times New Roman"/>
          <w:sz w:val="24"/>
          <w:szCs w:val="24"/>
        </w:rPr>
      </w:pPr>
      <w:r w:rsidRPr="006A011C">
        <w:rPr>
          <w:rFonts w:ascii="Times New Roman" w:hAnsi="Times New Roman" w:cs="Times New Roman"/>
          <w:sz w:val="24"/>
          <w:szCs w:val="24"/>
        </w:rPr>
        <w:t>India is a quasi-federal country with varied economic, political and sociocultural diversity. In such a large country, any economic phenomenon is not uniform, and MGNREGS performance is no exception. The inter-state variations in the MGNREGS performance can be understood from multiple dimensions. On the supply side, the process of the scheme implementation is responsible for inter-state variations. Even though MGNREGA was created by the central government and the lion share of its expenditure is borne by the centre, the onus of MGNREGS implementation has been on the state governments. The scheme’s implementation is certainly an issue of governance. Better governed states are synonymous with political stability and political will which ensures proper implementation of development initiatives. The states of Tripura and Mizoram are the best examples for stable governance and strong political will, showing top performance of the MGNREGS (</w:t>
      </w:r>
      <w:hyperlink r:id="rId33" w:anchor="bibr6-02627280221085195" w:history="1">
        <w:r w:rsidRPr="006A011C">
          <w:rPr>
            <w:rStyle w:val="Hyperlink"/>
            <w:rFonts w:ascii="Times New Roman" w:hAnsi="Times New Roman" w:cs="Times New Roman"/>
            <w:color w:val="auto"/>
            <w:sz w:val="24"/>
            <w:szCs w:val="24"/>
          </w:rPr>
          <w:t>Bose &amp; Bhowmik, 2019</w:t>
        </w:r>
      </w:hyperlink>
      <w:r w:rsidRPr="006A011C">
        <w:rPr>
          <w:rFonts w:ascii="Times New Roman" w:hAnsi="Times New Roman" w:cs="Times New Roman"/>
          <w:sz w:val="24"/>
          <w:szCs w:val="24"/>
        </w:rPr>
        <w:t>). But other north-eastern states’ performance is dissimilar, indicating that a state’s political will matters a lot. Unfortunately, MGNREGS has been politicised from the start and such unhealthy politicisation of the scheme seems to affect certain states’ political will. Some states still consider the MGNREGS a Congress-flagship programme, rather than a welfare programme, which affects implementation. States such as Maharashtra, Gujarat, Haryana, Bihar and Uttar Pradesh, where its performance is absolutely poor, show an ambivalent attitude towards MGNREGS. In practice, there is no uniformity in the scheme’s implementation across the nation. States adopt their own models as per their administrative capacities to implement the scheme. However, they adopted a similar structure at the district and state levels. In the Act, Gram Sabha and Gram Panchayat are given utmost importance in mobilising the workers, identifying works, labour budgeting, monitoring, supervision and social audit. In practice, the local bodies hardly function in this manner, as they are not equipped with sufficient manpower, skills and infrastructure in most states. Andhra Pradesh and Telangana follow the techno-bureaucratic model using effective information through information and communication technology. This model is administratively run, reduces transaction costs and administrative delays involved in the process of implementation, and it also ensures transparency and accountability (</w:t>
      </w:r>
      <w:hyperlink r:id="rId34" w:anchor="bibr41-02627280221085195" w:history="1">
        <w:r w:rsidRPr="006A011C">
          <w:rPr>
            <w:rStyle w:val="Hyperlink"/>
            <w:rFonts w:ascii="Times New Roman" w:hAnsi="Times New Roman" w:cs="Times New Roman"/>
            <w:color w:val="auto"/>
            <w:sz w:val="24"/>
            <w:szCs w:val="24"/>
          </w:rPr>
          <w:t>Sujatha et al., 2011</w:t>
        </w:r>
      </w:hyperlink>
      <w:r w:rsidRPr="006A011C">
        <w:rPr>
          <w:rFonts w:ascii="Times New Roman" w:hAnsi="Times New Roman" w:cs="Times New Roman"/>
          <w:sz w:val="24"/>
          <w:szCs w:val="24"/>
        </w:rPr>
        <w:t>). But this model typically bypasses Panchayati Raj Institutions in the scheme implementation (</w:t>
      </w:r>
      <w:hyperlink r:id="rId35" w:anchor="bibr42-02627280221085195" w:history="1">
        <w:r w:rsidRPr="006A011C">
          <w:rPr>
            <w:rStyle w:val="Hyperlink"/>
            <w:rFonts w:ascii="Times New Roman" w:hAnsi="Times New Roman" w:cs="Times New Roman"/>
            <w:color w:val="auto"/>
            <w:sz w:val="24"/>
            <w:szCs w:val="24"/>
          </w:rPr>
          <w:t>Sukumar, 2010</w:t>
        </w:r>
      </w:hyperlink>
      <w:r w:rsidRPr="006A011C">
        <w:rPr>
          <w:rFonts w:ascii="Times New Roman" w:hAnsi="Times New Roman" w:cs="Times New Roman"/>
          <w:sz w:val="24"/>
          <w:szCs w:val="24"/>
        </w:rPr>
        <w:t>). Interestingly, Kerala follows an innovative model to implement the scheme at the grassroots level. In Kerala, the state government entrusted the line management and implementation of the scheme to its </w:t>
      </w:r>
      <w:proofErr w:type="spellStart"/>
      <w:r w:rsidRPr="006A011C">
        <w:rPr>
          <w:rFonts w:ascii="Times New Roman" w:hAnsi="Times New Roman" w:cs="Times New Roman"/>
          <w:i/>
          <w:iCs/>
          <w:sz w:val="24"/>
          <w:szCs w:val="24"/>
        </w:rPr>
        <w:t>Kudumbashree</w:t>
      </w:r>
      <w:proofErr w:type="spellEnd"/>
      <w:r w:rsidRPr="006A011C">
        <w:rPr>
          <w:rFonts w:ascii="Times New Roman" w:hAnsi="Times New Roman" w:cs="Times New Roman"/>
          <w:sz w:val="24"/>
          <w:szCs w:val="24"/>
        </w:rPr>
        <w:t xml:space="preserve"> mission, which is the </w:t>
      </w:r>
      <w:r w:rsidRPr="006A011C">
        <w:rPr>
          <w:rFonts w:ascii="Times New Roman" w:hAnsi="Times New Roman" w:cs="Times New Roman"/>
          <w:sz w:val="24"/>
          <w:szCs w:val="24"/>
        </w:rPr>
        <w:lastRenderedPageBreak/>
        <w:t>state’s poverty eradication mission, a programme that mobilises women into self-help groups for economic activity (</w:t>
      </w:r>
      <w:hyperlink r:id="rId36" w:anchor="bibr40-02627280221085195" w:history="1">
        <w:r w:rsidRPr="006A011C">
          <w:rPr>
            <w:rStyle w:val="Hyperlink"/>
            <w:rFonts w:ascii="Times New Roman" w:hAnsi="Times New Roman" w:cs="Times New Roman"/>
            <w:color w:val="auto"/>
            <w:sz w:val="24"/>
            <w:szCs w:val="24"/>
          </w:rPr>
          <w:t>Sudarshan et al., 2010</w:t>
        </w:r>
      </w:hyperlink>
      <w:r w:rsidRPr="006A011C">
        <w:rPr>
          <w:rFonts w:ascii="Times New Roman" w:hAnsi="Times New Roman" w:cs="Times New Roman"/>
          <w:sz w:val="24"/>
          <w:szCs w:val="24"/>
        </w:rPr>
        <w:t>).</w:t>
      </w:r>
    </w:p>
    <w:p w14:paraId="7205447E" w14:textId="77777777" w:rsidR="006A011C" w:rsidRPr="006A011C" w:rsidRDefault="006A011C" w:rsidP="006A011C">
      <w:pPr>
        <w:spacing w:line="360" w:lineRule="auto"/>
        <w:jc w:val="both"/>
        <w:rPr>
          <w:rFonts w:ascii="Times New Roman" w:hAnsi="Times New Roman" w:cs="Times New Roman"/>
          <w:sz w:val="24"/>
          <w:szCs w:val="24"/>
        </w:rPr>
      </w:pPr>
      <w:r w:rsidRPr="006A011C">
        <w:rPr>
          <w:rFonts w:ascii="Times New Roman" w:hAnsi="Times New Roman" w:cs="Times New Roman"/>
          <w:sz w:val="24"/>
          <w:szCs w:val="24"/>
        </w:rPr>
        <w:t>One important factor is that in most states, the MGNREGS calendar is negotiated in accordance with agricultural operations to avoid labour shortages (</w:t>
      </w:r>
      <w:hyperlink r:id="rId37" w:anchor="bibr35-02627280221085195" w:history="1">
        <w:r w:rsidRPr="006A011C">
          <w:rPr>
            <w:rStyle w:val="Hyperlink"/>
            <w:rFonts w:ascii="Times New Roman" w:hAnsi="Times New Roman" w:cs="Times New Roman"/>
            <w:color w:val="auto"/>
            <w:sz w:val="24"/>
            <w:szCs w:val="24"/>
          </w:rPr>
          <w:t>Reddy et al., 2018</w:t>
        </w:r>
      </w:hyperlink>
      <w:r w:rsidRPr="006A011C">
        <w:rPr>
          <w:rFonts w:ascii="Times New Roman" w:hAnsi="Times New Roman" w:cs="Times New Roman"/>
          <w:sz w:val="24"/>
          <w:szCs w:val="24"/>
        </w:rPr>
        <w:t xml:space="preserve">). This affects the scheme implementation, as seasonality varies from region to region. In terms of financial provisions, states have to contribute their share of funds for the implementation of the scheme. But all states are not equally financially capable, and problems arise in economically weaker states that sometimes try to manage the scheme implementation with the Centre funds alone, which perhaps explains why they lagged in the scheme performance. In northern and central India, states like Rajasthan and </w:t>
      </w:r>
      <w:proofErr w:type="spellStart"/>
      <w:r w:rsidRPr="006A011C">
        <w:rPr>
          <w:rFonts w:ascii="Times New Roman" w:hAnsi="Times New Roman" w:cs="Times New Roman"/>
          <w:sz w:val="24"/>
          <w:szCs w:val="24"/>
        </w:rPr>
        <w:t>Chattisgarh</w:t>
      </w:r>
      <w:proofErr w:type="spellEnd"/>
      <w:r w:rsidRPr="006A011C">
        <w:rPr>
          <w:rFonts w:ascii="Times New Roman" w:hAnsi="Times New Roman" w:cs="Times New Roman"/>
          <w:sz w:val="24"/>
          <w:szCs w:val="24"/>
        </w:rPr>
        <w:t xml:space="preserve"> have fared better, and the outcomes are moderate in Madhya Pradesh and Jharkhand. Unfortunately, the MGNREGS performance remains very poor in poorer states of Odisha, Bihar and Uttar Pradesh, which is not a good sign. These states need special attention to improve the performance by addressing existing bottlenecks and increasing efficiency and effectiveness in the process of implementation.</w:t>
      </w:r>
    </w:p>
    <w:p w14:paraId="4F218258" w14:textId="77777777" w:rsidR="006A011C" w:rsidRPr="006A011C" w:rsidRDefault="006A011C" w:rsidP="006A011C">
      <w:pPr>
        <w:spacing w:line="360" w:lineRule="auto"/>
        <w:jc w:val="both"/>
        <w:rPr>
          <w:rFonts w:ascii="Times New Roman" w:hAnsi="Times New Roman" w:cs="Times New Roman"/>
          <w:sz w:val="24"/>
          <w:szCs w:val="24"/>
        </w:rPr>
      </w:pPr>
      <w:r w:rsidRPr="006A011C">
        <w:rPr>
          <w:rFonts w:ascii="Times New Roman" w:hAnsi="Times New Roman" w:cs="Times New Roman"/>
          <w:sz w:val="24"/>
          <w:szCs w:val="24"/>
        </w:rPr>
        <w:t>On the demand side, labour participation in the MGNREGS works is an important factor to explain the variations across the states. Being a demand-driven scheme, demand for MGNREGS employment varies across states, and also within states. The demand for employment arising in rural areas depends upon the availability of employment in farm and non-farm sectors. In un-irrigated/semi-arid areas, workers’ dependence on MGNREGS is relatively higher than in irrigated regions, where people get sufficient employment for both seasons. Hence, irrigation, rainfall and cropping patterns determine local labour participation scenarios under the scheme. Workers’ mobilisation is to some extent better where self-help groups and non-governmental organisations are active. Kerala and Tamil Nadu states are examples for mobilising workers and increasing women’s participation through self-help groups. Migration is another important factor that affects workers participation. Urban proximity also influences workers’ participation, as there are more employment opportunities in non-farm sectors near urban areas (</w:t>
      </w:r>
      <w:hyperlink r:id="rId38" w:anchor="bibr12-02627280221085195" w:history="1">
        <w:r w:rsidRPr="006A011C">
          <w:rPr>
            <w:rStyle w:val="Hyperlink"/>
            <w:rFonts w:ascii="Times New Roman" w:hAnsi="Times New Roman" w:cs="Times New Roman"/>
            <w:color w:val="auto"/>
            <w:sz w:val="24"/>
            <w:szCs w:val="24"/>
          </w:rPr>
          <w:t>Government of India, 2013a</w:t>
        </w:r>
      </w:hyperlink>
      <w:r w:rsidRPr="006A011C">
        <w:rPr>
          <w:rFonts w:ascii="Times New Roman" w:hAnsi="Times New Roman" w:cs="Times New Roman"/>
          <w:sz w:val="24"/>
          <w:szCs w:val="24"/>
        </w:rPr>
        <w:t>: 45). Haryana and Goa are the best examples of low demand for MGNREGS due to urban proximity. As a result, there are considerable differences among the states in different aspects related to the MGNREGS implementation.</w:t>
      </w:r>
    </w:p>
    <w:p w14:paraId="53924B73" w14:textId="77777777" w:rsidR="006A011C" w:rsidRPr="006A011C" w:rsidRDefault="006A011C" w:rsidP="006A011C">
      <w:pPr>
        <w:spacing w:line="360" w:lineRule="auto"/>
        <w:jc w:val="both"/>
        <w:rPr>
          <w:rFonts w:ascii="Times New Roman" w:hAnsi="Times New Roman" w:cs="Times New Roman"/>
          <w:sz w:val="24"/>
          <w:szCs w:val="24"/>
        </w:rPr>
      </w:pPr>
      <w:r w:rsidRPr="006A011C">
        <w:rPr>
          <w:rFonts w:ascii="Times New Roman" w:hAnsi="Times New Roman" w:cs="Times New Roman"/>
          <w:sz w:val="24"/>
          <w:szCs w:val="24"/>
        </w:rPr>
        <w:t xml:space="preserve">However, MGNREGS has played an important role during the COVID-19 pandemic in securing the precarious livelihood of many poor rural Indians. The workers’ dependence on </w:t>
      </w:r>
      <w:r w:rsidRPr="006A011C">
        <w:rPr>
          <w:rFonts w:ascii="Times New Roman" w:hAnsi="Times New Roman" w:cs="Times New Roman"/>
          <w:sz w:val="24"/>
          <w:szCs w:val="24"/>
        </w:rPr>
        <w:lastRenderedPageBreak/>
        <w:t>MGNREGS increased during this time due to the reverse migration of millions of people from urban to rural areas. The central state reacted fast by providing massive extra resources, as is already reflected in the figures discussed in this article. While it appears that the COVID-19 pandemic has radically changed the employment scenario in the unorganised sectors in both urban and rural areas of India, there will clearly be a continuing need to ensure that MGNREGS operates as effectively as possible, even as ideas are now being floated for implementing a similar employment scheme to address problems of India’s urban employment precarities. Such interventions, it appears, would require a different design and, above all, incessant financial support, which should only be given if this does not operate to the detriment of the existing MGNREGS provisions, which have clearly been, as this article has demonstrated, a highly beneficial intervention.</w:t>
      </w:r>
    </w:p>
    <w:p w14:paraId="51460C6E" w14:textId="0757F73E" w:rsidR="000649EA" w:rsidRPr="000649EA" w:rsidRDefault="000649EA" w:rsidP="006A011C">
      <w:pPr>
        <w:spacing w:line="360" w:lineRule="auto"/>
        <w:jc w:val="both"/>
        <w:rPr>
          <w:rFonts w:ascii="Times New Roman" w:hAnsi="Times New Roman" w:cs="Times New Roman"/>
          <w:b/>
          <w:bCs/>
          <w:sz w:val="24"/>
          <w:szCs w:val="24"/>
        </w:rPr>
      </w:pPr>
      <w:r w:rsidRPr="000649EA">
        <w:rPr>
          <w:rFonts w:ascii="Times New Roman" w:hAnsi="Times New Roman" w:cs="Times New Roman"/>
          <w:b/>
          <w:bCs/>
          <w:sz w:val="24"/>
          <w:szCs w:val="24"/>
        </w:rPr>
        <w:t>References</w:t>
      </w:r>
    </w:p>
    <w:p w14:paraId="35328647" w14:textId="153F8B24" w:rsidR="000649EA" w:rsidRDefault="000649EA" w:rsidP="000649E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Ministry of Rural Development, Department of Rural Development, Krishi Bhawan, New Delhi</w:t>
      </w:r>
      <w:r w:rsidRPr="0060345A">
        <w:rPr>
          <w:rFonts w:ascii="Times New Roman" w:hAnsi="Times New Roman" w:cs="Times New Roman"/>
          <w:sz w:val="24"/>
          <w:szCs w:val="24"/>
        </w:rPr>
        <w:t xml:space="preserve">, </w:t>
      </w:r>
      <w:hyperlink r:id="rId39" w:history="1">
        <w:r w:rsidR="009D715A" w:rsidRPr="0060345A">
          <w:rPr>
            <w:rStyle w:val="Hyperlink"/>
            <w:rFonts w:ascii="Times New Roman" w:hAnsi="Times New Roman" w:cs="Times New Roman"/>
            <w:color w:val="auto"/>
            <w:sz w:val="24"/>
            <w:szCs w:val="24"/>
          </w:rPr>
          <w:t>www.nrega.nic.in</w:t>
        </w:r>
      </w:hyperlink>
    </w:p>
    <w:p w14:paraId="29F11B46" w14:textId="1FE4F601" w:rsidR="009D715A" w:rsidRDefault="006A011C" w:rsidP="000649EA">
      <w:pPr>
        <w:pStyle w:val="ListParagraph"/>
        <w:numPr>
          <w:ilvl w:val="0"/>
          <w:numId w:val="2"/>
        </w:numPr>
        <w:spacing w:line="360" w:lineRule="auto"/>
        <w:jc w:val="both"/>
        <w:rPr>
          <w:rFonts w:ascii="Times New Roman" w:hAnsi="Times New Roman" w:cs="Times New Roman"/>
          <w:sz w:val="24"/>
          <w:szCs w:val="24"/>
        </w:rPr>
      </w:pPr>
      <w:r w:rsidRPr="006A011C">
        <w:rPr>
          <w:rFonts w:ascii="Times New Roman" w:hAnsi="Times New Roman" w:cs="Times New Roman"/>
          <w:sz w:val="24"/>
          <w:szCs w:val="24"/>
        </w:rPr>
        <w:t>Afridi F., Mukhopadhyay A., &amp; Sahoo S. (2016) ‘Female Labor Force Participation and Child Education in India: Evidence from the National Rural Employment Guarantee Scheme’, </w:t>
      </w:r>
      <w:r w:rsidRPr="006A011C">
        <w:rPr>
          <w:rFonts w:ascii="Times New Roman" w:hAnsi="Times New Roman" w:cs="Times New Roman"/>
          <w:i/>
          <w:iCs/>
          <w:sz w:val="24"/>
          <w:szCs w:val="24"/>
        </w:rPr>
        <w:t>IZA Journal of Labor &amp; Development</w:t>
      </w:r>
      <w:r w:rsidRPr="006A011C">
        <w:rPr>
          <w:rFonts w:ascii="Times New Roman" w:hAnsi="Times New Roman" w:cs="Times New Roman"/>
          <w:sz w:val="24"/>
          <w:szCs w:val="24"/>
        </w:rPr>
        <w:t>, 5(7): 1–27.</w:t>
      </w:r>
    </w:p>
    <w:p w14:paraId="35E26140" w14:textId="29EA03FB" w:rsidR="006A011C" w:rsidRDefault="006A011C" w:rsidP="000649EA">
      <w:pPr>
        <w:pStyle w:val="ListParagraph"/>
        <w:numPr>
          <w:ilvl w:val="0"/>
          <w:numId w:val="2"/>
        </w:numPr>
        <w:spacing w:line="360" w:lineRule="auto"/>
        <w:jc w:val="both"/>
        <w:rPr>
          <w:rFonts w:ascii="Times New Roman" w:hAnsi="Times New Roman" w:cs="Times New Roman"/>
          <w:sz w:val="24"/>
          <w:szCs w:val="24"/>
        </w:rPr>
      </w:pPr>
      <w:r w:rsidRPr="006A011C">
        <w:rPr>
          <w:rFonts w:ascii="Times New Roman" w:hAnsi="Times New Roman" w:cs="Times New Roman"/>
          <w:sz w:val="24"/>
          <w:szCs w:val="24"/>
        </w:rPr>
        <w:t>Agarwal G.K. (2019) ‘Mahatma Gandhi National Rural Employment Guarantee Act: Design Failure, Implementation Failure or Both?’, </w:t>
      </w:r>
      <w:r w:rsidRPr="006A011C">
        <w:rPr>
          <w:rFonts w:ascii="Times New Roman" w:hAnsi="Times New Roman" w:cs="Times New Roman"/>
          <w:i/>
          <w:iCs/>
          <w:sz w:val="24"/>
          <w:szCs w:val="24"/>
        </w:rPr>
        <w:t>Management and Labour Studies</w:t>
      </w:r>
      <w:r w:rsidRPr="006A011C">
        <w:rPr>
          <w:rFonts w:ascii="Times New Roman" w:hAnsi="Times New Roman" w:cs="Times New Roman"/>
          <w:sz w:val="24"/>
          <w:szCs w:val="24"/>
        </w:rPr>
        <w:t>, 44(4): 349–68.</w:t>
      </w:r>
    </w:p>
    <w:p w14:paraId="5762A9F6" w14:textId="3069BB3C" w:rsidR="006A011C" w:rsidRDefault="006A011C" w:rsidP="000649EA">
      <w:pPr>
        <w:pStyle w:val="ListParagraph"/>
        <w:numPr>
          <w:ilvl w:val="0"/>
          <w:numId w:val="2"/>
        </w:numPr>
        <w:spacing w:line="360" w:lineRule="auto"/>
        <w:jc w:val="both"/>
        <w:rPr>
          <w:rFonts w:ascii="Times New Roman" w:hAnsi="Times New Roman" w:cs="Times New Roman"/>
          <w:sz w:val="24"/>
          <w:szCs w:val="24"/>
        </w:rPr>
      </w:pPr>
      <w:r w:rsidRPr="006A011C">
        <w:rPr>
          <w:rFonts w:ascii="Times New Roman" w:hAnsi="Times New Roman" w:cs="Times New Roman"/>
          <w:sz w:val="24"/>
          <w:szCs w:val="24"/>
        </w:rPr>
        <w:t xml:space="preserve">Berg E., Bhattacharya S., </w:t>
      </w:r>
      <w:proofErr w:type="spellStart"/>
      <w:r w:rsidRPr="006A011C">
        <w:rPr>
          <w:rFonts w:ascii="Times New Roman" w:hAnsi="Times New Roman" w:cs="Times New Roman"/>
          <w:sz w:val="24"/>
          <w:szCs w:val="24"/>
        </w:rPr>
        <w:t>Durgam</w:t>
      </w:r>
      <w:proofErr w:type="spellEnd"/>
      <w:r w:rsidRPr="006A011C">
        <w:rPr>
          <w:rFonts w:ascii="Times New Roman" w:hAnsi="Times New Roman" w:cs="Times New Roman"/>
          <w:sz w:val="24"/>
          <w:szCs w:val="24"/>
        </w:rPr>
        <w:t xml:space="preserve"> R., &amp; Ramachandra M. (2012) </w:t>
      </w:r>
      <w:r w:rsidRPr="006A011C">
        <w:rPr>
          <w:rFonts w:ascii="Times New Roman" w:hAnsi="Times New Roman" w:cs="Times New Roman"/>
          <w:i/>
          <w:iCs/>
          <w:sz w:val="24"/>
          <w:szCs w:val="24"/>
        </w:rPr>
        <w:t>Can Rural Public Works Affect Agricultural Wages? Evidence from India</w:t>
      </w:r>
      <w:r w:rsidRPr="006A011C">
        <w:rPr>
          <w:rFonts w:ascii="Times New Roman" w:hAnsi="Times New Roman" w:cs="Times New Roman"/>
          <w:sz w:val="24"/>
          <w:szCs w:val="24"/>
        </w:rPr>
        <w:t>. Working Paper WPS/2012-05, Centre for the Study of African Economies. Oxford: University of Oxford.</w:t>
      </w:r>
    </w:p>
    <w:p w14:paraId="2733CF72" w14:textId="0F95AC97" w:rsidR="007D44C6" w:rsidRPr="0060345A" w:rsidRDefault="007D44C6" w:rsidP="000649EA">
      <w:pPr>
        <w:pStyle w:val="ListParagraph"/>
        <w:numPr>
          <w:ilvl w:val="0"/>
          <w:numId w:val="2"/>
        </w:numPr>
        <w:spacing w:line="360" w:lineRule="auto"/>
        <w:jc w:val="both"/>
        <w:rPr>
          <w:rFonts w:ascii="Times New Roman" w:hAnsi="Times New Roman" w:cs="Times New Roman"/>
          <w:sz w:val="24"/>
          <w:szCs w:val="24"/>
        </w:rPr>
      </w:pPr>
      <w:r w:rsidRPr="007D44C6">
        <w:rPr>
          <w:rFonts w:ascii="Times New Roman" w:hAnsi="Times New Roman" w:cs="Times New Roman"/>
          <w:sz w:val="24"/>
          <w:szCs w:val="24"/>
        </w:rPr>
        <w:t>Bhaduri A. (2020, July 26) ‘NREGA Tracker Looks at the Schemes’ Performance. People’s Action for Employment Guarantee. URL (consulted 14 February 2022), from </w:t>
      </w:r>
      <w:hyperlink r:id="rId40" w:history="1">
        <w:r w:rsidRPr="0060345A">
          <w:rPr>
            <w:rStyle w:val="Hyperlink"/>
            <w:rFonts w:ascii="Times New Roman" w:hAnsi="Times New Roman" w:cs="Times New Roman"/>
            <w:color w:val="auto"/>
            <w:sz w:val="24"/>
            <w:szCs w:val="24"/>
          </w:rPr>
          <w:t>https://www.indiawaterportal.org/articles/nrega-tracker-looks-schemes-performance</w:t>
        </w:r>
      </w:hyperlink>
    </w:p>
    <w:p w14:paraId="1EA50999" w14:textId="21162C8B" w:rsidR="00FD3F08" w:rsidRDefault="00FD3F08" w:rsidP="000649EA">
      <w:pPr>
        <w:pStyle w:val="ListParagraph"/>
        <w:numPr>
          <w:ilvl w:val="0"/>
          <w:numId w:val="2"/>
        </w:numPr>
        <w:spacing w:line="360" w:lineRule="auto"/>
        <w:jc w:val="both"/>
        <w:rPr>
          <w:rFonts w:ascii="Times New Roman" w:hAnsi="Times New Roman" w:cs="Times New Roman"/>
          <w:sz w:val="24"/>
          <w:szCs w:val="24"/>
        </w:rPr>
      </w:pPr>
      <w:r w:rsidRPr="00FD3F08">
        <w:rPr>
          <w:rFonts w:ascii="Times New Roman" w:hAnsi="Times New Roman" w:cs="Times New Roman"/>
          <w:sz w:val="24"/>
          <w:szCs w:val="24"/>
        </w:rPr>
        <w:t xml:space="preserve">Bonner K., Daum J., Duncan J., Dinsmore E., </w:t>
      </w:r>
      <w:proofErr w:type="spellStart"/>
      <w:r w:rsidRPr="00FD3F08">
        <w:rPr>
          <w:rFonts w:ascii="Times New Roman" w:hAnsi="Times New Roman" w:cs="Times New Roman"/>
          <w:sz w:val="24"/>
          <w:szCs w:val="24"/>
        </w:rPr>
        <w:t>Fuglesten</w:t>
      </w:r>
      <w:proofErr w:type="spellEnd"/>
      <w:r w:rsidRPr="00FD3F08">
        <w:rPr>
          <w:rFonts w:ascii="Times New Roman" w:hAnsi="Times New Roman" w:cs="Times New Roman"/>
          <w:sz w:val="24"/>
          <w:szCs w:val="24"/>
        </w:rPr>
        <w:t xml:space="preserve"> K., Lai L., Lee J., Manchester K., Tadesse F., &amp; Quinn R. (2012) </w:t>
      </w:r>
      <w:r w:rsidRPr="00FD3F08">
        <w:rPr>
          <w:rFonts w:ascii="Times New Roman" w:hAnsi="Times New Roman" w:cs="Times New Roman"/>
          <w:i/>
          <w:iCs/>
          <w:sz w:val="24"/>
          <w:szCs w:val="24"/>
        </w:rPr>
        <w:t>MGNREGA Implementation: A Cross-State Comparison</w:t>
      </w:r>
      <w:r w:rsidRPr="00FD3F08">
        <w:rPr>
          <w:rFonts w:ascii="Times New Roman" w:hAnsi="Times New Roman" w:cs="Times New Roman"/>
          <w:sz w:val="24"/>
          <w:szCs w:val="24"/>
        </w:rPr>
        <w:t>. Princeton: Woodrow Wilson School of Public &amp; International Affairs.</w:t>
      </w:r>
    </w:p>
    <w:p w14:paraId="4F4ED88A" w14:textId="27EDF591" w:rsidR="0085505E" w:rsidRDefault="0085505E" w:rsidP="000649EA">
      <w:pPr>
        <w:pStyle w:val="ListParagraph"/>
        <w:numPr>
          <w:ilvl w:val="0"/>
          <w:numId w:val="2"/>
        </w:numPr>
        <w:spacing w:line="360" w:lineRule="auto"/>
        <w:jc w:val="both"/>
        <w:rPr>
          <w:rFonts w:ascii="Times New Roman" w:hAnsi="Times New Roman" w:cs="Times New Roman"/>
          <w:sz w:val="24"/>
          <w:szCs w:val="24"/>
        </w:rPr>
      </w:pPr>
      <w:r w:rsidRPr="0085505E">
        <w:rPr>
          <w:rFonts w:ascii="Times New Roman" w:hAnsi="Times New Roman" w:cs="Times New Roman"/>
          <w:sz w:val="24"/>
          <w:szCs w:val="24"/>
        </w:rPr>
        <w:t>Bose P., &amp; Bhowmik I. (2019) ‘MGNREGS in North Eastern States of India: An Efficiency Analysis Using Data Envelopment Analysis’, </w:t>
      </w:r>
      <w:r w:rsidRPr="0085505E">
        <w:rPr>
          <w:rFonts w:ascii="Times New Roman" w:hAnsi="Times New Roman" w:cs="Times New Roman"/>
          <w:i/>
          <w:iCs/>
          <w:sz w:val="24"/>
          <w:szCs w:val="24"/>
        </w:rPr>
        <w:t>Social Change and Development</w:t>
      </w:r>
      <w:r w:rsidRPr="0085505E">
        <w:rPr>
          <w:rFonts w:ascii="Times New Roman" w:hAnsi="Times New Roman" w:cs="Times New Roman"/>
          <w:sz w:val="24"/>
          <w:szCs w:val="24"/>
        </w:rPr>
        <w:t>, 16(1): 73–89.</w:t>
      </w:r>
    </w:p>
    <w:p w14:paraId="0A641CF6" w14:textId="3039ACA0" w:rsidR="0039596B" w:rsidRDefault="0039596B" w:rsidP="000649EA">
      <w:pPr>
        <w:pStyle w:val="ListParagraph"/>
        <w:numPr>
          <w:ilvl w:val="0"/>
          <w:numId w:val="2"/>
        </w:numPr>
        <w:spacing w:line="360" w:lineRule="auto"/>
        <w:jc w:val="both"/>
        <w:rPr>
          <w:rFonts w:ascii="Times New Roman" w:hAnsi="Times New Roman" w:cs="Times New Roman"/>
          <w:sz w:val="24"/>
          <w:szCs w:val="24"/>
        </w:rPr>
      </w:pPr>
      <w:proofErr w:type="spellStart"/>
      <w:r w:rsidRPr="0039596B">
        <w:rPr>
          <w:rFonts w:ascii="Times New Roman" w:hAnsi="Times New Roman" w:cs="Times New Roman"/>
          <w:sz w:val="24"/>
          <w:szCs w:val="24"/>
        </w:rPr>
        <w:lastRenderedPageBreak/>
        <w:t>Breitkreuz</w:t>
      </w:r>
      <w:proofErr w:type="spellEnd"/>
      <w:r w:rsidRPr="0039596B">
        <w:rPr>
          <w:rFonts w:ascii="Times New Roman" w:hAnsi="Times New Roman" w:cs="Times New Roman"/>
          <w:sz w:val="24"/>
          <w:szCs w:val="24"/>
        </w:rPr>
        <w:t xml:space="preserve"> R., Stanton C.-J., Brady N., Pattison-Williams J., King E., Mishra C., &amp; Swallow B. (2017) ‘The Mahatma Gandhi National Rural Employment Guarantee Scheme: A Policy Solution to Rural Poverty in India?’, </w:t>
      </w:r>
      <w:r w:rsidRPr="0039596B">
        <w:rPr>
          <w:rFonts w:ascii="Times New Roman" w:hAnsi="Times New Roman" w:cs="Times New Roman"/>
          <w:i/>
          <w:iCs/>
          <w:sz w:val="24"/>
          <w:szCs w:val="24"/>
        </w:rPr>
        <w:t>Development Policy Review</w:t>
      </w:r>
      <w:r w:rsidRPr="0039596B">
        <w:rPr>
          <w:rFonts w:ascii="Times New Roman" w:hAnsi="Times New Roman" w:cs="Times New Roman"/>
          <w:sz w:val="24"/>
          <w:szCs w:val="24"/>
        </w:rPr>
        <w:t>, 35(3): 397–417.</w:t>
      </w:r>
    </w:p>
    <w:p w14:paraId="01F62BA5" w14:textId="376B207E" w:rsidR="002D066F" w:rsidRDefault="002D066F" w:rsidP="000649EA">
      <w:pPr>
        <w:pStyle w:val="ListParagraph"/>
        <w:numPr>
          <w:ilvl w:val="0"/>
          <w:numId w:val="2"/>
        </w:numPr>
        <w:spacing w:line="360" w:lineRule="auto"/>
        <w:jc w:val="both"/>
        <w:rPr>
          <w:rFonts w:ascii="Times New Roman" w:hAnsi="Times New Roman" w:cs="Times New Roman"/>
          <w:sz w:val="24"/>
          <w:szCs w:val="24"/>
        </w:rPr>
      </w:pPr>
      <w:r w:rsidRPr="002D066F">
        <w:rPr>
          <w:rFonts w:ascii="Times New Roman" w:hAnsi="Times New Roman" w:cs="Times New Roman"/>
          <w:sz w:val="24"/>
          <w:szCs w:val="24"/>
        </w:rPr>
        <w:t>Chari A., Glick P., Okeke E., &amp; Srinivasan S. (2019) ‘Workfare and Infant Health: Evidence from India’s Public Works Program’, </w:t>
      </w:r>
      <w:r w:rsidRPr="002D066F">
        <w:rPr>
          <w:rFonts w:ascii="Times New Roman" w:hAnsi="Times New Roman" w:cs="Times New Roman"/>
          <w:i/>
          <w:iCs/>
          <w:sz w:val="24"/>
          <w:szCs w:val="24"/>
        </w:rPr>
        <w:t>Journal of Development Economics</w:t>
      </w:r>
      <w:r w:rsidRPr="002D066F">
        <w:rPr>
          <w:rFonts w:ascii="Times New Roman" w:hAnsi="Times New Roman" w:cs="Times New Roman"/>
          <w:sz w:val="24"/>
          <w:szCs w:val="24"/>
        </w:rPr>
        <w:t>, 138: 116–34.</w:t>
      </w:r>
    </w:p>
    <w:p w14:paraId="4F9859CD" w14:textId="606B7DEE" w:rsidR="00E83E5D" w:rsidRDefault="00E83E5D" w:rsidP="000649EA">
      <w:pPr>
        <w:pStyle w:val="ListParagraph"/>
        <w:numPr>
          <w:ilvl w:val="0"/>
          <w:numId w:val="2"/>
        </w:numPr>
        <w:spacing w:line="360" w:lineRule="auto"/>
        <w:jc w:val="both"/>
        <w:rPr>
          <w:rFonts w:ascii="Times New Roman" w:hAnsi="Times New Roman" w:cs="Times New Roman"/>
          <w:sz w:val="24"/>
          <w:szCs w:val="24"/>
        </w:rPr>
      </w:pPr>
      <w:r w:rsidRPr="00E83E5D">
        <w:rPr>
          <w:rFonts w:ascii="Times New Roman" w:hAnsi="Times New Roman" w:cs="Times New Roman"/>
          <w:sz w:val="24"/>
          <w:szCs w:val="24"/>
        </w:rPr>
        <w:t>Chatterjee P. (2008) ‘Democracy and Economic Transformation in India’, </w:t>
      </w:r>
      <w:r w:rsidRPr="00E83E5D">
        <w:rPr>
          <w:rFonts w:ascii="Times New Roman" w:hAnsi="Times New Roman" w:cs="Times New Roman"/>
          <w:i/>
          <w:iCs/>
          <w:sz w:val="24"/>
          <w:szCs w:val="24"/>
        </w:rPr>
        <w:t>Economic &amp; Political Weekly</w:t>
      </w:r>
      <w:r w:rsidRPr="00E83E5D">
        <w:rPr>
          <w:rFonts w:ascii="Times New Roman" w:hAnsi="Times New Roman" w:cs="Times New Roman"/>
          <w:sz w:val="24"/>
          <w:szCs w:val="24"/>
        </w:rPr>
        <w:t>, 43(16): 53–62.</w:t>
      </w:r>
    </w:p>
    <w:p w14:paraId="68BEB3C8" w14:textId="59B06EA1" w:rsidR="00682F18" w:rsidRDefault="00682F18" w:rsidP="000649EA">
      <w:pPr>
        <w:pStyle w:val="ListParagraph"/>
        <w:numPr>
          <w:ilvl w:val="0"/>
          <w:numId w:val="2"/>
        </w:numPr>
        <w:spacing w:line="360" w:lineRule="auto"/>
        <w:jc w:val="both"/>
        <w:rPr>
          <w:rFonts w:ascii="Times New Roman" w:hAnsi="Times New Roman" w:cs="Times New Roman"/>
          <w:sz w:val="24"/>
          <w:szCs w:val="24"/>
        </w:rPr>
      </w:pPr>
      <w:r w:rsidRPr="00682F18">
        <w:rPr>
          <w:rFonts w:ascii="Times New Roman" w:hAnsi="Times New Roman" w:cs="Times New Roman"/>
          <w:sz w:val="24"/>
          <w:szCs w:val="24"/>
        </w:rPr>
        <w:t>Chopra D. (2019) ‘Taking Care into Account: Leveraging India’s MGNREGA for Women’s Empowerment’, </w:t>
      </w:r>
      <w:r w:rsidRPr="00682F18">
        <w:rPr>
          <w:rFonts w:ascii="Times New Roman" w:hAnsi="Times New Roman" w:cs="Times New Roman"/>
          <w:i/>
          <w:iCs/>
          <w:sz w:val="24"/>
          <w:szCs w:val="24"/>
        </w:rPr>
        <w:t>Development and Change</w:t>
      </w:r>
      <w:r w:rsidRPr="00682F18">
        <w:rPr>
          <w:rFonts w:ascii="Times New Roman" w:hAnsi="Times New Roman" w:cs="Times New Roman"/>
          <w:sz w:val="24"/>
          <w:szCs w:val="24"/>
        </w:rPr>
        <w:t>, 50(6): 1687–1716.</w:t>
      </w:r>
    </w:p>
    <w:p w14:paraId="403E7FAF" w14:textId="23835D5D" w:rsidR="00940A70" w:rsidRDefault="00940A70" w:rsidP="000649EA">
      <w:pPr>
        <w:pStyle w:val="ListParagraph"/>
        <w:numPr>
          <w:ilvl w:val="0"/>
          <w:numId w:val="2"/>
        </w:numPr>
        <w:spacing w:line="360" w:lineRule="auto"/>
        <w:jc w:val="both"/>
        <w:rPr>
          <w:rFonts w:ascii="Times New Roman" w:hAnsi="Times New Roman" w:cs="Times New Roman"/>
          <w:sz w:val="24"/>
          <w:szCs w:val="24"/>
        </w:rPr>
      </w:pPr>
      <w:r w:rsidRPr="00940A70">
        <w:rPr>
          <w:rFonts w:ascii="Times New Roman" w:hAnsi="Times New Roman" w:cs="Times New Roman"/>
          <w:sz w:val="24"/>
          <w:szCs w:val="24"/>
        </w:rPr>
        <w:t xml:space="preserve">Dutta P., </w:t>
      </w:r>
      <w:proofErr w:type="spellStart"/>
      <w:r w:rsidRPr="00940A70">
        <w:rPr>
          <w:rFonts w:ascii="Times New Roman" w:hAnsi="Times New Roman" w:cs="Times New Roman"/>
          <w:sz w:val="24"/>
          <w:szCs w:val="24"/>
        </w:rPr>
        <w:t>Murgai</w:t>
      </w:r>
      <w:proofErr w:type="spellEnd"/>
      <w:r w:rsidRPr="00940A70">
        <w:rPr>
          <w:rFonts w:ascii="Times New Roman" w:hAnsi="Times New Roman" w:cs="Times New Roman"/>
          <w:sz w:val="24"/>
          <w:szCs w:val="24"/>
        </w:rPr>
        <w:t xml:space="preserve"> R., </w:t>
      </w:r>
      <w:proofErr w:type="spellStart"/>
      <w:r w:rsidRPr="00940A70">
        <w:rPr>
          <w:rFonts w:ascii="Times New Roman" w:hAnsi="Times New Roman" w:cs="Times New Roman"/>
          <w:sz w:val="24"/>
          <w:szCs w:val="24"/>
        </w:rPr>
        <w:t>Ravallion</w:t>
      </w:r>
      <w:proofErr w:type="spellEnd"/>
      <w:r w:rsidRPr="00940A70">
        <w:rPr>
          <w:rFonts w:ascii="Times New Roman" w:hAnsi="Times New Roman" w:cs="Times New Roman"/>
          <w:sz w:val="24"/>
          <w:szCs w:val="24"/>
        </w:rPr>
        <w:t xml:space="preserve"> M., &amp; Walle D. (2012) ‘Does India’s Employment Guarantee Scheme Guarantee Employment?’, </w:t>
      </w:r>
      <w:r w:rsidRPr="00940A70">
        <w:rPr>
          <w:rFonts w:ascii="Times New Roman" w:hAnsi="Times New Roman" w:cs="Times New Roman"/>
          <w:i/>
          <w:iCs/>
          <w:sz w:val="24"/>
          <w:szCs w:val="24"/>
        </w:rPr>
        <w:t>Economic &amp; Political Weekly</w:t>
      </w:r>
      <w:r w:rsidRPr="00940A70">
        <w:rPr>
          <w:rFonts w:ascii="Times New Roman" w:hAnsi="Times New Roman" w:cs="Times New Roman"/>
          <w:sz w:val="24"/>
          <w:szCs w:val="24"/>
        </w:rPr>
        <w:t>, 47(16): 55–64.</w:t>
      </w:r>
    </w:p>
    <w:p w14:paraId="1E0A852E" w14:textId="1B88FBDC" w:rsidR="004E2EB9" w:rsidRDefault="004E2EB9" w:rsidP="000649EA">
      <w:pPr>
        <w:pStyle w:val="ListParagraph"/>
        <w:numPr>
          <w:ilvl w:val="0"/>
          <w:numId w:val="2"/>
        </w:numPr>
        <w:spacing w:line="360" w:lineRule="auto"/>
        <w:jc w:val="both"/>
        <w:rPr>
          <w:rFonts w:ascii="Times New Roman" w:hAnsi="Times New Roman" w:cs="Times New Roman"/>
          <w:sz w:val="24"/>
          <w:szCs w:val="24"/>
        </w:rPr>
      </w:pPr>
      <w:r w:rsidRPr="004E2EB9">
        <w:rPr>
          <w:rFonts w:ascii="Times New Roman" w:hAnsi="Times New Roman" w:cs="Times New Roman"/>
          <w:sz w:val="24"/>
          <w:szCs w:val="24"/>
        </w:rPr>
        <w:t>Government of India (2013a) </w:t>
      </w:r>
      <w:r w:rsidRPr="004E2EB9">
        <w:rPr>
          <w:rFonts w:ascii="Times New Roman" w:hAnsi="Times New Roman" w:cs="Times New Roman"/>
          <w:i/>
          <w:iCs/>
          <w:sz w:val="24"/>
          <w:szCs w:val="24"/>
        </w:rPr>
        <w:t>Mahatma Gandhi National Rural Employment Guarantee Act, 2005 (Mahatma Gandhi NREGA): Operational Guidelines</w:t>
      </w:r>
      <w:r w:rsidRPr="004E2EB9">
        <w:rPr>
          <w:rFonts w:ascii="Times New Roman" w:hAnsi="Times New Roman" w:cs="Times New Roman"/>
          <w:sz w:val="24"/>
          <w:szCs w:val="24"/>
        </w:rPr>
        <w:t> (4th Edition). New Delhi: Ministry of Rural Development.</w:t>
      </w:r>
    </w:p>
    <w:p w14:paraId="236F4248" w14:textId="04EB8CEB" w:rsidR="00F9246B" w:rsidRDefault="00F9246B" w:rsidP="000649EA">
      <w:pPr>
        <w:pStyle w:val="ListParagraph"/>
        <w:numPr>
          <w:ilvl w:val="0"/>
          <w:numId w:val="2"/>
        </w:numPr>
        <w:spacing w:line="360" w:lineRule="auto"/>
        <w:jc w:val="both"/>
        <w:rPr>
          <w:rFonts w:ascii="Times New Roman" w:hAnsi="Times New Roman" w:cs="Times New Roman"/>
          <w:sz w:val="24"/>
          <w:szCs w:val="24"/>
        </w:rPr>
      </w:pPr>
      <w:r w:rsidRPr="00F9246B">
        <w:rPr>
          <w:rFonts w:ascii="Times New Roman" w:hAnsi="Times New Roman" w:cs="Times New Roman"/>
          <w:sz w:val="24"/>
          <w:szCs w:val="24"/>
        </w:rPr>
        <w:t>Government of India (2013b) </w:t>
      </w:r>
      <w:r w:rsidRPr="00F9246B">
        <w:rPr>
          <w:rFonts w:ascii="Times New Roman" w:hAnsi="Times New Roman" w:cs="Times New Roman"/>
          <w:i/>
          <w:iCs/>
          <w:sz w:val="24"/>
          <w:szCs w:val="24"/>
        </w:rPr>
        <w:t>Performance Audit on Mahatma Gandhi National Rural Employment Guarantee Act</w:t>
      </w:r>
      <w:r w:rsidRPr="00F9246B">
        <w:rPr>
          <w:rFonts w:ascii="Times New Roman" w:hAnsi="Times New Roman" w:cs="Times New Roman"/>
          <w:sz w:val="24"/>
          <w:szCs w:val="24"/>
        </w:rPr>
        <w:t>. New Delhi: Comptroller &amp; Auditor General.</w:t>
      </w:r>
    </w:p>
    <w:p w14:paraId="5F83F38A" w14:textId="7A3B2C03" w:rsidR="00AC1A32" w:rsidRDefault="00AC1A32" w:rsidP="000649EA">
      <w:pPr>
        <w:pStyle w:val="ListParagraph"/>
        <w:numPr>
          <w:ilvl w:val="0"/>
          <w:numId w:val="2"/>
        </w:numPr>
        <w:spacing w:line="360" w:lineRule="auto"/>
        <w:jc w:val="both"/>
        <w:rPr>
          <w:rFonts w:ascii="Times New Roman" w:hAnsi="Times New Roman" w:cs="Times New Roman"/>
          <w:sz w:val="24"/>
          <w:szCs w:val="24"/>
        </w:rPr>
      </w:pPr>
      <w:r w:rsidRPr="00AC1A32">
        <w:rPr>
          <w:rFonts w:ascii="Times New Roman" w:hAnsi="Times New Roman" w:cs="Times New Roman"/>
          <w:sz w:val="24"/>
          <w:szCs w:val="24"/>
        </w:rPr>
        <w:t>Government of India (2021) </w:t>
      </w:r>
      <w:r w:rsidRPr="00AC1A32">
        <w:rPr>
          <w:rFonts w:ascii="Times New Roman" w:hAnsi="Times New Roman" w:cs="Times New Roman"/>
          <w:i/>
          <w:iCs/>
          <w:sz w:val="24"/>
          <w:szCs w:val="24"/>
        </w:rPr>
        <w:t>Economic Survey 2020–21 Volume II</w:t>
      </w:r>
      <w:r w:rsidRPr="00AC1A32">
        <w:rPr>
          <w:rFonts w:ascii="Times New Roman" w:hAnsi="Times New Roman" w:cs="Times New Roman"/>
          <w:sz w:val="24"/>
          <w:szCs w:val="24"/>
        </w:rPr>
        <w:t>. Economic Division. New Delhi: Department of Economic Affairs.</w:t>
      </w:r>
    </w:p>
    <w:p w14:paraId="15207482" w14:textId="4F18EBF6" w:rsidR="007D5509" w:rsidRDefault="007D5509" w:rsidP="000649EA">
      <w:pPr>
        <w:pStyle w:val="ListParagraph"/>
        <w:numPr>
          <w:ilvl w:val="0"/>
          <w:numId w:val="2"/>
        </w:numPr>
        <w:spacing w:line="360" w:lineRule="auto"/>
        <w:jc w:val="both"/>
        <w:rPr>
          <w:rFonts w:ascii="Times New Roman" w:hAnsi="Times New Roman" w:cs="Times New Roman"/>
          <w:sz w:val="24"/>
          <w:szCs w:val="24"/>
        </w:rPr>
      </w:pPr>
      <w:r w:rsidRPr="007D5509">
        <w:rPr>
          <w:rFonts w:ascii="Times New Roman" w:hAnsi="Times New Roman" w:cs="Times New Roman"/>
          <w:sz w:val="24"/>
          <w:szCs w:val="24"/>
        </w:rPr>
        <w:t>Government of Kerala (2011) </w:t>
      </w:r>
      <w:r w:rsidRPr="007D5509">
        <w:rPr>
          <w:rFonts w:ascii="Times New Roman" w:hAnsi="Times New Roman" w:cs="Times New Roman"/>
          <w:i/>
          <w:iCs/>
          <w:sz w:val="24"/>
          <w:szCs w:val="24"/>
        </w:rPr>
        <w:t>The Performance of NREGS in Phase-I and Phase-II Districts in Kerala: An Evaluation Study</w:t>
      </w:r>
      <w:r w:rsidRPr="007D5509">
        <w:rPr>
          <w:rFonts w:ascii="Times New Roman" w:hAnsi="Times New Roman" w:cs="Times New Roman"/>
          <w:sz w:val="24"/>
          <w:szCs w:val="24"/>
        </w:rPr>
        <w:t>. Evaluation Series No: 89. Thiruvananthapuram: Kerala State Planning Board.</w:t>
      </w:r>
    </w:p>
    <w:p w14:paraId="4E634FD6" w14:textId="616671BB" w:rsidR="00326AAE" w:rsidRDefault="00326AAE" w:rsidP="000649EA">
      <w:pPr>
        <w:pStyle w:val="ListParagraph"/>
        <w:numPr>
          <w:ilvl w:val="0"/>
          <w:numId w:val="2"/>
        </w:numPr>
        <w:spacing w:line="360" w:lineRule="auto"/>
        <w:jc w:val="both"/>
        <w:rPr>
          <w:rFonts w:ascii="Times New Roman" w:hAnsi="Times New Roman" w:cs="Times New Roman"/>
          <w:sz w:val="24"/>
          <w:szCs w:val="24"/>
        </w:rPr>
      </w:pPr>
      <w:r w:rsidRPr="00326AAE">
        <w:rPr>
          <w:rFonts w:ascii="Times New Roman" w:hAnsi="Times New Roman" w:cs="Times New Roman"/>
          <w:sz w:val="24"/>
          <w:szCs w:val="24"/>
        </w:rPr>
        <w:t xml:space="preserve">Himanshu </w:t>
      </w:r>
      <w:proofErr w:type="spellStart"/>
      <w:r w:rsidRPr="00326AAE">
        <w:rPr>
          <w:rFonts w:ascii="Times New Roman" w:hAnsi="Times New Roman" w:cs="Times New Roman"/>
          <w:sz w:val="24"/>
          <w:szCs w:val="24"/>
        </w:rPr>
        <w:t>Mukhopadhyaya</w:t>
      </w:r>
      <w:proofErr w:type="spellEnd"/>
      <w:r w:rsidRPr="00326AAE">
        <w:rPr>
          <w:rFonts w:ascii="Times New Roman" w:hAnsi="Times New Roman" w:cs="Times New Roman"/>
          <w:sz w:val="24"/>
          <w:szCs w:val="24"/>
        </w:rPr>
        <w:t xml:space="preserve"> A., &amp; Sharan M. (2015) ‘NREGS in Rajasthan: Rationed Funds and Their Allocation across Villages’, </w:t>
      </w:r>
      <w:r w:rsidRPr="00326AAE">
        <w:rPr>
          <w:rFonts w:ascii="Times New Roman" w:hAnsi="Times New Roman" w:cs="Times New Roman"/>
          <w:i/>
          <w:iCs/>
          <w:sz w:val="24"/>
          <w:szCs w:val="24"/>
        </w:rPr>
        <w:t>Economic &amp; Political Weekly</w:t>
      </w:r>
      <w:r w:rsidRPr="00326AAE">
        <w:rPr>
          <w:rFonts w:ascii="Times New Roman" w:hAnsi="Times New Roman" w:cs="Times New Roman"/>
          <w:sz w:val="24"/>
          <w:szCs w:val="24"/>
        </w:rPr>
        <w:t>, 50(6): 52–60.</w:t>
      </w:r>
    </w:p>
    <w:p w14:paraId="55E77929" w14:textId="2BFD3182" w:rsidR="003D5291" w:rsidRDefault="003D5291" w:rsidP="000649EA">
      <w:pPr>
        <w:pStyle w:val="ListParagraph"/>
        <w:numPr>
          <w:ilvl w:val="0"/>
          <w:numId w:val="2"/>
        </w:numPr>
        <w:spacing w:line="360" w:lineRule="auto"/>
        <w:jc w:val="both"/>
        <w:rPr>
          <w:rFonts w:ascii="Times New Roman" w:hAnsi="Times New Roman" w:cs="Times New Roman"/>
          <w:sz w:val="24"/>
          <w:szCs w:val="24"/>
        </w:rPr>
      </w:pPr>
      <w:r w:rsidRPr="003D5291">
        <w:rPr>
          <w:rFonts w:ascii="Times New Roman" w:hAnsi="Times New Roman" w:cs="Times New Roman"/>
          <w:sz w:val="24"/>
          <w:szCs w:val="24"/>
        </w:rPr>
        <w:t>Imbert C., &amp; Papp J. (2015) ‘Labor Market Effects of Social Programs: Evidence from India’s Employment Guarantee’, </w:t>
      </w:r>
      <w:r w:rsidRPr="003D5291">
        <w:rPr>
          <w:rFonts w:ascii="Times New Roman" w:hAnsi="Times New Roman" w:cs="Times New Roman"/>
          <w:i/>
          <w:iCs/>
          <w:sz w:val="24"/>
          <w:szCs w:val="24"/>
        </w:rPr>
        <w:t>American Economic Journal</w:t>
      </w:r>
      <w:r w:rsidRPr="003D5291">
        <w:rPr>
          <w:rFonts w:ascii="Times New Roman" w:hAnsi="Times New Roman" w:cs="Times New Roman"/>
          <w:sz w:val="24"/>
          <w:szCs w:val="24"/>
        </w:rPr>
        <w:t>, 7(2): 233–63.</w:t>
      </w:r>
    </w:p>
    <w:p w14:paraId="5A1B06F5" w14:textId="6163588F" w:rsidR="004C14FB" w:rsidRDefault="004C14FB" w:rsidP="000649EA">
      <w:pPr>
        <w:pStyle w:val="ListParagraph"/>
        <w:numPr>
          <w:ilvl w:val="0"/>
          <w:numId w:val="2"/>
        </w:numPr>
        <w:spacing w:line="360" w:lineRule="auto"/>
        <w:jc w:val="both"/>
        <w:rPr>
          <w:rFonts w:ascii="Times New Roman" w:hAnsi="Times New Roman" w:cs="Times New Roman"/>
          <w:sz w:val="24"/>
          <w:szCs w:val="24"/>
        </w:rPr>
      </w:pPr>
      <w:r w:rsidRPr="004C14FB">
        <w:rPr>
          <w:rFonts w:ascii="Times New Roman" w:hAnsi="Times New Roman" w:cs="Times New Roman"/>
          <w:sz w:val="24"/>
          <w:szCs w:val="24"/>
        </w:rPr>
        <w:t>Iyengar N.S., &amp; Sudarshan P. (1982) ‘A Method of Classifying Regions from Multivariate Data’, </w:t>
      </w:r>
      <w:r w:rsidRPr="004C14FB">
        <w:rPr>
          <w:rFonts w:ascii="Times New Roman" w:hAnsi="Times New Roman" w:cs="Times New Roman"/>
          <w:i/>
          <w:iCs/>
          <w:sz w:val="24"/>
          <w:szCs w:val="24"/>
        </w:rPr>
        <w:t>Economic &amp; Political Weekly</w:t>
      </w:r>
      <w:r w:rsidRPr="004C14FB">
        <w:rPr>
          <w:rFonts w:ascii="Times New Roman" w:hAnsi="Times New Roman" w:cs="Times New Roman"/>
          <w:sz w:val="24"/>
          <w:szCs w:val="24"/>
        </w:rPr>
        <w:t>, 17(51): 2047–52.</w:t>
      </w:r>
    </w:p>
    <w:p w14:paraId="2D34B6C7" w14:textId="28F4ACB7" w:rsidR="004C14FB" w:rsidRDefault="004C14FB" w:rsidP="000649EA">
      <w:pPr>
        <w:pStyle w:val="ListParagraph"/>
        <w:numPr>
          <w:ilvl w:val="0"/>
          <w:numId w:val="2"/>
        </w:numPr>
        <w:spacing w:line="360" w:lineRule="auto"/>
        <w:jc w:val="both"/>
        <w:rPr>
          <w:rFonts w:ascii="Times New Roman" w:hAnsi="Times New Roman" w:cs="Times New Roman"/>
          <w:sz w:val="24"/>
          <w:szCs w:val="24"/>
        </w:rPr>
      </w:pPr>
      <w:r w:rsidRPr="004C14FB">
        <w:rPr>
          <w:rFonts w:ascii="Times New Roman" w:hAnsi="Times New Roman" w:cs="Times New Roman"/>
          <w:sz w:val="24"/>
          <w:szCs w:val="24"/>
        </w:rPr>
        <w:t xml:space="preserve">Kesar S., Abraham R., Lahoti R., Nath P., &amp; </w:t>
      </w:r>
      <w:proofErr w:type="spellStart"/>
      <w:r w:rsidRPr="004C14FB">
        <w:rPr>
          <w:rFonts w:ascii="Times New Roman" w:hAnsi="Times New Roman" w:cs="Times New Roman"/>
          <w:sz w:val="24"/>
          <w:szCs w:val="24"/>
        </w:rPr>
        <w:t>Basole</w:t>
      </w:r>
      <w:proofErr w:type="spellEnd"/>
      <w:r w:rsidRPr="004C14FB">
        <w:rPr>
          <w:rFonts w:ascii="Times New Roman" w:hAnsi="Times New Roman" w:cs="Times New Roman"/>
          <w:sz w:val="24"/>
          <w:szCs w:val="24"/>
        </w:rPr>
        <w:t xml:space="preserve"> A. (2021) ‘Pandemic, Informality, and Vulnerability: Impact of COVID-19 on Livelihoods in India’, </w:t>
      </w:r>
      <w:r w:rsidRPr="004C14FB">
        <w:rPr>
          <w:rFonts w:ascii="Times New Roman" w:hAnsi="Times New Roman" w:cs="Times New Roman"/>
          <w:i/>
          <w:iCs/>
          <w:sz w:val="24"/>
          <w:szCs w:val="24"/>
        </w:rPr>
        <w:t xml:space="preserve">Canadian Journal of Development Studies/Revue </w:t>
      </w:r>
      <w:proofErr w:type="spellStart"/>
      <w:r w:rsidRPr="004C14FB">
        <w:rPr>
          <w:rFonts w:ascii="Times New Roman" w:hAnsi="Times New Roman" w:cs="Times New Roman"/>
          <w:i/>
          <w:iCs/>
          <w:sz w:val="24"/>
          <w:szCs w:val="24"/>
        </w:rPr>
        <w:t>canadienne</w:t>
      </w:r>
      <w:proofErr w:type="spellEnd"/>
      <w:r w:rsidRPr="004C14FB">
        <w:rPr>
          <w:rFonts w:ascii="Times New Roman" w:hAnsi="Times New Roman" w:cs="Times New Roman"/>
          <w:i/>
          <w:iCs/>
          <w:sz w:val="24"/>
          <w:szCs w:val="24"/>
        </w:rPr>
        <w:t xml:space="preserve"> </w:t>
      </w:r>
      <w:proofErr w:type="spellStart"/>
      <w:r w:rsidRPr="004C14FB">
        <w:rPr>
          <w:rFonts w:ascii="Times New Roman" w:hAnsi="Times New Roman" w:cs="Times New Roman"/>
          <w:i/>
          <w:iCs/>
          <w:sz w:val="24"/>
          <w:szCs w:val="24"/>
        </w:rPr>
        <w:t>d’études</w:t>
      </w:r>
      <w:proofErr w:type="spellEnd"/>
      <w:r w:rsidRPr="004C14FB">
        <w:rPr>
          <w:rFonts w:ascii="Times New Roman" w:hAnsi="Times New Roman" w:cs="Times New Roman"/>
          <w:i/>
          <w:iCs/>
          <w:sz w:val="24"/>
          <w:szCs w:val="24"/>
        </w:rPr>
        <w:t xml:space="preserve"> du </w:t>
      </w:r>
      <w:proofErr w:type="spellStart"/>
      <w:r w:rsidRPr="004C14FB">
        <w:rPr>
          <w:rFonts w:ascii="Times New Roman" w:hAnsi="Times New Roman" w:cs="Times New Roman"/>
          <w:i/>
          <w:iCs/>
          <w:sz w:val="24"/>
          <w:szCs w:val="24"/>
        </w:rPr>
        <w:t>développement</w:t>
      </w:r>
      <w:proofErr w:type="spellEnd"/>
      <w:r w:rsidRPr="004C14FB">
        <w:rPr>
          <w:rFonts w:ascii="Times New Roman" w:hAnsi="Times New Roman" w:cs="Times New Roman"/>
          <w:sz w:val="24"/>
          <w:szCs w:val="24"/>
        </w:rPr>
        <w:t>, 42(1–2): 145–64.</w:t>
      </w:r>
    </w:p>
    <w:p w14:paraId="3DA17441" w14:textId="549C72DE" w:rsidR="00F81AB8" w:rsidRDefault="00F81AB8" w:rsidP="000649EA">
      <w:pPr>
        <w:pStyle w:val="ListParagraph"/>
        <w:numPr>
          <w:ilvl w:val="0"/>
          <w:numId w:val="2"/>
        </w:numPr>
        <w:spacing w:line="360" w:lineRule="auto"/>
        <w:jc w:val="both"/>
        <w:rPr>
          <w:rFonts w:ascii="Times New Roman" w:hAnsi="Times New Roman" w:cs="Times New Roman"/>
          <w:sz w:val="24"/>
          <w:szCs w:val="24"/>
        </w:rPr>
      </w:pPr>
      <w:r w:rsidRPr="00F81AB8">
        <w:rPr>
          <w:rFonts w:ascii="Times New Roman" w:hAnsi="Times New Roman" w:cs="Times New Roman"/>
          <w:sz w:val="24"/>
          <w:szCs w:val="24"/>
        </w:rPr>
        <w:lastRenderedPageBreak/>
        <w:t>Khera R., &amp; Nayak N. (2009) ‘Women Workers and Perceptions of the National Rural Employment Guarantee Act’, </w:t>
      </w:r>
      <w:r w:rsidRPr="00F81AB8">
        <w:rPr>
          <w:rFonts w:ascii="Times New Roman" w:hAnsi="Times New Roman" w:cs="Times New Roman"/>
          <w:i/>
          <w:iCs/>
          <w:sz w:val="24"/>
          <w:szCs w:val="24"/>
        </w:rPr>
        <w:t>Economic &amp; Political Weekly</w:t>
      </w:r>
      <w:r w:rsidRPr="00F81AB8">
        <w:rPr>
          <w:rFonts w:ascii="Times New Roman" w:hAnsi="Times New Roman" w:cs="Times New Roman"/>
          <w:sz w:val="24"/>
          <w:szCs w:val="24"/>
        </w:rPr>
        <w:t>, 44(43): 49–57.</w:t>
      </w:r>
    </w:p>
    <w:p w14:paraId="15552BAD" w14:textId="1B513CB4" w:rsidR="00F81AB8" w:rsidRDefault="00F81AB8" w:rsidP="000649EA">
      <w:pPr>
        <w:pStyle w:val="ListParagraph"/>
        <w:numPr>
          <w:ilvl w:val="0"/>
          <w:numId w:val="2"/>
        </w:numPr>
        <w:spacing w:line="360" w:lineRule="auto"/>
        <w:jc w:val="both"/>
        <w:rPr>
          <w:rFonts w:ascii="Times New Roman" w:hAnsi="Times New Roman" w:cs="Times New Roman"/>
          <w:sz w:val="24"/>
          <w:szCs w:val="24"/>
        </w:rPr>
      </w:pPr>
      <w:r w:rsidRPr="00F81AB8">
        <w:rPr>
          <w:rFonts w:ascii="Times New Roman" w:hAnsi="Times New Roman" w:cs="Times New Roman"/>
          <w:sz w:val="24"/>
          <w:szCs w:val="24"/>
        </w:rPr>
        <w:t>Lewis W.A. (1954, May) ‘Economic Development with Unlimited Supplies of Labour’, </w:t>
      </w:r>
      <w:r w:rsidRPr="00F81AB8">
        <w:rPr>
          <w:rFonts w:ascii="Times New Roman" w:hAnsi="Times New Roman" w:cs="Times New Roman"/>
          <w:i/>
          <w:iCs/>
          <w:sz w:val="24"/>
          <w:szCs w:val="24"/>
        </w:rPr>
        <w:t>The Manchester School</w:t>
      </w:r>
      <w:r w:rsidRPr="00F81AB8">
        <w:rPr>
          <w:rFonts w:ascii="Times New Roman" w:hAnsi="Times New Roman" w:cs="Times New Roman"/>
          <w:sz w:val="24"/>
          <w:szCs w:val="24"/>
        </w:rPr>
        <w:t>, 22(2): 139–91.</w:t>
      </w:r>
    </w:p>
    <w:p w14:paraId="4D13AF0B" w14:textId="51D27DB1" w:rsidR="00F81AB8" w:rsidRDefault="00F81AB8" w:rsidP="000649EA">
      <w:pPr>
        <w:pStyle w:val="ListParagraph"/>
        <w:numPr>
          <w:ilvl w:val="0"/>
          <w:numId w:val="2"/>
        </w:numPr>
        <w:spacing w:line="360" w:lineRule="auto"/>
        <w:jc w:val="both"/>
        <w:rPr>
          <w:rFonts w:ascii="Times New Roman" w:hAnsi="Times New Roman" w:cs="Times New Roman"/>
          <w:sz w:val="24"/>
          <w:szCs w:val="24"/>
        </w:rPr>
      </w:pPr>
      <w:r w:rsidRPr="00F81AB8">
        <w:rPr>
          <w:rFonts w:ascii="Times New Roman" w:hAnsi="Times New Roman" w:cs="Times New Roman"/>
          <w:sz w:val="24"/>
          <w:szCs w:val="24"/>
        </w:rPr>
        <w:t>Lokhande N., &amp; Haripriya G. (2021) ‘MGNREGA: The Guaranteed Refuge for Returning Migrants During COVID-19 Lockdown in India’, </w:t>
      </w:r>
      <w:r w:rsidRPr="00F81AB8">
        <w:rPr>
          <w:rFonts w:ascii="Times New Roman" w:hAnsi="Times New Roman" w:cs="Times New Roman"/>
          <w:i/>
          <w:iCs/>
          <w:sz w:val="24"/>
          <w:szCs w:val="24"/>
        </w:rPr>
        <w:t>The Indian Economic Journal</w:t>
      </w:r>
      <w:r w:rsidRPr="00F81AB8">
        <w:rPr>
          <w:rFonts w:ascii="Times New Roman" w:hAnsi="Times New Roman" w:cs="Times New Roman"/>
          <w:sz w:val="24"/>
          <w:szCs w:val="24"/>
        </w:rPr>
        <w:t>, 69(3): 584–90.</w:t>
      </w:r>
    </w:p>
    <w:p w14:paraId="161FD569" w14:textId="2CAE144D" w:rsidR="00F81AB8" w:rsidRDefault="00F81AB8" w:rsidP="000649EA">
      <w:pPr>
        <w:pStyle w:val="ListParagraph"/>
        <w:numPr>
          <w:ilvl w:val="0"/>
          <w:numId w:val="2"/>
        </w:numPr>
        <w:spacing w:line="360" w:lineRule="auto"/>
        <w:jc w:val="both"/>
        <w:rPr>
          <w:rFonts w:ascii="Times New Roman" w:hAnsi="Times New Roman" w:cs="Times New Roman"/>
          <w:sz w:val="24"/>
          <w:szCs w:val="24"/>
        </w:rPr>
      </w:pPr>
      <w:r w:rsidRPr="00F81AB8">
        <w:rPr>
          <w:rFonts w:ascii="Times New Roman" w:hAnsi="Times New Roman" w:cs="Times New Roman"/>
          <w:sz w:val="24"/>
          <w:szCs w:val="24"/>
        </w:rPr>
        <w:t>Maiorano D., Thapar-</w:t>
      </w:r>
      <w:proofErr w:type="spellStart"/>
      <w:r w:rsidRPr="00F81AB8">
        <w:rPr>
          <w:rFonts w:ascii="Times New Roman" w:hAnsi="Times New Roman" w:cs="Times New Roman"/>
          <w:sz w:val="24"/>
          <w:szCs w:val="24"/>
        </w:rPr>
        <w:t>Björkert</w:t>
      </w:r>
      <w:proofErr w:type="spellEnd"/>
      <w:r w:rsidRPr="00F81AB8">
        <w:rPr>
          <w:rFonts w:ascii="Times New Roman" w:hAnsi="Times New Roman" w:cs="Times New Roman"/>
          <w:sz w:val="24"/>
          <w:szCs w:val="24"/>
        </w:rPr>
        <w:t xml:space="preserve"> S., &amp; Blomkvist H. (2016) ‘The Paradoxes of Empowerment: Gendering NREGA in the Rural Landscape of India’, </w:t>
      </w:r>
      <w:r w:rsidRPr="00F81AB8">
        <w:rPr>
          <w:rFonts w:ascii="Times New Roman" w:hAnsi="Times New Roman" w:cs="Times New Roman"/>
          <w:i/>
          <w:iCs/>
          <w:sz w:val="24"/>
          <w:szCs w:val="24"/>
        </w:rPr>
        <w:t>Development in Practice</w:t>
      </w:r>
      <w:r w:rsidRPr="00F81AB8">
        <w:rPr>
          <w:rFonts w:ascii="Times New Roman" w:hAnsi="Times New Roman" w:cs="Times New Roman"/>
          <w:sz w:val="24"/>
          <w:szCs w:val="24"/>
        </w:rPr>
        <w:t>, 26(1): 127–34.</w:t>
      </w:r>
    </w:p>
    <w:p w14:paraId="572932BA" w14:textId="71A770A7" w:rsidR="00F81AB8" w:rsidRPr="0060345A" w:rsidRDefault="00F81AB8" w:rsidP="000649EA">
      <w:pPr>
        <w:pStyle w:val="ListParagraph"/>
        <w:numPr>
          <w:ilvl w:val="0"/>
          <w:numId w:val="2"/>
        </w:numPr>
        <w:spacing w:line="360" w:lineRule="auto"/>
        <w:jc w:val="both"/>
        <w:rPr>
          <w:rFonts w:ascii="Times New Roman" w:hAnsi="Times New Roman" w:cs="Times New Roman"/>
          <w:sz w:val="24"/>
          <w:szCs w:val="24"/>
        </w:rPr>
      </w:pPr>
      <w:r w:rsidRPr="00F81AB8">
        <w:rPr>
          <w:rFonts w:ascii="Times New Roman" w:hAnsi="Times New Roman" w:cs="Times New Roman"/>
          <w:sz w:val="24"/>
          <w:szCs w:val="24"/>
        </w:rPr>
        <w:t>Mishra S., &amp; Nathan H.S.K. (2008) </w:t>
      </w:r>
      <w:r w:rsidRPr="00F81AB8">
        <w:rPr>
          <w:rFonts w:ascii="Times New Roman" w:hAnsi="Times New Roman" w:cs="Times New Roman"/>
          <w:i/>
          <w:iCs/>
          <w:sz w:val="24"/>
          <w:szCs w:val="24"/>
        </w:rPr>
        <w:t>On a Class of Human Development Index Measures</w:t>
      </w:r>
      <w:r w:rsidRPr="00F81AB8">
        <w:rPr>
          <w:rFonts w:ascii="Times New Roman" w:hAnsi="Times New Roman" w:cs="Times New Roman"/>
          <w:sz w:val="24"/>
          <w:szCs w:val="24"/>
        </w:rPr>
        <w:t>. WP-2008-020. Mumbai: Indira Gandhi Institute of Development Research. URL (consulted 14 February 2022</w:t>
      </w:r>
      <w:r w:rsidRPr="0060345A">
        <w:rPr>
          <w:rFonts w:ascii="Times New Roman" w:hAnsi="Times New Roman" w:cs="Times New Roman"/>
          <w:sz w:val="24"/>
          <w:szCs w:val="24"/>
        </w:rPr>
        <w:t>), from </w:t>
      </w:r>
      <w:hyperlink r:id="rId41" w:history="1">
        <w:r w:rsidRPr="0060345A">
          <w:rPr>
            <w:rStyle w:val="Hyperlink"/>
            <w:rFonts w:ascii="Times New Roman" w:hAnsi="Times New Roman" w:cs="Times New Roman"/>
            <w:color w:val="auto"/>
            <w:sz w:val="24"/>
            <w:szCs w:val="24"/>
          </w:rPr>
          <w:t>http://www.igidr.ac.in/pdf/publication/WP-2008-020.pdf</w:t>
        </w:r>
      </w:hyperlink>
    </w:p>
    <w:p w14:paraId="1B5884E8" w14:textId="10B08A41" w:rsidR="00F81AB8" w:rsidRDefault="00F81AB8" w:rsidP="000649EA">
      <w:pPr>
        <w:pStyle w:val="ListParagraph"/>
        <w:numPr>
          <w:ilvl w:val="0"/>
          <w:numId w:val="2"/>
        </w:numPr>
        <w:spacing w:line="360" w:lineRule="auto"/>
        <w:jc w:val="both"/>
        <w:rPr>
          <w:rFonts w:ascii="Times New Roman" w:hAnsi="Times New Roman" w:cs="Times New Roman"/>
          <w:sz w:val="24"/>
          <w:szCs w:val="24"/>
        </w:rPr>
      </w:pPr>
      <w:r w:rsidRPr="00F81AB8">
        <w:rPr>
          <w:rFonts w:ascii="Times New Roman" w:hAnsi="Times New Roman" w:cs="Times New Roman"/>
          <w:sz w:val="24"/>
          <w:szCs w:val="24"/>
        </w:rPr>
        <w:t>Misra K. (2019) </w:t>
      </w:r>
      <w:r w:rsidRPr="00F81AB8">
        <w:rPr>
          <w:rFonts w:ascii="Times New Roman" w:hAnsi="Times New Roman" w:cs="Times New Roman"/>
          <w:i/>
          <w:iCs/>
          <w:sz w:val="24"/>
          <w:szCs w:val="24"/>
        </w:rPr>
        <w:t>Is India’s Employment Guarantee Program Successfully Challenging Her Historical Inequalities?</w:t>
      </w:r>
      <w:r w:rsidRPr="00F81AB8">
        <w:rPr>
          <w:rFonts w:ascii="Times New Roman" w:hAnsi="Times New Roman" w:cs="Times New Roman"/>
          <w:sz w:val="24"/>
          <w:szCs w:val="24"/>
        </w:rPr>
        <w:t> Working Paper Series, 267. Amherst: University of Massachusetts. URL (consulted 14 February 2022)</w:t>
      </w:r>
      <w:r>
        <w:rPr>
          <w:rFonts w:ascii="Times New Roman" w:hAnsi="Times New Roman" w:cs="Times New Roman"/>
          <w:sz w:val="24"/>
          <w:szCs w:val="24"/>
        </w:rPr>
        <w:t>.</w:t>
      </w:r>
    </w:p>
    <w:p w14:paraId="30082DAC" w14:textId="534DB3B8" w:rsidR="00F81AB8" w:rsidRPr="000649EA" w:rsidRDefault="00F81AB8" w:rsidP="000649EA">
      <w:pPr>
        <w:pStyle w:val="ListParagraph"/>
        <w:numPr>
          <w:ilvl w:val="0"/>
          <w:numId w:val="2"/>
        </w:numPr>
        <w:spacing w:line="360" w:lineRule="auto"/>
        <w:jc w:val="both"/>
        <w:rPr>
          <w:rFonts w:ascii="Times New Roman" w:hAnsi="Times New Roman" w:cs="Times New Roman"/>
          <w:sz w:val="24"/>
          <w:szCs w:val="24"/>
        </w:rPr>
      </w:pPr>
      <w:r w:rsidRPr="00F81AB8">
        <w:rPr>
          <w:rFonts w:ascii="Times New Roman" w:hAnsi="Times New Roman" w:cs="Times New Roman"/>
          <w:sz w:val="24"/>
          <w:szCs w:val="24"/>
        </w:rPr>
        <w:t xml:space="preserve">Narayanan R., </w:t>
      </w:r>
      <w:proofErr w:type="spellStart"/>
      <w:r w:rsidRPr="00F81AB8">
        <w:rPr>
          <w:rFonts w:ascii="Times New Roman" w:hAnsi="Times New Roman" w:cs="Times New Roman"/>
          <w:sz w:val="24"/>
          <w:szCs w:val="24"/>
        </w:rPr>
        <w:t>Dhorajiwala</w:t>
      </w:r>
      <w:proofErr w:type="spellEnd"/>
      <w:r w:rsidRPr="00F81AB8">
        <w:rPr>
          <w:rFonts w:ascii="Times New Roman" w:hAnsi="Times New Roman" w:cs="Times New Roman"/>
          <w:sz w:val="24"/>
          <w:szCs w:val="24"/>
        </w:rPr>
        <w:t xml:space="preserve"> S., &amp; Golani R. (2018) </w:t>
      </w:r>
      <w:r w:rsidRPr="00F81AB8">
        <w:rPr>
          <w:rFonts w:ascii="Times New Roman" w:hAnsi="Times New Roman" w:cs="Times New Roman"/>
          <w:i/>
          <w:iCs/>
          <w:sz w:val="24"/>
          <w:szCs w:val="24"/>
        </w:rPr>
        <w:t>Analysis of Payment Delays and Delay Compensation in MGNREGA</w:t>
      </w:r>
      <w:r w:rsidRPr="00F81AB8">
        <w:rPr>
          <w:rFonts w:ascii="Times New Roman" w:hAnsi="Times New Roman" w:cs="Times New Roman"/>
          <w:sz w:val="24"/>
          <w:szCs w:val="24"/>
        </w:rPr>
        <w:t>. Working Paper 5, Centre for Sustainable Employment. Bangalore: Azim Premji University.</w:t>
      </w:r>
    </w:p>
    <w:sectPr w:rsidR="00F81AB8" w:rsidRPr="00064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B4C20"/>
    <w:multiLevelType w:val="hybridMultilevel"/>
    <w:tmpl w:val="ADD423C0"/>
    <w:lvl w:ilvl="0" w:tplc="2000000F">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F25C19"/>
    <w:multiLevelType w:val="hybridMultilevel"/>
    <w:tmpl w:val="E3527CE6"/>
    <w:lvl w:ilvl="0" w:tplc="8744E68A">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FA068AB"/>
    <w:multiLevelType w:val="hybridMultilevel"/>
    <w:tmpl w:val="649AF5A4"/>
    <w:lvl w:ilvl="0" w:tplc="E7D21B8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3EB201F"/>
    <w:multiLevelType w:val="hybridMultilevel"/>
    <w:tmpl w:val="08F296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68408F8"/>
    <w:multiLevelType w:val="hybridMultilevel"/>
    <w:tmpl w:val="FBC42C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75554581">
    <w:abstractNumId w:val="2"/>
  </w:num>
  <w:num w:numId="2" w16cid:durableId="1592396049">
    <w:abstractNumId w:val="3"/>
  </w:num>
  <w:num w:numId="3" w16cid:durableId="1332023181">
    <w:abstractNumId w:val="1"/>
  </w:num>
  <w:num w:numId="4" w16cid:durableId="1043678929">
    <w:abstractNumId w:val="4"/>
  </w:num>
  <w:num w:numId="5" w16cid:durableId="138734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3D"/>
    <w:rsid w:val="000649EA"/>
    <w:rsid w:val="00077A06"/>
    <w:rsid w:val="00101BA1"/>
    <w:rsid w:val="00103EA8"/>
    <w:rsid w:val="0013647F"/>
    <w:rsid w:val="00177D12"/>
    <w:rsid w:val="001A3957"/>
    <w:rsid w:val="001F3A9C"/>
    <w:rsid w:val="002D066F"/>
    <w:rsid w:val="002E1015"/>
    <w:rsid w:val="003106CF"/>
    <w:rsid w:val="00326AAE"/>
    <w:rsid w:val="0039596B"/>
    <w:rsid w:val="003A3071"/>
    <w:rsid w:val="003B32EC"/>
    <w:rsid w:val="003C6036"/>
    <w:rsid w:val="003D5291"/>
    <w:rsid w:val="003E287C"/>
    <w:rsid w:val="004224BA"/>
    <w:rsid w:val="00446D4E"/>
    <w:rsid w:val="00450341"/>
    <w:rsid w:val="00496392"/>
    <w:rsid w:val="004C14FB"/>
    <w:rsid w:val="004E1D56"/>
    <w:rsid w:val="004E2EB9"/>
    <w:rsid w:val="005A5970"/>
    <w:rsid w:val="0060345A"/>
    <w:rsid w:val="006765A7"/>
    <w:rsid w:val="00682F18"/>
    <w:rsid w:val="006A011C"/>
    <w:rsid w:val="006A3E55"/>
    <w:rsid w:val="007053A0"/>
    <w:rsid w:val="007D44C6"/>
    <w:rsid w:val="007D5509"/>
    <w:rsid w:val="0085505E"/>
    <w:rsid w:val="008D5085"/>
    <w:rsid w:val="00940A70"/>
    <w:rsid w:val="00945E69"/>
    <w:rsid w:val="009C7E0D"/>
    <w:rsid w:val="009D715A"/>
    <w:rsid w:val="00AC1A32"/>
    <w:rsid w:val="00B25607"/>
    <w:rsid w:val="00B41C44"/>
    <w:rsid w:val="00B86821"/>
    <w:rsid w:val="00BB003D"/>
    <w:rsid w:val="00BC5CE1"/>
    <w:rsid w:val="00BE60D6"/>
    <w:rsid w:val="00BF4D7D"/>
    <w:rsid w:val="00C457C0"/>
    <w:rsid w:val="00C74BDE"/>
    <w:rsid w:val="00C9150B"/>
    <w:rsid w:val="00CC7BA9"/>
    <w:rsid w:val="00D47A0E"/>
    <w:rsid w:val="00D83C47"/>
    <w:rsid w:val="00DC1904"/>
    <w:rsid w:val="00E83E5D"/>
    <w:rsid w:val="00EB0C70"/>
    <w:rsid w:val="00F81AB8"/>
    <w:rsid w:val="00F9246B"/>
    <w:rsid w:val="00FA1CA2"/>
    <w:rsid w:val="00FD3F08"/>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0CD8"/>
  <w15:chartTrackingRefBased/>
  <w15:docId w15:val="{57F4F2AF-7ED4-490E-8370-25C844D2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C70"/>
    <w:pPr>
      <w:ind w:left="720"/>
      <w:contextualSpacing/>
    </w:pPr>
  </w:style>
  <w:style w:type="character" w:styleId="Hyperlink">
    <w:name w:val="Hyperlink"/>
    <w:basedOn w:val="DefaultParagraphFont"/>
    <w:uiPriority w:val="99"/>
    <w:unhideWhenUsed/>
    <w:rsid w:val="003A3071"/>
    <w:rPr>
      <w:color w:val="0563C1" w:themeColor="hyperlink"/>
      <w:u w:val="single"/>
    </w:rPr>
  </w:style>
  <w:style w:type="character" w:styleId="UnresolvedMention">
    <w:name w:val="Unresolved Mention"/>
    <w:basedOn w:val="DefaultParagraphFont"/>
    <w:uiPriority w:val="99"/>
    <w:semiHidden/>
    <w:unhideWhenUsed/>
    <w:rsid w:val="003A3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40235">
      <w:bodyDiv w:val="1"/>
      <w:marLeft w:val="0"/>
      <w:marRight w:val="0"/>
      <w:marTop w:val="0"/>
      <w:marBottom w:val="0"/>
      <w:divBdr>
        <w:top w:val="none" w:sz="0" w:space="0" w:color="auto"/>
        <w:left w:val="none" w:sz="0" w:space="0" w:color="auto"/>
        <w:bottom w:val="none" w:sz="0" w:space="0" w:color="auto"/>
        <w:right w:val="none" w:sz="0" w:space="0" w:color="auto"/>
      </w:divBdr>
      <w:divsChild>
        <w:div w:id="2057653993">
          <w:marLeft w:val="0"/>
          <w:marRight w:val="0"/>
          <w:marTop w:val="0"/>
          <w:marBottom w:val="120"/>
          <w:divBdr>
            <w:top w:val="none" w:sz="0" w:space="0" w:color="auto"/>
            <w:left w:val="none" w:sz="0" w:space="0" w:color="auto"/>
            <w:bottom w:val="none" w:sz="0" w:space="0" w:color="auto"/>
            <w:right w:val="none" w:sz="0" w:space="0" w:color="auto"/>
          </w:divBdr>
        </w:div>
        <w:div w:id="1801996247">
          <w:marLeft w:val="0"/>
          <w:marRight w:val="0"/>
          <w:marTop w:val="0"/>
          <w:marBottom w:val="120"/>
          <w:divBdr>
            <w:top w:val="none" w:sz="0" w:space="0" w:color="auto"/>
            <w:left w:val="none" w:sz="0" w:space="0" w:color="auto"/>
            <w:bottom w:val="none" w:sz="0" w:space="0" w:color="auto"/>
            <w:right w:val="none" w:sz="0" w:space="0" w:color="auto"/>
          </w:divBdr>
        </w:div>
        <w:div w:id="595941967">
          <w:marLeft w:val="0"/>
          <w:marRight w:val="0"/>
          <w:marTop w:val="0"/>
          <w:marBottom w:val="120"/>
          <w:divBdr>
            <w:top w:val="none" w:sz="0" w:space="0" w:color="auto"/>
            <w:left w:val="none" w:sz="0" w:space="0" w:color="auto"/>
            <w:bottom w:val="none" w:sz="0" w:space="0" w:color="auto"/>
            <w:right w:val="none" w:sz="0" w:space="0" w:color="auto"/>
          </w:divBdr>
        </w:div>
        <w:div w:id="698973967">
          <w:marLeft w:val="0"/>
          <w:marRight w:val="0"/>
          <w:marTop w:val="0"/>
          <w:marBottom w:val="120"/>
          <w:divBdr>
            <w:top w:val="none" w:sz="0" w:space="0" w:color="auto"/>
            <w:left w:val="none" w:sz="0" w:space="0" w:color="auto"/>
            <w:bottom w:val="none" w:sz="0" w:space="0" w:color="auto"/>
            <w:right w:val="none" w:sz="0" w:space="0" w:color="auto"/>
          </w:divBdr>
        </w:div>
      </w:divsChild>
    </w:div>
    <w:div w:id="404840956">
      <w:bodyDiv w:val="1"/>
      <w:marLeft w:val="0"/>
      <w:marRight w:val="0"/>
      <w:marTop w:val="0"/>
      <w:marBottom w:val="0"/>
      <w:divBdr>
        <w:top w:val="none" w:sz="0" w:space="0" w:color="auto"/>
        <w:left w:val="none" w:sz="0" w:space="0" w:color="auto"/>
        <w:bottom w:val="none" w:sz="0" w:space="0" w:color="auto"/>
        <w:right w:val="none" w:sz="0" w:space="0" w:color="auto"/>
      </w:divBdr>
      <w:divsChild>
        <w:div w:id="2065130760">
          <w:marLeft w:val="0"/>
          <w:marRight w:val="0"/>
          <w:marTop w:val="120"/>
          <w:marBottom w:val="0"/>
          <w:divBdr>
            <w:top w:val="none" w:sz="0" w:space="0" w:color="auto"/>
            <w:left w:val="none" w:sz="0" w:space="0" w:color="auto"/>
            <w:bottom w:val="none" w:sz="0" w:space="0" w:color="auto"/>
            <w:right w:val="none" w:sz="0" w:space="0" w:color="auto"/>
          </w:divBdr>
        </w:div>
      </w:divsChild>
    </w:div>
    <w:div w:id="524490538">
      <w:bodyDiv w:val="1"/>
      <w:marLeft w:val="0"/>
      <w:marRight w:val="0"/>
      <w:marTop w:val="0"/>
      <w:marBottom w:val="0"/>
      <w:divBdr>
        <w:top w:val="none" w:sz="0" w:space="0" w:color="auto"/>
        <w:left w:val="none" w:sz="0" w:space="0" w:color="auto"/>
        <w:bottom w:val="none" w:sz="0" w:space="0" w:color="auto"/>
        <w:right w:val="none" w:sz="0" w:space="0" w:color="auto"/>
      </w:divBdr>
      <w:divsChild>
        <w:div w:id="1269581536">
          <w:marLeft w:val="0"/>
          <w:marRight w:val="0"/>
          <w:marTop w:val="0"/>
          <w:marBottom w:val="120"/>
          <w:divBdr>
            <w:top w:val="none" w:sz="0" w:space="0" w:color="auto"/>
            <w:left w:val="none" w:sz="0" w:space="0" w:color="auto"/>
            <w:bottom w:val="none" w:sz="0" w:space="0" w:color="auto"/>
            <w:right w:val="none" w:sz="0" w:space="0" w:color="auto"/>
          </w:divBdr>
        </w:div>
        <w:div w:id="782458193">
          <w:marLeft w:val="0"/>
          <w:marRight w:val="0"/>
          <w:marTop w:val="0"/>
          <w:marBottom w:val="120"/>
          <w:divBdr>
            <w:top w:val="none" w:sz="0" w:space="0" w:color="auto"/>
            <w:left w:val="none" w:sz="0" w:space="0" w:color="auto"/>
            <w:bottom w:val="none" w:sz="0" w:space="0" w:color="auto"/>
            <w:right w:val="none" w:sz="0" w:space="0" w:color="auto"/>
          </w:divBdr>
        </w:div>
        <w:div w:id="312758906">
          <w:marLeft w:val="0"/>
          <w:marRight w:val="0"/>
          <w:marTop w:val="0"/>
          <w:marBottom w:val="120"/>
          <w:divBdr>
            <w:top w:val="none" w:sz="0" w:space="0" w:color="auto"/>
            <w:left w:val="none" w:sz="0" w:space="0" w:color="auto"/>
            <w:bottom w:val="none" w:sz="0" w:space="0" w:color="auto"/>
            <w:right w:val="none" w:sz="0" w:space="0" w:color="auto"/>
          </w:divBdr>
        </w:div>
        <w:div w:id="555507081">
          <w:marLeft w:val="0"/>
          <w:marRight w:val="0"/>
          <w:marTop w:val="0"/>
          <w:marBottom w:val="120"/>
          <w:divBdr>
            <w:top w:val="none" w:sz="0" w:space="0" w:color="auto"/>
            <w:left w:val="none" w:sz="0" w:space="0" w:color="auto"/>
            <w:bottom w:val="none" w:sz="0" w:space="0" w:color="auto"/>
            <w:right w:val="none" w:sz="0" w:space="0" w:color="auto"/>
          </w:divBdr>
        </w:div>
        <w:div w:id="2142380117">
          <w:marLeft w:val="0"/>
          <w:marRight w:val="0"/>
          <w:marTop w:val="0"/>
          <w:marBottom w:val="120"/>
          <w:divBdr>
            <w:top w:val="none" w:sz="0" w:space="0" w:color="auto"/>
            <w:left w:val="none" w:sz="0" w:space="0" w:color="auto"/>
            <w:bottom w:val="none" w:sz="0" w:space="0" w:color="auto"/>
            <w:right w:val="none" w:sz="0" w:space="0" w:color="auto"/>
          </w:divBdr>
        </w:div>
        <w:div w:id="1987200221">
          <w:marLeft w:val="0"/>
          <w:marRight w:val="0"/>
          <w:marTop w:val="0"/>
          <w:marBottom w:val="120"/>
          <w:divBdr>
            <w:top w:val="none" w:sz="0" w:space="0" w:color="auto"/>
            <w:left w:val="none" w:sz="0" w:space="0" w:color="auto"/>
            <w:bottom w:val="none" w:sz="0" w:space="0" w:color="auto"/>
            <w:right w:val="none" w:sz="0" w:space="0" w:color="auto"/>
          </w:divBdr>
        </w:div>
        <w:div w:id="2023243311">
          <w:marLeft w:val="0"/>
          <w:marRight w:val="0"/>
          <w:marTop w:val="0"/>
          <w:marBottom w:val="120"/>
          <w:divBdr>
            <w:top w:val="none" w:sz="0" w:space="0" w:color="auto"/>
            <w:left w:val="none" w:sz="0" w:space="0" w:color="auto"/>
            <w:bottom w:val="none" w:sz="0" w:space="0" w:color="auto"/>
            <w:right w:val="none" w:sz="0" w:space="0" w:color="auto"/>
          </w:divBdr>
        </w:div>
        <w:div w:id="894002774">
          <w:marLeft w:val="0"/>
          <w:marRight w:val="0"/>
          <w:marTop w:val="0"/>
          <w:marBottom w:val="120"/>
          <w:divBdr>
            <w:top w:val="none" w:sz="0" w:space="0" w:color="auto"/>
            <w:left w:val="none" w:sz="0" w:space="0" w:color="auto"/>
            <w:bottom w:val="none" w:sz="0" w:space="0" w:color="auto"/>
            <w:right w:val="none" w:sz="0" w:space="0" w:color="auto"/>
          </w:divBdr>
        </w:div>
      </w:divsChild>
    </w:div>
    <w:div w:id="620772546">
      <w:bodyDiv w:val="1"/>
      <w:marLeft w:val="0"/>
      <w:marRight w:val="0"/>
      <w:marTop w:val="0"/>
      <w:marBottom w:val="0"/>
      <w:divBdr>
        <w:top w:val="none" w:sz="0" w:space="0" w:color="auto"/>
        <w:left w:val="none" w:sz="0" w:space="0" w:color="auto"/>
        <w:bottom w:val="none" w:sz="0" w:space="0" w:color="auto"/>
        <w:right w:val="none" w:sz="0" w:space="0" w:color="auto"/>
      </w:divBdr>
      <w:divsChild>
        <w:div w:id="2145615769">
          <w:marLeft w:val="0"/>
          <w:marRight w:val="0"/>
          <w:marTop w:val="0"/>
          <w:marBottom w:val="120"/>
          <w:divBdr>
            <w:top w:val="none" w:sz="0" w:space="0" w:color="auto"/>
            <w:left w:val="none" w:sz="0" w:space="0" w:color="auto"/>
            <w:bottom w:val="none" w:sz="0" w:space="0" w:color="auto"/>
            <w:right w:val="none" w:sz="0" w:space="0" w:color="auto"/>
          </w:divBdr>
        </w:div>
        <w:div w:id="1344817527">
          <w:marLeft w:val="0"/>
          <w:marRight w:val="0"/>
          <w:marTop w:val="0"/>
          <w:marBottom w:val="120"/>
          <w:divBdr>
            <w:top w:val="none" w:sz="0" w:space="0" w:color="auto"/>
            <w:left w:val="none" w:sz="0" w:space="0" w:color="auto"/>
            <w:bottom w:val="none" w:sz="0" w:space="0" w:color="auto"/>
            <w:right w:val="none" w:sz="0" w:space="0" w:color="auto"/>
          </w:divBdr>
        </w:div>
        <w:div w:id="1885559528">
          <w:marLeft w:val="0"/>
          <w:marRight w:val="0"/>
          <w:marTop w:val="0"/>
          <w:marBottom w:val="120"/>
          <w:divBdr>
            <w:top w:val="none" w:sz="0" w:space="0" w:color="auto"/>
            <w:left w:val="none" w:sz="0" w:space="0" w:color="auto"/>
            <w:bottom w:val="none" w:sz="0" w:space="0" w:color="auto"/>
            <w:right w:val="none" w:sz="0" w:space="0" w:color="auto"/>
          </w:divBdr>
        </w:div>
        <w:div w:id="648242628">
          <w:marLeft w:val="0"/>
          <w:marRight w:val="0"/>
          <w:marTop w:val="0"/>
          <w:marBottom w:val="120"/>
          <w:divBdr>
            <w:top w:val="none" w:sz="0" w:space="0" w:color="auto"/>
            <w:left w:val="none" w:sz="0" w:space="0" w:color="auto"/>
            <w:bottom w:val="none" w:sz="0" w:space="0" w:color="auto"/>
            <w:right w:val="none" w:sz="0" w:space="0" w:color="auto"/>
          </w:divBdr>
        </w:div>
      </w:divsChild>
    </w:div>
    <w:div w:id="847065982">
      <w:bodyDiv w:val="1"/>
      <w:marLeft w:val="0"/>
      <w:marRight w:val="0"/>
      <w:marTop w:val="0"/>
      <w:marBottom w:val="0"/>
      <w:divBdr>
        <w:top w:val="none" w:sz="0" w:space="0" w:color="auto"/>
        <w:left w:val="none" w:sz="0" w:space="0" w:color="auto"/>
        <w:bottom w:val="none" w:sz="0" w:space="0" w:color="auto"/>
        <w:right w:val="none" w:sz="0" w:space="0" w:color="auto"/>
      </w:divBdr>
      <w:divsChild>
        <w:div w:id="77869595">
          <w:marLeft w:val="0"/>
          <w:marRight w:val="0"/>
          <w:marTop w:val="0"/>
          <w:marBottom w:val="120"/>
          <w:divBdr>
            <w:top w:val="none" w:sz="0" w:space="0" w:color="auto"/>
            <w:left w:val="none" w:sz="0" w:space="0" w:color="auto"/>
            <w:bottom w:val="none" w:sz="0" w:space="0" w:color="auto"/>
            <w:right w:val="none" w:sz="0" w:space="0" w:color="auto"/>
          </w:divBdr>
        </w:div>
        <w:div w:id="1387610239">
          <w:marLeft w:val="0"/>
          <w:marRight w:val="0"/>
          <w:marTop w:val="0"/>
          <w:marBottom w:val="120"/>
          <w:divBdr>
            <w:top w:val="none" w:sz="0" w:space="0" w:color="auto"/>
            <w:left w:val="none" w:sz="0" w:space="0" w:color="auto"/>
            <w:bottom w:val="none" w:sz="0" w:space="0" w:color="auto"/>
            <w:right w:val="none" w:sz="0" w:space="0" w:color="auto"/>
          </w:divBdr>
        </w:div>
        <w:div w:id="1769736246">
          <w:marLeft w:val="0"/>
          <w:marRight w:val="0"/>
          <w:marTop w:val="0"/>
          <w:marBottom w:val="120"/>
          <w:divBdr>
            <w:top w:val="none" w:sz="0" w:space="0" w:color="auto"/>
            <w:left w:val="none" w:sz="0" w:space="0" w:color="auto"/>
            <w:bottom w:val="none" w:sz="0" w:space="0" w:color="auto"/>
            <w:right w:val="none" w:sz="0" w:space="0" w:color="auto"/>
          </w:divBdr>
        </w:div>
        <w:div w:id="50886961">
          <w:marLeft w:val="0"/>
          <w:marRight w:val="0"/>
          <w:marTop w:val="0"/>
          <w:marBottom w:val="120"/>
          <w:divBdr>
            <w:top w:val="none" w:sz="0" w:space="0" w:color="auto"/>
            <w:left w:val="none" w:sz="0" w:space="0" w:color="auto"/>
            <w:bottom w:val="none" w:sz="0" w:space="0" w:color="auto"/>
            <w:right w:val="none" w:sz="0" w:space="0" w:color="auto"/>
          </w:divBdr>
        </w:div>
        <w:div w:id="125858456">
          <w:marLeft w:val="0"/>
          <w:marRight w:val="0"/>
          <w:marTop w:val="0"/>
          <w:marBottom w:val="120"/>
          <w:divBdr>
            <w:top w:val="none" w:sz="0" w:space="0" w:color="auto"/>
            <w:left w:val="none" w:sz="0" w:space="0" w:color="auto"/>
            <w:bottom w:val="none" w:sz="0" w:space="0" w:color="auto"/>
            <w:right w:val="none" w:sz="0" w:space="0" w:color="auto"/>
          </w:divBdr>
        </w:div>
        <w:div w:id="1416168967">
          <w:marLeft w:val="0"/>
          <w:marRight w:val="0"/>
          <w:marTop w:val="0"/>
          <w:marBottom w:val="120"/>
          <w:divBdr>
            <w:top w:val="none" w:sz="0" w:space="0" w:color="auto"/>
            <w:left w:val="none" w:sz="0" w:space="0" w:color="auto"/>
            <w:bottom w:val="none" w:sz="0" w:space="0" w:color="auto"/>
            <w:right w:val="none" w:sz="0" w:space="0" w:color="auto"/>
          </w:divBdr>
        </w:div>
        <w:div w:id="1331180035">
          <w:marLeft w:val="0"/>
          <w:marRight w:val="0"/>
          <w:marTop w:val="0"/>
          <w:marBottom w:val="120"/>
          <w:divBdr>
            <w:top w:val="none" w:sz="0" w:space="0" w:color="auto"/>
            <w:left w:val="none" w:sz="0" w:space="0" w:color="auto"/>
            <w:bottom w:val="none" w:sz="0" w:space="0" w:color="auto"/>
            <w:right w:val="none" w:sz="0" w:space="0" w:color="auto"/>
          </w:divBdr>
        </w:div>
        <w:div w:id="614412930">
          <w:marLeft w:val="0"/>
          <w:marRight w:val="0"/>
          <w:marTop w:val="0"/>
          <w:marBottom w:val="120"/>
          <w:divBdr>
            <w:top w:val="none" w:sz="0" w:space="0" w:color="auto"/>
            <w:left w:val="none" w:sz="0" w:space="0" w:color="auto"/>
            <w:bottom w:val="none" w:sz="0" w:space="0" w:color="auto"/>
            <w:right w:val="none" w:sz="0" w:space="0" w:color="auto"/>
          </w:divBdr>
        </w:div>
      </w:divsChild>
    </w:div>
    <w:div w:id="1844976684">
      <w:bodyDiv w:val="1"/>
      <w:marLeft w:val="0"/>
      <w:marRight w:val="0"/>
      <w:marTop w:val="0"/>
      <w:marBottom w:val="0"/>
      <w:divBdr>
        <w:top w:val="none" w:sz="0" w:space="0" w:color="auto"/>
        <w:left w:val="none" w:sz="0" w:space="0" w:color="auto"/>
        <w:bottom w:val="none" w:sz="0" w:space="0" w:color="auto"/>
        <w:right w:val="none" w:sz="0" w:space="0" w:color="auto"/>
      </w:divBdr>
      <w:divsChild>
        <w:div w:id="119642712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gepub.com/doi/full/10.1177/02627280221085195" TargetMode="External"/><Relationship Id="rId18" Type="http://schemas.openxmlformats.org/officeDocument/2006/relationships/hyperlink" Target="https://journals.sagepub.com/doi/full/10.1177/02627280221085195" TargetMode="External"/><Relationship Id="rId26" Type="http://schemas.openxmlformats.org/officeDocument/2006/relationships/hyperlink" Target="https://journals.sagepub.com/doi/full/10.1177/02627280221085195" TargetMode="External"/><Relationship Id="rId39" Type="http://schemas.openxmlformats.org/officeDocument/2006/relationships/hyperlink" Target="http://www.nrega.nic.in" TargetMode="External"/><Relationship Id="rId21" Type="http://schemas.openxmlformats.org/officeDocument/2006/relationships/hyperlink" Target="https://journals.sagepub.com/doi/full/10.1177/02627280221085195" TargetMode="External"/><Relationship Id="rId34" Type="http://schemas.openxmlformats.org/officeDocument/2006/relationships/hyperlink" Target="https://journals.sagepub.com/doi/full/10.1177/02627280221085195" TargetMode="External"/><Relationship Id="rId42" Type="http://schemas.openxmlformats.org/officeDocument/2006/relationships/fontTable" Target="fontTable.xml"/><Relationship Id="rId7" Type="http://schemas.openxmlformats.org/officeDocument/2006/relationships/hyperlink" Target="https://journals.sagepub.com/doi/full/10.1177/02627280221085195" TargetMode="External"/><Relationship Id="rId2" Type="http://schemas.openxmlformats.org/officeDocument/2006/relationships/styles" Target="styles.xml"/><Relationship Id="rId16" Type="http://schemas.openxmlformats.org/officeDocument/2006/relationships/hyperlink" Target="https://journals.sagepub.com/doi/full/10.1177/02627280221085195" TargetMode="External"/><Relationship Id="rId20" Type="http://schemas.openxmlformats.org/officeDocument/2006/relationships/hyperlink" Target="https://journals.sagepub.com/doi/full/10.1177/02627280221085195" TargetMode="External"/><Relationship Id="rId29" Type="http://schemas.openxmlformats.org/officeDocument/2006/relationships/hyperlink" Target="https://journals.sagepub.com/doi/full/10.1177/02627280221085195" TargetMode="External"/><Relationship Id="rId41" Type="http://schemas.openxmlformats.org/officeDocument/2006/relationships/hyperlink" Target="http://www.igidr.ac.in/pdf/publication/WP-2008-020.pdf" TargetMode="External"/><Relationship Id="rId1" Type="http://schemas.openxmlformats.org/officeDocument/2006/relationships/numbering" Target="numbering.xml"/><Relationship Id="rId6" Type="http://schemas.openxmlformats.org/officeDocument/2006/relationships/hyperlink" Target="https://journals.sagepub.com/doi/full/10.1177/02627280221085195" TargetMode="External"/><Relationship Id="rId11" Type="http://schemas.openxmlformats.org/officeDocument/2006/relationships/hyperlink" Target="https://journals.sagepub.com/doi/full/10.1177/02627280221085195" TargetMode="External"/><Relationship Id="rId24" Type="http://schemas.openxmlformats.org/officeDocument/2006/relationships/hyperlink" Target="https://journals.sagepub.com/doi/full/10.1177/02627280221085195" TargetMode="External"/><Relationship Id="rId32" Type="http://schemas.openxmlformats.org/officeDocument/2006/relationships/hyperlink" Target="https://bhuvan" TargetMode="External"/><Relationship Id="rId37" Type="http://schemas.openxmlformats.org/officeDocument/2006/relationships/hyperlink" Target="https://journals.sagepub.com/doi/full/10.1177/02627280221085195" TargetMode="External"/><Relationship Id="rId40" Type="http://schemas.openxmlformats.org/officeDocument/2006/relationships/hyperlink" Target="https://www.indiawaterportal.org/articles/nrega-tracker-looks-schemes-performance" TargetMode="External"/><Relationship Id="rId5" Type="http://schemas.openxmlformats.org/officeDocument/2006/relationships/hyperlink" Target="https://journals.sagepub.com/doi/full/10.1177/02627280221085195" TargetMode="External"/><Relationship Id="rId15" Type="http://schemas.openxmlformats.org/officeDocument/2006/relationships/hyperlink" Target="https://journals.sagepub.com/doi/full/10.1177/02627280221085195" TargetMode="External"/><Relationship Id="rId23" Type="http://schemas.openxmlformats.org/officeDocument/2006/relationships/hyperlink" Target="https://journals.sagepub.com/doi/full/10.1177/02627280221085195" TargetMode="External"/><Relationship Id="rId28" Type="http://schemas.openxmlformats.org/officeDocument/2006/relationships/hyperlink" Target="https://journals.sagepub.com/doi/full/10.1177/02627280221085195" TargetMode="External"/><Relationship Id="rId36" Type="http://schemas.openxmlformats.org/officeDocument/2006/relationships/hyperlink" Target="https://journals.sagepub.com/doi/full/10.1177/02627280221085195" TargetMode="External"/><Relationship Id="rId10" Type="http://schemas.openxmlformats.org/officeDocument/2006/relationships/hyperlink" Target="https://journals.sagepub.com/doi/full/10.1177/02627280221085195" TargetMode="External"/><Relationship Id="rId19" Type="http://schemas.openxmlformats.org/officeDocument/2006/relationships/hyperlink" Target="https://journals.sagepub.com/doi/full/10.1177/02627280221085195" TargetMode="External"/><Relationship Id="rId31" Type="http://schemas.openxmlformats.org/officeDocument/2006/relationships/hyperlink" Target="https://journals.sagepub.com/doi/full/10.1177/02627280221085195" TargetMode="External"/><Relationship Id="rId4" Type="http://schemas.openxmlformats.org/officeDocument/2006/relationships/webSettings" Target="webSettings.xml"/><Relationship Id="rId9" Type="http://schemas.openxmlformats.org/officeDocument/2006/relationships/hyperlink" Target="https://journals.sagepub.com/doi/full/10.1177/02627280221085195" TargetMode="External"/><Relationship Id="rId14" Type="http://schemas.openxmlformats.org/officeDocument/2006/relationships/hyperlink" Target="https://journals.sagepub.com/doi/full/10.1177/02627280221085195" TargetMode="External"/><Relationship Id="rId22" Type="http://schemas.openxmlformats.org/officeDocument/2006/relationships/hyperlink" Target="https://journals.sagepub.com/doi/full/10.1177/02627280221085195" TargetMode="External"/><Relationship Id="rId27" Type="http://schemas.openxmlformats.org/officeDocument/2006/relationships/hyperlink" Target="https://journals.sagepub.com/doi/full/10.1177/02627280221085195" TargetMode="External"/><Relationship Id="rId30" Type="http://schemas.openxmlformats.org/officeDocument/2006/relationships/hyperlink" Target="https://journals.sagepub.com/doi/full/10.1177/02627280221085195" TargetMode="External"/><Relationship Id="rId35" Type="http://schemas.openxmlformats.org/officeDocument/2006/relationships/hyperlink" Target="https://journals.sagepub.com/doi/full/10.1177/02627280221085195" TargetMode="External"/><Relationship Id="rId43" Type="http://schemas.openxmlformats.org/officeDocument/2006/relationships/theme" Target="theme/theme1.xml"/><Relationship Id="rId8" Type="http://schemas.openxmlformats.org/officeDocument/2006/relationships/hyperlink" Target="https://journals.sagepub.com/doi/full/10.1177/02627280221085195" TargetMode="External"/><Relationship Id="rId3" Type="http://schemas.openxmlformats.org/officeDocument/2006/relationships/settings" Target="settings.xml"/><Relationship Id="rId12" Type="http://schemas.openxmlformats.org/officeDocument/2006/relationships/hyperlink" Target="https://journals.sagepub.com/doi/full/10.1177/02627280221085195" TargetMode="External"/><Relationship Id="rId17" Type="http://schemas.openxmlformats.org/officeDocument/2006/relationships/hyperlink" Target="https://journals.sagepub.com/doi/full/10.1177/02627280221085195" TargetMode="External"/><Relationship Id="rId25" Type="http://schemas.openxmlformats.org/officeDocument/2006/relationships/hyperlink" Target="https://journals.sagepub.com/doi/full/10.1177/02627280221085195" TargetMode="External"/><Relationship Id="rId33" Type="http://schemas.openxmlformats.org/officeDocument/2006/relationships/hyperlink" Target="https://journals.sagepub.com/doi/full/10.1177/02627280221085195" TargetMode="External"/><Relationship Id="rId38" Type="http://schemas.openxmlformats.org/officeDocument/2006/relationships/hyperlink" Target="https://journals.sagepub.com/doi/full/10.1177/02627280221085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20</Pages>
  <Words>7924</Words>
  <Characters>45171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TATARAO DUMMU</dc:creator>
  <cp:keywords/>
  <dc:description/>
  <cp:lastModifiedBy>Dr. TATARAO DUMMU</cp:lastModifiedBy>
  <cp:revision>68</cp:revision>
  <dcterms:created xsi:type="dcterms:W3CDTF">2024-08-28T13:05:00Z</dcterms:created>
  <dcterms:modified xsi:type="dcterms:W3CDTF">2024-08-29T14:36:00Z</dcterms:modified>
</cp:coreProperties>
</file>