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951DC9" w14:textId="77777777" w:rsidR="00DA2B3A" w:rsidRDefault="001C1F83">
      <w:pPr>
        <w:spacing w:before="240" w:after="240"/>
        <w:ind w:left="720"/>
        <w:jc w:val="center"/>
        <w:rPr>
          <w:rFonts w:ascii="Times New Roman" w:eastAsia="Times New Roman" w:hAnsi="Times New Roman" w:cs="Times New Roman"/>
          <w:b/>
          <w:bCs/>
          <w:sz w:val="24"/>
          <w:szCs w:val="24"/>
        </w:rPr>
      </w:pPr>
      <w:r>
        <w:rPr>
          <w:rFonts w:ascii="Arial" w:eastAsia="Arial" w:hAnsi="Arial" w:cs="Arial"/>
          <w:b/>
          <w:bCs/>
          <w:color w:val="313131"/>
          <w:sz w:val="32"/>
          <w:szCs w:val="32"/>
        </w:rPr>
        <w:t>Plant-Based Therapeutics and Indigenous Knowledge Systems in a Rural Community of Iligan City</w:t>
      </w:r>
      <w:r>
        <w:rPr>
          <w:rFonts w:ascii="Times New Roman" w:eastAsia="Times New Roman" w:hAnsi="Times New Roman" w:cs="Times New Roman"/>
          <w:b/>
          <w:bCs/>
          <w:sz w:val="32"/>
          <w:szCs w:val="32"/>
        </w:rPr>
        <w:br/>
      </w:r>
    </w:p>
    <w:p w14:paraId="30A48BD3" w14:textId="77777777" w:rsidR="00DA2B3A" w:rsidRDefault="001C1F8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Samson L. Mangin¹ and Edna B. Nabua²</w:t>
      </w:r>
    </w:p>
    <w:p w14:paraId="3394F565" w14:textId="77777777" w:rsidR="00DA2B3A" w:rsidRDefault="001C1F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¹²</w:t>
      </w:r>
      <w:r>
        <w:rPr>
          <w:rFonts w:ascii="Times New Roman" w:eastAsia="Times New Roman" w:hAnsi="Times New Roman" w:cs="Times New Roman"/>
          <w:sz w:val="24"/>
          <w:szCs w:val="24"/>
        </w:rPr>
        <w:t xml:space="preserve">Department of Science and Mathematics Education, College of Education, </w:t>
      </w:r>
    </w:p>
    <w:p w14:paraId="7496F210" w14:textId="77777777" w:rsidR="00DA2B3A" w:rsidRDefault="001C1F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Mindanao State University – Iligan Institute of Technology, Philippines</w:t>
      </w:r>
    </w:p>
    <w:p w14:paraId="5DD14FDD" w14:textId="77777777" w:rsidR="00DA2B3A" w:rsidRDefault="00DA2B3A">
      <w:pPr>
        <w:spacing w:after="0" w:line="240" w:lineRule="auto"/>
        <w:jc w:val="center"/>
        <w:rPr>
          <w:rFonts w:ascii="Times New Roman" w:eastAsia="Times New Roman" w:hAnsi="Times New Roman" w:cs="Times New Roman"/>
          <w:sz w:val="24"/>
          <w:szCs w:val="24"/>
        </w:rPr>
      </w:pPr>
    </w:p>
    <w:p w14:paraId="41F1BB75" w14:textId="77777777" w:rsidR="00DA2B3A" w:rsidRDefault="001C1F83">
      <w:pPr>
        <w:spacing w:after="0" w:line="240" w:lineRule="auto"/>
        <w:jc w:val="center"/>
        <w:rPr>
          <w:rFonts w:ascii="Times New Roman" w:eastAsia="Times New Roman" w:hAnsi="Times New Roman" w:cs="Times New Roman"/>
          <w:sz w:val="24"/>
          <w:szCs w:val="24"/>
        </w:rPr>
      </w:pPr>
      <w:hyperlink r:id="rId6" w:history="1">
        <w:r>
          <w:rPr>
            <w:rFonts w:ascii="Times New Roman" w:eastAsia="Times New Roman" w:hAnsi="Times New Roman" w:cs="Times New Roman"/>
            <w:color w:val="1155CC"/>
            <w:sz w:val="24"/>
            <w:szCs w:val="24"/>
            <w:u w:val="single"/>
          </w:rPr>
          <w:t>samson.mangin@g.msuiit.edu.ph</w:t>
        </w:r>
      </w:hyperlink>
    </w:p>
    <w:p w14:paraId="71B1601A" w14:textId="77777777" w:rsidR="00DA2B3A" w:rsidRDefault="001C1F83">
      <w:pPr>
        <w:spacing w:after="0" w:line="240" w:lineRule="auto"/>
        <w:jc w:val="center"/>
        <w:rPr>
          <w:rFonts w:ascii="Times New Roman" w:eastAsia="Times New Roman" w:hAnsi="Times New Roman" w:cs="Times New Roman"/>
          <w:sz w:val="24"/>
          <w:szCs w:val="24"/>
        </w:rPr>
      </w:pPr>
      <w:hyperlink r:id="rId7" w:history="1">
        <w:r>
          <w:rPr>
            <w:rFonts w:ascii="Times New Roman" w:eastAsia="Times New Roman" w:hAnsi="Times New Roman" w:cs="Times New Roman"/>
            <w:color w:val="1155CC"/>
            <w:sz w:val="24"/>
            <w:szCs w:val="24"/>
            <w:u w:val="single"/>
          </w:rPr>
          <w:t>edna.nabua@g.msuiit.edu.ph</w:t>
        </w:r>
      </w:hyperlink>
    </w:p>
    <w:p w14:paraId="3CC0B52A" w14:textId="77777777" w:rsidR="00DA2B3A" w:rsidRDefault="00DA2B3A">
      <w:pPr>
        <w:spacing w:after="0" w:line="240" w:lineRule="auto"/>
        <w:jc w:val="center"/>
        <w:rPr>
          <w:rFonts w:ascii="Times New Roman" w:eastAsia="Times New Roman" w:hAnsi="Times New Roman" w:cs="Times New Roman"/>
          <w:sz w:val="24"/>
          <w:szCs w:val="24"/>
        </w:rPr>
      </w:pPr>
    </w:p>
    <w:p w14:paraId="47F2DF81" w14:textId="77777777" w:rsidR="00DA2B3A" w:rsidRDefault="001C1F83">
      <w:pPr>
        <w:rPr>
          <w:rFonts w:ascii="Times New Roman" w:eastAsia="Times New Roman" w:hAnsi="Times New Roman" w:cs="Times New Roman"/>
          <w:b/>
          <w:bCs/>
          <w:sz w:val="24"/>
          <w:szCs w:val="24"/>
        </w:rPr>
      </w:pPr>
      <w:r>
        <w:rPr>
          <w:rFonts w:ascii="Times New Roman" w:eastAsia="Times New Roman" w:hAnsi="Times New Roman" w:cs="Times New Roman"/>
          <w:b/>
          <w:bCs/>
          <w:color w:val="212121"/>
          <w:sz w:val="24"/>
          <w:szCs w:val="24"/>
        </w:rPr>
        <w:t>Abstract</w:t>
      </w:r>
    </w:p>
    <w:p w14:paraId="4B752A22" w14:textId="77777777" w:rsidR="00DA2B3A" w:rsidRDefault="001C1F83">
      <w:pPr>
        <w:spacing w:before="240" w:after="240"/>
        <w:rPr>
          <w:rFonts w:ascii="Times New Roman" w:eastAsia="Times New Roman" w:hAnsi="Times New Roman" w:cs="Times New Roman"/>
          <w:sz w:val="24"/>
          <w:szCs w:val="24"/>
        </w:rPr>
      </w:pPr>
      <w:bookmarkStart w:id="0" w:name="_heading=h.kybbibdh77mc" w:colFirst="0" w:colLast="0"/>
      <w:bookmarkEnd w:id="0"/>
      <w:r>
        <w:rPr>
          <w:rFonts w:ascii="Times New Roman" w:eastAsia="Times New Roman" w:hAnsi="Times New Roman" w:cs="Times New Roman"/>
          <w:sz w:val="24"/>
          <w:szCs w:val="24"/>
        </w:rPr>
        <w:t>This study documents the ethnomedicinal plants utilized by the community of Sitio Langilanon, Barangay Pugaan, Iligan City, and examines their cultural and therapeutic significance. Employing a mix</w:t>
      </w:r>
      <w:r>
        <w:rPr>
          <w:rFonts w:ascii="Times New Roman" w:eastAsia="Times New Roman" w:hAnsi="Times New Roman" w:cs="Times New Roman"/>
          <w:sz w:val="24"/>
          <w:szCs w:val="24"/>
        </w:rPr>
        <w:t>ed-methods research design, data were gathered from settlers of Sitio Langilanon through structured surveys and semi-structured interviews to identify plant species, modes of preparation, and associated health practices. A total of twenty two (22) ethnomed</w:t>
      </w:r>
      <w:r>
        <w:rPr>
          <w:rFonts w:ascii="Times New Roman" w:eastAsia="Times New Roman" w:hAnsi="Times New Roman" w:cs="Times New Roman"/>
          <w:sz w:val="24"/>
          <w:szCs w:val="24"/>
        </w:rPr>
        <w:t>icinal plant species were recorded, with remedies commonly prepared through boiling, pounding, and infusion to treat ailments such as fever, diarrhea, cough, wounds, and hypertension. The findings reveal a strong reliance on plant-based remedies within the</w:t>
      </w:r>
      <w:r>
        <w:rPr>
          <w:rFonts w:ascii="Times New Roman" w:eastAsia="Times New Roman" w:hAnsi="Times New Roman" w:cs="Times New Roman"/>
          <w:sz w:val="24"/>
          <w:szCs w:val="24"/>
        </w:rPr>
        <w:t xml:space="preserve"> community and demonstrate the continued intergenerational transmission of indigenous medicinal knowledge. However, these traditional practices are increasingly threatened by modernization and environmental change, highlighting the need for systematic docu</w:t>
      </w:r>
      <w:r>
        <w:rPr>
          <w:rFonts w:ascii="Times New Roman" w:eastAsia="Times New Roman" w:hAnsi="Times New Roman" w:cs="Times New Roman"/>
          <w:sz w:val="24"/>
          <w:szCs w:val="24"/>
        </w:rPr>
        <w:t>mentation, cultural preservation, and further scientific validation. Overall, the study underscores the important role of ethnomedicine in local primary healthcare systems and its potential contribution to broader scientific knowledge and sustainable healt</w:t>
      </w:r>
      <w:r>
        <w:rPr>
          <w:rFonts w:ascii="Times New Roman" w:eastAsia="Times New Roman" w:hAnsi="Times New Roman" w:cs="Times New Roman"/>
          <w:sz w:val="24"/>
          <w:szCs w:val="24"/>
        </w:rPr>
        <w:t>h practices.</w:t>
      </w:r>
    </w:p>
    <w:p w14:paraId="68DE451F" w14:textId="77777777" w:rsidR="00DA2B3A" w:rsidRDefault="001C1F83">
      <w:pPr>
        <w:ind w:right="172"/>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Ethnomedicinal Plants, Traditional Practices</w:t>
      </w:r>
    </w:p>
    <w:p w14:paraId="320EB03F" w14:textId="77777777" w:rsidR="00DA2B3A" w:rsidRDefault="00DA2B3A">
      <w:pPr>
        <w:rPr>
          <w:rFonts w:ascii="Times New Roman" w:eastAsia="Times New Roman" w:hAnsi="Times New Roman" w:cs="Times New Roman"/>
          <w:b/>
          <w:bCs/>
          <w:sz w:val="24"/>
          <w:szCs w:val="24"/>
        </w:rPr>
      </w:pPr>
    </w:p>
    <w:p w14:paraId="788C2FA2" w14:textId="77777777" w:rsidR="00DA2B3A" w:rsidRDefault="001C1F8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350C5662" w14:textId="77777777" w:rsidR="00DA2B3A" w:rsidRDefault="001C1F8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Ethnomedicinal practices remain a fundamental component of primary healthcare for many rural and indigenous communities, particularly in the Philippines, where traditional he</w:t>
      </w:r>
      <w:r>
        <w:rPr>
          <w:rFonts w:ascii="Times New Roman" w:eastAsia="Times New Roman" w:hAnsi="Times New Roman" w:cs="Times New Roman"/>
          <w:sz w:val="24"/>
          <w:szCs w:val="24"/>
        </w:rPr>
        <w:t>aling is deeply embedded in cultural identity and everyday life. Despite the increasing availability of biomedical healthcare services, a substantial portion of the population continues to rely on herbal remedies due to their local availability, affordabil</w:t>
      </w:r>
      <w:r>
        <w:rPr>
          <w:rFonts w:ascii="Times New Roman" w:eastAsia="Times New Roman" w:hAnsi="Times New Roman" w:cs="Times New Roman"/>
          <w:sz w:val="24"/>
          <w:szCs w:val="24"/>
        </w:rPr>
        <w:t>ity, and cultural acceptability. Across Southeast Asia, ethnomedicinal knowledge represents generations of empirical observation, experimentation, and adaptation within specific ecological contexts. In the Philippine setting, many communities continue to d</w:t>
      </w:r>
      <w:r>
        <w:rPr>
          <w:rFonts w:ascii="Times New Roman" w:eastAsia="Times New Roman" w:hAnsi="Times New Roman" w:cs="Times New Roman"/>
          <w:sz w:val="24"/>
          <w:szCs w:val="24"/>
        </w:rPr>
        <w:t>epend on medicinal plants derived from local flora, with knowledge transmitted orally across generations (Dizon &amp; Migo, 2016). This continued reliance reflects not only the accessibility of indigenous plant resources but also the enduring cultural value of</w:t>
      </w:r>
      <w:r>
        <w:rPr>
          <w:rFonts w:ascii="Times New Roman" w:eastAsia="Times New Roman" w:hAnsi="Times New Roman" w:cs="Times New Roman"/>
          <w:sz w:val="24"/>
          <w:szCs w:val="24"/>
        </w:rPr>
        <w:t xml:space="preserve"> traditional knowledge systems.</w:t>
      </w:r>
    </w:p>
    <w:p w14:paraId="355AC33F" w14:textId="77777777" w:rsidR="00DA2B3A" w:rsidRDefault="001C1F8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Sitio Langilanon, Barangay Pugaan, Iligan City, community members commonly utilize herbal plants to manage ailments such as fever, diarrhea, wounds, cough, and hypertension. This practice underscores the critical role </w:t>
      </w:r>
      <w:r>
        <w:rPr>
          <w:rFonts w:ascii="Times New Roman" w:eastAsia="Times New Roman" w:hAnsi="Times New Roman" w:cs="Times New Roman"/>
          <w:sz w:val="24"/>
          <w:szCs w:val="24"/>
        </w:rPr>
        <w:t>of plant-based healthcare in areas where access to formal medical services is limited or constrained. Previous studies conducted in Mindanao indicate that indigenous knowledge systems remain robust yet insufficiently documented, placing valuable cultural a</w:t>
      </w:r>
      <w:r>
        <w:rPr>
          <w:rFonts w:ascii="Times New Roman" w:eastAsia="Times New Roman" w:hAnsi="Times New Roman" w:cs="Times New Roman"/>
          <w:sz w:val="24"/>
          <w:szCs w:val="24"/>
        </w:rPr>
        <w:t xml:space="preserve">nd medicinal information at risk of loss. Guilaco et al. (2021) reported that indigenous communities in Mindanao possess extensive plant-based healing knowledge that contributes significantly to community health and cultural continuity. However, </w:t>
      </w:r>
      <w:r>
        <w:rPr>
          <w:rFonts w:ascii="Times New Roman" w:eastAsia="Times New Roman" w:hAnsi="Times New Roman" w:cs="Times New Roman"/>
          <w:sz w:val="24"/>
          <w:szCs w:val="24"/>
        </w:rPr>
        <w:lastRenderedPageBreak/>
        <w:t>this knowl</w:t>
      </w:r>
      <w:r>
        <w:rPr>
          <w:rFonts w:ascii="Times New Roman" w:eastAsia="Times New Roman" w:hAnsi="Times New Roman" w:cs="Times New Roman"/>
          <w:sz w:val="24"/>
          <w:szCs w:val="24"/>
        </w:rPr>
        <w:t>edge base is increasingly threatened by modernization, environmental degradation, and declining interest among younger generations.</w:t>
      </w:r>
    </w:p>
    <w:p w14:paraId="760112F6" w14:textId="77777777" w:rsidR="00DA2B3A" w:rsidRDefault="001C1F8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these challenges, systematic documentation of ethnomedicinal practices is essential to preserve cultural heritage and </w:t>
      </w:r>
      <w:r>
        <w:rPr>
          <w:rFonts w:ascii="Times New Roman" w:eastAsia="Times New Roman" w:hAnsi="Times New Roman" w:cs="Times New Roman"/>
          <w:sz w:val="24"/>
          <w:szCs w:val="24"/>
        </w:rPr>
        <w:t>to provide a foundation for further scientific evaluation and sustainable healthcare initiatives. Therefore, this study aims to document and analyze the ethnomedicinal plants and associated healing practices of the community in Sitio Langilanon. By doing s</w:t>
      </w:r>
      <w:r>
        <w:rPr>
          <w:rFonts w:ascii="Times New Roman" w:eastAsia="Times New Roman" w:hAnsi="Times New Roman" w:cs="Times New Roman"/>
          <w:sz w:val="24"/>
          <w:szCs w:val="24"/>
        </w:rPr>
        <w:t>o, the research seeks to contribute to the preservation of indigenous knowledge, enhance scientific understanding of traditional medicinal resources, and support the integration of ethnomedicine into local primary healthcare development.</w:t>
      </w:r>
    </w:p>
    <w:p w14:paraId="224167B9" w14:textId="77777777" w:rsidR="00DA2B3A" w:rsidRDefault="00DA2B3A">
      <w:pPr>
        <w:ind w:firstLine="720"/>
        <w:rPr>
          <w:rFonts w:ascii="Times New Roman" w:eastAsia="Times New Roman" w:hAnsi="Times New Roman" w:cs="Times New Roman"/>
          <w:sz w:val="24"/>
          <w:szCs w:val="24"/>
        </w:rPr>
      </w:pPr>
    </w:p>
    <w:p w14:paraId="4234DD87" w14:textId="77777777" w:rsidR="00DA2B3A" w:rsidRDefault="00DA2B3A">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p>
    <w:p w14:paraId="01235C2A" w14:textId="77777777" w:rsidR="00DA2B3A" w:rsidRDefault="001C1F8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METHODS</w:t>
      </w:r>
    </w:p>
    <w:p w14:paraId="44935BBF" w14:textId="77777777" w:rsidR="00DA2B3A" w:rsidRDefault="001C1F8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t>
      </w:r>
      <w:r>
        <w:rPr>
          <w:rFonts w:ascii="Times New Roman" w:eastAsia="Times New Roman" w:hAnsi="Times New Roman" w:cs="Times New Roman"/>
          <w:sz w:val="24"/>
          <w:szCs w:val="24"/>
        </w:rPr>
        <w:t xml:space="preserve">study employed a descriptive approach  with qualitative semi-structured interviews. This combination allowed the researchers to gather measurable data on the frequency and types of ethnomedicinal plants used while also capturing the cultural understanding </w:t>
      </w:r>
      <w:r>
        <w:rPr>
          <w:rFonts w:ascii="Times New Roman" w:eastAsia="Times New Roman" w:hAnsi="Times New Roman" w:cs="Times New Roman"/>
          <w:sz w:val="24"/>
          <w:szCs w:val="24"/>
        </w:rPr>
        <w:t>and interpretations behind these traditional practices. The structured survey instrument included questions on plant sources, preparation techniques, and specific illnesses treated.</w:t>
      </w:r>
    </w:p>
    <w:p w14:paraId="643399D5" w14:textId="77777777" w:rsidR="00DA2B3A" w:rsidRDefault="001C1F83">
      <w:pP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were purposively selected based on their knowledge and experi</w:t>
      </w:r>
      <w:r>
        <w:rPr>
          <w:rFonts w:ascii="Times New Roman" w:eastAsia="Times New Roman" w:hAnsi="Times New Roman" w:cs="Times New Roman"/>
          <w:sz w:val="24"/>
          <w:szCs w:val="24"/>
        </w:rPr>
        <w:t>ence with traditional healing practices. These included community elders, household heads, and individuals recognized for their practical use of herbal remedies. Ethical considerations were observed throughout the process, ensuring informed consent, confid</w:t>
      </w:r>
      <w:r>
        <w:rPr>
          <w:rFonts w:ascii="Times New Roman" w:eastAsia="Times New Roman" w:hAnsi="Times New Roman" w:cs="Times New Roman"/>
          <w:sz w:val="24"/>
          <w:szCs w:val="24"/>
        </w:rPr>
        <w:t>entiality, and cultural sensitivity. Qualitative interviews further enriched the data by providing insight into the rituals, beliefs, and intergenerational teaching associated with plant-based healing.</w:t>
      </w:r>
    </w:p>
    <w:p w14:paraId="2AA177D1" w14:textId="77777777" w:rsidR="00DA2B3A" w:rsidRDefault="001C1F8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analysis involved descriptive statistics for the </w:t>
      </w:r>
      <w:r>
        <w:rPr>
          <w:rFonts w:ascii="Times New Roman" w:eastAsia="Times New Roman" w:hAnsi="Times New Roman" w:cs="Times New Roman"/>
          <w:sz w:val="24"/>
          <w:szCs w:val="24"/>
        </w:rPr>
        <w:t>quantitative component and thematic analysis for the qualitative narratives. Quantitative data were tallied and summarized to identify the most frequently used plants and preparation methods. Meanwhile, qualitative responses were coded into themes reflecti</w:t>
      </w:r>
      <w:r>
        <w:rPr>
          <w:rFonts w:ascii="Times New Roman" w:eastAsia="Times New Roman" w:hAnsi="Times New Roman" w:cs="Times New Roman"/>
          <w:sz w:val="24"/>
          <w:szCs w:val="24"/>
        </w:rPr>
        <w:t>ng cultural values, healing traditions, and perceived effectiveness of the remedies. The integration of numerical and narrative data strengthened the validity and depth of the findings.</w:t>
      </w:r>
    </w:p>
    <w:p w14:paraId="0F7E54EF" w14:textId="77777777" w:rsidR="00DA2B3A" w:rsidRDefault="00DA2B3A">
      <w:pPr>
        <w:spacing w:after="0"/>
        <w:rPr>
          <w:rFonts w:ascii="Times New Roman" w:eastAsia="Times New Roman" w:hAnsi="Times New Roman" w:cs="Times New Roman"/>
          <w:sz w:val="24"/>
          <w:szCs w:val="24"/>
        </w:rPr>
      </w:pPr>
    </w:p>
    <w:p w14:paraId="7C8D1DA7" w14:textId="77777777" w:rsidR="00DA2B3A" w:rsidRDefault="001C1F83">
      <w:pPr>
        <w:rPr>
          <w:rFonts w:ascii="Times New Roman" w:eastAsia="Times New Roman" w:hAnsi="Times New Roman" w:cs="Times New Roman"/>
          <w:b/>
          <w:bCs/>
        </w:rPr>
      </w:pPr>
      <w:r>
        <w:rPr>
          <w:rFonts w:ascii="Times New Roman" w:eastAsia="Times New Roman" w:hAnsi="Times New Roman" w:cs="Times New Roman"/>
          <w:b/>
          <w:bCs/>
        </w:rPr>
        <w:t>RESULTS AND DISCUSSIONS</w:t>
      </w:r>
    </w:p>
    <w:p w14:paraId="4CB77EC9" w14:textId="77777777" w:rsidR="00DA2B3A" w:rsidRDefault="001C1F83">
      <w:pPr>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twenty-two (22) ethnomedicinal pla</w:t>
      </w:r>
      <w:r>
        <w:rPr>
          <w:rFonts w:ascii="Times New Roman" w:eastAsia="Times New Roman" w:hAnsi="Times New Roman" w:cs="Times New Roman"/>
          <w:sz w:val="24"/>
          <w:szCs w:val="24"/>
        </w:rPr>
        <w:t>nt species were documented in Sitio Langilanon, representing various botanical families such as Euphorbiaceae, Verbenaceae, Asteraceae, and Zingiberaceae. The most commonly used plant parts were leaves, stems, and rhizomes due to their abundance and medici</w:t>
      </w:r>
      <w:r>
        <w:rPr>
          <w:rFonts w:ascii="Times New Roman" w:eastAsia="Times New Roman" w:hAnsi="Times New Roman" w:cs="Times New Roman"/>
          <w:sz w:val="24"/>
          <w:szCs w:val="24"/>
        </w:rPr>
        <w:t>nal potency. Preparation methods included boiling, pounding, infusion, and heating, which align with widely documented ethnobotanical practices in the Philippines. These findings confirm that the community relies heavily on simple yet effective means of ex</w:t>
      </w:r>
      <w:r>
        <w:rPr>
          <w:rFonts w:ascii="Times New Roman" w:eastAsia="Times New Roman" w:hAnsi="Times New Roman" w:cs="Times New Roman"/>
          <w:sz w:val="24"/>
          <w:szCs w:val="24"/>
        </w:rPr>
        <w:t>tracting plant-based therapeutic compounds.</w:t>
      </w:r>
    </w:p>
    <w:p w14:paraId="3687CD3F" w14:textId="77777777" w:rsidR="00DA2B3A" w:rsidRDefault="001C1F83">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found that the documented plants are used to treat an extensive range of ailments—from common conditions such as cough, wounds, fever, and diarrhea to chronic illnesses like hypertension and diabetes. S</w:t>
      </w:r>
      <w:r>
        <w:rPr>
          <w:rFonts w:ascii="Times New Roman" w:eastAsia="Times New Roman" w:hAnsi="Times New Roman" w:cs="Times New Roman"/>
          <w:sz w:val="24"/>
          <w:szCs w:val="24"/>
        </w:rPr>
        <w:t>everal plants, including Euphorbia hirta (Tawa-tawa) and Psidium guajava (Bayabas), showed consistent alignment with national ethnomedicinal literature confirming their traditional uses. This consistency suggests that the healing practices of Sitio Langila</w:t>
      </w:r>
      <w:r>
        <w:rPr>
          <w:rFonts w:ascii="Times New Roman" w:eastAsia="Times New Roman" w:hAnsi="Times New Roman" w:cs="Times New Roman"/>
          <w:sz w:val="24"/>
          <w:szCs w:val="24"/>
        </w:rPr>
        <w:t>non reflect broader Philippine ethnomedicinal knowledge, indicating generations of empirical refinement and cultural transmission.</w:t>
      </w:r>
    </w:p>
    <w:p w14:paraId="12D9B6C4" w14:textId="77777777" w:rsidR="00DA2B3A" w:rsidRDefault="001C1F8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richness of local knowledge, several concerns emerged, especially regarding the sustainability of ethnomedicinal </w:t>
      </w:r>
      <w:r>
        <w:rPr>
          <w:rFonts w:ascii="Times New Roman" w:eastAsia="Times New Roman" w:hAnsi="Times New Roman" w:cs="Times New Roman"/>
          <w:sz w:val="24"/>
          <w:szCs w:val="24"/>
        </w:rPr>
        <w:t xml:space="preserve">resources and the weakening of traditional knowledge transfer to younger generations. </w:t>
      </w:r>
      <w:r>
        <w:rPr>
          <w:rFonts w:ascii="Times New Roman" w:eastAsia="Times New Roman" w:hAnsi="Times New Roman" w:cs="Times New Roman"/>
          <w:sz w:val="24"/>
          <w:szCs w:val="24"/>
        </w:rPr>
        <w:lastRenderedPageBreak/>
        <w:t>Environmental pressures such as land-use change and declining plant abundance pose threats to the continued availability of medicinal flora. Moreover, community narrative</w:t>
      </w:r>
      <w:r>
        <w:rPr>
          <w:rFonts w:ascii="Times New Roman" w:eastAsia="Times New Roman" w:hAnsi="Times New Roman" w:cs="Times New Roman"/>
          <w:sz w:val="24"/>
          <w:szCs w:val="24"/>
        </w:rPr>
        <w:t>s suggest a gradual decline in youth engagement, reflecting the influence of modernization and shifting healthcare preferences. These findings emphasize the importance of conservation efforts, educational integration, and further scientific validation to e</w:t>
      </w:r>
      <w:r>
        <w:rPr>
          <w:rFonts w:ascii="Times New Roman" w:eastAsia="Times New Roman" w:hAnsi="Times New Roman" w:cs="Times New Roman"/>
          <w:sz w:val="24"/>
          <w:szCs w:val="24"/>
        </w:rPr>
        <w:t>nsure the survival and continued relevance of ethnomedicinal practices.</w:t>
      </w:r>
    </w:p>
    <w:p w14:paraId="45453E9E" w14:textId="77777777" w:rsidR="00DA2B3A" w:rsidRDefault="001C1F83">
      <w:pPr>
        <w:ind w:firstLine="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most frequently used plant parts were leaves, stems, and rhizomes, reflecting their accessibility and high concentration of bioactive compounds. Preparation methods included boilin</w:t>
      </w:r>
      <w:r>
        <w:rPr>
          <w:rFonts w:ascii="Times New Roman" w:eastAsia="Times New Roman" w:hAnsi="Times New Roman" w:cs="Times New Roman"/>
          <w:sz w:val="24"/>
          <w:szCs w:val="24"/>
        </w:rPr>
        <w:t>g, pounding, infusion, and direct extraction through heating, aligning with commonly documented Philippine ethnomedicinal practices (Fadriquela et al., 2019).</w:t>
      </w:r>
    </w:p>
    <w:p w14:paraId="0C7FFCD5" w14:textId="77777777" w:rsidR="00DA2B3A" w:rsidRDefault="00DA2B3A">
      <w:pPr>
        <w:rPr>
          <w:rFonts w:ascii="Times New Roman" w:eastAsia="Times New Roman" w:hAnsi="Times New Roman" w:cs="Times New Roman"/>
          <w:b/>
          <w:bCs/>
          <w:sz w:val="24"/>
          <w:szCs w:val="24"/>
        </w:rPr>
      </w:pPr>
    </w:p>
    <w:p w14:paraId="25132B28" w14:textId="77777777" w:rsidR="00DA2B3A" w:rsidRDefault="001C1F83">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Table 1.</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Ethnomedicinal Plants and their Traditional Uses</w:t>
      </w:r>
      <w:r>
        <w:rPr>
          <w:rFonts w:ascii="Times New Roman" w:eastAsia="Times New Roman" w:hAnsi="Times New Roman" w:cs="Times New Roman"/>
          <w:sz w:val="24"/>
          <w:szCs w:val="24"/>
        </w:rPr>
        <w:t xml:space="preserve"> </w:t>
      </w:r>
    </w:p>
    <w:p w14:paraId="6B6B64B6" w14:textId="77777777" w:rsidR="00DA2B3A" w:rsidRDefault="00DA2B3A">
      <w:pPr>
        <w:rPr>
          <w:rFonts w:ascii="Times New Roman" w:eastAsia="Times New Roman" w:hAnsi="Times New Roman" w:cs="Times New Roman"/>
          <w:sz w:val="24"/>
          <w:szCs w:val="24"/>
        </w:rPr>
      </w:pPr>
    </w:p>
    <w:tbl>
      <w:tblPr>
        <w:tblStyle w:val="a"/>
        <w:tblW w:w="10205" w:type="dxa"/>
        <w:jc w:val="center"/>
        <w:tblBorders>
          <w:top w:val="single" w:sz="4" w:space="0" w:color="000000"/>
          <w:bottom w:val="single" w:sz="4" w:space="0" w:color="000000"/>
        </w:tblBorders>
        <w:tblLayout w:type="fixed"/>
        <w:tblLook w:val="04A0" w:firstRow="1" w:lastRow="0" w:firstColumn="1" w:lastColumn="0" w:noHBand="0" w:noVBand="1"/>
      </w:tblPr>
      <w:tblGrid>
        <w:gridCol w:w="543"/>
        <w:gridCol w:w="1554"/>
        <w:gridCol w:w="1713"/>
        <w:gridCol w:w="1345"/>
        <w:gridCol w:w="1014"/>
        <w:gridCol w:w="1357"/>
        <w:gridCol w:w="1322"/>
        <w:gridCol w:w="1357"/>
      </w:tblGrid>
      <w:tr w:rsidR="00DA2B3A" w14:paraId="2A12E79C" w14:textId="77777777" w:rsidTr="00DA2B3A">
        <w:trPr>
          <w:cnfStyle w:val="100000000000" w:firstRow="1" w:lastRow="0" w:firstColumn="0" w:lastColumn="0" w:oddVBand="0" w:evenVBand="0" w:oddHBand="0" w:evenHBand="0" w:firstRowFirstColumn="0" w:firstRowLastColumn="0" w:lastRowFirstColumn="0" w:lastRowLastColumn="0"/>
          <w:trHeight w:val="740"/>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6" w:space="0" w:color="000000"/>
              <w:left w:val="single" w:sz="6" w:space="0" w:color="000000"/>
              <w:right w:val="single" w:sz="6" w:space="0" w:color="000000"/>
            </w:tcBorders>
          </w:tcPr>
          <w:p w14:paraId="12038964" w14:textId="77777777" w:rsidR="00DA2B3A" w:rsidRDefault="001C1F83">
            <w:pPr>
              <w:jc w:val="center"/>
              <w:rPr>
                <w:sz w:val="18"/>
                <w:szCs w:val="18"/>
              </w:rPr>
            </w:pPr>
            <w:r>
              <w:rPr>
                <w:sz w:val="18"/>
                <w:szCs w:val="18"/>
              </w:rPr>
              <w:t>No.</w:t>
            </w:r>
          </w:p>
        </w:tc>
        <w:tc>
          <w:tcPr>
            <w:tcW w:w="1554" w:type="dxa"/>
            <w:tcBorders>
              <w:top w:val="single" w:sz="6" w:space="0" w:color="000000"/>
              <w:left w:val="single" w:sz="6" w:space="0" w:color="000000"/>
              <w:right w:val="single" w:sz="6" w:space="0" w:color="000000"/>
            </w:tcBorders>
          </w:tcPr>
          <w:p w14:paraId="2CBA6AC4" w14:textId="77777777" w:rsidR="00DA2B3A" w:rsidRDefault="001C1F83">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Scientific Name</w:t>
            </w:r>
          </w:p>
        </w:tc>
        <w:tc>
          <w:tcPr>
            <w:tcW w:w="1713" w:type="dxa"/>
            <w:tcBorders>
              <w:top w:val="single" w:sz="6" w:space="0" w:color="000000"/>
              <w:left w:val="single" w:sz="6" w:space="0" w:color="000000"/>
              <w:right w:val="single" w:sz="6" w:space="0" w:color="000000"/>
            </w:tcBorders>
          </w:tcPr>
          <w:p w14:paraId="069EA5D7" w14:textId="77777777" w:rsidR="00DA2B3A" w:rsidRDefault="001C1F83">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Family</w:t>
            </w:r>
          </w:p>
        </w:tc>
        <w:tc>
          <w:tcPr>
            <w:tcW w:w="1345" w:type="dxa"/>
            <w:tcBorders>
              <w:top w:val="single" w:sz="6" w:space="0" w:color="000000"/>
              <w:left w:val="single" w:sz="6" w:space="0" w:color="000000"/>
              <w:right w:val="single" w:sz="6" w:space="0" w:color="000000"/>
            </w:tcBorders>
          </w:tcPr>
          <w:p w14:paraId="0F4CEB45" w14:textId="77777777" w:rsidR="00DA2B3A" w:rsidRDefault="001C1F83">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Local Na</w:t>
            </w:r>
            <w:r>
              <w:rPr>
                <w:sz w:val="18"/>
                <w:szCs w:val="18"/>
              </w:rPr>
              <w:t>me</w:t>
            </w:r>
          </w:p>
        </w:tc>
        <w:tc>
          <w:tcPr>
            <w:tcW w:w="1014" w:type="dxa"/>
            <w:tcBorders>
              <w:top w:val="single" w:sz="6" w:space="0" w:color="000000"/>
              <w:left w:val="single" w:sz="6" w:space="0" w:color="000000"/>
              <w:right w:val="single" w:sz="6" w:space="0" w:color="000000"/>
            </w:tcBorders>
          </w:tcPr>
          <w:p w14:paraId="14EA7875" w14:textId="77777777" w:rsidR="00DA2B3A" w:rsidRDefault="001C1F83">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Plant Part Used</w:t>
            </w:r>
          </w:p>
        </w:tc>
        <w:tc>
          <w:tcPr>
            <w:tcW w:w="1357" w:type="dxa"/>
            <w:tcBorders>
              <w:top w:val="single" w:sz="6" w:space="0" w:color="000000"/>
              <w:left w:val="single" w:sz="6" w:space="0" w:color="000000"/>
              <w:right w:val="single" w:sz="6" w:space="0" w:color="000000"/>
            </w:tcBorders>
          </w:tcPr>
          <w:p w14:paraId="021BD170" w14:textId="77777777" w:rsidR="00DA2B3A" w:rsidRDefault="001C1F83">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Preparation</w:t>
            </w:r>
          </w:p>
        </w:tc>
        <w:tc>
          <w:tcPr>
            <w:tcW w:w="1322" w:type="dxa"/>
            <w:tcBorders>
              <w:top w:val="single" w:sz="6" w:space="0" w:color="000000"/>
              <w:left w:val="single" w:sz="6" w:space="0" w:color="000000"/>
              <w:right w:val="single" w:sz="6" w:space="0" w:color="000000"/>
            </w:tcBorders>
          </w:tcPr>
          <w:p w14:paraId="003E5A42" w14:textId="77777777" w:rsidR="00DA2B3A" w:rsidRDefault="001C1F83">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Mode of Application</w:t>
            </w:r>
          </w:p>
        </w:tc>
        <w:tc>
          <w:tcPr>
            <w:tcW w:w="1357" w:type="dxa"/>
            <w:tcBorders>
              <w:top w:val="single" w:sz="6" w:space="0" w:color="000000"/>
              <w:left w:val="single" w:sz="6" w:space="0" w:color="000000"/>
              <w:right w:val="single" w:sz="6" w:space="0" w:color="000000"/>
            </w:tcBorders>
          </w:tcPr>
          <w:p w14:paraId="73193BAA" w14:textId="77777777" w:rsidR="00DA2B3A" w:rsidRDefault="001C1F83">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Ailment treated</w:t>
            </w:r>
          </w:p>
        </w:tc>
      </w:tr>
      <w:tr w:rsidR="00DA2B3A" w14:paraId="5EC75F13" w14:textId="77777777" w:rsidTr="00DA2B3A">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543" w:type="dxa"/>
            <w:tcBorders>
              <w:left w:val="single" w:sz="6" w:space="0" w:color="000000"/>
              <w:bottom w:val="single" w:sz="6" w:space="0" w:color="000000"/>
              <w:right w:val="single" w:sz="6" w:space="0" w:color="000000"/>
            </w:tcBorders>
          </w:tcPr>
          <w:p w14:paraId="324C02E5" w14:textId="77777777" w:rsidR="00DA2B3A" w:rsidRDefault="001C1F83">
            <w:pPr>
              <w:jc w:val="center"/>
              <w:rPr>
                <w:sz w:val="18"/>
                <w:szCs w:val="18"/>
              </w:rPr>
            </w:pPr>
            <w:r>
              <w:rPr>
                <w:b w:val="0"/>
                <w:bCs w:val="0"/>
                <w:sz w:val="18"/>
                <w:szCs w:val="18"/>
              </w:rPr>
              <w:t>1</w:t>
            </w:r>
          </w:p>
        </w:tc>
        <w:tc>
          <w:tcPr>
            <w:tcW w:w="1554" w:type="dxa"/>
            <w:tcBorders>
              <w:left w:val="single" w:sz="6" w:space="0" w:color="000000"/>
              <w:bottom w:val="single" w:sz="6" w:space="0" w:color="000000"/>
              <w:right w:val="single" w:sz="6" w:space="0" w:color="000000"/>
            </w:tcBorders>
          </w:tcPr>
          <w:p w14:paraId="2917E003"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Euphorbia hirta L.</w:t>
            </w:r>
          </w:p>
        </w:tc>
        <w:tc>
          <w:tcPr>
            <w:tcW w:w="1713" w:type="dxa"/>
            <w:tcBorders>
              <w:left w:val="single" w:sz="6" w:space="0" w:color="000000"/>
              <w:bottom w:val="single" w:sz="6" w:space="0" w:color="000000"/>
              <w:right w:val="single" w:sz="6" w:space="0" w:color="000000"/>
            </w:tcBorders>
          </w:tcPr>
          <w:p w14:paraId="13F99E3F"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Euphorbiaceae</w:t>
            </w:r>
          </w:p>
        </w:tc>
        <w:tc>
          <w:tcPr>
            <w:tcW w:w="1345" w:type="dxa"/>
            <w:tcBorders>
              <w:left w:val="single" w:sz="6" w:space="0" w:color="000000"/>
              <w:bottom w:val="single" w:sz="6" w:space="0" w:color="000000"/>
              <w:right w:val="single" w:sz="6" w:space="0" w:color="000000"/>
            </w:tcBorders>
          </w:tcPr>
          <w:p w14:paraId="6A38917A"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Tawa-tawa</w:t>
            </w:r>
          </w:p>
        </w:tc>
        <w:tc>
          <w:tcPr>
            <w:tcW w:w="1014" w:type="dxa"/>
            <w:tcBorders>
              <w:left w:val="single" w:sz="6" w:space="0" w:color="000000"/>
              <w:bottom w:val="single" w:sz="6" w:space="0" w:color="000000"/>
              <w:right w:val="single" w:sz="6" w:space="0" w:color="000000"/>
            </w:tcBorders>
          </w:tcPr>
          <w:p w14:paraId="1731F72D"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Leaves and stem</w:t>
            </w:r>
          </w:p>
          <w:p w14:paraId="72E42481" w14:textId="77777777" w:rsidR="00DA2B3A" w:rsidRDefault="00DA2B3A">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57" w:type="dxa"/>
            <w:tcBorders>
              <w:left w:val="single" w:sz="6" w:space="0" w:color="000000"/>
              <w:bottom w:val="single" w:sz="6" w:space="0" w:color="000000"/>
              <w:right w:val="single" w:sz="6" w:space="0" w:color="000000"/>
            </w:tcBorders>
          </w:tcPr>
          <w:p w14:paraId="35595AAE"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Boil in water</w:t>
            </w:r>
          </w:p>
        </w:tc>
        <w:tc>
          <w:tcPr>
            <w:tcW w:w="1322" w:type="dxa"/>
            <w:tcBorders>
              <w:left w:val="single" w:sz="6" w:space="0" w:color="000000"/>
              <w:bottom w:val="single" w:sz="6" w:space="0" w:color="000000"/>
              <w:right w:val="single" w:sz="6" w:space="0" w:color="000000"/>
            </w:tcBorders>
          </w:tcPr>
          <w:p w14:paraId="3FF89BC1"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Drink 3 times a day</w:t>
            </w:r>
          </w:p>
          <w:p w14:paraId="3F7C0D16" w14:textId="77777777" w:rsidR="00DA2B3A" w:rsidRDefault="00DA2B3A">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57" w:type="dxa"/>
            <w:tcBorders>
              <w:left w:val="single" w:sz="6" w:space="0" w:color="000000"/>
              <w:bottom w:val="single" w:sz="6" w:space="0" w:color="000000"/>
              <w:right w:val="single" w:sz="6" w:space="0" w:color="000000"/>
            </w:tcBorders>
          </w:tcPr>
          <w:p w14:paraId="150ED3E5"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For dengue fever</w:t>
            </w:r>
          </w:p>
          <w:p w14:paraId="74E3B5EE" w14:textId="77777777" w:rsidR="00DA2B3A" w:rsidRDefault="00DA2B3A">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DA2B3A" w14:paraId="64BA3501" w14:textId="77777777" w:rsidTr="00DA2B3A">
        <w:trPr>
          <w:trHeight w:val="387"/>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6" w:space="0" w:color="000000"/>
              <w:left w:val="single" w:sz="6" w:space="0" w:color="000000"/>
              <w:bottom w:val="single" w:sz="6" w:space="0" w:color="000000"/>
              <w:right w:val="single" w:sz="6" w:space="0" w:color="000000"/>
            </w:tcBorders>
          </w:tcPr>
          <w:p w14:paraId="2197403C" w14:textId="77777777" w:rsidR="00DA2B3A" w:rsidRDefault="001C1F83">
            <w:pPr>
              <w:jc w:val="center"/>
              <w:rPr>
                <w:sz w:val="18"/>
                <w:szCs w:val="18"/>
              </w:rPr>
            </w:pPr>
            <w:r>
              <w:rPr>
                <w:b w:val="0"/>
                <w:bCs w:val="0"/>
                <w:sz w:val="18"/>
                <w:szCs w:val="18"/>
              </w:rPr>
              <w:t>2</w:t>
            </w:r>
          </w:p>
        </w:tc>
        <w:tc>
          <w:tcPr>
            <w:tcW w:w="1554" w:type="dxa"/>
            <w:tcBorders>
              <w:top w:val="single" w:sz="6" w:space="0" w:color="000000"/>
              <w:left w:val="single" w:sz="6" w:space="0" w:color="000000"/>
              <w:bottom w:val="single" w:sz="6" w:space="0" w:color="000000"/>
              <w:right w:val="single" w:sz="6" w:space="0" w:color="000000"/>
            </w:tcBorders>
          </w:tcPr>
          <w:p w14:paraId="4287F997"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i/>
                <w:iCs/>
                <w:sz w:val="18"/>
                <w:szCs w:val="18"/>
              </w:rPr>
            </w:pPr>
            <w:r>
              <w:rPr>
                <w:i/>
                <w:iCs/>
                <w:sz w:val="18"/>
                <w:szCs w:val="18"/>
              </w:rPr>
              <w:t>Psidium guajava</w:t>
            </w:r>
          </w:p>
        </w:tc>
        <w:tc>
          <w:tcPr>
            <w:tcW w:w="1713" w:type="dxa"/>
            <w:tcBorders>
              <w:top w:val="single" w:sz="6" w:space="0" w:color="000000"/>
              <w:left w:val="single" w:sz="6" w:space="0" w:color="000000"/>
              <w:bottom w:val="single" w:sz="6" w:space="0" w:color="000000"/>
              <w:right w:val="single" w:sz="6" w:space="0" w:color="000000"/>
            </w:tcBorders>
          </w:tcPr>
          <w:p w14:paraId="757EEDBE"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Myrtacea</w:t>
            </w:r>
          </w:p>
        </w:tc>
        <w:tc>
          <w:tcPr>
            <w:tcW w:w="1345" w:type="dxa"/>
            <w:tcBorders>
              <w:top w:val="single" w:sz="6" w:space="0" w:color="000000"/>
              <w:left w:val="single" w:sz="6" w:space="0" w:color="000000"/>
              <w:bottom w:val="single" w:sz="6" w:space="0" w:color="000000"/>
              <w:right w:val="single" w:sz="6" w:space="0" w:color="000000"/>
            </w:tcBorders>
          </w:tcPr>
          <w:p w14:paraId="217394B3"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Bayabas</w:t>
            </w:r>
          </w:p>
        </w:tc>
        <w:tc>
          <w:tcPr>
            <w:tcW w:w="1014" w:type="dxa"/>
            <w:tcBorders>
              <w:top w:val="single" w:sz="6" w:space="0" w:color="000000"/>
              <w:left w:val="single" w:sz="6" w:space="0" w:color="000000"/>
              <w:bottom w:val="single" w:sz="6" w:space="0" w:color="000000"/>
              <w:right w:val="single" w:sz="6" w:space="0" w:color="000000"/>
            </w:tcBorders>
          </w:tcPr>
          <w:p w14:paraId="6A1C6879"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Young Leaves</w:t>
            </w:r>
          </w:p>
        </w:tc>
        <w:tc>
          <w:tcPr>
            <w:tcW w:w="1357" w:type="dxa"/>
            <w:tcBorders>
              <w:top w:val="single" w:sz="6" w:space="0" w:color="000000"/>
              <w:left w:val="single" w:sz="6" w:space="0" w:color="000000"/>
              <w:bottom w:val="single" w:sz="6" w:space="0" w:color="000000"/>
              <w:right w:val="single" w:sz="6" w:space="0" w:color="000000"/>
            </w:tcBorders>
          </w:tcPr>
          <w:p w14:paraId="5EE0D4CE"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Boil in water</w:t>
            </w:r>
          </w:p>
        </w:tc>
        <w:tc>
          <w:tcPr>
            <w:tcW w:w="1322" w:type="dxa"/>
            <w:tcBorders>
              <w:top w:val="single" w:sz="6" w:space="0" w:color="000000"/>
              <w:left w:val="single" w:sz="6" w:space="0" w:color="000000"/>
              <w:bottom w:val="single" w:sz="6" w:space="0" w:color="000000"/>
              <w:right w:val="single" w:sz="6" w:space="0" w:color="000000"/>
            </w:tcBorders>
          </w:tcPr>
          <w:p w14:paraId="7250BD6C"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Externally, used as washing or antiseptic Internally, drink three times a day</w:t>
            </w:r>
          </w:p>
          <w:p w14:paraId="1E7FC93B" w14:textId="77777777" w:rsidR="00DA2B3A" w:rsidRDefault="00DA2B3A">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7" w:type="dxa"/>
            <w:tcBorders>
              <w:top w:val="single" w:sz="6" w:space="0" w:color="000000"/>
              <w:left w:val="single" w:sz="6" w:space="0" w:color="000000"/>
              <w:bottom w:val="single" w:sz="6" w:space="0" w:color="000000"/>
              <w:right w:val="single" w:sz="6" w:space="0" w:color="000000"/>
            </w:tcBorders>
          </w:tcPr>
          <w:p w14:paraId="27578C9D"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Disinfect the wound, for diarrhea.</w:t>
            </w:r>
          </w:p>
        </w:tc>
      </w:tr>
      <w:tr w:rsidR="00DA2B3A" w14:paraId="0BAC29B5" w14:textId="77777777" w:rsidTr="00DA2B3A">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6" w:space="0" w:color="000000"/>
              <w:left w:val="single" w:sz="6" w:space="0" w:color="000000"/>
              <w:bottom w:val="single" w:sz="6" w:space="0" w:color="000000"/>
              <w:right w:val="single" w:sz="6" w:space="0" w:color="000000"/>
            </w:tcBorders>
          </w:tcPr>
          <w:p w14:paraId="56905CA0" w14:textId="77777777" w:rsidR="00DA2B3A" w:rsidRDefault="001C1F83">
            <w:pPr>
              <w:jc w:val="center"/>
              <w:rPr>
                <w:sz w:val="18"/>
                <w:szCs w:val="18"/>
              </w:rPr>
            </w:pPr>
            <w:r>
              <w:rPr>
                <w:b w:val="0"/>
                <w:bCs w:val="0"/>
                <w:sz w:val="18"/>
                <w:szCs w:val="18"/>
              </w:rPr>
              <w:t>3</w:t>
            </w:r>
          </w:p>
        </w:tc>
        <w:tc>
          <w:tcPr>
            <w:tcW w:w="1554" w:type="dxa"/>
            <w:tcBorders>
              <w:top w:val="single" w:sz="6" w:space="0" w:color="000000"/>
              <w:left w:val="single" w:sz="6" w:space="0" w:color="000000"/>
              <w:bottom w:val="single" w:sz="6" w:space="0" w:color="000000"/>
              <w:right w:val="single" w:sz="6" w:space="0" w:color="000000"/>
            </w:tcBorders>
          </w:tcPr>
          <w:p w14:paraId="7B3E4A3A"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i/>
                <w:iCs/>
                <w:sz w:val="18"/>
                <w:szCs w:val="18"/>
              </w:rPr>
              <w:t>Coleus aromaticus</w:t>
            </w:r>
          </w:p>
        </w:tc>
        <w:tc>
          <w:tcPr>
            <w:tcW w:w="1713" w:type="dxa"/>
            <w:tcBorders>
              <w:top w:val="single" w:sz="6" w:space="0" w:color="000000"/>
              <w:left w:val="single" w:sz="6" w:space="0" w:color="000000"/>
              <w:bottom w:val="single" w:sz="6" w:space="0" w:color="000000"/>
              <w:right w:val="single" w:sz="6" w:space="0" w:color="000000"/>
            </w:tcBorders>
          </w:tcPr>
          <w:p w14:paraId="1FB286B0"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Labiatae</w:t>
            </w:r>
          </w:p>
        </w:tc>
        <w:tc>
          <w:tcPr>
            <w:tcW w:w="1345" w:type="dxa"/>
            <w:tcBorders>
              <w:top w:val="single" w:sz="6" w:space="0" w:color="000000"/>
              <w:left w:val="single" w:sz="6" w:space="0" w:color="000000"/>
              <w:bottom w:val="single" w:sz="6" w:space="0" w:color="000000"/>
              <w:right w:val="single" w:sz="6" w:space="0" w:color="000000"/>
            </w:tcBorders>
          </w:tcPr>
          <w:p w14:paraId="1EE5CBE8"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Kalabo</w:t>
            </w:r>
          </w:p>
        </w:tc>
        <w:tc>
          <w:tcPr>
            <w:tcW w:w="1014" w:type="dxa"/>
            <w:tcBorders>
              <w:top w:val="single" w:sz="6" w:space="0" w:color="000000"/>
              <w:left w:val="single" w:sz="6" w:space="0" w:color="000000"/>
              <w:bottom w:val="single" w:sz="6" w:space="0" w:color="000000"/>
              <w:right w:val="single" w:sz="6" w:space="0" w:color="000000"/>
            </w:tcBorders>
          </w:tcPr>
          <w:p w14:paraId="70CC3F12"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Leaves</w:t>
            </w:r>
          </w:p>
        </w:tc>
        <w:tc>
          <w:tcPr>
            <w:tcW w:w="1357" w:type="dxa"/>
            <w:tcBorders>
              <w:top w:val="single" w:sz="6" w:space="0" w:color="000000"/>
              <w:left w:val="single" w:sz="6" w:space="0" w:color="000000"/>
              <w:bottom w:val="single" w:sz="6" w:space="0" w:color="000000"/>
              <w:right w:val="single" w:sz="6" w:space="0" w:color="000000"/>
            </w:tcBorders>
          </w:tcPr>
          <w:p w14:paraId="669C93CB"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Preheat leaves and extract juice</w:t>
            </w:r>
          </w:p>
        </w:tc>
        <w:tc>
          <w:tcPr>
            <w:tcW w:w="1322" w:type="dxa"/>
            <w:tcBorders>
              <w:top w:val="single" w:sz="6" w:space="0" w:color="000000"/>
              <w:left w:val="single" w:sz="6" w:space="0" w:color="000000"/>
              <w:bottom w:val="single" w:sz="6" w:space="0" w:color="000000"/>
              <w:right w:val="single" w:sz="6" w:space="0" w:color="000000"/>
            </w:tcBorders>
          </w:tcPr>
          <w:p w14:paraId="1FDEAF23"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Take 1 tablespoon 3 times a day</w:t>
            </w:r>
          </w:p>
          <w:p w14:paraId="3CF183C4" w14:textId="77777777" w:rsidR="00DA2B3A" w:rsidRDefault="00DA2B3A">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57" w:type="dxa"/>
            <w:tcBorders>
              <w:top w:val="single" w:sz="6" w:space="0" w:color="000000"/>
              <w:left w:val="single" w:sz="6" w:space="0" w:color="000000"/>
              <w:bottom w:val="single" w:sz="6" w:space="0" w:color="000000"/>
              <w:right w:val="single" w:sz="6" w:space="0" w:color="000000"/>
            </w:tcBorders>
          </w:tcPr>
          <w:p w14:paraId="1858DCEF"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Relief and soften cough</w:t>
            </w:r>
          </w:p>
          <w:p w14:paraId="2420716D" w14:textId="77777777" w:rsidR="00DA2B3A" w:rsidRDefault="00DA2B3A">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DA2B3A" w14:paraId="1667BC26" w14:textId="77777777" w:rsidTr="00DA2B3A">
        <w:trPr>
          <w:trHeight w:val="401"/>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6" w:space="0" w:color="000000"/>
              <w:left w:val="single" w:sz="6" w:space="0" w:color="000000"/>
              <w:bottom w:val="single" w:sz="6" w:space="0" w:color="000000"/>
              <w:right w:val="single" w:sz="6" w:space="0" w:color="000000"/>
            </w:tcBorders>
          </w:tcPr>
          <w:p w14:paraId="66C8C6B0" w14:textId="77777777" w:rsidR="00DA2B3A" w:rsidRDefault="001C1F83">
            <w:pPr>
              <w:jc w:val="center"/>
              <w:rPr>
                <w:sz w:val="18"/>
                <w:szCs w:val="18"/>
              </w:rPr>
            </w:pPr>
            <w:r>
              <w:rPr>
                <w:b w:val="0"/>
                <w:bCs w:val="0"/>
                <w:sz w:val="18"/>
                <w:szCs w:val="18"/>
              </w:rPr>
              <w:t>4</w:t>
            </w:r>
          </w:p>
        </w:tc>
        <w:tc>
          <w:tcPr>
            <w:tcW w:w="1554" w:type="dxa"/>
            <w:tcBorders>
              <w:top w:val="single" w:sz="6" w:space="0" w:color="000000"/>
              <w:left w:val="single" w:sz="6" w:space="0" w:color="000000"/>
              <w:bottom w:val="single" w:sz="6" w:space="0" w:color="000000"/>
              <w:right w:val="single" w:sz="6" w:space="0" w:color="000000"/>
            </w:tcBorders>
          </w:tcPr>
          <w:p w14:paraId="3F7B4825"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i/>
                <w:iCs/>
                <w:sz w:val="18"/>
                <w:szCs w:val="18"/>
              </w:rPr>
            </w:pPr>
            <w:r>
              <w:rPr>
                <w:i/>
                <w:iCs/>
                <w:sz w:val="18"/>
                <w:szCs w:val="18"/>
              </w:rPr>
              <w:t>Chromolaena odorata</w:t>
            </w:r>
          </w:p>
        </w:tc>
        <w:tc>
          <w:tcPr>
            <w:tcW w:w="1713" w:type="dxa"/>
            <w:tcBorders>
              <w:top w:val="single" w:sz="6" w:space="0" w:color="000000"/>
              <w:left w:val="single" w:sz="6" w:space="0" w:color="000000"/>
              <w:bottom w:val="single" w:sz="6" w:space="0" w:color="000000"/>
              <w:right w:val="single" w:sz="6" w:space="0" w:color="000000"/>
            </w:tcBorders>
          </w:tcPr>
          <w:p w14:paraId="778B9718"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Asteraceae</w:t>
            </w:r>
          </w:p>
        </w:tc>
        <w:tc>
          <w:tcPr>
            <w:tcW w:w="1345" w:type="dxa"/>
            <w:tcBorders>
              <w:top w:val="single" w:sz="6" w:space="0" w:color="000000"/>
              <w:left w:val="single" w:sz="6" w:space="0" w:color="000000"/>
              <w:bottom w:val="single" w:sz="6" w:space="0" w:color="000000"/>
              <w:right w:val="single" w:sz="6" w:space="0" w:color="000000"/>
            </w:tcBorders>
          </w:tcPr>
          <w:p w14:paraId="413063E3"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Hagonoy</w:t>
            </w:r>
          </w:p>
        </w:tc>
        <w:tc>
          <w:tcPr>
            <w:tcW w:w="1014" w:type="dxa"/>
            <w:tcBorders>
              <w:top w:val="single" w:sz="6" w:space="0" w:color="000000"/>
              <w:left w:val="single" w:sz="6" w:space="0" w:color="000000"/>
              <w:bottom w:val="single" w:sz="6" w:space="0" w:color="000000"/>
              <w:right w:val="single" w:sz="6" w:space="0" w:color="000000"/>
            </w:tcBorders>
          </w:tcPr>
          <w:p w14:paraId="7874D227"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Leaves</w:t>
            </w:r>
          </w:p>
        </w:tc>
        <w:tc>
          <w:tcPr>
            <w:tcW w:w="1357" w:type="dxa"/>
            <w:tcBorders>
              <w:top w:val="single" w:sz="6" w:space="0" w:color="000000"/>
              <w:left w:val="single" w:sz="6" w:space="0" w:color="000000"/>
              <w:bottom w:val="single" w:sz="6" w:space="0" w:color="000000"/>
              <w:right w:val="single" w:sz="6" w:space="0" w:color="000000"/>
            </w:tcBorders>
          </w:tcPr>
          <w:p w14:paraId="34AF2871"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Pound leaves to soften and extract the juice</w:t>
            </w:r>
          </w:p>
          <w:p w14:paraId="3EAF3DB5" w14:textId="77777777" w:rsidR="00DA2B3A" w:rsidRDefault="00DA2B3A">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22" w:type="dxa"/>
            <w:tcBorders>
              <w:top w:val="single" w:sz="6" w:space="0" w:color="000000"/>
              <w:left w:val="single" w:sz="6" w:space="0" w:color="000000"/>
              <w:bottom w:val="single" w:sz="6" w:space="0" w:color="000000"/>
              <w:right w:val="single" w:sz="6" w:space="0" w:color="000000"/>
            </w:tcBorders>
          </w:tcPr>
          <w:p w14:paraId="63DF2D9B"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Apply to affected area</w:t>
            </w:r>
          </w:p>
        </w:tc>
        <w:tc>
          <w:tcPr>
            <w:tcW w:w="1357" w:type="dxa"/>
            <w:tcBorders>
              <w:top w:val="single" w:sz="6" w:space="0" w:color="000000"/>
              <w:left w:val="single" w:sz="6" w:space="0" w:color="000000"/>
              <w:bottom w:val="single" w:sz="6" w:space="0" w:color="000000"/>
              <w:right w:val="single" w:sz="6" w:space="0" w:color="000000"/>
            </w:tcBorders>
          </w:tcPr>
          <w:p w14:paraId="03E57FE2"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For boils</w:t>
            </w:r>
          </w:p>
        </w:tc>
      </w:tr>
      <w:tr w:rsidR="00DA2B3A" w14:paraId="5BE4A04F" w14:textId="77777777" w:rsidTr="00DA2B3A">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6" w:space="0" w:color="000000"/>
              <w:left w:val="single" w:sz="6" w:space="0" w:color="000000"/>
              <w:bottom w:val="single" w:sz="6" w:space="0" w:color="000000"/>
              <w:right w:val="single" w:sz="6" w:space="0" w:color="000000"/>
            </w:tcBorders>
          </w:tcPr>
          <w:p w14:paraId="24A9B661" w14:textId="77777777" w:rsidR="00DA2B3A" w:rsidRDefault="001C1F83">
            <w:pPr>
              <w:jc w:val="center"/>
              <w:rPr>
                <w:sz w:val="18"/>
                <w:szCs w:val="18"/>
              </w:rPr>
            </w:pPr>
            <w:r>
              <w:rPr>
                <w:b w:val="0"/>
                <w:bCs w:val="0"/>
                <w:sz w:val="18"/>
                <w:szCs w:val="18"/>
              </w:rPr>
              <w:t>5</w:t>
            </w:r>
          </w:p>
        </w:tc>
        <w:tc>
          <w:tcPr>
            <w:tcW w:w="1554" w:type="dxa"/>
            <w:tcBorders>
              <w:top w:val="single" w:sz="6" w:space="0" w:color="000000"/>
              <w:left w:val="single" w:sz="6" w:space="0" w:color="000000"/>
              <w:bottom w:val="single" w:sz="6" w:space="0" w:color="000000"/>
              <w:right w:val="single" w:sz="6" w:space="0" w:color="000000"/>
            </w:tcBorders>
          </w:tcPr>
          <w:p w14:paraId="1DC66009"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Artemisia vulgaris L</w:t>
            </w:r>
          </w:p>
        </w:tc>
        <w:tc>
          <w:tcPr>
            <w:tcW w:w="1713" w:type="dxa"/>
            <w:tcBorders>
              <w:top w:val="single" w:sz="6" w:space="0" w:color="000000"/>
              <w:left w:val="single" w:sz="6" w:space="0" w:color="000000"/>
              <w:bottom w:val="single" w:sz="6" w:space="0" w:color="000000"/>
              <w:right w:val="single" w:sz="6" w:space="0" w:color="000000"/>
            </w:tcBorders>
          </w:tcPr>
          <w:p w14:paraId="5E5F06F8"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Asteraceae</w:t>
            </w:r>
          </w:p>
        </w:tc>
        <w:tc>
          <w:tcPr>
            <w:tcW w:w="1345" w:type="dxa"/>
            <w:tcBorders>
              <w:top w:val="single" w:sz="6" w:space="0" w:color="000000"/>
              <w:left w:val="single" w:sz="6" w:space="0" w:color="000000"/>
              <w:bottom w:val="single" w:sz="6" w:space="0" w:color="000000"/>
              <w:right w:val="single" w:sz="6" w:space="0" w:color="000000"/>
            </w:tcBorders>
          </w:tcPr>
          <w:p w14:paraId="7E9B3FCA"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Hilbas</w:t>
            </w:r>
          </w:p>
        </w:tc>
        <w:tc>
          <w:tcPr>
            <w:tcW w:w="1014" w:type="dxa"/>
            <w:tcBorders>
              <w:top w:val="single" w:sz="6" w:space="0" w:color="000000"/>
              <w:left w:val="single" w:sz="6" w:space="0" w:color="000000"/>
              <w:bottom w:val="single" w:sz="6" w:space="0" w:color="000000"/>
              <w:right w:val="single" w:sz="6" w:space="0" w:color="000000"/>
            </w:tcBorders>
          </w:tcPr>
          <w:p w14:paraId="24EB3793"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Leaves</w:t>
            </w:r>
          </w:p>
        </w:tc>
        <w:tc>
          <w:tcPr>
            <w:tcW w:w="1357" w:type="dxa"/>
            <w:tcBorders>
              <w:top w:val="single" w:sz="6" w:space="0" w:color="000000"/>
              <w:left w:val="single" w:sz="6" w:space="0" w:color="000000"/>
              <w:bottom w:val="single" w:sz="6" w:space="0" w:color="000000"/>
              <w:right w:val="single" w:sz="6" w:space="0" w:color="000000"/>
            </w:tcBorders>
          </w:tcPr>
          <w:p w14:paraId="6EBFBA5F"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Preheat the leaves, extract the juice</w:t>
            </w:r>
          </w:p>
        </w:tc>
        <w:tc>
          <w:tcPr>
            <w:tcW w:w="1322" w:type="dxa"/>
            <w:tcBorders>
              <w:top w:val="single" w:sz="6" w:space="0" w:color="000000"/>
              <w:left w:val="single" w:sz="6" w:space="0" w:color="000000"/>
              <w:bottom w:val="single" w:sz="6" w:space="0" w:color="000000"/>
              <w:right w:val="single" w:sz="6" w:space="0" w:color="000000"/>
            </w:tcBorders>
          </w:tcPr>
          <w:p w14:paraId="4C5DC2A6"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Applied on the chest and back to </w:t>
            </w:r>
            <w:r>
              <w:rPr>
                <w:sz w:val="18"/>
                <w:szCs w:val="18"/>
              </w:rPr>
              <w:t>loosen the phlegm.</w:t>
            </w:r>
          </w:p>
          <w:p w14:paraId="44014920" w14:textId="77777777" w:rsidR="00DA2B3A" w:rsidRDefault="00DA2B3A">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57" w:type="dxa"/>
            <w:tcBorders>
              <w:top w:val="single" w:sz="6" w:space="0" w:color="000000"/>
              <w:left w:val="single" w:sz="6" w:space="0" w:color="000000"/>
              <w:bottom w:val="single" w:sz="6" w:space="0" w:color="000000"/>
              <w:right w:val="single" w:sz="6" w:space="0" w:color="000000"/>
            </w:tcBorders>
          </w:tcPr>
          <w:p w14:paraId="005F1CE8"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For cough and fever</w:t>
            </w:r>
          </w:p>
        </w:tc>
      </w:tr>
      <w:tr w:rsidR="00DA2B3A" w14:paraId="7EA26362" w14:textId="77777777" w:rsidTr="00DA2B3A">
        <w:trPr>
          <w:trHeight w:val="401"/>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6" w:space="0" w:color="000000"/>
              <w:left w:val="single" w:sz="6" w:space="0" w:color="000000"/>
              <w:bottom w:val="single" w:sz="6" w:space="0" w:color="000000"/>
              <w:right w:val="single" w:sz="6" w:space="0" w:color="000000"/>
            </w:tcBorders>
          </w:tcPr>
          <w:p w14:paraId="6CE6E119" w14:textId="77777777" w:rsidR="00DA2B3A" w:rsidRDefault="001C1F83">
            <w:pPr>
              <w:jc w:val="center"/>
              <w:rPr>
                <w:sz w:val="18"/>
                <w:szCs w:val="18"/>
              </w:rPr>
            </w:pPr>
            <w:r>
              <w:rPr>
                <w:b w:val="0"/>
                <w:bCs w:val="0"/>
                <w:sz w:val="18"/>
                <w:szCs w:val="18"/>
              </w:rPr>
              <w:t>6</w:t>
            </w:r>
          </w:p>
        </w:tc>
        <w:tc>
          <w:tcPr>
            <w:tcW w:w="1554" w:type="dxa"/>
            <w:tcBorders>
              <w:top w:val="single" w:sz="6" w:space="0" w:color="000000"/>
              <w:left w:val="single" w:sz="6" w:space="0" w:color="000000"/>
              <w:bottom w:val="single" w:sz="6" w:space="0" w:color="000000"/>
              <w:right w:val="single" w:sz="6" w:space="0" w:color="000000"/>
            </w:tcBorders>
          </w:tcPr>
          <w:p w14:paraId="7056619B"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i/>
                <w:iCs/>
                <w:sz w:val="18"/>
                <w:szCs w:val="18"/>
              </w:rPr>
            </w:pPr>
            <w:r>
              <w:rPr>
                <w:i/>
                <w:iCs/>
                <w:sz w:val="18"/>
                <w:szCs w:val="18"/>
              </w:rPr>
              <w:t>Blumea balsamifera</w:t>
            </w:r>
          </w:p>
        </w:tc>
        <w:tc>
          <w:tcPr>
            <w:tcW w:w="1713" w:type="dxa"/>
            <w:tcBorders>
              <w:top w:val="single" w:sz="6" w:space="0" w:color="000000"/>
              <w:left w:val="single" w:sz="6" w:space="0" w:color="000000"/>
              <w:bottom w:val="single" w:sz="6" w:space="0" w:color="000000"/>
              <w:right w:val="single" w:sz="6" w:space="0" w:color="000000"/>
            </w:tcBorders>
          </w:tcPr>
          <w:p w14:paraId="3CEB7C4F"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Compositae</w:t>
            </w:r>
          </w:p>
        </w:tc>
        <w:tc>
          <w:tcPr>
            <w:tcW w:w="1345" w:type="dxa"/>
            <w:tcBorders>
              <w:top w:val="single" w:sz="6" w:space="0" w:color="000000"/>
              <w:left w:val="single" w:sz="6" w:space="0" w:color="000000"/>
              <w:bottom w:val="single" w:sz="6" w:space="0" w:color="000000"/>
              <w:right w:val="single" w:sz="6" w:space="0" w:color="000000"/>
            </w:tcBorders>
          </w:tcPr>
          <w:p w14:paraId="310CA610"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Gabon</w:t>
            </w:r>
          </w:p>
        </w:tc>
        <w:tc>
          <w:tcPr>
            <w:tcW w:w="1014" w:type="dxa"/>
            <w:tcBorders>
              <w:top w:val="single" w:sz="6" w:space="0" w:color="000000"/>
              <w:left w:val="single" w:sz="6" w:space="0" w:color="000000"/>
              <w:bottom w:val="single" w:sz="6" w:space="0" w:color="000000"/>
              <w:right w:val="single" w:sz="6" w:space="0" w:color="000000"/>
            </w:tcBorders>
          </w:tcPr>
          <w:p w14:paraId="4D4B729A"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Leaves</w:t>
            </w:r>
          </w:p>
        </w:tc>
        <w:tc>
          <w:tcPr>
            <w:tcW w:w="1357" w:type="dxa"/>
            <w:tcBorders>
              <w:top w:val="single" w:sz="6" w:space="0" w:color="000000"/>
              <w:left w:val="single" w:sz="6" w:space="0" w:color="000000"/>
              <w:bottom w:val="single" w:sz="6" w:space="0" w:color="000000"/>
              <w:right w:val="single" w:sz="6" w:space="0" w:color="000000"/>
            </w:tcBorders>
          </w:tcPr>
          <w:p w14:paraId="62786006"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Boil with water</w:t>
            </w:r>
          </w:p>
        </w:tc>
        <w:tc>
          <w:tcPr>
            <w:tcW w:w="1322" w:type="dxa"/>
            <w:tcBorders>
              <w:top w:val="single" w:sz="6" w:space="0" w:color="000000"/>
              <w:left w:val="single" w:sz="6" w:space="0" w:color="000000"/>
              <w:bottom w:val="single" w:sz="6" w:space="0" w:color="000000"/>
              <w:right w:val="single" w:sz="6" w:space="0" w:color="000000"/>
            </w:tcBorders>
          </w:tcPr>
          <w:p w14:paraId="3F08BD77"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Drink four times a day to induce urination</w:t>
            </w:r>
          </w:p>
          <w:p w14:paraId="4D595EAA" w14:textId="77777777" w:rsidR="00DA2B3A" w:rsidRDefault="00DA2B3A">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7" w:type="dxa"/>
            <w:tcBorders>
              <w:top w:val="single" w:sz="6" w:space="0" w:color="000000"/>
              <w:left w:val="single" w:sz="6" w:space="0" w:color="000000"/>
              <w:bottom w:val="single" w:sz="6" w:space="0" w:color="000000"/>
              <w:right w:val="single" w:sz="6" w:space="0" w:color="000000"/>
            </w:tcBorders>
          </w:tcPr>
          <w:p w14:paraId="789170D4"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Treat kidney infection</w:t>
            </w:r>
          </w:p>
        </w:tc>
      </w:tr>
      <w:tr w:rsidR="00DA2B3A" w14:paraId="6E48597C" w14:textId="77777777" w:rsidTr="00DA2B3A">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6" w:space="0" w:color="000000"/>
              <w:left w:val="single" w:sz="6" w:space="0" w:color="000000"/>
              <w:bottom w:val="single" w:sz="6" w:space="0" w:color="000000"/>
              <w:right w:val="single" w:sz="6" w:space="0" w:color="000000"/>
            </w:tcBorders>
          </w:tcPr>
          <w:p w14:paraId="36CB95DF" w14:textId="77777777" w:rsidR="00DA2B3A" w:rsidRDefault="001C1F83">
            <w:pPr>
              <w:jc w:val="center"/>
              <w:rPr>
                <w:sz w:val="18"/>
                <w:szCs w:val="18"/>
              </w:rPr>
            </w:pPr>
            <w:r>
              <w:rPr>
                <w:b w:val="0"/>
                <w:bCs w:val="0"/>
                <w:sz w:val="18"/>
                <w:szCs w:val="18"/>
              </w:rPr>
              <w:t>7</w:t>
            </w:r>
          </w:p>
        </w:tc>
        <w:tc>
          <w:tcPr>
            <w:tcW w:w="1554" w:type="dxa"/>
            <w:tcBorders>
              <w:top w:val="single" w:sz="6" w:space="0" w:color="000000"/>
              <w:left w:val="single" w:sz="6" w:space="0" w:color="000000"/>
              <w:bottom w:val="single" w:sz="6" w:space="0" w:color="000000"/>
              <w:right w:val="single" w:sz="6" w:space="0" w:color="000000"/>
            </w:tcBorders>
          </w:tcPr>
          <w:p w14:paraId="3B415BD0"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Jatropha curcas</w:t>
            </w:r>
          </w:p>
        </w:tc>
        <w:tc>
          <w:tcPr>
            <w:tcW w:w="1713" w:type="dxa"/>
            <w:tcBorders>
              <w:top w:val="single" w:sz="6" w:space="0" w:color="000000"/>
              <w:left w:val="single" w:sz="6" w:space="0" w:color="000000"/>
              <w:bottom w:val="single" w:sz="6" w:space="0" w:color="000000"/>
              <w:right w:val="single" w:sz="6" w:space="0" w:color="000000"/>
            </w:tcBorders>
          </w:tcPr>
          <w:p w14:paraId="556BFF32"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Euphorbiaceae</w:t>
            </w:r>
          </w:p>
        </w:tc>
        <w:tc>
          <w:tcPr>
            <w:tcW w:w="1345" w:type="dxa"/>
            <w:tcBorders>
              <w:top w:val="single" w:sz="6" w:space="0" w:color="000000"/>
              <w:left w:val="single" w:sz="6" w:space="0" w:color="000000"/>
              <w:bottom w:val="single" w:sz="6" w:space="0" w:color="000000"/>
              <w:right w:val="single" w:sz="6" w:space="0" w:color="000000"/>
            </w:tcBorders>
          </w:tcPr>
          <w:p w14:paraId="2B2A09B1"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Tuba-tuba</w:t>
            </w:r>
          </w:p>
        </w:tc>
        <w:tc>
          <w:tcPr>
            <w:tcW w:w="1014" w:type="dxa"/>
            <w:tcBorders>
              <w:top w:val="single" w:sz="6" w:space="0" w:color="000000"/>
              <w:left w:val="single" w:sz="6" w:space="0" w:color="000000"/>
              <w:bottom w:val="single" w:sz="6" w:space="0" w:color="000000"/>
              <w:right w:val="single" w:sz="6" w:space="0" w:color="000000"/>
            </w:tcBorders>
          </w:tcPr>
          <w:p w14:paraId="06C28DB1"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Stem</w:t>
            </w:r>
          </w:p>
        </w:tc>
        <w:tc>
          <w:tcPr>
            <w:tcW w:w="1357" w:type="dxa"/>
            <w:tcBorders>
              <w:top w:val="single" w:sz="6" w:space="0" w:color="000000"/>
              <w:left w:val="single" w:sz="6" w:space="0" w:color="000000"/>
              <w:bottom w:val="single" w:sz="6" w:space="0" w:color="000000"/>
              <w:right w:val="single" w:sz="6" w:space="0" w:color="000000"/>
            </w:tcBorders>
          </w:tcPr>
          <w:p w14:paraId="70C2703A"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Scrape the stem preheat, squeeze to </w:t>
            </w:r>
            <w:r>
              <w:rPr>
                <w:sz w:val="18"/>
                <w:szCs w:val="18"/>
              </w:rPr>
              <w:t>produce juice</w:t>
            </w:r>
          </w:p>
        </w:tc>
        <w:tc>
          <w:tcPr>
            <w:tcW w:w="1322" w:type="dxa"/>
            <w:tcBorders>
              <w:top w:val="single" w:sz="6" w:space="0" w:color="000000"/>
              <w:left w:val="single" w:sz="6" w:space="0" w:color="000000"/>
              <w:bottom w:val="single" w:sz="6" w:space="0" w:color="000000"/>
              <w:right w:val="single" w:sz="6" w:space="0" w:color="000000"/>
            </w:tcBorders>
          </w:tcPr>
          <w:p w14:paraId="6E58525C"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Apply externally rub and massaged on the body</w:t>
            </w:r>
          </w:p>
        </w:tc>
        <w:tc>
          <w:tcPr>
            <w:tcW w:w="1357" w:type="dxa"/>
            <w:tcBorders>
              <w:top w:val="single" w:sz="6" w:space="0" w:color="000000"/>
              <w:left w:val="single" w:sz="6" w:space="0" w:color="000000"/>
              <w:bottom w:val="single" w:sz="6" w:space="0" w:color="000000"/>
              <w:right w:val="single" w:sz="6" w:space="0" w:color="000000"/>
            </w:tcBorders>
          </w:tcPr>
          <w:p w14:paraId="4D5C85D6"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Relief of flatulence or panuhot that causes cough</w:t>
            </w:r>
          </w:p>
          <w:p w14:paraId="71874AAA" w14:textId="77777777" w:rsidR="00DA2B3A" w:rsidRDefault="00DA2B3A">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DA2B3A" w14:paraId="0E218A49" w14:textId="77777777" w:rsidTr="00DA2B3A">
        <w:trPr>
          <w:trHeight w:val="387"/>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6" w:space="0" w:color="000000"/>
              <w:left w:val="single" w:sz="6" w:space="0" w:color="000000"/>
              <w:bottom w:val="single" w:sz="6" w:space="0" w:color="000000"/>
              <w:right w:val="single" w:sz="6" w:space="0" w:color="000000"/>
            </w:tcBorders>
          </w:tcPr>
          <w:p w14:paraId="689DE274" w14:textId="77777777" w:rsidR="00DA2B3A" w:rsidRDefault="001C1F83">
            <w:pPr>
              <w:jc w:val="center"/>
              <w:rPr>
                <w:sz w:val="18"/>
                <w:szCs w:val="18"/>
              </w:rPr>
            </w:pPr>
            <w:r>
              <w:rPr>
                <w:b w:val="0"/>
                <w:bCs w:val="0"/>
                <w:sz w:val="18"/>
                <w:szCs w:val="18"/>
              </w:rPr>
              <w:t>8</w:t>
            </w:r>
          </w:p>
        </w:tc>
        <w:tc>
          <w:tcPr>
            <w:tcW w:w="1554" w:type="dxa"/>
            <w:tcBorders>
              <w:top w:val="single" w:sz="6" w:space="0" w:color="000000"/>
              <w:left w:val="single" w:sz="6" w:space="0" w:color="000000"/>
              <w:bottom w:val="single" w:sz="6" w:space="0" w:color="000000"/>
              <w:right w:val="single" w:sz="6" w:space="0" w:color="000000"/>
            </w:tcBorders>
          </w:tcPr>
          <w:p w14:paraId="0C057873"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i/>
                <w:iCs/>
                <w:sz w:val="18"/>
                <w:szCs w:val="18"/>
              </w:rPr>
            </w:pPr>
            <w:r>
              <w:rPr>
                <w:i/>
                <w:iCs/>
                <w:sz w:val="18"/>
                <w:szCs w:val="18"/>
              </w:rPr>
              <w:t>Portulacao leraceae L.</w:t>
            </w:r>
          </w:p>
        </w:tc>
        <w:tc>
          <w:tcPr>
            <w:tcW w:w="1713" w:type="dxa"/>
            <w:tcBorders>
              <w:top w:val="single" w:sz="6" w:space="0" w:color="000000"/>
              <w:left w:val="single" w:sz="6" w:space="0" w:color="000000"/>
              <w:bottom w:val="single" w:sz="6" w:space="0" w:color="000000"/>
              <w:right w:val="single" w:sz="6" w:space="0" w:color="000000"/>
            </w:tcBorders>
          </w:tcPr>
          <w:p w14:paraId="48EA945E"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Piperaceae</w:t>
            </w:r>
          </w:p>
        </w:tc>
        <w:tc>
          <w:tcPr>
            <w:tcW w:w="1345" w:type="dxa"/>
            <w:tcBorders>
              <w:top w:val="single" w:sz="6" w:space="0" w:color="000000"/>
              <w:left w:val="single" w:sz="6" w:space="0" w:color="000000"/>
              <w:bottom w:val="single" w:sz="6" w:space="0" w:color="000000"/>
              <w:right w:val="single" w:sz="6" w:space="0" w:color="000000"/>
            </w:tcBorders>
          </w:tcPr>
          <w:p w14:paraId="6A4AA3A7"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Sinaw-sinaw</w:t>
            </w:r>
          </w:p>
        </w:tc>
        <w:tc>
          <w:tcPr>
            <w:tcW w:w="1014" w:type="dxa"/>
            <w:tcBorders>
              <w:top w:val="single" w:sz="6" w:space="0" w:color="000000"/>
              <w:left w:val="single" w:sz="6" w:space="0" w:color="000000"/>
              <w:bottom w:val="single" w:sz="6" w:space="0" w:color="000000"/>
              <w:right w:val="single" w:sz="6" w:space="0" w:color="000000"/>
            </w:tcBorders>
          </w:tcPr>
          <w:p w14:paraId="4C751EC6"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leaves and stem</w:t>
            </w:r>
          </w:p>
        </w:tc>
        <w:tc>
          <w:tcPr>
            <w:tcW w:w="1357" w:type="dxa"/>
            <w:tcBorders>
              <w:top w:val="single" w:sz="6" w:space="0" w:color="000000"/>
              <w:left w:val="single" w:sz="6" w:space="0" w:color="000000"/>
              <w:bottom w:val="single" w:sz="6" w:space="0" w:color="000000"/>
              <w:right w:val="single" w:sz="6" w:space="0" w:color="000000"/>
            </w:tcBorders>
          </w:tcPr>
          <w:p w14:paraId="442A7B5B"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Infusion of leaves</w:t>
            </w:r>
          </w:p>
        </w:tc>
        <w:tc>
          <w:tcPr>
            <w:tcW w:w="1322" w:type="dxa"/>
            <w:tcBorders>
              <w:top w:val="single" w:sz="6" w:space="0" w:color="000000"/>
              <w:left w:val="single" w:sz="6" w:space="0" w:color="000000"/>
              <w:bottom w:val="single" w:sz="6" w:space="0" w:color="000000"/>
              <w:right w:val="single" w:sz="6" w:space="0" w:color="000000"/>
            </w:tcBorders>
          </w:tcPr>
          <w:p w14:paraId="2CCB1B57"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Drink 4 times a day, induce urination</w:t>
            </w:r>
          </w:p>
          <w:p w14:paraId="06E4A4D0" w14:textId="77777777" w:rsidR="00DA2B3A" w:rsidRDefault="00DA2B3A">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7" w:type="dxa"/>
            <w:tcBorders>
              <w:top w:val="single" w:sz="6" w:space="0" w:color="000000"/>
              <w:left w:val="single" w:sz="6" w:space="0" w:color="000000"/>
              <w:bottom w:val="single" w:sz="6" w:space="0" w:color="000000"/>
              <w:right w:val="single" w:sz="6" w:space="0" w:color="000000"/>
            </w:tcBorders>
          </w:tcPr>
          <w:p w14:paraId="0C9368A0"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For kidney </w:t>
            </w:r>
            <w:r>
              <w:rPr>
                <w:sz w:val="18"/>
                <w:szCs w:val="18"/>
              </w:rPr>
              <w:t>infection, arthritis</w:t>
            </w:r>
          </w:p>
        </w:tc>
      </w:tr>
      <w:tr w:rsidR="00DA2B3A" w14:paraId="602FED9A" w14:textId="77777777" w:rsidTr="00DA2B3A">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6" w:space="0" w:color="000000"/>
              <w:left w:val="single" w:sz="6" w:space="0" w:color="000000"/>
              <w:bottom w:val="single" w:sz="6" w:space="0" w:color="000000"/>
              <w:right w:val="single" w:sz="6" w:space="0" w:color="000000"/>
            </w:tcBorders>
          </w:tcPr>
          <w:p w14:paraId="37C2C2ED" w14:textId="77777777" w:rsidR="00DA2B3A" w:rsidRDefault="001C1F83">
            <w:pPr>
              <w:jc w:val="center"/>
              <w:rPr>
                <w:sz w:val="18"/>
                <w:szCs w:val="18"/>
              </w:rPr>
            </w:pPr>
            <w:r>
              <w:rPr>
                <w:b w:val="0"/>
                <w:bCs w:val="0"/>
                <w:sz w:val="18"/>
                <w:szCs w:val="18"/>
              </w:rPr>
              <w:t>9</w:t>
            </w:r>
          </w:p>
        </w:tc>
        <w:tc>
          <w:tcPr>
            <w:tcW w:w="1554" w:type="dxa"/>
            <w:tcBorders>
              <w:top w:val="single" w:sz="6" w:space="0" w:color="000000"/>
              <w:left w:val="single" w:sz="6" w:space="0" w:color="000000"/>
              <w:bottom w:val="single" w:sz="6" w:space="0" w:color="000000"/>
              <w:right w:val="single" w:sz="6" w:space="0" w:color="000000"/>
            </w:tcBorders>
          </w:tcPr>
          <w:p w14:paraId="45BCBE9C"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Vitex negundo L.</w:t>
            </w:r>
          </w:p>
        </w:tc>
        <w:tc>
          <w:tcPr>
            <w:tcW w:w="1713" w:type="dxa"/>
            <w:tcBorders>
              <w:top w:val="single" w:sz="6" w:space="0" w:color="000000"/>
              <w:left w:val="single" w:sz="6" w:space="0" w:color="000000"/>
              <w:bottom w:val="single" w:sz="6" w:space="0" w:color="000000"/>
              <w:right w:val="single" w:sz="6" w:space="0" w:color="000000"/>
            </w:tcBorders>
          </w:tcPr>
          <w:p w14:paraId="74E94F92"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Verbenaceae</w:t>
            </w:r>
          </w:p>
        </w:tc>
        <w:tc>
          <w:tcPr>
            <w:tcW w:w="1345" w:type="dxa"/>
            <w:tcBorders>
              <w:top w:val="single" w:sz="6" w:space="0" w:color="000000"/>
              <w:left w:val="single" w:sz="6" w:space="0" w:color="000000"/>
              <w:bottom w:val="single" w:sz="6" w:space="0" w:color="000000"/>
              <w:right w:val="single" w:sz="6" w:space="0" w:color="000000"/>
            </w:tcBorders>
          </w:tcPr>
          <w:p w14:paraId="359E7945"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Lagundi</w:t>
            </w:r>
          </w:p>
        </w:tc>
        <w:tc>
          <w:tcPr>
            <w:tcW w:w="1014" w:type="dxa"/>
            <w:tcBorders>
              <w:top w:val="single" w:sz="6" w:space="0" w:color="000000"/>
              <w:left w:val="single" w:sz="6" w:space="0" w:color="000000"/>
              <w:bottom w:val="single" w:sz="6" w:space="0" w:color="000000"/>
              <w:right w:val="single" w:sz="6" w:space="0" w:color="000000"/>
            </w:tcBorders>
          </w:tcPr>
          <w:p w14:paraId="1B9F0ED4"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Leaves</w:t>
            </w:r>
          </w:p>
        </w:tc>
        <w:tc>
          <w:tcPr>
            <w:tcW w:w="1357" w:type="dxa"/>
            <w:tcBorders>
              <w:top w:val="single" w:sz="6" w:space="0" w:color="000000"/>
              <w:left w:val="single" w:sz="6" w:space="0" w:color="000000"/>
              <w:bottom w:val="single" w:sz="6" w:space="0" w:color="000000"/>
              <w:right w:val="single" w:sz="6" w:space="0" w:color="000000"/>
            </w:tcBorders>
          </w:tcPr>
          <w:p w14:paraId="4008AEC9"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Infusion of leaves</w:t>
            </w:r>
          </w:p>
        </w:tc>
        <w:tc>
          <w:tcPr>
            <w:tcW w:w="1322" w:type="dxa"/>
            <w:tcBorders>
              <w:top w:val="single" w:sz="6" w:space="0" w:color="000000"/>
              <w:left w:val="single" w:sz="6" w:space="0" w:color="000000"/>
              <w:bottom w:val="single" w:sz="6" w:space="0" w:color="000000"/>
              <w:right w:val="single" w:sz="6" w:space="0" w:color="000000"/>
            </w:tcBorders>
          </w:tcPr>
          <w:p w14:paraId="282631B5"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Drink 3 times a day</w:t>
            </w:r>
          </w:p>
        </w:tc>
        <w:tc>
          <w:tcPr>
            <w:tcW w:w="1357" w:type="dxa"/>
            <w:tcBorders>
              <w:top w:val="single" w:sz="6" w:space="0" w:color="000000"/>
              <w:left w:val="single" w:sz="6" w:space="0" w:color="000000"/>
              <w:bottom w:val="single" w:sz="6" w:space="0" w:color="000000"/>
              <w:right w:val="single" w:sz="6" w:space="0" w:color="000000"/>
            </w:tcBorders>
          </w:tcPr>
          <w:p w14:paraId="5C4DBAAE"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For cough and colds</w:t>
            </w:r>
          </w:p>
          <w:p w14:paraId="2CFF7B74" w14:textId="77777777" w:rsidR="00DA2B3A" w:rsidRDefault="00DA2B3A">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DA2B3A" w14:paraId="08AD61C4" w14:textId="77777777" w:rsidTr="00DA2B3A">
        <w:trPr>
          <w:trHeight w:val="387"/>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6" w:space="0" w:color="000000"/>
              <w:left w:val="single" w:sz="6" w:space="0" w:color="000000"/>
              <w:bottom w:val="single" w:sz="6" w:space="0" w:color="000000"/>
              <w:right w:val="single" w:sz="6" w:space="0" w:color="000000"/>
            </w:tcBorders>
          </w:tcPr>
          <w:p w14:paraId="29BB0C55" w14:textId="77777777" w:rsidR="00DA2B3A" w:rsidRDefault="001C1F83">
            <w:pPr>
              <w:jc w:val="center"/>
              <w:rPr>
                <w:sz w:val="18"/>
                <w:szCs w:val="18"/>
              </w:rPr>
            </w:pPr>
            <w:r>
              <w:rPr>
                <w:b w:val="0"/>
                <w:bCs w:val="0"/>
                <w:sz w:val="18"/>
                <w:szCs w:val="18"/>
              </w:rPr>
              <w:t>10</w:t>
            </w:r>
          </w:p>
        </w:tc>
        <w:tc>
          <w:tcPr>
            <w:tcW w:w="1554" w:type="dxa"/>
            <w:tcBorders>
              <w:top w:val="single" w:sz="6" w:space="0" w:color="000000"/>
              <w:left w:val="single" w:sz="6" w:space="0" w:color="000000"/>
              <w:bottom w:val="single" w:sz="6" w:space="0" w:color="000000"/>
              <w:right w:val="single" w:sz="6" w:space="0" w:color="000000"/>
            </w:tcBorders>
          </w:tcPr>
          <w:p w14:paraId="07D4D520"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i/>
                <w:iCs/>
                <w:sz w:val="18"/>
                <w:szCs w:val="18"/>
              </w:rPr>
            </w:pPr>
            <w:r>
              <w:rPr>
                <w:i/>
                <w:iCs/>
                <w:sz w:val="18"/>
                <w:szCs w:val="18"/>
              </w:rPr>
              <w:t>Zingiber officinale Roscoe</w:t>
            </w:r>
          </w:p>
        </w:tc>
        <w:tc>
          <w:tcPr>
            <w:tcW w:w="1713" w:type="dxa"/>
            <w:tcBorders>
              <w:top w:val="single" w:sz="6" w:space="0" w:color="000000"/>
              <w:left w:val="single" w:sz="6" w:space="0" w:color="000000"/>
              <w:bottom w:val="single" w:sz="6" w:space="0" w:color="000000"/>
              <w:right w:val="single" w:sz="6" w:space="0" w:color="000000"/>
            </w:tcBorders>
          </w:tcPr>
          <w:p w14:paraId="0B00E19A"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Zingiberaceae</w:t>
            </w:r>
          </w:p>
        </w:tc>
        <w:tc>
          <w:tcPr>
            <w:tcW w:w="1345" w:type="dxa"/>
            <w:tcBorders>
              <w:top w:val="single" w:sz="6" w:space="0" w:color="000000"/>
              <w:left w:val="single" w:sz="6" w:space="0" w:color="000000"/>
              <w:bottom w:val="single" w:sz="6" w:space="0" w:color="000000"/>
              <w:right w:val="single" w:sz="6" w:space="0" w:color="000000"/>
            </w:tcBorders>
          </w:tcPr>
          <w:p w14:paraId="3BDB9488"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Luy-a</w:t>
            </w:r>
          </w:p>
        </w:tc>
        <w:tc>
          <w:tcPr>
            <w:tcW w:w="1014" w:type="dxa"/>
            <w:tcBorders>
              <w:top w:val="single" w:sz="6" w:space="0" w:color="000000"/>
              <w:left w:val="single" w:sz="6" w:space="0" w:color="000000"/>
              <w:bottom w:val="single" w:sz="6" w:space="0" w:color="000000"/>
              <w:right w:val="single" w:sz="6" w:space="0" w:color="000000"/>
            </w:tcBorders>
          </w:tcPr>
          <w:p w14:paraId="71DDF919"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Rhizome</w:t>
            </w:r>
          </w:p>
        </w:tc>
        <w:tc>
          <w:tcPr>
            <w:tcW w:w="1357" w:type="dxa"/>
            <w:tcBorders>
              <w:top w:val="single" w:sz="6" w:space="0" w:color="000000"/>
              <w:left w:val="single" w:sz="6" w:space="0" w:color="000000"/>
              <w:bottom w:val="single" w:sz="6" w:space="0" w:color="000000"/>
              <w:right w:val="single" w:sz="6" w:space="0" w:color="000000"/>
            </w:tcBorders>
          </w:tcPr>
          <w:p w14:paraId="6BAA3029"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Pound and extract the juice and </w:t>
            </w:r>
            <w:r>
              <w:rPr>
                <w:sz w:val="18"/>
                <w:szCs w:val="18"/>
              </w:rPr>
              <w:lastRenderedPageBreak/>
              <w:t>mixed with oil or water</w:t>
            </w:r>
          </w:p>
        </w:tc>
        <w:tc>
          <w:tcPr>
            <w:tcW w:w="1322" w:type="dxa"/>
            <w:tcBorders>
              <w:top w:val="single" w:sz="6" w:space="0" w:color="000000"/>
              <w:left w:val="single" w:sz="6" w:space="0" w:color="000000"/>
              <w:bottom w:val="single" w:sz="6" w:space="0" w:color="000000"/>
              <w:right w:val="single" w:sz="6" w:space="0" w:color="000000"/>
            </w:tcBorders>
          </w:tcPr>
          <w:p w14:paraId="7B068D4D"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Rub on </w:t>
            </w:r>
            <w:r>
              <w:rPr>
                <w:sz w:val="18"/>
                <w:szCs w:val="18"/>
              </w:rPr>
              <w:t xml:space="preserve">affected area to induce gas </w:t>
            </w:r>
            <w:r>
              <w:rPr>
                <w:sz w:val="18"/>
                <w:szCs w:val="18"/>
              </w:rPr>
              <w:lastRenderedPageBreak/>
              <w:t>pain or boil the water</w:t>
            </w:r>
          </w:p>
          <w:p w14:paraId="4567BF47" w14:textId="77777777" w:rsidR="00DA2B3A" w:rsidRDefault="00DA2B3A">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7" w:type="dxa"/>
            <w:tcBorders>
              <w:top w:val="single" w:sz="6" w:space="0" w:color="000000"/>
              <w:left w:val="single" w:sz="6" w:space="0" w:color="000000"/>
              <w:bottom w:val="single" w:sz="6" w:space="0" w:color="000000"/>
              <w:right w:val="single" w:sz="6" w:space="0" w:color="000000"/>
            </w:tcBorders>
          </w:tcPr>
          <w:p w14:paraId="3821EDD2"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For Stomach-ache and hoarseness</w:t>
            </w:r>
          </w:p>
        </w:tc>
      </w:tr>
      <w:tr w:rsidR="00DA2B3A" w14:paraId="16FA189B" w14:textId="77777777" w:rsidTr="00DA2B3A">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6" w:space="0" w:color="000000"/>
              <w:left w:val="single" w:sz="6" w:space="0" w:color="000000"/>
              <w:bottom w:val="single" w:sz="6" w:space="0" w:color="000000"/>
              <w:right w:val="single" w:sz="6" w:space="0" w:color="000000"/>
            </w:tcBorders>
          </w:tcPr>
          <w:p w14:paraId="7E8C52D3" w14:textId="77777777" w:rsidR="00DA2B3A" w:rsidRDefault="001C1F83">
            <w:pPr>
              <w:jc w:val="center"/>
              <w:rPr>
                <w:sz w:val="18"/>
                <w:szCs w:val="18"/>
              </w:rPr>
            </w:pPr>
            <w:r>
              <w:rPr>
                <w:b w:val="0"/>
                <w:bCs w:val="0"/>
                <w:sz w:val="18"/>
                <w:szCs w:val="18"/>
              </w:rPr>
              <w:t>11</w:t>
            </w:r>
          </w:p>
        </w:tc>
        <w:tc>
          <w:tcPr>
            <w:tcW w:w="1554" w:type="dxa"/>
            <w:tcBorders>
              <w:top w:val="single" w:sz="6" w:space="0" w:color="000000"/>
              <w:left w:val="single" w:sz="6" w:space="0" w:color="000000"/>
              <w:bottom w:val="single" w:sz="6" w:space="0" w:color="000000"/>
              <w:right w:val="single" w:sz="6" w:space="0" w:color="000000"/>
            </w:tcBorders>
          </w:tcPr>
          <w:p w14:paraId="68525273"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Heliotropium indicum L.</w:t>
            </w:r>
          </w:p>
        </w:tc>
        <w:tc>
          <w:tcPr>
            <w:tcW w:w="1713" w:type="dxa"/>
            <w:tcBorders>
              <w:top w:val="single" w:sz="6" w:space="0" w:color="000000"/>
              <w:left w:val="single" w:sz="6" w:space="0" w:color="000000"/>
              <w:bottom w:val="single" w:sz="6" w:space="0" w:color="000000"/>
              <w:right w:val="single" w:sz="6" w:space="0" w:color="000000"/>
            </w:tcBorders>
          </w:tcPr>
          <w:p w14:paraId="3931F1E6"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Boraginaceae</w:t>
            </w:r>
          </w:p>
        </w:tc>
        <w:tc>
          <w:tcPr>
            <w:tcW w:w="1345" w:type="dxa"/>
            <w:tcBorders>
              <w:top w:val="single" w:sz="6" w:space="0" w:color="000000"/>
              <w:left w:val="single" w:sz="6" w:space="0" w:color="000000"/>
              <w:bottom w:val="single" w:sz="6" w:space="0" w:color="000000"/>
              <w:right w:val="single" w:sz="6" w:space="0" w:color="000000"/>
            </w:tcBorders>
          </w:tcPr>
          <w:p w14:paraId="4C19E284"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Elepante</w:t>
            </w:r>
          </w:p>
        </w:tc>
        <w:tc>
          <w:tcPr>
            <w:tcW w:w="1014" w:type="dxa"/>
            <w:tcBorders>
              <w:top w:val="single" w:sz="6" w:space="0" w:color="000000"/>
              <w:left w:val="single" w:sz="6" w:space="0" w:color="000000"/>
              <w:bottom w:val="single" w:sz="6" w:space="0" w:color="000000"/>
              <w:right w:val="single" w:sz="6" w:space="0" w:color="000000"/>
            </w:tcBorders>
          </w:tcPr>
          <w:p w14:paraId="1813B341"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Leaves</w:t>
            </w:r>
          </w:p>
        </w:tc>
        <w:tc>
          <w:tcPr>
            <w:tcW w:w="1357" w:type="dxa"/>
            <w:tcBorders>
              <w:top w:val="single" w:sz="6" w:space="0" w:color="000000"/>
              <w:left w:val="single" w:sz="6" w:space="0" w:color="000000"/>
              <w:bottom w:val="single" w:sz="6" w:space="0" w:color="000000"/>
              <w:right w:val="single" w:sz="6" w:space="0" w:color="000000"/>
            </w:tcBorders>
          </w:tcPr>
          <w:p w14:paraId="46D07B29"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Boil with water</w:t>
            </w:r>
          </w:p>
        </w:tc>
        <w:tc>
          <w:tcPr>
            <w:tcW w:w="1322" w:type="dxa"/>
            <w:tcBorders>
              <w:top w:val="single" w:sz="6" w:space="0" w:color="000000"/>
              <w:left w:val="single" w:sz="6" w:space="0" w:color="000000"/>
              <w:bottom w:val="single" w:sz="6" w:space="0" w:color="000000"/>
              <w:right w:val="single" w:sz="6" w:space="0" w:color="000000"/>
            </w:tcBorders>
          </w:tcPr>
          <w:p w14:paraId="4711B6BA"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Drink 3 times a day</w:t>
            </w:r>
          </w:p>
        </w:tc>
        <w:tc>
          <w:tcPr>
            <w:tcW w:w="1357" w:type="dxa"/>
            <w:tcBorders>
              <w:top w:val="single" w:sz="6" w:space="0" w:color="000000"/>
              <w:left w:val="single" w:sz="6" w:space="0" w:color="000000"/>
              <w:bottom w:val="single" w:sz="6" w:space="0" w:color="000000"/>
              <w:right w:val="single" w:sz="6" w:space="0" w:color="000000"/>
            </w:tcBorders>
          </w:tcPr>
          <w:p w14:paraId="0D9BC774"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For diarrhea and stomach-ache</w:t>
            </w:r>
          </w:p>
          <w:p w14:paraId="2C3F645D" w14:textId="77777777" w:rsidR="00DA2B3A" w:rsidRDefault="00DA2B3A">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DA2B3A" w14:paraId="4B3CF338" w14:textId="77777777" w:rsidTr="00DA2B3A">
        <w:trPr>
          <w:trHeight w:val="387"/>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6" w:space="0" w:color="000000"/>
              <w:left w:val="single" w:sz="6" w:space="0" w:color="000000"/>
              <w:bottom w:val="single" w:sz="6" w:space="0" w:color="000000"/>
              <w:right w:val="single" w:sz="6" w:space="0" w:color="000000"/>
            </w:tcBorders>
          </w:tcPr>
          <w:p w14:paraId="138EBD77" w14:textId="77777777" w:rsidR="00DA2B3A" w:rsidRDefault="001C1F83">
            <w:pPr>
              <w:jc w:val="center"/>
              <w:rPr>
                <w:sz w:val="18"/>
                <w:szCs w:val="18"/>
              </w:rPr>
            </w:pPr>
            <w:r>
              <w:rPr>
                <w:b w:val="0"/>
                <w:bCs w:val="0"/>
                <w:sz w:val="18"/>
                <w:szCs w:val="18"/>
              </w:rPr>
              <w:t>12</w:t>
            </w:r>
          </w:p>
        </w:tc>
        <w:tc>
          <w:tcPr>
            <w:tcW w:w="1554" w:type="dxa"/>
            <w:tcBorders>
              <w:top w:val="single" w:sz="6" w:space="0" w:color="000000"/>
              <w:left w:val="single" w:sz="6" w:space="0" w:color="000000"/>
              <w:bottom w:val="single" w:sz="6" w:space="0" w:color="000000"/>
              <w:right w:val="single" w:sz="6" w:space="0" w:color="000000"/>
            </w:tcBorders>
          </w:tcPr>
          <w:p w14:paraId="660738D3"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i/>
                <w:iCs/>
                <w:sz w:val="18"/>
                <w:szCs w:val="18"/>
              </w:rPr>
            </w:pPr>
            <w:r>
              <w:rPr>
                <w:i/>
                <w:iCs/>
                <w:sz w:val="18"/>
                <w:szCs w:val="18"/>
              </w:rPr>
              <w:t>Stachytarpheta jamaicensis L.</w:t>
            </w:r>
          </w:p>
          <w:p w14:paraId="3E1BD224" w14:textId="77777777" w:rsidR="00DA2B3A" w:rsidRDefault="00DA2B3A">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713" w:type="dxa"/>
            <w:tcBorders>
              <w:top w:val="single" w:sz="6" w:space="0" w:color="000000"/>
              <w:left w:val="single" w:sz="6" w:space="0" w:color="000000"/>
              <w:bottom w:val="single" w:sz="6" w:space="0" w:color="000000"/>
              <w:right w:val="single" w:sz="6" w:space="0" w:color="000000"/>
            </w:tcBorders>
          </w:tcPr>
          <w:p w14:paraId="4C59809A"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Verbenaceae</w:t>
            </w:r>
          </w:p>
        </w:tc>
        <w:tc>
          <w:tcPr>
            <w:tcW w:w="1345" w:type="dxa"/>
            <w:tcBorders>
              <w:top w:val="single" w:sz="6" w:space="0" w:color="000000"/>
              <w:left w:val="single" w:sz="6" w:space="0" w:color="000000"/>
              <w:bottom w:val="single" w:sz="6" w:space="0" w:color="000000"/>
              <w:right w:val="single" w:sz="6" w:space="0" w:color="000000"/>
            </w:tcBorders>
          </w:tcPr>
          <w:p w14:paraId="20A75F66"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Kanding-kanding</w:t>
            </w:r>
          </w:p>
        </w:tc>
        <w:tc>
          <w:tcPr>
            <w:tcW w:w="1014" w:type="dxa"/>
            <w:tcBorders>
              <w:top w:val="single" w:sz="6" w:space="0" w:color="000000"/>
              <w:left w:val="single" w:sz="6" w:space="0" w:color="000000"/>
              <w:bottom w:val="single" w:sz="6" w:space="0" w:color="000000"/>
              <w:right w:val="single" w:sz="6" w:space="0" w:color="000000"/>
            </w:tcBorders>
          </w:tcPr>
          <w:p w14:paraId="5003A285"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Leaves</w:t>
            </w:r>
          </w:p>
        </w:tc>
        <w:tc>
          <w:tcPr>
            <w:tcW w:w="1357" w:type="dxa"/>
            <w:tcBorders>
              <w:top w:val="single" w:sz="6" w:space="0" w:color="000000"/>
              <w:left w:val="single" w:sz="6" w:space="0" w:color="000000"/>
              <w:bottom w:val="single" w:sz="6" w:space="0" w:color="000000"/>
              <w:right w:val="single" w:sz="6" w:space="0" w:color="000000"/>
            </w:tcBorders>
          </w:tcPr>
          <w:p w14:paraId="367EB9AF"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Boil in water</w:t>
            </w:r>
          </w:p>
        </w:tc>
        <w:tc>
          <w:tcPr>
            <w:tcW w:w="1322" w:type="dxa"/>
            <w:tcBorders>
              <w:top w:val="single" w:sz="6" w:space="0" w:color="000000"/>
              <w:left w:val="single" w:sz="6" w:space="0" w:color="000000"/>
              <w:bottom w:val="single" w:sz="6" w:space="0" w:color="000000"/>
              <w:right w:val="single" w:sz="6" w:space="0" w:color="000000"/>
            </w:tcBorders>
          </w:tcPr>
          <w:p w14:paraId="36A64198"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Used as washing and antiseptic</w:t>
            </w:r>
          </w:p>
          <w:p w14:paraId="232F47F3" w14:textId="77777777" w:rsidR="00DA2B3A" w:rsidRDefault="00DA2B3A">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7" w:type="dxa"/>
            <w:tcBorders>
              <w:top w:val="single" w:sz="6" w:space="0" w:color="000000"/>
              <w:left w:val="single" w:sz="6" w:space="0" w:color="000000"/>
              <w:bottom w:val="single" w:sz="6" w:space="0" w:color="000000"/>
              <w:right w:val="single" w:sz="6" w:space="0" w:color="000000"/>
            </w:tcBorders>
          </w:tcPr>
          <w:p w14:paraId="67E8060C"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Cleaning of wounds</w:t>
            </w:r>
          </w:p>
        </w:tc>
      </w:tr>
      <w:tr w:rsidR="00DA2B3A" w14:paraId="5CDF5D48" w14:textId="77777777" w:rsidTr="00DA2B3A">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6" w:space="0" w:color="000000"/>
              <w:left w:val="single" w:sz="6" w:space="0" w:color="000000"/>
              <w:bottom w:val="single" w:sz="6" w:space="0" w:color="000000"/>
              <w:right w:val="single" w:sz="6" w:space="0" w:color="000000"/>
            </w:tcBorders>
          </w:tcPr>
          <w:p w14:paraId="7C4B84A8" w14:textId="77777777" w:rsidR="00DA2B3A" w:rsidRDefault="001C1F83">
            <w:pPr>
              <w:jc w:val="center"/>
              <w:rPr>
                <w:sz w:val="18"/>
                <w:szCs w:val="18"/>
              </w:rPr>
            </w:pPr>
            <w:r>
              <w:rPr>
                <w:b w:val="0"/>
                <w:bCs w:val="0"/>
                <w:sz w:val="18"/>
                <w:szCs w:val="18"/>
              </w:rPr>
              <w:t>13</w:t>
            </w:r>
          </w:p>
        </w:tc>
        <w:tc>
          <w:tcPr>
            <w:tcW w:w="1554" w:type="dxa"/>
            <w:tcBorders>
              <w:top w:val="single" w:sz="6" w:space="0" w:color="000000"/>
              <w:left w:val="single" w:sz="6" w:space="0" w:color="000000"/>
              <w:bottom w:val="single" w:sz="6" w:space="0" w:color="000000"/>
              <w:right w:val="single" w:sz="6" w:space="0" w:color="000000"/>
            </w:tcBorders>
          </w:tcPr>
          <w:p w14:paraId="782D0EA6"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Coleus blumei</w:t>
            </w:r>
          </w:p>
        </w:tc>
        <w:tc>
          <w:tcPr>
            <w:tcW w:w="1713" w:type="dxa"/>
            <w:tcBorders>
              <w:top w:val="single" w:sz="6" w:space="0" w:color="000000"/>
              <w:left w:val="single" w:sz="6" w:space="0" w:color="000000"/>
              <w:bottom w:val="single" w:sz="6" w:space="0" w:color="000000"/>
              <w:right w:val="single" w:sz="6" w:space="0" w:color="000000"/>
            </w:tcBorders>
          </w:tcPr>
          <w:p w14:paraId="7397EC9D"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Labiatae</w:t>
            </w:r>
          </w:p>
        </w:tc>
        <w:tc>
          <w:tcPr>
            <w:tcW w:w="1345" w:type="dxa"/>
            <w:tcBorders>
              <w:top w:val="single" w:sz="6" w:space="0" w:color="000000"/>
              <w:left w:val="single" w:sz="6" w:space="0" w:color="000000"/>
              <w:bottom w:val="single" w:sz="6" w:space="0" w:color="000000"/>
              <w:right w:val="single" w:sz="6" w:space="0" w:color="000000"/>
            </w:tcBorders>
          </w:tcPr>
          <w:p w14:paraId="265D3C0C"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Mayana</w:t>
            </w:r>
          </w:p>
        </w:tc>
        <w:tc>
          <w:tcPr>
            <w:tcW w:w="1014" w:type="dxa"/>
            <w:tcBorders>
              <w:top w:val="single" w:sz="6" w:space="0" w:color="000000"/>
              <w:left w:val="single" w:sz="6" w:space="0" w:color="000000"/>
              <w:bottom w:val="single" w:sz="6" w:space="0" w:color="000000"/>
              <w:right w:val="single" w:sz="6" w:space="0" w:color="000000"/>
            </w:tcBorders>
          </w:tcPr>
          <w:p w14:paraId="61D55952"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Leaves</w:t>
            </w:r>
          </w:p>
        </w:tc>
        <w:tc>
          <w:tcPr>
            <w:tcW w:w="1357" w:type="dxa"/>
            <w:tcBorders>
              <w:top w:val="single" w:sz="6" w:space="0" w:color="000000"/>
              <w:left w:val="single" w:sz="6" w:space="0" w:color="000000"/>
              <w:bottom w:val="single" w:sz="6" w:space="0" w:color="000000"/>
              <w:right w:val="single" w:sz="6" w:space="0" w:color="000000"/>
            </w:tcBorders>
          </w:tcPr>
          <w:p w14:paraId="50D08B22"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Pound until soft and juicy</w:t>
            </w:r>
          </w:p>
        </w:tc>
        <w:tc>
          <w:tcPr>
            <w:tcW w:w="1322" w:type="dxa"/>
            <w:tcBorders>
              <w:top w:val="single" w:sz="6" w:space="0" w:color="000000"/>
              <w:left w:val="single" w:sz="6" w:space="0" w:color="000000"/>
              <w:bottom w:val="single" w:sz="6" w:space="0" w:color="000000"/>
              <w:right w:val="single" w:sz="6" w:space="0" w:color="000000"/>
            </w:tcBorders>
          </w:tcPr>
          <w:p w14:paraId="6B768A37"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Apply the leaves directly to affected area</w:t>
            </w:r>
          </w:p>
          <w:p w14:paraId="3DA14B47" w14:textId="77777777" w:rsidR="00DA2B3A" w:rsidRDefault="00DA2B3A">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57" w:type="dxa"/>
            <w:tcBorders>
              <w:top w:val="single" w:sz="6" w:space="0" w:color="000000"/>
              <w:left w:val="single" w:sz="6" w:space="0" w:color="000000"/>
              <w:bottom w:val="single" w:sz="6" w:space="0" w:color="000000"/>
              <w:right w:val="single" w:sz="6" w:space="0" w:color="000000"/>
            </w:tcBorders>
          </w:tcPr>
          <w:p w14:paraId="6FD1C0D3"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For mumps</w:t>
            </w:r>
          </w:p>
        </w:tc>
      </w:tr>
      <w:tr w:rsidR="00DA2B3A" w14:paraId="6B94FB97" w14:textId="77777777" w:rsidTr="00DA2B3A">
        <w:trPr>
          <w:trHeight w:val="387"/>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6" w:space="0" w:color="000000"/>
              <w:left w:val="single" w:sz="6" w:space="0" w:color="000000"/>
              <w:bottom w:val="single" w:sz="6" w:space="0" w:color="000000"/>
              <w:right w:val="single" w:sz="6" w:space="0" w:color="000000"/>
            </w:tcBorders>
          </w:tcPr>
          <w:p w14:paraId="000A6C1A" w14:textId="77777777" w:rsidR="00DA2B3A" w:rsidRDefault="001C1F83">
            <w:pPr>
              <w:jc w:val="center"/>
              <w:rPr>
                <w:sz w:val="18"/>
                <w:szCs w:val="18"/>
              </w:rPr>
            </w:pPr>
            <w:r>
              <w:rPr>
                <w:b w:val="0"/>
                <w:bCs w:val="0"/>
                <w:sz w:val="18"/>
                <w:szCs w:val="18"/>
              </w:rPr>
              <w:t>14</w:t>
            </w:r>
          </w:p>
        </w:tc>
        <w:tc>
          <w:tcPr>
            <w:tcW w:w="1554" w:type="dxa"/>
            <w:tcBorders>
              <w:top w:val="single" w:sz="6" w:space="0" w:color="000000"/>
              <w:left w:val="single" w:sz="6" w:space="0" w:color="000000"/>
              <w:bottom w:val="single" w:sz="6" w:space="0" w:color="000000"/>
              <w:right w:val="single" w:sz="6" w:space="0" w:color="000000"/>
            </w:tcBorders>
          </w:tcPr>
          <w:p w14:paraId="2AE1C5DD"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i/>
                <w:iCs/>
                <w:sz w:val="18"/>
                <w:szCs w:val="18"/>
              </w:rPr>
            </w:pPr>
            <w:r>
              <w:rPr>
                <w:i/>
                <w:iCs/>
                <w:sz w:val="18"/>
                <w:szCs w:val="18"/>
              </w:rPr>
              <w:t>Curcuma longa L.</w:t>
            </w:r>
          </w:p>
        </w:tc>
        <w:tc>
          <w:tcPr>
            <w:tcW w:w="1713" w:type="dxa"/>
            <w:tcBorders>
              <w:top w:val="single" w:sz="6" w:space="0" w:color="000000"/>
              <w:left w:val="single" w:sz="6" w:space="0" w:color="000000"/>
              <w:bottom w:val="single" w:sz="6" w:space="0" w:color="000000"/>
              <w:right w:val="single" w:sz="6" w:space="0" w:color="000000"/>
            </w:tcBorders>
          </w:tcPr>
          <w:p w14:paraId="32706D67"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Zingiberaceae</w:t>
            </w:r>
          </w:p>
        </w:tc>
        <w:tc>
          <w:tcPr>
            <w:tcW w:w="1345" w:type="dxa"/>
            <w:tcBorders>
              <w:top w:val="single" w:sz="6" w:space="0" w:color="000000"/>
              <w:left w:val="single" w:sz="6" w:space="0" w:color="000000"/>
              <w:bottom w:val="single" w:sz="6" w:space="0" w:color="000000"/>
              <w:right w:val="single" w:sz="6" w:space="0" w:color="000000"/>
            </w:tcBorders>
          </w:tcPr>
          <w:p w14:paraId="1E21DFC9"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Dulaw</w:t>
            </w:r>
          </w:p>
        </w:tc>
        <w:tc>
          <w:tcPr>
            <w:tcW w:w="1014" w:type="dxa"/>
            <w:tcBorders>
              <w:top w:val="single" w:sz="6" w:space="0" w:color="000000"/>
              <w:left w:val="single" w:sz="6" w:space="0" w:color="000000"/>
              <w:bottom w:val="single" w:sz="6" w:space="0" w:color="000000"/>
              <w:right w:val="single" w:sz="6" w:space="0" w:color="000000"/>
            </w:tcBorders>
          </w:tcPr>
          <w:p w14:paraId="1492F3EB"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Rhizome</w:t>
            </w:r>
          </w:p>
        </w:tc>
        <w:tc>
          <w:tcPr>
            <w:tcW w:w="1357" w:type="dxa"/>
            <w:tcBorders>
              <w:top w:val="single" w:sz="6" w:space="0" w:color="000000"/>
              <w:left w:val="single" w:sz="6" w:space="0" w:color="000000"/>
              <w:bottom w:val="single" w:sz="6" w:space="0" w:color="000000"/>
              <w:right w:val="single" w:sz="6" w:space="0" w:color="000000"/>
            </w:tcBorders>
          </w:tcPr>
          <w:p w14:paraId="64A4464D"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Preheat the rhizome and extract the juice mixed with coconut oil</w:t>
            </w:r>
          </w:p>
          <w:p w14:paraId="0D29E034" w14:textId="77777777" w:rsidR="00DA2B3A" w:rsidRDefault="00DA2B3A">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22" w:type="dxa"/>
            <w:tcBorders>
              <w:top w:val="single" w:sz="6" w:space="0" w:color="000000"/>
              <w:left w:val="single" w:sz="6" w:space="0" w:color="000000"/>
              <w:bottom w:val="single" w:sz="6" w:space="0" w:color="000000"/>
              <w:right w:val="single" w:sz="6" w:space="0" w:color="000000"/>
            </w:tcBorders>
          </w:tcPr>
          <w:p w14:paraId="1A8AD168"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Apply directly on the affected area</w:t>
            </w:r>
          </w:p>
        </w:tc>
        <w:tc>
          <w:tcPr>
            <w:tcW w:w="1357" w:type="dxa"/>
            <w:tcBorders>
              <w:top w:val="single" w:sz="6" w:space="0" w:color="000000"/>
              <w:left w:val="single" w:sz="6" w:space="0" w:color="000000"/>
              <w:bottom w:val="single" w:sz="6" w:space="0" w:color="000000"/>
              <w:right w:val="single" w:sz="6" w:space="0" w:color="000000"/>
            </w:tcBorders>
          </w:tcPr>
          <w:p w14:paraId="5A904431"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Heals bruise and boils</w:t>
            </w:r>
          </w:p>
        </w:tc>
      </w:tr>
      <w:tr w:rsidR="00DA2B3A" w14:paraId="1E970F46" w14:textId="77777777" w:rsidTr="00DA2B3A">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6" w:space="0" w:color="000000"/>
              <w:left w:val="single" w:sz="6" w:space="0" w:color="000000"/>
              <w:bottom w:val="single" w:sz="6" w:space="0" w:color="000000"/>
              <w:right w:val="single" w:sz="6" w:space="0" w:color="000000"/>
            </w:tcBorders>
          </w:tcPr>
          <w:p w14:paraId="4D84D05B" w14:textId="77777777" w:rsidR="00DA2B3A" w:rsidRDefault="001C1F83">
            <w:pPr>
              <w:jc w:val="center"/>
              <w:rPr>
                <w:sz w:val="18"/>
                <w:szCs w:val="18"/>
              </w:rPr>
            </w:pPr>
            <w:r>
              <w:rPr>
                <w:b w:val="0"/>
                <w:bCs w:val="0"/>
                <w:sz w:val="18"/>
                <w:szCs w:val="18"/>
              </w:rPr>
              <w:t>15</w:t>
            </w:r>
          </w:p>
        </w:tc>
        <w:tc>
          <w:tcPr>
            <w:tcW w:w="1554" w:type="dxa"/>
            <w:tcBorders>
              <w:top w:val="single" w:sz="6" w:space="0" w:color="000000"/>
              <w:left w:val="single" w:sz="6" w:space="0" w:color="000000"/>
              <w:bottom w:val="single" w:sz="6" w:space="0" w:color="000000"/>
              <w:right w:val="single" w:sz="6" w:space="0" w:color="000000"/>
            </w:tcBorders>
          </w:tcPr>
          <w:p w14:paraId="7B3A20AD"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Cassia alata L.</w:t>
            </w:r>
          </w:p>
        </w:tc>
        <w:tc>
          <w:tcPr>
            <w:tcW w:w="1713" w:type="dxa"/>
            <w:tcBorders>
              <w:top w:val="single" w:sz="6" w:space="0" w:color="000000"/>
              <w:left w:val="single" w:sz="6" w:space="0" w:color="000000"/>
              <w:bottom w:val="single" w:sz="6" w:space="0" w:color="000000"/>
              <w:right w:val="single" w:sz="6" w:space="0" w:color="000000"/>
            </w:tcBorders>
          </w:tcPr>
          <w:p w14:paraId="00048317"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Fabaceae</w:t>
            </w:r>
          </w:p>
        </w:tc>
        <w:tc>
          <w:tcPr>
            <w:tcW w:w="1345" w:type="dxa"/>
            <w:tcBorders>
              <w:top w:val="single" w:sz="6" w:space="0" w:color="000000"/>
              <w:left w:val="single" w:sz="6" w:space="0" w:color="000000"/>
              <w:bottom w:val="single" w:sz="6" w:space="0" w:color="000000"/>
              <w:right w:val="single" w:sz="6" w:space="0" w:color="000000"/>
            </w:tcBorders>
          </w:tcPr>
          <w:p w14:paraId="4825AEBF"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Sunting</w:t>
            </w:r>
          </w:p>
        </w:tc>
        <w:tc>
          <w:tcPr>
            <w:tcW w:w="1014" w:type="dxa"/>
            <w:tcBorders>
              <w:top w:val="single" w:sz="6" w:space="0" w:color="000000"/>
              <w:left w:val="single" w:sz="6" w:space="0" w:color="000000"/>
              <w:bottom w:val="single" w:sz="6" w:space="0" w:color="000000"/>
              <w:right w:val="single" w:sz="6" w:space="0" w:color="000000"/>
            </w:tcBorders>
          </w:tcPr>
          <w:p w14:paraId="68ADA15D"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Leaves</w:t>
            </w:r>
          </w:p>
        </w:tc>
        <w:tc>
          <w:tcPr>
            <w:tcW w:w="1357" w:type="dxa"/>
            <w:tcBorders>
              <w:top w:val="single" w:sz="6" w:space="0" w:color="000000"/>
              <w:left w:val="single" w:sz="6" w:space="0" w:color="000000"/>
              <w:bottom w:val="single" w:sz="6" w:space="0" w:color="000000"/>
              <w:right w:val="single" w:sz="6" w:space="0" w:color="000000"/>
            </w:tcBorders>
          </w:tcPr>
          <w:p w14:paraId="68145B87"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Boil with water</w:t>
            </w:r>
          </w:p>
        </w:tc>
        <w:tc>
          <w:tcPr>
            <w:tcW w:w="1322" w:type="dxa"/>
            <w:tcBorders>
              <w:top w:val="single" w:sz="6" w:space="0" w:color="000000"/>
              <w:left w:val="single" w:sz="6" w:space="0" w:color="000000"/>
              <w:bottom w:val="single" w:sz="6" w:space="0" w:color="000000"/>
              <w:right w:val="single" w:sz="6" w:space="0" w:color="000000"/>
            </w:tcBorders>
          </w:tcPr>
          <w:p w14:paraId="700835B6"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As washing or antiseptic</w:t>
            </w:r>
          </w:p>
          <w:p w14:paraId="060187FF" w14:textId="77777777" w:rsidR="00DA2B3A" w:rsidRDefault="00DA2B3A">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57" w:type="dxa"/>
            <w:tcBorders>
              <w:top w:val="single" w:sz="6" w:space="0" w:color="000000"/>
              <w:left w:val="single" w:sz="6" w:space="0" w:color="000000"/>
              <w:bottom w:val="single" w:sz="6" w:space="0" w:color="000000"/>
              <w:right w:val="single" w:sz="6" w:space="0" w:color="000000"/>
            </w:tcBorders>
          </w:tcPr>
          <w:p w14:paraId="03CB054D"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For </w:t>
            </w:r>
            <w:r>
              <w:rPr>
                <w:sz w:val="18"/>
                <w:szCs w:val="18"/>
              </w:rPr>
              <w:t>athletes’ foot</w:t>
            </w:r>
          </w:p>
        </w:tc>
      </w:tr>
      <w:tr w:rsidR="00DA2B3A" w14:paraId="4A6D0B71" w14:textId="77777777" w:rsidTr="00DA2B3A">
        <w:trPr>
          <w:trHeight w:val="387"/>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6" w:space="0" w:color="000000"/>
              <w:left w:val="single" w:sz="6" w:space="0" w:color="000000"/>
              <w:bottom w:val="single" w:sz="6" w:space="0" w:color="000000"/>
              <w:right w:val="single" w:sz="6" w:space="0" w:color="000000"/>
            </w:tcBorders>
          </w:tcPr>
          <w:p w14:paraId="2431C207" w14:textId="77777777" w:rsidR="00DA2B3A" w:rsidRDefault="001C1F83">
            <w:pPr>
              <w:jc w:val="center"/>
              <w:rPr>
                <w:sz w:val="18"/>
                <w:szCs w:val="18"/>
              </w:rPr>
            </w:pPr>
            <w:r>
              <w:rPr>
                <w:b w:val="0"/>
                <w:bCs w:val="0"/>
                <w:sz w:val="18"/>
                <w:szCs w:val="18"/>
              </w:rPr>
              <w:t>16</w:t>
            </w:r>
          </w:p>
        </w:tc>
        <w:tc>
          <w:tcPr>
            <w:tcW w:w="1554" w:type="dxa"/>
            <w:tcBorders>
              <w:top w:val="single" w:sz="6" w:space="0" w:color="000000"/>
              <w:left w:val="single" w:sz="6" w:space="0" w:color="000000"/>
              <w:bottom w:val="single" w:sz="6" w:space="0" w:color="000000"/>
              <w:right w:val="single" w:sz="6" w:space="0" w:color="000000"/>
            </w:tcBorders>
          </w:tcPr>
          <w:p w14:paraId="23ED58F7"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i/>
                <w:iCs/>
                <w:sz w:val="18"/>
                <w:szCs w:val="18"/>
              </w:rPr>
            </w:pPr>
            <w:r>
              <w:rPr>
                <w:i/>
                <w:iCs/>
                <w:sz w:val="18"/>
                <w:szCs w:val="18"/>
              </w:rPr>
              <w:t>Mentha arvensis</w:t>
            </w:r>
          </w:p>
        </w:tc>
        <w:tc>
          <w:tcPr>
            <w:tcW w:w="1713" w:type="dxa"/>
            <w:tcBorders>
              <w:top w:val="single" w:sz="6" w:space="0" w:color="000000"/>
              <w:left w:val="single" w:sz="6" w:space="0" w:color="000000"/>
              <w:bottom w:val="single" w:sz="6" w:space="0" w:color="000000"/>
              <w:right w:val="single" w:sz="6" w:space="0" w:color="000000"/>
            </w:tcBorders>
          </w:tcPr>
          <w:p w14:paraId="637ACE13"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Labiateae</w:t>
            </w:r>
          </w:p>
        </w:tc>
        <w:tc>
          <w:tcPr>
            <w:tcW w:w="1345" w:type="dxa"/>
            <w:tcBorders>
              <w:top w:val="single" w:sz="6" w:space="0" w:color="000000"/>
              <w:left w:val="single" w:sz="6" w:space="0" w:color="000000"/>
              <w:bottom w:val="single" w:sz="6" w:space="0" w:color="000000"/>
              <w:right w:val="single" w:sz="6" w:space="0" w:color="000000"/>
            </w:tcBorders>
          </w:tcPr>
          <w:p w14:paraId="7940A0A4"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Helba Buena</w:t>
            </w:r>
          </w:p>
        </w:tc>
        <w:tc>
          <w:tcPr>
            <w:tcW w:w="1014" w:type="dxa"/>
            <w:tcBorders>
              <w:top w:val="single" w:sz="6" w:space="0" w:color="000000"/>
              <w:left w:val="single" w:sz="6" w:space="0" w:color="000000"/>
              <w:bottom w:val="single" w:sz="6" w:space="0" w:color="000000"/>
              <w:right w:val="single" w:sz="6" w:space="0" w:color="000000"/>
            </w:tcBorders>
          </w:tcPr>
          <w:p w14:paraId="3F5FA971"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Leaves</w:t>
            </w:r>
          </w:p>
        </w:tc>
        <w:tc>
          <w:tcPr>
            <w:tcW w:w="1357" w:type="dxa"/>
            <w:tcBorders>
              <w:top w:val="single" w:sz="6" w:space="0" w:color="000000"/>
              <w:left w:val="single" w:sz="6" w:space="0" w:color="000000"/>
              <w:bottom w:val="single" w:sz="6" w:space="0" w:color="000000"/>
              <w:right w:val="single" w:sz="6" w:space="0" w:color="000000"/>
            </w:tcBorders>
          </w:tcPr>
          <w:p w14:paraId="53F42340"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Boil with water</w:t>
            </w:r>
          </w:p>
        </w:tc>
        <w:tc>
          <w:tcPr>
            <w:tcW w:w="1322" w:type="dxa"/>
            <w:tcBorders>
              <w:top w:val="single" w:sz="6" w:space="0" w:color="000000"/>
              <w:left w:val="single" w:sz="6" w:space="0" w:color="000000"/>
              <w:bottom w:val="single" w:sz="6" w:space="0" w:color="000000"/>
              <w:right w:val="single" w:sz="6" w:space="0" w:color="000000"/>
            </w:tcBorders>
          </w:tcPr>
          <w:p w14:paraId="57F927DD"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Drink 3 times a day</w:t>
            </w:r>
          </w:p>
        </w:tc>
        <w:tc>
          <w:tcPr>
            <w:tcW w:w="1357" w:type="dxa"/>
            <w:tcBorders>
              <w:top w:val="single" w:sz="6" w:space="0" w:color="000000"/>
              <w:left w:val="single" w:sz="6" w:space="0" w:color="000000"/>
              <w:bottom w:val="single" w:sz="6" w:space="0" w:color="000000"/>
              <w:right w:val="single" w:sz="6" w:space="0" w:color="000000"/>
            </w:tcBorders>
          </w:tcPr>
          <w:p w14:paraId="0C7B2C6B"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For stomach discomfort</w:t>
            </w:r>
          </w:p>
          <w:p w14:paraId="6C63C442" w14:textId="77777777" w:rsidR="00DA2B3A" w:rsidRDefault="00DA2B3A">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DA2B3A" w14:paraId="4A689122" w14:textId="77777777" w:rsidTr="00DA2B3A">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6" w:space="0" w:color="000000"/>
              <w:left w:val="single" w:sz="6" w:space="0" w:color="000000"/>
              <w:bottom w:val="single" w:sz="6" w:space="0" w:color="000000"/>
              <w:right w:val="single" w:sz="6" w:space="0" w:color="000000"/>
            </w:tcBorders>
          </w:tcPr>
          <w:p w14:paraId="545CC471" w14:textId="77777777" w:rsidR="00DA2B3A" w:rsidRDefault="001C1F83">
            <w:pPr>
              <w:jc w:val="center"/>
              <w:rPr>
                <w:sz w:val="18"/>
                <w:szCs w:val="18"/>
              </w:rPr>
            </w:pPr>
            <w:r>
              <w:rPr>
                <w:b w:val="0"/>
                <w:bCs w:val="0"/>
                <w:sz w:val="18"/>
                <w:szCs w:val="18"/>
              </w:rPr>
              <w:t>17</w:t>
            </w:r>
          </w:p>
        </w:tc>
        <w:tc>
          <w:tcPr>
            <w:tcW w:w="1554" w:type="dxa"/>
            <w:tcBorders>
              <w:top w:val="single" w:sz="6" w:space="0" w:color="000000"/>
              <w:left w:val="single" w:sz="6" w:space="0" w:color="000000"/>
              <w:bottom w:val="single" w:sz="6" w:space="0" w:color="000000"/>
              <w:right w:val="single" w:sz="6" w:space="0" w:color="000000"/>
            </w:tcBorders>
          </w:tcPr>
          <w:p w14:paraId="05E90D74"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Persea americana Gaertn.</w:t>
            </w:r>
          </w:p>
        </w:tc>
        <w:tc>
          <w:tcPr>
            <w:tcW w:w="1713" w:type="dxa"/>
            <w:tcBorders>
              <w:top w:val="single" w:sz="6" w:space="0" w:color="000000"/>
              <w:left w:val="single" w:sz="6" w:space="0" w:color="000000"/>
              <w:bottom w:val="single" w:sz="6" w:space="0" w:color="000000"/>
              <w:right w:val="single" w:sz="6" w:space="0" w:color="000000"/>
            </w:tcBorders>
          </w:tcPr>
          <w:p w14:paraId="58B5CBEB"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Lauraceae</w:t>
            </w:r>
          </w:p>
        </w:tc>
        <w:tc>
          <w:tcPr>
            <w:tcW w:w="1345" w:type="dxa"/>
            <w:tcBorders>
              <w:top w:val="single" w:sz="6" w:space="0" w:color="000000"/>
              <w:left w:val="single" w:sz="6" w:space="0" w:color="000000"/>
              <w:bottom w:val="single" w:sz="6" w:space="0" w:color="000000"/>
              <w:right w:val="single" w:sz="6" w:space="0" w:color="000000"/>
            </w:tcBorders>
          </w:tcPr>
          <w:p w14:paraId="515CD9BA"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Abucado</w:t>
            </w:r>
          </w:p>
        </w:tc>
        <w:tc>
          <w:tcPr>
            <w:tcW w:w="1014" w:type="dxa"/>
            <w:tcBorders>
              <w:top w:val="single" w:sz="6" w:space="0" w:color="000000"/>
              <w:left w:val="single" w:sz="6" w:space="0" w:color="000000"/>
              <w:bottom w:val="single" w:sz="6" w:space="0" w:color="000000"/>
              <w:right w:val="single" w:sz="6" w:space="0" w:color="000000"/>
            </w:tcBorders>
          </w:tcPr>
          <w:p w14:paraId="721988DD"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Leaves</w:t>
            </w:r>
          </w:p>
        </w:tc>
        <w:tc>
          <w:tcPr>
            <w:tcW w:w="1357" w:type="dxa"/>
            <w:tcBorders>
              <w:top w:val="single" w:sz="6" w:space="0" w:color="000000"/>
              <w:left w:val="single" w:sz="6" w:space="0" w:color="000000"/>
              <w:bottom w:val="single" w:sz="6" w:space="0" w:color="000000"/>
              <w:right w:val="single" w:sz="6" w:space="0" w:color="000000"/>
            </w:tcBorders>
          </w:tcPr>
          <w:p w14:paraId="58A46D63"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Boil with water</w:t>
            </w:r>
          </w:p>
        </w:tc>
        <w:tc>
          <w:tcPr>
            <w:tcW w:w="1322" w:type="dxa"/>
            <w:tcBorders>
              <w:top w:val="single" w:sz="6" w:space="0" w:color="000000"/>
              <w:left w:val="single" w:sz="6" w:space="0" w:color="000000"/>
              <w:bottom w:val="single" w:sz="6" w:space="0" w:color="000000"/>
              <w:right w:val="single" w:sz="6" w:space="0" w:color="000000"/>
            </w:tcBorders>
          </w:tcPr>
          <w:p w14:paraId="37054668"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Drink 3 times a day</w:t>
            </w:r>
          </w:p>
        </w:tc>
        <w:tc>
          <w:tcPr>
            <w:tcW w:w="1357" w:type="dxa"/>
            <w:tcBorders>
              <w:top w:val="single" w:sz="6" w:space="0" w:color="000000"/>
              <w:left w:val="single" w:sz="6" w:space="0" w:color="000000"/>
              <w:bottom w:val="single" w:sz="6" w:space="0" w:color="000000"/>
              <w:right w:val="single" w:sz="6" w:space="0" w:color="000000"/>
            </w:tcBorders>
          </w:tcPr>
          <w:p w14:paraId="606ADCA5"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For diarrhea, relief </w:t>
            </w:r>
            <w:r>
              <w:rPr>
                <w:sz w:val="18"/>
                <w:szCs w:val="18"/>
              </w:rPr>
              <w:t>stomach-ache</w:t>
            </w:r>
          </w:p>
          <w:p w14:paraId="7E9F901C" w14:textId="77777777" w:rsidR="00DA2B3A" w:rsidRDefault="00DA2B3A">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DA2B3A" w14:paraId="00C7739B" w14:textId="77777777" w:rsidTr="00DA2B3A">
        <w:trPr>
          <w:trHeight w:val="387"/>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6" w:space="0" w:color="000000"/>
              <w:left w:val="single" w:sz="6" w:space="0" w:color="000000"/>
              <w:bottom w:val="single" w:sz="6" w:space="0" w:color="000000"/>
              <w:right w:val="single" w:sz="6" w:space="0" w:color="000000"/>
            </w:tcBorders>
          </w:tcPr>
          <w:p w14:paraId="2894B512" w14:textId="77777777" w:rsidR="00DA2B3A" w:rsidRDefault="001C1F83">
            <w:pPr>
              <w:jc w:val="center"/>
              <w:rPr>
                <w:sz w:val="18"/>
                <w:szCs w:val="18"/>
              </w:rPr>
            </w:pPr>
            <w:r>
              <w:rPr>
                <w:b w:val="0"/>
                <w:bCs w:val="0"/>
                <w:sz w:val="18"/>
                <w:szCs w:val="18"/>
              </w:rPr>
              <w:t>18</w:t>
            </w:r>
          </w:p>
        </w:tc>
        <w:tc>
          <w:tcPr>
            <w:tcW w:w="1554" w:type="dxa"/>
            <w:tcBorders>
              <w:top w:val="single" w:sz="6" w:space="0" w:color="000000"/>
              <w:left w:val="single" w:sz="6" w:space="0" w:color="000000"/>
              <w:bottom w:val="single" w:sz="6" w:space="0" w:color="000000"/>
              <w:right w:val="single" w:sz="6" w:space="0" w:color="000000"/>
            </w:tcBorders>
          </w:tcPr>
          <w:p w14:paraId="6BF346B5"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i/>
                <w:iCs/>
                <w:sz w:val="18"/>
                <w:szCs w:val="18"/>
              </w:rPr>
            </w:pPr>
            <w:r>
              <w:rPr>
                <w:i/>
                <w:iCs/>
                <w:sz w:val="18"/>
                <w:szCs w:val="18"/>
              </w:rPr>
              <w:t>Plumeria obtuse L.</w:t>
            </w:r>
          </w:p>
        </w:tc>
        <w:tc>
          <w:tcPr>
            <w:tcW w:w="1713" w:type="dxa"/>
            <w:tcBorders>
              <w:top w:val="single" w:sz="6" w:space="0" w:color="000000"/>
              <w:left w:val="single" w:sz="6" w:space="0" w:color="000000"/>
              <w:bottom w:val="single" w:sz="6" w:space="0" w:color="000000"/>
              <w:right w:val="single" w:sz="6" w:space="0" w:color="000000"/>
            </w:tcBorders>
          </w:tcPr>
          <w:p w14:paraId="6EEC7F6B"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Apocynacea</w:t>
            </w:r>
          </w:p>
        </w:tc>
        <w:tc>
          <w:tcPr>
            <w:tcW w:w="1345" w:type="dxa"/>
            <w:tcBorders>
              <w:top w:val="single" w:sz="6" w:space="0" w:color="000000"/>
              <w:left w:val="single" w:sz="6" w:space="0" w:color="000000"/>
              <w:bottom w:val="single" w:sz="6" w:space="0" w:color="000000"/>
              <w:right w:val="single" w:sz="6" w:space="0" w:color="000000"/>
            </w:tcBorders>
          </w:tcPr>
          <w:p w14:paraId="01E11AD8"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Kalatsutsi</w:t>
            </w:r>
          </w:p>
        </w:tc>
        <w:tc>
          <w:tcPr>
            <w:tcW w:w="1014" w:type="dxa"/>
            <w:tcBorders>
              <w:top w:val="single" w:sz="6" w:space="0" w:color="000000"/>
              <w:left w:val="single" w:sz="6" w:space="0" w:color="000000"/>
              <w:bottom w:val="single" w:sz="6" w:space="0" w:color="000000"/>
              <w:right w:val="single" w:sz="6" w:space="0" w:color="000000"/>
            </w:tcBorders>
          </w:tcPr>
          <w:p w14:paraId="33CF8465"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Leaves</w:t>
            </w:r>
          </w:p>
        </w:tc>
        <w:tc>
          <w:tcPr>
            <w:tcW w:w="1357" w:type="dxa"/>
            <w:tcBorders>
              <w:top w:val="single" w:sz="6" w:space="0" w:color="000000"/>
              <w:left w:val="single" w:sz="6" w:space="0" w:color="000000"/>
              <w:bottom w:val="single" w:sz="6" w:space="0" w:color="000000"/>
              <w:right w:val="single" w:sz="6" w:space="0" w:color="000000"/>
            </w:tcBorders>
          </w:tcPr>
          <w:p w14:paraId="3B16EBD0"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Pound and extract the juice</w:t>
            </w:r>
          </w:p>
        </w:tc>
        <w:tc>
          <w:tcPr>
            <w:tcW w:w="1322" w:type="dxa"/>
            <w:tcBorders>
              <w:top w:val="single" w:sz="6" w:space="0" w:color="000000"/>
              <w:left w:val="single" w:sz="6" w:space="0" w:color="000000"/>
              <w:bottom w:val="single" w:sz="6" w:space="0" w:color="000000"/>
              <w:right w:val="single" w:sz="6" w:space="0" w:color="000000"/>
            </w:tcBorders>
          </w:tcPr>
          <w:p w14:paraId="7961623A"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Apply directly on the affected area</w:t>
            </w:r>
          </w:p>
          <w:p w14:paraId="280238D8" w14:textId="77777777" w:rsidR="00DA2B3A" w:rsidRDefault="00DA2B3A">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7" w:type="dxa"/>
            <w:tcBorders>
              <w:top w:val="single" w:sz="6" w:space="0" w:color="000000"/>
              <w:left w:val="single" w:sz="6" w:space="0" w:color="000000"/>
              <w:bottom w:val="single" w:sz="6" w:space="0" w:color="000000"/>
              <w:right w:val="single" w:sz="6" w:space="0" w:color="000000"/>
            </w:tcBorders>
          </w:tcPr>
          <w:p w14:paraId="784B6DFD"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Treatment for herpes simplex</w:t>
            </w:r>
          </w:p>
        </w:tc>
      </w:tr>
      <w:tr w:rsidR="00DA2B3A" w14:paraId="4AD1F371" w14:textId="77777777" w:rsidTr="00DA2B3A">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6" w:space="0" w:color="000000"/>
              <w:left w:val="single" w:sz="6" w:space="0" w:color="000000"/>
              <w:bottom w:val="single" w:sz="6" w:space="0" w:color="000000"/>
              <w:right w:val="single" w:sz="6" w:space="0" w:color="000000"/>
            </w:tcBorders>
          </w:tcPr>
          <w:p w14:paraId="7EAABBF9" w14:textId="77777777" w:rsidR="00DA2B3A" w:rsidRDefault="001C1F83">
            <w:pPr>
              <w:jc w:val="center"/>
              <w:rPr>
                <w:sz w:val="18"/>
                <w:szCs w:val="18"/>
              </w:rPr>
            </w:pPr>
            <w:r>
              <w:rPr>
                <w:b w:val="0"/>
                <w:bCs w:val="0"/>
                <w:sz w:val="18"/>
                <w:szCs w:val="18"/>
              </w:rPr>
              <w:t>19</w:t>
            </w:r>
          </w:p>
        </w:tc>
        <w:tc>
          <w:tcPr>
            <w:tcW w:w="1554" w:type="dxa"/>
            <w:tcBorders>
              <w:top w:val="single" w:sz="6" w:space="0" w:color="000000"/>
              <w:left w:val="single" w:sz="6" w:space="0" w:color="000000"/>
              <w:bottom w:val="single" w:sz="6" w:space="0" w:color="000000"/>
              <w:right w:val="single" w:sz="6" w:space="0" w:color="000000"/>
            </w:tcBorders>
          </w:tcPr>
          <w:p w14:paraId="76FA4846"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Tinospora reticulate</w:t>
            </w:r>
          </w:p>
        </w:tc>
        <w:tc>
          <w:tcPr>
            <w:tcW w:w="1713" w:type="dxa"/>
            <w:tcBorders>
              <w:top w:val="single" w:sz="6" w:space="0" w:color="000000"/>
              <w:left w:val="single" w:sz="6" w:space="0" w:color="000000"/>
              <w:bottom w:val="single" w:sz="6" w:space="0" w:color="000000"/>
              <w:right w:val="single" w:sz="6" w:space="0" w:color="000000"/>
            </w:tcBorders>
          </w:tcPr>
          <w:p w14:paraId="7AB3A4BB"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Menispermaceae</w:t>
            </w:r>
          </w:p>
        </w:tc>
        <w:tc>
          <w:tcPr>
            <w:tcW w:w="1345" w:type="dxa"/>
            <w:tcBorders>
              <w:top w:val="single" w:sz="6" w:space="0" w:color="000000"/>
              <w:left w:val="single" w:sz="6" w:space="0" w:color="000000"/>
              <w:bottom w:val="single" w:sz="6" w:space="0" w:color="000000"/>
              <w:right w:val="single" w:sz="6" w:space="0" w:color="000000"/>
            </w:tcBorders>
          </w:tcPr>
          <w:p w14:paraId="58C38B26"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Panyawan</w:t>
            </w:r>
          </w:p>
        </w:tc>
        <w:tc>
          <w:tcPr>
            <w:tcW w:w="1014" w:type="dxa"/>
            <w:tcBorders>
              <w:top w:val="single" w:sz="6" w:space="0" w:color="000000"/>
              <w:left w:val="single" w:sz="6" w:space="0" w:color="000000"/>
              <w:bottom w:val="single" w:sz="6" w:space="0" w:color="000000"/>
              <w:right w:val="single" w:sz="6" w:space="0" w:color="000000"/>
            </w:tcBorders>
          </w:tcPr>
          <w:p w14:paraId="60BE1C53"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Stem</w:t>
            </w:r>
          </w:p>
        </w:tc>
        <w:tc>
          <w:tcPr>
            <w:tcW w:w="1357" w:type="dxa"/>
            <w:tcBorders>
              <w:top w:val="single" w:sz="6" w:space="0" w:color="000000"/>
              <w:left w:val="single" w:sz="6" w:space="0" w:color="000000"/>
              <w:bottom w:val="single" w:sz="6" w:space="0" w:color="000000"/>
              <w:right w:val="single" w:sz="6" w:space="0" w:color="000000"/>
            </w:tcBorders>
          </w:tcPr>
          <w:p w14:paraId="78518F17"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Boil with water</w:t>
            </w:r>
          </w:p>
        </w:tc>
        <w:tc>
          <w:tcPr>
            <w:tcW w:w="1322" w:type="dxa"/>
            <w:tcBorders>
              <w:top w:val="single" w:sz="6" w:space="0" w:color="000000"/>
              <w:left w:val="single" w:sz="6" w:space="0" w:color="000000"/>
              <w:bottom w:val="single" w:sz="6" w:space="0" w:color="000000"/>
              <w:right w:val="single" w:sz="6" w:space="0" w:color="000000"/>
            </w:tcBorders>
          </w:tcPr>
          <w:p w14:paraId="6BEB579E"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Drink 3 times a day to </w:t>
            </w:r>
            <w:r>
              <w:rPr>
                <w:sz w:val="18"/>
                <w:szCs w:val="18"/>
              </w:rPr>
              <w:t>lower blood sugar</w:t>
            </w:r>
          </w:p>
          <w:p w14:paraId="3E8D48C0" w14:textId="77777777" w:rsidR="00DA2B3A" w:rsidRDefault="00DA2B3A">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57" w:type="dxa"/>
            <w:tcBorders>
              <w:top w:val="single" w:sz="6" w:space="0" w:color="000000"/>
              <w:left w:val="single" w:sz="6" w:space="0" w:color="000000"/>
              <w:bottom w:val="single" w:sz="6" w:space="0" w:color="000000"/>
              <w:right w:val="single" w:sz="6" w:space="0" w:color="000000"/>
            </w:tcBorders>
          </w:tcPr>
          <w:p w14:paraId="4D2CCD6F"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For diabetes</w:t>
            </w:r>
          </w:p>
        </w:tc>
      </w:tr>
      <w:tr w:rsidR="00DA2B3A" w14:paraId="7FEA11C4" w14:textId="77777777" w:rsidTr="00DA2B3A">
        <w:trPr>
          <w:trHeight w:val="387"/>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6" w:space="0" w:color="000000"/>
              <w:left w:val="single" w:sz="6" w:space="0" w:color="000000"/>
              <w:bottom w:val="single" w:sz="6" w:space="0" w:color="000000"/>
              <w:right w:val="single" w:sz="6" w:space="0" w:color="000000"/>
            </w:tcBorders>
          </w:tcPr>
          <w:p w14:paraId="737500E7" w14:textId="77777777" w:rsidR="00DA2B3A" w:rsidRDefault="001C1F83">
            <w:pPr>
              <w:jc w:val="center"/>
              <w:rPr>
                <w:sz w:val="18"/>
                <w:szCs w:val="18"/>
              </w:rPr>
            </w:pPr>
            <w:r>
              <w:rPr>
                <w:b w:val="0"/>
                <w:bCs w:val="0"/>
                <w:sz w:val="18"/>
                <w:szCs w:val="18"/>
              </w:rPr>
              <w:t>20</w:t>
            </w:r>
          </w:p>
        </w:tc>
        <w:tc>
          <w:tcPr>
            <w:tcW w:w="1554" w:type="dxa"/>
            <w:tcBorders>
              <w:top w:val="single" w:sz="6" w:space="0" w:color="000000"/>
              <w:left w:val="single" w:sz="6" w:space="0" w:color="000000"/>
              <w:bottom w:val="single" w:sz="6" w:space="0" w:color="000000"/>
              <w:right w:val="single" w:sz="6" w:space="0" w:color="000000"/>
            </w:tcBorders>
          </w:tcPr>
          <w:p w14:paraId="6AB0895D"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i/>
                <w:iCs/>
                <w:sz w:val="18"/>
                <w:szCs w:val="18"/>
              </w:rPr>
            </w:pPr>
            <w:r>
              <w:rPr>
                <w:i/>
                <w:iCs/>
                <w:sz w:val="18"/>
                <w:szCs w:val="18"/>
              </w:rPr>
              <w:t>Moringa oleifera L.</w:t>
            </w:r>
          </w:p>
        </w:tc>
        <w:tc>
          <w:tcPr>
            <w:tcW w:w="1713" w:type="dxa"/>
            <w:tcBorders>
              <w:top w:val="single" w:sz="6" w:space="0" w:color="000000"/>
              <w:left w:val="single" w:sz="6" w:space="0" w:color="000000"/>
              <w:bottom w:val="single" w:sz="6" w:space="0" w:color="000000"/>
              <w:right w:val="single" w:sz="6" w:space="0" w:color="000000"/>
            </w:tcBorders>
          </w:tcPr>
          <w:p w14:paraId="1192A0E9"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Moringaceae</w:t>
            </w:r>
          </w:p>
        </w:tc>
        <w:tc>
          <w:tcPr>
            <w:tcW w:w="1345" w:type="dxa"/>
            <w:tcBorders>
              <w:top w:val="single" w:sz="6" w:space="0" w:color="000000"/>
              <w:left w:val="single" w:sz="6" w:space="0" w:color="000000"/>
              <w:bottom w:val="single" w:sz="6" w:space="0" w:color="000000"/>
              <w:right w:val="single" w:sz="6" w:space="0" w:color="000000"/>
            </w:tcBorders>
          </w:tcPr>
          <w:p w14:paraId="4133C23E"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Kalamungay</w:t>
            </w:r>
          </w:p>
        </w:tc>
        <w:tc>
          <w:tcPr>
            <w:tcW w:w="1014" w:type="dxa"/>
            <w:tcBorders>
              <w:top w:val="single" w:sz="6" w:space="0" w:color="000000"/>
              <w:left w:val="single" w:sz="6" w:space="0" w:color="000000"/>
              <w:bottom w:val="single" w:sz="6" w:space="0" w:color="000000"/>
              <w:right w:val="single" w:sz="6" w:space="0" w:color="000000"/>
            </w:tcBorders>
          </w:tcPr>
          <w:p w14:paraId="79AF95D1"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Leaves</w:t>
            </w:r>
          </w:p>
        </w:tc>
        <w:tc>
          <w:tcPr>
            <w:tcW w:w="1357" w:type="dxa"/>
            <w:tcBorders>
              <w:top w:val="single" w:sz="6" w:space="0" w:color="000000"/>
              <w:left w:val="single" w:sz="6" w:space="0" w:color="000000"/>
              <w:bottom w:val="single" w:sz="6" w:space="0" w:color="000000"/>
              <w:right w:val="single" w:sz="6" w:space="0" w:color="000000"/>
            </w:tcBorders>
          </w:tcPr>
          <w:p w14:paraId="60137633"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Crushes the leaves</w:t>
            </w:r>
          </w:p>
        </w:tc>
        <w:tc>
          <w:tcPr>
            <w:tcW w:w="1322" w:type="dxa"/>
            <w:tcBorders>
              <w:top w:val="single" w:sz="6" w:space="0" w:color="000000"/>
              <w:left w:val="single" w:sz="6" w:space="0" w:color="000000"/>
              <w:bottom w:val="single" w:sz="6" w:space="0" w:color="000000"/>
              <w:right w:val="single" w:sz="6" w:space="0" w:color="000000"/>
            </w:tcBorders>
          </w:tcPr>
          <w:p w14:paraId="65AA655B"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Apply on the open wound</w:t>
            </w:r>
          </w:p>
          <w:p w14:paraId="54FF444D" w14:textId="77777777" w:rsidR="00DA2B3A" w:rsidRDefault="00DA2B3A">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57" w:type="dxa"/>
            <w:tcBorders>
              <w:top w:val="single" w:sz="6" w:space="0" w:color="000000"/>
              <w:left w:val="single" w:sz="6" w:space="0" w:color="000000"/>
              <w:bottom w:val="single" w:sz="6" w:space="0" w:color="000000"/>
              <w:right w:val="single" w:sz="6" w:space="0" w:color="000000"/>
            </w:tcBorders>
          </w:tcPr>
          <w:p w14:paraId="5FEC1B8E"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Abate bleeding</w:t>
            </w:r>
          </w:p>
        </w:tc>
      </w:tr>
      <w:tr w:rsidR="00DA2B3A" w14:paraId="27B4AFBA" w14:textId="77777777" w:rsidTr="00DA2B3A">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6" w:space="0" w:color="000000"/>
              <w:left w:val="single" w:sz="6" w:space="0" w:color="000000"/>
              <w:bottom w:val="single" w:sz="6" w:space="0" w:color="000000"/>
              <w:right w:val="single" w:sz="6" w:space="0" w:color="000000"/>
            </w:tcBorders>
          </w:tcPr>
          <w:p w14:paraId="51B87DB8" w14:textId="77777777" w:rsidR="00DA2B3A" w:rsidRDefault="001C1F83">
            <w:pPr>
              <w:jc w:val="center"/>
              <w:rPr>
                <w:sz w:val="18"/>
                <w:szCs w:val="18"/>
              </w:rPr>
            </w:pPr>
            <w:r>
              <w:rPr>
                <w:b w:val="0"/>
                <w:bCs w:val="0"/>
                <w:sz w:val="18"/>
                <w:szCs w:val="18"/>
              </w:rPr>
              <w:t>21</w:t>
            </w:r>
          </w:p>
        </w:tc>
        <w:tc>
          <w:tcPr>
            <w:tcW w:w="1554" w:type="dxa"/>
            <w:tcBorders>
              <w:top w:val="single" w:sz="6" w:space="0" w:color="000000"/>
              <w:left w:val="single" w:sz="6" w:space="0" w:color="000000"/>
              <w:bottom w:val="single" w:sz="6" w:space="0" w:color="000000"/>
              <w:right w:val="single" w:sz="6" w:space="0" w:color="000000"/>
            </w:tcBorders>
          </w:tcPr>
          <w:p w14:paraId="2DBBDCE1"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Manihot esculenta Crantz</w:t>
            </w:r>
          </w:p>
        </w:tc>
        <w:tc>
          <w:tcPr>
            <w:tcW w:w="1713" w:type="dxa"/>
            <w:tcBorders>
              <w:top w:val="single" w:sz="6" w:space="0" w:color="000000"/>
              <w:left w:val="single" w:sz="6" w:space="0" w:color="000000"/>
              <w:bottom w:val="single" w:sz="6" w:space="0" w:color="000000"/>
              <w:right w:val="single" w:sz="6" w:space="0" w:color="000000"/>
            </w:tcBorders>
          </w:tcPr>
          <w:p w14:paraId="1B155FD5"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Euphorbiaceae</w:t>
            </w:r>
          </w:p>
        </w:tc>
        <w:tc>
          <w:tcPr>
            <w:tcW w:w="1345" w:type="dxa"/>
            <w:tcBorders>
              <w:top w:val="single" w:sz="6" w:space="0" w:color="000000"/>
              <w:left w:val="single" w:sz="6" w:space="0" w:color="000000"/>
              <w:bottom w:val="single" w:sz="6" w:space="0" w:color="000000"/>
              <w:right w:val="single" w:sz="6" w:space="0" w:color="000000"/>
            </w:tcBorders>
          </w:tcPr>
          <w:p w14:paraId="1E0A3BC8"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Bulanghoy</w:t>
            </w:r>
          </w:p>
        </w:tc>
        <w:tc>
          <w:tcPr>
            <w:tcW w:w="1014" w:type="dxa"/>
            <w:tcBorders>
              <w:top w:val="single" w:sz="6" w:space="0" w:color="000000"/>
              <w:left w:val="single" w:sz="6" w:space="0" w:color="000000"/>
              <w:bottom w:val="single" w:sz="6" w:space="0" w:color="000000"/>
              <w:right w:val="single" w:sz="6" w:space="0" w:color="000000"/>
            </w:tcBorders>
          </w:tcPr>
          <w:p w14:paraId="09A4337D"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Leaves</w:t>
            </w:r>
          </w:p>
        </w:tc>
        <w:tc>
          <w:tcPr>
            <w:tcW w:w="1357" w:type="dxa"/>
            <w:tcBorders>
              <w:top w:val="single" w:sz="6" w:space="0" w:color="000000"/>
              <w:left w:val="single" w:sz="6" w:space="0" w:color="000000"/>
              <w:bottom w:val="single" w:sz="6" w:space="0" w:color="000000"/>
              <w:right w:val="single" w:sz="6" w:space="0" w:color="000000"/>
            </w:tcBorders>
          </w:tcPr>
          <w:p w14:paraId="7B57EEFD"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Boil with water</w:t>
            </w:r>
          </w:p>
        </w:tc>
        <w:tc>
          <w:tcPr>
            <w:tcW w:w="1322" w:type="dxa"/>
            <w:tcBorders>
              <w:top w:val="single" w:sz="6" w:space="0" w:color="000000"/>
              <w:left w:val="single" w:sz="6" w:space="0" w:color="000000"/>
              <w:bottom w:val="single" w:sz="6" w:space="0" w:color="000000"/>
              <w:right w:val="single" w:sz="6" w:space="0" w:color="000000"/>
            </w:tcBorders>
          </w:tcPr>
          <w:p w14:paraId="77786308"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Use in bathing</w:t>
            </w:r>
          </w:p>
        </w:tc>
        <w:tc>
          <w:tcPr>
            <w:tcW w:w="1357" w:type="dxa"/>
            <w:tcBorders>
              <w:top w:val="single" w:sz="6" w:space="0" w:color="000000"/>
              <w:left w:val="single" w:sz="6" w:space="0" w:color="000000"/>
              <w:bottom w:val="single" w:sz="6" w:space="0" w:color="000000"/>
              <w:right w:val="single" w:sz="6" w:space="0" w:color="000000"/>
            </w:tcBorders>
          </w:tcPr>
          <w:p w14:paraId="607C2550" w14:textId="77777777" w:rsidR="00DA2B3A" w:rsidRDefault="001C1F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After healing of </w:t>
            </w:r>
            <w:r>
              <w:rPr>
                <w:sz w:val="18"/>
                <w:szCs w:val="18"/>
              </w:rPr>
              <w:t>measles</w:t>
            </w:r>
          </w:p>
          <w:p w14:paraId="15B04E33" w14:textId="77777777" w:rsidR="00DA2B3A" w:rsidRDefault="00DA2B3A">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DA2B3A" w14:paraId="45324219" w14:textId="77777777" w:rsidTr="00DA2B3A">
        <w:trPr>
          <w:trHeight w:val="387"/>
          <w:jc w:val="center"/>
        </w:trPr>
        <w:tc>
          <w:tcPr>
            <w:cnfStyle w:val="001000000000" w:firstRow="0" w:lastRow="0" w:firstColumn="1" w:lastColumn="0" w:oddVBand="0" w:evenVBand="0" w:oddHBand="0" w:evenHBand="0" w:firstRowFirstColumn="0" w:firstRowLastColumn="0" w:lastRowFirstColumn="0" w:lastRowLastColumn="0"/>
            <w:tcW w:w="543" w:type="dxa"/>
            <w:tcBorders>
              <w:top w:val="single" w:sz="6" w:space="0" w:color="000000"/>
              <w:left w:val="single" w:sz="6" w:space="0" w:color="000000"/>
              <w:bottom w:val="single" w:sz="6" w:space="0" w:color="000000"/>
              <w:right w:val="single" w:sz="6" w:space="0" w:color="000000"/>
            </w:tcBorders>
          </w:tcPr>
          <w:p w14:paraId="59C64B0F" w14:textId="77777777" w:rsidR="00DA2B3A" w:rsidRDefault="001C1F83">
            <w:pPr>
              <w:jc w:val="center"/>
              <w:rPr>
                <w:sz w:val="18"/>
                <w:szCs w:val="18"/>
              </w:rPr>
            </w:pPr>
            <w:r>
              <w:rPr>
                <w:b w:val="0"/>
                <w:bCs w:val="0"/>
                <w:sz w:val="18"/>
                <w:szCs w:val="18"/>
              </w:rPr>
              <w:t>22</w:t>
            </w:r>
          </w:p>
        </w:tc>
        <w:tc>
          <w:tcPr>
            <w:tcW w:w="1554" w:type="dxa"/>
            <w:tcBorders>
              <w:top w:val="single" w:sz="6" w:space="0" w:color="000000"/>
              <w:left w:val="single" w:sz="6" w:space="0" w:color="000000"/>
              <w:bottom w:val="single" w:sz="6" w:space="0" w:color="000000"/>
              <w:right w:val="single" w:sz="6" w:space="0" w:color="000000"/>
            </w:tcBorders>
          </w:tcPr>
          <w:p w14:paraId="273A6C25"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i/>
                <w:iCs/>
                <w:sz w:val="18"/>
                <w:szCs w:val="18"/>
              </w:rPr>
            </w:pPr>
            <w:r>
              <w:rPr>
                <w:i/>
                <w:iCs/>
                <w:sz w:val="18"/>
                <w:szCs w:val="18"/>
              </w:rPr>
              <w:t>Cymbopogon citratus</w:t>
            </w:r>
          </w:p>
        </w:tc>
        <w:tc>
          <w:tcPr>
            <w:tcW w:w="1713" w:type="dxa"/>
            <w:tcBorders>
              <w:top w:val="single" w:sz="6" w:space="0" w:color="000000"/>
              <w:left w:val="single" w:sz="6" w:space="0" w:color="000000"/>
              <w:bottom w:val="single" w:sz="6" w:space="0" w:color="000000"/>
              <w:right w:val="single" w:sz="6" w:space="0" w:color="000000"/>
            </w:tcBorders>
          </w:tcPr>
          <w:p w14:paraId="07539E49"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Gramineae</w:t>
            </w:r>
          </w:p>
        </w:tc>
        <w:tc>
          <w:tcPr>
            <w:tcW w:w="1345" w:type="dxa"/>
            <w:tcBorders>
              <w:top w:val="single" w:sz="6" w:space="0" w:color="000000"/>
              <w:left w:val="single" w:sz="6" w:space="0" w:color="000000"/>
              <w:bottom w:val="single" w:sz="6" w:space="0" w:color="000000"/>
              <w:right w:val="single" w:sz="6" w:space="0" w:color="000000"/>
            </w:tcBorders>
          </w:tcPr>
          <w:p w14:paraId="2DEC1E01"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Tanglad</w:t>
            </w:r>
          </w:p>
        </w:tc>
        <w:tc>
          <w:tcPr>
            <w:tcW w:w="1014" w:type="dxa"/>
            <w:tcBorders>
              <w:top w:val="single" w:sz="6" w:space="0" w:color="000000"/>
              <w:left w:val="single" w:sz="6" w:space="0" w:color="000000"/>
              <w:bottom w:val="single" w:sz="6" w:space="0" w:color="000000"/>
              <w:right w:val="single" w:sz="6" w:space="0" w:color="000000"/>
            </w:tcBorders>
          </w:tcPr>
          <w:p w14:paraId="5647CAC7"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Leaves</w:t>
            </w:r>
          </w:p>
        </w:tc>
        <w:tc>
          <w:tcPr>
            <w:tcW w:w="1357" w:type="dxa"/>
            <w:tcBorders>
              <w:top w:val="single" w:sz="6" w:space="0" w:color="000000"/>
              <w:left w:val="single" w:sz="6" w:space="0" w:color="000000"/>
              <w:bottom w:val="single" w:sz="6" w:space="0" w:color="000000"/>
              <w:right w:val="single" w:sz="6" w:space="0" w:color="000000"/>
            </w:tcBorders>
          </w:tcPr>
          <w:p w14:paraId="1B3B19E6"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Boil with water</w:t>
            </w:r>
          </w:p>
        </w:tc>
        <w:tc>
          <w:tcPr>
            <w:tcW w:w="1322" w:type="dxa"/>
            <w:tcBorders>
              <w:top w:val="single" w:sz="6" w:space="0" w:color="000000"/>
              <w:left w:val="single" w:sz="6" w:space="0" w:color="000000"/>
              <w:bottom w:val="single" w:sz="6" w:space="0" w:color="000000"/>
              <w:right w:val="single" w:sz="6" w:space="0" w:color="000000"/>
            </w:tcBorders>
          </w:tcPr>
          <w:p w14:paraId="455D4BB8"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Drink 3 times a day</w:t>
            </w:r>
          </w:p>
        </w:tc>
        <w:tc>
          <w:tcPr>
            <w:tcW w:w="1357" w:type="dxa"/>
            <w:tcBorders>
              <w:top w:val="single" w:sz="6" w:space="0" w:color="000000"/>
              <w:left w:val="single" w:sz="6" w:space="0" w:color="000000"/>
              <w:bottom w:val="single" w:sz="6" w:space="0" w:color="000000"/>
              <w:right w:val="single" w:sz="6" w:space="0" w:color="000000"/>
            </w:tcBorders>
          </w:tcPr>
          <w:p w14:paraId="272EB068" w14:textId="77777777" w:rsidR="00DA2B3A" w:rsidRDefault="001C1F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Lower hypertension</w:t>
            </w:r>
          </w:p>
        </w:tc>
      </w:tr>
    </w:tbl>
    <w:p w14:paraId="341E9B64" w14:textId="77777777" w:rsidR="00DA2B3A" w:rsidRDefault="00DA2B3A">
      <w:pPr>
        <w:rPr>
          <w:rFonts w:ascii="Times New Roman" w:eastAsia="Times New Roman" w:hAnsi="Times New Roman" w:cs="Times New Roman"/>
          <w:sz w:val="24"/>
          <w:szCs w:val="24"/>
        </w:rPr>
      </w:pPr>
    </w:p>
    <w:p w14:paraId="153C0ACC" w14:textId="77777777" w:rsidR="00DA2B3A" w:rsidRDefault="001C1F83">
      <w:pPr>
        <w:ind w:firstLine="720"/>
        <w:rPr>
          <w:rFonts w:ascii="Times New Roman" w:eastAsia="Times New Roman" w:hAnsi="Times New Roman" w:cs="Times New Roman"/>
          <w:b/>
          <w:bCs/>
        </w:rPr>
      </w:pPr>
      <w:r>
        <w:rPr>
          <w:rFonts w:ascii="Times New Roman" w:eastAsia="Times New Roman" w:hAnsi="Times New Roman" w:cs="Times New Roman"/>
          <w:sz w:val="24"/>
          <w:szCs w:val="24"/>
        </w:rPr>
        <w:t xml:space="preserve">The documented plants addressed various ailments ranging from common conditions such as cough, diarrhea, fever, and wounds, to chronic </w:t>
      </w:r>
      <w:r>
        <w:rPr>
          <w:rFonts w:ascii="Times New Roman" w:eastAsia="Times New Roman" w:hAnsi="Times New Roman" w:cs="Times New Roman"/>
          <w:sz w:val="24"/>
          <w:szCs w:val="24"/>
        </w:rPr>
        <w:t>illnesses like hypertension and diabetes. For instance, Euphorbia hirta (Tawa‑tawa) was widely reported for dengue‑related symptoms, while Cymbopogon citratus (Tanglad) was used for hypertension management. These findings align with existing national ethno</w:t>
      </w:r>
      <w:r>
        <w:rPr>
          <w:rFonts w:ascii="Times New Roman" w:eastAsia="Times New Roman" w:hAnsi="Times New Roman" w:cs="Times New Roman"/>
          <w:sz w:val="24"/>
          <w:szCs w:val="24"/>
        </w:rPr>
        <w:t>botanical literature, which indicates that many Philippine herbal remedies serve as practical, low‑cost alternatives to pharmaceutical treatments (Villanueva et al., 2023</w:t>
      </w:r>
      <w:r>
        <w:rPr>
          <w:rFonts w:ascii="Times New Roman" w:eastAsia="Times New Roman" w:hAnsi="Times New Roman" w:cs="Times New Roman"/>
          <w:b/>
          <w:bCs/>
        </w:rPr>
        <w:t>)</w:t>
      </w:r>
    </w:p>
    <w:p w14:paraId="3B76E1D1" w14:textId="77777777" w:rsidR="00DA2B3A" w:rsidRDefault="00DA2B3A">
      <w:pPr>
        <w:rPr>
          <w:rFonts w:ascii="Times New Roman" w:eastAsia="Times New Roman" w:hAnsi="Times New Roman" w:cs="Times New Roman"/>
          <w:b/>
          <w:bCs/>
        </w:rPr>
      </w:pPr>
    </w:p>
    <w:p w14:paraId="5AC1E11F" w14:textId="77777777" w:rsidR="00DA2B3A" w:rsidRDefault="00DA2B3A">
      <w:pPr>
        <w:rPr>
          <w:rFonts w:ascii="Times New Roman" w:eastAsia="Times New Roman" w:hAnsi="Times New Roman" w:cs="Times New Roman"/>
          <w:b/>
          <w:bCs/>
        </w:rPr>
      </w:pPr>
    </w:p>
    <w:p w14:paraId="5AE64611" w14:textId="77777777" w:rsidR="00DA2B3A" w:rsidRDefault="00DA2B3A">
      <w:pPr>
        <w:rPr>
          <w:rFonts w:ascii="Times New Roman" w:eastAsia="Times New Roman" w:hAnsi="Times New Roman" w:cs="Times New Roman"/>
          <w:b/>
          <w:bCs/>
        </w:rPr>
      </w:pPr>
    </w:p>
    <w:p w14:paraId="4F1AD1EB" w14:textId="77777777" w:rsidR="00DA2B3A" w:rsidRDefault="001C1F83">
      <w:pPr>
        <w:rPr>
          <w:rFonts w:ascii="Times New Roman" w:eastAsia="Times New Roman" w:hAnsi="Times New Roman" w:cs="Times New Roman"/>
          <w:b/>
          <w:bCs/>
        </w:rPr>
      </w:pPr>
      <w:r>
        <w:rPr>
          <w:rFonts w:ascii="Times New Roman" w:eastAsia="Times New Roman" w:hAnsi="Times New Roman" w:cs="Times New Roman"/>
          <w:b/>
          <w:bCs/>
        </w:rPr>
        <w:t>CONCLUSIONS AND RECOMMENDATIONS</w:t>
      </w:r>
    </w:p>
    <w:p w14:paraId="52F3F2BF" w14:textId="77777777" w:rsidR="00DA2B3A" w:rsidRDefault="001C1F8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findings prove that </w:t>
      </w:r>
      <w:r>
        <w:rPr>
          <w:rFonts w:ascii="Times New Roman" w:eastAsia="Times New Roman" w:hAnsi="Times New Roman" w:cs="Times New Roman"/>
          <w:sz w:val="24"/>
          <w:szCs w:val="24"/>
        </w:rPr>
        <w:t>ethnomedicinal plants remain integral to the health practices of Sitio Langilanon, serving both therapeutic and cultural roles within the community. The documented species reflect a broad pharmacopeia capable of addressing various illnesses using accessibl</w:t>
      </w:r>
      <w:r>
        <w:rPr>
          <w:rFonts w:ascii="Times New Roman" w:eastAsia="Times New Roman" w:hAnsi="Times New Roman" w:cs="Times New Roman"/>
          <w:sz w:val="24"/>
          <w:szCs w:val="24"/>
        </w:rPr>
        <w:t>e and affordable remedies. The alignment of these practices with scientific literature further supports their potential value in complementary healthcare. Many of the documented plants—such as Tawa‑tawa for dengue and Bayabas for wound disinfection—have be</w:t>
      </w:r>
      <w:r>
        <w:rPr>
          <w:rFonts w:ascii="Times New Roman" w:eastAsia="Times New Roman" w:hAnsi="Times New Roman" w:cs="Times New Roman"/>
          <w:sz w:val="24"/>
          <w:szCs w:val="24"/>
        </w:rPr>
        <w:t>en consistently cited in prior studies as culturally validated remedies with potential pharmacological value (De Padua et al., 1999; Musa et al., 2010). The alignment of local knowledge with scientific literature suggests that these practices, though tradi</w:t>
      </w:r>
      <w:r>
        <w:rPr>
          <w:rFonts w:ascii="Times New Roman" w:eastAsia="Times New Roman" w:hAnsi="Times New Roman" w:cs="Times New Roman"/>
          <w:sz w:val="24"/>
          <w:szCs w:val="24"/>
        </w:rPr>
        <w:t>tionally transmitted, possess empirical foundations. This parallels observations by Farnsworth et al. (1985), who argue that indigenous pharmacopoeias often reflect generations of trial‑and‑error experimentation that approximate scientific methods.</w:t>
      </w:r>
    </w:p>
    <w:p w14:paraId="73B46313" w14:textId="77777777" w:rsidR="00DA2B3A" w:rsidRDefault="001C1F83">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However</w:t>
      </w:r>
      <w:r>
        <w:rPr>
          <w:rFonts w:ascii="Times New Roman" w:eastAsia="Times New Roman" w:hAnsi="Times New Roman" w:cs="Times New Roman"/>
          <w:sz w:val="24"/>
          <w:szCs w:val="24"/>
        </w:rPr>
        <w:t>, environmental changes, modernization, and insufficient documentation threaten the continuity of this vital knowledge system. Without deliberate preservation efforts, both cultural heritage and ecological resources may be lost. The study highlights the ne</w:t>
      </w:r>
      <w:r>
        <w:rPr>
          <w:rFonts w:ascii="Times New Roman" w:eastAsia="Times New Roman" w:hAnsi="Times New Roman" w:cs="Times New Roman"/>
          <w:sz w:val="24"/>
          <w:szCs w:val="24"/>
        </w:rPr>
        <w:t>ed for collaborative, community-driven documentation and sustainable practices to safeguard medicinal plant resources. Despite this alignment, the study highlights concern regarding the sustainability and continuity of traditional knowledge, echoing warnin</w:t>
      </w:r>
      <w:r>
        <w:rPr>
          <w:rFonts w:ascii="Times New Roman" w:eastAsia="Times New Roman" w:hAnsi="Times New Roman" w:cs="Times New Roman"/>
          <w:sz w:val="24"/>
          <w:szCs w:val="24"/>
        </w:rPr>
        <w:t>gs from Coronel et al. (2018) and Meyer et al. (2019) Environmental threats such as habitat loss, coupled with generational shifts toward modern medicine, pose significant risks to ethnomedicinal knowledge retention. Furthermore, though many plants demonst</w:t>
      </w:r>
      <w:r>
        <w:rPr>
          <w:rFonts w:ascii="Times New Roman" w:eastAsia="Times New Roman" w:hAnsi="Times New Roman" w:cs="Times New Roman"/>
          <w:sz w:val="24"/>
          <w:szCs w:val="24"/>
        </w:rPr>
        <w:t>rate therapeutic promise, the absence of comprehensive laboratory validation restricts their inclusion in mainstream healthcare. Scholars such as Bodeker et al. (2005) advocate for integrated health policies that acknowledge traditional medicine while ensu</w:t>
      </w:r>
      <w:r>
        <w:rPr>
          <w:rFonts w:ascii="Times New Roman" w:eastAsia="Times New Roman" w:hAnsi="Times New Roman" w:cs="Times New Roman"/>
          <w:sz w:val="24"/>
          <w:szCs w:val="24"/>
        </w:rPr>
        <w:t>ring scientific standardization. Therefore, the present study underscores the need for community‑driven documentation, conservation measures, and research collaborations to preserve and legitimize ethnomedicinal traditions for future generations.</w:t>
      </w:r>
    </w:p>
    <w:p w14:paraId="6A49BA00" w14:textId="77777777" w:rsidR="00DA2B3A" w:rsidRDefault="00DA2B3A">
      <w:pPr>
        <w:spacing w:after="0"/>
        <w:ind w:firstLine="720"/>
        <w:rPr>
          <w:rFonts w:ascii="Times New Roman" w:eastAsia="Times New Roman" w:hAnsi="Times New Roman" w:cs="Times New Roman"/>
          <w:sz w:val="24"/>
          <w:szCs w:val="24"/>
        </w:rPr>
      </w:pPr>
    </w:p>
    <w:p w14:paraId="297173A2" w14:textId="77777777" w:rsidR="00DA2B3A" w:rsidRDefault="001C1F8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It is re</w:t>
      </w:r>
      <w:r>
        <w:rPr>
          <w:rFonts w:ascii="Times New Roman" w:eastAsia="Times New Roman" w:hAnsi="Times New Roman" w:cs="Times New Roman"/>
          <w:sz w:val="24"/>
          <w:szCs w:val="24"/>
        </w:rPr>
        <w:t>commended that local government units, educational institutions, and cultural organizations work together to establish conservation strategies, integrate ethnomedicinal knowledge into school curricula, and support scientific studies that validate the pharm</w:t>
      </w:r>
      <w:r>
        <w:rPr>
          <w:rFonts w:ascii="Times New Roman" w:eastAsia="Times New Roman" w:hAnsi="Times New Roman" w:cs="Times New Roman"/>
          <w:sz w:val="24"/>
          <w:szCs w:val="24"/>
        </w:rPr>
        <w:t>acological properties of traditional remedies. Doing so will not only preserve cultural identity but also strengthen community-based healthcare systems.</w:t>
      </w:r>
    </w:p>
    <w:p w14:paraId="006DDB55" w14:textId="77777777" w:rsidR="00DA2B3A" w:rsidRDefault="001C1F8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ACKNOWLEDGMENT</w:t>
      </w:r>
    </w:p>
    <w:p w14:paraId="1183F851" w14:textId="77777777" w:rsidR="00DA2B3A" w:rsidRDefault="001C1F83">
      <w:pPr>
        <w:ind w:firstLine="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This study owes its realization to the invaluable guidance and support of the Department</w:t>
      </w:r>
      <w:r>
        <w:rPr>
          <w:rFonts w:ascii="Times New Roman" w:eastAsia="Times New Roman" w:hAnsi="Times New Roman" w:cs="Times New Roman"/>
          <w:sz w:val="24"/>
          <w:szCs w:val="24"/>
        </w:rPr>
        <w:t xml:space="preserve"> of Science and Technology-Science Education Institute (DOST-SEI), who served as the funding agency for this research. The author is also grateful for the support of participants from the start till th end of the study. </w:t>
      </w:r>
    </w:p>
    <w:p w14:paraId="0ED9E3E4" w14:textId="77777777" w:rsidR="00DA2B3A" w:rsidRDefault="00DA2B3A">
      <w:pPr>
        <w:rPr>
          <w:rFonts w:ascii="Times New Roman" w:eastAsia="Times New Roman" w:hAnsi="Times New Roman" w:cs="Times New Roman"/>
          <w:b/>
          <w:bCs/>
          <w:sz w:val="24"/>
          <w:szCs w:val="24"/>
        </w:rPr>
      </w:pPr>
    </w:p>
    <w:p w14:paraId="5808641A" w14:textId="77777777" w:rsidR="00DA2B3A" w:rsidRDefault="001C1F8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w:t>
      </w:r>
    </w:p>
    <w:p w14:paraId="54F51977" w14:textId="77777777" w:rsidR="00DA2B3A" w:rsidRDefault="001C1F83">
      <w:pPr>
        <w:spacing w:before="240"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Agrawal, A. (1995). Dism</w:t>
      </w:r>
      <w:r>
        <w:rPr>
          <w:rFonts w:ascii="Times New Roman" w:eastAsia="Times New Roman" w:hAnsi="Times New Roman" w:cs="Times New Roman"/>
          <w:sz w:val="24"/>
          <w:szCs w:val="24"/>
        </w:rPr>
        <w:t xml:space="preserve">antling the divide between indigenous and scientific knowledge. </w:t>
      </w:r>
      <w:r>
        <w:rPr>
          <w:rFonts w:ascii="Times New Roman" w:eastAsia="Times New Roman" w:hAnsi="Times New Roman" w:cs="Times New Roman"/>
          <w:i/>
          <w:iCs/>
          <w:sz w:val="24"/>
          <w:szCs w:val="24"/>
        </w:rPr>
        <w:t xml:space="preserve">Development </w:t>
      </w:r>
    </w:p>
    <w:p w14:paraId="59DECE7C"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b/>
        <w:t>and Change, 26</w:t>
      </w:r>
      <w:r>
        <w:rPr>
          <w:rFonts w:ascii="Times New Roman" w:eastAsia="Times New Roman" w:hAnsi="Times New Roman" w:cs="Times New Roman"/>
          <w:sz w:val="24"/>
          <w:szCs w:val="24"/>
        </w:rPr>
        <w:t>(3), 413-439.</w:t>
      </w:r>
    </w:p>
    <w:p w14:paraId="53A4463C"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Alcantara, J., &amp; et al. (2020). Traditional healing practices among the Igorot community: </w:t>
      </w:r>
      <w:r>
        <w:rPr>
          <w:rFonts w:ascii="Times New Roman" w:eastAsia="Times New Roman" w:hAnsi="Times New Roman" w:cs="Times New Roman"/>
          <w:sz w:val="24"/>
          <w:szCs w:val="24"/>
        </w:rPr>
        <w:tab/>
        <w:t xml:space="preserve">A study on </w:t>
      </w:r>
    </w:p>
    <w:p w14:paraId="602747CF"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shamanism and herbal medicine. </w:t>
      </w:r>
      <w:r>
        <w:rPr>
          <w:rFonts w:ascii="Times New Roman" w:eastAsia="Times New Roman" w:hAnsi="Times New Roman" w:cs="Times New Roman"/>
          <w:i/>
          <w:iCs/>
          <w:sz w:val="24"/>
          <w:szCs w:val="24"/>
        </w:rPr>
        <w:t>Journal of Ethn</w:t>
      </w:r>
      <w:r>
        <w:rPr>
          <w:rFonts w:ascii="Times New Roman" w:eastAsia="Times New Roman" w:hAnsi="Times New Roman" w:cs="Times New Roman"/>
          <w:i/>
          <w:iCs/>
          <w:sz w:val="24"/>
          <w:szCs w:val="24"/>
        </w:rPr>
        <w:t>obiology and Ethnomedicine, 16</w:t>
      </w:r>
      <w:r>
        <w:rPr>
          <w:rFonts w:ascii="Times New Roman" w:eastAsia="Times New Roman" w:hAnsi="Times New Roman" w:cs="Times New Roman"/>
          <w:sz w:val="24"/>
          <w:szCs w:val="24"/>
        </w:rPr>
        <w:t>(1), 1-10.</w:t>
      </w:r>
    </w:p>
    <w:p w14:paraId="5DFAAC22"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Alcantara, M., Santos, M., &amp; Dizon, E. (2021). Socio-cultural implications of medicinal plant utilization</w:t>
      </w:r>
    </w:p>
    <w:p w14:paraId="74AA8FAE"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among </w:t>
      </w:r>
      <w:r>
        <w:rPr>
          <w:rFonts w:ascii="Times New Roman" w:eastAsia="Times New Roman" w:hAnsi="Times New Roman" w:cs="Times New Roman"/>
          <w:sz w:val="24"/>
          <w:szCs w:val="24"/>
        </w:rPr>
        <w:tab/>
        <w:t xml:space="preserve">indigenous communities in Mindanao. </w:t>
      </w:r>
      <w:r>
        <w:rPr>
          <w:rFonts w:ascii="Times New Roman" w:eastAsia="Times New Roman" w:hAnsi="Times New Roman" w:cs="Times New Roman"/>
          <w:i/>
          <w:iCs/>
          <w:sz w:val="24"/>
          <w:szCs w:val="24"/>
        </w:rPr>
        <w:t xml:space="preserve">Philippine Journal </w:t>
      </w:r>
      <w:r>
        <w:rPr>
          <w:rFonts w:ascii="Times New Roman" w:eastAsia="Times New Roman" w:hAnsi="Times New Roman" w:cs="Times New Roman"/>
          <w:i/>
          <w:iCs/>
          <w:sz w:val="24"/>
          <w:szCs w:val="24"/>
        </w:rPr>
        <w:tab/>
        <w:t>of Ethnobiology, 1</w:t>
      </w:r>
      <w:r>
        <w:rPr>
          <w:rFonts w:ascii="Times New Roman" w:eastAsia="Times New Roman" w:hAnsi="Times New Roman" w:cs="Times New Roman"/>
          <w:sz w:val="24"/>
          <w:szCs w:val="24"/>
        </w:rPr>
        <w:t>(2), 67-79.</w:t>
      </w:r>
    </w:p>
    <w:p w14:paraId="4E5705AA"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Agriam, M., &amp; </w:t>
      </w:r>
      <w:r>
        <w:rPr>
          <w:rFonts w:ascii="Times New Roman" w:eastAsia="Times New Roman" w:hAnsi="Times New Roman" w:cs="Times New Roman"/>
          <w:sz w:val="24"/>
          <w:szCs w:val="24"/>
        </w:rPr>
        <w:t xml:space="preserve">et al. (2020). Ethnobotanical knowledge of medicinal plants in the Visayas Region, </w:t>
      </w:r>
    </w:p>
    <w:p w14:paraId="7B81238B"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Philippines. </w:t>
      </w:r>
      <w:r>
        <w:rPr>
          <w:rFonts w:ascii="Times New Roman" w:eastAsia="Times New Roman" w:hAnsi="Times New Roman" w:cs="Times New Roman"/>
          <w:i/>
          <w:iCs/>
          <w:sz w:val="24"/>
          <w:szCs w:val="24"/>
        </w:rPr>
        <w:t>Philippine Journal of Ethnobiology, 2</w:t>
      </w:r>
      <w:r>
        <w:rPr>
          <w:rFonts w:ascii="Times New Roman" w:eastAsia="Times New Roman" w:hAnsi="Times New Roman" w:cs="Times New Roman"/>
          <w:sz w:val="24"/>
          <w:szCs w:val="24"/>
        </w:rPr>
        <w:t>(1), 1-12.</w:t>
      </w:r>
    </w:p>
    <w:p w14:paraId="243D9511" w14:textId="77777777" w:rsidR="00DA2B3A" w:rsidRDefault="001C1F83">
      <w:pPr>
        <w:spacing w:before="240"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Asfaw, Z., &amp; et al. (2010). Ethnomedicinal plants of the Sudan: The case of the Blue Nile State. </w:t>
      </w:r>
      <w:r>
        <w:rPr>
          <w:rFonts w:ascii="Times New Roman" w:eastAsia="Times New Roman" w:hAnsi="Times New Roman" w:cs="Times New Roman"/>
          <w:i/>
          <w:iCs/>
          <w:sz w:val="24"/>
          <w:szCs w:val="24"/>
        </w:rPr>
        <w:t>Journal</w:t>
      </w:r>
    </w:p>
    <w:p w14:paraId="698C7388" w14:textId="77777777" w:rsidR="00DA2B3A" w:rsidRDefault="001C1F83">
      <w:pPr>
        <w:spacing w:before="240"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of </w:t>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Ethnopharmacology, 129</w:t>
      </w:r>
      <w:r>
        <w:rPr>
          <w:rFonts w:ascii="Times New Roman" w:eastAsia="Times New Roman" w:hAnsi="Times New Roman" w:cs="Times New Roman"/>
          <w:sz w:val="24"/>
          <w:szCs w:val="24"/>
        </w:rPr>
        <w:t>(2), 399-405.</w:t>
      </w:r>
    </w:p>
    <w:p w14:paraId="4C3917C0"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Bharathi, K., Sinha, A., &amp; Singh, J. (2020). Ethnobotanical knowledge of medicinal plants in India: A </w:t>
      </w:r>
    </w:p>
    <w:p w14:paraId="4550F771"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review. </w:t>
      </w:r>
      <w:r>
        <w:rPr>
          <w:rFonts w:ascii="Times New Roman" w:eastAsia="Times New Roman" w:hAnsi="Times New Roman" w:cs="Times New Roman"/>
          <w:i/>
          <w:iCs/>
          <w:sz w:val="24"/>
          <w:szCs w:val="24"/>
        </w:rPr>
        <w:t>Asian Pacific Journal of Tropical Medicine, 13</w:t>
      </w:r>
      <w:r>
        <w:rPr>
          <w:rFonts w:ascii="Times New Roman" w:eastAsia="Times New Roman" w:hAnsi="Times New Roman" w:cs="Times New Roman"/>
          <w:sz w:val="24"/>
          <w:szCs w:val="24"/>
        </w:rPr>
        <w:t>(8), 383-</w:t>
      </w:r>
      <w:r>
        <w:rPr>
          <w:rFonts w:ascii="Times New Roman" w:eastAsia="Times New Roman" w:hAnsi="Times New Roman" w:cs="Times New Roman"/>
          <w:sz w:val="24"/>
          <w:szCs w:val="24"/>
        </w:rPr>
        <w:tab/>
        <w:t>396.</w:t>
      </w:r>
    </w:p>
    <w:p w14:paraId="4E3189F5"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Berkes, F. (2018). </w:t>
      </w:r>
      <w:r>
        <w:rPr>
          <w:rFonts w:ascii="Times New Roman" w:eastAsia="Times New Roman" w:hAnsi="Times New Roman" w:cs="Times New Roman"/>
          <w:i/>
          <w:iCs/>
          <w:sz w:val="24"/>
          <w:szCs w:val="24"/>
        </w:rPr>
        <w:t xml:space="preserve">Sacred ecology: </w:t>
      </w:r>
      <w:r>
        <w:rPr>
          <w:rFonts w:ascii="Times New Roman" w:eastAsia="Times New Roman" w:hAnsi="Times New Roman" w:cs="Times New Roman"/>
          <w:i/>
          <w:iCs/>
          <w:sz w:val="24"/>
          <w:szCs w:val="24"/>
        </w:rPr>
        <w:t>Traditional ecological knowledge and resource management.</w:t>
      </w:r>
      <w:r>
        <w:rPr>
          <w:rFonts w:ascii="Times New Roman" w:eastAsia="Times New Roman" w:hAnsi="Times New Roman" w:cs="Times New Roman"/>
          <w:sz w:val="24"/>
          <w:szCs w:val="24"/>
        </w:rPr>
        <w:t xml:space="preserve"> </w:t>
      </w:r>
    </w:p>
    <w:p w14:paraId="5D866906"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Routledge.</w:t>
      </w:r>
    </w:p>
    <w:p w14:paraId="0877F009" w14:textId="77777777" w:rsidR="00DA2B3A" w:rsidRDefault="001C1F83">
      <w:pPr>
        <w:spacing w:before="240"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Bodeker, G., &amp; et al. (2005). Globalization and traditional medicine: Perspectives and challenges. </w:t>
      </w:r>
      <w:r>
        <w:rPr>
          <w:rFonts w:ascii="Times New Roman" w:eastAsia="Times New Roman" w:hAnsi="Times New Roman" w:cs="Times New Roman"/>
          <w:i/>
          <w:iCs/>
          <w:sz w:val="24"/>
          <w:szCs w:val="24"/>
        </w:rPr>
        <w:t xml:space="preserve">World </w:t>
      </w:r>
    </w:p>
    <w:p w14:paraId="7C404F79"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b/>
        <w:t xml:space="preserve">Health </w:t>
      </w:r>
      <w:r>
        <w:rPr>
          <w:rFonts w:ascii="Times New Roman" w:eastAsia="Times New Roman" w:hAnsi="Times New Roman" w:cs="Times New Roman"/>
          <w:i/>
          <w:iCs/>
          <w:sz w:val="24"/>
          <w:szCs w:val="24"/>
        </w:rPr>
        <w:tab/>
        <w:t>Organization.</w:t>
      </w:r>
    </w:p>
    <w:p w14:paraId="4A35DCBA"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Bussmann, R. W., &amp; Glenn, A. (2019). Urbanization and traditional healing practices: The case of Kenya. </w:t>
      </w:r>
      <w:r>
        <w:rPr>
          <w:rFonts w:ascii="Times New Roman" w:eastAsia="Times New Roman" w:hAnsi="Times New Roman" w:cs="Times New Roman"/>
          <w:i/>
          <w:iCs/>
          <w:sz w:val="24"/>
          <w:szCs w:val="24"/>
        </w:rPr>
        <w:tab/>
        <w:t>Journal of Urban Health, 96</w:t>
      </w:r>
      <w:r>
        <w:rPr>
          <w:rFonts w:ascii="Times New Roman" w:eastAsia="Times New Roman" w:hAnsi="Times New Roman" w:cs="Times New Roman"/>
          <w:sz w:val="24"/>
          <w:szCs w:val="24"/>
        </w:rPr>
        <w:t>(3), 456-467.</w:t>
      </w:r>
    </w:p>
    <w:p w14:paraId="0F61AA82"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Cajete, G. (1999). </w:t>
      </w:r>
      <w:r>
        <w:rPr>
          <w:rFonts w:ascii="Times New Roman" w:eastAsia="Times New Roman" w:hAnsi="Times New Roman" w:cs="Times New Roman"/>
          <w:i/>
          <w:iCs/>
          <w:sz w:val="24"/>
          <w:szCs w:val="24"/>
        </w:rPr>
        <w:t>Igniting the sparkle: An indigenous science education model.</w:t>
      </w:r>
      <w:r>
        <w:rPr>
          <w:rFonts w:ascii="Times New Roman" w:eastAsia="Times New Roman" w:hAnsi="Times New Roman" w:cs="Times New Roman"/>
          <w:sz w:val="24"/>
          <w:szCs w:val="24"/>
        </w:rPr>
        <w:t xml:space="preserve"> Kivaki Press.</w:t>
      </w:r>
    </w:p>
    <w:p w14:paraId="30D6F606"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Castañeda, A., &amp;</w:t>
      </w:r>
      <w:r>
        <w:rPr>
          <w:rFonts w:ascii="Times New Roman" w:eastAsia="Times New Roman" w:hAnsi="Times New Roman" w:cs="Times New Roman"/>
          <w:sz w:val="24"/>
          <w:szCs w:val="24"/>
        </w:rPr>
        <w:t xml:space="preserve"> et al. (2021). Indigenous knowledge and environmental education: An </w:t>
      </w:r>
      <w:r>
        <w:rPr>
          <w:rFonts w:ascii="Times New Roman" w:eastAsia="Times New Roman" w:hAnsi="Times New Roman" w:cs="Times New Roman"/>
          <w:sz w:val="24"/>
          <w:szCs w:val="24"/>
        </w:rPr>
        <w:tab/>
        <w:t>exploration of</w:t>
      </w:r>
    </w:p>
    <w:p w14:paraId="41A911E1"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the interconnectedness of cultures and environments. </w:t>
      </w:r>
      <w:r>
        <w:rPr>
          <w:rFonts w:ascii="Times New Roman" w:eastAsia="Times New Roman" w:hAnsi="Times New Roman" w:cs="Times New Roman"/>
          <w:i/>
          <w:iCs/>
          <w:sz w:val="24"/>
          <w:szCs w:val="24"/>
        </w:rPr>
        <w:t xml:space="preserve">International Journal of Science Education, </w:t>
      </w:r>
      <w:r>
        <w:rPr>
          <w:rFonts w:ascii="Times New Roman" w:eastAsia="Times New Roman" w:hAnsi="Times New Roman" w:cs="Times New Roman"/>
          <w:i/>
          <w:iCs/>
          <w:sz w:val="24"/>
          <w:szCs w:val="24"/>
        </w:rPr>
        <w:tab/>
        <w:t>43</w:t>
      </w:r>
      <w:r>
        <w:rPr>
          <w:rFonts w:ascii="Times New Roman" w:eastAsia="Times New Roman" w:hAnsi="Times New Roman" w:cs="Times New Roman"/>
          <w:sz w:val="24"/>
          <w:szCs w:val="24"/>
        </w:rPr>
        <w:t>(8), 1234-</w:t>
      </w:r>
      <w:r>
        <w:rPr>
          <w:rFonts w:ascii="Times New Roman" w:eastAsia="Times New Roman" w:hAnsi="Times New Roman" w:cs="Times New Roman"/>
          <w:sz w:val="24"/>
          <w:szCs w:val="24"/>
        </w:rPr>
        <w:tab/>
        <w:t>1250.</w:t>
      </w:r>
    </w:p>
    <w:p w14:paraId="0E1FCC71"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Catungal, J. M., &amp; Castillon, P. A. (2017). Cultural</w:t>
      </w:r>
      <w:r>
        <w:rPr>
          <w:rFonts w:ascii="Times New Roman" w:eastAsia="Times New Roman" w:hAnsi="Times New Roman" w:cs="Times New Roman"/>
          <w:sz w:val="24"/>
          <w:szCs w:val="24"/>
        </w:rPr>
        <w:t xml:space="preserve"> relevance of ethnomedicinal knowledge: Implications </w:t>
      </w:r>
    </w:p>
    <w:p w14:paraId="74F2CD82"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for student engagement in science. </w:t>
      </w:r>
      <w:r>
        <w:rPr>
          <w:rFonts w:ascii="Times New Roman" w:eastAsia="Times New Roman" w:hAnsi="Times New Roman" w:cs="Times New Roman"/>
          <w:i/>
          <w:iCs/>
          <w:sz w:val="24"/>
          <w:szCs w:val="24"/>
        </w:rPr>
        <w:t>Philippine Journal of Science Education, 1</w:t>
      </w:r>
      <w:r>
        <w:rPr>
          <w:rFonts w:ascii="Times New Roman" w:eastAsia="Times New Roman" w:hAnsi="Times New Roman" w:cs="Times New Roman"/>
          <w:sz w:val="24"/>
          <w:szCs w:val="24"/>
        </w:rPr>
        <w:t>(2), 45-62.</w:t>
      </w:r>
    </w:p>
    <w:p w14:paraId="21C2F8DA"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Coronel, J. M., Alcaraz, R. G., &amp; Villanueva, D. P. (2018). Documenting ethnomedicinal </w:t>
      </w:r>
      <w:r>
        <w:rPr>
          <w:rFonts w:ascii="Times New Roman" w:eastAsia="Times New Roman" w:hAnsi="Times New Roman" w:cs="Times New Roman"/>
          <w:sz w:val="24"/>
          <w:szCs w:val="24"/>
        </w:rPr>
        <w:tab/>
        <w:t xml:space="preserve">plant </w:t>
      </w:r>
    </w:p>
    <w:p w14:paraId="4FD18A27" w14:textId="77777777" w:rsidR="00DA2B3A" w:rsidRDefault="001C1F83">
      <w:pPr>
        <w:spacing w:before="240"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ab/>
        <w:t xml:space="preserve">knowledge among </w:t>
      </w:r>
      <w:r>
        <w:rPr>
          <w:rFonts w:ascii="Times New Roman" w:eastAsia="Times New Roman" w:hAnsi="Times New Roman" w:cs="Times New Roman"/>
          <w:sz w:val="24"/>
          <w:szCs w:val="24"/>
        </w:rPr>
        <w:t xml:space="preserve">indigenous groups in Northern Luzon. </w:t>
      </w:r>
      <w:r>
        <w:rPr>
          <w:rFonts w:ascii="Times New Roman" w:eastAsia="Times New Roman" w:hAnsi="Times New Roman" w:cs="Times New Roman"/>
          <w:i/>
          <w:iCs/>
          <w:sz w:val="24"/>
          <w:szCs w:val="24"/>
        </w:rPr>
        <w:t xml:space="preserve">Journal of Ethnobiology and </w:t>
      </w:r>
    </w:p>
    <w:p w14:paraId="34ADD488"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b/>
        <w:t>Ethnomedicine, 14</w:t>
      </w:r>
      <w:r>
        <w:rPr>
          <w:rFonts w:ascii="Times New Roman" w:eastAsia="Times New Roman" w:hAnsi="Times New Roman" w:cs="Times New Roman"/>
          <w:sz w:val="24"/>
          <w:szCs w:val="24"/>
        </w:rPr>
        <w:t>(1), 1-13.</w:t>
      </w:r>
    </w:p>
    <w:p w14:paraId="0BBF417F"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Cruz, D. A., De Guzman, M. A., &amp; Espinas, C. F. (2021). Enhancing K-12 curriculum </w:t>
      </w:r>
      <w:r>
        <w:rPr>
          <w:rFonts w:ascii="Times New Roman" w:eastAsia="Times New Roman" w:hAnsi="Times New Roman" w:cs="Times New Roman"/>
          <w:sz w:val="24"/>
          <w:szCs w:val="24"/>
        </w:rPr>
        <w:tab/>
        <w:t>through</w:t>
      </w:r>
    </w:p>
    <w:p w14:paraId="434061AE"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ethnobotanical studies in science education. </w:t>
      </w:r>
      <w:r>
        <w:rPr>
          <w:rFonts w:ascii="Times New Roman" w:eastAsia="Times New Roman" w:hAnsi="Times New Roman" w:cs="Times New Roman"/>
          <w:i/>
          <w:iCs/>
          <w:sz w:val="24"/>
          <w:szCs w:val="24"/>
        </w:rPr>
        <w:t>International Journal o</w:t>
      </w:r>
      <w:r>
        <w:rPr>
          <w:rFonts w:ascii="Times New Roman" w:eastAsia="Times New Roman" w:hAnsi="Times New Roman" w:cs="Times New Roman"/>
          <w:i/>
          <w:iCs/>
          <w:sz w:val="24"/>
          <w:szCs w:val="24"/>
        </w:rPr>
        <w:t xml:space="preserve">f Education and Development, </w:t>
      </w:r>
      <w:r>
        <w:rPr>
          <w:rFonts w:ascii="Times New Roman" w:eastAsia="Times New Roman" w:hAnsi="Times New Roman" w:cs="Times New Roman"/>
          <w:i/>
          <w:iCs/>
          <w:sz w:val="24"/>
          <w:szCs w:val="24"/>
        </w:rPr>
        <w:tab/>
        <w:t>14</w:t>
      </w:r>
      <w:r>
        <w:rPr>
          <w:rFonts w:ascii="Times New Roman" w:eastAsia="Times New Roman" w:hAnsi="Times New Roman" w:cs="Times New Roman"/>
          <w:sz w:val="24"/>
          <w:szCs w:val="24"/>
        </w:rPr>
        <w:t>(3), 145-159.</w:t>
      </w:r>
    </w:p>
    <w:p w14:paraId="17F02110"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Cruz, L. J., &amp; et al. (2021). Integrating indigenous knowledge into science education: Perspectives</w:t>
      </w:r>
    </w:p>
    <w:p w14:paraId="723115E9"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from the Philippines. </w:t>
      </w:r>
      <w:r>
        <w:rPr>
          <w:rFonts w:ascii="Times New Roman" w:eastAsia="Times New Roman" w:hAnsi="Times New Roman" w:cs="Times New Roman"/>
          <w:i/>
          <w:iCs/>
          <w:sz w:val="24"/>
          <w:szCs w:val="24"/>
        </w:rPr>
        <w:t>Journal of Science Education and Technology, 30</w:t>
      </w:r>
      <w:r>
        <w:rPr>
          <w:rFonts w:ascii="Times New Roman" w:eastAsia="Times New Roman" w:hAnsi="Times New Roman" w:cs="Times New Roman"/>
          <w:sz w:val="24"/>
          <w:szCs w:val="24"/>
        </w:rPr>
        <w:t>(2), 205-216.</w:t>
      </w:r>
    </w:p>
    <w:p w14:paraId="60228733" w14:textId="77777777" w:rsidR="00DA2B3A" w:rsidRDefault="001C1F83">
      <w:pPr>
        <w:spacing w:before="240"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De Padua, L. S., Lugod, G</w:t>
      </w:r>
      <w:r>
        <w:rPr>
          <w:rFonts w:ascii="Times New Roman" w:eastAsia="Times New Roman" w:hAnsi="Times New Roman" w:cs="Times New Roman"/>
          <w:sz w:val="24"/>
          <w:szCs w:val="24"/>
        </w:rPr>
        <w:t xml:space="preserve">. C., &amp; Pancho, J. V. (1999). </w:t>
      </w:r>
      <w:r>
        <w:rPr>
          <w:rFonts w:ascii="Times New Roman" w:eastAsia="Times New Roman" w:hAnsi="Times New Roman" w:cs="Times New Roman"/>
          <w:i/>
          <w:iCs/>
          <w:sz w:val="24"/>
          <w:szCs w:val="24"/>
        </w:rPr>
        <w:t xml:space="preserve">Handbook on Philippine </w:t>
      </w:r>
      <w:r>
        <w:rPr>
          <w:rFonts w:ascii="Times New Roman" w:eastAsia="Times New Roman" w:hAnsi="Times New Roman" w:cs="Times New Roman"/>
          <w:i/>
          <w:iCs/>
          <w:sz w:val="24"/>
          <w:szCs w:val="24"/>
        </w:rPr>
        <w:tab/>
        <w:t>medicinal plants.</w:t>
      </w:r>
    </w:p>
    <w:p w14:paraId="27A99D99"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University of the Philippines Press.</w:t>
      </w:r>
    </w:p>
    <w:p w14:paraId="310FC9E7"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Vera, M. J., &amp; Ocampo, R. J. (2023). Urban youth and traditional healing practices: </w:t>
      </w:r>
      <w:r>
        <w:rPr>
          <w:rFonts w:ascii="Times New Roman" w:eastAsia="Times New Roman" w:hAnsi="Times New Roman" w:cs="Times New Roman"/>
          <w:sz w:val="24"/>
          <w:szCs w:val="24"/>
        </w:rPr>
        <w:tab/>
        <w:t xml:space="preserve">Bridging </w:t>
      </w:r>
    </w:p>
    <w:p w14:paraId="45C17C28"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generational knowledge. </w:t>
      </w:r>
      <w:r>
        <w:rPr>
          <w:rFonts w:ascii="Times New Roman" w:eastAsia="Times New Roman" w:hAnsi="Times New Roman" w:cs="Times New Roman"/>
          <w:i/>
          <w:iCs/>
          <w:sz w:val="24"/>
          <w:szCs w:val="24"/>
        </w:rPr>
        <w:t>Journal of Cultural St</w:t>
      </w:r>
      <w:r>
        <w:rPr>
          <w:rFonts w:ascii="Times New Roman" w:eastAsia="Times New Roman" w:hAnsi="Times New Roman" w:cs="Times New Roman"/>
          <w:i/>
          <w:iCs/>
          <w:sz w:val="24"/>
          <w:szCs w:val="24"/>
        </w:rPr>
        <w:t>udies, 15</w:t>
      </w:r>
      <w:r>
        <w:rPr>
          <w:rFonts w:ascii="Times New Roman" w:eastAsia="Times New Roman" w:hAnsi="Times New Roman" w:cs="Times New Roman"/>
          <w:sz w:val="24"/>
          <w:szCs w:val="24"/>
        </w:rPr>
        <w:t>(1), 47-64.</w:t>
      </w:r>
    </w:p>
    <w:p w14:paraId="2AC4F12F"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Delos Reyes, J., &amp; et al. (2021). Traditional healing practices and mental health care in indigenous </w:t>
      </w:r>
    </w:p>
    <w:p w14:paraId="60656C11"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communities in the Visayas. </w:t>
      </w:r>
      <w:r>
        <w:rPr>
          <w:rFonts w:ascii="Times New Roman" w:eastAsia="Times New Roman" w:hAnsi="Times New Roman" w:cs="Times New Roman"/>
          <w:i/>
          <w:iCs/>
          <w:sz w:val="24"/>
          <w:szCs w:val="24"/>
        </w:rPr>
        <w:t xml:space="preserve">Journal of Indigenous Mental Health, </w:t>
      </w:r>
      <w:r>
        <w:rPr>
          <w:rFonts w:ascii="Times New Roman" w:eastAsia="Times New Roman" w:hAnsi="Times New Roman" w:cs="Times New Roman"/>
          <w:i/>
          <w:iCs/>
          <w:sz w:val="24"/>
          <w:szCs w:val="24"/>
        </w:rPr>
        <w:tab/>
        <w:t>3</w:t>
      </w:r>
      <w:r>
        <w:rPr>
          <w:rFonts w:ascii="Times New Roman" w:eastAsia="Times New Roman" w:hAnsi="Times New Roman" w:cs="Times New Roman"/>
          <w:sz w:val="24"/>
          <w:szCs w:val="24"/>
        </w:rPr>
        <w:t>(2), 15-23.</w:t>
      </w:r>
    </w:p>
    <w:p w14:paraId="2DEFB9C5"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Delos Santos, A., &amp; et al. (2019). Women herbalists a</w:t>
      </w:r>
      <w:r>
        <w:rPr>
          <w:rFonts w:ascii="Times New Roman" w:eastAsia="Times New Roman" w:hAnsi="Times New Roman" w:cs="Times New Roman"/>
          <w:sz w:val="24"/>
          <w:szCs w:val="24"/>
        </w:rPr>
        <w:t xml:space="preserve">nd ethnomedicine in the Philippines: A study of </w:t>
      </w:r>
    </w:p>
    <w:p w14:paraId="60B67C21"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gender roles in healing practices. </w:t>
      </w:r>
      <w:r>
        <w:rPr>
          <w:rFonts w:ascii="Times New Roman" w:eastAsia="Times New Roman" w:hAnsi="Times New Roman" w:cs="Times New Roman"/>
          <w:i/>
          <w:iCs/>
          <w:sz w:val="24"/>
          <w:szCs w:val="24"/>
        </w:rPr>
        <w:t>Philippine Journal of Gender Studies, 8</w:t>
      </w:r>
      <w:r>
        <w:rPr>
          <w:rFonts w:ascii="Times New Roman" w:eastAsia="Times New Roman" w:hAnsi="Times New Roman" w:cs="Times New Roman"/>
          <w:sz w:val="24"/>
          <w:szCs w:val="24"/>
        </w:rPr>
        <w:t>(1), 1-10.</w:t>
      </w:r>
    </w:p>
    <w:p w14:paraId="53C4D55B"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Dizon, E. I., &amp; et al. (2016). Traditional healing practices in the Philippines: An overview. </w:t>
      </w:r>
    </w:p>
    <w:p w14:paraId="4139D5F5"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b/>
        <w:t>Philippine Journal of Hea</w:t>
      </w:r>
      <w:r>
        <w:rPr>
          <w:rFonts w:ascii="Times New Roman" w:eastAsia="Times New Roman" w:hAnsi="Times New Roman" w:cs="Times New Roman"/>
          <w:i/>
          <w:iCs/>
          <w:sz w:val="24"/>
          <w:szCs w:val="24"/>
        </w:rPr>
        <w:t>lth Research and Development, 20</w:t>
      </w:r>
      <w:r>
        <w:rPr>
          <w:rFonts w:ascii="Times New Roman" w:eastAsia="Times New Roman" w:hAnsi="Times New Roman" w:cs="Times New Roman"/>
          <w:sz w:val="24"/>
          <w:szCs w:val="24"/>
        </w:rPr>
        <w:t>(1), 1-10.</w:t>
      </w:r>
    </w:p>
    <w:p w14:paraId="62D1DFEF"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Dizon, E. I., &amp; Migo, M. R. (2016). Ethnomedicinal practices in rural communities: A </w:t>
      </w:r>
      <w:r>
        <w:rPr>
          <w:rFonts w:ascii="Times New Roman" w:eastAsia="Times New Roman" w:hAnsi="Times New Roman" w:cs="Times New Roman"/>
          <w:sz w:val="24"/>
          <w:szCs w:val="24"/>
        </w:rPr>
        <w:tab/>
        <w:t>qualitative</w:t>
      </w:r>
    </w:p>
    <w:p w14:paraId="2888BC0D"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analysis. </w:t>
      </w:r>
      <w:r>
        <w:rPr>
          <w:rFonts w:ascii="Times New Roman" w:eastAsia="Times New Roman" w:hAnsi="Times New Roman" w:cs="Times New Roman"/>
          <w:i/>
          <w:iCs/>
          <w:sz w:val="24"/>
          <w:szCs w:val="24"/>
        </w:rPr>
        <w:t>Philippine Journal of Ethnobotany, 3</w:t>
      </w:r>
      <w:r>
        <w:rPr>
          <w:rFonts w:ascii="Times New Roman" w:eastAsia="Times New Roman" w:hAnsi="Times New Roman" w:cs="Times New Roman"/>
          <w:sz w:val="24"/>
          <w:szCs w:val="24"/>
        </w:rPr>
        <w:t>(1), 23-34.</w:t>
      </w:r>
    </w:p>
    <w:p w14:paraId="20A30B9A"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Duarte, M., &amp; et al. (2022). Collaborative approaches to preserve indigenous knowledge </w:t>
      </w:r>
      <w:r>
        <w:rPr>
          <w:rFonts w:ascii="Times New Roman" w:eastAsia="Times New Roman" w:hAnsi="Times New Roman" w:cs="Times New Roman"/>
          <w:sz w:val="24"/>
          <w:szCs w:val="24"/>
        </w:rPr>
        <w:tab/>
        <w:t>in educational</w:t>
      </w:r>
    </w:p>
    <w:p w14:paraId="2A00D45C"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settings. </w:t>
      </w:r>
      <w:r>
        <w:rPr>
          <w:rFonts w:ascii="Times New Roman" w:eastAsia="Times New Roman" w:hAnsi="Times New Roman" w:cs="Times New Roman"/>
          <w:i/>
          <w:iCs/>
          <w:sz w:val="24"/>
          <w:szCs w:val="24"/>
        </w:rPr>
        <w:t>Journal of Indigenous Studies, 4</w:t>
      </w:r>
      <w:r>
        <w:rPr>
          <w:rFonts w:ascii="Times New Roman" w:eastAsia="Times New Roman" w:hAnsi="Times New Roman" w:cs="Times New Roman"/>
          <w:sz w:val="24"/>
          <w:szCs w:val="24"/>
        </w:rPr>
        <w:t>(1), 15-29.</w:t>
      </w:r>
    </w:p>
    <w:p w14:paraId="7CDF96D9"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Fadriquela, R. M., &amp; et al. (2019). Traditional healing practices in rural communities: A </w:t>
      </w:r>
      <w:r>
        <w:rPr>
          <w:rFonts w:ascii="Times New Roman" w:eastAsia="Times New Roman" w:hAnsi="Times New Roman" w:cs="Times New Roman"/>
          <w:sz w:val="24"/>
          <w:szCs w:val="24"/>
        </w:rPr>
        <w:tab/>
        <w:t xml:space="preserve">study </w:t>
      </w:r>
      <w:r>
        <w:rPr>
          <w:rFonts w:ascii="Times New Roman" w:eastAsia="Times New Roman" w:hAnsi="Times New Roman" w:cs="Times New Roman"/>
          <w:sz w:val="24"/>
          <w:szCs w:val="24"/>
        </w:rPr>
        <w:t xml:space="preserve">of </w:t>
      </w:r>
    </w:p>
    <w:p w14:paraId="28AB0356"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medicinal plant usage. </w:t>
      </w:r>
      <w:r>
        <w:rPr>
          <w:rFonts w:ascii="Times New Roman" w:eastAsia="Times New Roman" w:hAnsi="Times New Roman" w:cs="Times New Roman"/>
          <w:i/>
          <w:iCs/>
          <w:sz w:val="24"/>
          <w:szCs w:val="24"/>
        </w:rPr>
        <w:t>Journal of Community Health, 44</w:t>
      </w:r>
      <w:r>
        <w:rPr>
          <w:rFonts w:ascii="Times New Roman" w:eastAsia="Times New Roman" w:hAnsi="Times New Roman" w:cs="Times New Roman"/>
          <w:sz w:val="24"/>
          <w:szCs w:val="24"/>
        </w:rPr>
        <w:t>(4), 792-801.</w:t>
      </w:r>
    </w:p>
    <w:p w14:paraId="43ABC180"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Fadriquela, R. M., Maglinao, S. B., &amp; Salonga, J. F. (2019). Ethnobotanical knowledge </w:t>
      </w:r>
      <w:r>
        <w:rPr>
          <w:rFonts w:ascii="Times New Roman" w:eastAsia="Times New Roman" w:hAnsi="Times New Roman" w:cs="Times New Roman"/>
          <w:sz w:val="24"/>
          <w:szCs w:val="24"/>
        </w:rPr>
        <w:tab/>
        <w:t xml:space="preserve">among </w:t>
      </w:r>
    </w:p>
    <w:p w14:paraId="2F2B1B60"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indigenous communities in Mindanao. </w:t>
      </w:r>
      <w:r>
        <w:rPr>
          <w:rFonts w:ascii="Times New Roman" w:eastAsia="Times New Roman" w:hAnsi="Times New Roman" w:cs="Times New Roman"/>
          <w:i/>
          <w:iCs/>
          <w:sz w:val="24"/>
          <w:szCs w:val="24"/>
        </w:rPr>
        <w:t xml:space="preserve">Asian Journal of Plant Science and </w:t>
      </w:r>
      <w:r>
        <w:rPr>
          <w:rFonts w:ascii="Times New Roman" w:eastAsia="Times New Roman" w:hAnsi="Times New Roman" w:cs="Times New Roman"/>
          <w:i/>
          <w:iCs/>
          <w:sz w:val="24"/>
          <w:szCs w:val="24"/>
        </w:rPr>
        <w:tab/>
        <w:t>Research, 9</w:t>
      </w: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55-68.</w:t>
      </w:r>
    </w:p>
    <w:p w14:paraId="23C5FD7B"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Fernández, R. R., &amp; et al. (2021). Efficacy of traditional medicine vs. conventional </w:t>
      </w:r>
      <w:r>
        <w:rPr>
          <w:rFonts w:ascii="Times New Roman" w:eastAsia="Times New Roman" w:hAnsi="Times New Roman" w:cs="Times New Roman"/>
          <w:sz w:val="24"/>
          <w:szCs w:val="24"/>
        </w:rPr>
        <w:tab/>
        <w:t>treatment for</w:t>
      </w:r>
    </w:p>
    <w:p w14:paraId="7D9A15B9"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chronic diseases in Argentina: A comparative study. </w:t>
      </w:r>
      <w:r>
        <w:rPr>
          <w:rFonts w:ascii="Times New Roman" w:eastAsia="Times New Roman" w:hAnsi="Times New Roman" w:cs="Times New Roman"/>
          <w:i/>
          <w:iCs/>
          <w:sz w:val="24"/>
          <w:szCs w:val="24"/>
        </w:rPr>
        <w:t xml:space="preserve">Journal of </w:t>
      </w:r>
      <w:r>
        <w:rPr>
          <w:rFonts w:ascii="Times New Roman" w:eastAsia="Times New Roman" w:hAnsi="Times New Roman" w:cs="Times New Roman"/>
          <w:i/>
          <w:iCs/>
          <w:sz w:val="24"/>
          <w:szCs w:val="24"/>
        </w:rPr>
        <w:tab/>
        <w:t>Ethnomedicine, 17</w:t>
      </w:r>
      <w:r>
        <w:rPr>
          <w:rFonts w:ascii="Times New Roman" w:eastAsia="Times New Roman" w:hAnsi="Times New Roman" w:cs="Times New Roman"/>
          <w:sz w:val="24"/>
          <w:szCs w:val="24"/>
        </w:rPr>
        <w:t>(3), 45-56.</w:t>
      </w:r>
    </w:p>
    <w:p w14:paraId="1B404356" w14:textId="77777777" w:rsidR="00DA2B3A" w:rsidRDefault="001C1F83">
      <w:pPr>
        <w:spacing w:before="240"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Giday, M., &amp; et al. (2009). Ethnomedicine of the Benc</w:t>
      </w:r>
      <w:r>
        <w:rPr>
          <w:rFonts w:ascii="Times New Roman" w:eastAsia="Times New Roman" w:hAnsi="Times New Roman" w:cs="Times New Roman"/>
          <w:sz w:val="24"/>
          <w:szCs w:val="24"/>
        </w:rPr>
        <w:t xml:space="preserve">h Maji Zone, Southwest Ethiopia. </w:t>
      </w:r>
      <w:r>
        <w:rPr>
          <w:rFonts w:ascii="Times New Roman" w:eastAsia="Times New Roman" w:hAnsi="Times New Roman" w:cs="Times New Roman"/>
          <w:i/>
          <w:iCs/>
          <w:sz w:val="24"/>
          <w:szCs w:val="24"/>
        </w:rPr>
        <w:tab/>
        <w:t xml:space="preserve">Journal of </w:t>
      </w:r>
    </w:p>
    <w:p w14:paraId="0B63E7BA"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b/>
        <w:t>Ethnopharmacology, 125</w:t>
      </w:r>
      <w:r>
        <w:rPr>
          <w:rFonts w:ascii="Times New Roman" w:eastAsia="Times New Roman" w:hAnsi="Times New Roman" w:cs="Times New Roman"/>
          <w:sz w:val="24"/>
          <w:szCs w:val="24"/>
        </w:rPr>
        <w:t>(3), 287-310.</w:t>
      </w:r>
    </w:p>
    <w:p w14:paraId="12BD87DD"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González, A. R., &amp; et al. (2020). Indigenous knowledge and medicinal plant management in Peru: A</w:t>
      </w:r>
    </w:p>
    <w:p w14:paraId="0C11F318" w14:textId="77777777" w:rsidR="00DA2B3A" w:rsidRDefault="001C1F83">
      <w:pPr>
        <w:spacing w:before="240"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study </w:t>
      </w:r>
      <w:r>
        <w:rPr>
          <w:rFonts w:ascii="Times New Roman" w:eastAsia="Times New Roman" w:hAnsi="Times New Roman" w:cs="Times New Roman"/>
          <w:sz w:val="24"/>
          <w:szCs w:val="24"/>
        </w:rPr>
        <w:tab/>
        <w:t xml:space="preserve">of sustainable practices. </w:t>
      </w:r>
      <w:r>
        <w:rPr>
          <w:rFonts w:ascii="Times New Roman" w:eastAsia="Times New Roman" w:hAnsi="Times New Roman" w:cs="Times New Roman"/>
          <w:i/>
          <w:iCs/>
          <w:sz w:val="24"/>
          <w:szCs w:val="24"/>
        </w:rPr>
        <w:t xml:space="preserve">Journal of Ethnobiology and </w:t>
      </w:r>
      <w:r>
        <w:rPr>
          <w:rFonts w:ascii="Times New Roman" w:eastAsia="Times New Roman" w:hAnsi="Times New Roman" w:cs="Times New Roman"/>
          <w:i/>
          <w:iCs/>
          <w:sz w:val="24"/>
          <w:szCs w:val="24"/>
        </w:rPr>
        <w:tab/>
        <w:t>Ethnomedicine</w:t>
      </w:r>
      <w:r>
        <w:rPr>
          <w:rFonts w:ascii="Times New Roman" w:eastAsia="Times New Roman" w:hAnsi="Times New Roman" w:cs="Times New Roman"/>
          <w:i/>
          <w:iCs/>
          <w:sz w:val="24"/>
          <w:szCs w:val="24"/>
        </w:rPr>
        <w:t>, 16</w:t>
      </w:r>
      <w:r>
        <w:rPr>
          <w:rFonts w:ascii="Times New Roman" w:eastAsia="Times New Roman" w:hAnsi="Times New Roman" w:cs="Times New Roman"/>
          <w:sz w:val="24"/>
          <w:szCs w:val="24"/>
        </w:rPr>
        <w:t>(1), 1-10.</w:t>
      </w:r>
    </w:p>
    <w:p w14:paraId="27A78FF9"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Guilatco, L. M., Panganiban, K. M., &amp; Telesforo, P. M. (2021). Ethnomedicine in Bukidnon: Traditional</w:t>
      </w:r>
    </w:p>
    <w:p w14:paraId="624B1C65"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plant knowledge and health practices. </w:t>
      </w:r>
      <w:r>
        <w:rPr>
          <w:rFonts w:ascii="Times New Roman" w:eastAsia="Times New Roman" w:hAnsi="Times New Roman" w:cs="Times New Roman"/>
          <w:i/>
          <w:iCs/>
          <w:sz w:val="24"/>
          <w:szCs w:val="24"/>
        </w:rPr>
        <w:t xml:space="preserve">Philippine Journal </w:t>
      </w:r>
      <w:r>
        <w:rPr>
          <w:rFonts w:ascii="Times New Roman" w:eastAsia="Times New Roman" w:hAnsi="Times New Roman" w:cs="Times New Roman"/>
          <w:i/>
          <w:iCs/>
          <w:sz w:val="24"/>
          <w:szCs w:val="24"/>
        </w:rPr>
        <w:tab/>
        <w:t>of Science, 150</w:t>
      </w:r>
      <w:r>
        <w:rPr>
          <w:rFonts w:ascii="Times New Roman" w:eastAsia="Times New Roman" w:hAnsi="Times New Roman" w:cs="Times New Roman"/>
          <w:sz w:val="24"/>
          <w:szCs w:val="24"/>
        </w:rPr>
        <w:t>(1), 50-65.</w:t>
      </w:r>
    </w:p>
    <w:p w14:paraId="768D3FD5"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Hernández, J., &amp; et al. (2019). Integrating traditio</w:t>
      </w:r>
      <w:r>
        <w:rPr>
          <w:rFonts w:ascii="Times New Roman" w:eastAsia="Times New Roman" w:hAnsi="Times New Roman" w:cs="Times New Roman"/>
          <w:sz w:val="24"/>
          <w:szCs w:val="24"/>
        </w:rPr>
        <w:t xml:space="preserve">nal knowledge in education: A case </w:t>
      </w:r>
      <w:r>
        <w:rPr>
          <w:rFonts w:ascii="Times New Roman" w:eastAsia="Times New Roman" w:hAnsi="Times New Roman" w:cs="Times New Roman"/>
          <w:sz w:val="24"/>
          <w:szCs w:val="24"/>
        </w:rPr>
        <w:tab/>
        <w:t xml:space="preserve">study of a </w:t>
      </w:r>
    </w:p>
    <w:p w14:paraId="23D6B2DC"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Mexican community. </w:t>
      </w:r>
      <w:r>
        <w:rPr>
          <w:rFonts w:ascii="Times New Roman" w:eastAsia="Times New Roman" w:hAnsi="Times New Roman" w:cs="Times New Roman"/>
          <w:i/>
          <w:iCs/>
          <w:sz w:val="24"/>
          <w:szCs w:val="24"/>
        </w:rPr>
        <w:t>Environmental Education Research, 25</w:t>
      </w:r>
      <w:r>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ab/>
        <w:t>1513-1530.</w:t>
      </w:r>
    </w:p>
    <w:p w14:paraId="7E986BB9"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Hernández, J., &amp; et al. (2021). Integrating traditional medicine into education: Opportunities and</w:t>
      </w:r>
    </w:p>
    <w:p w14:paraId="38699530" w14:textId="77777777" w:rsidR="00DA2B3A" w:rsidRDefault="001C1F83">
      <w:pPr>
        <w:spacing w:before="240"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challenges </w:t>
      </w:r>
      <w:r>
        <w:rPr>
          <w:rFonts w:ascii="Times New Roman" w:eastAsia="Times New Roman" w:hAnsi="Times New Roman" w:cs="Times New Roman"/>
          <w:sz w:val="24"/>
          <w:szCs w:val="24"/>
        </w:rPr>
        <w:tab/>
        <w:t xml:space="preserve">in Mexico. </w:t>
      </w:r>
      <w:r>
        <w:rPr>
          <w:rFonts w:ascii="Times New Roman" w:eastAsia="Times New Roman" w:hAnsi="Times New Roman" w:cs="Times New Roman"/>
          <w:i/>
          <w:iCs/>
          <w:sz w:val="24"/>
          <w:szCs w:val="24"/>
        </w:rPr>
        <w:t>Environment</w:t>
      </w:r>
      <w:r>
        <w:rPr>
          <w:rFonts w:ascii="Times New Roman" w:eastAsia="Times New Roman" w:hAnsi="Times New Roman" w:cs="Times New Roman"/>
          <w:i/>
          <w:iCs/>
          <w:sz w:val="24"/>
          <w:szCs w:val="24"/>
        </w:rPr>
        <w:t>al Education Research, 27</w:t>
      </w:r>
      <w:r>
        <w:rPr>
          <w:rFonts w:ascii="Times New Roman" w:eastAsia="Times New Roman" w:hAnsi="Times New Roman" w:cs="Times New Roman"/>
          <w:sz w:val="24"/>
          <w:szCs w:val="24"/>
        </w:rPr>
        <w:t>(2), 183-197.</w:t>
      </w:r>
    </w:p>
    <w:p w14:paraId="458D2B61"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Jenkins, K., &amp; et al. (2013). Policy approaches to integrate traditional and complementary </w:t>
      </w:r>
    </w:p>
    <w:p w14:paraId="53C5F304"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medicine into national health systems: A global perspective. </w:t>
      </w:r>
      <w:r>
        <w:rPr>
          <w:rFonts w:ascii="Times New Roman" w:eastAsia="Times New Roman" w:hAnsi="Times New Roman" w:cs="Times New Roman"/>
          <w:i/>
          <w:iCs/>
          <w:sz w:val="24"/>
          <w:szCs w:val="24"/>
        </w:rPr>
        <w:t>World Health Organization.</w:t>
      </w:r>
    </w:p>
    <w:p w14:paraId="6C08C4EE"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Jenkins, K., &amp; et al. (2018). Policy</w:t>
      </w:r>
      <w:r>
        <w:rPr>
          <w:rFonts w:ascii="Times New Roman" w:eastAsia="Times New Roman" w:hAnsi="Times New Roman" w:cs="Times New Roman"/>
          <w:sz w:val="24"/>
          <w:szCs w:val="24"/>
        </w:rPr>
        <w:t xml:space="preserve"> approaches to integrate traditional and complementary </w:t>
      </w:r>
    </w:p>
    <w:p w14:paraId="2777CE8E"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medicine into national health systems: A global perspective. </w:t>
      </w:r>
      <w:r>
        <w:rPr>
          <w:rFonts w:ascii="Times New Roman" w:eastAsia="Times New Roman" w:hAnsi="Times New Roman" w:cs="Times New Roman"/>
          <w:i/>
          <w:iCs/>
          <w:sz w:val="24"/>
          <w:szCs w:val="24"/>
        </w:rPr>
        <w:t>World Health Organization.</w:t>
      </w:r>
    </w:p>
    <w:p w14:paraId="3A3BED3C"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Kahumba, W. M., &amp; et al. (2018). Medicinal plants used by the Bakongo people in the Democratic</w:t>
      </w:r>
    </w:p>
    <w:p w14:paraId="2808F3DC" w14:textId="77777777" w:rsidR="00DA2B3A" w:rsidRDefault="001C1F83">
      <w:pPr>
        <w:spacing w:before="240"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Republic </w:t>
      </w:r>
      <w:r>
        <w:rPr>
          <w:rFonts w:ascii="Times New Roman" w:eastAsia="Times New Roman" w:hAnsi="Times New Roman" w:cs="Times New Roman"/>
          <w:sz w:val="24"/>
          <w:szCs w:val="24"/>
        </w:rPr>
        <w:tab/>
        <w:t>of Co</w:t>
      </w:r>
      <w:r>
        <w:rPr>
          <w:rFonts w:ascii="Times New Roman" w:eastAsia="Times New Roman" w:hAnsi="Times New Roman" w:cs="Times New Roman"/>
          <w:sz w:val="24"/>
          <w:szCs w:val="24"/>
        </w:rPr>
        <w:t xml:space="preserve">ngo. </w:t>
      </w:r>
      <w:r>
        <w:rPr>
          <w:rFonts w:ascii="Times New Roman" w:eastAsia="Times New Roman" w:hAnsi="Times New Roman" w:cs="Times New Roman"/>
          <w:i/>
          <w:iCs/>
          <w:sz w:val="24"/>
          <w:szCs w:val="24"/>
        </w:rPr>
        <w:t>Journal of Ethnobiology and Ethnomedicine, 14</w:t>
      </w:r>
      <w:r>
        <w:rPr>
          <w:rFonts w:ascii="Times New Roman" w:eastAsia="Times New Roman" w:hAnsi="Times New Roman" w:cs="Times New Roman"/>
          <w:sz w:val="24"/>
          <w:szCs w:val="24"/>
        </w:rPr>
        <w:t>(1), 1-12.</w:t>
      </w:r>
    </w:p>
    <w:p w14:paraId="7A800953"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Labrador, R., &amp; Reyes, A. (2020). Family dynamics in the transmission of </w:t>
      </w:r>
      <w:r>
        <w:rPr>
          <w:rFonts w:ascii="Times New Roman" w:eastAsia="Times New Roman" w:hAnsi="Times New Roman" w:cs="Times New Roman"/>
          <w:sz w:val="24"/>
          <w:szCs w:val="24"/>
        </w:rPr>
        <w:tab/>
        <w:t>ethnomedicinal knowledge: A</w:t>
      </w:r>
    </w:p>
    <w:p w14:paraId="1CF29D28"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gender perspective. </w:t>
      </w:r>
      <w:r>
        <w:rPr>
          <w:rFonts w:ascii="Times New Roman" w:eastAsia="Times New Roman" w:hAnsi="Times New Roman" w:cs="Times New Roman"/>
          <w:i/>
          <w:iCs/>
          <w:sz w:val="24"/>
          <w:szCs w:val="24"/>
        </w:rPr>
        <w:t>Journal of Ethnobotany, 4</w:t>
      </w:r>
      <w:r>
        <w:rPr>
          <w:rFonts w:ascii="Times New Roman" w:eastAsia="Times New Roman" w:hAnsi="Times New Roman" w:cs="Times New Roman"/>
          <w:sz w:val="24"/>
          <w:szCs w:val="24"/>
        </w:rPr>
        <w:t>(2), 45-56.</w:t>
      </w:r>
    </w:p>
    <w:p w14:paraId="2283BF81"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Lazcano, C., &amp; et al. (2019). Traditional medicine contributions to public health in Brazil: A qualitative </w:t>
      </w:r>
    </w:p>
    <w:p w14:paraId="335685A4"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study. </w:t>
      </w:r>
      <w:r>
        <w:rPr>
          <w:rFonts w:ascii="Times New Roman" w:eastAsia="Times New Roman" w:hAnsi="Times New Roman" w:cs="Times New Roman"/>
          <w:i/>
          <w:iCs/>
          <w:sz w:val="24"/>
          <w:szCs w:val="24"/>
        </w:rPr>
        <w:t>Journal of Community Health, 44</w:t>
      </w:r>
      <w:r>
        <w:rPr>
          <w:rFonts w:ascii="Times New Roman" w:eastAsia="Times New Roman" w:hAnsi="Times New Roman" w:cs="Times New Roman"/>
          <w:sz w:val="24"/>
          <w:szCs w:val="24"/>
        </w:rPr>
        <w:t>(5), 852-860.</w:t>
      </w:r>
    </w:p>
    <w:p w14:paraId="1951ACE3"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Lazcano, C., &amp; et al. (2022). The role of indigenous knowledge in health care: A study of local</w:t>
      </w:r>
      <w:r>
        <w:rPr>
          <w:rFonts w:ascii="Times New Roman" w:eastAsia="Times New Roman" w:hAnsi="Times New Roman" w:cs="Times New Roman"/>
          <w:sz w:val="24"/>
          <w:szCs w:val="24"/>
        </w:rPr>
        <w:t xml:space="preserve"> practices</w:t>
      </w:r>
    </w:p>
    <w:p w14:paraId="6D623ECE" w14:textId="77777777" w:rsidR="00DA2B3A" w:rsidRDefault="001C1F83">
      <w:pPr>
        <w:spacing w:before="240"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w:t>
      </w:r>
      <w:r>
        <w:rPr>
          <w:rFonts w:ascii="Times New Roman" w:eastAsia="Times New Roman" w:hAnsi="Times New Roman" w:cs="Times New Roman"/>
          <w:sz w:val="24"/>
          <w:szCs w:val="24"/>
        </w:rPr>
        <w:tab/>
        <w:t xml:space="preserve">rural areas. </w:t>
      </w:r>
      <w:r>
        <w:rPr>
          <w:rFonts w:ascii="Times New Roman" w:eastAsia="Times New Roman" w:hAnsi="Times New Roman" w:cs="Times New Roman"/>
          <w:i/>
          <w:iCs/>
          <w:sz w:val="24"/>
          <w:szCs w:val="24"/>
        </w:rPr>
        <w:t>Journal of Rural Studies, 89</w:t>
      </w:r>
      <w:r>
        <w:rPr>
          <w:rFonts w:ascii="Times New Roman" w:eastAsia="Times New Roman" w:hAnsi="Times New Roman" w:cs="Times New Roman"/>
          <w:sz w:val="24"/>
          <w:szCs w:val="24"/>
        </w:rPr>
        <w:t>, 45-55.</w:t>
      </w:r>
    </w:p>
    <w:p w14:paraId="6D104378"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Magtangkil, J. F., &amp; et al. (2019). Medicinal plants utilized by local healers in the </w:t>
      </w:r>
      <w:r>
        <w:rPr>
          <w:rFonts w:ascii="Times New Roman" w:eastAsia="Times New Roman" w:hAnsi="Times New Roman" w:cs="Times New Roman"/>
          <w:sz w:val="24"/>
          <w:szCs w:val="24"/>
        </w:rPr>
        <w:tab/>
        <w:t xml:space="preserve">Cordillera Region, </w:t>
      </w:r>
    </w:p>
    <w:p w14:paraId="23F93C52"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Philippines. </w:t>
      </w:r>
      <w:r>
        <w:rPr>
          <w:rFonts w:ascii="Times New Roman" w:eastAsia="Times New Roman" w:hAnsi="Times New Roman" w:cs="Times New Roman"/>
          <w:i/>
          <w:iCs/>
          <w:sz w:val="24"/>
          <w:szCs w:val="24"/>
        </w:rPr>
        <w:t>Philippine Journal of Traditional Medicine, 14</w:t>
      </w:r>
      <w:r>
        <w:rPr>
          <w:rFonts w:ascii="Times New Roman" w:eastAsia="Times New Roman" w:hAnsi="Times New Roman" w:cs="Times New Roman"/>
          <w:sz w:val="24"/>
          <w:szCs w:val="24"/>
        </w:rPr>
        <w:t>(3), 201-210.</w:t>
      </w:r>
    </w:p>
    <w:p w14:paraId="2B8BD4A8"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Mariano, </w:t>
      </w:r>
      <w:r>
        <w:rPr>
          <w:rFonts w:ascii="Times New Roman" w:eastAsia="Times New Roman" w:hAnsi="Times New Roman" w:cs="Times New Roman"/>
          <w:sz w:val="24"/>
          <w:szCs w:val="24"/>
        </w:rPr>
        <w:t xml:space="preserve">J. C., &amp; et al. (2021). Young men’s perceptions of traditional healing practices </w:t>
      </w:r>
      <w:r>
        <w:rPr>
          <w:rFonts w:ascii="Times New Roman" w:eastAsia="Times New Roman" w:hAnsi="Times New Roman" w:cs="Times New Roman"/>
          <w:sz w:val="24"/>
          <w:szCs w:val="24"/>
        </w:rPr>
        <w:tab/>
        <w:t xml:space="preserve">in the </w:t>
      </w:r>
    </w:p>
    <w:p w14:paraId="2E69F3B8"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Philippines. </w:t>
      </w:r>
      <w:r>
        <w:rPr>
          <w:rFonts w:ascii="Times New Roman" w:eastAsia="Times New Roman" w:hAnsi="Times New Roman" w:cs="Times New Roman"/>
          <w:i/>
          <w:iCs/>
          <w:sz w:val="24"/>
          <w:szCs w:val="24"/>
        </w:rPr>
        <w:t>Journal of Youth Studies, 10</w:t>
      </w:r>
      <w:r>
        <w:rPr>
          <w:rFonts w:ascii="Times New Roman" w:eastAsia="Times New Roman" w:hAnsi="Times New Roman" w:cs="Times New Roman"/>
          <w:sz w:val="24"/>
          <w:szCs w:val="24"/>
        </w:rPr>
        <w:t>(3), 78-89.</w:t>
      </w:r>
    </w:p>
    <w:p w14:paraId="31B7A6A5"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Mazzocca, C., &amp; et al. (2016). Traditional healing practices in indigenous communities: </w:t>
      </w:r>
      <w:r>
        <w:rPr>
          <w:rFonts w:ascii="Times New Roman" w:eastAsia="Times New Roman" w:hAnsi="Times New Roman" w:cs="Times New Roman"/>
          <w:sz w:val="24"/>
          <w:szCs w:val="24"/>
        </w:rPr>
        <w:tab/>
        <w:t xml:space="preserve">A case </w:t>
      </w:r>
      <w:r>
        <w:rPr>
          <w:rFonts w:ascii="Times New Roman" w:eastAsia="Times New Roman" w:hAnsi="Times New Roman" w:cs="Times New Roman"/>
          <w:sz w:val="24"/>
          <w:szCs w:val="24"/>
        </w:rPr>
        <w:tab/>
        <w:t>study</w:t>
      </w:r>
    </w:p>
    <w:p w14:paraId="6D80E8BF"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from th</w:t>
      </w:r>
      <w:r>
        <w:rPr>
          <w:rFonts w:ascii="Times New Roman" w:eastAsia="Times New Roman" w:hAnsi="Times New Roman" w:cs="Times New Roman"/>
          <w:sz w:val="24"/>
          <w:szCs w:val="24"/>
        </w:rPr>
        <w:t xml:space="preserve">e Amazon Rainforest. </w:t>
      </w:r>
      <w:r>
        <w:rPr>
          <w:rFonts w:ascii="Times New Roman" w:eastAsia="Times New Roman" w:hAnsi="Times New Roman" w:cs="Times New Roman"/>
          <w:i/>
          <w:iCs/>
          <w:sz w:val="24"/>
          <w:szCs w:val="24"/>
        </w:rPr>
        <w:t>Journal of Traditional Medicine, 7</w:t>
      </w:r>
      <w:r>
        <w:rPr>
          <w:rFonts w:ascii="Times New Roman" w:eastAsia="Times New Roman" w:hAnsi="Times New Roman" w:cs="Times New Roman"/>
          <w:sz w:val="24"/>
          <w:szCs w:val="24"/>
        </w:rPr>
        <w:t>(3), 50-160.</w:t>
      </w:r>
    </w:p>
    <w:p w14:paraId="056DDB4E"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Mazzocca, C., &amp; et al. (2021). Traditional medicine and healthcare systems in Tanzania: </w:t>
      </w:r>
      <w:r>
        <w:rPr>
          <w:rFonts w:ascii="Times New Roman" w:eastAsia="Times New Roman" w:hAnsi="Times New Roman" w:cs="Times New Roman"/>
          <w:sz w:val="24"/>
          <w:szCs w:val="24"/>
        </w:rPr>
        <w:tab/>
        <w:t xml:space="preserve">A comparative </w:t>
      </w:r>
    </w:p>
    <w:p w14:paraId="6282F2CF"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study. </w:t>
      </w:r>
      <w:r>
        <w:rPr>
          <w:rFonts w:ascii="Times New Roman" w:eastAsia="Times New Roman" w:hAnsi="Times New Roman" w:cs="Times New Roman"/>
          <w:i/>
          <w:iCs/>
          <w:sz w:val="24"/>
          <w:szCs w:val="24"/>
        </w:rPr>
        <w:t xml:space="preserve">African Journal of Traditional, Complementary, and </w:t>
      </w:r>
      <w:r>
        <w:rPr>
          <w:rFonts w:ascii="Times New Roman" w:eastAsia="Times New Roman" w:hAnsi="Times New Roman" w:cs="Times New Roman"/>
          <w:i/>
          <w:iCs/>
          <w:sz w:val="24"/>
          <w:szCs w:val="24"/>
        </w:rPr>
        <w:tab/>
        <w:t>Alternative Medicines, 1</w:t>
      </w:r>
      <w:r>
        <w:rPr>
          <w:rFonts w:ascii="Times New Roman" w:eastAsia="Times New Roman" w:hAnsi="Times New Roman" w:cs="Times New Roman"/>
          <w:i/>
          <w:iCs/>
          <w:sz w:val="24"/>
          <w:szCs w:val="24"/>
        </w:rPr>
        <w:t>8</w:t>
      </w:r>
      <w:r>
        <w:rPr>
          <w:rFonts w:ascii="Times New Roman" w:eastAsia="Times New Roman" w:hAnsi="Times New Roman" w:cs="Times New Roman"/>
          <w:sz w:val="24"/>
          <w:szCs w:val="24"/>
        </w:rPr>
        <w:t>(2), 112-124.</w:t>
      </w:r>
    </w:p>
    <w:p w14:paraId="54A9E73C"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Mayer, J., &amp; et al. (2019). Climate change and traditional healing practices in indigenous </w:t>
      </w:r>
      <w:r>
        <w:rPr>
          <w:rFonts w:ascii="Times New Roman" w:eastAsia="Times New Roman" w:hAnsi="Times New Roman" w:cs="Times New Roman"/>
          <w:sz w:val="24"/>
          <w:szCs w:val="24"/>
        </w:rPr>
        <w:tab/>
        <w:t>communities in</w:t>
      </w:r>
    </w:p>
    <w:p w14:paraId="1518C230"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Canada. </w:t>
      </w:r>
      <w:r>
        <w:rPr>
          <w:rFonts w:ascii="Times New Roman" w:eastAsia="Times New Roman" w:hAnsi="Times New Roman" w:cs="Times New Roman"/>
          <w:i/>
          <w:iCs/>
          <w:sz w:val="24"/>
          <w:szCs w:val="24"/>
        </w:rPr>
        <w:t>Journal of Traditional Medicine, 8</w:t>
      </w:r>
      <w:r>
        <w:rPr>
          <w:rFonts w:ascii="Times New Roman" w:eastAsia="Times New Roman" w:hAnsi="Times New Roman" w:cs="Times New Roman"/>
          <w:sz w:val="24"/>
          <w:szCs w:val="24"/>
        </w:rPr>
        <w:t>(2), 100-112.</w:t>
      </w:r>
    </w:p>
    <w:p w14:paraId="71DE79A9"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Meyer, J., &amp; et al. (2020). Barriers to implementing policies for traditiona</w:t>
      </w:r>
      <w:r>
        <w:rPr>
          <w:rFonts w:ascii="Times New Roman" w:eastAsia="Times New Roman" w:hAnsi="Times New Roman" w:cs="Times New Roman"/>
          <w:sz w:val="24"/>
          <w:szCs w:val="24"/>
        </w:rPr>
        <w:t xml:space="preserve">l medicine: Perspectives from </w:t>
      </w:r>
    </w:p>
    <w:p w14:paraId="7EEE3A82"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indigenous communities. </w:t>
      </w:r>
      <w:r>
        <w:rPr>
          <w:rFonts w:ascii="Times New Roman" w:eastAsia="Times New Roman" w:hAnsi="Times New Roman" w:cs="Times New Roman"/>
          <w:i/>
          <w:iCs/>
          <w:sz w:val="24"/>
          <w:szCs w:val="24"/>
        </w:rPr>
        <w:t>Health Policy and Planning, 35</w:t>
      </w:r>
      <w:r>
        <w:rPr>
          <w:rFonts w:ascii="Times New Roman" w:eastAsia="Times New Roman" w:hAnsi="Times New Roman" w:cs="Times New Roman"/>
          <w:sz w:val="24"/>
          <w:szCs w:val="24"/>
        </w:rPr>
        <w:t>(1), 78-87.</w:t>
      </w:r>
    </w:p>
    <w:p w14:paraId="14477FA5"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Michel, J., &amp; et al. (2019). The impact of cultural identity on traditional medicine </w:t>
      </w:r>
      <w:r>
        <w:rPr>
          <w:rFonts w:ascii="Times New Roman" w:eastAsia="Times New Roman" w:hAnsi="Times New Roman" w:cs="Times New Roman"/>
          <w:sz w:val="24"/>
          <w:szCs w:val="24"/>
        </w:rPr>
        <w:tab/>
        <w:t>practices in rural Peru.</w:t>
      </w:r>
    </w:p>
    <w:p w14:paraId="15F89E82"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b/>
        <w:t>Journal of Traditional Medicine, 5</w:t>
      </w:r>
      <w:r>
        <w:rPr>
          <w:rFonts w:ascii="Times New Roman" w:eastAsia="Times New Roman" w:hAnsi="Times New Roman" w:cs="Times New Roman"/>
          <w:sz w:val="24"/>
          <w:szCs w:val="24"/>
        </w:rPr>
        <w:t>(1), 44-53.</w:t>
      </w:r>
    </w:p>
    <w:p w14:paraId="7DE5923A"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Nunez, I., &amp; et al. (2022). Medicinal plant knowledge among indigenous communities in </w:t>
      </w:r>
      <w:r>
        <w:rPr>
          <w:rFonts w:ascii="Times New Roman" w:eastAsia="Times New Roman" w:hAnsi="Times New Roman" w:cs="Times New Roman"/>
          <w:sz w:val="24"/>
          <w:szCs w:val="24"/>
        </w:rPr>
        <w:tab/>
        <w:t xml:space="preserve">Puerto </w:t>
      </w:r>
      <w:r>
        <w:rPr>
          <w:rFonts w:ascii="Times New Roman" w:eastAsia="Times New Roman" w:hAnsi="Times New Roman" w:cs="Times New Roman"/>
          <w:sz w:val="24"/>
          <w:szCs w:val="24"/>
        </w:rPr>
        <w:tab/>
        <w:t>Rico.</w:t>
      </w:r>
    </w:p>
    <w:p w14:paraId="6B27B354"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b/>
        <w:t>Journal of Ethnobiology, 42</w:t>
      </w:r>
      <w:r>
        <w:rPr>
          <w:rFonts w:ascii="Times New Roman" w:eastAsia="Times New Roman" w:hAnsi="Times New Roman" w:cs="Times New Roman"/>
          <w:sz w:val="24"/>
          <w:szCs w:val="24"/>
        </w:rPr>
        <w:t>(4), 643-658.</w:t>
      </w:r>
    </w:p>
    <w:p w14:paraId="6D178BE2"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Ocampo, A. B., &amp; et al. (2019). Ethical considerations in documenting indigenous knowledge: A </w:t>
      </w:r>
    </w:p>
    <w:p w14:paraId="3B5E4C5F"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case study in t</w:t>
      </w:r>
      <w:r>
        <w:rPr>
          <w:rFonts w:ascii="Times New Roman" w:eastAsia="Times New Roman" w:hAnsi="Times New Roman" w:cs="Times New Roman"/>
          <w:sz w:val="24"/>
          <w:szCs w:val="24"/>
        </w:rPr>
        <w:t xml:space="preserve">he Philippines. </w:t>
      </w:r>
      <w:r>
        <w:rPr>
          <w:rFonts w:ascii="Times New Roman" w:eastAsia="Times New Roman" w:hAnsi="Times New Roman" w:cs="Times New Roman"/>
          <w:i/>
          <w:iCs/>
          <w:sz w:val="24"/>
          <w:szCs w:val="24"/>
        </w:rPr>
        <w:t>Journal of Applied Ethics, 15</w:t>
      </w:r>
      <w:r>
        <w:rPr>
          <w:rFonts w:ascii="Times New Roman" w:eastAsia="Times New Roman" w:hAnsi="Times New Roman" w:cs="Times New Roman"/>
          <w:sz w:val="24"/>
          <w:szCs w:val="24"/>
        </w:rPr>
        <w:t>(1), 1-</w:t>
      </w:r>
      <w:r>
        <w:rPr>
          <w:rFonts w:ascii="Times New Roman" w:eastAsia="Times New Roman" w:hAnsi="Times New Roman" w:cs="Times New Roman"/>
          <w:sz w:val="24"/>
          <w:szCs w:val="24"/>
        </w:rPr>
        <w:tab/>
        <w:t>12.</w:t>
      </w:r>
    </w:p>
    <w:p w14:paraId="2BA4A850"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Ocampo, R. J., &amp; et al. (2020). Youth engagement in traditional medicine practices: Implications </w:t>
      </w:r>
      <w:r>
        <w:rPr>
          <w:rFonts w:ascii="Times New Roman" w:eastAsia="Times New Roman" w:hAnsi="Times New Roman" w:cs="Times New Roman"/>
          <w:sz w:val="24"/>
          <w:szCs w:val="24"/>
        </w:rPr>
        <w:tab/>
        <w:t>for</w:t>
      </w:r>
    </w:p>
    <w:p w14:paraId="66D9C9B2" w14:textId="77777777" w:rsidR="00DA2B3A" w:rsidRDefault="001C1F83">
      <w:pPr>
        <w:spacing w:before="240"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education and policy. </w:t>
      </w:r>
      <w:r>
        <w:rPr>
          <w:rFonts w:ascii="Times New Roman" w:eastAsia="Times New Roman" w:hAnsi="Times New Roman" w:cs="Times New Roman"/>
          <w:i/>
          <w:iCs/>
          <w:sz w:val="24"/>
          <w:szCs w:val="24"/>
        </w:rPr>
        <w:t xml:space="preserve">International Journal of Science </w:t>
      </w:r>
      <w:r>
        <w:rPr>
          <w:rFonts w:ascii="Times New Roman" w:eastAsia="Times New Roman" w:hAnsi="Times New Roman" w:cs="Times New Roman"/>
          <w:i/>
          <w:iCs/>
          <w:sz w:val="24"/>
          <w:szCs w:val="24"/>
        </w:rPr>
        <w:tab/>
        <w:t>Education, 42</w:t>
      </w:r>
      <w:r>
        <w:rPr>
          <w:rFonts w:ascii="Times New Roman" w:eastAsia="Times New Roman" w:hAnsi="Times New Roman" w:cs="Times New Roman"/>
          <w:sz w:val="24"/>
          <w:szCs w:val="24"/>
        </w:rPr>
        <w:t>(4), 457-471.</w:t>
      </w:r>
    </w:p>
    <w:p w14:paraId="4C1B9A30"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Panganiban, K</w:t>
      </w:r>
      <w:r>
        <w:rPr>
          <w:rFonts w:ascii="Times New Roman" w:eastAsia="Times New Roman" w:hAnsi="Times New Roman" w:cs="Times New Roman"/>
          <w:sz w:val="24"/>
          <w:szCs w:val="24"/>
        </w:rPr>
        <w:t xml:space="preserve">. M., &amp; et al. (2017). Intergenerational transmission of ethnobotanical knowledge: A case </w:t>
      </w:r>
    </w:p>
    <w:p w14:paraId="59F70C30"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study in Mindanao. </w:t>
      </w:r>
      <w:r>
        <w:rPr>
          <w:rFonts w:ascii="Times New Roman" w:eastAsia="Times New Roman" w:hAnsi="Times New Roman" w:cs="Times New Roman"/>
          <w:i/>
          <w:iCs/>
          <w:sz w:val="24"/>
          <w:szCs w:val="24"/>
        </w:rPr>
        <w:t>Journal of Ethnobiology and Ethnomedicine, 13</w:t>
      </w:r>
      <w:r>
        <w:rPr>
          <w:rFonts w:ascii="Times New Roman" w:eastAsia="Times New Roman" w:hAnsi="Times New Roman" w:cs="Times New Roman"/>
          <w:sz w:val="24"/>
          <w:szCs w:val="24"/>
        </w:rPr>
        <w:t>(1), 1-10.</w:t>
      </w:r>
    </w:p>
    <w:p w14:paraId="759B64BA"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Parajuli, K., &amp; et al. (2018). Medicinal plants used by ethnic communities in Nepal: An e</w:t>
      </w:r>
      <w:r>
        <w:rPr>
          <w:rFonts w:ascii="Times New Roman" w:eastAsia="Times New Roman" w:hAnsi="Times New Roman" w:cs="Times New Roman"/>
          <w:sz w:val="24"/>
          <w:szCs w:val="24"/>
        </w:rPr>
        <w:t>thnobotanical</w:t>
      </w:r>
    </w:p>
    <w:p w14:paraId="657424DC"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study. </w:t>
      </w:r>
      <w:r>
        <w:rPr>
          <w:rFonts w:ascii="Times New Roman" w:eastAsia="Times New Roman" w:hAnsi="Times New Roman" w:cs="Times New Roman"/>
          <w:i/>
          <w:iCs/>
          <w:sz w:val="24"/>
          <w:szCs w:val="24"/>
        </w:rPr>
        <w:t>Journal of Ethnobiology and Ethnomedicine, 14</w:t>
      </w:r>
      <w:r>
        <w:rPr>
          <w:rFonts w:ascii="Times New Roman" w:eastAsia="Times New Roman" w:hAnsi="Times New Roman" w:cs="Times New Roman"/>
          <w:sz w:val="24"/>
          <w:szCs w:val="24"/>
        </w:rPr>
        <w:t>(1), 1-10.</w:t>
      </w:r>
    </w:p>
    <w:p w14:paraId="33B6FE57"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Pelaez, R., &amp; et al. (2021). Knowledge and practices related to traditional medicine among the Mangyan</w:t>
      </w:r>
    </w:p>
    <w:p w14:paraId="0E481119"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community in Mindoro. </w:t>
      </w:r>
      <w:r>
        <w:rPr>
          <w:rFonts w:ascii="Times New Roman" w:eastAsia="Times New Roman" w:hAnsi="Times New Roman" w:cs="Times New Roman"/>
          <w:i/>
          <w:iCs/>
          <w:sz w:val="24"/>
          <w:szCs w:val="24"/>
        </w:rPr>
        <w:t>Philippine Journal of Ethnobiology, 3</w:t>
      </w: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22-33.</w:t>
      </w:r>
    </w:p>
    <w:p w14:paraId="7DC4961D"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Quimado, M. A., &amp; et al. (2019). Traditional healing practices in a lowland indigenous community in the </w:t>
      </w:r>
    </w:p>
    <w:p w14:paraId="79BFD2EA"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Philippines. </w:t>
      </w:r>
      <w:r>
        <w:rPr>
          <w:rFonts w:ascii="Times New Roman" w:eastAsia="Times New Roman" w:hAnsi="Times New Roman" w:cs="Times New Roman"/>
          <w:i/>
          <w:iCs/>
          <w:sz w:val="24"/>
          <w:szCs w:val="24"/>
        </w:rPr>
        <w:t>Journal of Ethnobiology and Ethnomedicine, 15</w:t>
      </w:r>
      <w:r>
        <w:rPr>
          <w:rFonts w:ascii="Times New Roman" w:eastAsia="Times New Roman" w:hAnsi="Times New Roman" w:cs="Times New Roman"/>
          <w:sz w:val="24"/>
          <w:szCs w:val="24"/>
        </w:rPr>
        <w:t>(1), 1-11.</w:t>
      </w:r>
    </w:p>
    <w:p w14:paraId="4F0B48ED"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Rega, J., &amp; et al. (2020). Understanding the role of traditional healing i</w:t>
      </w:r>
      <w:r>
        <w:rPr>
          <w:rFonts w:ascii="Times New Roman" w:eastAsia="Times New Roman" w:hAnsi="Times New Roman" w:cs="Times New Roman"/>
          <w:sz w:val="24"/>
          <w:szCs w:val="24"/>
        </w:rPr>
        <w:t xml:space="preserve">n mental health care: Perspectives </w:t>
      </w:r>
    </w:p>
    <w:p w14:paraId="7EF997EA"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from indigenous youth. </w:t>
      </w:r>
      <w:r>
        <w:rPr>
          <w:rFonts w:ascii="Times New Roman" w:eastAsia="Times New Roman" w:hAnsi="Times New Roman" w:cs="Times New Roman"/>
          <w:i/>
          <w:iCs/>
          <w:sz w:val="24"/>
          <w:szCs w:val="24"/>
        </w:rPr>
        <w:t>International Journal of Mental Health Systems, 14</w:t>
      </w:r>
      <w:r>
        <w:rPr>
          <w:rFonts w:ascii="Times New Roman" w:eastAsia="Times New Roman" w:hAnsi="Times New Roman" w:cs="Times New Roman"/>
          <w:sz w:val="24"/>
          <w:szCs w:val="24"/>
        </w:rPr>
        <w:t>, 1-10.</w:t>
      </w:r>
    </w:p>
    <w:p w14:paraId="4845FAD2"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Santos, M. G., &amp; et al. (2018). Ethnobotanical survey of medicinal plants used by the Aeta tribe in</w:t>
      </w:r>
    </w:p>
    <w:p w14:paraId="3FB42C38" w14:textId="77777777" w:rsidR="00DA2B3A" w:rsidRDefault="001C1F83">
      <w:pPr>
        <w:spacing w:before="240"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Central </w:t>
      </w:r>
      <w:r>
        <w:rPr>
          <w:rFonts w:ascii="Times New Roman" w:eastAsia="Times New Roman" w:hAnsi="Times New Roman" w:cs="Times New Roman"/>
          <w:sz w:val="24"/>
          <w:szCs w:val="24"/>
        </w:rPr>
        <w:tab/>
        <w:t xml:space="preserve">Luzon. </w:t>
      </w:r>
      <w:r>
        <w:rPr>
          <w:rFonts w:ascii="Times New Roman" w:eastAsia="Times New Roman" w:hAnsi="Times New Roman" w:cs="Times New Roman"/>
          <w:i/>
          <w:iCs/>
          <w:sz w:val="24"/>
          <w:szCs w:val="24"/>
        </w:rPr>
        <w:t>Philippine Journal of</w:t>
      </w:r>
      <w:r>
        <w:rPr>
          <w:rFonts w:ascii="Times New Roman" w:eastAsia="Times New Roman" w:hAnsi="Times New Roman" w:cs="Times New Roman"/>
          <w:i/>
          <w:iCs/>
          <w:sz w:val="24"/>
          <w:szCs w:val="24"/>
        </w:rPr>
        <w:t xml:space="preserve"> Ethnobotany, 5</w:t>
      </w:r>
      <w:r>
        <w:rPr>
          <w:rFonts w:ascii="Times New Roman" w:eastAsia="Times New Roman" w:hAnsi="Times New Roman" w:cs="Times New Roman"/>
          <w:sz w:val="24"/>
          <w:szCs w:val="24"/>
        </w:rPr>
        <w:t>(2), 34-45.</w:t>
      </w:r>
    </w:p>
    <w:p w14:paraId="7E1149B1"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Salinas, J., &amp; et al. (2018). The importance of traditional medicine in rural health care: A </w:t>
      </w:r>
      <w:r>
        <w:rPr>
          <w:rFonts w:ascii="Times New Roman" w:eastAsia="Times New Roman" w:hAnsi="Times New Roman" w:cs="Times New Roman"/>
          <w:sz w:val="24"/>
          <w:szCs w:val="24"/>
        </w:rPr>
        <w:tab/>
        <w:t xml:space="preserve">qualitative </w:t>
      </w:r>
    </w:p>
    <w:p w14:paraId="7844F3F9"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study in the Philippines. </w:t>
      </w:r>
      <w:r>
        <w:rPr>
          <w:rFonts w:ascii="Times New Roman" w:eastAsia="Times New Roman" w:hAnsi="Times New Roman" w:cs="Times New Roman"/>
          <w:i/>
          <w:iCs/>
          <w:sz w:val="24"/>
          <w:szCs w:val="24"/>
        </w:rPr>
        <w:t>Journal of Rural Health, 34</w:t>
      </w:r>
      <w:r>
        <w:rPr>
          <w:rFonts w:ascii="Times New Roman" w:eastAsia="Times New Roman" w:hAnsi="Times New Roman" w:cs="Times New Roman"/>
          <w:sz w:val="24"/>
          <w:szCs w:val="24"/>
        </w:rPr>
        <w:t>(2), 135-143.</w:t>
      </w:r>
    </w:p>
    <w:p w14:paraId="08508E39"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Telesforo, P. M., &amp; et al. (2019). Conservation of tra</w:t>
      </w:r>
      <w:r>
        <w:rPr>
          <w:rFonts w:ascii="Times New Roman" w:eastAsia="Times New Roman" w:hAnsi="Times New Roman" w:cs="Times New Roman"/>
          <w:sz w:val="24"/>
          <w:szCs w:val="24"/>
        </w:rPr>
        <w:t>ditional knowledge in ethnomedicine: Implications</w:t>
      </w:r>
    </w:p>
    <w:p w14:paraId="156CD070" w14:textId="77777777" w:rsidR="00DA2B3A" w:rsidRDefault="001C1F83">
      <w:pPr>
        <w:spacing w:before="240"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for </w:t>
      </w:r>
      <w:r>
        <w:rPr>
          <w:rFonts w:ascii="Times New Roman" w:eastAsia="Times New Roman" w:hAnsi="Times New Roman" w:cs="Times New Roman"/>
          <w:sz w:val="24"/>
          <w:szCs w:val="24"/>
        </w:rPr>
        <w:tab/>
        <w:t xml:space="preserve">biodiversity. </w:t>
      </w:r>
      <w:r>
        <w:rPr>
          <w:rFonts w:ascii="Times New Roman" w:eastAsia="Times New Roman" w:hAnsi="Times New Roman" w:cs="Times New Roman"/>
          <w:i/>
          <w:iCs/>
          <w:sz w:val="24"/>
          <w:szCs w:val="24"/>
        </w:rPr>
        <w:t>Conservation Biology, 33</w:t>
      </w:r>
      <w:r>
        <w:rPr>
          <w:rFonts w:ascii="Times New Roman" w:eastAsia="Times New Roman" w:hAnsi="Times New Roman" w:cs="Times New Roman"/>
          <w:sz w:val="24"/>
          <w:szCs w:val="24"/>
        </w:rPr>
        <w:t>(5), 1190-1198.</w:t>
      </w:r>
    </w:p>
    <w:p w14:paraId="0A852737"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Tolentino, C. A., &amp; et al. (2020). Ethnobotanical knowledge among indigenous students </w:t>
      </w:r>
      <w:r>
        <w:rPr>
          <w:rFonts w:ascii="Times New Roman" w:eastAsia="Times New Roman" w:hAnsi="Times New Roman" w:cs="Times New Roman"/>
          <w:sz w:val="24"/>
          <w:szCs w:val="24"/>
        </w:rPr>
        <w:tab/>
        <w:t xml:space="preserve">in the </w:t>
      </w:r>
    </w:p>
    <w:p w14:paraId="313E2A3F"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Philippines: A case study of K-12 education. </w:t>
      </w:r>
      <w:r>
        <w:rPr>
          <w:rFonts w:ascii="Times New Roman" w:eastAsia="Times New Roman" w:hAnsi="Times New Roman" w:cs="Times New Roman"/>
          <w:i/>
          <w:iCs/>
          <w:sz w:val="24"/>
          <w:szCs w:val="24"/>
        </w:rPr>
        <w:t>Phili</w:t>
      </w:r>
      <w:r>
        <w:rPr>
          <w:rFonts w:ascii="Times New Roman" w:eastAsia="Times New Roman" w:hAnsi="Times New Roman" w:cs="Times New Roman"/>
          <w:i/>
          <w:iCs/>
          <w:sz w:val="24"/>
          <w:szCs w:val="24"/>
        </w:rPr>
        <w:t xml:space="preserve">ppine Journal of </w:t>
      </w:r>
      <w:r>
        <w:rPr>
          <w:rFonts w:ascii="Times New Roman" w:eastAsia="Times New Roman" w:hAnsi="Times New Roman" w:cs="Times New Roman"/>
          <w:i/>
          <w:iCs/>
          <w:sz w:val="24"/>
          <w:szCs w:val="24"/>
        </w:rPr>
        <w:tab/>
        <w:t>Education, 7</w:t>
      </w:r>
      <w:r>
        <w:rPr>
          <w:rFonts w:ascii="Times New Roman" w:eastAsia="Times New Roman" w:hAnsi="Times New Roman" w:cs="Times New Roman"/>
          <w:sz w:val="24"/>
          <w:szCs w:val="24"/>
        </w:rPr>
        <w:t>(3), 55-66.</w:t>
      </w:r>
    </w:p>
    <w:p w14:paraId="38E76E61"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Vázquez, V. M., &amp; et al. (2021). The role of traditional knowledge in conservation: Insights from </w:t>
      </w:r>
    </w:p>
    <w:p w14:paraId="2182619F"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indigenous communities. </w:t>
      </w:r>
      <w:r>
        <w:rPr>
          <w:rFonts w:ascii="Times New Roman" w:eastAsia="Times New Roman" w:hAnsi="Times New Roman" w:cs="Times New Roman"/>
          <w:i/>
          <w:iCs/>
          <w:sz w:val="24"/>
          <w:szCs w:val="24"/>
        </w:rPr>
        <w:t xml:space="preserve">Journal of Environmental Management, </w:t>
      </w:r>
      <w:r>
        <w:rPr>
          <w:rFonts w:ascii="Times New Roman" w:eastAsia="Times New Roman" w:hAnsi="Times New Roman" w:cs="Times New Roman"/>
          <w:i/>
          <w:iCs/>
          <w:sz w:val="24"/>
          <w:szCs w:val="24"/>
        </w:rPr>
        <w:tab/>
        <w:t>292</w:t>
      </w:r>
      <w:r>
        <w:rPr>
          <w:rFonts w:ascii="Times New Roman" w:eastAsia="Times New Roman" w:hAnsi="Times New Roman" w:cs="Times New Roman"/>
          <w:sz w:val="24"/>
          <w:szCs w:val="24"/>
        </w:rPr>
        <w:t>, 112733.</w:t>
      </w:r>
    </w:p>
    <w:p w14:paraId="21E7D732" w14:textId="77777777" w:rsidR="00DA2B3A" w:rsidRDefault="001C1F83">
      <w:pPr>
        <w:spacing w:before="240"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World Health Organization. (2002). Trad</w:t>
      </w:r>
      <w:r>
        <w:rPr>
          <w:rFonts w:ascii="Times New Roman" w:eastAsia="Times New Roman" w:hAnsi="Times New Roman" w:cs="Times New Roman"/>
          <w:sz w:val="24"/>
          <w:szCs w:val="24"/>
        </w:rPr>
        <w:t xml:space="preserve">itional medicine strategy 2002-2005. </w:t>
      </w:r>
      <w:r>
        <w:rPr>
          <w:rFonts w:ascii="Times New Roman" w:eastAsia="Times New Roman" w:hAnsi="Times New Roman" w:cs="Times New Roman"/>
          <w:i/>
          <w:iCs/>
          <w:sz w:val="24"/>
          <w:szCs w:val="24"/>
        </w:rPr>
        <w:t xml:space="preserve">World Health </w:t>
      </w:r>
    </w:p>
    <w:p w14:paraId="5637691D"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b/>
        <w:t>Organization.</w:t>
      </w:r>
    </w:p>
    <w:p w14:paraId="26C8501C" w14:textId="77777777" w:rsidR="00DA2B3A" w:rsidRDefault="001C1F83">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Health Organization. (2020). WHO global report on traditional and </w:t>
      </w:r>
      <w:r>
        <w:rPr>
          <w:rFonts w:ascii="Times New Roman" w:eastAsia="Times New Roman" w:hAnsi="Times New Roman" w:cs="Times New Roman"/>
          <w:sz w:val="24"/>
          <w:szCs w:val="24"/>
        </w:rPr>
        <w:tab/>
        <w:t>complementary medicine</w:t>
      </w:r>
    </w:p>
    <w:p w14:paraId="6DB5FC17" w14:textId="77777777" w:rsidR="00DA2B3A" w:rsidRDefault="001C1F83">
      <w:pPr>
        <w:spacing w:before="240"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2019. </w:t>
      </w:r>
      <w:r>
        <w:rPr>
          <w:rFonts w:ascii="Times New Roman" w:eastAsia="Times New Roman" w:hAnsi="Times New Roman" w:cs="Times New Roman"/>
          <w:i/>
          <w:iCs/>
          <w:sz w:val="24"/>
          <w:szCs w:val="24"/>
        </w:rPr>
        <w:tab/>
        <w:t>World Health Organization.</w:t>
      </w:r>
    </w:p>
    <w:p w14:paraId="7994E7DA" w14:textId="77777777" w:rsidR="00DA2B3A" w:rsidRDefault="001C1F83">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Zuckerman, M. B., &amp; et al. (2016). Bridging indigenous know</w:t>
      </w:r>
      <w:r>
        <w:rPr>
          <w:rFonts w:ascii="Times New Roman" w:eastAsia="Times New Roman" w:hAnsi="Times New Roman" w:cs="Times New Roman"/>
          <w:sz w:val="24"/>
          <w:szCs w:val="24"/>
        </w:rPr>
        <w:t xml:space="preserve">ledge and scientific </w:t>
      </w:r>
      <w:r>
        <w:rPr>
          <w:rFonts w:ascii="Times New Roman" w:eastAsia="Times New Roman" w:hAnsi="Times New Roman" w:cs="Times New Roman"/>
          <w:sz w:val="24"/>
          <w:szCs w:val="24"/>
        </w:rPr>
        <w:tab/>
        <w:t>research: A case study</w:t>
      </w:r>
    </w:p>
    <w:p w14:paraId="608F8CCE" w14:textId="77777777" w:rsidR="00DA2B3A" w:rsidRDefault="001C1F83">
      <w:p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from the Amazon. </w:t>
      </w:r>
      <w:r>
        <w:rPr>
          <w:rFonts w:ascii="Times New Roman" w:eastAsia="Times New Roman" w:hAnsi="Times New Roman" w:cs="Times New Roman"/>
          <w:i/>
          <w:iCs/>
          <w:sz w:val="24"/>
          <w:szCs w:val="24"/>
        </w:rPr>
        <w:t>Environmental Research Letters, 11</w:t>
      </w:r>
      <w:r>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ab/>
        <w:t>075001.</w:t>
      </w:r>
    </w:p>
    <w:p w14:paraId="7E19A95A" w14:textId="77777777" w:rsidR="00DA2B3A" w:rsidRDefault="00DA2B3A"/>
    <w:sectPr w:rsidR="00DA2B3A">
      <w:headerReference w:type="default" r:id="rId8"/>
      <w:pgSz w:w="11906" w:h="16838"/>
      <w:pgMar w:top="851" w:right="567"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ABF92F" w14:textId="77777777" w:rsidR="001C1F83" w:rsidRDefault="001C1F83">
      <w:pPr>
        <w:spacing w:after="0" w:line="240" w:lineRule="auto"/>
      </w:pPr>
      <w:r>
        <w:separator/>
      </w:r>
    </w:p>
  </w:endnote>
  <w:endnote w:type="continuationSeparator" w:id="0">
    <w:p w14:paraId="3284DE89" w14:textId="77777777" w:rsidR="001C1F83" w:rsidRDefault="001C1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8FC5C866-2916-4735-BAD8-DC6648D09F01}"/>
    <w:embedBold r:id="rId2" w:fontKey="{3A2B7F26-F150-4D7C-9AD4-A387A319AB3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1642F260-8066-4227-9756-AF3E3EC75422}"/>
  </w:font>
  <w:font w:name="Cambria">
    <w:panose1 w:val="02040503050406030204"/>
    <w:charset w:val="00"/>
    <w:family w:val="roman"/>
    <w:pitch w:val="variable"/>
    <w:sig w:usb0="E00006FF" w:usb1="420024FF" w:usb2="02000000" w:usb3="00000000" w:csb0="0000019F" w:csb1="00000000"/>
    <w:embedRegular r:id="rId4" w:fontKey="{B4FD79D8-8411-49DF-AFFF-ADA6154A2A9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6FB8AB" w14:textId="77777777" w:rsidR="001C1F83" w:rsidRDefault="001C1F83">
      <w:pPr>
        <w:spacing w:after="0" w:line="240" w:lineRule="auto"/>
      </w:pPr>
      <w:r>
        <w:separator/>
      </w:r>
    </w:p>
  </w:footnote>
  <w:footnote w:type="continuationSeparator" w:id="0">
    <w:p w14:paraId="315B6273" w14:textId="77777777" w:rsidR="001C1F83" w:rsidRDefault="001C1F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6830C" w14:textId="77777777" w:rsidR="00DA2B3A" w:rsidRDefault="001C1F83">
    <w:pPr>
      <w:pBdr>
        <w:top w:val="nil"/>
        <w:left w:val="nil"/>
        <w:bottom w:val="nil"/>
        <w:right w:val="nil"/>
        <w:between w:val="nil"/>
      </w:pBdr>
      <w:tabs>
        <w:tab w:val="center" w:pos="4680"/>
        <w:tab w:val="right" w:pos="9360"/>
      </w:tabs>
      <w:spacing w:after="0" w:line="240" w:lineRule="auto"/>
      <w:jc w:val="right"/>
      <w:rPr>
        <w:color w:val="000000"/>
        <w:sz w:val="22"/>
      </w:rPr>
    </w:pPr>
    <w:r>
      <w:rPr>
        <w:color w:val="000000"/>
        <w:sz w:val="22"/>
      </w:rPr>
      <w:fldChar w:fldCharType="begin"/>
    </w:r>
    <w:r>
      <w:rPr>
        <w:color w:val="000000"/>
        <w:sz w:val="22"/>
      </w:rPr>
      <w:instrText>PAGE</w:instrText>
    </w:r>
    <w:r w:rsidR="00A7098A">
      <w:rPr>
        <w:color w:val="000000"/>
        <w:sz w:val="22"/>
      </w:rPr>
      <w:fldChar w:fldCharType="separate"/>
    </w:r>
    <w:r w:rsidR="00A7098A">
      <w:rPr>
        <w:noProof/>
        <w:color w:val="000000"/>
        <w:sz w:val="22"/>
      </w:rPr>
      <w:t>1</w:t>
    </w:r>
    <w:r>
      <w:rPr>
        <w:color w:val="000000"/>
        <w:sz w:val="22"/>
      </w:rPr>
      <w:fldChar w:fldCharType="end"/>
    </w:r>
  </w:p>
  <w:p w14:paraId="767E0B98" w14:textId="77777777" w:rsidR="00DA2B3A" w:rsidRDefault="00DA2B3A">
    <w:pPr>
      <w:pBdr>
        <w:top w:val="nil"/>
        <w:left w:val="nil"/>
        <w:bottom w:val="nil"/>
        <w:right w:val="nil"/>
        <w:between w:val="nil"/>
      </w:pBdr>
      <w:tabs>
        <w:tab w:val="center" w:pos="4680"/>
        <w:tab w:val="right" w:pos="9360"/>
      </w:tabs>
      <w:spacing w:after="0" w:line="240" w:lineRule="auto"/>
      <w:jc w:val="left"/>
      <w:rPr>
        <w:color w:val="000000"/>
        <w:sz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B3A"/>
    <w:rsid w:val="001C1F83"/>
    <w:rsid w:val="00A7098A"/>
    <w:rsid w:val="00DA2B3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6DC10"/>
  <w15:docId w15:val="{0BCEDA3D-9114-4074-9B99-ADB6C1097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1"/>
    </w:rPr>
  </w:style>
  <w:style w:type="paragraph" w:styleId="Heading1">
    <w:name w:val="heading 1"/>
    <w:basedOn w:val="Normal1"/>
    <w:next w:val="Normal1"/>
    <w:uiPriority w:val="9"/>
    <w:qFormat/>
    <w:pPr>
      <w:keepNext/>
      <w:keepLines/>
      <w:spacing w:before="480" w:after="120"/>
      <w:outlineLvl w:val="0"/>
    </w:pPr>
    <w:rPr>
      <w:b/>
      <w:bCs/>
      <w:sz w:val="48"/>
      <w:szCs w:val="48"/>
    </w:rPr>
  </w:style>
  <w:style w:type="paragraph" w:styleId="Heading2">
    <w:name w:val="heading 2"/>
    <w:basedOn w:val="Normal1"/>
    <w:next w:val="Normal1"/>
    <w:uiPriority w:val="9"/>
    <w:semiHidden/>
    <w:unhideWhenUsed/>
    <w:qFormat/>
    <w:pPr>
      <w:keepNext/>
      <w:keepLines/>
      <w:spacing w:before="360" w:after="80"/>
      <w:outlineLvl w:val="1"/>
    </w:pPr>
    <w:rPr>
      <w:b/>
      <w:bCs/>
      <w:sz w:val="36"/>
      <w:szCs w:val="36"/>
    </w:rPr>
  </w:style>
  <w:style w:type="paragraph" w:styleId="Heading3">
    <w:name w:val="heading 3"/>
    <w:basedOn w:val="Normal1"/>
    <w:next w:val="Normal1"/>
    <w:uiPriority w:val="9"/>
    <w:semiHidden/>
    <w:unhideWhenUsed/>
    <w:qFormat/>
    <w:pPr>
      <w:keepNext/>
      <w:keepLines/>
      <w:spacing w:before="280" w:after="80"/>
      <w:outlineLvl w:val="2"/>
    </w:pPr>
    <w:rPr>
      <w:b/>
      <w:bCs/>
      <w:sz w:val="28"/>
      <w:szCs w:val="28"/>
    </w:rPr>
  </w:style>
  <w:style w:type="paragraph" w:styleId="Heading4">
    <w:name w:val="heading 4"/>
    <w:basedOn w:val="Normal1"/>
    <w:next w:val="Normal1"/>
    <w:uiPriority w:val="9"/>
    <w:semiHidden/>
    <w:unhideWhenUsed/>
    <w:qFormat/>
    <w:pPr>
      <w:keepNext/>
      <w:keepLines/>
      <w:spacing w:before="240" w:after="40"/>
      <w:outlineLvl w:val="3"/>
    </w:pPr>
    <w:rPr>
      <w:b/>
      <w:bCs/>
      <w:sz w:val="24"/>
      <w:szCs w:val="24"/>
    </w:rPr>
  </w:style>
  <w:style w:type="paragraph" w:styleId="Heading5">
    <w:name w:val="heading 5"/>
    <w:basedOn w:val="Normal1"/>
    <w:next w:val="Normal1"/>
    <w:uiPriority w:val="9"/>
    <w:semiHidden/>
    <w:unhideWhenUsed/>
    <w:qFormat/>
    <w:pPr>
      <w:keepNext/>
      <w:keepLines/>
      <w:spacing w:before="220" w:after="40"/>
      <w:outlineLvl w:val="4"/>
    </w:pPr>
    <w:rPr>
      <w:b/>
      <w:bCs/>
    </w:rPr>
  </w:style>
  <w:style w:type="paragraph" w:styleId="Heading6">
    <w:name w:val="heading 6"/>
    <w:basedOn w:val="Normal1"/>
    <w:next w:val="Normal1"/>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uiPriority w:val="10"/>
    <w:qFormat/>
    <w:pPr>
      <w:keepNext/>
      <w:keepLines/>
      <w:spacing w:before="480" w:after="120"/>
    </w:pPr>
    <w:rPr>
      <w:b/>
      <w:bCs/>
      <w:sz w:val="72"/>
      <w:szCs w:val="72"/>
    </w:rPr>
  </w:style>
  <w:style w:type="table" w:styleId="TableGrid">
    <w:name w:val="Table Grid"/>
    <w:basedOn w:val="TableSimple1"/>
    <w:uiPriority w:val="39"/>
    <w:pPr>
      <w:spacing w:after="0" w:line="240" w:lineRule="auto"/>
    </w:pPr>
    <w:rPr>
      <w:rFonts w:ascii="Times New Roman" w:hAnsi="Times New Roman"/>
      <w:sz w:val="24"/>
      <w:szCs w:val="20"/>
    </w:rPr>
    <w:tblPr>
      <w:tblBorders>
        <w:top w:val="single" w:sz="4" w:space="0" w:color="000000"/>
        <w:bottom w:val="single" w:sz="4"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op w:val="single" w:sz="6" w:space="0" w:color="008000"/>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Simple1">
    <w:name w:val="Table Simple 1"/>
    <w:basedOn w:val="TableNormal"/>
    <w:uiPriority w:val="9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Style1">
    <w:name w:val="Style1"/>
    <w:basedOn w:val="TableSimple1"/>
    <w:uiPriority w:val="99"/>
    <w:pPr>
      <w:spacing w:after="0" w:line="240" w:lineRule="auto"/>
    </w:pPr>
    <w:rPr>
      <w:rFonts w:ascii="Times New Roman" w:hAnsi="Times New Roman"/>
      <w:sz w:val="24"/>
    </w:rPr>
    <w:tblPr>
      <w:tblBorders>
        <w:top w:val="single" w:sz="12" w:space="0" w:color="auto"/>
        <w:bottom w:val="single" w:sz="12"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1"/>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table" w:customStyle="1" w:styleId="PlainTable41">
    <w:name w:val="Plain Table 41"/>
    <w:basedOn w:val="TableSimple1"/>
    <w:uiPriority w:val="44"/>
    <w:pPr>
      <w:spacing w:after="0" w:line="240" w:lineRule="auto"/>
    </w:pPr>
    <w:rPr>
      <w:rFonts w:ascii="Times New Roman" w:hAnsi="Times New Roman"/>
      <w:sz w:val="24"/>
      <w:szCs w:val="20"/>
    </w:rPr>
    <w:tblPr>
      <w:tblStyleRowBandSize w:val="1"/>
      <w:tblStyleColBandSize w:val="1"/>
      <w:tblBorders>
        <w:top w:val="single" w:sz="4" w:space="0" w:color="000000"/>
        <w:bottom w:val="single" w:sz="4" w:space="0" w:color="000000"/>
      </w:tblBorders>
    </w:tblPr>
    <w:tcPr>
      <w:shd w:val="clear" w:color="auto" w:fill="auto"/>
    </w:tcPr>
    <w:tblStylePr w:type="firstRow">
      <w:rPr>
        <w:b/>
        <w:bCs/>
      </w:rPr>
      <w:tblPr/>
      <w:tcPr>
        <w:tcBorders>
          <w:bottom w:val="single" w:sz="6" w:space="0" w:color="008000"/>
          <w:tl2br w:val="none" w:sz="0" w:space="0" w:color="auto"/>
          <w:tr2bl w:val="none" w:sz="0" w:space="0" w:color="auto"/>
        </w:tcBorders>
      </w:tcPr>
    </w:tblStylePr>
    <w:tblStylePr w:type="lastRow">
      <w:rPr>
        <w:b/>
        <w:bCs/>
      </w:rPr>
      <w:tblPr/>
      <w:tcPr>
        <w:tcBorders>
          <w:top w:val="single" w:sz="6" w:space="0" w:color="008000"/>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BodyText">
    <w:name w:val="Body Text"/>
    <w:basedOn w:val="Normal1"/>
    <w:link w:val="BodyTextChar"/>
    <w:uiPriority w:val="1"/>
    <w:qFormat/>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Pr>
      <w:rFonts w:ascii="Arial" w:eastAsia="Arial" w:hAnsi="Arial" w:cs="Arial"/>
      <w:sz w:val="24"/>
      <w:szCs w:val="24"/>
      <w:lang w:val="en-US"/>
    </w:rPr>
  </w:style>
  <w:style w:type="paragraph" w:styleId="Subtitle">
    <w:name w:val="Subtitle"/>
    <w:basedOn w:val="Normal1"/>
    <w:next w:val="Normal1"/>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auto"/>
    </w:tcPr>
    <w:tblStylePr w:type="firstRow">
      <w:rPr>
        <w:b/>
        <w:bCs/>
      </w:rPr>
      <w:tblPr/>
      <w:tcPr>
        <w:tcBorders>
          <w:bottom w:val="single" w:sz="6" w:space="0" w:color="008000"/>
        </w:tcBorders>
      </w:tcPr>
    </w:tblStylePr>
    <w:tblStylePr w:type="lastRow">
      <w:rPr>
        <w:b/>
        <w:bCs/>
      </w:rPr>
      <w:tblPr/>
      <w:tcPr>
        <w:tcBorders>
          <w:top w:val="single" w:sz="6" w:space="0" w:color="00800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edna.nabua@g.msuiit.edu.p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amson.mangin@g.msuiit.edu.ph"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3696</Words>
  <Characters>21070</Characters>
  <Application>Microsoft Office Word</Application>
  <DocSecurity>0</DocSecurity>
  <Lines>175</Lines>
  <Paragraphs>49</Paragraphs>
  <ScaleCrop>false</ScaleCrop>
  <Company/>
  <LinksUpToDate>false</LinksUpToDate>
  <CharactersWithSpaces>24717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Samson Mangin</dc:creator>
  <cp:lastModifiedBy>Samson Mangin</cp:lastModifiedBy>
  <cp:revision>2</cp:revision>
  <dcterms:created xsi:type="dcterms:W3CDTF">2026-01-12T11:32:00Z</dcterms:created>
  <dcterms:modified xsi:type="dcterms:W3CDTF">2026-01-12T11:32:00Z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e971605634434fbcbbded6ba0297180f</vt:lpwstr>
  </property>
</Properties>
</file>