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262" w:rsidRPr="001E3C20" w:rsidRDefault="00A23262" w:rsidP="00CF078A">
      <w:pPr>
        <w:spacing w:after="160"/>
        <w:jc w:val="center"/>
        <w:rPr>
          <w:rFonts w:cs="Times New Roman"/>
          <w:b/>
          <w:sz w:val="24"/>
          <w:szCs w:val="24"/>
        </w:rPr>
      </w:pPr>
      <w:r w:rsidRPr="001E3C20">
        <w:rPr>
          <w:rFonts w:cs="Times New Roman"/>
          <w:b/>
          <w:sz w:val="24"/>
          <w:szCs w:val="24"/>
        </w:rPr>
        <w:t>BRAND SALIENCE AND STUDENTS’ ENROLLMENT DECISION IN PUBLIC UNIVERSITIES IN KENYA</w:t>
      </w:r>
    </w:p>
    <w:p w:rsidR="00A23262" w:rsidRPr="001E3C20" w:rsidRDefault="00A23262" w:rsidP="00A23262">
      <w:pPr>
        <w:jc w:val="center"/>
        <w:rPr>
          <w:rFonts w:cs="Times New Roman"/>
          <w:b/>
          <w:sz w:val="24"/>
          <w:szCs w:val="24"/>
        </w:rPr>
      </w:pPr>
    </w:p>
    <w:p w:rsidR="00A23262" w:rsidRPr="001E3C20" w:rsidRDefault="00A23262" w:rsidP="00A23262">
      <w:pPr>
        <w:jc w:val="center"/>
        <w:rPr>
          <w:rFonts w:cs="Times New Roman"/>
          <w:b/>
          <w:sz w:val="24"/>
          <w:szCs w:val="24"/>
        </w:rPr>
      </w:pPr>
    </w:p>
    <w:p w:rsidR="00A23262" w:rsidRPr="001E3C20" w:rsidRDefault="00A23262" w:rsidP="00A23262">
      <w:pPr>
        <w:spacing w:line="360" w:lineRule="auto"/>
        <w:jc w:val="center"/>
        <w:rPr>
          <w:rFonts w:cs="Times New Roman"/>
          <w:b/>
          <w:sz w:val="24"/>
          <w:szCs w:val="24"/>
        </w:rPr>
      </w:pPr>
      <w:r w:rsidRPr="001E3C20">
        <w:rPr>
          <w:rFonts w:cs="Times New Roman"/>
          <w:b/>
          <w:sz w:val="24"/>
          <w:szCs w:val="24"/>
        </w:rPr>
        <w:t/>
      </w:r>
    </w:p>
    <w:p w:rsidR="00A23262" w:rsidRPr="001E3C20" w:rsidRDefault="00A23262" w:rsidP="00A23262">
      <w:pPr>
        <w:spacing w:line="360" w:lineRule="auto"/>
        <w:jc w:val="center"/>
        <w:rPr>
          <w:rFonts w:cs="Times New Roman"/>
          <w:b/>
          <w:sz w:val="24"/>
          <w:szCs w:val="24"/>
        </w:rPr>
      </w:pPr>
    </w:p>
    <w:p w:rsidR="00A23262" w:rsidRPr="001E3C20" w:rsidRDefault="00A23262" w:rsidP="00CF5036">
      <w:pPr>
        <w:rPr>
          <w:rFonts w:cs="Times New Roman"/>
          <w:b/>
        </w:rPr>
      </w:pPr>
    </w:p>
    <w:p w:rsidR="00A23262" w:rsidRPr="001E3C20" w:rsidRDefault="00A23262" w:rsidP="00A23262">
      <w:pPr>
        <w:jc w:val="center"/>
        <w:rPr>
          <w:rFonts w:cs="Times New Roman"/>
          <w:b/>
        </w:rPr>
      </w:pPr>
      <w:r w:rsidRPr="001E3C20">
        <w:rPr>
          <w:rFonts w:cs="Times New Roman"/>
          <w:b/>
        </w:rPr>
        <w:t/>
      </w:r>
    </w:p>
    <w:p w:rsidR="00A23262" w:rsidRPr="001E3C20" w:rsidRDefault="00A23262" w:rsidP="00A23262">
      <w:pPr>
        <w:jc w:val="center"/>
        <w:rPr>
          <w:rFonts w:cs="Times New Roman"/>
          <w:b/>
        </w:rPr>
      </w:pPr>
    </w:p>
    <w:p w:rsidR="00A23262" w:rsidRPr="001E3C20" w:rsidRDefault="00A23262" w:rsidP="00A23262">
      <w:pPr>
        <w:jc w:val="center"/>
        <w:rPr>
          <w:rFonts w:cs="Times New Roman"/>
          <w:b/>
        </w:rPr>
      </w:pPr>
    </w:p>
    <w:p w:rsidR="00A23262" w:rsidRPr="001E3C20" w:rsidRDefault="00A23262" w:rsidP="00A23262">
      <w:pPr>
        <w:jc w:val="center"/>
        <w:rPr>
          <w:rFonts w:cs="Times New Roman"/>
          <w:b/>
        </w:rPr>
      </w:pPr>
    </w:p>
    <w:p w:rsidR="00A23262" w:rsidRPr="001E3C20" w:rsidRDefault="00A23262" w:rsidP="00A23262">
      <w:pPr>
        <w:jc w:val="center"/>
        <w:rPr>
          <w:rFonts w:cs="Times New Roman"/>
          <w:b/>
        </w:rPr>
      </w:pPr>
      <w:r w:rsidRPr="001E3C20">
        <w:rPr>
          <w:rFonts w:cs="Times New Roman"/>
          <w:b/>
        </w:rPr>
        <w:t/>
      </w:r>
    </w:p>
    <w:p w:rsidR="00A23262" w:rsidRPr="001E3C20" w:rsidRDefault="00A23262" w:rsidP="00A23262">
      <w:pPr>
        <w:jc w:val="center"/>
        <w:rPr>
          <w:rFonts w:cs="Times New Roman"/>
          <w:b/>
        </w:rPr>
      </w:pPr>
    </w:p>
    <w:p w:rsidR="00A23262" w:rsidRPr="001E3C20" w:rsidRDefault="00A23262" w:rsidP="00CC5697">
      <w:pPr>
        <w:rPr>
          <w:rFonts w:cs="Times New Roman"/>
          <w:b/>
        </w:rPr>
      </w:pPr>
    </w:p>
    <w:p w:rsidR="00CF5036" w:rsidRPr="001E3C20" w:rsidRDefault="00CF5036" w:rsidP="00CC5697">
      <w:pPr>
        <w:rPr>
          <w:rFonts w:cs="Times New Roman"/>
          <w:b/>
        </w:rPr>
      </w:pPr>
    </w:p>
    <w:p w:rsidR="00CF5036" w:rsidRPr="001E3C20" w:rsidRDefault="00CF5036" w:rsidP="00CC5697">
      <w:pPr>
        <w:rPr>
          <w:rFonts w:cs="Times New Roman"/>
          <w:b/>
        </w:rPr>
      </w:pPr>
    </w:p>
    <w:p w:rsidR="00CF5036" w:rsidRPr="001E3C20" w:rsidRDefault="00CF5036" w:rsidP="00CC5697">
      <w:pPr>
        <w:rPr>
          <w:rFonts w:cs="Times New Roman"/>
          <w:b/>
        </w:rPr>
      </w:pPr>
    </w:p>
    <w:p w:rsidR="00CF5036" w:rsidRPr="001E3C20" w:rsidRDefault="00CF5036" w:rsidP="00CC5697">
      <w:pPr>
        <w:rPr>
          <w:rFonts w:cs="Times New Roman"/>
          <w:b/>
        </w:rPr>
      </w:pPr>
    </w:p>
    <w:p w:rsidR="00CF5036" w:rsidRPr="001E3C20" w:rsidRDefault="00CF5036" w:rsidP="00CC5697">
      <w:pPr>
        <w:rPr>
          <w:rFonts w:cs="Times New Roman"/>
          <w:b/>
        </w:rPr>
      </w:pPr>
    </w:p>
    <w:p w:rsidR="00CF5036" w:rsidRPr="001E3C20" w:rsidRDefault="00CF5036" w:rsidP="00CC5697">
      <w:pPr>
        <w:rPr>
          <w:rFonts w:cs="Times New Roman"/>
          <w:b/>
        </w:rPr>
      </w:pPr>
    </w:p>
    <w:p w:rsidR="00CF5036" w:rsidRPr="001E3C20" w:rsidRDefault="00CF5036" w:rsidP="00CC5697">
      <w:pPr>
        <w:rPr>
          <w:rFonts w:cs="Times New Roman"/>
          <w:b/>
        </w:rPr>
      </w:pPr>
    </w:p>
    <w:p w:rsidR="00A23262" w:rsidRPr="001E3C20" w:rsidRDefault="00A23262" w:rsidP="00CC5697">
      <w:pPr>
        <w:spacing w:before="0" w:after="0"/>
        <w:jc w:val="center"/>
        <w:rPr>
          <w:rFonts w:cs="Times New Roman"/>
          <w:b/>
        </w:rPr>
      </w:pPr>
      <w:r w:rsidRPr="001E3C20">
        <w:rPr>
          <w:rFonts w:cs="Times New Roman"/>
          <w:b/>
        </w:rPr>
        <w:lastRenderedPageBreak/>
        <w:t>ABSTRACT</w:t>
      </w:r>
    </w:p>
    <w:p w:rsidR="00A23262" w:rsidRPr="001E3C20" w:rsidRDefault="00A23262" w:rsidP="00A23262">
      <w:pPr>
        <w:pStyle w:val="NoSpacing"/>
        <w:rPr>
          <w:rFonts w:cs="Times New Roman"/>
          <w:sz w:val="24"/>
          <w:szCs w:val="24"/>
        </w:rPr>
      </w:pPr>
      <w:r w:rsidRPr="001E3C20">
        <w:rPr>
          <w:rFonts w:cs="Times New Roman"/>
          <w:sz w:val="24"/>
          <w:szCs w:val="24"/>
        </w:rPr>
        <w:t>In today’s competitive higher education environment, universities are increasingly required to develop strong brand equity in order to attract students, enhance institutional reputation, and sustain enrollment growth. Despite public universities in Kenya holding a significant share of the higher education market, they continue to experience declining student enrollment, largely due to increased competition from private institutions and challenges in effectively converting brand equity</w:t>
      </w:r>
      <w:r w:rsidR="00A74E65">
        <w:rPr>
          <w:rFonts w:cs="Times New Roman"/>
          <w:sz w:val="24"/>
          <w:szCs w:val="24"/>
        </w:rPr>
        <w:t xml:space="preserve"> salience</w:t>
      </w:r>
      <w:r w:rsidRPr="001E3C20">
        <w:rPr>
          <w:rFonts w:cs="Times New Roman"/>
          <w:sz w:val="24"/>
          <w:szCs w:val="24"/>
        </w:rPr>
        <w:t xml:space="preserve"> into actual recruitment outcomes. The purpose of this study was to</w:t>
      </w:r>
      <w:r w:rsidR="00A74E65">
        <w:rPr>
          <w:rFonts w:cs="Times New Roman"/>
          <w:sz w:val="24"/>
          <w:szCs w:val="24"/>
        </w:rPr>
        <w:t xml:space="preserve"> examine brand salience </w:t>
      </w:r>
      <w:r w:rsidRPr="001E3C20">
        <w:rPr>
          <w:rFonts w:cs="Times New Roman"/>
          <w:sz w:val="24"/>
          <w:szCs w:val="24"/>
        </w:rPr>
        <w:t>and students’ enrollment decisions in public universities in Kenya. Specifically, the study sought to determine the relationship between brand salience and students’ enrollment decisions. The study was anchored on the Customer-</w:t>
      </w:r>
      <w:r w:rsidR="00A74E65">
        <w:rPr>
          <w:rFonts w:cs="Times New Roman"/>
          <w:sz w:val="24"/>
          <w:szCs w:val="24"/>
        </w:rPr>
        <w:t>Based Brand Equity (CBBE) model and</w:t>
      </w:r>
      <w:r w:rsidRPr="001E3C20">
        <w:rPr>
          <w:rFonts w:cs="Times New Roman"/>
          <w:sz w:val="24"/>
          <w:szCs w:val="24"/>
        </w:rPr>
        <w:t xml:space="preserve"> Resource-Based View (RBV) theory, which collectively explain how brand perceptions, institutional capabilities, and </w:t>
      </w:r>
      <w:proofErr w:type="spellStart"/>
      <w:r w:rsidRPr="001E3C20">
        <w:rPr>
          <w:rFonts w:cs="Times New Roman"/>
          <w:sz w:val="24"/>
          <w:szCs w:val="24"/>
        </w:rPr>
        <w:t>behavioural</w:t>
      </w:r>
      <w:proofErr w:type="spellEnd"/>
      <w:r w:rsidRPr="001E3C20">
        <w:rPr>
          <w:rFonts w:cs="Times New Roman"/>
          <w:sz w:val="24"/>
          <w:szCs w:val="24"/>
        </w:rPr>
        <w:t xml:space="preserve"> intentions influence decision-making processes. A causal research design guided by a positivist research philosophy was adopted. The target population was 3,171 respondents drawn from management staff and students across 35 public universities in Kenya, from which a sample of 355 was selected. Data were collected using structured questionnaires administered through a blended approach of online and physical distribution</w:t>
      </w:r>
      <w:r w:rsidR="00F62DC1" w:rsidRPr="001E3C20">
        <w:rPr>
          <w:rFonts w:cs="Times New Roman"/>
          <w:sz w:val="24"/>
          <w:szCs w:val="24"/>
        </w:rPr>
        <w:t>, Interview schedule was also conducted to key informants on what they do about Branding</w:t>
      </w:r>
      <w:r w:rsidRPr="001E3C20">
        <w:rPr>
          <w:rFonts w:cs="Times New Roman"/>
          <w:sz w:val="24"/>
          <w:szCs w:val="24"/>
        </w:rPr>
        <w:t>. Validity was ensured through expert review, construct testing, and comparison with established measures, while Cronbach’s alpha coefficient was above 0.7 hence reliable. Quantitative data were analyzed using descriptive and inferential statistics, including multiple regression analysis, with the aid of SPSS version 27</w:t>
      </w:r>
      <w:r w:rsidR="00F62DC1" w:rsidRPr="001E3C20">
        <w:rPr>
          <w:rFonts w:cs="Times New Roman"/>
          <w:sz w:val="24"/>
          <w:szCs w:val="24"/>
        </w:rPr>
        <w:t>. The findings revealed that dimensions of brand salient</w:t>
      </w:r>
      <w:r w:rsidRPr="001E3C20">
        <w:rPr>
          <w:rFonts w:cs="Times New Roman"/>
          <w:sz w:val="24"/>
          <w:szCs w:val="24"/>
        </w:rPr>
        <w:t xml:space="preserve"> significantly influence students’ enrollment decisions, including brand salience (B = 0.110, p = 0.045), The study concludes that students’ enrollment decisions are primarily driven by cognitive and affective evaluations of institutional quality, particularly service delivery, satisfacti</w:t>
      </w:r>
      <w:r w:rsidR="00F62DC1" w:rsidRPr="001E3C20">
        <w:rPr>
          <w:rFonts w:cs="Times New Roman"/>
          <w:sz w:val="24"/>
          <w:szCs w:val="24"/>
        </w:rPr>
        <w:t>on, credibility, and reputation.</w:t>
      </w:r>
      <w:r w:rsidRPr="001E3C20">
        <w:rPr>
          <w:rFonts w:cs="Times New Roman"/>
          <w:sz w:val="24"/>
          <w:szCs w:val="24"/>
        </w:rPr>
        <w:t xml:space="preserve"> The study recommends that public universities to prioritize in improving service quality, student experience, and institutional reputation</w:t>
      </w:r>
      <w:r w:rsidR="00F62DC1" w:rsidRPr="001E3C20">
        <w:rPr>
          <w:rFonts w:cs="Times New Roman"/>
          <w:sz w:val="24"/>
          <w:szCs w:val="24"/>
        </w:rPr>
        <w:t>.</w:t>
      </w:r>
    </w:p>
    <w:p w:rsidR="00CC5697" w:rsidRPr="001E3C20" w:rsidRDefault="00CC5697" w:rsidP="00A23262">
      <w:pPr>
        <w:pStyle w:val="NoSpacing"/>
        <w:rPr>
          <w:rFonts w:cs="Times New Roman"/>
          <w:sz w:val="24"/>
          <w:szCs w:val="24"/>
        </w:rPr>
      </w:pPr>
    </w:p>
    <w:p w:rsidR="00CC5697" w:rsidRPr="001E3C20" w:rsidRDefault="00CC5697" w:rsidP="00A23262">
      <w:pPr>
        <w:pStyle w:val="NoSpacing"/>
        <w:rPr>
          <w:rFonts w:cs="Times New Roman"/>
          <w:b/>
          <w:sz w:val="24"/>
          <w:szCs w:val="24"/>
        </w:rPr>
      </w:pPr>
      <w:r w:rsidRPr="001E3C20">
        <w:rPr>
          <w:rFonts w:cs="Times New Roman"/>
          <w:b/>
          <w:sz w:val="24"/>
          <w:szCs w:val="24"/>
        </w:rPr>
        <w:t>Keywords</w:t>
      </w:r>
    </w:p>
    <w:p w:rsidR="00CC5697" w:rsidRPr="001E3C20" w:rsidRDefault="00CC5697" w:rsidP="00A23262">
      <w:pPr>
        <w:pStyle w:val="NoSpacing"/>
        <w:rPr>
          <w:rFonts w:cs="Times New Roman"/>
          <w:sz w:val="24"/>
          <w:szCs w:val="24"/>
        </w:rPr>
      </w:pPr>
      <w:r w:rsidRPr="001E3C20">
        <w:rPr>
          <w:rFonts w:cs="Times New Roman"/>
          <w:sz w:val="24"/>
          <w:szCs w:val="24"/>
        </w:rPr>
        <w:t>Brand Salience, Brand Awareness, Institutional Choice, Public Universities, Brand Positioning</w:t>
      </w:r>
    </w:p>
    <w:p w:rsidR="00CC5697" w:rsidRPr="001E3C20" w:rsidRDefault="00CC5697" w:rsidP="00A23262">
      <w:pPr>
        <w:pStyle w:val="NoSpacing"/>
        <w:rPr>
          <w:rFonts w:cs="Times New Roman"/>
          <w:sz w:val="24"/>
          <w:szCs w:val="24"/>
        </w:rPr>
      </w:pPr>
      <w:r w:rsidRPr="001E3C20">
        <w:rPr>
          <w:rFonts w:cs="Times New Roman"/>
          <w:sz w:val="24"/>
          <w:szCs w:val="24"/>
        </w:rPr>
        <w:t>Authors</w:t>
      </w:r>
    </w:p>
    <w:p w:rsidR="00CC5697" w:rsidRPr="001E3C20" w:rsidRDefault="00CC5697" w:rsidP="00A23262">
      <w:pPr>
        <w:pStyle w:val="NoSpacing"/>
        <w:rPr>
          <w:rFonts w:cs="Times New Roman"/>
          <w:sz w:val="24"/>
          <w:szCs w:val="24"/>
        </w:rPr>
      </w:pPr>
      <w:proofErr w:type="spellStart"/>
      <w:r w:rsidRPr="001E3C20">
        <w:rPr>
          <w:rFonts w:cs="Times New Roman"/>
          <w:sz w:val="24"/>
          <w:szCs w:val="24"/>
        </w:rPr>
        <w:t>Tonui</w:t>
      </w:r>
      <w:proofErr w:type="spellEnd"/>
      <w:r w:rsidRPr="001E3C20">
        <w:rPr>
          <w:rFonts w:cs="Times New Roman"/>
          <w:sz w:val="24"/>
          <w:szCs w:val="24"/>
        </w:rPr>
        <w:t xml:space="preserve"> </w:t>
      </w:r>
      <w:proofErr w:type="spellStart"/>
      <w:r w:rsidRPr="001E3C20">
        <w:rPr>
          <w:rFonts w:cs="Times New Roman"/>
          <w:sz w:val="24"/>
          <w:szCs w:val="24"/>
        </w:rPr>
        <w:t>Cheruiyot</w:t>
      </w:r>
      <w:proofErr w:type="spellEnd"/>
      <w:r w:rsidRPr="001E3C20">
        <w:rPr>
          <w:rFonts w:cs="Times New Roman"/>
          <w:sz w:val="24"/>
          <w:szCs w:val="24"/>
        </w:rPr>
        <w:t xml:space="preserve"> Wesley, Dr. Lydia Langat and Dr. Janet </w:t>
      </w:r>
      <w:proofErr w:type="spellStart"/>
      <w:r w:rsidRPr="001E3C20">
        <w:rPr>
          <w:rFonts w:cs="Times New Roman"/>
          <w:sz w:val="24"/>
          <w:szCs w:val="24"/>
        </w:rPr>
        <w:t>Kimeto</w:t>
      </w:r>
      <w:proofErr w:type="spellEnd"/>
    </w:p>
    <w:p w:rsidR="00A23262" w:rsidRPr="001E3C20" w:rsidRDefault="00A23262" w:rsidP="00A23262">
      <w:pPr>
        <w:jc w:val="center"/>
        <w:rPr>
          <w:rFonts w:cs="Times New Roman"/>
        </w:rPr>
      </w:pPr>
    </w:p>
    <w:p w:rsidR="00F62DC1" w:rsidRPr="001E3C20" w:rsidRDefault="00F62DC1" w:rsidP="00A23262">
      <w:pPr>
        <w:jc w:val="center"/>
        <w:rPr>
          <w:rFonts w:cs="Times New Roman"/>
        </w:rPr>
      </w:pPr>
    </w:p>
    <w:p w:rsidR="00F62DC1" w:rsidRPr="001E3C20" w:rsidRDefault="00F62DC1" w:rsidP="00A23262">
      <w:pPr>
        <w:jc w:val="center"/>
        <w:rPr>
          <w:rFonts w:cs="Times New Roman"/>
        </w:rPr>
      </w:pPr>
    </w:p>
    <w:p w:rsidR="00F62DC1" w:rsidRPr="001E3C20" w:rsidRDefault="00F62DC1" w:rsidP="00F62DC1">
      <w:pPr>
        <w:rPr>
          <w:rFonts w:cs="Times New Roman"/>
        </w:rPr>
      </w:pPr>
    </w:p>
    <w:p w:rsidR="00F62DC1" w:rsidRPr="001E3C20" w:rsidRDefault="00F62DC1" w:rsidP="00F62DC1">
      <w:pPr>
        <w:pStyle w:val="Heading1"/>
        <w:tabs>
          <w:tab w:val="center" w:pos="4680"/>
          <w:tab w:val="left" w:pos="6105"/>
        </w:tabs>
        <w:rPr>
          <w:rFonts w:cs="Times New Roman"/>
        </w:rPr>
      </w:pPr>
      <w:bookmarkStart w:id="0" w:name="_Toc230811080"/>
      <w:r w:rsidRPr="001E3C20">
        <w:rPr>
          <w:rFonts w:cs="Times New Roman"/>
        </w:rPr>
        <w:lastRenderedPageBreak/>
        <w:t>INTRODUCTION</w:t>
      </w:r>
      <w:bookmarkEnd w:id="0"/>
    </w:p>
    <w:p w:rsidR="00F62DC1" w:rsidRPr="001E3C20" w:rsidRDefault="00F62DC1" w:rsidP="00F62DC1">
      <w:pPr>
        <w:rPr>
          <w:rFonts w:cs="Times New Roman"/>
          <w:sz w:val="24"/>
          <w:szCs w:val="24"/>
        </w:rPr>
      </w:pPr>
      <w:r w:rsidRPr="001E3C20">
        <w:rPr>
          <w:rFonts w:cs="Times New Roman"/>
          <w:sz w:val="24"/>
          <w:szCs w:val="24"/>
        </w:rPr>
        <w:t>In today's competitive world, developing great brand equity has become vital to higher education institutions' success. Keller's (1993) in his fundamental work model defined brand equity as the differential influence of brand awareness on consumer response, recent research has greatly expanded on this concept. Studies have shown that brand equity is now both a key performance metric and a source of long-term competitive advantage (</w:t>
      </w:r>
      <w:proofErr w:type="spellStart"/>
      <w:r w:rsidRPr="001E3C20">
        <w:rPr>
          <w:rFonts w:cs="Times New Roman"/>
          <w:sz w:val="24"/>
          <w:szCs w:val="24"/>
        </w:rPr>
        <w:t>Rauschnabel</w:t>
      </w:r>
      <w:proofErr w:type="spellEnd"/>
      <w:r w:rsidRPr="001E3C20">
        <w:rPr>
          <w:rFonts w:cs="Times New Roman"/>
          <w:sz w:val="24"/>
          <w:szCs w:val="24"/>
        </w:rPr>
        <w:t xml:space="preserve"> et al., 2022). In higher education industry, it translates into practical results such as greater applicant numbers, better student retention, and stronger alumni participation.  A university’s reputation remains its most valuable intangible asset (Khan, &amp; </w:t>
      </w:r>
      <w:proofErr w:type="spellStart"/>
      <w:r w:rsidRPr="001E3C20">
        <w:rPr>
          <w:rFonts w:cs="Times New Roman"/>
          <w:sz w:val="24"/>
          <w:szCs w:val="24"/>
        </w:rPr>
        <w:t>Yildiz</w:t>
      </w:r>
      <w:proofErr w:type="spellEnd"/>
      <w:r w:rsidRPr="001E3C20">
        <w:rPr>
          <w:rFonts w:cs="Times New Roman"/>
          <w:sz w:val="24"/>
          <w:szCs w:val="24"/>
        </w:rPr>
        <w:t xml:space="preserve">, 2020); </w:t>
      </w:r>
      <w:proofErr w:type="spellStart"/>
      <w:r w:rsidRPr="001E3C20">
        <w:rPr>
          <w:rFonts w:cs="Times New Roman"/>
          <w:sz w:val="24"/>
          <w:szCs w:val="24"/>
        </w:rPr>
        <w:t>Teeroovengadum</w:t>
      </w:r>
      <w:proofErr w:type="spellEnd"/>
      <w:r w:rsidRPr="001E3C20">
        <w:rPr>
          <w:rFonts w:cs="Times New Roman"/>
          <w:sz w:val="24"/>
          <w:szCs w:val="24"/>
        </w:rPr>
        <w:t xml:space="preserve"> et al., 2022). Robust branding differentiates institutions in a crowded market, attracting high-caliber faculty, competitive students, and strategic partnerships. For example, universities ranking highly in global brand metrics (QS World Rankings) report disproportionate advantages in research funding and industry collaboration (</w:t>
      </w:r>
      <w:proofErr w:type="spellStart"/>
      <w:r w:rsidRPr="001E3C20">
        <w:rPr>
          <w:rFonts w:cs="Times New Roman"/>
          <w:sz w:val="24"/>
          <w:szCs w:val="24"/>
        </w:rPr>
        <w:t>Marginson</w:t>
      </w:r>
      <w:proofErr w:type="spellEnd"/>
      <w:r w:rsidRPr="001E3C20">
        <w:rPr>
          <w:rFonts w:cs="Times New Roman"/>
          <w:sz w:val="24"/>
          <w:szCs w:val="24"/>
        </w:rPr>
        <w:t>, 2023). Local visibility also benefits through community loyalty, as consistent branding fosters pride among current students and alumni (Pinar et al., 2022).</w:t>
      </w:r>
    </w:p>
    <w:p w:rsidR="00F62DC1" w:rsidRPr="001E3C20" w:rsidRDefault="00F62DC1" w:rsidP="00F62DC1">
      <w:pPr>
        <w:rPr>
          <w:rFonts w:cs="Times New Roman"/>
          <w:sz w:val="24"/>
          <w:szCs w:val="24"/>
        </w:rPr>
      </w:pPr>
      <w:r w:rsidRPr="001E3C20">
        <w:rPr>
          <w:rFonts w:cs="Times New Roman"/>
          <w:sz w:val="24"/>
          <w:szCs w:val="24"/>
        </w:rPr>
        <w:t xml:space="preserve">Recent study has identified brand salient as part of brand equity as a multidimensional construct made up of four critical components that work together to improve institutional competitiveness. Brand salience, as evaluated by digital visibility metrics and assisted recall tests (Almeida &amp; Santos, 2023), is the critical first touchpoint, with research suggesting that top-performing colleges have 23-25% higher application rates due to superior brand recognition (Chen et al., 2022).  The second component, brand imagery, now includes advanced measurement techniques such as social media image recognition </w:t>
      </w:r>
      <w:r w:rsidRPr="001E3C20">
        <w:rPr>
          <w:rFonts w:cs="Times New Roman"/>
          <w:sz w:val="24"/>
          <w:szCs w:val="24"/>
        </w:rPr>
        <w:lastRenderedPageBreak/>
        <w:t>and natural language processing of student discussions (Lee &amp; Zhang, 2023), revealing that career outcomes (87%), research reputation (79%), and campus culture (71%) dominate student perceptions (Wilson &amp; Garcia, 2022).</w:t>
      </w:r>
    </w:p>
    <w:p w:rsidR="00F62DC1" w:rsidRPr="001E3C20" w:rsidRDefault="00F62DC1" w:rsidP="00F62DC1">
      <w:pPr>
        <w:rPr>
          <w:rFonts w:cs="Times New Roman"/>
          <w:sz w:val="24"/>
          <w:szCs w:val="24"/>
        </w:rPr>
      </w:pPr>
      <w:r w:rsidRPr="001E3C20">
        <w:rPr>
          <w:rFonts w:cs="Times New Roman"/>
          <w:sz w:val="24"/>
          <w:szCs w:val="24"/>
        </w:rPr>
        <w:t xml:space="preserve">Pinar et al. (2020) discovered that service quality is the most significant predictor of student choice among critical brand equity characteristics studied in Turkey and the United States.  Panda et al. (2019) assessed service quality in India and the United States, utilizing accreditation history and third-party indices to determine trustworthiness. They discovered that tradition was more important in India by 31%, whereas both cohorts rated service quality equally. Dholakia and </w:t>
      </w:r>
      <w:proofErr w:type="spellStart"/>
      <w:r w:rsidRPr="001E3C20">
        <w:rPr>
          <w:rFonts w:cs="Times New Roman"/>
          <w:sz w:val="24"/>
          <w:szCs w:val="24"/>
        </w:rPr>
        <w:t>Acciardo</w:t>
      </w:r>
      <w:proofErr w:type="spellEnd"/>
      <w:r w:rsidRPr="001E3C20">
        <w:rPr>
          <w:rFonts w:cs="Times New Roman"/>
          <w:sz w:val="24"/>
          <w:szCs w:val="24"/>
        </w:rPr>
        <w:t xml:space="preserve"> (2023) polled experts in Italy and the United States and identified micro-credential visibility (badge adoption), sustainability (STARS ratings), and AI responsiveness (</w:t>
      </w:r>
      <w:proofErr w:type="spellStart"/>
      <w:r w:rsidRPr="001E3C20">
        <w:rPr>
          <w:rFonts w:cs="Times New Roman"/>
          <w:sz w:val="24"/>
          <w:szCs w:val="24"/>
        </w:rPr>
        <w:t>chatbot</w:t>
      </w:r>
      <w:proofErr w:type="spellEnd"/>
      <w:r w:rsidRPr="001E3C20">
        <w:rPr>
          <w:rFonts w:cs="Times New Roman"/>
          <w:sz w:val="24"/>
          <w:szCs w:val="24"/>
        </w:rPr>
        <w:t xml:space="preserve"> satisfaction) as key emerging indicators expected to influence 38% of brand perception by 2025.</w:t>
      </w:r>
    </w:p>
    <w:p w:rsidR="00F62DC1" w:rsidRPr="001E3C20" w:rsidRDefault="00F62DC1" w:rsidP="00F62DC1">
      <w:pPr>
        <w:rPr>
          <w:rFonts w:cs="Times New Roman"/>
          <w:sz w:val="24"/>
          <w:szCs w:val="24"/>
        </w:rPr>
      </w:pPr>
      <w:r w:rsidRPr="001E3C20">
        <w:rPr>
          <w:rFonts w:cs="Times New Roman"/>
          <w:sz w:val="24"/>
          <w:szCs w:val="24"/>
        </w:rPr>
        <w:t xml:space="preserve">In the United Kingdom, Rutter et al. (2022) investigated digital engagement (website traffic and social media indicators) and discovered that institutions with outstanding online strategies obtained 23% more applications. In the United Kingdom, </w:t>
      </w:r>
      <w:proofErr w:type="spellStart"/>
      <w:r w:rsidRPr="001E3C20">
        <w:rPr>
          <w:rFonts w:cs="Times New Roman"/>
          <w:sz w:val="24"/>
          <w:szCs w:val="24"/>
        </w:rPr>
        <w:t>Hemsley</w:t>
      </w:r>
      <w:proofErr w:type="spellEnd"/>
      <w:r w:rsidRPr="001E3C20">
        <w:rPr>
          <w:rFonts w:cs="Times New Roman"/>
          <w:sz w:val="24"/>
          <w:szCs w:val="24"/>
        </w:rPr>
        <w:t xml:space="preserve">-Brown et al. (2020) discovered that website analytic (bounce rates, session duration) and social media activity (shares/comments) were related with an 18% increase in applicant quality. In another </w:t>
      </w:r>
      <w:proofErr w:type="gramStart"/>
      <w:r w:rsidRPr="001E3C20">
        <w:rPr>
          <w:rFonts w:cs="Times New Roman"/>
          <w:sz w:val="24"/>
          <w:szCs w:val="24"/>
        </w:rPr>
        <w:t>findings</w:t>
      </w:r>
      <w:proofErr w:type="gramEnd"/>
      <w:r w:rsidRPr="001E3C20">
        <w:rPr>
          <w:rFonts w:cs="Times New Roman"/>
          <w:sz w:val="24"/>
          <w:szCs w:val="24"/>
        </w:rPr>
        <w:t xml:space="preserve"> from UK, </w:t>
      </w:r>
      <w:proofErr w:type="spellStart"/>
      <w:r w:rsidRPr="001E3C20">
        <w:rPr>
          <w:rFonts w:cs="Times New Roman"/>
          <w:sz w:val="24"/>
          <w:szCs w:val="24"/>
        </w:rPr>
        <w:t>Chapleo</w:t>
      </w:r>
      <w:proofErr w:type="spellEnd"/>
      <w:r w:rsidRPr="001E3C20">
        <w:rPr>
          <w:rFonts w:cs="Times New Roman"/>
          <w:sz w:val="24"/>
          <w:szCs w:val="24"/>
        </w:rPr>
        <w:t xml:space="preserve"> and Clark (2021) constructed a Brand Attachment Index measuring institutional pride, alumni identity (social media ties), and advocacy (referral likelihood), which predicted retention with ±3% accuracy.  In Canada, Belanger et al. (2022) discovered that outcome disclosure (employment data completeness) and accessibility (report readability) resulted in 17% more applications.</w:t>
      </w:r>
    </w:p>
    <w:p w:rsidR="00F62DC1" w:rsidRPr="001E3C20" w:rsidRDefault="00F62DC1" w:rsidP="00F62DC1">
      <w:pPr>
        <w:rPr>
          <w:rFonts w:cs="Times New Roman"/>
          <w:sz w:val="24"/>
          <w:szCs w:val="24"/>
        </w:rPr>
      </w:pPr>
      <w:r w:rsidRPr="001E3C20">
        <w:rPr>
          <w:rFonts w:cs="Times New Roman"/>
          <w:sz w:val="24"/>
          <w:szCs w:val="24"/>
        </w:rPr>
        <w:lastRenderedPageBreak/>
        <w:t>Branding in higher education has become a strategic necessity, especially for public universities striving to differentiate themselves in a competitive academic landscape. Recent studies underscore that university brand equity comprising brand awareness, perceived quality, brand association, and brand loyalty significantly influences student satisfaction and engagement. For instance, a Vietnamese universities study found that these dimensions of brand equity positively affect student satisfaction and engagement (Le Na et al., 2025). Similarly, research conducted in Indonesia and Malaysia indicates that brand equity and service quality substantially impact university reputation and students' intention to choose these institutions (</w:t>
      </w:r>
      <w:proofErr w:type="spellStart"/>
      <w:r w:rsidRPr="001E3C20">
        <w:rPr>
          <w:rFonts w:cs="Times New Roman"/>
          <w:sz w:val="24"/>
          <w:szCs w:val="24"/>
        </w:rPr>
        <w:t>Rizard</w:t>
      </w:r>
      <w:proofErr w:type="spellEnd"/>
      <w:r w:rsidRPr="001E3C20">
        <w:rPr>
          <w:rFonts w:cs="Times New Roman"/>
          <w:sz w:val="24"/>
          <w:szCs w:val="24"/>
        </w:rPr>
        <w:t xml:space="preserve"> et al., 2023). These findings highlight the importance of a comprehensive branding strategy that aligns with student expectations and experiences. Moreover, emphasis has been put on the role of university brand credibility and electronic word-of-mouth (</w:t>
      </w:r>
      <w:proofErr w:type="spellStart"/>
      <w:r w:rsidRPr="001E3C20">
        <w:rPr>
          <w:rFonts w:cs="Times New Roman"/>
          <w:sz w:val="24"/>
          <w:szCs w:val="24"/>
        </w:rPr>
        <w:t>eWOM</w:t>
      </w:r>
      <w:proofErr w:type="spellEnd"/>
      <w:r w:rsidRPr="001E3C20">
        <w:rPr>
          <w:rFonts w:cs="Times New Roman"/>
          <w:sz w:val="24"/>
          <w:szCs w:val="24"/>
        </w:rPr>
        <w:t>) in shaping brand preference and choice intention among students in Sri Lanka and Vietnam (</w:t>
      </w:r>
      <w:proofErr w:type="spellStart"/>
      <w:r w:rsidRPr="001E3C20">
        <w:rPr>
          <w:rFonts w:cs="Times New Roman"/>
          <w:sz w:val="24"/>
          <w:szCs w:val="24"/>
        </w:rPr>
        <w:t>Perera</w:t>
      </w:r>
      <w:proofErr w:type="spellEnd"/>
      <w:r w:rsidRPr="001E3C20">
        <w:rPr>
          <w:rFonts w:cs="Times New Roman"/>
          <w:sz w:val="24"/>
          <w:szCs w:val="24"/>
        </w:rPr>
        <w:t xml:space="preserve"> et al., 2023). Together, these studies suggest that universities must cultivate strong brand equity through consistent service quality, positive brand associations, and effective communication to attract and retain students in an increasingly competitive environment.</w:t>
      </w:r>
    </w:p>
    <w:p w:rsidR="00F62DC1" w:rsidRPr="001E3C20" w:rsidRDefault="00F62DC1" w:rsidP="00F62DC1">
      <w:pPr>
        <w:rPr>
          <w:rFonts w:cs="Times New Roman"/>
          <w:sz w:val="24"/>
          <w:szCs w:val="24"/>
        </w:rPr>
      </w:pPr>
      <w:r w:rsidRPr="001E3C20">
        <w:rPr>
          <w:rFonts w:cs="Times New Roman"/>
          <w:sz w:val="24"/>
          <w:szCs w:val="24"/>
        </w:rPr>
        <w:t xml:space="preserve">Minh and Mai (2024) investigated how brand awareness measured through student familiarity, institutional recognition, and information accessibility impacts revenue generation in Vietnamese higher education institutions. It demonstrated that strong brand awareness directly shapes institutional reputation (perceived prestige and trustworthiness) and student decision-making (enrollment choices and attraction of high-achieving applicants). Key drivers of awareness included digital presence (well-structured websites, active social media engagement) and admission outreach (targeted events, clear </w:t>
      </w:r>
      <w:r w:rsidRPr="001E3C20">
        <w:rPr>
          <w:rFonts w:cs="Times New Roman"/>
          <w:sz w:val="24"/>
          <w:szCs w:val="24"/>
        </w:rPr>
        <w:lastRenderedPageBreak/>
        <w:t>communication of institutional value). This underscored that effective dissemination of academic offerings, facilities, and outcomes through these channels significantly boosted enrollment and financial performance. The research advises universities to prioritize brand visibility strategies, such as optimizing digital platforms and personalized recruitment campaigns, to enhance both market position and revenue sustainability. While focused on Vietnam, the study offers transferable insights for global institutions competing in increasingly digitalized education markets.</w:t>
      </w:r>
    </w:p>
    <w:p w:rsidR="00F62DC1" w:rsidRPr="001E3C20" w:rsidRDefault="00F62DC1" w:rsidP="00F62DC1">
      <w:pPr>
        <w:rPr>
          <w:rFonts w:cs="Times New Roman"/>
          <w:sz w:val="24"/>
          <w:szCs w:val="24"/>
        </w:rPr>
      </w:pPr>
      <w:proofErr w:type="spellStart"/>
      <w:r w:rsidRPr="001E3C20">
        <w:rPr>
          <w:rFonts w:cs="Times New Roman"/>
          <w:sz w:val="24"/>
          <w:szCs w:val="24"/>
        </w:rPr>
        <w:t>Rizad</w:t>
      </w:r>
      <w:proofErr w:type="spellEnd"/>
      <w:r w:rsidRPr="001E3C20">
        <w:rPr>
          <w:rFonts w:cs="Times New Roman"/>
          <w:sz w:val="24"/>
          <w:szCs w:val="24"/>
        </w:rPr>
        <w:t xml:space="preserve"> et al. (2023) compared how brand equity (comprising brand awareness, loyalty, perceived quality, and associations) and service quality (including academic resources, administrative efficiency, and student support services) shape the reputations of two Islamic universities </w:t>
      </w:r>
      <w:proofErr w:type="spellStart"/>
      <w:r w:rsidRPr="001E3C20">
        <w:rPr>
          <w:rFonts w:cs="Times New Roman"/>
          <w:sz w:val="24"/>
          <w:szCs w:val="24"/>
        </w:rPr>
        <w:t>Universitas</w:t>
      </w:r>
      <w:proofErr w:type="spellEnd"/>
      <w:r w:rsidRPr="001E3C20">
        <w:rPr>
          <w:rFonts w:cs="Times New Roman"/>
          <w:sz w:val="24"/>
          <w:szCs w:val="24"/>
        </w:rPr>
        <w:t xml:space="preserve"> Islam </w:t>
      </w:r>
      <w:proofErr w:type="spellStart"/>
      <w:r w:rsidRPr="001E3C20">
        <w:rPr>
          <w:rFonts w:cs="Times New Roman"/>
          <w:sz w:val="24"/>
          <w:szCs w:val="24"/>
        </w:rPr>
        <w:t>Negeri</w:t>
      </w:r>
      <w:proofErr w:type="spellEnd"/>
      <w:r w:rsidRPr="001E3C20">
        <w:rPr>
          <w:rFonts w:cs="Times New Roman"/>
          <w:sz w:val="24"/>
          <w:szCs w:val="24"/>
        </w:rPr>
        <w:t xml:space="preserve"> (UIN) in Indonesia and International Islamic University Malaysia (IIUM) and influence Indonesian students’ enrollment intentions. Both institutions, which offer hybrid curricula (Islamic and general studies), compete with profane universities like the University of Indonesia (UI). Brand equity’s sub-constructs particularly perceived academic quality and institutional prestige and service quality dimensions, such as teaching effectiveness and campus facilities, was alluded to significantly enhance institutional reputation. This reputation, in turn, drove student choice, with IIUM outperforming UIN due to stronger perceived value. While the research confirmed the mediating role of reputation between brand/service factors and student intentions, it highlighted the unmet need to analyze the moderating effect of study expenses (for example., tuition, living costs) (resource). The findings underscore how Islamic universities can leverage brand-building sub-components and service excellence to attract students in a competitive higher education market.</w:t>
      </w:r>
    </w:p>
    <w:p w:rsidR="00F62DC1" w:rsidRPr="001E3C20" w:rsidRDefault="00F62DC1" w:rsidP="00F62DC1">
      <w:pPr>
        <w:rPr>
          <w:rFonts w:cs="Times New Roman"/>
          <w:sz w:val="24"/>
          <w:szCs w:val="24"/>
        </w:rPr>
      </w:pPr>
      <w:proofErr w:type="spellStart"/>
      <w:r w:rsidRPr="001E3C20">
        <w:rPr>
          <w:rFonts w:cs="Times New Roman"/>
          <w:sz w:val="24"/>
          <w:szCs w:val="24"/>
        </w:rPr>
        <w:lastRenderedPageBreak/>
        <w:t>Sabri</w:t>
      </w:r>
      <w:proofErr w:type="spellEnd"/>
      <w:r w:rsidRPr="001E3C20">
        <w:rPr>
          <w:rFonts w:cs="Times New Roman"/>
          <w:sz w:val="24"/>
          <w:szCs w:val="24"/>
        </w:rPr>
        <w:t xml:space="preserve"> and </w:t>
      </w:r>
      <w:proofErr w:type="spellStart"/>
      <w:r w:rsidRPr="001E3C20">
        <w:rPr>
          <w:rFonts w:cs="Times New Roman"/>
          <w:sz w:val="24"/>
          <w:szCs w:val="24"/>
        </w:rPr>
        <w:t>Nazri</w:t>
      </w:r>
      <w:proofErr w:type="spellEnd"/>
      <w:r w:rsidRPr="001E3C20">
        <w:rPr>
          <w:rFonts w:cs="Times New Roman"/>
          <w:sz w:val="24"/>
          <w:szCs w:val="24"/>
        </w:rPr>
        <w:t xml:space="preserve"> (2023) examined how brand equity dimensions namely brand awareness, brand associations, perceived quality, and brand loyalty influence laptop purchase intentions among Malaysian university students. Guided by the Theory of Reasoned Action (TRA), the study revealed that perceived quality and brand loyalty were significant positive drivers of purchase decisions, while brand awareness and brand associations exerted a negative influence. The findings suggest that laptop manufacturers should prioritize improving product quality and strengthening customer loyalty rather than relying solely on brand recognition or abstract brand associations. The study provides useful strategic insights for marketers targeting student consumers but acknowledges limitations in terms of sample scope and contextual focus. To address the identified knowledge gap, future studies are recommended to incorporate additional explanatory variables such as price sensitivity, after-sales service, social influence, perceived value, and technological innovation, as well alongside organizational resources including infrastructure, human capital, and learning facilities to provide a more comprehensive understanding of brand equity’s influence on technology-related purchase </w:t>
      </w:r>
      <w:proofErr w:type="spellStart"/>
      <w:r w:rsidRPr="001E3C20">
        <w:rPr>
          <w:rFonts w:cs="Times New Roman"/>
          <w:sz w:val="24"/>
          <w:szCs w:val="24"/>
        </w:rPr>
        <w:t>behaviour</w:t>
      </w:r>
      <w:proofErr w:type="spellEnd"/>
      <w:r w:rsidRPr="001E3C20">
        <w:rPr>
          <w:rFonts w:cs="Times New Roman"/>
          <w:sz w:val="24"/>
          <w:szCs w:val="24"/>
        </w:rPr>
        <w:t>.</w:t>
      </w:r>
    </w:p>
    <w:p w:rsidR="00F62DC1" w:rsidRPr="001E3C20" w:rsidRDefault="00F62DC1" w:rsidP="00F62DC1">
      <w:pPr>
        <w:rPr>
          <w:rFonts w:cs="Times New Roman"/>
          <w:sz w:val="24"/>
          <w:szCs w:val="24"/>
        </w:rPr>
      </w:pPr>
      <w:r w:rsidRPr="001E3C20">
        <w:rPr>
          <w:rFonts w:cs="Times New Roman"/>
          <w:sz w:val="24"/>
          <w:szCs w:val="24"/>
        </w:rPr>
        <w:t xml:space="preserve">In Spain, </w:t>
      </w:r>
      <w:proofErr w:type="spellStart"/>
      <w:r w:rsidRPr="001E3C20">
        <w:rPr>
          <w:rFonts w:cs="Times New Roman"/>
          <w:sz w:val="24"/>
          <w:szCs w:val="24"/>
        </w:rPr>
        <w:t>Retamosa</w:t>
      </w:r>
      <w:proofErr w:type="spellEnd"/>
      <w:r w:rsidRPr="001E3C20">
        <w:rPr>
          <w:rFonts w:cs="Times New Roman"/>
          <w:sz w:val="24"/>
          <w:szCs w:val="24"/>
        </w:rPr>
        <w:t xml:space="preserve"> et al. (2019) explored holistic branding approaches, evaluating brand awareness, associations, and loyalty, concluding that integrated approaches improved recall by 18% and retention by 12%.  In Australia, Sultan and Wong (2023) examined alumni testimonials and discovered that emotionally charged stories increased conversions by 14%.  In South Africa, Joseph et al. (2021) cited academic reputation (ranking awareness), employability (job placement rates), and campus culture as the most relevant criteria, with 82% of students relying on digital media for information.</w:t>
      </w:r>
    </w:p>
    <w:p w:rsidR="00F62DC1" w:rsidRPr="001E3C20" w:rsidRDefault="00F62DC1" w:rsidP="00F62DC1">
      <w:pPr>
        <w:rPr>
          <w:rFonts w:cs="Times New Roman"/>
          <w:sz w:val="24"/>
          <w:szCs w:val="24"/>
        </w:rPr>
      </w:pPr>
      <w:r w:rsidRPr="001E3C20">
        <w:rPr>
          <w:rFonts w:cs="Times New Roman"/>
          <w:sz w:val="24"/>
          <w:szCs w:val="24"/>
        </w:rPr>
        <w:lastRenderedPageBreak/>
        <w:t xml:space="preserve">Modern understanding of university brand equity </w:t>
      </w:r>
      <w:proofErr w:type="gramStart"/>
      <w:r w:rsidRPr="001E3C20">
        <w:rPr>
          <w:rFonts w:cs="Times New Roman"/>
          <w:sz w:val="24"/>
          <w:szCs w:val="24"/>
        </w:rPr>
        <w:t>have</w:t>
      </w:r>
      <w:proofErr w:type="gramEnd"/>
      <w:r w:rsidRPr="001E3C20">
        <w:rPr>
          <w:rFonts w:cs="Times New Roman"/>
          <w:sz w:val="24"/>
          <w:szCs w:val="24"/>
        </w:rPr>
        <w:t xml:space="preserve"> evolved into sophisticated, multi-layered frameworks that use both traditional marketing ideas and novel measuring methods.  Recent research (</w:t>
      </w:r>
      <w:proofErr w:type="spellStart"/>
      <w:r w:rsidRPr="001E3C20">
        <w:rPr>
          <w:rFonts w:cs="Times New Roman"/>
          <w:sz w:val="24"/>
          <w:szCs w:val="24"/>
        </w:rPr>
        <w:t>Khoshtaria</w:t>
      </w:r>
      <w:proofErr w:type="spellEnd"/>
      <w:r w:rsidRPr="001E3C20">
        <w:rPr>
          <w:rFonts w:cs="Times New Roman"/>
          <w:sz w:val="24"/>
          <w:szCs w:val="24"/>
        </w:rPr>
        <w:t xml:space="preserve"> et al.,2023; </w:t>
      </w:r>
      <w:proofErr w:type="spellStart"/>
      <w:r w:rsidRPr="001E3C20">
        <w:rPr>
          <w:rFonts w:cs="Times New Roman"/>
          <w:sz w:val="24"/>
          <w:szCs w:val="24"/>
        </w:rPr>
        <w:t>Khoa</w:t>
      </w:r>
      <w:proofErr w:type="spellEnd"/>
      <w:r w:rsidRPr="001E3C20">
        <w:rPr>
          <w:rFonts w:cs="Times New Roman"/>
          <w:sz w:val="24"/>
          <w:szCs w:val="24"/>
        </w:rPr>
        <w:t xml:space="preserve"> and Nguyen, 2023) confirms the enduring relevance of core brand equity dimensions - perceived quality, awareness, loyalty, and emotional connection - while demonstrating their measurement through advanced methodologies such as SERVQUAL-HE scales for hybrid learning environments (Martinez-Ortega et al., 2023), digital footprint analysis (Lee &amp; Zhang, 2022), and psycho-physiological response testing (</w:t>
      </w:r>
      <w:proofErr w:type="spellStart"/>
      <w:r w:rsidRPr="001E3C20">
        <w:rPr>
          <w:rFonts w:cs="Times New Roman"/>
          <w:sz w:val="24"/>
          <w:szCs w:val="24"/>
        </w:rPr>
        <w:t>Nikolaeva</w:t>
      </w:r>
      <w:proofErr w:type="spellEnd"/>
      <w:r w:rsidRPr="001E3C20">
        <w:rPr>
          <w:rFonts w:cs="Times New Roman"/>
          <w:sz w:val="24"/>
          <w:szCs w:val="24"/>
        </w:rPr>
        <w:t xml:space="preserve"> et al., 2022). These core elements, which account for 68-72% of the variance in student satisfaction in multinational studies (</w:t>
      </w:r>
      <w:proofErr w:type="spellStart"/>
      <w:r w:rsidRPr="001E3C20">
        <w:rPr>
          <w:rFonts w:cs="Times New Roman"/>
          <w:sz w:val="24"/>
          <w:szCs w:val="24"/>
        </w:rPr>
        <w:t>Khoa</w:t>
      </w:r>
      <w:proofErr w:type="spellEnd"/>
      <w:r w:rsidRPr="001E3C20">
        <w:rPr>
          <w:rFonts w:cs="Times New Roman"/>
          <w:sz w:val="24"/>
          <w:szCs w:val="24"/>
        </w:rPr>
        <w:t xml:space="preserve"> et al., 2023), work in tandem with supporting value-creation elements such as critical digital infrastructure (Wilson et al., 2022) and AI-powered career outcome tracking (</w:t>
      </w:r>
      <w:proofErr w:type="spellStart"/>
      <w:r w:rsidRPr="001E3C20">
        <w:rPr>
          <w:rFonts w:cs="Times New Roman"/>
          <w:sz w:val="24"/>
          <w:szCs w:val="24"/>
        </w:rPr>
        <w:t>Ozdemir</w:t>
      </w:r>
      <w:proofErr w:type="spellEnd"/>
      <w:r w:rsidRPr="001E3C20">
        <w:rPr>
          <w:rFonts w:cs="Times New Roman"/>
          <w:sz w:val="24"/>
          <w:szCs w:val="24"/>
        </w:rPr>
        <w:t xml:space="preserve"> &amp; </w:t>
      </w:r>
      <w:proofErr w:type="spellStart"/>
      <w:r w:rsidRPr="001E3C20">
        <w:rPr>
          <w:rFonts w:cs="Times New Roman"/>
          <w:sz w:val="24"/>
          <w:szCs w:val="24"/>
        </w:rPr>
        <w:t>Dedeoglu</w:t>
      </w:r>
      <w:proofErr w:type="spellEnd"/>
      <w:r w:rsidRPr="001E3C20">
        <w:rPr>
          <w:rFonts w:cs="Times New Roman"/>
          <w:sz w:val="24"/>
          <w:szCs w:val="24"/>
        </w:rPr>
        <w:t>, 2023).</w:t>
      </w:r>
    </w:p>
    <w:p w:rsidR="00F62DC1" w:rsidRPr="001E3C20" w:rsidRDefault="00F62DC1" w:rsidP="00F62DC1">
      <w:pPr>
        <w:rPr>
          <w:rFonts w:cs="Times New Roman"/>
          <w:sz w:val="24"/>
          <w:szCs w:val="24"/>
        </w:rPr>
      </w:pPr>
      <w:r w:rsidRPr="001E3C20">
        <w:rPr>
          <w:rFonts w:cs="Times New Roman"/>
          <w:sz w:val="24"/>
          <w:szCs w:val="24"/>
        </w:rPr>
        <w:t xml:space="preserve">According to </w:t>
      </w:r>
      <w:proofErr w:type="spellStart"/>
      <w:r w:rsidRPr="001E3C20">
        <w:rPr>
          <w:rFonts w:cs="Times New Roman"/>
          <w:sz w:val="24"/>
          <w:szCs w:val="24"/>
        </w:rPr>
        <w:t>Kuriakose</w:t>
      </w:r>
      <w:proofErr w:type="spellEnd"/>
      <w:r w:rsidRPr="001E3C20">
        <w:rPr>
          <w:rFonts w:cs="Times New Roman"/>
          <w:sz w:val="24"/>
          <w:szCs w:val="24"/>
        </w:rPr>
        <w:t xml:space="preserve"> and Mathew (2023), higher education brand ecosystems comprise three interrelated levels: hygiene factors that reduce dissatisfaction, core experiential learning values that shape students’ perceptions, and transformational outcomes that encourage long-term advocacy. Conceptually, this framework aligns with the proposed study by acknowledging that brand-related attributes influence student decision-making; however, it differs in scope and emphasis. Whereas </w:t>
      </w:r>
      <w:proofErr w:type="spellStart"/>
      <w:r w:rsidRPr="001E3C20">
        <w:rPr>
          <w:rFonts w:cs="Times New Roman"/>
          <w:sz w:val="24"/>
          <w:szCs w:val="24"/>
        </w:rPr>
        <w:t>Kuriakose</w:t>
      </w:r>
      <w:proofErr w:type="spellEnd"/>
      <w:r w:rsidRPr="001E3C20">
        <w:rPr>
          <w:rFonts w:cs="Times New Roman"/>
          <w:sz w:val="24"/>
          <w:szCs w:val="24"/>
        </w:rPr>
        <w:t xml:space="preserve"> and Mathew (2023) focused primarily on brand advocacy and long-term outcomes, the present study concentrates on students’ choice of public universities as the immediate decision outcome and operationalizes brand equity using brand salience, brand imagery, brand response, and brand resonance, which is consistent with Keller’s brand equity model.</w:t>
      </w:r>
    </w:p>
    <w:p w:rsidR="00F62DC1" w:rsidRPr="001E3C20" w:rsidRDefault="00F62DC1" w:rsidP="00F62DC1">
      <w:pPr>
        <w:rPr>
          <w:rFonts w:cs="Times New Roman"/>
          <w:sz w:val="24"/>
          <w:szCs w:val="24"/>
        </w:rPr>
      </w:pPr>
      <w:r w:rsidRPr="001E3C20">
        <w:rPr>
          <w:rFonts w:cs="Times New Roman"/>
          <w:sz w:val="24"/>
          <w:szCs w:val="24"/>
        </w:rPr>
        <w:lastRenderedPageBreak/>
        <w:t>Chen et al. (2023) empirically demonstrated the importance of contextualized brand equity strategies, reporting through structural equation modeling that culturally aligned branding dimensions accounted for approximately 29–33% of the variance in students’ institutional preference in selected Asian universities (p&lt; 0.05). While this finding supports the relevance of brand equity dimensions similar to those proposed in the current study, it does not incorporate organizational resources as a moderating factor. In contrast, the proposed study explicitly introduces organizational resources such as academic staff capacity, infrastructure, and learning facilities to examine how they condition the relationship between brand equity strategies and students’ university choice.</w:t>
      </w:r>
    </w:p>
    <w:p w:rsidR="00F62DC1" w:rsidRPr="001E3C20" w:rsidRDefault="00F62DC1" w:rsidP="00F62DC1">
      <w:pPr>
        <w:rPr>
          <w:rFonts w:cs="Times New Roman"/>
          <w:sz w:val="24"/>
          <w:szCs w:val="24"/>
        </w:rPr>
      </w:pPr>
      <w:r w:rsidRPr="001E3C20">
        <w:rPr>
          <w:rFonts w:cs="Times New Roman"/>
          <w:sz w:val="24"/>
          <w:szCs w:val="24"/>
        </w:rPr>
        <w:t>Further a study by Almeida and Santos (2023) revealed that universities integrating multiple brand equity components achieved a 23–25% increase in application rates, indicating the practical impact of coherent brand strategies on student demand. Similarly, Garcia-Lopez et al. (2023) reported statistically significant positive effects of brand-related constructs, including institutional reputation and perceived quality, on students’ choice decisions (β ranging between 0.38 and 0.47, p &lt; 0.05). However, both studies were conducted outside the Kenyan context and did not test a moderation model involving organizational resources. Consequently, despite strong international statistical evidence supporting the influence of brand equity on student choice, there remains a contextual and methodological gap regarding how brand equity strategies (brand salience, imagery, response, and resonance) interact with organizational resources to influence students’ choice of public universities in Kenya, which the proposed study seeks to address.</w:t>
      </w:r>
    </w:p>
    <w:p w:rsidR="00F62DC1" w:rsidRPr="001E3C20" w:rsidRDefault="00F62DC1" w:rsidP="00F62DC1">
      <w:pPr>
        <w:rPr>
          <w:rFonts w:cs="Times New Roman"/>
          <w:sz w:val="24"/>
          <w:szCs w:val="24"/>
        </w:rPr>
      </w:pPr>
      <w:r w:rsidRPr="001E3C20">
        <w:rPr>
          <w:rFonts w:cs="Times New Roman"/>
          <w:sz w:val="24"/>
          <w:szCs w:val="24"/>
        </w:rPr>
        <w:lastRenderedPageBreak/>
        <w:t>The most forward-thinking institutions now view brand equity management as a continuous process of value co-creation, with digital transformation initiatives and immersive learning ecosystems (Garcia-Lopez et al., 2023) supplementing core academic offerings to create comprehensive, culturally relevant brand experiences.  The shift from static brand positioning to dynamic, data-driven equity development represents higher education's response to an increasingly competitive global economy and more discerning student populations.</w:t>
      </w:r>
    </w:p>
    <w:p w:rsidR="00F62DC1" w:rsidRPr="001E3C20" w:rsidRDefault="00F62DC1" w:rsidP="00F62DC1">
      <w:pPr>
        <w:rPr>
          <w:rFonts w:cs="Times New Roman"/>
          <w:sz w:val="24"/>
          <w:szCs w:val="24"/>
        </w:rPr>
      </w:pPr>
      <w:r w:rsidRPr="001E3C20">
        <w:rPr>
          <w:rFonts w:cs="Times New Roman"/>
          <w:sz w:val="24"/>
          <w:szCs w:val="24"/>
        </w:rPr>
        <w:t xml:space="preserve">Regionally, </w:t>
      </w:r>
      <w:proofErr w:type="spellStart"/>
      <w:r w:rsidRPr="001E3C20">
        <w:rPr>
          <w:rFonts w:cs="Times New Roman"/>
          <w:sz w:val="24"/>
          <w:szCs w:val="24"/>
        </w:rPr>
        <w:t>Yiadom</w:t>
      </w:r>
      <w:proofErr w:type="spellEnd"/>
      <w:r w:rsidRPr="001E3C20">
        <w:rPr>
          <w:rFonts w:cs="Times New Roman"/>
          <w:sz w:val="24"/>
          <w:szCs w:val="24"/>
        </w:rPr>
        <w:t xml:space="preserve"> et al. (2025) explored the influence of brand salience on students’ choice of higher education institutions in a Ghanaian Technical University, revealing that institutional brand salience significantly shapes enrollment decisions and urging universities to develop distinct brand identities to remain competitive. Similarly, </w:t>
      </w:r>
      <w:proofErr w:type="spellStart"/>
      <w:r w:rsidRPr="001E3C20">
        <w:rPr>
          <w:rFonts w:cs="Times New Roman"/>
          <w:sz w:val="24"/>
          <w:szCs w:val="24"/>
        </w:rPr>
        <w:t>Moipone</w:t>
      </w:r>
      <w:proofErr w:type="spellEnd"/>
      <w:r w:rsidRPr="001E3C20">
        <w:rPr>
          <w:rFonts w:cs="Times New Roman"/>
          <w:sz w:val="24"/>
          <w:szCs w:val="24"/>
        </w:rPr>
        <w:t xml:space="preserve"> </w:t>
      </w:r>
      <w:proofErr w:type="spellStart"/>
      <w:r w:rsidRPr="001E3C20">
        <w:rPr>
          <w:rFonts w:cs="Times New Roman"/>
          <w:sz w:val="24"/>
          <w:szCs w:val="24"/>
        </w:rPr>
        <w:t>Matli</w:t>
      </w:r>
      <w:proofErr w:type="spellEnd"/>
      <w:r w:rsidRPr="001E3C20">
        <w:rPr>
          <w:rFonts w:cs="Times New Roman"/>
          <w:sz w:val="24"/>
          <w:szCs w:val="24"/>
        </w:rPr>
        <w:t xml:space="preserve"> et al. (2021) found that brand image and service quality were key factors influencing students' preferences and recommendations for Universities of Technology in KwaZulu-Natal, South Africa. </w:t>
      </w:r>
      <w:proofErr w:type="spellStart"/>
      <w:r w:rsidRPr="001E3C20">
        <w:rPr>
          <w:rFonts w:cs="Times New Roman"/>
          <w:sz w:val="24"/>
          <w:szCs w:val="24"/>
        </w:rPr>
        <w:t>Alemu</w:t>
      </w:r>
      <w:proofErr w:type="spellEnd"/>
      <w:r w:rsidRPr="001E3C20">
        <w:rPr>
          <w:rFonts w:cs="Times New Roman"/>
          <w:sz w:val="24"/>
          <w:szCs w:val="24"/>
        </w:rPr>
        <w:t xml:space="preserve"> (2022) extended this perspective by examining brand equity at the Bank of Abyssinia in Ethiopia, finding that all six brand equity dimensions influenced service choice, with brand resonance, feeling, and performance having the strongest effects, though judgment and imagery were statistically insignificant. Collectively, these studies underscore the strategic importance of branding in influencing consumer and student decisions across different service sectors.</w:t>
      </w:r>
    </w:p>
    <w:p w:rsidR="00F62DC1" w:rsidRPr="001E3C20" w:rsidRDefault="00F62DC1" w:rsidP="00F62DC1">
      <w:pPr>
        <w:rPr>
          <w:rFonts w:cs="Times New Roman"/>
          <w:sz w:val="24"/>
          <w:szCs w:val="24"/>
        </w:rPr>
      </w:pPr>
      <w:proofErr w:type="spellStart"/>
      <w:r w:rsidRPr="001E3C20">
        <w:rPr>
          <w:rFonts w:cs="Times New Roman"/>
          <w:sz w:val="24"/>
          <w:szCs w:val="24"/>
        </w:rPr>
        <w:t>FakhrEldin</w:t>
      </w:r>
      <w:proofErr w:type="spellEnd"/>
      <w:r w:rsidRPr="001E3C20">
        <w:rPr>
          <w:rFonts w:cs="Times New Roman"/>
          <w:sz w:val="24"/>
          <w:szCs w:val="24"/>
        </w:rPr>
        <w:t xml:space="preserve"> (2023) investigated the impact of brand equity on students' selection of private universities in Egypt. It aims to identify the core and supporting attributes that significantly affect students' purchase intentions, to determine how brand equity dimensions such as </w:t>
      </w:r>
      <w:r w:rsidRPr="001E3C20">
        <w:rPr>
          <w:rFonts w:cs="Times New Roman"/>
          <w:sz w:val="24"/>
          <w:szCs w:val="24"/>
        </w:rPr>
        <w:lastRenderedPageBreak/>
        <w:t xml:space="preserve">brand awareness, perceived quality, brand associations, and brand loyalty influence students' selection of private universities in Egypt. Findings revealed that perceived quality (academic excellence, faculty credentials, and program relevance) emerged as the most significant factor shaping student decisions, followed closely by brand associations (institutional reputation, alumni success, and campus culture). Brand loyalty (student satisfaction and willingness to recommend) also played a critical role, particularly in retaining students and fostering positive word-of-mouth. While brand awareness (recognition and recall) was important for initial consideration, its impact was less decisive compared to experiential factors like quality and emotional connections. The study highlighted that private universities in Egypt can enhance competitiveness by strategically strengthening academic offerings, alumni engagement, and student experience, which collectively build enduring brand equity. These insights underscore the need for targeted marketing strategies that move beyond visibility to emphasize tangible value propositions and institutional differentiation in a crowded higher education market. </w:t>
      </w:r>
    </w:p>
    <w:p w:rsidR="00F62DC1" w:rsidRPr="001E3C20" w:rsidRDefault="00F62DC1" w:rsidP="00F62DC1">
      <w:pPr>
        <w:rPr>
          <w:rFonts w:cs="Times New Roman"/>
          <w:sz w:val="24"/>
          <w:szCs w:val="24"/>
        </w:rPr>
      </w:pPr>
      <w:r w:rsidRPr="001E3C20">
        <w:rPr>
          <w:rFonts w:cs="Times New Roman"/>
          <w:sz w:val="24"/>
          <w:szCs w:val="24"/>
        </w:rPr>
        <w:t xml:space="preserve">On the other hand, </w:t>
      </w:r>
      <w:proofErr w:type="spellStart"/>
      <w:r w:rsidRPr="001E3C20">
        <w:rPr>
          <w:rFonts w:cs="Times New Roman"/>
          <w:sz w:val="24"/>
          <w:szCs w:val="24"/>
        </w:rPr>
        <w:t>Nakalyakaani</w:t>
      </w:r>
      <w:proofErr w:type="spellEnd"/>
      <w:r w:rsidRPr="001E3C20">
        <w:rPr>
          <w:rFonts w:cs="Times New Roman"/>
          <w:sz w:val="24"/>
          <w:szCs w:val="24"/>
        </w:rPr>
        <w:t xml:space="preserve"> and </w:t>
      </w:r>
      <w:proofErr w:type="spellStart"/>
      <w:r w:rsidRPr="001E3C20">
        <w:rPr>
          <w:rFonts w:cs="Times New Roman"/>
          <w:sz w:val="24"/>
          <w:szCs w:val="24"/>
        </w:rPr>
        <w:t>Bisaso</w:t>
      </w:r>
      <w:proofErr w:type="spellEnd"/>
      <w:r w:rsidRPr="001E3C20">
        <w:rPr>
          <w:rFonts w:cs="Times New Roman"/>
          <w:sz w:val="24"/>
          <w:szCs w:val="24"/>
        </w:rPr>
        <w:t xml:space="preserve"> (2020) examine the relationship between school branding and student enrolment in private secondary schools in </w:t>
      </w:r>
      <w:proofErr w:type="spellStart"/>
      <w:r w:rsidRPr="001E3C20">
        <w:rPr>
          <w:rFonts w:cs="Times New Roman"/>
          <w:sz w:val="24"/>
          <w:szCs w:val="24"/>
        </w:rPr>
        <w:t>Iganga</w:t>
      </w:r>
      <w:proofErr w:type="spellEnd"/>
      <w:r w:rsidRPr="001E3C20">
        <w:rPr>
          <w:rFonts w:cs="Times New Roman"/>
          <w:sz w:val="24"/>
          <w:szCs w:val="24"/>
        </w:rPr>
        <w:t xml:space="preserve"> Municipality in Uganda, revealing positive but weak relationships between student enrolment and three branding dimensions: school image, school culture, and customer care.</w:t>
      </w:r>
    </w:p>
    <w:p w:rsidR="00F62DC1" w:rsidRPr="001E3C20" w:rsidRDefault="00F62DC1" w:rsidP="00F62DC1">
      <w:pPr>
        <w:rPr>
          <w:rFonts w:cs="Times New Roman"/>
          <w:sz w:val="24"/>
          <w:szCs w:val="24"/>
        </w:rPr>
      </w:pPr>
      <w:r w:rsidRPr="001E3C20">
        <w:rPr>
          <w:rFonts w:cs="Times New Roman"/>
          <w:sz w:val="24"/>
          <w:szCs w:val="24"/>
        </w:rPr>
        <w:t xml:space="preserve">Studies conducted in Kenya highlight the strategic role of brand salience and brand resonance in influencing both consumer and institutional choice decisions, supported by empirical evidence across sectors. </w:t>
      </w:r>
      <w:proofErr w:type="spellStart"/>
      <w:r w:rsidRPr="001E3C20">
        <w:rPr>
          <w:rFonts w:cs="Times New Roman"/>
          <w:sz w:val="24"/>
          <w:szCs w:val="24"/>
        </w:rPr>
        <w:t>Nyamwaya</w:t>
      </w:r>
      <w:proofErr w:type="spellEnd"/>
      <w:r w:rsidRPr="001E3C20">
        <w:rPr>
          <w:rFonts w:cs="Times New Roman"/>
          <w:sz w:val="24"/>
          <w:szCs w:val="24"/>
        </w:rPr>
        <w:t xml:space="preserve"> and </w:t>
      </w:r>
      <w:proofErr w:type="spellStart"/>
      <w:r w:rsidRPr="001E3C20">
        <w:rPr>
          <w:rFonts w:cs="Times New Roman"/>
          <w:sz w:val="24"/>
          <w:szCs w:val="24"/>
        </w:rPr>
        <w:t>Muchunku</w:t>
      </w:r>
      <w:proofErr w:type="spellEnd"/>
      <w:r w:rsidRPr="001E3C20">
        <w:rPr>
          <w:rFonts w:cs="Times New Roman"/>
          <w:sz w:val="24"/>
          <w:szCs w:val="24"/>
        </w:rPr>
        <w:t xml:space="preserve"> (2021), focusing on Multimedia University of Kenya, reported that rebranding efforts led to a noticeable </w:t>
      </w:r>
      <w:r w:rsidRPr="001E3C20">
        <w:rPr>
          <w:rFonts w:cs="Times New Roman"/>
          <w:sz w:val="24"/>
          <w:szCs w:val="24"/>
        </w:rPr>
        <w:lastRenderedPageBreak/>
        <w:t xml:space="preserve">improvement in brand recognition, with average perception scores rising from 3.1 to 4.0 on a five-point scale. Nevertheless, the study revealed lingering challenges, as approximately 42% of respondents expressed uncertainty regarding the university’s brand messaging, indicating that heightened visibility alone may not sufficiently drive positive choice outcomes. In the telecommunications sector, </w:t>
      </w:r>
      <w:proofErr w:type="spellStart"/>
      <w:r w:rsidRPr="001E3C20">
        <w:rPr>
          <w:rFonts w:cs="Times New Roman"/>
          <w:sz w:val="24"/>
          <w:szCs w:val="24"/>
        </w:rPr>
        <w:t>Mwaura</w:t>
      </w:r>
      <w:proofErr w:type="spellEnd"/>
      <w:r w:rsidRPr="001E3C20">
        <w:rPr>
          <w:rFonts w:cs="Times New Roman"/>
          <w:sz w:val="24"/>
          <w:szCs w:val="24"/>
        </w:rPr>
        <w:t xml:space="preserve"> and </w:t>
      </w:r>
      <w:proofErr w:type="spellStart"/>
      <w:r w:rsidRPr="001E3C20">
        <w:rPr>
          <w:rFonts w:cs="Times New Roman"/>
          <w:sz w:val="24"/>
          <w:szCs w:val="24"/>
        </w:rPr>
        <w:t>Mang’ana</w:t>
      </w:r>
      <w:proofErr w:type="spellEnd"/>
      <w:r w:rsidRPr="001E3C20">
        <w:rPr>
          <w:rFonts w:cs="Times New Roman"/>
          <w:sz w:val="24"/>
          <w:szCs w:val="24"/>
        </w:rPr>
        <w:t xml:space="preserve"> (2023) established that brand salience had a significant positive effect on Airtel Kenya’s market share, accounting for about 21% of observed growth, with the relationship remaining statistically significant (p &lt; 0.05). This finding demonstrates the tangible influence of strong brand visibility on consumer choice decisions.</w:t>
      </w:r>
    </w:p>
    <w:p w:rsidR="00F62DC1" w:rsidRPr="001E3C20" w:rsidRDefault="00F62DC1" w:rsidP="00F62DC1">
      <w:pPr>
        <w:rPr>
          <w:rFonts w:cs="Times New Roman"/>
          <w:sz w:val="24"/>
          <w:szCs w:val="24"/>
        </w:rPr>
      </w:pPr>
      <w:proofErr w:type="spellStart"/>
      <w:r w:rsidRPr="001E3C20">
        <w:rPr>
          <w:rFonts w:cs="Times New Roman"/>
          <w:sz w:val="24"/>
          <w:szCs w:val="24"/>
        </w:rPr>
        <w:t>Bonareri</w:t>
      </w:r>
      <w:proofErr w:type="spellEnd"/>
      <w:r w:rsidRPr="001E3C20">
        <w:rPr>
          <w:rFonts w:cs="Times New Roman"/>
          <w:sz w:val="24"/>
          <w:szCs w:val="24"/>
        </w:rPr>
        <w:t xml:space="preserve"> (2022) had found that rapid expansion of higher education has heightened the importance of brand equity in shaping student enrollment decisions. However, despite its critical role, public universities have experienced declining enrollments in recent years. A study by </w:t>
      </w:r>
      <w:proofErr w:type="spellStart"/>
      <w:r w:rsidRPr="001E3C20">
        <w:rPr>
          <w:rFonts w:cs="Times New Roman"/>
          <w:sz w:val="24"/>
          <w:szCs w:val="24"/>
        </w:rPr>
        <w:t>Bonareri</w:t>
      </w:r>
      <w:proofErr w:type="spellEnd"/>
      <w:r w:rsidRPr="001E3C20">
        <w:rPr>
          <w:rFonts w:cs="Times New Roman"/>
          <w:sz w:val="24"/>
          <w:szCs w:val="24"/>
        </w:rPr>
        <w:t xml:space="preserve"> et al. (2022), anchored on Keller’s Brand Equity Model, found that brand equity accounts for 57% of variations in customer citizenship behavior among students in Mount Kenya region universities, with a 0.912-unit increase in such behavior for every marginal improvement in brand equity. Underscoring the need for universities to strengthen advertising, marketing campaigns, and brand image management including perceptions of cleanliness and credibility to enhance brand awareness and foster positive customer citizenship behavior, ultimately reversing enrollment declines.</w:t>
      </w:r>
    </w:p>
    <w:p w:rsidR="00F62DC1" w:rsidRPr="001E3C20" w:rsidRDefault="00F62DC1" w:rsidP="00F62DC1">
      <w:pPr>
        <w:rPr>
          <w:rFonts w:cs="Times New Roman"/>
          <w:sz w:val="24"/>
          <w:szCs w:val="24"/>
        </w:rPr>
      </w:pPr>
      <w:r w:rsidRPr="001E3C20">
        <w:rPr>
          <w:rFonts w:cs="Times New Roman"/>
          <w:sz w:val="24"/>
          <w:szCs w:val="24"/>
        </w:rPr>
        <w:t xml:space="preserve">Another study by </w:t>
      </w:r>
      <w:proofErr w:type="spellStart"/>
      <w:r w:rsidRPr="001E3C20">
        <w:rPr>
          <w:rFonts w:cs="Times New Roman"/>
          <w:sz w:val="24"/>
          <w:szCs w:val="24"/>
        </w:rPr>
        <w:t>Ndung’u</w:t>
      </w:r>
      <w:proofErr w:type="spellEnd"/>
      <w:r w:rsidRPr="001E3C20">
        <w:rPr>
          <w:rFonts w:cs="Times New Roman"/>
          <w:sz w:val="24"/>
          <w:szCs w:val="24"/>
        </w:rPr>
        <w:t xml:space="preserve">, (2023) examined how customer-based brand equity dimensions (awareness, association, perceived quality, loyalty) influence institutional ratings of private universities. Revealing that all four dimensions significantly impacted </w:t>
      </w:r>
      <w:r w:rsidRPr="001E3C20">
        <w:rPr>
          <w:rFonts w:cs="Times New Roman"/>
          <w:sz w:val="24"/>
          <w:szCs w:val="24"/>
        </w:rPr>
        <w:lastRenderedPageBreak/>
        <w:t>university ratings. Brand awareness helped institutions stand out in students' consideration sets, while positive associations strengthened institutional image. Perceived quality, judged through tangible cues, proved crucial, and loyalty strategies enhanced retention. The study recommended social media branding for awareness, relationship-building for associations, quality faculty recruitment for perceived excellence, and value-creation strategies for loyalty. These findings underscore brand equity's vital role in private universities' competitive positioning and reputation management within Kenya's higher education sector.</w:t>
      </w:r>
    </w:p>
    <w:p w:rsidR="00F62DC1" w:rsidRPr="001E3C20" w:rsidRDefault="00F62DC1" w:rsidP="00F62DC1">
      <w:pPr>
        <w:rPr>
          <w:rFonts w:cs="Times New Roman"/>
          <w:sz w:val="24"/>
          <w:szCs w:val="24"/>
        </w:rPr>
      </w:pPr>
      <w:r w:rsidRPr="001E3C20">
        <w:rPr>
          <w:rFonts w:cs="Times New Roman"/>
          <w:sz w:val="24"/>
          <w:szCs w:val="24"/>
        </w:rPr>
        <w:t xml:space="preserve">From above extant growing body of literature on brand equity in higher education it revealed several unresolved tensions and contextual gaps that warrant examination in Kenya's public universities. </w:t>
      </w:r>
      <w:proofErr w:type="spellStart"/>
      <w:r w:rsidRPr="001E3C20">
        <w:rPr>
          <w:rFonts w:cs="Times New Roman"/>
          <w:sz w:val="24"/>
          <w:szCs w:val="24"/>
        </w:rPr>
        <w:t>Rauschnabel</w:t>
      </w:r>
      <w:proofErr w:type="spellEnd"/>
      <w:r w:rsidRPr="001E3C20">
        <w:rPr>
          <w:rFonts w:cs="Times New Roman"/>
          <w:sz w:val="24"/>
          <w:szCs w:val="24"/>
        </w:rPr>
        <w:t xml:space="preserve"> et al. (2022) confirmed brand equity as both a performance metric and competitive advantage, while Stephenson (2016) and </w:t>
      </w:r>
      <w:proofErr w:type="spellStart"/>
      <w:r w:rsidRPr="001E3C20">
        <w:rPr>
          <w:rFonts w:cs="Times New Roman"/>
          <w:sz w:val="24"/>
          <w:szCs w:val="24"/>
        </w:rPr>
        <w:t>Teeroovengadum</w:t>
      </w:r>
      <w:proofErr w:type="spellEnd"/>
      <w:r w:rsidRPr="001E3C20">
        <w:rPr>
          <w:rFonts w:cs="Times New Roman"/>
          <w:sz w:val="24"/>
          <w:szCs w:val="24"/>
        </w:rPr>
        <w:t xml:space="preserve"> et al. (2022) emphasized institutional reputation as a critical intangible asset. However, these studies largely overlook how organizational resources - whether financial, human, or technological - interact with brand equity strategies to influence student choice.</w:t>
      </w:r>
    </w:p>
    <w:p w:rsidR="00F62DC1" w:rsidRPr="001E3C20" w:rsidRDefault="00F62DC1" w:rsidP="00F62DC1">
      <w:pPr>
        <w:rPr>
          <w:rFonts w:cs="Times New Roman"/>
          <w:sz w:val="24"/>
          <w:szCs w:val="24"/>
        </w:rPr>
      </w:pPr>
      <w:r w:rsidRPr="001E3C20">
        <w:rPr>
          <w:rFonts w:cs="Times New Roman"/>
          <w:sz w:val="24"/>
          <w:szCs w:val="24"/>
        </w:rPr>
        <w:t>Recent multidimensional approaches to brand equity further complicate this picture. Studies employing advanced measurement techniques (Almeida and Santos, 2023; Lee and Zhang, 2023) have decomposed brand equity into salience, imagery, response, and resonance components, with leading institutions reporting 15-20% gains in key performance indicators (</w:t>
      </w:r>
      <w:proofErr w:type="spellStart"/>
      <w:r w:rsidRPr="001E3C20">
        <w:rPr>
          <w:rFonts w:cs="Times New Roman"/>
          <w:sz w:val="24"/>
          <w:szCs w:val="24"/>
        </w:rPr>
        <w:t>Dedeoglu</w:t>
      </w:r>
      <w:proofErr w:type="spellEnd"/>
      <w:r w:rsidRPr="001E3C20">
        <w:rPr>
          <w:rFonts w:cs="Times New Roman"/>
          <w:sz w:val="24"/>
          <w:szCs w:val="24"/>
        </w:rPr>
        <w:t xml:space="preserve"> and Wilson, 2023). Yet these sophisticated frameworks rarely account for resource disparities between institutions. For instance, Pinar et al.'s </w:t>
      </w:r>
      <w:r w:rsidRPr="001E3C20">
        <w:rPr>
          <w:rFonts w:cs="Times New Roman"/>
          <w:sz w:val="24"/>
          <w:szCs w:val="24"/>
        </w:rPr>
        <w:lastRenderedPageBreak/>
        <w:t>(2020) finding that service quality predicts student choice while Minh and Mai's (2024) think digital visibility metrics may not translate directly to resource-constrained in public universities.</w:t>
      </w:r>
    </w:p>
    <w:p w:rsidR="003C69C3" w:rsidRPr="001E3C20" w:rsidRDefault="00F62DC1" w:rsidP="00631271">
      <w:pPr>
        <w:rPr>
          <w:rFonts w:cs="Times New Roman"/>
          <w:sz w:val="24"/>
          <w:szCs w:val="24"/>
        </w:rPr>
      </w:pPr>
      <w:r w:rsidRPr="001E3C20">
        <w:rPr>
          <w:rFonts w:cs="Times New Roman"/>
          <w:sz w:val="24"/>
          <w:szCs w:val="24"/>
        </w:rPr>
        <w:t xml:space="preserve">The Kenyan context presents unique challenges and opportunities for testing these relationships. </w:t>
      </w:r>
      <w:proofErr w:type="spellStart"/>
      <w:r w:rsidRPr="001E3C20">
        <w:rPr>
          <w:rFonts w:cs="Times New Roman"/>
          <w:sz w:val="24"/>
          <w:szCs w:val="24"/>
        </w:rPr>
        <w:t>Ndung'u's</w:t>
      </w:r>
      <w:proofErr w:type="spellEnd"/>
      <w:r w:rsidRPr="001E3C20">
        <w:rPr>
          <w:rFonts w:cs="Times New Roman"/>
          <w:sz w:val="24"/>
          <w:szCs w:val="24"/>
        </w:rPr>
        <w:t xml:space="preserve"> (2023) study on private universities showed all brand equity dimensions significantly impacted ratings, while </w:t>
      </w:r>
      <w:proofErr w:type="spellStart"/>
      <w:r w:rsidRPr="001E3C20">
        <w:rPr>
          <w:rFonts w:cs="Times New Roman"/>
          <w:sz w:val="24"/>
          <w:szCs w:val="24"/>
        </w:rPr>
        <w:t>Rizad</w:t>
      </w:r>
      <w:proofErr w:type="spellEnd"/>
      <w:r w:rsidRPr="001E3C20">
        <w:rPr>
          <w:rFonts w:cs="Times New Roman"/>
          <w:sz w:val="24"/>
          <w:szCs w:val="24"/>
        </w:rPr>
        <w:t xml:space="preserve"> et al. (2023) highlighted how Islamic universities compete through brand and service quality. However, public universities face distinct constraints - from aging infrastructure to funding limitations - that may alter how brand equity components affect student choice. </w:t>
      </w:r>
      <w:proofErr w:type="spellStart"/>
      <w:r w:rsidRPr="001E3C20">
        <w:rPr>
          <w:rFonts w:cs="Times New Roman"/>
          <w:sz w:val="24"/>
          <w:szCs w:val="24"/>
        </w:rPr>
        <w:t>FakhrEldin's</w:t>
      </w:r>
      <w:proofErr w:type="spellEnd"/>
      <w:r w:rsidRPr="001E3C20">
        <w:rPr>
          <w:rFonts w:cs="Times New Roman"/>
          <w:sz w:val="24"/>
          <w:szCs w:val="24"/>
        </w:rPr>
        <w:t xml:space="preserve"> (2023) Egyptian study found perceived quality most influential, but whether this holds true in Kenya's public sector remains untested hence the need for the current study on determine; Brand Equity Strategies, Organization Resource and Students’ Choice o</w:t>
      </w:r>
      <w:r w:rsidR="00631271" w:rsidRPr="001E3C20">
        <w:rPr>
          <w:rFonts w:cs="Times New Roman"/>
          <w:sz w:val="24"/>
          <w:szCs w:val="24"/>
        </w:rPr>
        <w:t>f Public Universities in Kenya.</w:t>
      </w:r>
    </w:p>
    <w:p w:rsidR="003C69C3" w:rsidRPr="001E3C20" w:rsidRDefault="003C69C3" w:rsidP="00F62DC1">
      <w:pPr>
        <w:rPr>
          <w:rFonts w:cs="Times New Roman"/>
        </w:rPr>
      </w:pPr>
    </w:p>
    <w:p w:rsidR="003C69C3" w:rsidRPr="001E3C20" w:rsidRDefault="009C7644" w:rsidP="003C69C3">
      <w:pPr>
        <w:pStyle w:val="Heading2"/>
      </w:pPr>
      <w:bookmarkStart w:id="1" w:name="_Toc230811086"/>
      <w:r w:rsidRPr="001E3C20">
        <w:t xml:space="preserve">1.4 </w:t>
      </w:r>
      <w:r w:rsidR="003C69C3" w:rsidRPr="001E3C20">
        <w:t>Objective of the Study</w:t>
      </w:r>
      <w:bookmarkEnd w:id="1"/>
      <w:r w:rsidR="003C69C3" w:rsidRPr="001E3C20">
        <w:t xml:space="preserve"> </w:t>
      </w:r>
      <w:r w:rsidR="003C69C3" w:rsidRPr="001E3C20">
        <w:tab/>
      </w:r>
    </w:p>
    <w:p w:rsidR="003C69C3" w:rsidRPr="001E3C20" w:rsidRDefault="009C7644" w:rsidP="003C69C3">
      <w:pPr>
        <w:rPr>
          <w:rFonts w:cs="Times New Roman"/>
          <w:sz w:val="24"/>
          <w:szCs w:val="24"/>
        </w:rPr>
      </w:pPr>
      <w:r w:rsidRPr="001E3C20">
        <w:rPr>
          <w:rFonts w:cs="Times New Roman"/>
          <w:sz w:val="24"/>
          <w:szCs w:val="24"/>
        </w:rPr>
        <w:t xml:space="preserve">1. </w:t>
      </w:r>
      <w:r w:rsidR="003C69C3" w:rsidRPr="001E3C20">
        <w:rPr>
          <w:rFonts w:cs="Times New Roman"/>
          <w:sz w:val="24"/>
          <w:szCs w:val="24"/>
        </w:rPr>
        <w:t>The study sought to determine Relationship between Brand Salience, and Students’ Enrollment Decision in Public Universities in Kenya</w:t>
      </w:r>
    </w:p>
    <w:p w:rsidR="006E6B9D" w:rsidRPr="001E3C20" w:rsidRDefault="009C7644" w:rsidP="009C7644">
      <w:pPr>
        <w:spacing w:after="160"/>
        <w:rPr>
          <w:rFonts w:cs="Times New Roman"/>
          <w:sz w:val="24"/>
          <w:szCs w:val="24"/>
        </w:rPr>
      </w:pPr>
      <w:r w:rsidRPr="001E3C20">
        <w:rPr>
          <w:rFonts w:cs="Times New Roman"/>
          <w:sz w:val="24"/>
          <w:szCs w:val="24"/>
        </w:rPr>
        <w:t xml:space="preserve">2. </w:t>
      </w:r>
      <w:r w:rsidR="003C69C3" w:rsidRPr="001E3C20">
        <w:rPr>
          <w:rFonts w:cs="Times New Roman"/>
          <w:sz w:val="24"/>
          <w:szCs w:val="24"/>
        </w:rPr>
        <w:t xml:space="preserve">To determine the relationship between brand salience and students’ enrollment </w:t>
      </w:r>
      <w:proofErr w:type="gramStart"/>
      <w:r w:rsidR="003C69C3" w:rsidRPr="001E3C20">
        <w:rPr>
          <w:rFonts w:cs="Times New Roman"/>
          <w:sz w:val="24"/>
          <w:szCs w:val="24"/>
        </w:rPr>
        <w:t>decision  in</w:t>
      </w:r>
      <w:proofErr w:type="gramEnd"/>
      <w:r w:rsidR="003C69C3" w:rsidRPr="001E3C20">
        <w:rPr>
          <w:rFonts w:cs="Times New Roman"/>
          <w:sz w:val="24"/>
          <w:szCs w:val="24"/>
        </w:rPr>
        <w:t xml:space="preserve"> Public Universities in Kenya</w:t>
      </w:r>
    </w:p>
    <w:p w:rsidR="006E6B9D" w:rsidRPr="001E3C20" w:rsidRDefault="006E6B9D" w:rsidP="00F62DC1">
      <w:pPr>
        <w:rPr>
          <w:rFonts w:cs="Times New Roman"/>
        </w:rPr>
      </w:pPr>
    </w:p>
    <w:p w:rsidR="006E6B9D" w:rsidRPr="001E3C20" w:rsidRDefault="006E6B9D" w:rsidP="006E6B9D">
      <w:pPr>
        <w:pStyle w:val="Heading1"/>
        <w:rPr>
          <w:rFonts w:cs="Times New Roman"/>
        </w:rPr>
      </w:pPr>
      <w:bookmarkStart w:id="2" w:name="_Toc230811093"/>
      <w:r w:rsidRPr="001E3C20">
        <w:rPr>
          <w:rFonts w:cs="Times New Roman"/>
        </w:rPr>
        <w:lastRenderedPageBreak/>
        <w:t>CHAPTER TWO</w:t>
      </w:r>
      <w:bookmarkEnd w:id="2"/>
    </w:p>
    <w:p w:rsidR="006E6B9D" w:rsidRPr="001E3C20" w:rsidRDefault="006E6B9D" w:rsidP="006E6B9D">
      <w:pPr>
        <w:pStyle w:val="Heading1"/>
        <w:rPr>
          <w:rFonts w:cs="Times New Roman"/>
        </w:rPr>
      </w:pPr>
      <w:r w:rsidRPr="001E3C20">
        <w:rPr>
          <w:rFonts w:cs="Times New Roman"/>
        </w:rPr>
        <w:t xml:space="preserve"> </w:t>
      </w:r>
      <w:bookmarkStart w:id="3" w:name="_Toc230811094"/>
      <w:r w:rsidRPr="001E3C20">
        <w:rPr>
          <w:rFonts w:cs="Times New Roman"/>
        </w:rPr>
        <w:t>LITERATURE REVIEW</w:t>
      </w:r>
      <w:bookmarkEnd w:id="3"/>
    </w:p>
    <w:p w:rsidR="006E6B9D" w:rsidRPr="001E3C20" w:rsidRDefault="006E6B9D" w:rsidP="006E6B9D">
      <w:pPr>
        <w:pStyle w:val="Heading2"/>
      </w:pPr>
      <w:bookmarkStart w:id="4" w:name="_Toc230811095"/>
      <w:r w:rsidRPr="001E3C20">
        <w:t>2.1 Introduction</w:t>
      </w:r>
      <w:bookmarkEnd w:id="4"/>
      <w:r w:rsidRPr="001E3C20">
        <w:t xml:space="preserve"> </w:t>
      </w:r>
    </w:p>
    <w:p w:rsidR="006E6B9D" w:rsidRPr="001E3C20" w:rsidRDefault="006E6B9D" w:rsidP="006E6B9D">
      <w:pPr>
        <w:tabs>
          <w:tab w:val="left" w:pos="2325"/>
        </w:tabs>
        <w:rPr>
          <w:rFonts w:cs="Times New Roman"/>
          <w:sz w:val="24"/>
          <w:szCs w:val="24"/>
        </w:rPr>
      </w:pPr>
      <w:r w:rsidRPr="001E3C20">
        <w:rPr>
          <w:rFonts w:cs="Times New Roman"/>
          <w:sz w:val="24"/>
          <w:szCs w:val="24"/>
        </w:rPr>
        <w:t xml:space="preserve">This section covers the empirical literature review, theoretical framework, knowledge gap and lastly the conceptual framework. </w:t>
      </w:r>
    </w:p>
    <w:p w:rsidR="006E6B9D" w:rsidRPr="001E3C20" w:rsidRDefault="006E6B9D" w:rsidP="006E6B9D">
      <w:pPr>
        <w:pStyle w:val="Heading2"/>
        <w:spacing w:before="0"/>
      </w:pPr>
      <w:bookmarkStart w:id="5" w:name="_Toc230811096"/>
      <w:r w:rsidRPr="001E3C20">
        <w:t>2.2 Review of Related Literature</w:t>
      </w:r>
      <w:bookmarkEnd w:id="5"/>
    </w:p>
    <w:p w:rsidR="006E6B9D" w:rsidRPr="001E3C20" w:rsidRDefault="006E6B9D" w:rsidP="006E6B9D">
      <w:pPr>
        <w:tabs>
          <w:tab w:val="left" w:pos="2325"/>
        </w:tabs>
        <w:rPr>
          <w:rFonts w:cs="Times New Roman"/>
          <w:sz w:val="24"/>
          <w:szCs w:val="24"/>
        </w:rPr>
      </w:pPr>
      <w:r w:rsidRPr="001E3C20">
        <w:rPr>
          <w:rFonts w:cs="Times New Roman"/>
          <w:sz w:val="24"/>
          <w:szCs w:val="24"/>
        </w:rPr>
        <w:t>The literature review for this study was structured around the key research objectives, examining existing scholarly works, theories, and empirical findings that are related to the study.</w:t>
      </w:r>
    </w:p>
    <w:p w:rsidR="006E6B9D" w:rsidRPr="001E3C20" w:rsidRDefault="006E6B9D" w:rsidP="006E6B9D">
      <w:pPr>
        <w:pStyle w:val="Heading3"/>
        <w:rPr>
          <w:rFonts w:ascii="Times New Roman" w:hAnsi="Times New Roman" w:cs="Times New Roman"/>
          <w:b/>
          <w:color w:val="auto"/>
        </w:rPr>
      </w:pPr>
      <w:bookmarkStart w:id="6" w:name="_Toc230811097"/>
      <w:r w:rsidRPr="001E3C20">
        <w:rPr>
          <w:rFonts w:ascii="Times New Roman" w:hAnsi="Times New Roman" w:cs="Times New Roman"/>
          <w:b/>
          <w:color w:val="auto"/>
        </w:rPr>
        <w:t>2.2.1 Brand Salience and Students’ Enrollment Decision in Public Universities</w:t>
      </w:r>
      <w:bookmarkEnd w:id="6"/>
    </w:p>
    <w:p w:rsidR="006E6B9D" w:rsidRPr="001E3C20" w:rsidRDefault="006E6B9D" w:rsidP="006E6B9D">
      <w:pPr>
        <w:rPr>
          <w:rFonts w:cs="Times New Roman"/>
          <w:sz w:val="24"/>
          <w:szCs w:val="24"/>
        </w:rPr>
      </w:pPr>
      <w:proofErr w:type="spellStart"/>
      <w:r w:rsidRPr="001E3C20">
        <w:rPr>
          <w:rFonts w:cs="Times New Roman"/>
          <w:sz w:val="24"/>
          <w:szCs w:val="24"/>
        </w:rPr>
        <w:t>Kubetzek</w:t>
      </w:r>
      <w:proofErr w:type="spellEnd"/>
      <w:r w:rsidRPr="001E3C20">
        <w:rPr>
          <w:rFonts w:cs="Times New Roman"/>
          <w:sz w:val="24"/>
          <w:szCs w:val="24"/>
        </w:rPr>
        <w:t xml:space="preserve"> (2022) asserted that brand salience, which is the degree to which a brand is easily and conspicuously remembered, and it reflects the breadth and depth of brand awareness.  In the context of higher education, it measures how easily stakeholders and potential students can identify and recall a university while making decisions.</w:t>
      </w:r>
    </w:p>
    <w:p w:rsidR="006E6B9D" w:rsidRPr="001E3C20" w:rsidRDefault="006E6B9D" w:rsidP="006E6B9D">
      <w:pPr>
        <w:tabs>
          <w:tab w:val="left" w:pos="5910"/>
        </w:tabs>
        <w:rPr>
          <w:rFonts w:cs="Times New Roman"/>
          <w:sz w:val="24"/>
          <w:szCs w:val="24"/>
        </w:rPr>
      </w:pPr>
      <w:r w:rsidRPr="001E3C20">
        <w:rPr>
          <w:rFonts w:cs="Times New Roman"/>
          <w:sz w:val="24"/>
          <w:szCs w:val="24"/>
        </w:rPr>
        <w:t xml:space="preserve">Minh and Mai (2024) explored the impact of brand salience on revenue generation in Vietnam's top five universities, emphasizing its role in shaping institutional reputation and student decisions. Using a mixed-method approach, the study finds that brand salience significantly influences admission choices and attracts high-quality students, stressing the need for effective communication through websites, social media, and events. It recommended broader, context-specific investigations to determine whether these effects hold beyond elite institutions and across different education systems. However, the study's </w:t>
      </w:r>
      <w:r w:rsidRPr="001E3C20">
        <w:rPr>
          <w:rFonts w:cs="Times New Roman"/>
          <w:sz w:val="24"/>
          <w:szCs w:val="24"/>
        </w:rPr>
        <w:lastRenderedPageBreak/>
        <w:t xml:space="preserve">focus on elite Vietnamese institutions limits generalization to mid-tier universities, rural populations, or contexts like Kenya, where education systems and policies differ. It </w:t>
      </w:r>
      <w:proofErr w:type="gramStart"/>
      <w:r w:rsidRPr="001E3C20">
        <w:rPr>
          <w:rFonts w:cs="Times New Roman"/>
          <w:sz w:val="24"/>
          <w:szCs w:val="24"/>
        </w:rPr>
        <w:t>overlook</w:t>
      </w:r>
      <w:proofErr w:type="gramEnd"/>
      <w:r w:rsidRPr="001E3C20">
        <w:rPr>
          <w:rFonts w:cs="Times New Roman"/>
          <w:sz w:val="24"/>
          <w:szCs w:val="24"/>
        </w:rPr>
        <w:t xml:space="preserve"> possible moderating factor that is organizational resource which may reshape how brand salience influences Kenyan students’ decisions. Moreover, public universities in Kenya vary widely in size, age, academic strengths, and regional identity, suggesting that the relationship between salience and student choice may not be linear or uniform. These gaps call for localized, inclusive research on brand salience in developing higher education markets as the proposed study to be done in Kenya. The findings are expected to reveal new contextual findings, practical recommendations, and nuanced relationships that previous studies could not capture within their settings.</w:t>
      </w:r>
    </w:p>
    <w:p w:rsidR="006E6B9D" w:rsidRPr="001E3C20" w:rsidRDefault="006E6B9D" w:rsidP="006E6B9D">
      <w:pPr>
        <w:tabs>
          <w:tab w:val="left" w:pos="5910"/>
        </w:tabs>
        <w:rPr>
          <w:rFonts w:cs="Times New Roman"/>
          <w:sz w:val="24"/>
          <w:szCs w:val="24"/>
        </w:rPr>
      </w:pPr>
      <w:proofErr w:type="spellStart"/>
      <w:r w:rsidRPr="001E3C20">
        <w:rPr>
          <w:rFonts w:cs="Times New Roman"/>
          <w:sz w:val="24"/>
          <w:szCs w:val="24"/>
        </w:rPr>
        <w:t>Rizard</w:t>
      </w:r>
      <w:proofErr w:type="spellEnd"/>
      <w:r w:rsidRPr="001E3C20">
        <w:rPr>
          <w:rFonts w:cs="Times New Roman"/>
          <w:sz w:val="24"/>
          <w:szCs w:val="24"/>
        </w:rPr>
        <w:t xml:space="preserve"> et al. (2023) aimed to compare the impact of brand equity comprising of brand salience, loyalty, perceived quality, and associations) and service quality (including academic resources, administrative efficiency, and service quality on universities’ reputations, namely </w:t>
      </w:r>
      <w:proofErr w:type="spellStart"/>
      <w:r w:rsidRPr="001E3C20">
        <w:rPr>
          <w:rFonts w:cs="Times New Roman"/>
          <w:sz w:val="24"/>
          <w:szCs w:val="24"/>
        </w:rPr>
        <w:t>Universitas</w:t>
      </w:r>
      <w:proofErr w:type="spellEnd"/>
      <w:r w:rsidRPr="001E3C20">
        <w:rPr>
          <w:rFonts w:cs="Times New Roman"/>
          <w:sz w:val="24"/>
          <w:szCs w:val="24"/>
        </w:rPr>
        <w:t xml:space="preserve"> Islam </w:t>
      </w:r>
      <w:proofErr w:type="spellStart"/>
      <w:r w:rsidRPr="001E3C20">
        <w:rPr>
          <w:rFonts w:cs="Times New Roman"/>
          <w:sz w:val="24"/>
          <w:szCs w:val="24"/>
        </w:rPr>
        <w:t>Negeri</w:t>
      </w:r>
      <w:proofErr w:type="spellEnd"/>
      <w:r w:rsidRPr="001E3C20">
        <w:rPr>
          <w:rFonts w:cs="Times New Roman"/>
          <w:sz w:val="24"/>
          <w:szCs w:val="24"/>
        </w:rPr>
        <w:t xml:space="preserve"> (UIN) in Indonesia and International Islamic University Malaysia (IIUM) in Malaysia, and Indonesian students’ intention to choose the universities. The statistical measurement tool used was structural equation modeling. The number of items stated in the questionnaire was 45. Therefore, minimum data to be collected were 5 × 45 or 225 which rounded up to 228 from Indonesian students at UIN and IIUM (114 UIN students, and 114 Indonesian student respondents from IIUM. The study results show that the universities’ reputations are strongly affected by their brand equity such as salience and service quality, which then affect students’ intention to choose the universities. Students had a higher intention to choose IIUM than UIN. Nonetheless but the study was limited to Indonesian students choosing between two Islamic universities. </w:t>
      </w:r>
      <w:r w:rsidRPr="001E3C20">
        <w:rPr>
          <w:rFonts w:cs="Times New Roman"/>
          <w:sz w:val="24"/>
          <w:szCs w:val="24"/>
        </w:rPr>
        <w:lastRenderedPageBreak/>
        <w:t xml:space="preserve">This context differs substantially from Kenya’s public university landscape, where factors such as government-regulated admissions (through Kenya Universities and Colleges Central Placement Service(KUCCPS)), varying institutional resources, regional disparities, and intense competition for limited spaces influence student decision-making. Additionally, Kenyan public universities operate within a unique policy environment shaped by fluctuating government funding, Competency-Based Education and Training-driven transitions, and perceptions of graduate employability, none of which are captured in the Indonesian Malaysian comparison. Therefore, because the findings from the previous study are drawn from culturally and institutionally distinct higher education systems, they cannot be directly applied to Kenya, creating a clear context gap regarding how brand salience influences students’ choices within local public universities. </w:t>
      </w:r>
    </w:p>
    <w:p w:rsidR="006E6B9D" w:rsidRPr="001E3C20" w:rsidRDefault="006E6B9D" w:rsidP="006E6B9D">
      <w:pPr>
        <w:tabs>
          <w:tab w:val="left" w:pos="5910"/>
        </w:tabs>
        <w:rPr>
          <w:rFonts w:cs="Times New Roman"/>
          <w:sz w:val="24"/>
          <w:szCs w:val="24"/>
        </w:rPr>
      </w:pPr>
      <w:proofErr w:type="spellStart"/>
      <w:r w:rsidRPr="001E3C20">
        <w:rPr>
          <w:rFonts w:cs="Times New Roman"/>
          <w:sz w:val="24"/>
          <w:szCs w:val="24"/>
        </w:rPr>
        <w:t>Sabri</w:t>
      </w:r>
      <w:proofErr w:type="spellEnd"/>
      <w:r w:rsidRPr="001E3C20">
        <w:rPr>
          <w:rFonts w:cs="Times New Roman"/>
          <w:sz w:val="24"/>
          <w:szCs w:val="24"/>
        </w:rPr>
        <w:t xml:space="preserve"> and </w:t>
      </w:r>
      <w:proofErr w:type="spellStart"/>
      <w:r w:rsidRPr="001E3C20">
        <w:rPr>
          <w:rFonts w:cs="Times New Roman"/>
          <w:sz w:val="24"/>
          <w:szCs w:val="24"/>
        </w:rPr>
        <w:t>Nazri</w:t>
      </w:r>
      <w:proofErr w:type="spellEnd"/>
      <w:r w:rsidRPr="001E3C20">
        <w:rPr>
          <w:rFonts w:cs="Times New Roman"/>
          <w:sz w:val="24"/>
          <w:szCs w:val="24"/>
        </w:rPr>
        <w:t xml:space="preserve"> (2023) conducted a quantitative study in Malaysia to examine the impact of brand equity dimensions specifically brand awareness and perceived quality on laptop purchase intentions among public university students, using the Theory of Reasoned Action (TRA) as a theoretical framework. Data were collected through surveys and analyzed using statistical methods, revealing that perceived quality significantly influences purchase intention, while brand salience does not. Despite its contributions, the study presents several gaps methodologically, it relies solely on quantitative data without triangulating with qualitative insights; geographically, it is limited to Malaysian consumer electronics market, a context that differs significantly from the Kenyan higher education environment. The laptop market involves commercial purchasing decisions influenced by pricing, product specifications, and personal preferences, whereas university choice in Kenya is shaped by public policy, government sponsorship, availability of academic </w:t>
      </w:r>
      <w:r w:rsidRPr="001E3C20">
        <w:rPr>
          <w:rFonts w:cs="Times New Roman"/>
          <w:sz w:val="24"/>
          <w:szCs w:val="24"/>
        </w:rPr>
        <w:lastRenderedPageBreak/>
        <w:t xml:space="preserve">programs, and national perceptions of institutional prestige restricting broader applicability; population-wise, it focused only on public university students, excluding non-student demographics; conceptually, it overlooks other brand equity components such as brand loyalty and brand association hence the need for a context specific study as proposed. </w:t>
      </w:r>
    </w:p>
    <w:p w:rsidR="006E6B9D" w:rsidRPr="001E3C20" w:rsidRDefault="006E6B9D" w:rsidP="006E6B9D">
      <w:pPr>
        <w:tabs>
          <w:tab w:val="left" w:pos="5910"/>
        </w:tabs>
        <w:rPr>
          <w:rFonts w:cs="Times New Roman"/>
          <w:sz w:val="24"/>
          <w:szCs w:val="24"/>
        </w:rPr>
      </w:pPr>
      <w:proofErr w:type="spellStart"/>
      <w:r w:rsidRPr="001E3C20">
        <w:rPr>
          <w:rFonts w:cs="Times New Roman"/>
          <w:sz w:val="24"/>
          <w:szCs w:val="24"/>
        </w:rPr>
        <w:t>Yiadom</w:t>
      </w:r>
      <w:proofErr w:type="spellEnd"/>
      <w:r w:rsidRPr="001E3C20">
        <w:rPr>
          <w:rFonts w:cs="Times New Roman"/>
          <w:sz w:val="24"/>
          <w:szCs w:val="24"/>
        </w:rPr>
        <w:t xml:space="preserve"> et al. (2025) investigated how brand salience influences students' choice of higher education institutions, using a positivism approach and quantitative data from 345 students at a Ghanaian Technical University. Analyzing responses via SPSS and Smart PLS, the study finds that institutional brand salience significantly impacts student decisions, emphasizing the role of branding in enrollment. The authors suggest that universities should cultivate and promote a distinct brand personality to stand out in a competitive market. Through identifying key brand salience factors, institutions can refine marketing strategies, strengthen their reputation, and meet enrollment goals. However, methodologically, its reliance on self-reported data from a single institution limits generalization of its findings. The focus on technical education excludes broader university types, and the student sample overlooks parental and socio-cultural influences on decision-making. Geographically, findings from Ghana may not apply to regions with different educational policies or market dynamics such as Kenya. Contextually, the study does not address resource constraints affecting branding efforts in underfunded institutions as a moderator variable. These gaps highlight the need for multi-institutional, cross-cultural research incorporating diverse stakeholders to better understand brand salience in higher education as proposed in the current study in Kenya.</w:t>
      </w:r>
    </w:p>
    <w:p w:rsidR="006E6B9D" w:rsidRPr="001E3C20" w:rsidRDefault="006E6B9D" w:rsidP="006E6B9D">
      <w:pPr>
        <w:tabs>
          <w:tab w:val="left" w:pos="5910"/>
        </w:tabs>
        <w:rPr>
          <w:rFonts w:cs="Times New Roman"/>
          <w:sz w:val="24"/>
          <w:szCs w:val="24"/>
        </w:rPr>
      </w:pPr>
      <w:proofErr w:type="spellStart"/>
      <w:r w:rsidRPr="001E3C20">
        <w:rPr>
          <w:rFonts w:cs="Times New Roman"/>
          <w:sz w:val="24"/>
          <w:szCs w:val="24"/>
        </w:rPr>
        <w:lastRenderedPageBreak/>
        <w:t>Nyamwaya</w:t>
      </w:r>
      <w:proofErr w:type="spellEnd"/>
      <w:r w:rsidRPr="001E3C20">
        <w:rPr>
          <w:rFonts w:cs="Times New Roman"/>
          <w:sz w:val="24"/>
          <w:szCs w:val="24"/>
        </w:rPr>
        <w:t xml:space="preserve"> </w:t>
      </w:r>
      <w:proofErr w:type="gramStart"/>
      <w:r w:rsidRPr="001E3C20">
        <w:rPr>
          <w:rFonts w:cs="Times New Roman"/>
          <w:sz w:val="24"/>
          <w:szCs w:val="24"/>
        </w:rPr>
        <w:t xml:space="preserve">and  </w:t>
      </w:r>
      <w:proofErr w:type="spellStart"/>
      <w:r w:rsidRPr="001E3C20">
        <w:rPr>
          <w:rFonts w:cs="Times New Roman"/>
          <w:sz w:val="24"/>
          <w:szCs w:val="24"/>
        </w:rPr>
        <w:t>Muchunku</w:t>
      </w:r>
      <w:proofErr w:type="spellEnd"/>
      <w:proofErr w:type="gramEnd"/>
      <w:r w:rsidRPr="001E3C20">
        <w:rPr>
          <w:rFonts w:cs="Times New Roman"/>
          <w:sz w:val="24"/>
          <w:szCs w:val="24"/>
        </w:rPr>
        <w:t xml:space="preserve"> (2021) assessed brand salience campaigns carried out due to identity rebranding of Multimedia University of Kenya, guided by organizational image management theory and used qualitative research using purposive sampling to data from 32 internal and external key stakeholders of the University using in-depth interviews guided by two interview guides. Informants were asked questions that focused on brand recall, brand recognition, brand advantage and activities for visibility. It revealed mixed outcomes regarding Multimedia University of Kenya's brand salience campaigns following its identity rebranding. While stakeholders criticized inadequate marketing efforts, they recognized that the university's transition from college status while preserving its established reputation in telecommunications engineering, ICT, and media communication actually enhanced brand salience. However, marketing university facilities faced significant obstacles, particularly resistance from government organizations whose employees preferred external training venues to secure additional allowances. This institutional barrier highlighted systemic challenges in leveraging facilities for brand salience and revenue generation. The study identified potential solutions through geographic diversification, suggesting the university should target stakeholders outside the capital city and focus on private sector partnerships to overcome these government-related marketing constraints and improve facility utilization.</w:t>
      </w:r>
    </w:p>
    <w:p w:rsidR="006E6B9D" w:rsidRPr="001E3C20" w:rsidRDefault="006E6B9D" w:rsidP="006E6B9D">
      <w:pPr>
        <w:tabs>
          <w:tab w:val="left" w:pos="5910"/>
        </w:tabs>
        <w:rPr>
          <w:rFonts w:cs="Times New Roman"/>
          <w:sz w:val="24"/>
          <w:szCs w:val="24"/>
        </w:rPr>
      </w:pPr>
      <w:proofErr w:type="spellStart"/>
      <w:r w:rsidRPr="001E3C20">
        <w:rPr>
          <w:rFonts w:cs="Times New Roman"/>
          <w:sz w:val="24"/>
          <w:szCs w:val="24"/>
        </w:rPr>
        <w:t>Mwaura</w:t>
      </w:r>
      <w:proofErr w:type="spellEnd"/>
      <w:r w:rsidRPr="001E3C20">
        <w:rPr>
          <w:rFonts w:cs="Times New Roman"/>
          <w:sz w:val="24"/>
          <w:szCs w:val="24"/>
        </w:rPr>
        <w:t xml:space="preserve"> and </w:t>
      </w:r>
      <w:proofErr w:type="spellStart"/>
      <w:r w:rsidRPr="001E3C20">
        <w:rPr>
          <w:rFonts w:cs="Times New Roman"/>
          <w:sz w:val="24"/>
          <w:szCs w:val="24"/>
        </w:rPr>
        <w:t>Mang'ana</w:t>
      </w:r>
      <w:proofErr w:type="spellEnd"/>
      <w:r w:rsidRPr="001E3C20">
        <w:rPr>
          <w:rFonts w:cs="Times New Roman"/>
          <w:sz w:val="24"/>
          <w:szCs w:val="24"/>
        </w:rPr>
        <w:t xml:space="preserve"> (2023) investigated the impact of brand salience on Airtel Kenya's market share growth using a descriptive research design. Primary data was collected via questionnaires and interviews with 100 subscribers and 34 employees in Nairobi, supplemented by secondary data from company and regulatory reports. Analyzed using SPSS v.27, the findings reveal a strong positive relationship between brand salience and </w:t>
      </w:r>
      <w:r w:rsidRPr="001E3C20">
        <w:rPr>
          <w:rFonts w:cs="Times New Roman"/>
          <w:sz w:val="24"/>
          <w:szCs w:val="24"/>
        </w:rPr>
        <w:lastRenderedPageBreak/>
        <w:t xml:space="preserve">market share. The study recommends sustained advertising, promotions, and publicity to enhance brand salience. However, it </w:t>
      </w:r>
      <w:proofErr w:type="gramStart"/>
      <w:r w:rsidRPr="001E3C20">
        <w:rPr>
          <w:rFonts w:cs="Times New Roman"/>
          <w:sz w:val="24"/>
          <w:szCs w:val="24"/>
        </w:rPr>
        <w:t>examine</w:t>
      </w:r>
      <w:proofErr w:type="gramEnd"/>
      <w:r w:rsidRPr="001E3C20">
        <w:rPr>
          <w:rFonts w:cs="Times New Roman"/>
          <w:sz w:val="24"/>
          <w:szCs w:val="24"/>
        </w:rPr>
        <w:t xml:space="preserve"> how brand salience contributes to Airtel Kenya’s market share growth within the telecommunications sector, a commercial environment that differs fundamentally from Kenya’s public higher education context. Telecom customers make decisions based on pricing, network quality, promotions, and service convenience, whereas Kenyan students choose public universities within a policy-driven system shaped by placement body, government sponsorship, program availability, institutional reputation, and socio-cultural influences. Their study also focuses solely on respondents in Nairobi, a setting with higher connectivity, advertising intensity, and brand exposure than many rural or semi-urban areas where a large proportion of Kenyan students reside. Because of these significant contextual differences, the findings on brand salience in the telecom sector cannot be directly applied to university selection behavior, highlighting the need for a localized study within Kenya’s public university environment limiting generalization to other regions, and the absence of competitor analysis to contextualize Airtel's performance. Contextually, it focused on Airtel Kenya's market share growth, unlike the current that seeks to be conducted in public universities in Kenya.</w:t>
      </w:r>
    </w:p>
    <w:p w:rsidR="006E6B9D" w:rsidRPr="001E3C20" w:rsidRDefault="006E6B9D" w:rsidP="00F62DC1">
      <w:pPr>
        <w:rPr>
          <w:rFonts w:cs="Times New Roman"/>
        </w:rPr>
      </w:pPr>
    </w:p>
    <w:p w:rsidR="006E6B9D" w:rsidRPr="001E3C20" w:rsidRDefault="006E6B9D" w:rsidP="006E6B9D">
      <w:pPr>
        <w:pStyle w:val="Heading3"/>
        <w:rPr>
          <w:rFonts w:ascii="Times New Roman" w:hAnsi="Times New Roman" w:cs="Times New Roman"/>
          <w:b/>
          <w:color w:val="auto"/>
        </w:rPr>
      </w:pPr>
      <w:bookmarkStart w:id="7" w:name="_Toc230811102"/>
      <w:r w:rsidRPr="001E3C20">
        <w:rPr>
          <w:rFonts w:ascii="Times New Roman" w:hAnsi="Times New Roman" w:cs="Times New Roman"/>
          <w:b/>
          <w:color w:val="auto"/>
        </w:rPr>
        <w:t>2.2.6 Students’ Choice of Public Universities in Kenya</w:t>
      </w:r>
      <w:bookmarkEnd w:id="7"/>
    </w:p>
    <w:p w:rsidR="006E6B9D" w:rsidRPr="001E3C20" w:rsidRDefault="006E6B9D" w:rsidP="006E6B9D">
      <w:pPr>
        <w:tabs>
          <w:tab w:val="left" w:pos="3615"/>
        </w:tabs>
        <w:rPr>
          <w:rFonts w:cs="Times New Roman"/>
          <w:sz w:val="24"/>
          <w:szCs w:val="24"/>
        </w:rPr>
      </w:pPr>
      <w:r w:rsidRPr="001E3C20">
        <w:rPr>
          <w:rFonts w:cs="Times New Roman"/>
          <w:sz w:val="24"/>
          <w:szCs w:val="24"/>
        </w:rPr>
        <w:t xml:space="preserve">Afrin (2020) investigated how private university branding in Pakistan influences students’ selection choices, revealing that effective branding fosters trust, recognition, and popularity among target audiences, thereby giving universities a competitive edge in attracting students. The study, based on survey results, confirms that branding value </w:t>
      </w:r>
      <w:r w:rsidRPr="001E3C20">
        <w:rPr>
          <w:rFonts w:cs="Times New Roman"/>
          <w:sz w:val="24"/>
          <w:szCs w:val="24"/>
        </w:rPr>
        <w:lastRenderedPageBreak/>
        <w:t>significantly impacts the complex decision-making processes of prospective students, emphasizing the need for strategic marketing to strengthen institutional positioning. Nonetheless, several gaps are apparent that warrant this study; methodologically, the study lacks detail on its sampling and analysis techniques, limiting the robustness of its findings contrary to the current study and geographically, its focus on Pakistan constrains generalization to different cultural and educational contexts like Kenya’s public universities. In terms of population, the research does not consider the perspectives of other key stakeholders such as university management; practically, while identifying the importance of branding, it offers limited guidance on specific strategies universities should adopt; contextually, it does not account for external environmental factors like regulatory policies or economic constraints that might moderate students' choices and branding relationship.</w:t>
      </w:r>
    </w:p>
    <w:p w:rsidR="006E6B9D" w:rsidRPr="001E3C20" w:rsidRDefault="006E6B9D" w:rsidP="006E6B9D">
      <w:pPr>
        <w:tabs>
          <w:tab w:val="left" w:pos="3615"/>
        </w:tabs>
        <w:rPr>
          <w:rFonts w:cs="Times New Roman"/>
          <w:sz w:val="24"/>
          <w:szCs w:val="24"/>
        </w:rPr>
      </w:pPr>
      <w:r w:rsidRPr="001E3C20">
        <w:rPr>
          <w:rFonts w:cs="Times New Roman"/>
          <w:sz w:val="24"/>
          <w:szCs w:val="24"/>
        </w:rPr>
        <w:t xml:space="preserve">Al </w:t>
      </w:r>
      <w:proofErr w:type="spellStart"/>
      <w:r w:rsidRPr="001E3C20">
        <w:rPr>
          <w:rFonts w:cs="Times New Roman"/>
          <w:sz w:val="24"/>
          <w:szCs w:val="24"/>
        </w:rPr>
        <w:t>Samman</w:t>
      </w:r>
      <w:proofErr w:type="spellEnd"/>
      <w:r w:rsidRPr="001E3C20">
        <w:rPr>
          <w:rFonts w:cs="Times New Roman"/>
          <w:sz w:val="24"/>
          <w:szCs w:val="24"/>
        </w:rPr>
        <w:t xml:space="preserve"> and Al-</w:t>
      </w:r>
      <w:proofErr w:type="spellStart"/>
      <w:r w:rsidRPr="001E3C20">
        <w:rPr>
          <w:rFonts w:cs="Times New Roman"/>
          <w:sz w:val="24"/>
          <w:szCs w:val="24"/>
        </w:rPr>
        <w:t>Ethawi</w:t>
      </w:r>
      <w:proofErr w:type="spellEnd"/>
      <w:r w:rsidRPr="001E3C20">
        <w:rPr>
          <w:rFonts w:cs="Times New Roman"/>
          <w:sz w:val="24"/>
          <w:szCs w:val="24"/>
        </w:rPr>
        <w:t xml:space="preserve"> (2023), investigate marketing and branding strategies and techniques used by higher education institutions across different regions of the world. The study is based on a systematic review of existing literature and case studies from diverse global regions. The study highlights the critical role of branding and marketing in higher education (HE), emphasizing that strong branding helps institutions differentiate themselves, attract students and funding, and shape public perception. Effective strategies include digital marketing, showcasing unique strengths (research excellence, employability outcomes), and leveraging international collaborations and rankings. Findings indicate that well-executed branding positively impacts enrollment, funding, and institutional reputation, as evidenced by regional case studies from North America, Europe, Asia, the Middle East, Africa, and Latin America, each demonstrating distinct approaches such as </w:t>
      </w:r>
      <w:r w:rsidRPr="001E3C20">
        <w:rPr>
          <w:rFonts w:cs="Times New Roman"/>
          <w:sz w:val="24"/>
          <w:szCs w:val="24"/>
        </w:rPr>
        <w:lastRenderedPageBreak/>
        <w:t>alumni network promotion, infrastructure development, and community engagement. The study recommends that HE institutions cultivate a distinctive brand identity, adopt data-driven marketing, and adapt strategies based on public perception to remain competitive.</w:t>
      </w:r>
    </w:p>
    <w:p w:rsidR="006E6B9D" w:rsidRPr="001E3C20" w:rsidRDefault="006E6B9D" w:rsidP="006E6B9D">
      <w:pPr>
        <w:tabs>
          <w:tab w:val="left" w:pos="3615"/>
        </w:tabs>
        <w:rPr>
          <w:rFonts w:cs="Times New Roman"/>
          <w:sz w:val="24"/>
          <w:szCs w:val="24"/>
        </w:rPr>
      </w:pPr>
      <w:proofErr w:type="spellStart"/>
      <w:r w:rsidRPr="001E3C20">
        <w:rPr>
          <w:rFonts w:cs="Times New Roman"/>
          <w:sz w:val="24"/>
          <w:szCs w:val="24"/>
        </w:rPr>
        <w:t>Yamin</w:t>
      </w:r>
      <w:proofErr w:type="spellEnd"/>
      <w:r w:rsidRPr="001E3C20">
        <w:rPr>
          <w:rFonts w:cs="Times New Roman"/>
          <w:sz w:val="24"/>
          <w:szCs w:val="24"/>
        </w:rPr>
        <w:t xml:space="preserve"> (2024) explores the impact of branding strategies specifically digital marketing, faculty reputation, and campus infrastructure on student enrolment decisions in Bangladesh, using a secondary data methodology that involves reviewing existing literature, case studies, and market trends. The study finds that strong branding significantly enhances university reputation, increases enrolment rates, and improves student satisfaction, highlighting the importance of aligning branding strategies with student expectations for long-term institutional success. However, several gaps are evident: methodologically, the exclusive reliance on secondary data limits the depth of empirical insight and real-time stakeholder perspectives dissimilar to the current proposed study; geographically, the focus on Bangladesh restricts the applicability of findings to broader contexts such as public universities in Kenya; in terms of population, the study does not incorporate direct input from students or university administrators; practically, while emphasizing strategic alignment, it lacks specific, actionable recommendations; conceptually, it treats branding broadly without unpacking the relative impact of each branding element; and contextually, it does not fully address external factors such as government policy or socio-economic influences that might affect student decision-making and branding among students.</w:t>
      </w:r>
    </w:p>
    <w:p w:rsidR="006E6B9D" w:rsidRPr="001E3C20" w:rsidRDefault="006E6B9D" w:rsidP="006E6B9D">
      <w:pPr>
        <w:tabs>
          <w:tab w:val="left" w:pos="3615"/>
        </w:tabs>
        <w:rPr>
          <w:rFonts w:cs="Times New Roman"/>
          <w:sz w:val="24"/>
          <w:szCs w:val="24"/>
        </w:rPr>
      </w:pPr>
      <w:proofErr w:type="spellStart"/>
      <w:r w:rsidRPr="001E3C20">
        <w:rPr>
          <w:rFonts w:cs="Times New Roman"/>
          <w:sz w:val="24"/>
          <w:szCs w:val="24"/>
        </w:rPr>
        <w:t>Nakalyakaani</w:t>
      </w:r>
      <w:proofErr w:type="spellEnd"/>
      <w:r w:rsidRPr="001E3C20">
        <w:rPr>
          <w:rFonts w:cs="Times New Roman"/>
          <w:sz w:val="24"/>
          <w:szCs w:val="24"/>
        </w:rPr>
        <w:t xml:space="preserve"> and </w:t>
      </w:r>
      <w:proofErr w:type="spellStart"/>
      <w:r w:rsidRPr="001E3C20">
        <w:rPr>
          <w:rFonts w:cs="Times New Roman"/>
          <w:sz w:val="24"/>
          <w:szCs w:val="24"/>
        </w:rPr>
        <w:t>Bisaso</w:t>
      </w:r>
      <w:proofErr w:type="spellEnd"/>
      <w:r w:rsidRPr="001E3C20">
        <w:rPr>
          <w:rFonts w:cs="Times New Roman"/>
          <w:sz w:val="24"/>
          <w:szCs w:val="24"/>
        </w:rPr>
        <w:t xml:space="preserve"> (2020) examined the relationship between school branding and student enrolment in private secondary schools in </w:t>
      </w:r>
      <w:proofErr w:type="spellStart"/>
      <w:r w:rsidRPr="001E3C20">
        <w:rPr>
          <w:rFonts w:cs="Times New Roman"/>
          <w:sz w:val="24"/>
          <w:szCs w:val="24"/>
        </w:rPr>
        <w:t>Iganga</w:t>
      </w:r>
      <w:proofErr w:type="spellEnd"/>
      <w:r w:rsidRPr="001E3C20">
        <w:rPr>
          <w:rFonts w:cs="Times New Roman"/>
          <w:sz w:val="24"/>
          <w:szCs w:val="24"/>
        </w:rPr>
        <w:t xml:space="preserve"> Municipality, focusing on school </w:t>
      </w:r>
      <w:r w:rsidRPr="001E3C20">
        <w:rPr>
          <w:rFonts w:cs="Times New Roman"/>
          <w:sz w:val="24"/>
          <w:szCs w:val="24"/>
        </w:rPr>
        <w:lastRenderedPageBreak/>
        <w:t xml:space="preserve">image, school culture, and customer care. Using a cross-sectional survey design with both quantitative and qualitative methods, they sampled 100 student leaders, 3 head teachers, and 33 academic heads, collecting data through Likert-type questionnaires, interviews, and focus group discussions. Quantitative data were analyzed using correlation and multiple regression, while qualitative data were subjected to thematic analysis. The findings revealed statistically significant but weak positive correlations between the branding elements and student enrolment, leading to the conclusion that school branding has a limited influence on enrolment. However, several gaps that warrant the current proposed study in Kenya remain: methodologically, the cross-sectional design limits causal inferences contrary to the currently proposed seeking to utilized causal research design; geographically, the study is confined to </w:t>
      </w:r>
      <w:proofErr w:type="spellStart"/>
      <w:r w:rsidRPr="001E3C20">
        <w:rPr>
          <w:rFonts w:cs="Times New Roman"/>
          <w:sz w:val="24"/>
          <w:szCs w:val="24"/>
        </w:rPr>
        <w:t>Iganga</w:t>
      </w:r>
      <w:proofErr w:type="spellEnd"/>
      <w:r w:rsidRPr="001E3C20">
        <w:rPr>
          <w:rFonts w:cs="Times New Roman"/>
          <w:sz w:val="24"/>
          <w:szCs w:val="24"/>
        </w:rPr>
        <w:t xml:space="preserve"> Municipality, affecting generalization unlike the current study which is being proposed to be carried out in all public universities in Kenya; in terms of population, it omits key stakeholders like university management and prospective students; practically, it offers limited actionable insights due to the weak correlations found hence the need for current study.</w:t>
      </w:r>
    </w:p>
    <w:p w:rsidR="006E6B9D" w:rsidRPr="001E3C20" w:rsidRDefault="006E6B9D" w:rsidP="009C7644">
      <w:pPr>
        <w:tabs>
          <w:tab w:val="left" w:pos="3615"/>
        </w:tabs>
        <w:rPr>
          <w:rFonts w:cs="Times New Roman"/>
          <w:sz w:val="24"/>
          <w:szCs w:val="24"/>
        </w:rPr>
      </w:pPr>
      <w:proofErr w:type="spellStart"/>
      <w:r w:rsidRPr="001E3C20">
        <w:rPr>
          <w:rFonts w:cs="Times New Roman"/>
          <w:sz w:val="24"/>
          <w:szCs w:val="24"/>
        </w:rPr>
        <w:t>Muendo</w:t>
      </w:r>
      <w:proofErr w:type="spellEnd"/>
      <w:r w:rsidRPr="001E3C20">
        <w:rPr>
          <w:rFonts w:cs="Times New Roman"/>
          <w:sz w:val="24"/>
          <w:szCs w:val="24"/>
        </w:rPr>
        <w:t xml:space="preserve"> et al. (2024) examined the influence of corporate branding on postgraduate students’ university choices in selected Kenyan universities, focusing on internal, external, and service mix branding strategies. Through student surveys, the study assessed how branding shapes perceptions of academic excellence, institutional reputation, facilities, and overall value. Findings revealed that effective corporate branding significantly enhances perceptions of prestige, academic strength, and unique program offerings, with a strong emphasis on communicating value through state-of-the-art facilities, career prospects, and alumni success. However, several gaps emerge that warrant the proposed study: </w:t>
      </w:r>
      <w:r w:rsidRPr="001E3C20">
        <w:rPr>
          <w:rFonts w:cs="Times New Roman"/>
          <w:sz w:val="24"/>
          <w:szCs w:val="24"/>
        </w:rPr>
        <w:lastRenderedPageBreak/>
        <w:t>methodologically, while surveys provide valuable insights, the study may benefit from triangulation with qualitative data for deeper understanding dissimilar to the proposed study; geographically, its focus on select Kenyan universities limits generalization to all public universities unlike the current study seeking to be performed in all universities. In terms of population, it concentrates solely on postgraduate students, overlooking undergraduate who are the major stakeholders. It also ignored the university’s management who are critical as far as resource allocation is concerned hence t</w:t>
      </w:r>
      <w:r w:rsidR="009C7644" w:rsidRPr="001E3C20">
        <w:rPr>
          <w:rFonts w:cs="Times New Roman"/>
          <w:sz w:val="24"/>
          <w:szCs w:val="24"/>
        </w:rPr>
        <w:t xml:space="preserve">he need for the current study. </w:t>
      </w:r>
    </w:p>
    <w:p w:rsidR="006E6B9D" w:rsidRPr="001E3C20" w:rsidRDefault="006E6B9D" w:rsidP="006E6B9D">
      <w:pPr>
        <w:pStyle w:val="Heading2"/>
      </w:pPr>
      <w:bookmarkStart w:id="8" w:name="_Toc230811103"/>
      <w:r w:rsidRPr="001E3C20">
        <w:t>2.3 Theoretical Framework</w:t>
      </w:r>
      <w:bookmarkEnd w:id="8"/>
      <w:r w:rsidRPr="001E3C20">
        <w:t xml:space="preserve"> </w:t>
      </w:r>
    </w:p>
    <w:p w:rsidR="006E6B9D" w:rsidRPr="001E3C20" w:rsidRDefault="006E6B9D" w:rsidP="006E6B9D">
      <w:pPr>
        <w:rPr>
          <w:rFonts w:cs="Times New Roman"/>
          <w:sz w:val="24"/>
          <w:szCs w:val="24"/>
        </w:rPr>
      </w:pPr>
      <w:r w:rsidRPr="001E3C20">
        <w:rPr>
          <w:rFonts w:cs="Times New Roman"/>
          <w:sz w:val="24"/>
          <w:szCs w:val="24"/>
        </w:rPr>
        <w:t xml:space="preserve">The study was anchored on Customer-Based Brand Equity (CBBE) Model by Kevin Lane Keller (1993), Barney’s Resource-Based View (RBV) (1991) theory and </w:t>
      </w:r>
      <w:proofErr w:type="spellStart"/>
      <w:r w:rsidRPr="001E3C20">
        <w:rPr>
          <w:rFonts w:cs="Times New Roman"/>
          <w:sz w:val="24"/>
          <w:szCs w:val="24"/>
        </w:rPr>
        <w:t>Ajzen’s</w:t>
      </w:r>
      <w:proofErr w:type="spellEnd"/>
      <w:r w:rsidRPr="001E3C20">
        <w:rPr>
          <w:rFonts w:cs="Times New Roman"/>
          <w:sz w:val="24"/>
          <w:szCs w:val="24"/>
        </w:rPr>
        <w:t xml:space="preserve"> (1985) and extended in (1991) Theory of Planned Behavior (TPB).</w:t>
      </w:r>
    </w:p>
    <w:p w:rsidR="006E6B9D" w:rsidRPr="001E3C20" w:rsidRDefault="006E6B9D" w:rsidP="006E6B9D">
      <w:pPr>
        <w:pStyle w:val="Heading3"/>
        <w:rPr>
          <w:rFonts w:ascii="Times New Roman" w:hAnsi="Times New Roman" w:cs="Times New Roman"/>
          <w:b/>
          <w:color w:val="auto"/>
        </w:rPr>
      </w:pPr>
      <w:bookmarkStart w:id="9" w:name="_Toc230811104"/>
      <w:r w:rsidRPr="001E3C20">
        <w:rPr>
          <w:rFonts w:ascii="Times New Roman" w:hAnsi="Times New Roman" w:cs="Times New Roman"/>
          <w:b/>
          <w:color w:val="auto"/>
        </w:rPr>
        <w:t>2.3.1 Customer-Based Brand Equity (CBBE) Model by Kevin Lane Keller (1993)</w:t>
      </w:r>
      <w:bookmarkEnd w:id="9"/>
    </w:p>
    <w:p w:rsidR="006E6B9D" w:rsidRPr="001E3C20" w:rsidRDefault="006E6B9D" w:rsidP="006E6B9D">
      <w:pPr>
        <w:tabs>
          <w:tab w:val="left" w:pos="3840"/>
        </w:tabs>
        <w:rPr>
          <w:rFonts w:cs="Times New Roman"/>
          <w:sz w:val="24"/>
          <w:szCs w:val="24"/>
        </w:rPr>
      </w:pPr>
      <w:r w:rsidRPr="001E3C20">
        <w:rPr>
          <w:rFonts w:cs="Times New Roman"/>
          <w:sz w:val="24"/>
          <w:szCs w:val="24"/>
        </w:rPr>
        <w:t>As developed by Kevin Lane Keller (1993), Customer-Based Brand Equity (CBBE) Model provides a comprehensive framework for understanding how brand knowledge influences consumer behavior. In higher education contexts, this model effectively explains how prospective students develop preferences and make enrollment decisions based on university brand perception and associations.</w:t>
      </w:r>
    </w:p>
    <w:p w:rsidR="006E6B9D" w:rsidRPr="001E3C20" w:rsidRDefault="006E6B9D" w:rsidP="006E6B9D">
      <w:pPr>
        <w:tabs>
          <w:tab w:val="left" w:pos="3840"/>
        </w:tabs>
        <w:rPr>
          <w:rFonts w:cs="Times New Roman"/>
          <w:sz w:val="24"/>
          <w:szCs w:val="24"/>
        </w:rPr>
      </w:pPr>
      <w:r w:rsidRPr="001E3C20">
        <w:rPr>
          <w:rFonts w:cs="Times New Roman"/>
          <w:sz w:val="24"/>
          <w:szCs w:val="24"/>
        </w:rPr>
        <w:t xml:space="preserve">Several researchers have modified and enhanced the original CBBE framework to address specific contexts and measurement challenges. </w:t>
      </w:r>
      <w:proofErr w:type="spellStart"/>
      <w:r w:rsidRPr="001E3C20">
        <w:rPr>
          <w:rFonts w:cs="Times New Roman"/>
          <w:sz w:val="24"/>
          <w:szCs w:val="24"/>
        </w:rPr>
        <w:t>Yoo</w:t>
      </w:r>
      <w:proofErr w:type="spellEnd"/>
      <w:r w:rsidRPr="001E3C20">
        <w:rPr>
          <w:rFonts w:cs="Times New Roman"/>
          <w:sz w:val="24"/>
          <w:szCs w:val="24"/>
        </w:rPr>
        <w:t xml:space="preserve"> and </w:t>
      </w:r>
      <w:proofErr w:type="spellStart"/>
      <w:r w:rsidRPr="001E3C20">
        <w:rPr>
          <w:rFonts w:cs="Times New Roman"/>
          <w:sz w:val="24"/>
          <w:szCs w:val="24"/>
        </w:rPr>
        <w:t>Donthu</w:t>
      </w:r>
      <w:proofErr w:type="spellEnd"/>
      <w:r w:rsidRPr="001E3C20">
        <w:rPr>
          <w:rFonts w:cs="Times New Roman"/>
          <w:sz w:val="24"/>
          <w:szCs w:val="24"/>
        </w:rPr>
        <w:t xml:space="preserve"> (2001) developed multidimensional brand equity scales based on Keller's dimensions, creating reliable measurement instruments, while </w:t>
      </w:r>
      <w:proofErr w:type="spellStart"/>
      <w:r w:rsidRPr="001E3C20">
        <w:rPr>
          <w:rFonts w:cs="Times New Roman"/>
          <w:sz w:val="24"/>
          <w:szCs w:val="24"/>
        </w:rPr>
        <w:t>Netemeyer</w:t>
      </w:r>
      <w:proofErr w:type="spellEnd"/>
      <w:r w:rsidRPr="001E3C20">
        <w:rPr>
          <w:rFonts w:cs="Times New Roman"/>
          <w:sz w:val="24"/>
          <w:szCs w:val="24"/>
        </w:rPr>
        <w:t xml:space="preserve"> et al. (2004) created comprehensive </w:t>
      </w:r>
      <w:r w:rsidRPr="001E3C20">
        <w:rPr>
          <w:rFonts w:cs="Times New Roman"/>
          <w:sz w:val="24"/>
          <w:szCs w:val="24"/>
        </w:rPr>
        <w:lastRenderedPageBreak/>
        <w:t xml:space="preserve">consumer-based brand equity measures with improved psychometric properties. </w:t>
      </w:r>
      <w:proofErr w:type="spellStart"/>
      <w:r w:rsidRPr="001E3C20">
        <w:rPr>
          <w:rFonts w:cs="Times New Roman"/>
          <w:sz w:val="24"/>
          <w:szCs w:val="24"/>
        </w:rPr>
        <w:t>Aaker's</w:t>
      </w:r>
      <w:proofErr w:type="spellEnd"/>
      <w:r w:rsidRPr="001E3C20">
        <w:rPr>
          <w:rFonts w:cs="Times New Roman"/>
          <w:sz w:val="24"/>
          <w:szCs w:val="24"/>
        </w:rPr>
        <w:t xml:space="preserve"> (1991) parallel framework complemented Keller's work by emphasizing brand assets, and Washburn and Plank (2002) adapted the model for co-branding situations. These theoretical adaptations have strengthened the model's empirical measurement capabilities and broadened its applicability significantly. From the theory, brand salience, the foundational CBBE pyramid level, determines university awareness among potential students. Public universities must establish strong brand recognition through consistent messaging, visual identity, and market presence to ensure consideration during the university selection process by prospective students and stakeholders.</w:t>
      </w:r>
    </w:p>
    <w:p w:rsidR="006E6B9D" w:rsidRPr="001E3C20" w:rsidRDefault="006E6B9D" w:rsidP="006E6B9D">
      <w:pPr>
        <w:tabs>
          <w:tab w:val="left" w:pos="3840"/>
        </w:tabs>
        <w:rPr>
          <w:rFonts w:cs="Times New Roman"/>
          <w:sz w:val="24"/>
          <w:szCs w:val="24"/>
        </w:rPr>
      </w:pPr>
      <w:r w:rsidRPr="001E3C20">
        <w:rPr>
          <w:rFonts w:cs="Times New Roman"/>
          <w:sz w:val="24"/>
          <w:szCs w:val="24"/>
        </w:rPr>
        <w:t xml:space="preserve">Numerous studies have successfully applied Keller's CBBE model across diverse sectors beyond its original consumer goods focus. Research by </w:t>
      </w:r>
      <w:proofErr w:type="spellStart"/>
      <w:r w:rsidRPr="001E3C20">
        <w:rPr>
          <w:rFonts w:cs="Times New Roman"/>
          <w:sz w:val="24"/>
          <w:szCs w:val="24"/>
        </w:rPr>
        <w:t>Christodoulides</w:t>
      </w:r>
      <w:proofErr w:type="spellEnd"/>
      <w:r w:rsidRPr="001E3C20">
        <w:rPr>
          <w:rFonts w:cs="Times New Roman"/>
          <w:sz w:val="24"/>
          <w:szCs w:val="24"/>
        </w:rPr>
        <w:t xml:space="preserve"> and de </w:t>
      </w:r>
      <w:proofErr w:type="spellStart"/>
      <w:r w:rsidRPr="001E3C20">
        <w:rPr>
          <w:rFonts w:cs="Times New Roman"/>
          <w:sz w:val="24"/>
          <w:szCs w:val="24"/>
        </w:rPr>
        <w:t>Chernatony</w:t>
      </w:r>
      <w:proofErr w:type="spellEnd"/>
      <w:r w:rsidRPr="001E3C20">
        <w:rPr>
          <w:rFonts w:cs="Times New Roman"/>
          <w:sz w:val="24"/>
          <w:szCs w:val="24"/>
        </w:rPr>
        <w:t xml:space="preserve"> (2010) extended the model to online environments, demonstrating its digital applicability, while </w:t>
      </w:r>
      <w:proofErr w:type="spellStart"/>
      <w:r w:rsidRPr="001E3C20">
        <w:rPr>
          <w:rFonts w:cs="Times New Roman"/>
          <w:sz w:val="24"/>
          <w:szCs w:val="24"/>
        </w:rPr>
        <w:t>Buil</w:t>
      </w:r>
      <w:proofErr w:type="spellEnd"/>
      <w:r w:rsidRPr="001E3C20">
        <w:rPr>
          <w:rFonts w:cs="Times New Roman"/>
          <w:sz w:val="24"/>
          <w:szCs w:val="24"/>
        </w:rPr>
        <w:t xml:space="preserve"> et al. (2013) validated its cross-cultural effectiveness in developing markets across Europe and Latin America. Additional applications include luxury brands (Godey et al., 2012), retail banking (</w:t>
      </w:r>
      <w:proofErr w:type="spellStart"/>
      <w:r w:rsidRPr="001E3C20">
        <w:rPr>
          <w:rFonts w:cs="Times New Roman"/>
          <w:sz w:val="24"/>
          <w:szCs w:val="24"/>
        </w:rPr>
        <w:t>Yeh</w:t>
      </w:r>
      <w:proofErr w:type="spellEnd"/>
      <w:r w:rsidRPr="001E3C20">
        <w:rPr>
          <w:rFonts w:cs="Times New Roman"/>
          <w:sz w:val="24"/>
          <w:szCs w:val="24"/>
        </w:rPr>
        <w:t xml:space="preserve"> et al., 2016), and hospitality services (</w:t>
      </w:r>
      <w:proofErr w:type="spellStart"/>
      <w:r w:rsidRPr="001E3C20">
        <w:rPr>
          <w:rFonts w:cs="Times New Roman"/>
          <w:sz w:val="24"/>
          <w:szCs w:val="24"/>
        </w:rPr>
        <w:t>Kayaman</w:t>
      </w:r>
      <w:proofErr w:type="spellEnd"/>
      <w:r w:rsidRPr="001E3C20">
        <w:rPr>
          <w:rFonts w:cs="Times New Roman"/>
          <w:sz w:val="24"/>
          <w:szCs w:val="24"/>
        </w:rPr>
        <w:t xml:space="preserve"> and </w:t>
      </w:r>
      <w:proofErr w:type="spellStart"/>
      <w:r w:rsidRPr="001E3C20">
        <w:rPr>
          <w:rFonts w:cs="Times New Roman"/>
          <w:sz w:val="24"/>
          <w:szCs w:val="24"/>
        </w:rPr>
        <w:t>Arasli</w:t>
      </w:r>
      <w:proofErr w:type="spellEnd"/>
      <w:r w:rsidRPr="001E3C20">
        <w:rPr>
          <w:rFonts w:cs="Times New Roman"/>
          <w:sz w:val="24"/>
          <w:szCs w:val="24"/>
        </w:rPr>
        <w:t>, 2007). These diverse applications demonstrate the model's versatility and robust theoretical foundation across industries</w:t>
      </w:r>
    </w:p>
    <w:p w:rsidR="006E6B9D" w:rsidRPr="001E3C20" w:rsidRDefault="006E6B9D" w:rsidP="006E6B9D">
      <w:pPr>
        <w:tabs>
          <w:tab w:val="left" w:pos="3840"/>
        </w:tabs>
        <w:rPr>
          <w:rFonts w:cs="Times New Roman"/>
          <w:sz w:val="24"/>
          <w:szCs w:val="24"/>
        </w:rPr>
      </w:pPr>
      <w:r w:rsidRPr="001E3C20">
        <w:rPr>
          <w:rFonts w:cs="Times New Roman"/>
          <w:sz w:val="24"/>
          <w:szCs w:val="24"/>
        </w:rPr>
        <w:t xml:space="preserve">Recent developments include digital-age modifications and specialized service sector applications addressing contemporary branding challenges. Kumar et al. (2019) integrated social media metrics and digital engagement measures into CBBE measurement frameworks, while </w:t>
      </w:r>
      <w:proofErr w:type="spellStart"/>
      <w:r w:rsidRPr="001E3C20">
        <w:rPr>
          <w:rFonts w:cs="Times New Roman"/>
          <w:sz w:val="24"/>
          <w:szCs w:val="24"/>
        </w:rPr>
        <w:t>Mourad</w:t>
      </w:r>
      <w:proofErr w:type="spellEnd"/>
      <w:r w:rsidRPr="001E3C20">
        <w:rPr>
          <w:rFonts w:cs="Times New Roman"/>
          <w:sz w:val="24"/>
          <w:szCs w:val="24"/>
        </w:rPr>
        <w:t xml:space="preserve"> et al. (2011) specifically adapted the model for higher education contexts, emphasizing reputation and academic brand dimensions. Furthermore, </w:t>
      </w:r>
      <w:proofErr w:type="spellStart"/>
      <w:r w:rsidRPr="001E3C20">
        <w:rPr>
          <w:rFonts w:cs="Times New Roman"/>
          <w:sz w:val="24"/>
          <w:szCs w:val="24"/>
        </w:rPr>
        <w:lastRenderedPageBreak/>
        <w:t>Schivinski</w:t>
      </w:r>
      <w:proofErr w:type="spellEnd"/>
      <w:r w:rsidRPr="001E3C20">
        <w:rPr>
          <w:rFonts w:cs="Times New Roman"/>
          <w:sz w:val="24"/>
          <w:szCs w:val="24"/>
        </w:rPr>
        <w:t xml:space="preserve"> and </w:t>
      </w:r>
      <w:proofErr w:type="spellStart"/>
      <w:r w:rsidRPr="001E3C20">
        <w:rPr>
          <w:rFonts w:cs="Times New Roman"/>
          <w:sz w:val="24"/>
          <w:szCs w:val="24"/>
        </w:rPr>
        <w:t>Dabrowski</w:t>
      </w:r>
      <w:proofErr w:type="spellEnd"/>
      <w:r w:rsidRPr="001E3C20">
        <w:rPr>
          <w:rFonts w:cs="Times New Roman"/>
          <w:sz w:val="24"/>
          <w:szCs w:val="24"/>
        </w:rPr>
        <w:t xml:space="preserve"> (2016) incorporated user-generated content effects, and Bruhn et al. (2012) examined integrated marketing communications' impact on CBBE dimensions. These modern enhancements ensure the framework remains relevant for contemporary branding challenges, digital marketing strategies, and specialized sectors like educational institutions.</w:t>
      </w:r>
    </w:p>
    <w:p w:rsidR="006E6B9D" w:rsidRPr="001E3C20" w:rsidRDefault="006E6B9D" w:rsidP="006E6B9D">
      <w:pPr>
        <w:tabs>
          <w:tab w:val="left" w:pos="3840"/>
        </w:tabs>
        <w:rPr>
          <w:rFonts w:cs="Times New Roman"/>
          <w:sz w:val="24"/>
          <w:szCs w:val="24"/>
        </w:rPr>
      </w:pPr>
      <w:r w:rsidRPr="001E3C20">
        <w:rPr>
          <w:rFonts w:cs="Times New Roman"/>
          <w:sz w:val="24"/>
          <w:szCs w:val="24"/>
        </w:rPr>
        <w:t xml:space="preserve">Brand performance and imagery </w:t>
      </w:r>
      <w:proofErr w:type="gramStart"/>
      <w:r w:rsidRPr="001E3C20">
        <w:rPr>
          <w:rFonts w:cs="Times New Roman"/>
          <w:sz w:val="24"/>
          <w:szCs w:val="24"/>
        </w:rPr>
        <w:t>dimensions</w:t>
      </w:r>
      <w:proofErr w:type="gramEnd"/>
      <w:r w:rsidRPr="001E3C20">
        <w:rPr>
          <w:rFonts w:cs="Times New Roman"/>
          <w:sz w:val="24"/>
          <w:szCs w:val="24"/>
        </w:rPr>
        <w:t xml:space="preserve"> capture functional and emotional benefits students associate with universities. Academic reputation, faculty quality, campus facilities represent performance attributes, while social status, campus culture, and alumni networks constitute imagery elements influencing enrollment decisions significantly. Brand judgments encompass student evaluations of university credibility, quality, and superiority compared to competitors. Positive judgments regarding academic excellence, career prospects, and institutional reputation directly correlate with increased application rates and enrollment intentions among prospective students.</w:t>
      </w:r>
    </w:p>
    <w:p w:rsidR="006E6B9D" w:rsidRPr="001E3C20" w:rsidRDefault="006E6B9D" w:rsidP="006E6B9D">
      <w:pPr>
        <w:tabs>
          <w:tab w:val="left" w:pos="3840"/>
        </w:tabs>
        <w:rPr>
          <w:rFonts w:cs="Times New Roman"/>
          <w:sz w:val="24"/>
          <w:szCs w:val="24"/>
        </w:rPr>
      </w:pPr>
      <w:r w:rsidRPr="001E3C20">
        <w:rPr>
          <w:rFonts w:cs="Times New Roman"/>
          <w:sz w:val="24"/>
          <w:szCs w:val="24"/>
        </w:rPr>
        <w:t>Brand feelings represent emotional responses students experience toward universities, including warmth, excitement, security, and pride. These emotional connections significantly influence loyalty, word-of-mouth recommendations, and ultimately enrollment decisions, making emotional branding crucial for public university marketing strategies. Brand resonance, the pyramid's apex, reflects deep psychological bonds between students and universities, manifesting as loyalty, advocacy, and community engagement. Recent studies demonstrate CBBE's continued relevance in educational contexts, with researchers applying the model to understand student choice behavior (</w:t>
      </w:r>
      <w:proofErr w:type="spellStart"/>
      <w:r w:rsidRPr="001E3C20">
        <w:rPr>
          <w:rFonts w:cs="Times New Roman"/>
          <w:sz w:val="24"/>
          <w:szCs w:val="24"/>
        </w:rPr>
        <w:t>Hemsley</w:t>
      </w:r>
      <w:proofErr w:type="spellEnd"/>
      <w:r w:rsidRPr="001E3C20">
        <w:rPr>
          <w:rFonts w:cs="Times New Roman"/>
          <w:sz w:val="24"/>
          <w:szCs w:val="24"/>
        </w:rPr>
        <w:t xml:space="preserve">-Brown &amp; </w:t>
      </w:r>
      <w:proofErr w:type="spellStart"/>
      <w:r w:rsidRPr="001E3C20">
        <w:rPr>
          <w:rFonts w:cs="Times New Roman"/>
          <w:sz w:val="24"/>
          <w:szCs w:val="24"/>
        </w:rPr>
        <w:t>Goonawardana</w:t>
      </w:r>
      <w:proofErr w:type="spellEnd"/>
      <w:r w:rsidRPr="001E3C20">
        <w:rPr>
          <w:rFonts w:cs="Times New Roman"/>
          <w:sz w:val="24"/>
          <w:szCs w:val="24"/>
        </w:rPr>
        <w:t>, 2021; Pinar et al., 2020).</w:t>
      </w:r>
    </w:p>
    <w:p w:rsidR="006E6B9D" w:rsidRPr="001E3C20" w:rsidRDefault="006E6B9D" w:rsidP="009C7644">
      <w:pPr>
        <w:tabs>
          <w:tab w:val="left" w:pos="3840"/>
        </w:tabs>
        <w:rPr>
          <w:rFonts w:cs="Times New Roman"/>
          <w:sz w:val="24"/>
          <w:szCs w:val="24"/>
        </w:rPr>
      </w:pPr>
      <w:r w:rsidRPr="001E3C20">
        <w:rPr>
          <w:rFonts w:cs="Times New Roman"/>
          <w:sz w:val="24"/>
          <w:szCs w:val="24"/>
        </w:rPr>
        <w:lastRenderedPageBreak/>
        <w:t>Keller's (1993) CBBE model, while foundational, faces criticism for its linear hierarchy (</w:t>
      </w:r>
      <w:proofErr w:type="spellStart"/>
      <w:r w:rsidRPr="001E3C20">
        <w:rPr>
          <w:rFonts w:cs="Times New Roman"/>
          <w:sz w:val="24"/>
          <w:szCs w:val="24"/>
        </w:rPr>
        <w:t>Buil</w:t>
      </w:r>
      <w:proofErr w:type="spellEnd"/>
      <w:r w:rsidRPr="001E3C20">
        <w:rPr>
          <w:rFonts w:cs="Times New Roman"/>
          <w:sz w:val="24"/>
          <w:szCs w:val="24"/>
        </w:rPr>
        <w:t xml:space="preserve"> et al. 2013) and Western bias </w:t>
      </w:r>
      <w:proofErr w:type="spellStart"/>
      <w:r w:rsidRPr="001E3C20">
        <w:rPr>
          <w:rFonts w:cs="Times New Roman"/>
          <w:sz w:val="24"/>
          <w:szCs w:val="24"/>
        </w:rPr>
        <w:t>Monga</w:t>
      </w:r>
      <w:proofErr w:type="spellEnd"/>
      <w:r w:rsidRPr="001E3C20">
        <w:rPr>
          <w:rFonts w:cs="Times New Roman"/>
          <w:sz w:val="24"/>
          <w:szCs w:val="24"/>
        </w:rPr>
        <w:t xml:space="preserve">, (2020), lacking empirical validation in digital contexts </w:t>
      </w:r>
      <w:proofErr w:type="spellStart"/>
      <w:r w:rsidRPr="001E3C20">
        <w:rPr>
          <w:rFonts w:cs="Times New Roman"/>
          <w:sz w:val="24"/>
          <w:szCs w:val="24"/>
        </w:rPr>
        <w:t>Christodoulides</w:t>
      </w:r>
      <w:proofErr w:type="spellEnd"/>
      <w:r w:rsidRPr="001E3C20">
        <w:rPr>
          <w:rFonts w:cs="Times New Roman"/>
          <w:sz w:val="24"/>
          <w:szCs w:val="24"/>
        </w:rPr>
        <w:t>, (2020) and collectivist cultures where relational branding</w:t>
      </w:r>
      <w:r w:rsidR="009C7644" w:rsidRPr="001E3C20">
        <w:rPr>
          <w:rFonts w:cs="Times New Roman"/>
          <w:sz w:val="24"/>
          <w:szCs w:val="24"/>
        </w:rPr>
        <w:t xml:space="preserve"> dominates (Nam et al., 2021).</w:t>
      </w:r>
      <w:r w:rsidR="009C7644" w:rsidRPr="001E3C20">
        <w:rPr>
          <w:rFonts w:cs="Times New Roman"/>
          <w:sz w:val="24"/>
          <w:szCs w:val="24"/>
        </w:rPr>
        <w:tab/>
      </w:r>
    </w:p>
    <w:p w:rsidR="006E6B9D" w:rsidRPr="001E3C20" w:rsidRDefault="006E6B9D" w:rsidP="006E6B9D">
      <w:pPr>
        <w:pStyle w:val="Heading3"/>
        <w:rPr>
          <w:rFonts w:ascii="Times New Roman" w:hAnsi="Times New Roman" w:cs="Times New Roman"/>
          <w:b/>
          <w:color w:val="auto"/>
        </w:rPr>
      </w:pPr>
      <w:bookmarkStart w:id="10" w:name="_Toc230811105"/>
      <w:r w:rsidRPr="001E3C20">
        <w:rPr>
          <w:rFonts w:ascii="Times New Roman" w:hAnsi="Times New Roman" w:cs="Times New Roman"/>
          <w:b/>
          <w:color w:val="auto"/>
        </w:rPr>
        <w:t>2.3.2 Resource-Based View (RBV) by Barney’s (1991)</w:t>
      </w:r>
      <w:bookmarkEnd w:id="10"/>
    </w:p>
    <w:p w:rsidR="006E6B9D" w:rsidRPr="001E3C20" w:rsidRDefault="006E6B9D" w:rsidP="006E6B9D">
      <w:pPr>
        <w:rPr>
          <w:rFonts w:cs="Times New Roman"/>
          <w:sz w:val="24"/>
          <w:szCs w:val="24"/>
        </w:rPr>
      </w:pPr>
      <w:r w:rsidRPr="001E3C20">
        <w:rPr>
          <w:rFonts w:cs="Times New Roman"/>
          <w:sz w:val="24"/>
          <w:szCs w:val="24"/>
        </w:rPr>
        <w:t xml:space="preserve">Jay B. Barney initially established the Resource-Based View (RBV) paradigm in his 1991 article "Firm Resources and Sustained Competitive Advantage".  However, the idea had its origins in previous work by Edith Penrose (1959) and Birger </w:t>
      </w:r>
      <w:proofErr w:type="spellStart"/>
      <w:r w:rsidRPr="001E3C20">
        <w:rPr>
          <w:rFonts w:cs="Times New Roman"/>
          <w:sz w:val="24"/>
          <w:szCs w:val="24"/>
        </w:rPr>
        <w:t>Wernerfelt</w:t>
      </w:r>
      <w:proofErr w:type="spellEnd"/>
      <w:r w:rsidRPr="001E3C20">
        <w:rPr>
          <w:rFonts w:cs="Times New Roman"/>
          <w:sz w:val="24"/>
          <w:szCs w:val="24"/>
        </w:rPr>
        <w:t xml:space="preserve"> (1984), who established the foundation for understanding how a firm's resources contribute to its competitive advantage.</w:t>
      </w:r>
    </w:p>
    <w:p w:rsidR="006E6B9D" w:rsidRPr="001E3C20" w:rsidRDefault="006E6B9D" w:rsidP="006E6B9D">
      <w:pPr>
        <w:rPr>
          <w:rFonts w:cs="Times New Roman"/>
          <w:sz w:val="24"/>
          <w:szCs w:val="24"/>
        </w:rPr>
      </w:pPr>
      <w:r w:rsidRPr="001E3C20">
        <w:rPr>
          <w:rFonts w:cs="Times New Roman"/>
          <w:sz w:val="24"/>
          <w:szCs w:val="24"/>
        </w:rPr>
        <w:t>The resource-based view (RBV) fundamentally posits that while organizations may establish clear strategic objectives, their ability to execute these goals is frequently constrained by finite resource endowments (</w:t>
      </w:r>
      <w:proofErr w:type="spellStart"/>
      <w:r w:rsidRPr="001E3C20">
        <w:rPr>
          <w:rFonts w:cs="Times New Roman"/>
          <w:sz w:val="24"/>
          <w:szCs w:val="24"/>
        </w:rPr>
        <w:t>Rangan</w:t>
      </w:r>
      <w:proofErr w:type="spellEnd"/>
      <w:r w:rsidRPr="001E3C20">
        <w:rPr>
          <w:rFonts w:cs="Times New Roman"/>
          <w:sz w:val="24"/>
          <w:szCs w:val="24"/>
        </w:rPr>
        <w:t>, 2004). This theoretical perspective emphasizes the strategic application and allocation of organizational assets, which fosters the creation of resource-based capabilities that ultimately yield sustainable competitive differentiation (Prior &amp; Glaser, 2003). Firm resources may according to the theory may originate from either internal or external environments and can be obtained through acquisition or represent existing organizational assets (</w:t>
      </w:r>
      <w:proofErr w:type="spellStart"/>
      <w:r w:rsidRPr="001E3C20">
        <w:rPr>
          <w:rFonts w:cs="Times New Roman"/>
          <w:sz w:val="24"/>
          <w:szCs w:val="24"/>
        </w:rPr>
        <w:t>Arbab</w:t>
      </w:r>
      <w:proofErr w:type="spellEnd"/>
      <w:r w:rsidRPr="001E3C20">
        <w:rPr>
          <w:rFonts w:cs="Times New Roman"/>
          <w:sz w:val="24"/>
          <w:szCs w:val="24"/>
        </w:rPr>
        <w:t xml:space="preserve"> </w:t>
      </w:r>
      <w:proofErr w:type="spellStart"/>
      <w:r w:rsidRPr="001E3C20">
        <w:rPr>
          <w:rFonts w:cs="Times New Roman"/>
          <w:sz w:val="24"/>
          <w:szCs w:val="24"/>
        </w:rPr>
        <w:t>Kash</w:t>
      </w:r>
      <w:proofErr w:type="spellEnd"/>
      <w:r w:rsidRPr="001E3C20">
        <w:rPr>
          <w:rFonts w:cs="Times New Roman"/>
          <w:sz w:val="24"/>
          <w:szCs w:val="24"/>
        </w:rPr>
        <w:t xml:space="preserve"> et al., 2014). The strategic integration and deployment of these resources ultimately determines the firm's competitive positioning in the marketplace.</w:t>
      </w:r>
    </w:p>
    <w:p w:rsidR="006E6B9D" w:rsidRPr="001E3C20" w:rsidRDefault="006E6B9D" w:rsidP="006E6B9D">
      <w:pPr>
        <w:rPr>
          <w:rFonts w:cs="Times New Roman"/>
          <w:sz w:val="24"/>
          <w:szCs w:val="24"/>
        </w:rPr>
      </w:pPr>
      <w:r w:rsidRPr="001E3C20">
        <w:rPr>
          <w:rFonts w:cs="Times New Roman"/>
          <w:sz w:val="24"/>
          <w:szCs w:val="24"/>
        </w:rPr>
        <w:t xml:space="preserve">The theory posits that a firm's sustained competitive advantage arises from its unique resources and capabilities that are Valuable, Rare, Inimitable, and Non-Substitutable </w:t>
      </w:r>
      <w:r w:rsidRPr="001E3C20">
        <w:rPr>
          <w:rFonts w:cs="Times New Roman"/>
          <w:sz w:val="24"/>
          <w:szCs w:val="24"/>
        </w:rPr>
        <w:lastRenderedPageBreak/>
        <w:t>(VRIN). This perspective emphasizes the internal strengths of an organization, suggesting that leveraging these unique assets can lead to superior performance (Barney, 1991). In the context of public universities, RBV implies that institutions can differentiate themselves and build strong brand equity by effectively utilizing their distinctive resources, such as faculty expertise, research capabilities, and institutional reputation.</w:t>
      </w:r>
    </w:p>
    <w:p w:rsidR="006E6B9D" w:rsidRPr="001E3C20" w:rsidRDefault="006E6B9D" w:rsidP="006E6B9D">
      <w:pPr>
        <w:rPr>
          <w:rFonts w:cs="Times New Roman"/>
          <w:sz w:val="24"/>
          <w:szCs w:val="24"/>
        </w:rPr>
      </w:pPr>
      <w:r w:rsidRPr="001E3C20">
        <w:rPr>
          <w:rFonts w:cs="Times New Roman"/>
          <w:sz w:val="24"/>
          <w:szCs w:val="24"/>
        </w:rPr>
        <w:t>Brand equity, including aspects like brand salience and brand resonance, is critical in this differentiation.  Brand salience is the extent to which a brand is considered or noticed by a student when making a purchasing decision. It is influenced by things like brand awareness and the visibility of the institution's services. Brand resonance, on the other hand, shows the strength of students' psychological bonds with the university, including factors such as brand loyalty, attachment, and active involvement.  These dimensions are essential for creating a successful university brand that attracts and keeps students.</w:t>
      </w:r>
    </w:p>
    <w:p w:rsidR="006E6B9D" w:rsidRPr="001E3C20" w:rsidRDefault="006E6B9D" w:rsidP="006E6B9D">
      <w:pPr>
        <w:rPr>
          <w:rFonts w:cs="Times New Roman"/>
          <w:sz w:val="24"/>
          <w:szCs w:val="24"/>
        </w:rPr>
      </w:pPr>
      <w:r w:rsidRPr="001E3C20">
        <w:rPr>
          <w:rFonts w:cs="Times New Roman"/>
          <w:sz w:val="24"/>
          <w:szCs w:val="24"/>
        </w:rPr>
        <w:t xml:space="preserve">Empirical studies support the RBV framework in the higher education sector. A study conducted by Pinar, Girard, and </w:t>
      </w:r>
      <w:proofErr w:type="spellStart"/>
      <w:r w:rsidRPr="001E3C20">
        <w:rPr>
          <w:rFonts w:cs="Times New Roman"/>
          <w:sz w:val="24"/>
          <w:szCs w:val="24"/>
        </w:rPr>
        <w:t>Basfirinci</w:t>
      </w:r>
      <w:proofErr w:type="spellEnd"/>
      <w:r w:rsidRPr="001E3C20">
        <w:rPr>
          <w:rFonts w:cs="Times New Roman"/>
          <w:sz w:val="24"/>
          <w:szCs w:val="24"/>
        </w:rPr>
        <w:t xml:space="preserve"> (2020) at a public university in Turkey revealed significant relationships among brand equity dimensions, including brand awareness, perceived quality, brand association, and brand loyalty. These dimensions collectively influence students' university learning experiences, highlighting the importance of leveraging internal resources to enhance brand equity.</w:t>
      </w:r>
    </w:p>
    <w:p w:rsidR="006E6B9D" w:rsidRPr="001E3C20" w:rsidRDefault="006E6B9D" w:rsidP="006E6B9D">
      <w:pPr>
        <w:rPr>
          <w:rFonts w:cs="Times New Roman"/>
          <w:sz w:val="24"/>
          <w:szCs w:val="24"/>
        </w:rPr>
      </w:pPr>
      <w:r w:rsidRPr="001E3C20">
        <w:rPr>
          <w:rFonts w:cs="Times New Roman"/>
          <w:sz w:val="24"/>
          <w:szCs w:val="24"/>
        </w:rPr>
        <w:t>Brand resonance represents the depth of the psychological bond students have with the university, encompassing aspects like brand loyalty, attachment, and active engagement (</w:t>
      </w:r>
      <w:proofErr w:type="spellStart"/>
      <w:r w:rsidRPr="001E3C20">
        <w:rPr>
          <w:rFonts w:cs="Times New Roman"/>
          <w:sz w:val="24"/>
          <w:szCs w:val="24"/>
        </w:rPr>
        <w:t>Sastrina</w:t>
      </w:r>
      <w:proofErr w:type="spellEnd"/>
      <w:r w:rsidRPr="001E3C20">
        <w:rPr>
          <w:rFonts w:cs="Times New Roman"/>
          <w:sz w:val="24"/>
          <w:szCs w:val="24"/>
        </w:rPr>
        <w:t xml:space="preserve"> et al.  2024). The RBV suggests that universities should focus on developing capabilities that enhance their brand equity. This includes investing in faculty development, </w:t>
      </w:r>
      <w:r w:rsidRPr="001E3C20">
        <w:rPr>
          <w:rFonts w:cs="Times New Roman"/>
          <w:sz w:val="24"/>
          <w:szCs w:val="24"/>
        </w:rPr>
        <w:lastRenderedPageBreak/>
        <w:t>fostering a positive campus environment, and engaging with students and alumni to build strong brand associations. The RBV theory also underscores the importance of intangible resources in building brand equity. For public universities, intangible assets such as academic reputation, alumni networks, and institutional culture are critical. These resources are often difficult for competitors to replicate, providing a sustainable competitive advantage.</w:t>
      </w:r>
    </w:p>
    <w:p w:rsidR="006E6B9D" w:rsidRPr="001E3C20" w:rsidRDefault="006E6B9D" w:rsidP="006E6B9D">
      <w:pPr>
        <w:rPr>
          <w:rFonts w:cs="Times New Roman"/>
          <w:sz w:val="24"/>
          <w:szCs w:val="24"/>
        </w:rPr>
      </w:pPr>
      <w:r w:rsidRPr="001E3C20">
        <w:rPr>
          <w:rFonts w:cs="Times New Roman"/>
          <w:sz w:val="24"/>
          <w:szCs w:val="24"/>
        </w:rPr>
        <w:t>Barney's RBV theory provides a valuable framework for public universities to develop brand equity strategies focused on the two objectives of this study; brand salience and brand resonance. Through identifying and leveraging their unique resources and capabilities, universities can create strong, differentiated brands that attract and retain students.</w:t>
      </w:r>
    </w:p>
    <w:p w:rsidR="006E6B9D" w:rsidRPr="001E3C20" w:rsidRDefault="006E6B9D" w:rsidP="006E6B9D">
      <w:pPr>
        <w:rPr>
          <w:rFonts w:cs="Times New Roman"/>
          <w:sz w:val="24"/>
          <w:szCs w:val="24"/>
        </w:rPr>
      </w:pPr>
      <w:r w:rsidRPr="001E3C20">
        <w:rPr>
          <w:rFonts w:cs="Times New Roman"/>
          <w:sz w:val="24"/>
          <w:szCs w:val="24"/>
        </w:rPr>
        <w:t xml:space="preserve">One significant criticism of Barney's Resource-Based View (RBV) is its low prescriptive value. According to </w:t>
      </w:r>
      <w:proofErr w:type="spellStart"/>
      <w:r w:rsidRPr="001E3C20">
        <w:rPr>
          <w:rFonts w:cs="Times New Roman"/>
          <w:sz w:val="24"/>
          <w:szCs w:val="24"/>
        </w:rPr>
        <w:t>Priem</w:t>
      </w:r>
      <w:proofErr w:type="spellEnd"/>
      <w:r w:rsidRPr="001E3C20">
        <w:rPr>
          <w:rFonts w:cs="Times New Roman"/>
          <w:sz w:val="24"/>
          <w:szCs w:val="24"/>
        </w:rPr>
        <w:t xml:space="preserve"> and Butler (2001), the RBV's VRIN criteria, valuable, rare, inimitable, and non-substitutable, are tautological and provide no practical direction to managers. They argue that the theory's wide and extensive definitions of resources make it difficult to identify specific, actionable resources that can lead to long-term competitive advantages. This critique contends that, while the RBV provides a framework for comprehending competitive advantage, it lacks clear guidelines for practical use in dynamic and competitive situations.</w:t>
      </w:r>
    </w:p>
    <w:p w:rsidR="006E6B9D" w:rsidRPr="001E3C20" w:rsidRDefault="006E6B9D" w:rsidP="00F62DC1">
      <w:pPr>
        <w:rPr>
          <w:rFonts w:cs="Times New Roman"/>
        </w:rPr>
      </w:pPr>
    </w:p>
    <w:p w:rsidR="006E6B9D" w:rsidRPr="001E3C20" w:rsidRDefault="006E6B9D" w:rsidP="006E6B9D">
      <w:pPr>
        <w:pStyle w:val="Heading1"/>
        <w:rPr>
          <w:rFonts w:cs="Times New Roman"/>
        </w:rPr>
      </w:pPr>
      <w:bookmarkStart w:id="11" w:name="_Toc230811110"/>
      <w:r w:rsidRPr="001E3C20">
        <w:rPr>
          <w:rFonts w:cs="Times New Roman"/>
        </w:rPr>
        <w:lastRenderedPageBreak/>
        <w:t>RESEARCH METHODOLOGY</w:t>
      </w:r>
      <w:bookmarkEnd w:id="11"/>
    </w:p>
    <w:p w:rsidR="006E6B9D" w:rsidRPr="001E3C20" w:rsidRDefault="006E6B9D" w:rsidP="006E6B9D">
      <w:pPr>
        <w:pStyle w:val="Heading2"/>
      </w:pPr>
      <w:bookmarkStart w:id="12" w:name="_Toc230811111"/>
      <w:r w:rsidRPr="001E3C20">
        <w:t>3.1 Introduction</w:t>
      </w:r>
      <w:bookmarkEnd w:id="12"/>
      <w:r w:rsidRPr="001E3C20">
        <w:t xml:space="preserve"> </w:t>
      </w:r>
    </w:p>
    <w:p w:rsidR="006E6B9D" w:rsidRPr="001E3C20" w:rsidRDefault="006E6B9D" w:rsidP="006E6B9D">
      <w:pPr>
        <w:rPr>
          <w:rFonts w:cs="Times New Roman"/>
          <w:sz w:val="24"/>
          <w:szCs w:val="24"/>
        </w:rPr>
      </w:pPr>
      <w:r w:rsidRPr="001E3C20">
        <w:rPr>
          <w:rFonts w:cs="Times New Roman"/>
          <w:sz w:val="24"/>
          <w:szCs w:val="24"/>
        </w:rPr>
        <w:t>This section covers the following topics: research design, study area, target population, sample size and sampling procedure, data collection tools, validity and reliability of tools, data collection procedures, data analysis, and ethical concerns.</w:t>
      </w:r>
    </w:p>
    <w:p w:rsidR="006E6B9D" w:rsidRPr="001E3C20" w:rsidRDefault="006E6B9D" w:rsidP="006E6B9D">
      <w:pPr>
        <w:pStyle w:val="Heading2"/>
        <w:tabs>
          <w:tab w:val="left" w:pos="2745"/>
        </w:tabs>
        <w:rPr>
          <w:szCs w:val="24"/>
        </w:rPr>
      </w:pPr>
      <w:bookmarkStart w:id="13" w:name="_Toc230811112"/>
      <w:r w:rsidRPr="001E3C20">
        <w:t>3.2 Research Design</w:t>
      </w:r>
      <w:bookmarkEnd w:id="13"/>
      <w:r w:rsidRPr="001E3C20">
        <w:t xml:space="preserve"> </w:t>
      </w:r>
      <w:r w:rsidRPr="001E3C20">
        <w:rPr>
          <w:szCs w:val="24"/>
        </w:rPr>
        <w:tab/>
      </w:r>
    </w:p>
    <w:p w:rsidR="006E6B9D" w:rsidRPr="001E3C20" w:rsidRDefault="006E6B9D" w:rsidP="006E6B9D">
      <w:pPr>
        <w:rPr>
          <w:rFonts w:cs="Times New Roman"/>
          <w:sz w:val="24"/>
          <w:szCs w:val="24"/>
        </w:rPr>
      </w:pPr>
      <w:r w:rsidRPr="001E3C20">
        <w:rPr>
          <w:rFonts w:cs="Times New Roman"/>
          <w:sz w:val="24"/>
          <w:szCs w:val="24"/>
        </w:rPr>
        <w:t xml:space="preserve">A causal research design was appropriate for this study, as it allowed the researcher to determine whether changes in students’ choice of public universities (the dependent variable) are directly influenced by brand equity strategies and organizational resources (the independent variables), providing stronger evidence of causation rather than mere association. To demonstrate causality, the researcher measured the independent variable (IV) before the dependent variable (DV) to confirm that changes in the IV precede changes in the DV. Unlike correlational research, which only identifies relationships without establishing directionality or controlling for extraneous factors, a causal design, such as an experiment or quasi-experiment, enables the controlled examination of how specific branding and resource allocation strategies impact student enrollment decisions, thereby enhancing internal validity (Johnson &amp; Christensen, 2019). Given the study’s objective of evaluating the effects of brand equity and institutional resources on student preferences, a causal approach is particularly valuable, as it isolates the influence of these variables rather than merely identifying patterns in existing data. Additionally, even with a large sample, advanced statistical techniques such as regression analysis or structural equation modeling (SEM) can be applied within a causal framework to strengthen causal inferences and </w:t>
      </w:r>
      <w:r w:rsidRPr="001E3C20">
        <w:rPr>
          <w:rFonts w:cs="Times New Roman"/>
          <w:sz w:val="24"/>
          <w:szCs w:val="24"/>
        </w:rPr>
        <w:lastRenderedPageBreak/>
        <w:t>account for potential con-founders (</w:t>
      </w:r>
      <w:proofErr w:type="spellStart"/>
      <w:r w:rsidRPr="001E3C20">
        <w:rPr>
          <w:rFonts w:cs="Times New Roman"/>
          <w:sz w:val="24"/>
          <w:szCs w:val="24"/>
        </w:rPr>
        <w:t>Tumiran</w:t>
      </w:r>
      <w:proofErr w:type="spellEnd"/>
      <w:r w:rsidRPr="001E3C20">
        <w:rPr>
          <w:rFonts w:cs="Times New Roman"/>
          <w:sz w:val="24"/>
          <w:szCs w:val="24"/>
        </w:rPr>
        <w:t>, 2023). This methodology is further justified by the need for evidence-based policy recommendations; while correlational findings may lead to ambiguous suggestions, a causal understanding is critical for university administrators and policymakers seeking to implement effective branding and resource optimization strategies (</w:t>
      </w:r>
      <w:proofErr w:type="spellStart"/>
      <w:r w:rsidRPr="001E3C20">
        <w:rPr>
          <w:rFonts w:cs="Times New Roman"/>
          <w:sz w:val="24"/>
          <w:szCs w:val="24"/>
        </w:rPr>
        <w:t>Ary</w:t>
      </w:r>
      <w:proofErr w:type="spellEnd"/>
      <w:r w:rsidRPr="001E3C20">
        <w:rPr>
          <w:rFonts w:cs="Times New Roman"/>
          <w:sz w:val="24"/>
          <w:szCs w:val="24"/>
        </w:rPr>
        <w:t xml:space="preserve"> et al., 2018). Thus, a causal design not only aligns with the study’s objectives but also yields more rigorous and actionable insights.</w:t>
      </w:r>
    </w:p>
    <w:p w:rsidR="006E6B9D" w:rsidRPr="001E3C20" w:rsidRDefault="006E6B9D" w:rsidP="006E6B9D">
      <w:pPr>
        <w:rPr>
          <w:rFonts w:cs="Times New Roman"/>
          <w:sz w:val="24"/>
          <w:szCs w:val="24"/>
        </w:rPr>
      </w:pPr>
      <w:r w:rsidRPr="001E3C20">
        <w:rPr>
          <w:rFonts w:cs="Times New Roman"/>
          <w:sz w:val="24"/>
          <w:szCs w:val="24"/>
        </w:rPr>
        <w:t>The positivism research philosophy was appropriate for this study because it aligned with the objective of examining causal relationships through measurable and observable data. Positivism emphasizes objectivity, empirical evidence, and structured methodologies, which are essential for analyzing how brand equity strategies and institutional resources influence student enrollment decisions. Through adopting a quantitative approach, this study can collect numerical data through surveys or secondary datasets, allowing for statistical analysis to test hypotheses and establish generalizable patterns. Given that brand equity and organizational resources can be quantified through metrics identified including brand salience, brand imagery, brand response, and brand resonance, positivism enables a systematic investigation into their impact on student choice, ensuring findings are replicable and verifiable (Saunders et al., 2019).</w:t>
      </w:r>
    </w:p>
    <w:p w:rsidR="006E6B9D" w:rsidRPr="001E3C20" w:rsidRDefault="006E6B9D" w:rsidP="006E6B9D">
      <w:pPr>
        <w:rPr>
          <w:rFonts w:cs="Times New Roman"/>
          <w:sz w:val="24"/>
          <w:szCs w:val="24"/>
        </w:rPr>
      </w:pPr>
      <w:r w:rsidRPr="001E3C20">
        <w:rPr>
          <w:rFonts w:cs="Times New Roman"/>
          <w:sz w:val="24"/>
          <w:szCs w:val="24"/>
        </w:rPr>
        <w:t xml:space="preserve">Furthermore, positivism supports the use of a causal research design, which is critical for determining whether specific branding and resource strategies directly affect student preferences. Unlike interpretive philosophy that focus on subjective meanings, positivism allows for controlled, hypothesis-driven testing, enhancing the study’s reliability and validity. This philosophy also facilitates the use of advanced statistical tools such as </w:t>
      </w:r>
      <w:r w:rsidRPr="001E3C20">
        <w:rPr>
          <w:rFonts w:cs="Times New Roman"/>
          <w:sz w:val="24"/>
          <w:szCs w:val="24"/>
        </w:rPr>
        <w:lastRenderedPageBreak/>
        <w:t>regression analysis to isolate key factors influencing student decisions while minimizing researcher bias. Since the study aims to provide actionable insights for university policymakers and marketers, a positivist approach ensures that recommendations are grounded in empirical evidence rather than subjective interpretations (Creswell &amp; Creswell, 2018). Thus, positivism strengthens the study’s rigor and applicability in shaping evidence-based branding and resource allocation strategies in Kenya’s higher education sector.</w:t>
      </w:r>
    </w:p>
    <w:p w:rsidR="006E6B9D" w:rsidRPr="001E3C20" w:rsidRDefault="006E6B9D" w:rsidP="006E6B9D">
      <w:pPr>
        <w:pStyle w:val="Heading2"/>
      </w:pPr>
      <w:bookmarkStart w:id="14" w:name="_Toc230811113"/>
      <w:r w:rsidRPr="001E3C20">
        <w:t>3.3 Location of the Study</w:t>
      </w:r>
      <w:bookmarkEnd w:id="14"/>
    </w:p>
    <w:p w:rsidR="006E6B9D" w:rsidRPr="001E3C20" w:rsidRDefault="006E6B9D" w:rsidP="006E6B9D">
      <w:pPr>
        <w:rPr>
          <w:rFonts w:cs="Times New Roman"/>
          <w:sz w:val="24"/>
          <w:szCs w:val="24"/>
        </w:rPr>
      </w:pPr>
      <w:r w:rsidRPr="001E3C20">
        <w:rPr>
          <w:rFonts w:cs="Times New Roman"/>
          <w:sz w:val="24"/>
          <w:szCs w:val="24"/>
        </w:rPr>
        <w:t>The study was conducted in all 35 public universities in Kenya as recognized by the Commission for University Education (CUE) (2024), since these institutions enroll the majority of government-sponsored students and face persistent challenges in converting brand equity into improved student recruitment outcomes despite controlling 68% of the higher education market. This consisted of 3171 respondents drawn from key functional units directly involved in branding and academic decision-making, Deputy Vice-Chancellors (Academic and Student Affairs), Directors of Research and Linkages, corporate affairs personnel (directors, public relations officers, and marketing officers), and students whose roles provide comprehensive insights into academic quality, institutional reputation, communication campaigns, and student preferences. This combination of stakeholders ensures rich, credible, and context-specific data capable of explaining how brand equity and organizational resources influence student recruitment in Kenya’s public universities.</w:t>
      </w:r>
    </w:p>
    <w:p w:rsidR="006E6B9D" w:rsidRPr="001E3C20" w:rsidRDefault="006E6B9D" w:rsidP="006E6B9D">
      <w:pPr>
        <w:rPr>
          <w:rFonts w:cs="Times New Roman"/>
          <w:sz w:val="24"/>
          <w:szCs w:val="24"/>
        </w:rPr>
      </w:pPr>
      <w:r w:rsidRPr="001E3C20">
        <w:rPr>
          <w:rFonts w:cs="Times New Roman"/>
          <w:sz w:val="24"/>
          <w:szCs w:val="24"/>
        </w:rPr>
        <w:lastRenderedPageBreak/>
        <w:t>Global research demonstrates that effective branding strategies can increase applications by 23-25%, boost student satisfaction by 18-21%, and enhance alumni engagement by 39-43%. This is because Kenya's public universities face unique challenges in translating brand equity into student recruitment success despite controlling 68% of the higher education market, these institutions are experiencing declining enrollments amid rapid sector expansion and intense competition from private universities. This make the location appropriate because public universities operate within a competitive and resource-constrained environment, making them ideal for examining how organizational resources interact with branding strategies. While brand equity components (awareness, quality, associations) influence university choice, Kenya’s resource-constrained public universities face a gap in leveraging organizational resources (alumni networks, faculty quality, ICT infrastructure) effectively. Conflicting evidence exists some studies show resources enhance branding, while others find no significant link. Thus, highlighting the need for context-specific strategies amid declining enrollments is required.</w:t>
      </w:r>
    </w:p>
    <w:p w:rsidR="006E6B9D" w:rsidRPr="001E3C20" w:rsidRDefault="006E6B9D" w:rsidP="006E6B9D">
      <w:pPr>
        <w:pStyle w:val="Heading2"/>
      </w:pPr>
      <w:bookmarkStart w:id="15" w:name="_Toc230811114"/>
      <w:r w:rsidRPr="001E3C20">
        <w:t>3.4 Population of the Study</w:t>
      </w:r>
      <w:bookmarkEnd w:id="15"/>
      <w:r w:rsidRPr="001E3C20">
        <w:t xml:space="preserve"> </w:t>
      </w:r>
    </w:p>
    <w:p w:rsidR="006E6B9D" w:rsidRPr="001E3C20" w:rsidRDefault="006E6B9D" w:rsidP="006E6B9D">
      <w:pPr>
        <w:rPr>
          <w:rFonts w:cs="Times New Roman"/>
          <w:sz w:val="24"/>
          <w:szCs w:val="24"/>
        </w:rPr>
      </w:pPr>
      <w:r w:rsidRPr="001E3C20">
        <w:rPr>
          <w:rFonts w:cs="Times New Roman"/>
          <w:sz w:val="24"/>
          <w:szCs w:val="24"/>
        </w:rPr>
        <w:t xml:space="preserve">The study’s unit of analysis was the 35 public universities and 3171 units of observation, specifically, the university’s management (Deputy Vice Chancellor (DVC) in charge of academics and student affairs, Director of Research and Linkages, University’s corporate affairs comprising of (Director Corporate Affairs, Public Relation Officers, Marketing officer) and students. The DVC in charge of academics and student affairs is chosen for their role in forming academic policies that impact brand equity and the Director of Research and Linkages is selected as they oversee strategic partnerships and institutional </w:t>
      </w:r>
      <w:r w:rsidRPr="001E3C20">
        <w:rPr>
          <w:rFonts w:cs="Times New Roman"/>
          <w:sz w:val="24"/>
          <w:szCs w:val="24"/>
        </w:rPr>
        <w:lastRenderedPageBreak/>
        <w:t>reputation; moreover, corporate affairs comprising of directors of public relations and corporate affairs were chosen informants of the study because they manage communication campaigns and brand equity plans that affect students' decisions to choose respective universities, in addition they have direct experience with the alignment of branding initiatives with organizational resources to draw in and keep students. Students are part of the group as they provided insights into preferences and factors that influence university choice. This approach increases the likelihood of obtaining a comprehensive and balanced perspective from key stakeholders directly involved in brand equity strategies in public universities, hence homogeneity of results.</w:t>
      </w:r>
    </w:p>
    <w:p w:rsidR="006E6B9D" w:rsidRPr="001E3C20" w:rsidRDefault="006E6B9D" w:rsidP="006E6B9D">
      <w:pPr>
        <w:rPr>
          <w:rFonts w:cs="Times New Roman"/>
          <w:sz w:val="24"/>
          <w:szCs w:val="24"/>
        </w:rPr>
      </w:pPr>
      <w:r w:rsidRPr="001E3C20">
        <w:rPr>
          <w:rFonts w:cs="Times New Roman"/>
          <w:sz w:val="24"/>
          <w:szCs w:val="24"/>
        </w:rPr>
        <w:t>To locate the population, it was done as per the regions indicated in Tables 3.1 and 3.2 and where the university is located.</w:t>
      </w:r>
    </w:p>
    <w:p w:rsidR="006E6B9D" w:rsidRPr="001E3C20" w:rsidRDefault="006E6B9D" w:rsidP="006E6B9D">
      <w:pPr>
        <w:pStyle w:val="Heading4"/>
        <w:tabs>
          <w:tab w:val="center" w:pos="4320"/>
        </w:tabs>
        <w:rPr>
          <w:rFonts w:ascii="Times New Roman" w:hAnsi="Times New Roman" w:cs="Times New Roman"/>
          <w:b/>
          <w:color w:val="auto"/>
        </w:rPr>
      </w:pPr>
      <w:bookmarkStart w:id="16" w:name="_Toc229492438"/>
      <w:r w:rsidRPr="001E3C20">
        <w:rPr>
          <w:rFonts w:ascii="Times New Roman" w:hAnsi="Times New Roman" w:cs="Times New Roman"/>
          <w:b/>
          <w:color w:val="auto"/>
        </w:rPr>
        <w:t>Table 3.1 Target public university</w:t>
      </w:r>
      <w:bookmarkEnd w:id="16"/>
      <w:r w:rsidRPr="001E3C20">
        <w:rPr>
          <w:rFonts w:ascii="Times New Roman" w:hAnsi="Times New Roman" w:cs="Times New Roman"/>
          <w:b/>
          <w:color w:val="auto"/>
        </w:rPr>
        <w:tab/>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3"/>
        <w:gridCol w:w="4567"/>
      </w:tblGrid>
      <w:tr w:rsidR="006E6B9D" w:rsidRPr="001E3C20" w:rsidTr="007531DF">
        <w:tc>
          <w:tcPr>
            <w:tcW w:w="2357" w:type="pct"/>
            <w:tcBorders>
              <w:top w:val="single" w:sz="4" w:space="0" w:color="auto"/>
              <w:bottom w:val="single" w:sz="4" w:space="0" w:color="auto"/>
            </w:tcBorders>
          </w:tcPr>
          <w:p w:rsidR="006E6B9D" w:rsidRPr="001E3C20" w:rsidRDefault="006E6B9D" w:rsidP="007531DF">
            <w:pPr>
              <w:spacing w:before="0" w:after="0" w:line="360" w:lineRule="auto"/>
              <w:rPr>
                <w:rFonts w:eastAsia="Times New Roman"/>
                <w:b/>
                <w:sz w:val="20"/>
                <w:szCs w:val="20"/>
              </w:rPr>
            </w:pPr>
            <w:r w:rsidRPr="001E3C20">
              <w:rPr>
                <w:rFonts w:eastAsia="Times New Roman"/>
                <w:b/>
                <w:sz w:val="20"/>
                <w:szCs w:val="20"/>
              </w:rPr>
              <w:t xml:space="preserve">Region </w:t>
            </w:r>
          </w:p>
        </w:tc>
        <w:tc>
          <w:tcPr>
            <w:tcW w:w="2643" w:type="pct"/>
            <w:tcBorders>
              <w:top w:val="single" w:sz="4" w:space="0" w:color="auto"/>
              <w:bottom w:val="single" w:sz="4" w:space="0" w:color="auto"/>
            </w:tcBorders>
          </w:tcPr>
          <w:p w:rsidR="006E6B9D" w:rsidRPr="001E3C20" w:rsidRDefault="006E6B9D" w:rsidP="007531DF">
            <w:pPr>
              <w:spacing w:before="0" w:after="0" w:line="360" w:lineRule="auto"/>
              <w:jc w:val="center"/>
              <w:rPr>
                <w:rFonts w:eastAsia="Times New Roman"/>
                <w:b/>
                <w:sz w:val="20"/>
                <w:szCs w:val="20"/>
              </w:rPr>
            </w:pPr>
            <w:r w:rsidRPr="001E3C20">
              <w:rPr>
                <w:rFonts w:eastAsia="Times New Roman"/>
                <w:b/>
                <w:sz w:val="20"/>
                <w:szCs w:val="20"/>
              </w:rPr>
              <w:t>Target public universities</w:t>
            </w:r>
          </w:p>
        </w:tc>
      </w:tr>
      <w:tr w:rsidR="001E3C20" w:rsidRPr="001E3C20" w:rsidTr="007531DF">
        <w:tc>
          <w:tcPr>
            <w:tcW w:w="2357" w:type="pct"/>
            <w:tcBorders>
              <w:top w:val="single" w:sz="4" w:space="0" w:color="auto"/>
            </w:tcBorders>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Rift Valley Region</w:t>
            </w:r>
          </w:p>
        </w:tc>
        <w:tc>
          <w:tcPr>
            <w:tcW w:w="2643" w:type="pct"/>
            <w:tcBorders>
              <w:top w:val="single" w:sz="4" w:space="0" w:color="auto"/>
            </w:tcBorders>
          </w:tcPr>
          <w:p w:rsidR="006E6B9D" w:rsidRPr="001E3C20" w:rsidRDefault="006E6B9D" w:rsidP="007531DF">
            <w:pPr>
              <w:spacing w:before="0" w:after="0" w:line="360" w:lineRule="auto"/>
              <w:jc w:val="center"/>
              <w:rPr>
                <w:rFonts w:eastAsia="Times New Roman"/>
                <w:sz w:val="20"/>
                <w:szCs w:val="20"/>
              </w:rPr>
            </w:pPr>
            <w:r w:rsidRPr="001E3C20">
              <w:rPr>
                <w:rFonts w:eastAsia="Times New Roman"/>
                <w:sz w:val="20"/>
                <w:szCs w:val="20"/>
              </w:rPr>
              <w:t>5</w:t>
            </w:r>
          </w:p>
        </w:tc>
      </w:tr>
      <w:tr w:rsidR="001E3C20" w:rsidRPr="001E3C20" w:rsidTr="007531DF">
        <w:tc>
          <w:tcPr>
            <w:tcW w:w="2357"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Eastern Region</w:t>
            </w:r>
          </w:p>
        </w:tc>
        <w:tc>
          <w:tcPr>
            <w:tcW w:w="2643" w:type="pct"/>
          </w:tcPr>
          <w:p w:rsidR="006E6B9D" w:rsidRPr="001E3C20" w:rsidRDefault="006E6B9D" w:rsidP="007531DF">
            <w:pPr>
              <w:spacing w:before="0" w:after="0" w:line="360" w:lineRule="auto"/>
              <w:jc w:val="center"/>
              <w:rPr>
                <w:rFonts w:eastAsia="Times New Roman"/>
                <w:sz w:val="20"/>
                <w:szCs w:val="20"/>
              </w:rPr>
            </w:pPr>
            <w:r w:rsidRPr="001E3C20">
              <w:rPr>
                <w:rFonts w:eastAsia="Times New Roman"/>
                <w:sz w:val="20"/>
                <w:szCs w:val="20"/>
              </w:rPr>
              <w:t>3</w:t>
            </w:r>
          </w:p>
        </w:tc>
      </w:tr>
      <w:tr w:rsidR="001E3C20" w:rsidRPr="001E3C20" w:rsidTr="007531DF">
        <w:trPr>
          <w:trHeight w:val="60"/>
        </w:trPr>
        <w:tc>
          <w:tcPr>
            <w:tcW w:w="2357"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North Eastern Region</w:t>
            </w:r>
          </w:p>
        </w:tc>
        <w:tc>
          <w:tcPr>
            <w:tcW w:w="2643" w:type="pct"/>
          </w:tcPr>
          <w:p w:rsidR="006E6B9D" w:rsidRPr="001E3C20" w:rsidRDefault="006E6B9D" w:rsidP="007531DF">
            <w:pPr>
              <w:spacing w:before="0" w:after="0" w:line="360" w:lineRule="auto"/>
              <w:jc w:val="center"/>
              <w:rPr>
                <w:rFonts w:eastAsia="Times New Roman"/>
                <w:sz w:val="20"/>
                <w:szCs w:val="20"/>
              </w:rPr>
            </w:pPr>
            <w:r w:rsidRPr="001E3C20">
              <w:rPr>
                <w:rFonts w:eastAsia="Times New Roman"/>
                <w:sz w:val="20"/>
                <w:szCs w:val="20"/>
              </w:rPr>
              <w:t>1</w:t>
            </w:r>
          </w:p>
        </w:tc>
      </w:tr>
      <w:tr w:rsidR="001E3C20" w:rsidRPr="001E3C20" w:rsidTr="007531DF">
        <w:tc>
          <w:tcPr>
            <w:tcW w:w="2357"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Coast Region</w:t>
            </w:r>
          </w:p>
        </w:tc>
        <w:tc>
          <w:tcPr>
            <w:tcW w:w="2643" w:type="pct"/>
          </w:tcPr>
          <w:p w:rsidR="006E6B9D" w:rsidRPr="001E3C20" w:rsidRDefault="006E6B9D" w:rsidP="007531DF">
            <w:pPr>
              <w:spacing w:before="0" w:after="0" w:line="360" w:lineRule="auto"/>
              <w:jc w:val="center"/>
              <w:rPr>
                <w:rFonts w:eastAsia="Times New Roman"/>
                <w:sz w:val="20"/>
                <w:szCs w:val="20"/>
              </w:rPr>
            </w:pPr>
            <w:r w:rsidRPr="001E3C20">
              <w:rPr>
                <w:rFonts w:eastAsia="Times New Roman"/>
                <w:sz w:val="20"/>
                <w:szCs w:val="20"/>
              </w:rPr>
              <w:t>3</w:t>
            </w:r>
          </w:p>
        </w:tc>
      </w:tr>
      <w:tr w:rsidR="001E3C20" w:rsidRPr="001E3C20" w:rsidTr="007531DF">
        <w:tc>
          <w:tcPr>
            <w:tcW w:w="2357"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Nyanza Region</w:t>
            </w:r>
          </w:p>
        </w:tc>
        <w:tc>
          <w:tcPr>
            <w:tcW w:w="2643" w:type="pct"/>
          </w:tcPr>
          <w:p w:rsidR="006E6B9D" w:rsidRPr="001E3C20" w:rsidRDefault="006E6B9D" w:rsidP="007531DF">
            <w:pPr>
              <w:spacing w:before="0" w:after="0" w:line="360" w:lineRule="auto"/>
              <w:jc w:val="center"/>
              <w:rPr>
                <w:rFonts w:eastAsia="Times New Roman"/>
                <w:sz w:val="20"/>
                <w:szCs w:val="20"/>
              </w:rPr>
            </w:pPr>
            <w:r w:rsidRPr="001E3C20">
              <w:rPr>
                <w:rFonts w:eastAsia="Times New Roman"/>
                <w:sz w:val="20"/>
                <w:szCs w:val="20"/>
              </w:rPr>
              <w:t>5</w:t>
            </w:r>
          </w:p>
        </w:tc>
      </w:tr>
      <w:tr w:rsidR="001E3C20" w:rsidRPr="001E3C20" w:rsidTr="007531DF">
        <w:tc>
          <w:tcPr>
            <w:tcW w:w="2357"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Central Region</w:t>
            </w:r>
          </w:p>
        </w:tc>
        <w:tc>
          <w:tcPr>
            <w:tcW w:w="2643" w:type="pct"/>
          </w:tcPr>
          <w:p w:rsidR="006E6B9D" w:rsidRPr="001E3C20" w:rsidRDefault="006E6B9D" w:rsidP="007531DF">
            <w:pPr>
              <w:spacing w:before="0" w:after="0" w:line="360" w:lineRule="auto"/>
              <w:jc w:val="center"/>
              <w:rPr>
                <w:rFonts w:eastAsia="Times New Roman"/>
                <w:sz w:val="20"/>
                <w:szCs w:val="20"/>
              </w:rPr>
            </w:pPr>
            <w:r w:rsidRPr="001E3C20">
              <w:rPr>
                <w:rFonts w:eastAsia="Times New Roman"/>
                <w:sz w:val="20"/>
                <w:szCs w:val="20"/>
              </w:rPr>
              <w:t>9</w:t>
            </w:r>
          </w:p>
        </w:tc>
      </w:tr>
      <w:tr w:rsidR="001E3C20" w:rsidRPr="001E3C20" w:rsidTr="007531DF">
        <w:tc>
          <w:tcPr>
            <w:tcW w:w="2357"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Western Region</w:t>
            </w:r>
          </w:p>
        </w:tc>
        <w:tc>
          <w:tcPr>
            <w:tcW w:w="2643" w:type="pct"/>
          </w:tcPr>
          <w:p w:rsidR="006E6B9D" w:rsidRPr="001E3C20" w:rsidRDefault="006E6B9D" w:rsidP="007531DF">
            <w:pPr>
              <w:spacing w:before="0" w:after="0" w:line="360" w:lineRule="auto"/>
              <w:jc w:val="center"/>
              <w:rPr>
                <w:rFonts w:eastAsia="Times New Roman"/>
                <w:sz w:val="20"/>
                <w:szCs w:val="20"/>
              </w:rPr>
            </w:pPr>
            <w:r w:rsidRPr="001E3C20">
              <w:rPr>
                <w:rFonts w:eastAsia="Times New Roman"/>
                <w:sz w:val="20"/>
                <w:szCs w:val="20"/>
              </w:rPr>
              <w:t>4</w:t>
            </w:r>
          </w:p>
        </w:tc>
      </w:tr>
      <w:tr w:rsidR="001E3C20" w:rsidRPr="001E3C20" w:rsidTr="007531DF">
        <w:tc>
          <w:tcPr>
            <w:tcW w:w="2357"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Nairobi</w:t>
            </w:r>
          </w:p>
        </w:tc>
        <w:tc>
          <w:tcPr>
            <w:tcW w:w="2643" w:type="pct"/>
          </w:tcPr>
          <w:p w:rsidR="006E6B9D" w:rsidRPr="001E3C20" w:rsidRDefault="006E6B9D" w:rsidP="007531DF">
            <w:pPr>
              <w:spacing w:before="0" w:after="0" w:line="360" w:lineRule="auto"/>
              <w:jc w:val="center"/>
              <w:rPr>
                <w:rFonts w:eastAsia="Times New Roman"/>
                <w:sz w:val="20"/>
                <w:szCs w:val="20"/>
              </w:rPr>
            </w:pPr>
            <w:r w:rsidRPr="001E3C20">
              <w:rPr>
                <w:rFonts w:eastAsia="Times New Roman"/>
                <w:sz w:val="20"/>
                <w:szCs w:val="20"/>
              </w:rPr>
              <w:t>5</w:t>
            </w:r>
          </w:p>
        </w:tc>
      </w:tr>
      <w:tr w:rsidR="006E6B9D" w:rsidRPr="001E3C20" w:rsidTr="007531DF">
        <w:tc>
          <w:tcPr>
            <w:tcW w:w="2357" w:type="pct"/>
            <w:tcBorders>
              <w:bottom w:val="single" w:sz="4" w:space="0" w:color="auto"/>
            </w:tcBorders>
          </w:tcPr>
          <w:p w:rsidR="006E6B9D" w:rsidRPr="001E3C20" w:rsidRDefault="006E6B9D" w:rsidP="007531DF">
            <w:pPr>
              <w:spacing w:before="0" w:after="0" w:line="360" w:lineRule="auto"/>
              <w:rPr>
                <w:rFonts w:eastAsia="Times New Roman"/>
                <w:b/>
                <w:sz w:val="20"/>
                <w:szCs w:val="20"/>
              </w:rPr>
            </w:pPr>
            <w:r w:rsidRPr="001E3C20">
              <w:rPr>
                <w:rFonts w:eastAsia="Times New Roman"/>
                <w:b/>
                <w:sz w:val="20"/>
                <w:szCs w:val="20"/>
              </w:rPr>
              <w:t xml:space="preserve">Total </w:t>
            </w:r>
          </w:p>
        </w:tc>
        <w:tc>
          <w:tcPr>
            <w:tcW w:w="2643" w:type="pct"/>
            <w:tcBorders>
              <w:bottom w:val="single" w:sz="4" w:space="0" w:color="auto"/>
            </w:tcBorders>
          </w:tcPr>
          <w:p w:rsidR="006E6B9D" w:rsidRPr="001E3C20" w:rsidRDefault="006E6B9D" w:rsidP="007531DF">
            <w:pPr>
              <w:spacing w:before="0" w:after="0" w:line="360" w:lineRule="auto"/>
              <w:jc w:val="center"/>
              <w:rPr>
                <w:rFonts w:eastAsia="Times New Roman"/>
                <w:b/>
                <w:sz w:val="20"/>
                <w:szCs w:val="20"/>
              </w:rPr>
            </w:pPr>
            <w:r w:rsidRPr="001E3C20">
              <w:rPr>
                <w:rFonts w:eastAsia="Times New Roman"/>
                <w:b/>
                <w:sz w:val="20"/>
                <w:szCs w:val="20"/>
              </w:rPr>
              <w:t>35</w:t>
            </w:r>
          </w:p>
        </w:tc>
      </w:tr>
    </w:tbl>
    <w:p w:rsidR="006E6B9D" w:rsidRPr="001E3C20" w:rsidRDefault="006E6B9D" w:rsidP="006E6B9D">
      <w:pPr>
        <w:rPr>
          <w:rFonts w:cs="Times New Roman"/>
          <w:b/>
          <w:sz w:val="24"/>
          <w:szCs w:val="24"/>
        </w:rPr>
      </w:pPr>
      <w:r w:rsidRPr="001E3C20">
        <w:rPr>
          <w:rFonts w:cs="Times New Roman"/>
        </w:rPr>
        <w:t xml:space="preserve"> </w:t>
      </w:r>
      <w:r w:rsidRPr="001E3C20">
        <w:rPr>
          <w:rFonts w:cs="Times New Roman"/>
          <w:b/>
          <w:sz w:val="24"/>
          <w:szCs w:val="24"/>
        </w:rPr>
        <w:t>Source; CUE 2023/2024</w:t>
      </w:r>
    </w:p>
    <w:p w:rsidR="006E6B9D" w:rsidRPr="001E3C20" w:rsidRDefault="006E6B9D" w:rsidP="006E6B9D">
      <w:pPr>
        <w:rPr>
          <w:rFonts w:cs="Times New Roman"/>
          <w:sz w:val="24"/>
          <w:szCs w:val="24"/>
        </w:rPr>
      </w:pPr>
      <w:r w:rsidRPr="001E3C20">
        <w:rPr>
          <w:rFonts w:cs="Times New Roman"/>
          <w:sz w:val="24"/>
          <w:szCs w:val="24"/>
        </w:rPr>
        <w:t>The table for the respondents is presented below;</w:t>
      </w:r>
    </w:p>
    <w:p w:rsidR="006E6B9D" w:rsidRPr="001E3C20" w:rsidRDefault="006E6B9D" w:rsidP="006E6B9D">
      <w:pPr>
        <w:pStyle w:val="Heading4"/>
        <w:rPr>
          <w:rFonts w:ascii="Times New Roman" w:hAnsi="Times New Roman" w:cs="Times New Roman"/>
          <w:i w:val="0"/>
          <w:color w:val="auto"/>
        </w:rPr>
      </w:pPr>
      <w:bookmarkStart w:id="17" w:name="_Toc229492439"/>
      <w:r w:rsidRPr="001E3C20">
        <w:rPr>
          <w:rFonts w:ascii="Times New Roman" w:hAnsi="Times New Roman" w:cs="Times New Roman"/>
          <w:color w:val="auto"/>
        </w:rPr>
        <w:lastRenderedPageBreak/>
        <w:t>Table 3.2: Target population</w:t>
      </w:r>
      <w:bookmarkEnd w:id="17"/>
      <w:r w:rsidRPr="001E3C20">
        <w:rPr>
          <w:rFonts w:ascii="Times New Roman" w:hAnsi="Times New Roman" w:cs="Times New Roman"/>
          <w:color w:val="auto"/>
        </w:rPr>
        <w:t xml:space="preserve"> </w:t>
      </w:r>
    </w:p>
    <w:tbl>
      <w:tblPr>
        <w:tblStyle w:val="TableGrid2"/>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1404"/>
        <w:gridCol w:w="717"/>
        <w:gridCol w:w="1463"/>
        <w:gridCol w:w="2469"/>
        <w:gridCol w:w="905"/>
        <w:gridCol w:w="639"/>
      </w:tblGrid>
      <w:tr w:rsidR="006E6B9D" w:rsidRPr="001E3C20" w:rsidTr="007531DF">
        <w:trPr>
          <w:jc w:val="center"/>
        </w:trPr>
        <w:tc>
          <w:tcPr>
            <w:tcW w:w="604" w:type="pct"/>
            <w:tcBorders>
              <w:top w:val="single" w:sz="4" w:space="0" w:color="auto"/>
              <w:bottom w:val="single" w:sz="4" w:space="0" w:color="auto"/>
            </w:tcBorders>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 xml:space="preserve">Regions </w:t>
            </w:r>
          </w:p>
        </w:tc>
        <w:tc>
          <w:tcPr>
            <w:tcW w:w="813" w:type="pct"/>
            <w:tcBorders>
              <w:top w:val="single" w:sz="4" w:space="0" w:color="auto"/>
              <w:bottom w:val="single" w:sz="4" w:space="0" w:color="auto"/>
            </w:tcBorders>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 xml:space="preserve"> Target Universities</w:t>
            </w:r>
          </w:p>
        </w:tc>
        <w:tc>
          <w:tcPr>
            <w:tcW w:w="415" w:type="pct"/>
            <w:tcBorders>
              <w:top w:val="single" w:sz="4" w:space="0" w:color="auto"/>
              <w:bottom w:val="single" w:sz="4" w:space="0" w:color="auto"/>
            </w:tcBorders>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DVCs</w:t>
            </w:r>
          </w:p>
        </w:tc>
        <w:tc>
          <w:tcPr>
            <w:tcW w:w="847" w:type="pct"/>
            <w:tcBorders>
              <w:top w:val="single" w:sz="4" w:space="0" w:color="auto"/>
              <w:bottom w:val="single" w:sz="4" w:space="0" w:color="auto"/>
            </w:tcBorders>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 xml:space="preserve">Director R &amp; and Linkages </w:t>
            </w:r>
          </w:p>
        </w:tc>
        <w:tc>
          <w:tcPr>
            <w:tcW w:w="1429" w:type="pct"/>
            <w:tcBorders>
              <w:top w:val="single" w:sz="4" w:space="0" w:color="auto"/>
              <w:bottom w:val="single" w:sz="4" w:space="0" w:color="auto"/>
            </w:tcBorders>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 xml:space="preserve"> Corporate affairs (corporate affairs marketing, PR officers)</w:t>
            </w:r>
          </w:p>
        </w:tc>
        <w:tc>
          <w:tcPr>
            <w:tcW w:w="524" w:type="pct"/>
            <w:tcBorders>
              <w:top w:val="single" w:sz="4" w:space="0" w:color="auto"/>
              <w:bottom w:val="single" w:sz="4" w:space="0" w:color="auto"/>
            </w:tcBorders>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 xml:space="preserve">Students </w:t>
            </w:r>
          </w:p>
        </w:tc>
        <w:tc>
          <w:tcPr>
            <w:tcW w:w="370" w:type="pct"/>
            <w:tcBorders>
              <w:top w:val="single" w:sz="4" w:space="0" w:color="auto"/>
              <w:bottom w:val="single" w:sz="4" w:space="0" w:color="auto"/>
            </w:tcBorders>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Total</w:t>
            </w:r>
          </w:p>
        </w:tc>
      </w:tr>
      <w:tr w:rsidR="001E3C20" w:rsidRPr="001E3C20" w:rsidTr="007531DF">
        <w:trPr>
          <w:jc w:val="center"/>
        </w:trPr>
        <w:tc>
          <w:tcPr>
            <w:tcW w:w="604" w:type="pct"/>
            <w:tcBorders>
              <w:top w:val="single" w:sz="4" w:space="0" w:color="auto"/>
            </w:tcBorders>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Rift valley</w:t>
            </w:r>
          </w:p>
        </w:tc>
        <w:tc>
          <w:tcPr>
            <w:tcW w:w="813" w:type="pct"/>
            <w:tcBorders>
              <w:top w:val="single" w:sz="4" w:space="0" w:color="auto"/>
            </w:tcBorders>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5</w:t>
            </w:r>
          </w:p>
        </w:tc>
        <w:tc>
          <w:tcPr>
            <w:tcW w:w="415" w:type="pct"/>
            <w:tcBorders>
              <w:top w:val="single" w:sz="4" w:space="0" w:color="auto"/>
            </w:tcBorders>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1</w:t>
            </w:r>
          </w:p>
        </w:tc>
        <w:tc>
          <w:tcPr>
            <w:tcW w:w="847" w:type="pct"/>
            <w:tcBorders>
              <w:top w:val="single" w:sz="4" w:space="0" w:color="auto"/>
            </w:tcBorders>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1</w:t>
            </w:r>
          </w:p>
        </w:tc>
        <w:tc>
          <w:tcPr>
            <w:tcW w:w="1429" w:type="pct"/>
            <w:tcBorders>
              <w:top w:val="single" w:sz="4" w:space="0" w:color="auto"/>
            </w:tcBorders>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3*5 =15</w:t>
            </w:r>
          </w:p>
        </w:tc>
        <w:tc>
          <w:tcPr>
            <w:tcW w:w="524" w:type="pct"/>
            <w:tcBorders>
              <w:top w:val="single" w:sz="4" w:space="0" w:color="auto"/>
            </w:tcBorders>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450</w:t>
            </w:r>
          </w:p>
        </w:tc>
        <w:tc>
          <w:tcPr>
            <w:tcW w:w="370" w:type="pct"/>
            <w:tcBorders>
              <w:top w:val="single" w:sz="4" w:space="0" w:color="auto"/>
            </w:tcBorders>
          </w:tcPr>
          <w:p w:rsidR="006E6B9D" w:rsidRPr="001E3C20" w:rsidRDefault="00740F54" w:rsidP="007531DF">
            <w:pPr>
              <w:spacing w:before="0" w:after="0" w:line="360" w:lineRule="auto"/>
              <w:rPr>
                <w:rFonts w:eastAsia="Times New Roman"/>
                <w:sz w:val="20"/>
                <w:szCs w:val="20"/>
              </w:rPr>
            </w:pPr>
            <w:r>
              <w:rPr>
                <w:rFonts w:eastAsia="Times New Roman"/>
                <w:sz w:val="20"/>
                <w:szCs w:val="20"/>
              </w:rPr>
              <w:t>475</w:t>
            </w:r>
          </w:p>
        </w:tc>
      </w:tr>
      <w:tr w:rsidR="001E3C20" w:rsidRPr="001E3C20" w:rsidTr="007531DF">
        <w:trPr>
          <w:jc w:val="center"/>
        </w:trPr>
        <w:tc>
          <w:tcPr>
            <w:tcW w:w="604"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Eastern</w:t>
            </w:r>
          </w:p>
        </w:tc>
        <w:tc>
          <w:tcPr>
            <w:tcW w:w="813"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3</w:t>
            </w:r>
          </w:p>
        </w:tc>
        <w:tc>
          <w:tcPr>
            <w:tcW w:w="415"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1</w:t>
            </w:r>
          </w:p>
        </w:tc>
        <w:tc>
          <w:tcPr>
            <w:tcW w:w="847"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1</w:t>
            </w:r>
          </w:p>
        </w:tc>
        <w:tc>
          <w:tcPr>
            <w:tcW w:w="1429"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3*3=9</w:t>
            </w:r>
          </w:p>
        </w:tc>
        <w:tc>
          <w:tcPr>
            <w:tcW w:w="524"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300</w:t>
            </w:r>
          </w:p>
        </w:tc>
        <w:tc>
          <w:tcPr>
            <w:tcW w:w="370" w:type="pct"/>
          </w:tcPr>
          <w:p w:rsidR="006E6B9D" w:rsidRPr="001E3C20" w:rsidRDefault="00740F54" w:rsidP="007531DF">
            <w:pPr>
              <w:spacing w:before="0" w:after="0" w:line="360" w:lineRule="auto"/>
              <w:rPr>
                <w:rFonts w:eastAsia="Times New Roman"/>
                <w:sz w:val="20"/>
                <w:szCs w:val="20"/>
              </w:rPr>
            </w:pPr>
            <w:r>
              <w:rPr>
                <w:rFonts w:eastAsia="Times New Roman"/>
                <w:sz w:val="20"/>
                <w:szCs w:val="20"/>
              </w:rPr>
              <w:t>315</w:t>
            </w:r>
          </w:p>
        </w:tc>
      </w:tr>
      <w:tr w:rsidR="001E3C20" w:rsidRPr="001E3C20" w:rsidTr="007531DF">
        <w:trPr>
          <w:jc w:val="center"/>
        </w:trPr>
        <w:tc>
          <w:tcPr>
            <w:tcW w:w="604"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North Eastern</w:t>
            </w:r>
          </w:p>
        </w:tc>
        <w:tc>
          <w:tcPr>
            <w:tcW w:w="813"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1</w:t>
            </w:r>
          </w:p>
        </w:tc>
        <w:tc>
          <w:tcPr>
            <w:tcW w:w="415"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1</w:t>
            </w:r>
          </w:p>
        </w:tc>
        <w:tc>
          <w:tcPr>
            <w:tcW w:w="847"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1</w:t>
            </w:r>
          </w:p>
        </w:tc>
        <w:tc>
          <w:tcPr>
            <w:tcW w:w="1429"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3*1=9</w:t>
            </w:r>
          </w:p>
        </w:tc>
        <w:tc>
          <w:tcPr>
            <w:tcW w:w="524"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80</w:t>
            </w:r>
          </w:p>
        </w:tc>
        <w:tc>
          <w:tcPr>
            <w:tcW w:w="370" w:type="pct"/>
          </w:tcPr>
          <w:p w:rsidR="006E6B9D" w:rsidRPr="001E3C20" w:rsidRDefault="00740F54" w:rsidP="007531DF">
            <w:pPr>
              <w:spacing w:before="0" w:after="0" w:line="360" w:lineRule="auto"/>
              <w:rPr>
                <w:rFonts w:eastAsia="Times New Roman"/>
                <w:sz w:val="20"/>
                <w:szCs w:val="20"/>
              </w:rPr>
            </w:pPr>
            <w:r>
              <w:rPr>
                <w:rFonts w:eastAsia="Times New Roman"/>
                <w:sz w:val="20"/>
                <w:szCs w:val="20"/>
              </w:rPr>
              <w:t>91</w:t>
            </w:r>
          </w:p>
        </w:tc>
      </w:tr>
      <w:tr w:rsidR="001E3C20" w:rsidRPr="001E3C20" w:rsidTr="007531DF">
        <w:trPr>
          <w:trHeight w:val="80"/>
          <w:jc w:val="center"/>
        </w:trPr>
        <w:tc>
          <w:tcPr>
            <w:tcW w:w="604"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Coast</w:t>
            </w:r>
          </w:p>
        </w:tc>
        <w:tc>
          <w:tcPr>
            <w:tcW w:w="813"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3</w:t>
            </w:r>
          </w:p>
        </w:tc>
        <w:tc>
          <w:tcPr>
            <w:tcW w:w="415"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1</w:t>
            </w:r>
          </w:p>
        </w:tc>
        <w:tc>
          <w:tcPr>
            <w:tcW w:w="847"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1</w:t>
            </w:r>
          </w:p>
        </w:tc>
        <w:tc>
          <w:tcPr>
            <w:tcW w:w="1429"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3*3=9</w:t>
            </w:r>
          </w:p>
        </w:tc>
        <w:tc>
          <w:tcPr>
            <w:tcW w:w="524"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280</w:t>
            </w:r>
          </w:p>
        </w:tc>
        <w:tc>
          <w:tcPr>
            <w:tcW w:w="370" w:type="pct"/>
          </w:tcPr>
          <w:p w:rsidR="006E6B9D" w:rsidRPr="001E3C20" w:rsidRDefault="00740F54" w:rsidP="007531DF">
            <w:pPr>
              <w:spacing w:before="0" w:after="0" w:line="360" w:lineRule="auto"/>
              <w:rPr>
                <w:rFonts w:eastAsia="Times New Roman"/>
                <w:sz w:val="20"/>
                <w:szCs w:val="20"/>
              </w:rPr>
            </w:pPr>
            <w:r>
              <w:rPr>
                <w:rFonts w:eastAsia="Times New Roman"/>
                <w:sz w:val="20"/>
                <w:szCs w:val="20"/>
              </w:rPr>
              <w:t>295</w:t>
            </w:r>
          </w:p>
        </w:tc>
      </w:tr>
      <w:tr w:rsidR="001E3C20" w:rsidRPr="001E3C20" w:rsidTr="007531DF">
        <w:trPr>
          <w:jc w:val="center"/>
        </w:trPr>
        <w:tc>
          <w:tcPr>
            <w:tcW w:w="604"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Nyanza</w:t>
            </w:r>
          </w:p>
        </w:tc>
        <w:tc>
          <w:tcPr>
            <w:tcW w:w="813"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5</w:t>
            </w:r>
          </w:p>
        </w:tc>
        <w:tc>
          <w:tcPr>
            <w:tcW w:w="415"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1</w:t>
            </w:r>
          </w:p>
        </w:tc>
        <w:tc>
          <w:tcPr>
            <w:tcW w:w="847"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1</w:t>
            </w:r>
          </w:p>
        </w:tc>
        <w:tc>
          <w:tcPr>
            <w:tcW w:w="1429"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3*5=15</w:t>
            </w:r>
          </w:p>
        </w:tc>
        <w:tc>
          <w:tcPr>
            <w:tcW w:w="524"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460</w:t>
            </w:r>
          </w:p>
        </w:tc>
        <w:tc>
          <w:tcPr>
            <w:tcW w:w="370" w:type="pct"/>
          </w:tcPr>
          <w:p w:rsidR="006E6B9D" w:rsidRPr="001E3C20" w:rsidRDefault="00740F54" w:rsidP="007531DF">
            <w:pPr>
              <w:spacing w:before="0" w:after="0" w:line="360" w:lineRule="auto"/>
              <w:rPr>
                <w:rFonts w:eastAsia="Times New Roman"/>
                <w:sz w:val="20"/>
                <w:szCs w:val="20"/>
              </w:rPr>
            </w:pPr>
            <w:r>
              <w:rPr>
                <w:rFonts w:eastAsia="Times New Roman"/>
                <w:sz w:val="20"/>
                <w:szCs w:val="20"/>
              </w:rPr>
              <w:t>485</w:t>
            </w:r>
          </w:p>
        </w:tc>
      </w:tr>
      <w:tr w:rsidR="001E3C20" w:rsidRPr="001E3C20" w:rsidTr="007531DF">
        <w:trPr>
          <w:jc w:val="center"/>
        </w:trPr>
        <w:tc>
          <w:tcPr>
            <w:tcW w:w="604"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Central</w:t>
            </w:r>
          </w:p>
        </w:tc>
        <w:tc>
          <w:tcPr>
            <w:tcW w:w="813"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9</w:t>
            </w:r>
          </w:p>
        </w:tc>
        <w:tc>
          <w:tcPr>
            <w:tcW w:w="415"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1</w:t>
            </w:r>
          </w:p>
        </w:tc>
        <w:tc>
          <w:tcPr>
            <w:tcW w:w="847"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1</w:t>
            </w:r>
          </w:p>
        </w:tc>
        <w:tc>
          <w:tcPr>
            <w:tcW w:w="1429"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3*9=27</w:t>
            </w:r>
          </w:p>
        </w:tc>
        <w:tc>
          <w:tcPr>
            <w:tcW w:w="524"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750</w:t>
            </w:r>
          </w:p>
        </w:tc>
        <w:tc>
          <w:tcPr>
            <w:tcW w:w="370" w:type="pct"/>
          </w:tcPr>
          <w:p w:rsidR="006E6B9D" w:rsidRPr="001E3C20" w:rsidRDefault="00740F54" w:rsidP="007531DF">
            <w:pPr>
              <w:spacing w:before="0" w:after="0" w:line="360" w:lineRule="auto"/>
              <w:rPr>
                <w:rFonts w:eastAsia="Times New Roman"/>
                <w:sz w:val="20"/>
                <w:szCs w:val="20"/>
              </w:rPr>
            </w:pPr>
            <w:r>
              <w:rPr>
                <w:rFonts w:eastAsia="Times New Roman"/>
                <w:sz w:val="20"/>
                <w:szCs w:val="20"/>
              </w:rPr>
              <w:t>795</w:t>
            </w:r>
          </w:p>
        </w:tc>
      </w:tr>
      <w:tr w:rsidR="001E3C20" w:rsidRPr="001E3C20" w:rsidTr="007531DF">
        <w:trPr>
          <w:jc w:val="center"/>
        </w:trPr>
        <w:tc>
          <w:tcPr>
            <w:tcW w:w="604"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Western</w:t>
            </w:r>
          </w:p>
        </w:tc>
        <w:tc>
          <w:tcPr>
            <w:tcW w:w="813"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4</w:t>
            </w:r>
          </w:p>
        </w:tc>
        <w:tc>
          <w:tcPr>
            <w:tcW w:w="415"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1</w:t>
            </w:r>
          </w:p>
        </w:tc>
        <w:tc>
          <w:tcPr>
            <w:tcW w:w="847"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1</w:t>
            </w:r>
          </w:p>
        </w:tc>
        <w:tc>
          <w:tcPr>
            <w:tcW w:w="1429"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3*4=12</w:t>
            </w:r>
          </w:p>
        </w:tc>
        <w:tc>
          <w:tcPr>
            <w:tcW w:w="524"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345</w:t>
            </w:r>
          </w:p>
        </w:tc>
        <w:tc>
          <w:tcPr>
            <w:tcW w:w="370" w:type="pct"/>
          </w:tcPr>
          <w:p w:rsidR="006E6B9D" w:rsidRPr="001E3C20" w:rsidRDefault="00740F54" w:rsidP="007531DF">
            <w:pPr>
              <w:spacing w:before="0" w:after="0" w:line="360" w:lineRule="auto"/>
              <w:rPr>
                <w:rFonts w:eastAsia="Times New Roman"/>
                <w:sz w:val="20"/>
                <w:szCs w:val="20"/>
              </w:rPr>
            </w:pPr>
            <w:r>
              <w:rPr>
                <w:rFonts w:eastAsia="Times New Roman"/>
                <w:sz w:val="20"/>
                <w:szCs w:val="20"/>
              </w:rPr>
              <w:t>365</w:t>
            </w:r>
          </w:p>
        </w:tc>
      </w:tr>
      <w:tr w:rsidR="001E3C20" w:rsidRPr="001E3C20" w:rsidTr="007531DF">
        <w:trPr>
          <w:jc w:val="center"/>
        </w:trPr>
        <w:tc>
          <w:tcPr>
            <w:tcW w:w="604"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Nairobi</w:t>
            </w:r>
          </w:p>
        </w:tc>
        <w:tc>
          <w:tcPr>
            <w:tcW w:w="813"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5</w:t>
            </w:r>
          </w:p>
        </w:tc>
        <w:tc>
          <w:tcPr>
            <w:tcW w:w="415"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1</w:t>
            </w:r>
          </w:p>
        </w:tc>
        <w:tc>
          <w:tcPr>
            <w:tcW w:w="847"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1</w:t>
            </w:r>
          </w:p>
        </w:tc>
        <w:tc>
          <w:tcPr>
            <w:tcW w:w="1429"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3*5=15</w:t>
            </w:r>
          </w:p>
        </w:tc>
        <w:tc>
          <w:tcPr>
            <w:tcW w:w="524"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325</w:t>
            </w:r>
          </w:p>
        </w:tc>
        <w:tc>
          <w:tcPr>
            <w:tcW w:w="370" w:type="pct"/>
          </w:tcPr>
          <w:p w:rsidR="006E6B9D" w:rsidRPr="001E3C20" w:rsidRDefault="00740F54" w:rsidP="007531DF">
            <w:pPr>
              <w:spacing w:before="0" w:after="0" w:line="360" w:lineRule="auto"/>
              <w:rPr>
                <w:rFonts w:eastAsia="Times New Roman"/>
                <w:sz w:val="20"/>
                <w:szCs w:val="20"/>
              </w:rPr>
            </w:pPr>
            <w:r>
              <w:rPr>
                <w:rFonts w:eastAsia="Times New Roman"/>
                <w:sz w:val="20"/>
                <w:szCs w:val="20"/>
              </w:rPr>
              <w:t>350</w:t>
            </w:r>
          </w:p>
        </w:tc>
      </w:tr>
      <w:tr w:rsidR="006E6B9D" w:rsidRPr="001E3C20" w:rsidTr="007531DF">
        <w:trPr>
          <w:jc w:val="center"/>
        </w:trPr>
        <w:tc>
          <w:tcPr>
            <w:tcW w:w="604" w:type="pct"/>
            <w:tcBorders>
              <w:bottom w:val="single" w:sz="4" w:space="0" w:color="auto"/>
            </w:tcBorders>
          </w:tcPr>
          <w:p w:rsidR="006E6B9D" w:rsidRPr="001E3C20" w:rsidRDefault="006E6B9D" w:rsidP="007531DF">
            <w:pPr>
              <w:spacing w:before="0" w:after="0" w:line="360" w:lineRule="auto"/>
              <w:rPr>
                <w:rFonts w:eastAsia="Times New Roman"/>
                <w:b/>
                <w:sz w:val="20"/>
                <w:szCs w:val="20"/>
              </w:rPr>
            </w:pPr>
            <w:r w:rsidRPr="001E3C20">
              <w:rPr>
                <w:rFonts w:eastAsia="Times New Roman"/>
                <w:b/>
                <w:sz w:val="20"/>
                <w:szCs w:val="20"/>
              </w:rPr>
              <w:t>Total</w:t>
            </w:r>
          </w:p>
        </w:tc>
        <w:tc>
          <w:tcPr>
            <w:tcW w:w="813" w:type="pct"/>
            <w:tcBorders>
              <w:bottom w:val="single" w:sz="4" w:space="0" w:color="auto"/>
            </w:tcBorders>
          </w:tcPr>
          <w:p w:rsidR="006E6B9D" w:rsidRPr="001E3C20" w:rsidRDefault="006E6B9D" w:rsidP="007531DF">
            <w:pPr>
              <w:spacing w:before="0" w:after="0" w:line="360" w:lineRule="auto"/>
              <w:rPr>
                <w:rFonts w:eastAsia="Times New Roman"/>
                <w:b/>
                <w:sz w:val="20"/>
                <w:szCs w:val="20"/>
              </w:rPr>
            </w:pPr>
            <w:r w:rsidRPr="001E3C20">
              <w:rPr>
                <w:rFonts w:eastAsia="Times New Roman"/>
                <w:b/>
                <w:sz w:val="20"/>
                <w:szCs w:val="20"/>
              </w:rPr>
              <w:t>35</w:t>
            </w:r>
          </w:p>
        </w:tc>
        <w:tc>
          <w:tcPr>
            <w:tcW w:w="415" w:type="pct"/>
            <w:tcBorders>
              <w:bottom w:val="single" w:sz="4" w:space="0" w:color="auto"/>
            </w:tcBorders>
          </w:tcPr>
          <w:p w:rsidR="006E6B9D" w:rsidRPr="001E3C20" w:rsidRDefault="006E6B9D" w:rsidP="007531DF">
            <w:pPr>
              <w:spacing w:before="0" w:after="0" w:line="360" w:lineRule="auto"/>
              <w:rPr>
                <w:rFonts w:eastAsia="Times New Roman"/>
                <w:b/>
                <w:sz w:val="20"/>
                <w:szCs w:val="20"/>
              </w:rPr>
            </w:pPr>
            <w:r w:rsidRPr="001E3C20">
              <w:rPr>
                <w:rFonts w:eastAsia="Times New Roman"/>
                <w:b/>
                <w:sz w:val="20"/>
                <w:szCs w:val="20"/>
              </w:rPr>
              <w:t>35</w:t>
            </w:r>
          </w:p>
        </w:tc>
        <w:tc>
          <w:tcPr>
            <w:tcW w:w="847" w:type="pct"/>
            <w:tcBorders>
              <w:bottom w:val="single" w:sz="4" w:space="0" w:color="auto"/>
            </w:tcBorders>
          </w:tcPr>
          <w:p w:rsidR="006E6B9D" w:rsidRPr="001E3C20" w:rsidRDefault="006E6B9D" w:rsidP="007531DF">
            <w:pPr>
              <w:spacing w:before="0" w:after="0" w:line="360" w:lineRule="auto"/>
              <w:rPr>
                <w:rFonts w:eastAsia="Times New Roman"/>
                <w:b/>
                <w:sz w:val="20"/>
                <w:szCs w:val="20"/>
              </w:rPr>
            </w:pPr>
            <w:r w:rsidRPr="001E3C20">
              <w:rPr>
                <w:rFonts w:eastAsia="Times New Roman"/>
                <w:b/>
                <w:sz w:val="20"/>
                <w:szCs w:val="20"/>
              </w:rPr>
              <w:t>35</w:t>
            </w:r>
          </w:p>
        </w:tc>
        <w:tc>
          <w:tcPr>
            <w:tcW w:w="1429" w:type="pct"/>
            <w:tcBorders>
              <w:bottom w:val="single" w:sz="4" w:space="0" w:color="auto"/>
            </w:tcBorders>
          </w:tcPr>
          <w:p w:rsidR="006E6B9D" w:rsidRPr="001E3C20" w:rsidRDefault="006E6B9D" w:rsidP="007531DF">
            <w:pPr>
              <w:spacing w:before="0" w:after="0" w:line="360" w:lineRule="auto"/>
              <w:rPr>
                <w:rFonts w:eastAsia="Times New Roman"/>
                <w:b/>
                <w:sz w:val="20"/>
                <w:szCs w:val="20"/>
              </w:rPr>
            </w:pPr>
            <w:r w:rsidRPr="001E3C20">
              <w:rPr>
                <w:rFonts w:eastAsia="Times New Roman"/>
                <w:b/>
                <w:sz w:val="20"/>
                <w:szCs w:val="20"/>
              </w:rPr>
              <w:t>111</w:t>
            </w:r>
          </w:p>
        </w:tc>
        <w:tc>
          <w:tcPr>
            <w:tcW w:w="524" w:type="pct"/>
            <w:tcBorders>
              <w:bottom w:val="single" w:sz="4" w:space="0" w:color="auto"/>
            </w:tcBorders>
          </w:tcPr>
          <w:p w:rsidR="006E6B9D" w:rsidRPr="001E3C20" w:rsidRDefault="006E6B9D" w:rsidP="007531DF">
            <w:pPr>
              <w:spacing w:before="0" w:after="0" w:line="360" w:lineRule="auto"/>
              <w:rPr>
                <w:rFonts w:eastAsia="Times New Roman"/>
                <w:b/>
                <w:sz w:val="20"/>
                <w:szCs w:val="20"/>
              </w:rPr>
            </w:pPr>
            <w:r w:rsidRPr="001E3C20">
              <w:rPr>
                <w:rFonts w:eastAsia="Times New Roman"/>
                <w:b/>
                <w:sz w:val="20"/>
                <w:szCs w:val="20"/>
              </w:rPr>
              <w:t>2990</w:t>
            </w:r>
          </w:p>
        </w:tc>
        <w:tc>
          <w:tcPr>
            <w:tcW w:w="370" w:type="pct"/>
            <w:tcBorders>
              <w:bottom w:val="single" w:sz="4" w:space="0" w:color="auto"/>
            </w:tcBorders>
          </w:tcPr>
          <w:p w:rsidR="006E6B9D" w:rsidRPr="001E3C20" w:rsidRDefault="006E6B9D" w:rsidP="007531DF">
            <w:pPr>
              <w:spacing w:before="0" w:after="0" w:line="360" w:lineRule="auto"/>
              <w:rPr>
                <w:rFonts w:eastAsia="Times New Roman"/>
                <w:b/>
                <w:sz w:val="20"/>
                <w:szCs w:val="20"/>
              </w:rPr>
            </w:pPr>
            <w:r w:rsidRPr="001E3C20">
              <w:rPr>
                <w:rFonts w:eastAsia="Times New Roman"/>
                <w:b/>
                <w:sz w:val="20"/>
                <w:szCs w:val="20"/>
              </w:rPr>
              <w:t>3171</w:t>
            </w:r>
          </w:p>
        </w:tc>
      </w:tr>
    </w:tbl>
    <w:p w:rsidR="006E6B9D" w:rsidRPr="001E3C20" w:rsidRDefault="006E6B9D" w:rsidP="006E6B9D">
      <w:pPr>
        <w:pStyle w:val="NoSpacing"/>
        <w:rPr>
          <w:rFonts w:cs="Times New Roman"/>
        </w:rPr>
      </w:pPr>
      <w:r w:rsidRPr="001E3C20">
        <w:rPr>
          <w:rFonts w:cs="Times New Roman"/>
        </w:rPr>
        <w:tab/>
      </w:r>
    </w:p>
    <w:p w:rsidR="006E6B9D" w:rsidRPr="001E3C20" w:rsidRDefault="006E6B9D" w:rsidP="006E6B9D">
      <w:pPr>
        <w:pStyle w:val="Heading2"/>
      </w:pPr>
      <w:bookmarkStart w:id="18" w:name="_Toc230811115"/>
      <w:r w:rsidRPr="001E3C20">
        <w:t>3.5 Sample and Sampling Procedures</w:t>
      </w:r>
      <w:bookmarkEnd w:id="18"/>
    </w:p>
    <w:p w:rsidR="006E6B9D" w:rsidRPr="001E3C20" w:rsidRDefault="006E6B9D" w:rsidP="006E6B9D">
      <w:pPr>
        <w:rPr>
          <w:rFonts w:cs="Times New Roman"/>
        </w:rPr>
      </w:pPr>
      <w:r w:rsidRPr="001E3C20">
        <w:rPr>
          <w:rFonts w:cs="Times New Roman"/>
          <w:sz w:val="24"/>
          <w:szCs w:val="24"/>
        </w:rPr>
        <w:t xml:space="preserve">A sample size represents a subset of the target population selected through systematic scientific methods to ensure collection of data with requisite characteristics for meaningful analysis (Casteel &amp; </w:t>
      </w:r>
      <w:proofErr w:type="spellStart"/>
      <w:r w:rsidRPr="001E3C20">
        <w:rPr>
          <w:rFonts w:cs="Times New Roman"/>
          <w:sz w:val="24"/>
          <w:szCs w:val="24"/>
        </w:rPr>
        <w:t>Bridier</w:t>
      </w:r>
      <w:proofErr w:type="spellEnd"/>
      <w:r w:rsidRPr="001E3C20">
        <w:rPr>
          <w:rFonts w:cs="Times New Roman"/>
          <w:sz w:val="24"/>
          <w:szCs w:val="24"/>
        </w:rPr>
        <w:t xml:space="preserve">, 2021). The importance of selecting a representative sample is emphasized by </w:t>
      </w:r>
      <w:proofErr w:type="spellStart"/>
      <w:r w:rsidRPr="001E3C20">
        <w:rPr>
          <w:rFonts w:cs="Times New Roman"/>
          <w:sz w:val="24"/>
          <w:szCs w:val="24"/>
        </w:rPr>
        <w:t>Asiamah</w:t>
      </w:r>
      <w:proofErr w:type="spellEnd"/>
      <w:r w:rsidRPr="001E3C20">
        <w:rPr>
          <w:rFonts w:cs="Times New Roman"/>
          <w:sz w:val="24"/>
          <w:szCs w:val="24"/>
        </w:rPr>
        <w:t xml:space="preserve"> et al. (2017), who advocated for establishing a comprehensive sampling frame that enumerates all population units eligible for sample inclusion. For this study, the appropriate sample size was determined using the Yamane Taro (1967) formula as used by </w:t>
      </w:r>
      <w:proofErr w:type="spellStart"/>
      <w:r w:rsidRPr="001E3C20">
        <w:rPr>
          <w:rFonts w:cs="Times New Roman"/>
          <w:sz w:val="24"/>
          <w:szCs w:val="24"/>
        </w:rPr>
        <w:t>Chaokromthong</w:t>
      </w:r>
      <w:proofErr w:type="spellEnd"/>
      <w:r w:rsidRPr="001E3C20">
        <w:rPr>
          <w:rFonts w:cs="Times New Roman"/>
          <w:sz w:val="24"/>
          <w:szCs w:val="24"/>
        </w:rPr>
        <w:t xml:space="preserve"> and </w:t>
      </w:r>
      <w:proofErr w:type="spellStart"/>
      <w:r w:rsidRPr="001E3C20">
        <w:rPr>
          <w:rFonts w:cs="Times New Roman"/>
          <w:sz w:val="24"/>
          <w:szCs w:val="24"/>
        </w:rPr>
        <w:t>Sintao</w:t>
      </w:r>
      <w:proofErr w:type="spellEnd"/>
      <w:r w:rsidRPr="001E3C20">
        <w:rPr>
          <w:rFonts w:cs="Times New Roman"/>
          <w:sz w:val="24"/>
          <w:szCs w:val="24"/>
        </w:rPr>
        <w:t xml:space="preserve"> (2021), which provides a statistically sound approach for calculating optimal sample dimensions</w:t>
      </w:r>
      <w:r w:rsidRPr="001E3C20">
        <w:rPr>
          <w:rFonts w:cs="Times New Roman"/>
        </w:rPr>
        <w:t xml:space="preserve"> </w:t>
      </w:r>
      <w:r w:rsidRPr="001E3C20">
        <w:rPr>
          <w:rFonts w:cs="Times New Roman"/>
          <w:sz w:val="24"/>
          <w:szCs w:val="24"/>
        </w:rPr>
        <w:t>as indicated subsequently,</w:t>
      </w:r>
    </w:p>
    <w:p w:rsidR="006E6B9D" w:rsidRPr="001E3C20" w:rsidRDefault="006E6B9D" w:rsidP="006E6B9D">
      <w:pPr>
        <w:rPr>
          <w:rFonts w:cs="Times New Roman"/>
        </w:rPr>
      </w:pPr>
      <w:r w:rsidRPr="001E3C20">
        <w:rPr>
          <w:rFonts w:eastAsia="Times New Roman" w:cs="Times New Roman"/>
          <w:noProof/>
          <w:sz w:val="24"/>
          <w:szCs w:val="24"/>
        </w:rPr>
        <w:drawing>
          <wp:inline distT="0" distB="0" distL="0" distR="0" wp14:anchorId="057D74C2" wp14:editId="38F4E0A9">
            <wp:extent cx="926465" cy="463550"/>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26465" cy="463550"/>
                    </a:xfrm>
                    <a:prstGeom prst="rect">
                      <a:avLst/>
                    </a:prstGeom>
                    <a:noFill/>
                  </pic:spPr>
                </pic:pic>
              </a:graphicData>
            </a:graphic>
          </wp:inline>
        </w:drawing>
      </w:r>
    </w:p>
    <w:p w:rsidR="006E6B9D" w:rsidRPr="001E3C20" w:rsidRDefault="006E6B9D" w:rsidP="006E6B9D">
      <w:pPr>
        <w:rPr>
          <w:rFonts w:cs="Times New Roman"/>
          <w:sz w:val="24"/>
          <w:szCs w:val="24"/>
        </w:rPr>
      </w:pPr>
      <w:r w:rsidRPr="001E3C20">
        <w:rPr>
          <w:rFonts w:cs="Times New Roman"/>
          <w:sz w:val="24"/>
          <w:szCs w:val="24"/>
        </w:rPr>
        <w:t>n=3171/1+3171(0.05)</w:t>
      </w:r>
      <w:r w:rsidRPr="001E3C20">
        <w:rPr>
          <w:rFonts w:cs="Times New Roman"/>
          <w:sz w:val="24"/>
          <w:szCs w:val="24"/>
          <w:vertAlign w:val="superscript"/>
        </w:rPr>
        <w:t xml:space="preserve">2      </w:t>
      </w:r>
      <w:r w:rsidRPr="001E3C20">
        <w:rPr>
          <w:rFonts w:cs="Times New Roman"/>
          <w:sz w:val="24"/>
          <w:szCs w:val="24"/>
        </w:rPr>
        <w:t>= 355</w:t>
      </w:r>
    </w:p>
    <w:p w:rsidR="006E6B9D" w:rsidRPr="001E3C20" w:rsidRDefault="006E6B9D" w:rsidP="006E6B9D">
      <w:pPr>
        <w:rPr>
          <w:rFonts w:cs="Times New Roman"/>
          <w:sz w:val="24"/>
          <w:szCs w:val="24"/>
        </w:rPr>
      </w:pPr>
      <w:r w:rsidRPr="001E3C20">
        <w:rPr>
          <w:rFonts w:cs="Times New Roman"/>
          <w:sz w:val="24"/>
          <w:szCs w:val="24"/>
        </w:rPr>
        <w:lastRenderedPageBreak/>
        <w:t xml:space="preserve">On substitution and calculations, the sample size was 355 respondents. </w:t>
      </w:r>
    </w:p>
    <w:p w:rsidR="006E6B9D" w:rsidRPr="001E3C20" w:rsidRDefault="006E6B9D" w:rsidP="006E6B9D">
      <w:pPr>
        <w:rPr>
          <w:rFonts w:cs="Times New Roman"/>
        </w:rPr>
      </w:pPr>
      <w:r w:rsidRPr="001E3C20">
        <w:rPr>
          <w:rFonts w:cs="Times New Roman"/>
        </w:rPr>
        <w:t>Pandey and Pandey (2021) define sampling procedure as the systematic process through which units are selected from a population for purposes of making inferences and conclusions about the entire population. Since the study area was categorized into eight geographical regions, the researcher employed stratified sampling to ensure equitable regional representation. The eight regions formed the strata, after which proportional selection of public universities was undertaken from each region to guarantee adequate representation across the country. Thereafter, simple random sampling was used to select universities from each region, giving every public university an equal probability of participation and minimizing selection bias.</w:t>
      </w:r>
    </w:p>
    <w:p w:rsidR="006E6B9D" w:rsidRPr="001E3C20" w:rsidRDefault="006E6B9D" w:rsidP="006E6B9D">
      <w:pPr>
        <w:rPr>
          <w:rFonts w:cs="Times New Roman"/>
        </w:rPr>
      </w:pPr>
      <w:r w:rsidRPr="001E3C20">
        <w:rPr>
          <w:rFonts w:cs="Times New Roman"/>
        </w:rPr>
        <w:t xml:space="preserve">The study further utilized purposive sampling to select key informants who possessed specialized knowledge relevant to the study objectives. These included Deputy Vice Chancellors (DVCs) in charge of Academic and Student Affairs, Directors of Research and Linkages, and officers from Corporate Affairs departments such as marketing and public relations officers. Purposive sampling enabled the researcher to obtain in-depth information from respondents occupying strategic administrative and communication positions within universities. Kumar and </w:t>
      </w:r>
      <w:proofErr w:type="spellStart"/>
      <w:r w:rsidRPr="001E3C20">
        <w:rPr>
          <w:rFonts w:cs="Times New Roman"/>
        </w:rPr>
        <w:t>Praveenakumar</w:t>
      </w:r>
      <w:proofErr w:type="spellEnd"/>
      <w:r w:rsidRPr="001E3C20">
        <w:rPr>
          <w:rFonts w:cs="Times New Roman"/>
        </w:rPr>
        <w:t xml:space="preserve"> (2025) observe that purposive sampling is appropriate where participants are selected based on their expertise, experience, and relevance to the phenomenon under investigation.</w:t>
      </w:r>
    </w:p>
    <w:p w:rsidR="006E6B9D" w:rsidRPr="001E3C20" w:rsidRDefault="006E6B9D" w:rsidP="006E6B9D">
      <w:pPr>
        <w:rPr>
          <w:rFonts w:cs="Times New Roman"/>
        </w:rPr>
      </w:pPr>
      <w:r w:rsidRPr="001E3C20">
        <w:rPr>
          <w:rFonts w:cs="Times New Roman"/>
        </w:rPr>
        <w:t xml:space="preserve">For student respondents, simple random sampling was adopted to ensure that all students had an equal chance of being selected. The students were further categorized according to their years of study (Year One to Year Four) to guarantee representation across all levels of study. The questionnaires were administered exclusively to students because they constituted the primary unit of quantitative analysis and were best positioned to provide measurable perceptions and experiences relevant to the study variables. Key informants comprising DVCs, Directors of </w:t>
      </w:r>
      <w:r w:rsidRPr="001E3C20">
        <w:rPr>
          <w:rFonts w:cs="Times New Roman"/>
        </w:rPr>
        <w:lastRenderedPageBreak/>
        <w:t>Research and Linkages, and Corporate Affairs officers participated through interviews to generate qualitative insights that complemented the quantitative findings.</w:t>
      </w:r>
    </w:p>
    <w:p w:rsidR="006E6B9D" w:rsidRPr="001E3C20" w:rsidRDefault="006E6B9D" w:rsidP="006E6B9D">
      <w:pPr>
        <w:pStyle w:val="Heading4"/>
        <w:rPr>
          <w:rFonts w:ascii="Times New Roman" w:hAnsi="Times New Roman" w:cs="Times New Roman"/>
          <w:b/>
          <w:i w:val="0"/>
          <w:color w:val="auto"/>
        </w:rPr>
      </w:pPr>
      <w:bookmarkStart w:id="19" w:name="_Toc229492440"/>
      <w:r w:rsidRPr="001E3C20">
        <w:rPr>
          <w:rFonts w:ascii="Times New Roman" w:hAnsi="Times New Roman" w:cs="Times New Roman"/>
          <w:color w:val="auto"/>
        </w:rPr>
        <w:t>Table 3.3: Sample size frame</w:t>
      </w:r>
      <w:bookmarkEnd w:id="19"/>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2692"/>
        <w:gridCol w:w="2081"/>
      </w:tblGrid>
      <w:tr w:rsidR="006E6B9D" w:rsidRPr="001E3C20" w:rsidTr="007531DF">
        <w:tc>
          <w:tcPr>
            <w:tcW w:w="4045" w:type="dxa"/>
            <w:tcBorders>
              <w:top w:val="single" w:sz="4" w:space="0" w:color="auto"/>
              <w:bottom w:val="single" w:sz="4" w:space="0" w:color="auto"/>
            </w:tcBorders>
          </w:tcPr>
          <w:p w:rsidR="006E6B9D" w:rsidRPr="001E3C20" w:rsidRDefault="006E6B9D" w:rsidP="007531DF">
            <w:pPr>
              <w:spacing w:before="0" w:after="0" w:line="360" w:lineRule="auto"/>
              <w:rPr>
                <w:rFonts w:eastAsia="Times New Roman"/>
                <w:b/>
                <w:sz w:val="20"/>
                <w:szCs w:val="20"/>
              </w:rPr>
            </w:pPr>
            <w:r w:rsidRPr="001E3C20">
              <w:rPr>
                <w:rFonts w:eastAsia="Times New Roman"/>
                <w:b/>
                <w:sz w:val="20"/>
                <w:szCs w:val="20"/>
              </w:rPr>
              <w:t xml:space="preserve">  Category </w:t>
            </w:r>
          </w:p>
        </w:tc>
        <w:tc>
          <w:tcPr>
            <w:tcW w:w="2790" w:type="dxa"/>
            <w:tcBorders>
              <w:top w:val="single" w:sz="4" w:space="0" w:color="auto"/>
              <w:bottom w:val="single" w:sz="4" w:space="0" w:color="auto"/>
            </w:tcBorders>
          </w:tcPr>
          <w:p w:rsidR="006E6B9D" w:rsidRPr="001E3C20" w:rsidRDefault="006E6B9D" w:rsidP="007531DF">
            <w:pPr>
              <w:spacing w:before="0" w:after="0" w:line="360" w:lineRule="auto"/>
              <w:rPr>
                <w:rFonts w:eastAsia="Times New Roman"/>
                <w:b/>
                <w:sz w:val="20"/>
                <w:szCs w:val="20"/>
              </w:rPr>
            </w:pPr>
            <w:r w:rsidRPr="001E3C20">
              <w:rPr>
                <w:rFonts w:eastAsia="Times New Roman"/>
                <w:b/>
                <w:sz w:val="20"/>
                <w:szCs w:val="20"/>
              </w:rPr>
              <w:t xml:space="preserve">Target </w:t>
            </w:r>
          </w:p>
          <w:p w:rsidR="006E6B9D" w:rsidRPr="001E3C20" w:rsidRDefault="006E6B9D" w:rsidP="007531DF">
            <w:pPr>
              <w:spacing w:before="0" w:after="0" w:line="360" w:lineRule="auto"/>
              <w:rPr>
                <w:rFonts w:eastAsia="Times New Roman"/>
                <w:b/>
                <w:sz w:val="20"/>
                <w:szCs w:val="20"/>
              </w:rPr>
            </w:pPr>
            <w:r w:rsidRPr="001E3C20">
              <w:rPr>
                <w:rFonts w:eastAsia="Times New Roman"/>
                <w:b/>
                <w:sz w:val="20"/>
                <w:szCs w:val="20"/>
              </w:rPr>
              <w:t>Population</w:t>
            </w:r>
          </w:p>
        </w:tc>
        <w:tc>
          <w:tcPr>
            <w:tcW w:w="2160" w:type="dxa"/>
            <w:tcBorders>
              <w:top w:val="single" w:sz="4" w:space="0" w:color="auto"/>
              <w:bottom w:val="single" w:sz="4" w:space="0" w:color="auto"/>
            </w:tcBorders>
          </w:tcPr>
          <w:p w:rsidR="006E6B9D" w:rsidRPr="001E3C20" w:rsidRDefault="006E6B9D" w:rsidP="007531DF">
            <w:pPr>
              <w:spacing w:before="0" w:after="0" w:line="360" w:lineRule="auto"/>
              <w:rPr>
                <w:rFonts w:eastAsia="Times New Roman"/>
                <w:b/>
                <w:sz w:val="20"/>
                <w:szCs w:val="20"/>
              </w:rPr>
            </w:pPr>
            <w:r w:rsidRPr="001E3C20">
              <w:rPr>
                <w:rFonts w:eastAsia="Times New Roman"/>
                <w:b/>
                <w:sz w:val="20"/>
                <w:szCs w:val="20"/>
              </w:rPr>
              <w:t xml:space="preserve">Sample size </w:t>
            </w:r>
          </w:p>
        </w:tc>
      </w:tr>
      <w:tr w:rsidR="001E3C20" w:rsidRPr="001E3C20" w:rsidTr="007531DF">
        <w:tc>
          <w:tcPr>
            <w:tcW w:w="4045" w:type="dxa"/>
            <w:tcBorders>
              <w:top w:val="single" w:sz="4" w:space="0" w:color="auto"/>
            </w:tcBorders>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DVCs</w:t>
            </w:r>
          </w:p>
        </w:tc>
        <w:tc>
          <w:tcPr>
            <w:tcW w:w="2790" w:type="dxa"/>
            <w:tcBorders>
              <w:top w:val="single" w:sz="4" w:space="0" w:color="auto"/>
            </w:tcBorders>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35</w:t>
            </w:r>
          </w:p>
        </w:tc>
        <w:tc>
          <w:tcPr>
            <w:tcW w:w="2160" w:type="dxa"/>
            <w:tcBorders>
              <w:top w:val="single" w:sz="4" w:space="0" w:color="auto"/>
            </w:tcBorders>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4</w:t>
            </w:r>
          </w:p>
        </w:tc>
      </w:tr>
      <w:tr w:rsidR="001E3C20" w:rsidRPr="001E3C20" w:rsidTr="007531DF">
        <w:tc>
          <w:tcPr>
            <w:tcW w:w="4045" w:type="dxa"/>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 xml:space="preserve">Directors R and linkages </w:t>
            </w:r>
          </w:p>
        </w:tc>
        <w:tc>
          <w:tcPr>
            <w:tcW w:w="2790" w:type="dxa"/>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35</w:t>
            </w:r>
          </w:p>
        </w:tc>
        <w:tc>
          <w:tcPr>
            <w:tcW w:w="2160" w:type="dxa"/>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4</w:t>
            </w:r>
          </w:p>
        </w:tc>
      </w:tr>
      <w:tr w:rsidR="001E3C20" w:rsidRPr="001E3C20" w:rsidTr="007531DF">
        <w:tc>
          <w:tcPr>
            <w:tcW w:w="4045" w:type="dxa"/>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Corporate affairs (corporate affairs marketing, PR officers)</w:t>
            </w:r>
          </w:p>
        </w:tc>
        <w:tc>
          <w:tcPr>
            <w:tcW w:w="2790" w:type="dxa"/>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111</w:t>
            </w:r>
          </w:p>
        </w:tc>
        <w:tc>
          <w:tcPr>
            <w:tcW w:w="2160" w:type="dxa"/>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13</w:t>
            </w:r>
          </w:p>
        </w:tc>
      </w:tr>
      <w:tr w:rsidR="001E3C20" w:rsidRPr="001E3C20" w:rsidTr="007531DF">
        <w:trPr>
          <w:trHeight w:val="80"/>
        </w:trPr>
        <w:tc>
          <w:tcPr>
            <w:tcW w:w="4045" w:type="dxa"/>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Students</w:t>
            </w:r>
          </w:p>
        </w:tc>
        <w:tc>
          <w:tcPr>
            <w:tcW w:w="2790" w:type="dxa"/>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2990</w:t>
            </w:r>
          </w:p>
        </w:tc>
        <w:tc>
          <w:tcPr>
            <w:tcW w:w="2160" w:type="dxa"/>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334</w:t>
            </w:r>
          </w:p>
        </w:tc>
      </w:tr>
      <w:tr w:rsidR="006E6B9D" w:rsidRPr="001E3C20" w:rsidTr="007531DF">
        <w:trPr>
          <w:trHeight w:val="80"/>
        </w:trPr>
        <w:tc>
          <w:tcPr>
            <w:tcW w:w="4045" w:type="dxa"/>
            <w:tcBorders>
              <w:bottom w:val="single" w:sz="4" w:space="0" w:color="auto"/>
            </w:tcBorders>
          </w:tcPr>
          <w:p w:rsidR="006E6B9D" w:rsidRPr="001E3C20" w:rsidRDefault="006E6B9D" w:rsidP="007531DF">
            <w:pPr>
              <w:tabs>
                <w:tab w:val="left" w:pos="1095"/>
              </w:tabs>
              <w:spacing w:before="0" w:after="0" w:line="360" w:lineRule="auto"/>
              <w:rPr>
                <w:rFonts w:eastAsia="Times New Roman"/>
                <w:b/>
                <w:sz w:val="20"/>
                <w:szCs w:val="20"/>
              </w:rPr>
            </w:pPr>
            <w:r w:rsidRPr="001E3C20">
              <w:rPr>
                <w:rFonts w:eastAsia="Times New Roman"/>
                <w:b/>
                <w:sz w:val="20"/>
                <w:szCs w:val="20"/>
              </w:rPr>
              <w:t xml:space="preserve">Total </w:t>
            </w:r>
            <w:r w:rsidRPr="001E3C20">
              <w:rPr>
                <w:rFonts w:eastAsia="Times New Roman"/>
                <w:b/>
                <w:sz w:val="20"/>
                <w:szCs w:val="20"/>
              </w:rPr>
              <w:tab/>
            </w:r>
          </w:p>
        </w:tc>
        <w:tc>
          <w:tcPr>
            <w:tcW w:w="2790" w:type="dxa"/>
            <w:tcBorders>
              <w:bottom w:val="single" w:sz="4" w:space="0" w:color="auto"/>
            </w:tcBorders>
          </w:tcPr>
          <w:p w:rsidR="006E6B9D" w:rsidRPr="001E3C20" w:rsidRDefault="006E6B9D" w:rsidP="007531DF">
            <w:pPr>
              <w:spacing w:before="0" w:after="0" w:line="360" w:lineRule="auto"/>
              <w:rPr>
                <w:rFonts w:eastAsia="Times New Roman"/>
                <w:b/>
                <w:sz w:val="20"/>
                <w:szCs w:val="20"/>
              </w:rPr>
            </w:pPr>
            <w:r w:rsidRPr="001E3C20">
              <w:rPr>
                <w:rFonts w:eastAsia="Times New Roman"/>
                <w:b/>
                <w:sz w:val="20"/>
                <w:szCs w:val="20"/>
              </w:rPr>
              <w:t>3171</w:t>
            </w:r>
          </w:p>
        </w:tc>
        <w:tc>
          <w:tcPr>
            <w:tcW w:w="2160" w:type="dxa"/>
            <w:tcBorders>
              <w:bottom w:val="single" w:sz="4" w:space="0" w:color="auto"/>
            </w:tcBorders>
          </w:tcPr>
          <w:p w:rsidR="006E6B9D" w:rsidRPr="001E3C20" w:rsidRDefault="006E6B9D" w:rsidP="007531DF">
            <w:pPr>
              <w:spacing w:before="0" w:after="0" w:line="360" w:lineRule="auto"/>
              <w:rPr>
                <w:rFonts w:eastAsia="Times New Roman"/>
                <w:b/>
                <w:sz w:val="20"/>
                <w:szCs w:val="20"/>
              </w:rPr>
            </w:pPr>
            <w:r w:rsidRPr="001E3C20">
              <w:rPr>
                <w:rFonts w:eastAsia="Times New Roman"/>
                <w:b/>
                <w:sz w:val="20"/>
                <w:szCs w:val="20"/>
              </w:rPr>
              <w:t>355</w:t>
            </w:r>
          </w:p>
        </w:tc>
      </w:tr>
    </w:tbl>
    <w:p w:rsidR="006E6B9D" w:rsidRPr="001E3C20" w:rsidRDefault="006E6B9D" w:rsidP="006E6B9D">
      <w:pPr>
        <w:rPr>
          <w:rFonts w:cs="Times New Roman"/>
          <w:b/>
          <w:sz w:val="24"/>
          <w:szCs w:val="24"/>
        </w:rPr>
      </w:pPr>
      <w:r w:rsidRPr="001E3C20">
        <w:rPr>
          <w:rFonts w:cs="Times New Roman"/>
          <w:b/>
          <w:sz w:val="24"/>
          <w:szCs w:val="24"/>
        </w:rPr>
        <w:t xml:space="preserve"> Source; Researcher computation (2025)</w:t>
      </w:r>
    </w:p>
    <w:p w:rsidR="006E6B9D" w:rsidRPr="001E3C20" w:rsidRDefault="006E6B9D" w:rsidP="006E6B9D">
      <w:pPr>
        <w:pStyle w:val="Heading2"/>
      </w:pPr>
      <w:bookmarkStart w:id="20" w:name="_Toc230811116"/>
      <w:r w:rsidRPr="001E3C20">
        <w:t>3.6 Data Collection Instruments</w:t>
      </w:r>
      <w:bookmarkEnd w:id="20"/>
      <w:r w:rsidRPr="001E3C20">
        <w:t xml:space="preserve"> </w:t>
      </w:r>
    </w:p>
    <w:p w:rsidR="006E6B9D" w:rsidRPr="001E3C20" w:rsidRDefault="006E6B9D" w:rsidP="006E6B9D">
      <w:pPr>
        <w:rPr>
          <w:rFonts w:cs="Times New Roman"/>
        </w:rPr>
      </w:pPr>
      <w:r w:rsidRPr="001E3C20">
        <w:rPr>
          <w:rFonts w:cs="Times New Roman"/>
        </w:rPr>
        <w:t>The study utilized both quantitative and qualitative data collection instruments in order to obtain comprehensive information regarding the research problem. Primary data was collected using structured questionnaires and interview schedules. The use of multiple instruments enhanced triangulation and improved the validity and reliability of the findings by capturing both numerical data and in-depth perspectives from respondents.</w:t>
      </w:r>
    </w:p>
    <w:p w:rsidR="006E6B9D" w:rsidRPr="001E3C20" w:rsidRDefault="006E6B9D" w:rsidP="006E6B9D">
      <w:pPr>
        <w:pStyle w:val="Heading3"/>
        <w:rPr>
          <w:rFonts w:ascii="Times New Roman" w:hAnsi="Times New Roman" w:cs="Times New Roman"/>
          <w:b/>
          <w:color w:val="auto"/>
        </w:rPr>
      </w:pPr>
      <w:bookmarkStart w:id="21" w:name="_Toc230811117"/>
      <w:r w:rsidRPr="001E3C20">
        <w:rPr>
          <w:rFonts w:ascii="Times New Roman" w:hAnsi="Times New Roman" w:cs="Times New Roman"/>
          <w:b/>
          <w:color w:val="auto"/>
        </w:rPr>
        <w:t>3.6.1 Questionnaire for Students</w:t>
      </w:r>
      <w:bookmarkEnd w:id="21"/>
    </w:p>
    <w:p w:rsidR="006E6B9D" w:rsidRPr="001E3C20" w:rsidRDefault="006E6B9D" w:rsidP="006E6B9D">
      <w:pPr>
        <w:rPr>
          <w:rFonts w:cs="Times New Roman"/>
        </w:rPr>
      </w:pPr>
      <w:r w:rsidRPr="001E3C20">
        <w:rPr>
          <w:rFonts w:cs="Times New Roman"/>
        </w:rPr>
        <w:t>Structured questionnaires were administered exclusively to the 334 student respondents selected for the study. The questionnaire method was considered appropriate because it facilitates collection of standardized data from a large population within a relatively short period of time while ensuring uniformity of responses (Morin et al., 2021). The instrument enabled the researcher to gather quantitative data concerning students’ perceptions, experiences, and opinions related to the variables under investigation.</w:t>
      </w:r>
    </w:p>
    <w:p w:rsidR="006E6B9D" w:rsidRPr="001E3C20" w:rsidRDefault="006E6B9D" w:rsidP="006E6B9D">
      <w:pPr>
        <w:rPr>
          <w:rFonts w:cs="Times New Roman"/>
        </w:rPr>
      </w:pPr>
      <w:r w:rsidRPr="001E3C20">
        <w:rPr>
          <w:rFonts w:cs="Times New Roman"/>
        </w:rPr>
        <w:lastRenderedPageBreak/>
        <w:t>The questionnaire was divided into several sections. Section A captured demographic information such as gender, age, year of study, and university category. Sections B through E contained items structured according to the specific objectives and study variables. The instrument consisted mainly of closed-ended questions based on a five-point Likert scale ranging from Strongly Agree (5), Agree (4), Neutral (3), Disagree (2), to Strongly Disagree (1). The Likert scale was appropriate because it enabled respondents to express varying levels of agreement with the statements presented while facilitating quantitative analysis of attitudes and perceptions.</w:t>
      </w:r>
    </w:p>
    <w:p w:rsidR="006E6B9D" w:rsidRPr="001E3C20" w:rsidRDefault="006E6B9D" w:rsidP="006E6B9D">
      <w:pPr>
        <w:rPr>
          <w:rFonts w:cs="Times New Roman"/>
        </w:rPr>
      </w:pPr>
      <w:r w:rsidRPr="001E3C20">
        <w:rPr>
          <w:rFonts w:cs="Times New Roman"/>
        </w:rPr>
        <w:t>In addition, a few open-ended questions were incorporated to provide respondents with an opportunity to elaborate on issues that could not be adequately captured through fixed-response items. This enhanced the depth and richness of the data collected.</w:t>
      </w:r>
    </w:p>
    <w:p w:rsidR="006E6B9D" w:rsidRPr="001E3C20" w:rsidRDefault="006E6B9D" w:rsidP="006E6B9D">
      <w:pPr>
        <w:rPr>
          <w:rFonts w:cs="Times New Roman"/>
        </w:rPr>
      </w:pPr>
      <w:r w:rsidRPr="001E3C20">
        <w:rPr>
          <w:rFonts w:cs="Times New Roman"/>
        </w:rPr>
        <w:t>The study adopted a blended questionnaire administration approach involving both physical and online self-administered questionnaires (Sauer, 2021). Physical questionnaires were distributed through the “drop and pick later” technique, allowing respondents adequate time to complete them independently before collection by the researcher. Online questionnaires were administered through Google Forms, enabling respondents to access and complete the survey electronically using smartphones, tablets, or computers (Andrade, 2020). The dual administration strategy enhanced accessibility, improved response rates, and minimized geographical limitations among respondents.</w:t>
      </w:r>
    </w:p>
    <w:p w:rsidR="006E6B9D" w:rsidRPr="001E3C20" w:rsidRDefault="006E6B9D" w:rsidP="006E6B9D">
      <w:pPr>
        <w:rPr>
          <w:rFonts w:cs="Times New Roman"/>
        </w:rPr>
      </w:pPr>
      <w:r w:rsidRPr="001E3C20">
        <w:rPr>
          <w:rFonts w:cs="Times New Roman"/>
        </w:rPr>
        <w:t>Questionnaires were preferred because they support wide geographical coverage, reduce interviewer bias, and provide anonymity to respondents, thereby increasing honesty and objectivity in responses, especially on sensitive issues (</w:t>
      </w:r>
      <w:proofErr w:type="spellStart"/>
      <w:r w:rsidRPr="001E3C20">
        <w:rPr>
          <w:rFonts w:cs="Times New Roman"/>
        </w:rPr>
        <w:t>Krumpal</w:t>
      </w:r>
      <w:proofErr w:type="spellEnd"/>
      <w:r w:rsidRPr="001E3C20">
        <w:rPr>
          <w:rFonts w:cs="Times New Roman"/>
        </w:rPr>
        <w:t>, 2021). Furthermore, self-administered questionnaires are cost-effective and suitable for collecting data from large samples within limited timeframes.</w:t>
      </w:r>
    </w:p>
    <w:p w:rsidR="006E6B9D" w:rsidRPr="001E3C20" w:rsidRDefault="006E6B9D" w:rsidP="006E6B9D">
      <w:pPr>
        <w:pStyle w:val="Heading3"/>
        <w:rPr>
          <w:rFonts w:ascii="Times New Roman" w:hAnsi="Times New Roman" w:cs="Times New Roman"/>
          <w:b/>
          <w:color w:val="auto"/>
        </w:rPr>
      </w:pPr>
      <w:bookmarkStart w:id="22" w:name="_Toc230811118"/>
      <w:r w:rsidRPr="001E3C20">
        <w:rPr>
          <w:rFonts w:ascii="Times New Roman" w:hAnsi="Times New Roman" w:cs="Times New Roman"/>
          <w:b/>
          <w:color w:val="auto"/>
        </w:rPr>
        <w:lastRenderedPageBreak/>
        <w:t>3.6.2 Interview Schedule for Key Informants</w:t>
      </w:r>
      <w:bookmarkEnd w:id="22"/>
    </w:p>
    <w:p w:rsidR="006E6B9D" w:rsidRPr="001E3C20" w:rsidRDefault="006E6B9D" w:rsidP="006E6B9D">
      <w:pPr>
        <w:rPr>
          <w:rFonts w:cs="Times New Roman"/>
        </w:rPr>
      </w:pPr>
      <w:r w:rsidRPr="001E3C20">
        <w:rPr>
          <w:rFonts w:cs="Times New Roman"/>
        </w:rPr>
        <w:t>An interview schedule was used to collect qualitative data from 21 key informants comprising 4 Deputy Vice Chancellors (DVCs), 4 Directors of Research and Linkages, and 13 Corporate Affairs officers drawn from the selected public universities. The interview schedule was deemed appropriate because it allowed the researcher to obtain detailed explanations, opinions, and institutional perspectives regarding the phenomenon under investigation.</w:t>
      </w:r>
    </w:p>
    <w:p w:rsidR="006E6B9D" w:rsidRPr="001E3C20" w:rsidRDefault="006E6B9D" w:rsidP="006E6B9D">
      <w:pPr>
        <w:rPr>
          <w:rFonts w:cs="Times New Roman"/>
        </w:rPr>
      </w:pPr>
      <w:r w:rsidRPr="001E3C20">
        <w:rPr>
          <w:rFonts w:cs="Times New Roman"/>
        </w:rPr>
        <w:t>The interview schedule consisted of semi-structured questions organized according to the objectives of the study. Semi-structured interviews provided flexibility for probing and seeking clarification where necessary while maintaining consistency across respondents (</w:t>
      </w:r>
      <w:proofErr w:type="spellStart"/>
      <w:r w:rsidRPr="001E3C20">
        <w:rPr>
          <w:rFonts w:cs="Times New Roman"/>
        </w:rPr>
        <w:t>Adeoye-Olatunde</w:t>
      </w:r>
      <w:proofErr w:type="spellEnd"/>
      <w:r w:rsidRPr="001E3C20">
        <w:rPr>
          <w:rFonts w:cs="Times New Roman"/>
        </w:rPr>
        <w:t xml:space="preserve"> &amp; </w:t>
      </w:r>
      <w:proofErr w:type="spellStart"/>
      <w:r w:rsidRPr="001E3C20">
        <w:rPr>
          <w:rFonts w:cs="Times New Roman"/>
        </w:rPr>
        <w:t>Olenik</w:t>
      </w:r>
      <w:proofErr w:type="spellEnd"/>
      <w:r w:rsidRPr="001E3C20">
        <w:rPr>
          <w:rFonts w:cs="Times New Roman"/>
        </w:rPr>
        <w:t>, 2021). The interviews enabled respondents to provide deeper insights, professional experiences, and institutional practices that could not be sufficiently captured through questionnaires.</w:t>
      </w:r>
    </w:p>
    <w:p w:rsidR="006E6B9D" w:rsidRPr="001E3C20" w:rsidRDefault="006E6B9D" w:rsidP="006E6B9D">
      <w:pPr>
        <w:rPr>
          <w:rFonts w:cs="Times New Roman"/>
        </w:rPr>
      </w:pPr>
      <w:r w:rsidRPr="001E3C20">
        <w:rPr>
          <w:rFonts w:cs="Times New Roman"/>
        </w:rPr>
        <w:t>The interviews were conducted face-to-face and, where necessary, through virtual platforms such as Zoom or Google Meet depending on respondents’ availability and convenience. Each interview lasted approximately 30–45 minutes. The researcher maintained ethical considerations by seeking informed consent from respondents before conducting the interviews and assuring them of confidentiality and anonymity.</w:t>
      </w:r>
    </w:p>
    <w:p w:rsidR="006E6B9D" w:rsidRPr="001E3C20" w:rsidRDefault="006E6B9D" w:rsidP="006E6B9D">
      <w:pPr>
        <w:rPr>
          <w:rFonts w:cs="Times New Roman"/>
        </w:rPr>
      </w:pPr>
      <w:r w:rsidRPr="001E3C20">
        <w:rPr>
          <w:rFonts w:cs="Times New Roman"/>
        </w:rPr>
        <w:t>The use of interview schedules for university administrators and communication officers was appropriate because these respondents occupied strategic leadership and operational positions within universities and therefore possessed rich institutional knowledge relevant to the study. The qualitative data obtained through interviews complemented the quantitative findings from students and enhanced interpretation of the study results through methodological triangulation.</w:t>
      </w:r>
    </w:p>
    <w:p w:rsidR="006E6B9D" w:rsidRPr="001E3C20" w:rsidRDefault="006E6B9D" w:rsidP="006E6B9D">
      <w:pPr>
        <w:pStyle w:val="Heading2"/>
      </w:pPr>
      <w:bookmarkStart w:id="23" w:name="_Toc230811119"/>
      <w:r w:rsidRPr="001E3C20">
        <w:lastRenderedPageBreak/>
        <w:t>3.7 Validity and Reliability of the Instrument</w:t>
      </w:r>
      <w:bookmarkEnd w:id="23"/>
    </w:p>
    <w:p w:rsidR="006E6B9D" w:rsidRPr="00EA0243" w:rsidRDefault="006E6B9D" w:rsidP="006E6B9D">
      <w:pPr>
        <w:pStyle w:val="Heading3"/>
        <w:rPr>
          <w:rFonts w:ascii="Times New Roman" w:hAnsi="Times New Roman" w:cs="Times New Roman"/>
          <w:b/>
          <w:color w:val="auto"/>
        </w:rPr>
      </w:pPr>
      <w:bookmarkStart w:id="24" w:name="_Toc230811120"/>
      <w:r w:rsidRPr="00EA0243">
        <w:rPr>
          <w:rFonts w:ascii="Times New Roman" w:hAnsi="Times New Roman" w:cs="Times New Roman"/>
          <w:b/>
          <w:color w:val="auto"/>
        </w:rPr>
        <w:t>3.7.1 Validity of Instruments</w:t>
      </w:r>
      <w:bookmarkEnd w:id="24"/>
      <w:r w:rsidRPr="00EA0243">
        <w:rPr>
          <w:rFonts w:ascii="Times New Roman" w:hAnsi="Times New Roman" w:cs="Times New Roman"/>
          <w:b/>
          <w:color w:val="auto"/>
        </w:rPr>
        <w:t xml:space="preserve"> </w:t>
      </w:r>
    </w:p>
    <w:p w:rsidR="006E6B9D" w:rsidRPr="001E3C20" w:rsidRDefault="006E6B9D" w:rsidP="006E6B9D">
      <w:pPr>
        <w:rPr>
          <w:rFonts w:cs="Times New Roman"/>
          <w:sz w:val="24"/>
          <w:szCs w:val="24"/>
        </w:rPr>
      </w:pPr>
      <w:r w:rsidRPr="001E3C20">
        <w:rPr>
          <w:rFonts w:cs="Times New Roman"/>
          <w:sz w:val="24"/>
          <w:szCs w:val="24"/>
        </w:rPr>
        <w:t>Validity refers to the extent to which a research tool or instrument accurately measures the concept it is intended to assess, ensuring that the study genuinely reflects the specific phenomenon under investigation (</w:t>
      </w:r>
      <w:proofErr w:type="spellStart"/>
      <w:r w:rsidRPr="001E3C20">
        <w:rPr>
          <w:rFonts w:cs="Times New Roman"/>
          <w:sz w:val="24"/>
          <w:szCs w:val="24"/>
        </w:rPr>
        <w:t>Heale</w:t>
      </w:r>
      <w:proofErr w:type="spellEnd"/>
      <w:r w:rsidRPr="001E3C20">
        <w:rPr>
          <w:rFonts w:cs="Times New Roman"/>
          <w:sz w:val="24"/>
          <w:szCs w:val="24"/>
        </w:rPr>
        <w:t xml:space="preserve"> &amp; </w:t>
      </w:r>
      <w:proofErr w:type="spellStart"/>
      <w:r w:rsidRPr="001E3C20">
        <w:rPr>
          <w:rFonts w:cs="Times New Roman"/>
          <w:sz w:val="24"/>
          <w:szCs w:val="24"/>
        </w:rPr>
        <w:t>Twycross</w:t>
      </w:r>
      <w:proofErr w:type="spellEnd"/>
      <w:r w:rsidRPr="001E3C20">
        <w:rPr>
          <w:rFonts w:cs="Times New Roman"/>
          <w:sz w:val="24"/>
          <w:szCs w:val="24"/>
        </w:rPr>
        <w:t>, 2015). When a study achieves a high level of validity, it accurately captures the variables under scrutiny and supports sound conclusions and reliable interpretations drawn from the data (</w:t>
      </w:r>
      <w:proofErr w:type="spellStart"/>
      <w:r w:rsidRPr="001E3C20">
        <w:rPr>
          <w:rFonts w:cs="Times New Roman"/>
          <w:sz w:val="24"/>
          <w:szCs w:val="24"/>
        </w:rPr>
        <w:t>Bolarinwa</w:t>
      </w:r>
      <w:proofErr w:type="spellEnd"/>
      <w:r w:rsidRPr="001E3C20">
        <w:rPr>
          <w:rFonts w:cs="Times New Roman"/>
          <w:sz w:val="24"/>
          <w:szCs w:val="24"/>
        </w:rPr>
        <w:t xml:space="preserve">, 2015). To establish content and face validity, the researcher submitted the questionnaire to a panel of experts from the Department of Marketing and Management Sciences at the University of </w:t>
      </w:r>
      <w:proofErr w:type="spellStart"/>
      <w:r w:rsidRPr="001E3C20">
        <w:rPr>
          <w:rFonts w:cs="Times New Roman"/>
          <w:sz w:val="24"/>
          <w:szCs w:val="24"/>
        </w:rPr>
        <w:t>Kabianga</w:t>
      </w:r>
      <w:proofErr w:type="spellEnd"/>
      <w:r w:rsidRPr="001E3C20">
        <w:rPr>
          <w:rFonts w:cs="Times New Roman"/>
          <w:sz w:val="24"/>
          <w:szCs w:val="24"/>
        </w:rPr>
        <w:t>. These specialists critically examined the instrument for relevance, clarity, and comprehensiveness of the items, as well as the appropriateness of response options, suggesting adjustments where necessary. Construct validity was evaluated by analyzing the degree to which the instrument’s results align with those of other theoretically related or unrelated measures, ensuring both convergent and divergent validity through repeated testing. Criterion validity was determined by comparing the instrument’s scores with those from an established benchmark administered concurrently; a strong positive correlation confirmed the instrument’s effectiveness in accurately reflecting the target construct.</w:t>
      </w:r>
    </w:p>
    <w:p w:rsidR="006E6B9D" w:rsidRPr="001E3C20" w:rsidRDefault="006E6B9D" w:rsidP="006E6B9D">
      <w:pPr>
        <w:pStyle w:val="Heading3"/>
        <w:rPr>
          <w:rFonts w:ascii="Times New Roman" w:hAnsi="Times New Roman" w:cs="Times New Roman"/>
          <w:b/>
          <w:color w:val="auto"/>
        </w:rPr>
      </w:pPr>
      <w:bookmarkStart w:id="25" w:name="_Toc230811121"/>
      <w:r w:rsidRPr="001E3C20">
        <w:rPr>
          <w:rFonts w:ascii="Times New Roman" w:hAnsi="Times New Roman" w:cs="Times New Roman"/>
          <w:b/>
          <w:color w:val="auto"/>
        </w:rPr>
        <w:t>3.7.2 Reliability of the Instruments</w:t>
      </w:r>
      <w:bookmarkEnd w:id="25"/>
      <w:r w:rsidRPr="001E3C20">
        <w:rPr>
          <w:rFonts w:ascii="Times New Roman" w:hAnsi="Times New Roman" w:cs="Times New Roman"/>
          <w:b/>
          <w:color w:val="auto"/>
        </w:rPr>
        <w:t xml:space="preserve"> </w:t>
      </w:r>
    </w:p>
    <w:p w:rsidR="006E6B9D" w:rsidRPr="001E3C20" w:rsidRDefault="006E6B9D" w:rsidP="006E6B9D">
      <w:pPr>
        <w:rPr>
          <w:rFonts w:cs="Times New Roman"/>
          <w:sz w:val="24"/>
          <w:szCs w:val="24"/>
        </w:rPr>
      </w:pPr>
      <w:r w:rsidRPr="001E3C20">
        <w:rPr>
          <w:rFonts w:cs="Times New Roman"/>
          <w:sz w:val="24"/>
          <w:szCs w:val="24"/>
        </w:rPr>
        <w:t xml:space="preserve">Reliability refers to the consistency, stability, or repeatability of measurements or research findings, indicating the extent to which a measurement tool produces stable and consistent results over time and across different contexts (Kelley et al. 2021). It also reflects how well each item within a measurement instrument, such as a questionnaire or test, assesses the </w:t>
      </w:r>
      <w:r w:rsidRPr="001E3C20">
        <w:rPr>
          <w:rFonts w:cs="Times New Roman"/>
          <w:sz w:val="24"/>
          <w:szCs w:val="24"/>
        </w:rPr>
        <w:lastRenderedPageBreak/>
        <w:t>same underlying construct (</w:t>
      </w:r>
      <w:proofErr w:type="spellStart"/>
      <w:r w:rsidRPr="001E3C20">
        <w:rPr>
          <w:rFonts w:cs="Times New Roman"/>
          <w:sz w:val="24"/>
          <w:szCs w:val="24"/>
        </w:rPr>
        <w:t>Tavakol</w:t>
      </w:r>
      <w:proofErr w:type="spellEnd"/>
      <w:r w:rsidRPr="001E3C20">
        <w:rPr>
          <w:rFonts w:cs="Times New Roman"/>
          <w:sz w:val="24"/>
          <w:szCs w:val="24"/>
        </w:rPr>
        <w:t xml:space="preserve"> &amp; </w:t>
      </w:r>
      <w:proofErr w:type="spellStart"/>
      <w:r w:rsidRPr="001E3C20">
        <w:rPr>
          <w:rFonts w:cs="Times New Roman"/>
          <w:sz w:val="24"/>
          <w:szCs w:val="24"/>
        </w:rPr>
        <w:t>Dennick</w:t>
      </w:r>
      <w:proofErr w:type="spellEnd"/>
      <w:r w:rsidRPr="001E3C20">
        <w:rPr>
          <w:rFonts w:cs="Times New Roman"/>
          <w:sz w:val="24"/>
          <w:szCs w:val="24"/>
        </w:rPr>
        <w:t>, 2019). In this study, reliability was evaluated using Cronbach’s alpha, where a value of 0.70 or higher is widely accepted as indicating acceptable internal consistency, demonstrating that the scale items are sufficiently correlated and reliably measure the intended construct (</w:t>
      </w:r>
      <w:proofErr w:type="spellStart"/>
      <w:r w:rsidRPr="001E3C20">
        <w:rPr>
          <w:rFonts w:cs="Times New Roman"/>
          <w:sz w:val="24"/>
          <w:szCs w:val="24"/>
        </w:rPr>
        <w:t>Gliem</w:t>
      </w:r>
      <w:proofErr w:type="spellEnd"/>
      <w:r w:rsidRPr="001E3C20">
        <w:rPr>
          <w:rFonts w:cs="Times New Roman"/>
          <w:sz w:val="24"/>
          <w:szCs w:val="24"/>
        </w:rPr>
        <w:t xml:space="preserve"> &amp; </w:t>
      </w:r>
      <w:proofErr w:type="spellStart"/>
      <w:r w:rsidRPr="001E3C20">
        <w:rPr>
          <w:rFonts w:cs="Times New Roman"/>
          <w:sz w:val="24"/>
          <w:szCs w:val="24"/>
        </w:rPr>
        <w:t>Gliem</w:t>
      </w:r>
      <w:proofErr w:type="spellEnd"/>
      <w:r w:rsidRPr="001E3C20">
        <w:rPr>
          <w:rFonts w:cs="Times New Roman"/>
          <w:sz w:val="24"/>
          <w:szCs w:val="24"/>
        </w:rPr>
        <w:t xml:space="preserve">, 2020). A pilot study was conducted in </w:t>
      </w:r>
      <w:proofErr w:type="spellStart"/>
      <w:r w:rsidRPr="001E3C20">
        <w:rPr>
          <w:rFonts w:cs="Times New Roman"/>
          <w:sz w:val="24"/>
          <w:szCs w:val="24"/>
        </w:rPr>
        <w:t>Bomet</w:t>
      </w:r>
      <w:proofErr w:type="spellEnd"/>
      <w:r w:rsidRPr="001E3C20">
        <w:rPr>
          <w:rFonts w:cs="Times New Roman"/>
          <w:sz w:val="24"/>
          <w:szCs w:val="24"/>
        </w:rPr>
        <w:t xml:space="preserve"> University a constituent of </w:t>
      </w:r>
      <w:proofErr w:type="spellStart"/>
      <w:r w:rsidRPr="001E3C20">
        <w:rPr>
          <w:rFonts w:cs="Times New Roman"/>
          <w:sz w:val="24"/>
          <w:szCs w:val="24"/>
        </w:rPr>
        <w:t>Moi</w:t>
      </w:r>
      <w:proofErr w:type="spellEnd"/>
      <w:r w:rsidRPr="001E3C20">
        <w:rPr>
          <w:rFonts w:cs="Times New Roman"/>
          <w:sz w:val="24"/>
          <w:szCs w:val="24"/>
        </w:rPr>
        <w:t xml:space="preserve"> University using 10% of the total sample size. Although the university is part of targeted universities, it is specifically selected to ensure sample homogeneity and keep the population characteristics of the main study constant, ensuring that any identified issues or necessary adjustments are relevant and applicable to the broader research across all participating universities. Data from the pilot study (</w:t>
      </w:r>
      <w:proofErr w:type="spellStart"/>
      <w:r w:rsidRPr="001E3C20">
        <w:rPr>
          <w:rFonts w:cs="Times New Roman"/>
          <w:sz w:val="24"/>
          <w:szCs w:val="24"/>
        </w:rPr>
        <w:t>Bomet</w:t>
      </w:r>
      <w:proofErr w:type="spellEnd"/>
      <w:r w:rsidRPr="001E3C20">
        <w:rPr>
          <w:rFonts w:cs="Times New Roman"/>
          <w:sz w:val="24"/>
          <w:szCs w:val="24"/>
        </w:rPr>
        <w:t xml:space="preserve"> University) was excluded from the main analysis to avoid bias during the final data collection and interpretation phase. Further, Rahim et al. (2018) shows that pilot studies conducted within the same population and environmental context as the main study increase the external validity of findings by 73% and reduce instrument-related errors by up to 65%, similarly,  </w:t>
      </w:r>
      <w:proofErr w:type="spellStart"/>
      <w:r w:rsidRPr="001E3C20">
        <w:rPr>
          <w:rFonts w:cs="Times New Roman"/>
          <w:sz w:val="24"/>
          <w:szCs w:val="24"/>
        </w:rPr>
        <w:t>Malmqvist</w:t>
      </w:r>
      <w:proofErr w:type="spellEnd"/>
      <w:r w:rsidRPr="001E3C20">
        <w:rPr>
          <w:rFonts w:cs="Times New Roman"/>
          <w:sz w:val="24"/>
          <w:szCs w:val="24"/>
        </w:rPr>
        <w:t xml:space="preserve"> et al. (2019) found that context-specific pilot testing identifies 85% more relevant methodological issues compared to pilot studies conducted in different settings, a pilot study conducted at one of the public universities within the study area is empirically justified.</w:t>
      </w:r>
    </w:p>
    <w:p w:rsidR="006E6B9D" w:rsidRPr="001E3C20" w:rsidRDefault="006E6B9D" w:rsidP="006E6B9D">
      <w:pPr>
        <w:pStyle w:val="Heading4"/>
        <w:rPr>
          <w:rFonts w:ascii="Times New Roman" w:hAnsi="Times New Roman" w:cs="Times New Roman"/>
          <w:b/>
          <w:color w:val="auto"/>
        </w:rPr>
      </w:pPr>
      <w:bookmarkStart w:id="26" w:name="_Toc229492441"/>
      <w:r w:rsidRPr="001E3C20">
        <w:rPr>
          <w:rFonts w:ascii="Times New Roman" w:hAnsi="Times New Roman" w:cs="Times New Roman"/>
          <w:b/>
          <w:color w:val="auto"/>
        </w:rPr>
        <w:t>Table 3.4: Reliability Results</w:t>
      </w:r>
      <w:bookmarkEnd w:id="26"/>
    </w:p>
    <w:tbl>
      <w:tblPr>
        <w:tblStyle w:val="TableGrid2"/>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89"/>
        <w:gridCol w:w="2511"/>
        <w:gridCol w:w="2340"/>
      </w:tblGrid>
      <w:tr w:rsidR="006E6B9D" w:rsidRPr="001E3C20" w:rsidTr="00717974">
        <w:tc>
          <w:tcPr>
            <w:tcW w:w="2193" w:type="pct"/>
            <w:tcBorders>
              <w:top w:val="single" w:sz="4" w:space="0" w:color="auto"/>
              <w:bottom w:val="single" w:sz="4" w:space="0" w:color="auto"/>
            </w:tcBorders>
          </w:tcPr>
          <w:p w:rsidR="006E6B9D" w:rsidRPr="001E3C20" w:rsidRDefault="006E6B9D" w:rsidP="007531DF">
            <w:pPr>
              <w:spacing w:before="0" w:after="0" w:line="360" w:lineRule="auto"/>
              <w:jc w:val="left"/>
              <w:rPr>
                <w:rFonts w:eastAsia="Times New Roman"/>
                <w:b/>
                <w:bCs/>
                <w:sz w:val="20"/>
                <w:szCs w:val="20"/>
              </w:rPr>
            </w:pPr>
            <w:r w:rsidRPr="001E3C20">
              <w:rPr>
                <w:rFonts w:eastAsia="Times New Roman"/>
                <w:b/>
                <w:bCs/>
                <w:sz w:val="20"/>
                <w:szCs w:val="20"/>
              </w:rPr>
              <w:t>Variable</w:t>
            </w:r>
          </w:p>
        </w:tc>
        <w:tc>
          <w:tcPr>
            <w:tcW w:w="1453" w:type="pct"/>
            <w:tcBorders>
              <w:top w:val="single" w:sz="4" w:space="0" w:color="auto"/>
              <w:bottom w:val="single" w:sz="4" w:space="0" w:color="auto"/>
            </w:tcBorders>
          </w:tcPr>
          <w:p w:rsidR="006E6B9D" w:rsidRPr="001E3C20" w:rsidRDefault="006E6B9D" w:rsidP="007531DF">
            <w:pPr>
              <w:spacing w:before="0" w:after="0" w:line="360" w:lineRule="auto"/>
              <w:jc w:val="center"/>
              <w:rPr>
                <w:rFonts w:eastAsia="Times New Roman"/>
                <w:b/>
                <w:bCs/>
                <w:sz w:val="20"/>
                <w:szCs w:val="20"/>
              </w:rPr>
            </w:pPr>
            <w:r w:rsidRPr="001E3C20">
              <w:rPr>
                <w:rFonts w:eastAsia="Times New Roman"/>
                <w:b/>
                <w:bCs/>
                <w:sz w:val="20"/>
                <w:szCs w:val="20"/>
              </w:rPr>
              <w:t>Cronbach’s Alpha</w:t>
            </w:r>
          </w:p>
        </w:tc>
        <w:tc>
          <w:tcPr>
            <w:tcW w:w="1354" w:type="pct"/>
            <w:tcBorders>
              <w:top w:val="single" w:sz="4" w:space="0" w:color="auto"/>
              <w:bottom w:val="single" w:sz="4" w:space="0" w:color="auto"/>
            </w:tcBorders>
          </w:tcPr>
          <w:p w:rsidR="006E6B9D" w:rsidRPr="001E3C20" w:rsidRDefault="006E6B9D" w:rsidP="007531DF">
            <w:pPr>
              <w:spacing w:before="0" w:after="0" w:line="360" w:lineRule="auto"/>
              <w:jc w:val="center"/>
              <w:rPr>
                <w:rFonts w:eastAsia="Times New Roman"/>
                <w:b/>
                <w:bCs/>
                <w:sz w:val="20"/>
                <w:szCs w:val="20"/>
              </w:rPr>
            </w:pPr>
            <w:r w:rsidRPr="001E3C20">
              <w:rPr>
                <w:rFonts w:eastAsia="Times New Roman"/>
                <w:b/>
                <w:bCs/>
                <w:sz w:val="20"/>
                <w:szCs w:val="20"/>
              </w:rPr>
              <w:t>Number of Items</w:t>
            </w:r>
          </w:p>
        </w:tc>
      </w:tr>
      <w:tr w:rsidR="001E3C20" w:rsidRPr="001E3C20" w:rsidTr="00717974">
        <w:tc>
          <w:tcPr>
            <w:tcW w:w="2193" w:type="pct"/>
            <w:tcBorders>
              <w:top w:val="single" w:sz="4" w:space="0" w:color="auto"/>
            </w:tcBorders>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Brand Salience</w:t>
            </w:r>
          </w:p>
        </w:tc>
        <w:tc>
          <w:tcPr>
            <w:tcW w:w="1453" w:type="pct"/>
            <w:tcBorders>
              <w:top w:val="single" w:sz="4" w:space="0" w:color="auto"/>
            </w:tcBorders>
          </w:tcPr>
          <w:p w:rsidR="006E6B9D" w:rsidRPr="001E3C20" w:rsidRDefault="006E6B9D" w:rsidP="007531DF">
            <w:pPr>
              <w:spacing w:before="0" w:after="0" w:line="360" w:lineRule="auto"/>
              <w:jc w:val="center"/>
              <w:rPr>
                <w:rFonts w:eastAsia="Times New Roman"/>
                <w:sz w:val="20"/>
                <w:szCs w:val="20"/>
              </w:rPr>
            </w:pPr>
            <w:r w:rsidRPr="001E3C20">
              <w:rPr>
                <w:rFonts w:eastAsia="Times New Roman"/>
                <w:sz w:val="20"/>
                <w:szCs w:val="20"/>
              </w:rPr>
              <w:t>0.763</w:t>
            </w:r>
          </w:p>
        </w:tc>
        <w:tc>
          <w:tcPr>
            <w:tcW w:w="1354" w:type="pct"/>
            <w:tcBorders>
              <w:top w:val="single" w:sz="4" w:space="0" w:color="auto"/>
            </w:tcBorders>
          </w:tcPr>
          <w:p w:rsidR="006E6B9D" w:rsidRPr="001E3C20" w:rsidRDefault="006E6B9D" w:rsidP="007531DF">
            <w:pPr>
              <w:spacing w:before="0" w:after="0" w:line="360" w:lineRule="auto"/>
              <w:jc w:val="center"/>
              <w:rPr>
                <w:rFonts w:eastAsia="Times New Roman"/>
                <w:sz w:val="20"/>
                <w:szCs w:val="20"/>
              </w:rPr>
            </w:pPr>
            <w:r w:rsidRPr="001E3C20">
              <w:rPr>
                <w:rFonts w:eastAsia="Times New Roman"/>
                <w:sz w:val="20"/>
                <w:szCs w:val="20"/>
              </w:rPr>
              <w:t>6</w:t>
            </w:r>
          </w:p>
        </w:tc>
      </w:tr>
      <w:tr w:rsidR="001E3C20" w:rsidRPr="001E3C20" w:rsidTr="00717974">
        <w:tc>
          <w:tcPr>
            <w:tcW w:w="2193" w:type="pct"/>
          </w:tcPr>
          <w:p w:rsidR="006E6B9D" w:rsidRPr="001E3C20" w:rsidRDefault="006E6B9D" w:rsidP="007531DF">
            <w:pPr>
              <w:spacing w:before="0" w:after="0" w:line="360" w:lineRule="auto"/>
              <w:rPr>
                <w:rFonts w:eastAsia="Times New Roman"/>
                <w:sz w:val="20"/>
                <w:szCs w:val="20"/>
              </w:rPr>
            </w:pPr>
            <w:r w:rsidRPr="001E3C20">
              <w:rPr>
                <w:rFonts w:eastAsia="Times New Roman"/>
                <w:sz w:val="20"/>
                <w:szCs w:val="20"/>
              </w:rPr>
              <w:t>Students’ Enrollment Decision</w:t>
            </w:r>
          </w:p>
        </w:tc>
        <w:tc>
          <w:tcPr>
            <w:tcW w:w="1453" w:type="pct"/>
          </w:tcPr>
          <w:p w:rsidR="006E6B9D" w:rsidRPr="001E3C20" w:rsidRDefault="006E6B9D" w:rsidP="007531DF">
            <w:pPr>
              <w:spacing w:before="0" w:after="0" w:line="360" w:lineRule="auto"/>
              <w:jc w:val="center"/>
              <w:rPr>
                <w:rFonts w:eastAsia="Times New Roman"/>
                <w:sz w:val="20"/>
                <w:szCs w:val="20"/>
              </w:rPr>
            </w:pPr>
            <w:r w:rsidRPr="001E3C20">
              <w:rPr>
                <w:rFonts w:eastAsia="Times New Roman"/>
                <w:sz w:val="20"/>
                <w:szCs w:val="20"/>
              </w:rPr>
              <w:t>0.772</w:t>
            </w:r>
          </w:p>
        </w:tc>
        <w:tc>
          <w:tcPr>
            <w:tcW w:w="1354" w:type="pct"/>
          </w:tcPr>
          <w:p w:rsidR="006E6B9D" w:rsidRPr="001E3C20" w:rsidRDefault="006E6B9D" w:rsidP="007531DF">
            <w:pPr>
              <w:spacing w:before="0" w:after="0" w:line="360" w:lineRule="auto"/>
              <w:jc w:val="center"/>
              <w:rPr>
                <w:rFonts w:eastAsia="Times New Roman"/>
                <w:sz w:val="20"/>
                <w:szCs w:val="20"/>
              </w:rPr>
            </w:pPr>
            <w:r w:rsidRPr="001E3C20">
              <w:rPr>
                <w:rFonts w:eastAsia="Times New Roman"/>
                <w:sz w:val="20"/>
                <w:szCs w:val="20"/>
              </w:rPr>
              <w:t>6</w:t>
            </w:r>
          </w:p>
        </w:tc>
      </w:tr>
      <w:tr w:rsidR="006E6B9D" w:rsidRPr="001E3C20" w:rsidTr="00717974">
        <w:tc>
          <w:tcPr>
            <w:tcW w:w="2193" w:type="pct"/>
          </w:tcPr>
          <w:p w:rsidR="006E6B9D" w:rsidRPr="001E3C20" w:rsidRDefault="006E6B9D" w:rsidP="007531DF">
            <w:pPr>
              <w:spacing w:before="0" w:after="0" w:line="360" w:lineRule="auto"/>
              <w:rPr>
                <w:rFonts w:eastAsia="Times New Roman"/>
                <w:sz w:val="20"/>
                <w:szCs w:val="20"/>
              </w:rPr>
            </w:pPr>
            <w:r w:rsidRPr="001E3C20">
              <w:rPr>
                <w:rFonts w:eastAsia="Times New Roman"/>
                <w:b/>
                <w:bCs/>
                <w:sz w:val="20"/>
                <w:szCs w:val="20"/>
              </w:rPr>
              <w:t>Overall Scale</w:t>
            </w:r>
          </w:p>
        </w:tc>
        <w:tc>
          <w:tcPr>
            <w:tcW w:w="1453" w:type="pct"/>
          </w:tcPr>
          <w:p w:rsidR="006E6B9D" w:rsidRPr="001E3C20" w:rsidRDefault="006E6B9D" w:rsidP="007531DF">
            <w:pPr>
              <w:spacing w:before="0" w:after="0" w:line="360" w:lineRule="auto"/>
              <w:jc w:val="center"/>
              <w:rPr>
                <w:rFonts w:eastAsia="Times New Roman"/>
                <w:sz w:val="20"/>
                <w:szCs w:val="20"/>
              </w:rPr>
            </w:pPr>
            <w:r w:rsidRPr="001E3C20">
              <w:rPr>
                <w:rFonts w:eastAsia="Times New Roman"/>
                <w:b/>
                <w:bCs/>
                <w:sz w:val="20"/>
                <w:szCs w:val="20"/>
              </w:rPr>
              <w:t>0.766</w:t>
            </w:r>
          </w:p>
        </w:tc>
        <w:tc>
          <w:tcPr>
            <w:tcW w:w="1354" w:type="pct"/>
          </w:tcPr>
          <w:p w:rsidR="006E6B9D" w:rsidRPr="001E3C20" w:rsidRDefault="00717974" w:rsidP="007531DF">
            <w:pPr>
              <w:spacing w:before="0" w:after="0" w:line="360" w:lineRule="auto"/>
              <w:jc w:val="center"/>
              <w:rPr>
                <w:rFonts w:eastAsia="Times New Roman"/>
                <w:sz w:val="20"/>
                <w:szCs w:val="20"/>
              </w:rPr>
            </w:pPr>
            <w:r>
              <w:rPr>
                <w:rFonts w:eastAsia="Times New Roman"/>
                <w:b/>
                <w:bCs/>
                <w:sz w:val="20"/>
                <w:szCs w:val="20"/>
              </w:rPr>
              <w:t>12</w:t>
            </w:r>
          </w:p>
        </w:tc>
      </w:tr>
    </w:tbl>
    <w:p w:rsidR="006E6B9D" w:rsidRPr="001E3C20" w:rsidRDefault="006E6B9D" w:rsidP="006E6B9D">
      <w:pPr>
        <w:rPr>
          <w:rFonts w:cs="Times New Roman"/>
          <w:sz w:val="24"/>
          <w:szCs w:val="24"/>
        </w:rPr>
      </w:pPr>
      <w:r w:rsidRPr="001E3C20">
        <w:rPr>
          <w:rFonts w:cs="Times New Roman"/>
          <w:sz w:val="24"/>
          <w:szCs w:val="24"/>
        </w:rPr>
        <w:t xml:space="preserve">The results in Table 3.4 indicate that all the study variables achieved Cronbach’s alpha coefficients above the recommended threshold of 0.70, confirming acceptable internal </w:t>
      </w:r>
      <w:r w:rsidRPr="001E3C20">
        <w:rPr>
          <w:rFonts w:cs="Times New Roman"/>
          <w:sz w:val="24"/>
          <w:szCs w:val="24"/>
        </w:rPr>
        <w:lastRenderedPageBreak/>
        <w:t>consistency of the measurement scales. Specifically, Brand Salience (α = 0.763), Students’ Enrollment</w:t>
      </w:r>
      <w:r w:rsidR="0027582B">
        <w:rPr>
          <w:rFonts w:cs="Times New Roman"/>
          <w:sz w:val="24"/>
          <w:szCs w:val="24"/>
        </w:rPr>
        <w:t xml:space="preserve"> Decision (α = 0.772),</w:t>
      </w:r>
      <w:r w:rsidRPr="001E3C20">
        <w:rPr>
          <w:rFonts w:cs="Times New Roman"/>
          <w:sz w:val="24"/>
          <w:szCs w:val="24"/>
        </w:rPr>
        <w:t xml:space="preserve"> demonstrated good reliability levels, indicating that their items consistently measure the intended constructs.</w:t>
      </w:r>
    </w:p>
    <w:p w:rsidR="006E6B9D" w:rsidRPr="001E3C20" w:rsidRDefault="006E6B9D" w:rsidP="006E6B9D">
      <w:pPr>
        <w:rPr>
          <w:rFonts w:cs="Times New Roman"/>
          <w:sz w:val="24"/>
          <w:szCs w:val="24"/>
        </w:rPr>
      </w:pPr>
      <w:r w:rsidRPr="001E3C20">
        <w:rPr>
          <w:rFonts w:cs="Times New Roman"/>
          <w:sz w:val="24"/>
          <w:szCs w:val="24"/>
        </w:rPr>
        <w:t xml:space="preserve">The overall Cronbach’s alpha of 0.766 for the 35 items further confirms that the entire instrument is reliable and suitable for subsequent statistical analysis. Therefore, the study instrument was deemed appropriate for collecting data to examine the relationship between </w:t>
      </w:r>
      <w:r w:rsidR="00195265">
        <w:rPr>
          <w:rFonts w:cs="Times New Roman"/>
          <w:sz w:val="24"/>
          <w:szCs w:val="24"/>
        </w:rPr>
        <w:t xml:space="preserve">brand salient as brand equity strategy, </w:t>
      </w:r>
      <w:r w:rsidRPr="001E3C20">
        <w:rPr>
          <w:rFonts w:cs="Times New Roman"/>
          <w:sz w:val="24"/>
          <w:szCs w:val="24"/>
        </w:rPr>
        <w:t>and students’ enrollment decision in public universities in Kenya.</w:t>
      </w:r>
    </w:p>
    <w:p w:rsidR="006E6B9D" w:rsidRPr="001E3C20" w:rsidRDefault="006E6B9D" w:rsidP="006E6B9D">
      <w:pPr>
        <w:pStyle w:val="Heading2"/>
      </w:pPr>
      <w:bookmarkStart w:id="27" w:name="_Toc230811122"/>
      <w:r w:rsidRPr="001E3C20">
        <w:t>3.8 Data Collection Procedure</w:t>
      </w:r>
      <w:bookmarkEnd w:id="27"/>
      <w:r w:rsidRPr="001E3C20">
        <w:t xml:space="preserve"> </w:t>
      </w:r>
    </w:p>
    <w:p w:rsidR="006E6B9D" w:rsidRPr="001E3C20" w:rsidRDefault="006E6B9D" w:rsidP="006E6B9D">
      <w:pPr>
        <w:rPr>
          <w:rFonts w:cs="Times New Roman"/>
          <w:sz w:val="24"/>
          <w:szCs w:val="24"/>
        </w:rPr>
      </w:pPr>
      <w:r w:rsidRPr="001E3C20">
        <w:rPr>
          <w:rFonts w:cs="Times New Roman"/>
          <w:sz w:val="24"/>
          <w:szCs w:val="24"/>
        </w:rPr>
        <w:t xml:space="preserve">A letter of introduction from the University of </w:t>
      </w:r>
      <w:proofErr w:type="spellStart"/>
      <w:r w:rsidRPr="001E3C20">
        <w:rPr>
          <w:rFonts w:cs="Times New Roman"/>
          <w:sz w:val="24"/>
          <w:szCs w:val="24"/>
        </w:rPr>
        <w:t>Kabianga</w:t>
      </w:r>
      <w:proofErr w:type="spellEnd"/>
      <w:r w:rsidRPr="001E3C20">
        <w:rPr>
          <w:rFonts w:cs="Times New Roman"/>
          <w:sz w:val="24"/>
          <w:szCs w:val="24"/>
        </w:rPr>
        <w:t xml:space="preserve"> was obtained by the researcher prior to data collection, and it was submitted to the National Commission for Science, Technology, and Innovation (NACOSTI) to secure a research permit. The researcher begun by engaging the Deputy Vice Chancellor (DVC) in charge of Academics and Student Affairs to introduce the study’s objectives, seeking approval to proceed with key stakeholders. Following this, the Director of Research and Linkages was approached to discuss the study’s focus and to request relevant data on how organizational resources and brand equity strategies influence university positioning. The University’s Marketing Department officer was engaged to provide insights on brand equity strategies and their role in attracting students. Additionally, meetings </w:t>
      </w:r>
      <w:proofErr w:type="gramStart"/>
      <w:r w:rsidRPr="001E3C20">
        <w:rPr>
          <w:rFonts w:cs="Times New Roman"/>
          <w:sz w:val="24"/>
          <w:szCs w:val="24"/>
        </w:rPr>
        <w:t>was</w:t>
      </w:r>
      <w:proofErr w:type="gramEnd"/>
      <w:r w:rsidRPr="001E3C20">
        <w:rPr>
          <w:rFonts w:cs="Times New Roman"/>
          <w:sz w:val="24"/>
          <w:szCs w:val="24"/>
        </w:rPr>
        <w:t xml:space="preserve"> arranged with the Student Presidents to explain the study’s goals and to gather student perspectives on factors influencing their choice of public universities. The researcher requested permission from the DVC to have meeting with student representatives, emphasizing the value of their feedback for the study. </w:t>
      </w:r>
      <w:r w:rsidRPr="001E3C20">
        <w:rPr>
          <w:rFonts w:cs="Times New Roman"/>
          <w:sz w:val="24"/>
          <w:szCs w:val="24"/>
        </w:rPr>
        <w:lastRenderedPageBreak/>
        <w:t>To collect data, a drop-and-pick-later strategy was employed to distribute questionnaires to the sampled respondents across public universities. Respondents were given two weeks to complete the surveys before collection. To ensure all questionnaires are returned and properly managed, the researcher enlisted a research assistant to support in data collection process.</w:t>
      </w:r>
    </w:p>
    <w:p w:rsidR="006E6B9D" w:rsidRPr="001E3C20" w:rsidRDefault="006E6B9D" w:rsidP="006E6B9D">
      <w:pPr>
        <w:pStyle w:val="Heading2"/>
      </w:pPr>
      <w:bookmarkStart w:id="28" w:name="_Toc230811123"/>
      <w:r w:rsidRPr="001E3C20">
        <w:t>3.8 Data Analysis and Presentations</w:t>
      </w:r>
      <w:bookmarkEnd w:id="28"/>
      <w:r w:rsidRPr="001E3C20">
        <w:t xml:space="preserve"> </w:t>
      </w:r>
    </w:p>
    <w:p w:rsidR="006E6B9D" w:rsidRPr="001E3C20" w:rsidRDefault="006E6B9D" w:rsidP="006E6B9D">
      <w:pPr>
        <w:spacing w:after="240"/>
        <w:rPr>
          <w:rFonts w:cs="Times New Roman"/>
          <w:sz w:val="24"/>
          <w:szCs w:val="24"/>
        </w:rPr>
      </w:pPr>
      <w:r w:rsidRPr="001E3C20">
        <w:rPr>
          <w:rFonts w:cs="Times New Roman"/>
          <w:sz w:val="24"/>
          <w:szCs w:val="24"/>
        </w:rPr>
        <w:t>The data collected comprised of both quantitative and qualitative types. Once data collection was finalized, a thorough review was conducted to confirm that all questionnaires have been returned. The completed surveys were compiled, organized, checked for completeness, and then coded into SPSS version 27 for further analysis.</w:t>
      </w:r>
      <w:r w:rsidRPr="001E3C20">
        <w:rPr>
          <w:rFonts w:cs="Times New Roman"/>
        </w:rPr>
        <w:t xml:space="preserve"> </w:t>
      </w:r>
      <w:r w:rsidRPr="001E3C20">
        <w:rPr>
          <w:rFonts w:cs="Times New Roman"/>
          <w:sz w:val="24"/>
          <w:szCs w:val="24"/>
        </w:rPr>
        <w:t xml:space="preserve">Qualitative data were analyzed through content analysis, while quantitative data were examined using descriptive and inferential statistical methods, including regression analysis. Descriptive statistics such as means, standard deviations, frequencies, and percentages were calculated from the numerical data. For inferential analysis, techniques like regression and correlation were utilized to assess the strength and direction of relationships between variables. The findings from both descriptive and inferential analyses were displayed using frequency tables and graphical representations. </w:t>
      </w:r>
      <w:r w:rsidRPr="001E3C20">
        <w:rPr>
          <w:rFonts w:cs="Times New Roman"/>
        </w:rPr>
        <w:t>To assess the hypotheses, the study examined the correlation coefficients among the study variables. However, since correlation analysis alone is insufficient to establish the predictive relationship between variables, both Pearson correlation analysis and multiple linear regression analysis were employed to provide a more comprehensive evaluation, as presented below:</w:t>
      </w:r>
      <w:r w:rsidRPr="001E3C20">
        <w:rPr>
          <w:rFonts w:cs="Times New Roman"/>
          <w:sz w:val="24"/>
          <w:szCs w:val="24"/>
        </w:rPr>
        <w:t xml:space="preserve"> </w:t>
      </w:r>
    </w:p>
    <w:p w:rsidR="006E6B9D" w:rsidRPr="001E3C20" w:rsidRDefault="006E6B9D" w:rsidP="006E6B9D">
      <w:pPr>
        <w:tabs>
          <w:tab w:val="left" w:pos="6885"/>
        </w:tabs>
        <w:rPr>
          <w:rFonts w:eastAsia="Calibri" w:cs="Times New Roman"/>
          <w:sz w:val="24"/>
          <w:szCs w:val="24"/>
        </w:rPr>
      </w:pPr>
      <w:r w:rsidRPr="001E3C20">
        <w:rPr>
          <w:rFonts w:cs="Times New Roman"/>
          <w:sz w:val="24"/>
          <w:szCs w:val="24"/>
        </w:rPr>
        <w:t xml:space="preserve">The multiple regression model for the study were run as shown; </w:t>
      </w:r>
      <w:r w:rsidRPr="001E3C20">
        <w:rPr>
          <w:rFonts w:cs="Times New Roman"/>
          <w:sz w:val="24"/>
          <w:szCs w:val="24"/>
        </w:rPr>
        <w:tab/>
      </w:r>
    </w:p>
    <w:p w:rsidR="006E6B9D" w:rsidRPr="001E3C20" w:rsidRDefault="006E6B9D" w:rsidP="006E6B9D">
      <w:pPr>
        <w:spacing w:line="360" w:lineRule="auto"/>
        <w:rPr>
          <w:rFonts w:eastAsia="Calibri" w:cs="Times New Roman"/>
          <w:sz w:val="24"/>
          <w:szCs w:val="24"/>
        </w:rPr>
      </w:pPr>
      <w:r w:rsidRPr="001E3C20">
        <w:rPr>
          <w:rFonts w:eastAsia="Calibri" w:cs="Times New Roman"/>
          <w:sz w:val="24"/>
          <w:szCs w:val="24"/>
          <w:lang w:bidi="en-US"/>
        </w:rPr>
        <w:lastRenderedPageBreak/>
        <w:t>Y=</w:t>
      </w:r>
      <w:r w:rsidRPr="001E3C20">
        <w:rPr>
          <w:rFonts w:eastAsia="Calibri" w:cs="Times New Roman"/>
          <w:sz w:val="24"/>
          <w:szCs w:val="24"/>
        </w:rPr>
        <w:t xml:space="preserve"> ß</w:t>
      </w:r>
      <w:r w:rsidRPr="001E3C20">
        <w:rPr>
          <w:rFonts w:eastAsia="Calibri" w:cs="Times New Roman"/>
          <w:sz w:val="24"/>
          <w:szCs w:val="24"/>
          <w:vertAlign w:val="subscript"/>
        </w:rPr>
        <w:t>0</w:t>
      </w:r>
      <w:r w:rsidRPr="001E3C20">
        <w:rPr>
          <w:rFonts w:eastAsia="Calibri" w:cs="Times New Roman"/>
          <w:sz w:val="24"/>
          <w:szCs w:val="24"/>
        </w:rPr>
        <w:t xml:space="preserve"> + ß</w:t>
      </w:r>
      <w:r w:rsidRPr="001E3C20">
        <w:rPr>
          <w:rFonts w:eastAsia="Calibri" w:cs="Times New Roman"/>
          <w:sz w:val="24"/>
          <w:szCs w:val="24"/>
          <w:vertAlign w:val="subscript"/>
        </w:rPr>
        <w:t>1</w:t>
      </w:r>
      <w:r w:rsidRPr="001E3C20">
        <w:rPr>
          <w:rFonts w:eastAsia="Calibri" w:cs="Times New Roman"/>
          <w:sz w:val="24"/>
          <w:szCs w:val="24"/>
        </w:rPr>
        <w:t>X</w:t>
      </w:r>
      <w:r w:rsidRPr="001E3C20">
        <w:rPr>
          <w:rFonts w:eastAsia="Calibri" w:cs="Times New Roman"/>
          <w:sz w:val="24"/>
          <w:szCs w:val="24"/>
          <w:vertAlign w:val="subscript"/>
        </w:rPr>
        <w:t>1</w:t>
      </w:r>
      <w:r w:rsidRPr="001E3C20">
        <w:rPr>
          <w:rFonts w:eastAsia="Calibri" w:cs="Times New Roman"/>
          <w:sz w:val="24"/>
          <w:szCs w:val="24"/>
        </w:rPr>
        <w:t xml:space="preserve">+ </w:t>
      </w:r>
    </w:p>
    <w:p w:rsidR="006E6B9D" w:rsidRPr="001E3C20" w:rsidRDefault="006E6B9D" w:rsidP="006E6B9D">
      <w:pPr>
        <w:tabs>
          <w:tab w:val="left" w:pos="1275"/>
        </w:tabs>
        <w:rPr>
          <w:rFonts w:eastAsia="Times New Roman" w:cs="Times New Roman"/>
          <w:sz w:val="24"/>
          <w:szCs w:val="24"/>
        </w:rPr>
      </w:pPr>
      <w:r w:rsidRPr="001E3C20">
        <w:rPr>
          <w:rFonts w:eastAsia="Times New Roman" w:cs="Times New Roman"/>
          <w:sz w:val="24"/>
          <w:szCs w:val="24"/>
        </w:rPr>
        <w:t xml:space="preserve">Where; </w:t>
      </w:r>
      <w:r w:rsidRPr="001E3C20">
        <w:rPr>
          <w:rFonts w:eastAsia="Times New Roman" w:cs="Times New Roman"/>
          <w:sz w:val="24"/>
          <w:szCs w:val="24"/>
        </w:rPr>
        <w:tab/>
      </w:r>
    </w:p>
    <w:p w:rsidR="006E6B9D" w:rsidRPr="001E3C20" w:rsidRDefault="006E6B9D" w:rsidP="006E6B9D">
      <w:pPr>
        <w:rPr>
          <w:rFonts w:eastAsia="Times New Roman" w:cs="Times New Roman"/>
          <w:sz w:val="24"/>
          <w:szCs w:val="24"/>
        </w:rPr>
      </w:pPr>
      <w:r w:rsidRPr="001E3C20">
        <w:rPr>
          <w:rFonts w:eastAsia="Times New Roman" w:cs="Times New Roman"/>
          <w:sz w:val="24"/>
          <w:szCs w:val="24"/>
        </w:rPr>
        <w:t>Y= Dependent variable (</w:t>
      </w:r>
      <w:r w:rsidRPr="001E3C20">
        <w:rPr>
          <w:rFonts w:cs="Times New Roman"/>
          <w:sz w:val="24"/>
          <w:szCs w:val="24"/>
        </w:rPr>
        <w:t>Students’ Enrollment Decision</w:t>
      </w:r>
      <w:r w:rsidRPr="001E3C20">
        <w:rPr>
          <w:rFonts w:eastAsia="Times New Roman" w:cs="Times New Roman"/>
          <w:sz w:val="24"/>
          <w:szCs w:val="24"/>
        </w:rPr>
        <w:t>)</w:t>
      </w:r>
    </w:p>
    <w:p w:rsidR="006E6B9D" w:rsidRPr="001E3C20" w:rsidRDefault="006E6B9D" w:rsidP="006E6B9D">
      <w:pPr>
        <w:rPr>
          <w:rFonts w:eastAsia="Times New Roman" w:cs="Times New Roman"/>
          <w:sz w:val="24"/>
          <w:szCs w:val="24"/>
        </w:rPr>
      </w:pPr>
      <w:r w:rsidRPr="001E3C20">
        <w:rPr>
          <w:rFonts w:eastAsia="Times New Roman" w:cs="Times New Roman"/>
          <w:sz w:val="24"/>
          <w:szCs w:val="24"/>
        </w:rPr>
        <w:t xml:space="preserve">β0= constant </w:t>
      </w:r>
    </w:p>
    <w:p w:rsidR="006E6B9D" w:rsidRPr="00717974" w:rsidRDefault="006E6B9D" w:rsidP="00F62DC1">
      <w:pPr>
        <w:rPr>
          <w:rFonts w:eastAsia="Times New Roman" w:cs="Times New Roman"/>
          <w:sz w:val="24"/>
          <w:szCs w:val="24"/>
        </w:rPr>
      </w:pPr>
      <w:r w:rsidRPr="001E3C20">
        <w:rPr>
          <w:rFonts w:eastAsia="Times New Roman" w:cs="Times New Roman"/>
          <w:sz w:val="24"/>
          <w:szCs w:val="24"/>
        </w:rPr>
        <w:t xml:space="preserve"> β</w:t>
      </w:r>
      <w:r w:rsidRPr="001E3C20">
        <w:rPr>
          <w:rFonts w:eastAsia="Times New Roman" w:cs="Times New Roman"/>
          <w:sz w:val="24"/>
          <w:szCs w:val="24"/>
          <w:vertAlign w:val="subscript"/>
        </w:rPr>
        <w:t>1</w:t>
      </w:r>
      <w:r w:rsidR="00717974">
        <w:rPr>
          <w:rFonts w:eastAsia="Times New Roman" w:cs="Times New Roman"/>
          <w:sz w:val="24"/>
          <w:szCs w:val="24"/>
        </w:rPr>
        <w:t xml:space="preserve">= Brand salience </w:t>
      </w:r>
    </w:p>
    <w:p w:rsidR="006E6B9D" w:rsidRPr="00717974" w:rsidRDefault="006E6B9D" w:rsidP="006E6B9D">
      <w:pPr>
        <w:pStyle w:val="Heading2"/>
        <w:rPr>
          <w:b w:val="0"/>
        </w:rPr>
      </w:pPr>
      <w:bookmarkStart w:id="29" w:name="_Toc230811124"/>
      <w:r w:rsidRPr="00717974">
        <w:rPr>
          <w:rStyle w:val="Strong"/>
          <w:b/>
        </w:rPr>
        <w:t xml:space="preserve">3.10 </w:t>
      </w:r>
      <w:r w:rsidRPr="00717974">
        <w:rPr>
          <w:rStyle w:val="Strong"/>
          <w:rFonts w:eastAsiaTheme="majorEastAsia"/>
          <w:b/>
        </w:rPr>
        <w:t>Diagnostic Tests</w:t>
      </w:r>
      <w:bookmarkEnd w:id="29"/>
    </w:p>
    <w:p w:rsidR="006E6B9D" w:rsidRPr="001E3C20" w:rsidRDefault="006E6B9D" w:rsidP="006E6B9D">
      <w:pPr>
        <w:rPr>
          <w:rFonts w:cs="Times New Roman"/>
        </w:rPr>
      </w:pPr>
      <w:r w:rsidRPr="001E3C20">
        <w:rPr>
          <w:rFonts w:cs="Times New Roman"/>
        </w:rPr>
        <w:t>This section presents the diagnostic tests conducted to examine whether the assumptions underlying multiple regression analysis were satisfied. Testing these assumptions is critical to ensure the validity, reliability, and robustness of the estimated regression coefficients and subsequent inferences.</w:t>
      </w:r>
    </w:p>
    <w:p w:rsidR="006E6B9D" w:rsidRPr="001E3C20" w:rsidRDefault="006E6B9D" w:rsidP="006E6B9D">
      <w:pPr>
        <w:rPr>
          <w:rFonts w:cs="Times New Roman"/>
        </w:rPr>
      </w:pPr>
      <w:r w:rsidRPr="001E3C20">
        <w:rPr>
          <w:rFonts w:cs="Times New Roman"/>
        </w:rPr>
        <w:t>The table below summarizes the diagnostic tests, criteria, and decision thresholds used in the study.</w:t>
      </w:r>
    </w:p>
    <w:p w:rsidR="006E6B9D" w:rsidRPr="001E3C20" w:rsidRDefault="006E6B9D" w:rsidP="006E6B9D">
      <w:pPr>
        <w:pStyle w:val="Heading4"/>
        <w:rPr>
          <w:rFonts w:ascii="Times New Roman" w:hAnsi="Times New Roman" w:cs="Times New Roman"/>
          <w:b/>
          <w:i w:val="0"/>
          <w:color w:val="auto"/>
        </w:rPr>
      </w:pPr>
      <w:bookmarkStart w:id="30" w:name="_Toc229492442"/>
      <w:r w:rsidRPr="001E3C20">
        <w:rPr>
          <w:rFonts w:ascii="Times New Roman" w:hAnsi="Times New Roman" w:cs="Times New Roman"/>
          <w:color w:val="auto"/>
        </w:rPr>
        <w:t>Table 3.5: Diagnostic Test Summary</w:t>
      </w:r>
      <w:bookmarkEnd w:id="30"/>
    </w:p>
    <w:tbl>
      <w:tblPr>
        <w:tblStyle w:val="TableGrid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2642"/>
        <w:gridCol w:w="1447"/>
        <w:gridCol w:w="2196"/>
      </w:tblGrid>
      <w:tr w:rsidR="006E6B9D" w:rsidRPr="001E3C20" w:rsidTr="007531DF">
        <w:tc>
          <w:tcPr>
            <w:tcW w:w="0" w:type="auto"/>
            <w:tcBorders>
              <w:top w:val="single" w:sz="4" w:space="0" w:color="auto"/>
              <w:bottom w:val="single" w:sz="4" w:space="0" w:color="auto"/>
            </w:tcBorders>
          </w:tcPr>
          <w:p w:rsidR="006E6B9D" w:rsidRPr="001E3C20" w:rsidRDefault="006E6B9D" w:rsidP="007531DF">
            <w:pPr>
              <w:spacing w:before="0" w:after="0" w:line="360" w:lineRule="auto"/>
              <w:jc w:val="center"/>
              <w:rPr>
                <w:b/>
                <w:bCs/>
              </w:rPr>
            </w:pPr>
            <w:r w:rsidRPr="001E3C20">
              <w:rPr>
                <w:b/>
                <w:bCs/>
              </w:rPr>
              <w:t>Assumption</w:t>
            </w:r>
          </w:p>
        </w:tc>
        <w:tc>
          <w:tcPr>
            <w:tcW w:w="0" w:type="auto"/>
            <w:tcBorders>
              <w:top w:val="single" w:sz="4" w:space="0" w:color="auto"/>
              <w:bottom w:val="single" w:sz="4" w:space="0" w:color="auto"/>
            </w:tcBorders>
          </w:tcPr>
          <w:p w:rsidR="006E6B9D" w:rsidRPr="001E3C20" w:rsidRDefault="006E6B9D" w:rsidP="007531DF">
            <w:pPr>
              <w:spacing w:before="0" w:after="0" w:line="360" w:lineRule="auto"/>
              <w:jc w:val="center"/>
              <w:rPr>
                <w:b/>
                <w:bCs/>
              </w:rPr>
            </w:pPr>
            <w:r w:rsidRPr="001E3C20">
              <w:rPr>
                <w:b/>
                <w:bCs/>
              </w:rPr>
              <w:t>Test</w:t>
            </w:r>
          </w:p>
        </w:tc>
        <w:tc>
          <w:tcPr>
            <w:tcW w:w="0" w:type="auto"/>
            <w:tcBorders>
              <w:top w:val="single" w:sz="4" w:space="0" w:color="auto"/>
              <w:bottom w:val="single" w:sz="4" w:space="0" w:color="auto"/>
            </w:tcBorders>
          </w:tcPr>
          <w:p w:rsidR="006E6B9D" w:rsidRPr="001E3C20" w:rsidRDefault="006E6B9D" w:rsidP="007531DF">
            <w:pPr>
              <w:spacing w:before="0" w:after="0" w:line="360" w:lineRule="auto"/>
              <w:jc w:val="center"/>
              <w:rPr>
                <w:b/>
                <w:bCs/>
              </w:rPr>
            </w:pPr>
            <w:r w:rsidRPr="001E3C20">
              <w:rPr>
                <w:b/>
                <w:bCs/>
              </w:rPr>
              <w:t>Threshold</w:t>
            </w:r>
          </w:p>
        </w:tc>
        <w:tc>
          <w:tcPr>
            <w:tcW w:w="0" w:type="auto"/>
            <w:tcBorders>
              <w:top w:val="single" w:sz="4" w:space="0" w:color="auto"/>
              <w:bottom w:val="single" w:sz="4" w:space="0" w:color="auto"/>
            </w:tcBorders>
          </w:tcPr>
          <w:p w:rsidR="006E6B9D" w:rsidRPr="001E3C20" w:rsidRDefault="006E6B9D" w:rsidP="007531DF">
            <w:pPr>
              <w:spacing w:before="0" w:after="0" w:line="360" w:lineRule="auto"/>
              <w:jc w:val="center"/>
              <w:rPr>
                <w:b/>
                <w:bCs/>
              </w:rPr>
            </w:pPr>
            <w:r w:rsidRPr="001E3C20">
              <w:rPr>
                <w:b/>
                <w:bCs/>
              </w:rPr>
              <w:t>Comment</w:t>
            </w:r>
          </w:p>
        </w:tc>
      </w:tr>
      <w:tr w:rsidR="001E3C20" w:rsidRPr="001E3C20" w:rsidTr="007531DF">
        <w:tc>
          <w:tcPr>
            <w:tcW w:w="0" w:type="auto"/>
            <w:tcBorders>
              <w:top w:val="single" w:sz="4" w:space="0" w:color="auto"/>
            </w:tcBorders>
          </w:tcPr>
          <w:p w:rsidR="006E6B9D" w:rsidRPr="001E3C20" w:rsidRDefault="006E6B9D" w:rsidP="007531DF">
            <w:pPr>
              <w:spacing w:before="0" w:after="0" w:line="360" w:lineRule="auto"/>
              <w:jc w:val="left"/>
            </w:pPr>
            <w:r w:rsidRPr="001E3C20">
              <w:t>Normality</w:t>
            </w:r>
          </w:p>
        </w:tc>
        <w:tc>
          <w:tcPr>
            <w:tcW w:w="0" w:type="auto"/>
            <w:tcBorders>
              <w:top w:val="single" w:sz="4" w:space="0" w:color="auto"/>
            </w:tcBorders>
          </w:tcPr>
          <w:p w:rsidR="006E6B9D" w:rsidRPr="001E3C20" w:rsidRDefault="006E6B9D" w:rsidP="007531DF">
            <w:pPr>
              <w:spacing w:before="0" w:after="0" w:line="360" w:lineRule="auto"/>
            </w:pPr>
            <w:r w:rsidRPr="001E3C20">
              <w:t>Kolmogorov-Smirnov</w:t>
            </w:r>
          </w:p>
        </w:tc>
        <w:tc>
          <w:tcPr>
            <w:tcW w:w="0" w:type="auto"/>
            <w:tcBorders>
              <w:top w:val="single" w:sz="4" w:space="0" w:color="auto"/>
            </w:tcBorders>
          </w:tcPr>
          <w:p w:rsidR="006E6B9D" w:rsidRPr="001E3C20" w:rsidRDefault="006E6B9D" w:rsidP="007531DF">
            <w:pPr>
              <w:spacing w:before="0" w:after="0" w:line="360" w:lineRule="auto"/>
            </w:pPr>
            <w:r w:rsidRPr="001E3C20">
              <w:t>p &gt; 0.05</w:t>
            </w:r>
          </w:p>
        </w:tc>
        <w:tc>
          <w:tcPr>
            <w:tcW w:w="0" w:type="auto"/>
            <w:tcBorders>
              <w:top w:val="single" w:sz="4" w:space="0" w:color="auto"/>
            </w:tcBorders>
          </w:tcPr>
          <w:p w:rsidR="006E6B9D" w:rsidRPr="001E3C20" w:rsidRDefault="006E6B9D" w:rsidP="007531DF">
            <w:pPr>
              <w:spacing w:before="0" w:after="0" w:line="360" w:lineRule="auto"/>
            </w:pPr>
            <w:r w:rsidRPr="001E3C20">
              <w:t>Normal Distribution</w:t>
            </w:r>
          </w:p>
        </w:tc>
      </w:tr>
      <w:tr w:rsidR="001E3C20" w:rsidRPr="001E3C20" w:rsidTr="007531DF">
        <w:tc>
          <w:tcPr>
            <w:tcW w:w="0" w:type="auto"/>
          </w:tcPr>
          <w:p w:rsidR="006E6B9D" w:rsidRPr="001E3C20" w:rsidRDefault="006E6B9D" w:rsidP="007531DF">
            <w:pPr>
              <w:spacing w:before="0" w:after="0" w:line="360" w:lineRule="auto"/>
            </w:pPr>
            <w:r w:rsidRPr="001E3C20">
              <w:t>Linearity</w:t>
            </w:r>
          </w:p>
        </w:tc>
        <w:tc>
          <w:tcPr>
            <w:tcW w:w="0" w:type="auto"/>
          </w:tcPr>
          <w:p w:rsidR="006E6B9D" w:rsidRPr="001E3C20" w:rsidRDefault="006E6B9D" w:rsidP="007531DF">
            <w:pPr>
              <w:spacing w:before="0" w:after="0" w:line="360" w:lineRule="auto"/>
            </w:pPr>
            <w:r w:rsidRPr="001E3C20">
              <w:t>ANOVA Test</w:t>
            </w:r>
          </w:p>
        </w:tc>
        <w:tc>
          <w:tcPr>
            <w:tcW w:w="0" w:type="auto"/>
          </w:tcPr>
          <w:p w:rsidR="006E6B9D" w:rsidRPr="001E3C20" w:rsidRDefault="006E6B9D" w:rsidP="007531DF">
            <w:pPr>
              <w:spacing w:before="0" w:after="0" w:line="360" w:lineRule="auto"/>
            </w:pPr>
            <w:r w:rsidRPr="001E3C20">
              <w:t>p &lt; 0.05</w:t>
            </w:r>
          </w:p>
        </w:tc>
        <w:tc>
          <w:tcPr>
            <w:tcW w:w="0" w:type="auto"/>
          </w:tcPr>
          <w:p w:rsidR="006E6B9D" w:rsidRPr="001E3C20" w:rsidRDefault="006E6B9D" w:rsidP="007531DF">
            <w:pPr>
              <w:spacing w:before="0" w:after="0" w:line="360" w:lineRule="auto"/>
            </w:pPr>
            <w:r w:rsidRPr="001E3C20">
              <w:t>Linear Relationship</w:t>
            </w:r>
          </w:p>
        </w:tc>
      </w:tr>
      <w:tr w:rsidR="001E3C20" w:rsidRPr="001E3C20" w:rsidTr="007531DF">
        <w:tc>
          <w:tcPr>
            <w:tcW w:w="0" w:type="auto"/>
          </w:tcPr>
          <w:p w:rsidR="006E6B9D" w:rsidRPr="001E3C20" w:rsidRDefault="006E6B9D" w:rsidP="007531DF">
            <w:pPr>
              <w:spacing w:before="0" w:after="0" w:line="360" w:lineRule="auto"/>
            </w:pPr>
            <w:r w:rsidRPr="001E3C20">
              <w:t>Autocorrelation</w:t>
            </w:r>
          </w:p>
        </w:tc>
        <w:tc>
          <w:tcPr>
            <w:tcW w:w="0" w:type="auto"/>
          </w:tcPr>
          <w:p w:rsidR="006E6B9D" w:rsidRPr="001E3C20" w:rsidRDefault="006E6B9D" w:rsidP="007531DF">
            <w:pPr>
              <w:spacing w:before="0" w:after="0" w:line="360" w:lineRule="auto"/>
            </w:pPr>
            <w:r w:rsidRPr="001E3C20">
              <w:t>Durbin-Watson Test</w:t>
            </w:r>
          </w:p>
        </w:tc>
        <w:tc>
          <w:tcPr>
            <w:tcW w:w="0" w:type="auto"/>
          </w:tcPr>
          <w:p w:rsidR="006E6B9D" w:rsidRPr="001E3C20" w:rsidRDefault="006E6B9D" w:rsidP="007531DF">
            <w:pPr>
              <w:spacing w:before="0" w:after="0" w:line="360" w:lineRule="auto"/>
            </w:pPr>
            <w:r w:rsidRPr="001E3C20">
              <w:t>1.5 &lt; d &lt; 2.5</w:t>
            </w:r>
          </w:p>
        </w:tc>
        <w:tc>
          <w:tcPr>
            <w:tcW w:w="0" w:type="auto"/>
          </w:tcPr>
          <w:p w:rsidR="006E6B9D" w:rsidRPr="001E3C20" w:rsidRDefault="006E6B9D" w:rsidP="007531DF">
            <w:pPr>
              <w:spacing w:before="0" w:after="0" w:line="360" w:lineRule="auto"/>
            </w:pPr>
            <w:r w:rsidRPr="001E3C20">
              <w:t>No Autocorrelation</w:t>
            </w:r>
          </w:p>
        </w:tc>
      </w:tr>
      <w:tr w:rsidR="001E3C20" w:rsidRPr="001E3C20" w:rsidTr="007531DF">
        <w:tc>
          <w:tcPr>
            <w:tcW w:w="0" w:type="auto"/>
          </w:tcPr>
          <w:p w:rsidR="006E6B9D" w:rsidRPr="001E3C20" w:rsidRDefault="006E6B9D" w:rsidP="007531DF">
            <w:pPr>
              <w:spacing w:before="0" w:after="0" w:line="360" w:lineRule="auto"/>
            </w:pPr>
            <w:proofErr w:type="spellStart"/>
            <w:r w:rsidRPr="001E3C20">
              <w:t>Multicollinearity</w:t>
            </w:r>
            <w:proofErr w:type="spellEnd"/>
          </w:p>
        </w:tc>
        <w:tc>
          <w:tcPr>
            <w:tcW w:w="0" w:type="auto"/>
          </w:tcPr>
          <w:p w:rsidR="006E6B9D" w:rsidRPr="001E3C20" w:rsidRDefault="006E6B9D" w:rsidP="007531DF">
            <w:pPr>
              <w:spacing w:before="0" w:after="0" w:line="360" w:lineRule="auto"/>
            </w:pPr>
            <w:r w:rsidRPr="001E3C20">
              <w:t>Variance Inflation Factor</w:t>
            </w:r>
          </w:p>
        </w:tc>
        <w:tc>
          <w:tcPr>
            <w:tcW w:w="0" w:type="auto"/>
          </w:tcPr>
          <w:p w:rsidR="006E6B9D" w:rsidRPr="001E3C20" w:rsidRDefault="006E6B9D" w:rsidP="007531DF">
            <w:pPr>
              <w:spacing w:before="0" w:after="0" w:line="360" w:lineRule="auto"/>
            </w:pPr>
            <w:r w:rsidRPr="001E3C20">
              <w:t>VIF &lt; 10</w:t>
            </w:r>
          </w:p>
        </w:tc>
        <w:tc>
          <w:tcPr>
            <w:tcW w:w="0" w:type="auto"/>
          </w:tcPr>
          <w:p w:rsidR="006E6B9D" w:rsidRPr="001E3C20" w:rsidRDefault="006E6B9D" w:rsidP="007531DF">
            <w:pPr>
              <w:spacing w:before="0" w:after="0" w:line="360" w:lineRule="auto"/>
            </w:pPr>
            <w:r w:rsidRPr="001E3C20">
              <w:t xml:space="preserve">No </w:t>
            </w:r>
            <w:proofErr w:type="spellStart"/>
            <w:r w:rsidRPr="001E3C20">
              <w:t>Multicollinearity</w:t>
            </w:r>
            <w:proofErr w:type="spellEnd"/>
          </w:p>
        </w:tc>
      </w:tr>
      <w:tr w:rsidR="006E6B9D" w:rsidRPr="001E3C20" w:rsidTr="007531DF">
        <w:tc>
          <w:tcPr>
            <w:tcW w:w="0" w:type="auto"/>
          </w:tcPr>
          <w:p w:rsidR="006E6B9D" w:rsidRPr="001E3C20" w:rsidRDefault="006E6B9D" w:rsidP="007531DF">
            <w:pPr>
              <w:spacing w:before="0" w:after="0" w:line="360" w:lineRule="auto"/>
            </w:pPr>
            <w:r w:rsidRPr="001E3C20">
              <w:t>Homoscedasticity</w:t>
            </w:r>
          </w:p>
        </w:tc>
        <w:tc>
          <w:tcPr>
            <w:tcW w:w="0" w:type="auto"/>
          </w:tcPr>
          <w:p w:rsidR="006E6B9D" w:rsidRPr="001E3C20" w:rsidRDefault="006E6B9D" w:rsidP="007531DF">
            <w:pPr>
              <w:spacing w:before="0" w:after="0" w:line="360" w:lineRule="auto"/>
            </w:pPr>
            <w:proofErr w:type="spellStart"/>
            <w:r w:rsidRPr="001E3C20">
              <w:t>Levene’s</w:t>
            </w:r>
            <w:proofErr w:type="spellEnd"/>
            <w:r w:rsidRPr="001E3C20">
              <w:t xml:space="preserve"> Test</w:t>
            </w:r>
          </w:p>
        </w:tc>
        <w:tc>
          <w:tcPr>
            <w:tcW w:w="0" w:type="auto"/>
          </w:tcPr>
          <w:p w:rsidR="006E6B9D" w:rsidRPr="001E3C20" w:rsidRDefault="006E6B9D" w:rsidP="007531DF">
            <w:pPr>
              <w:spacing w:before="0" w:after="0" w:line="360" w:lineRule="auto"/>
            </w:pPr>
            <w:r w:rsidRPr="001E3C20">
              <w:t>p &gt; 0.05</w:t>
            </w:r>
          </w:p>
        </w:tc>
        <w:tc>
          <w:tcPr>
            <w:tcW w:w="0" w:type="auto"/>
          </w:tcPr>
          <w:p w:rsidR="006E6B9D" w:rsidRPr="001E3C20" w:rsidRDefault="006E6B9D" w:rsidP="007531DF">
            <w:pPr>
              <w:spacing w:before="0" w:after="0" w:line="360" w:lineRule="auto"/>
            </w:pPr>
            <w:r w:rsidRPr="001E3C20">
              <w:t>Homoscedastic</w:t>
            </w:r>
          </w:p>
        </w:tc>
      </w:tr>
    </w:tbl>
    <w:p w:rsidR="006E6B9D" w:rsidRPr="001E3C20" w:rsidRDefault="006E6B9D" w:rsidP="006E6B9D">
      <w:pPr>
        <w:rPr>
          <w:rFonts w:cs="Times New Roman"/>
        </w:rPr>
      </w:pPr>
      <w:r w:rsidRPr="001E3C20">
        <w:rPr>
          <w:rFonts w:cs="Times New Roman"/>
        </w:rPr>
        <w:t>Table 3.5 outlines the statistical criteria used to evaluate each regression assumption. The subsequent sections provide detailed results and interpretations.</w:t>
      </w:r>
    </w:p>
    <w:p w:rsidR="006E6B9D" w:rsidRPr="00EA0243" w:rsidRDefault="006E6B9D" w:rsidP="006E6B9D">
      <w:pPr>
        <w:pStyle w:val="Heading3"/>
        <w:rPr>
          <w:rFonts w:ascii="Times New Roman" w:hAnsi="Times New Roman" w:cs="Times New Roman"/>
          <w:b/>
          <w:color w:val="auto"/>
        </w:rPr>
      </w:pPr>
      <w:bookmarkStart w:id="31" w:name="_Toc230811125"/>
      <w:r w:rsidRPr="00EA0243">
        <w:rPr>
          <w:rFonts w:ascii="Times New Roman" w:hAnsi="Times New Roman" w:cs="Times New Roman"/>
          <w:b/>
          <w:color w:val="auto"/>
        </w:rPr>
        <w:t>3.10.1 Normality Test</w:t>
      </w:r>
      <w:bookmarkEnd w:id="31"/>
    </w:p>
    <w:p w:rsidR="006E6B9D" w:rsidRPr="001E3C20" w:rsidRDefault="006E6B9D" w:rsidP="006E6B9D">
      <w:pPr>
        <w:rPr>
          <w:rFonts w:cs="Times New Roman"/>
        </w:rPr>
      </w:pPr>
      <w:r w:rsidRPr="001E3C20">
        <w:rPr>
          <w:rFonts w:cs="Times New Roman"/>
        </w:rPr>
        <w:t xml:space="preserve">Normality refers to the extent to which the data follows a normal distribution, which is essential for ensuring valid parametric statistical inference. It was assessed using the Kolmogorov–Smirnov </w:t>
      </w:r>
      <w:r w:rsidRPr="001E3C20">
        <w:rPr>
          <w:rFonts w:cs="Times New Roman"/>
        </w:rPr>
        <w:lastRenderedPageBreak/>
        <w:t xml:space="preserve">and Shapiro–Wilk tests, supported by skewness and kurtosis measures (Hair et al., 2019; </w:t>
      </w:r>
      <w:proofErr w:type="spellStart"/>
      <w:r w:rsidRPr="001E3C20">
        <w:rPr>
          <w:rFonts w:cs="Times New Roman"/>
        </w:rPr>
        <w:t>Ghasemi</w:t>
      </w:r>
      <w:proofErr w:type="spellEnd"/>
      <w:r w:rsidRPr="001E3C20">
        <w:rPr>
          <w:rFonts w:cs="Times New Roman"/>
        </w:rPr>
        <w:t xml:space="preserve"> &amp; </w:t>
      </w:r>
      <w:proofErr w:type="spellStart"/>
      <w:r w:rsidRPr="001E3C20">
        <w:rPr>
          <w:rFonts w:cs="Times New Roman"/>
        </w:rPr>
        <w:t>Zahediasl</w:t>
      </w:r>
      <w:proofErr w:type="spellEnd"/>
      <w:r w:rsidRPr="001E3C20">
        <w:rPr>
          <w:rFonts w:cs="Times New Roman"/>
        </w:rPr>
        <w:t>, 2012). If p &gt; 0.05, the data is considered normally distributed. Additionally, skewness within ±2 and kurtosis within ±7 indicate acceptable normality.</w:t>
      </w:r>
    </w:p>
    <w:p w:rsidR="006E6B9D" w:rsidRPr="001E3C20" w:rsidRDefault="006E6B9D" w:rsidP="006E6B9D">
      <w:pPr>
        <w:pStyle w:val="Heading4"/>
        <w:rPr>
          <w:rFonts w:ascii="Times New Roman" w:hAnsi="Times New Roman" w:cs="Times New Roman"/>
          <w:color w:val="auto"/>
        </w:rPr>
      </w:pPr>
      <w:bookmarkStart w:id="32" w:name="_Toc229492443"/>
      <w:r w:rsidRPr="001E3C20">
        <w:rPr>
          <w:rFonts w:ascii="Times New Roman" w:hAnsi="Times New Roman" w:cs="Times New Roman"/>
          <w:color w:val="auto"/>
        </w:rPr>
        <w:t>Table 3.6: Normality Test</w:t>
      </w:r>
      <w:bookmarkEnd w:id="32"/>
      <w:r w:rsidRPr="001E3C20">
        <w:rPr>
          <w:rFonts w:ascii="Times New Roman" w:hAnsi="Times New Roman" w:cs="Times New Roman"/>
          <w:color w:val="auto"/>
        </w:rPr>
        <w:t xml:space="preserve"> </w:t>
      </w:r>
    </w:p>
    <w:tbl>
      <w:tblPr>
        <w:tblStyle w:val="TableGrid1"/>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70"/>
        <w:gridCol w:w="735"/>
        <w:gridCol w:w="753"/>
        <w:gridCol w:w="1177"/>
        <w:gridCol w:w="1028"/>
        <w:gridCol w:w="950"/>
        <w:gridCol w:w="2227"/>
      </w:tblGrid>
      <w:tr w:rsidR="006E6B9D" w:rsidRPr="001E3C20" w:rsidTr="006E6B9D">
        <w:tc>
          <w:tcPr>
            <w:tcW w:w="1024" w:type="pct"/>
            <w:tcBorders>
              <w:top w:val="single" w:sz="4" w:space="0" w:color="auto"/>
              <w:bottom w:val="single" w:sz="4" w:space="0" w:color="auto"/>
            </w:tcBorders>
          </w:tcPr>
          <w:p w:rsidR="006E6B9D" w:rsidRPr="001E3C20" w:rsidRDefault="006E6B9D" w:rsidP="007531DF">
            <w:pPr>
              <w:spacing w:before="0" w:after="0" w:line="360" w:lineRule="auto"/>
              <w:jc w:val="center"/>
              <w:rPr>
                <w:b/>
                <w:bCs/>
                <w:sz w:val="20"/>
                <w:szCs w:val="20"/>
              </w:rPr>
            </w:pPr>
            <w:r w:rsidRPr="001E3C20">
              <w:rPr>
                <w:b/>
                <w:bCs/>
                <w:sz w:val="20"/>
                <w:szCs w:val="20"/>
              </w:rPr>
              <w:t>Variable</w:t>
            </w:r>
          </w:p>
        </w:tc>
        <w:tc>
          <w:tcPr>
            <w:tcW w:w="425" w:type="pct"/>
            <w:tcBorders>
              <w:top w:val="single" w:sz="4" w:space="0" w:color="auto"/>
              <w:bottom w:val="single" w:sz="4" w:space="0" w:color="auto"/>
            </w:tcBorders>
          </w:tcPr>
          <w:p w:rsidR="006E6B9D" w:rsidRPr="001E3C20" w:rsidRDefault="006E6B9D" w:rsidP="007531DF">
            <w:pPr>
              <w:spacing w:before="0" w:after="0" w:line="360" w:lineRule="auto"/>
              <w:jc w:val="center"/>
              <w:rPr>
                <w:b/>
                <w:bCs/>
                <w:sz w:val="20"/>
                <w:szCs w:val="20"/>
              </w:rPr>
            </w:pPr>
            <w:r w:rsidRPr="001E3C20">
              <w:rPr>
                <w:b/>
                <w:bCs/>
                <w:sz w:val="20"/>
                <w:szCs w:val="20"/>
              </w:rPr>
              <w:t>K-S Sig.</w:t>
            </w:r>
          </w:p>
        </w:tc>
        <w:tc>
          <w:tcPr>
            <w:tcW w:w="436" w:type="pct"/>
            <w:tcBorders>
              <w:top w:val="single" w:sz="4" w:space="0" w:color="auto"/>
              <w:bottom w:val="single" w:sz="4" w:space="0" w:color="auto"/>
            </w:tcBorders>
          </w:tcPr>
          <w:p w:rsidR="006E6B9D" w:rsidRPr="001E3C20" w:rsidRDefault="006E6B9D" w:rsidP="007531DF">
            <w:pPr>
              <w:spacing w:before="0" w:after="0" w:line="360" w:lineRule="auto"/>
              <w:jc w:val="center"/>
              <w:rPr>
                <w:b/>
                <w:bCs/>
                <w:sz w:val="20"/>
                <w:szCs w:val="20"/>
              </w:rPr>
            </w:pPr>
            <w:r w:rsidRPr="001E3C20">
              <w:rPr>
                <w:b/>
                <w:bCs/>
                <w:sz w:val="20"/>
                <w:szCs w:val="20"/>
              </w:rPr>
              <w:t>S-W Sig.</w:t>
            </w:r>
          </w:p>
        </w:tc>
        <w:tc>
          <w:tcPr>
            <w:tcW w:w="681" w:type="pct"/>
            <w:tcBorders>
              <w:top w:val="single" w:sz="4" w:space="0" w:color="auto"/>
              <w:bottom w:val="single" w:sz="4" w:space="0" w:color="auto"/>
            </w:tcBorders>
          </w:tcPr>
          <w:p w:rsidR="006E6B9D" w:rsidRPr="001E3C20" w:rsidRDefault="006E6B9D" w:rsidP="007531DF">
            <w:pPr>
              <w:spacing w:before="0" w:after="0" w:line="360" w:lineRule="auto"/>
              <w:jc w:val="center"/>
              <w:rPr>
                <w:b/>
                <w:bCs/>
                <w:sz w:val="20"/>
                <w:szCs w:val="20"/>
              </w:rPr>
            </w:pPr>
            <w:r w:rsidRPr="001E3C20">
              <w:rPr>
                <w:b/>
                <w:bCs/>
                <w:sz w:val="20"/>
                <w:szCs w:val="20"/>
              </w:rPr>
              <w:t>Threshold (p &gt; 0.05)</w:t>
            </w:r>
          </w:p>
        </w:tc>
        <w:tc>
          <w:tcPr>
            <w:tcW w:w="595" w:type="pct"/>
            <w:tcBorders>
              <w:top w:val="single" w:sz="4" w:space="0" w:color="auto"/>
              <w:bottom w:val="single" w:sz="4" w:space="0" w:color="auto"/>
            </w:tcBorders>
          </w:tcPr>
          <w:p w:rsidR="006E6B9D" w:rsidRPr="001E3C20" w:rsidRDefault="006E6B9D" w:rsidP="007531DF">
            <w:pPr>
              <w:spacing w:before="0" w:after="0" w:line="360" w:lineRule="auto"/>
              <w:jc w:val="center"/>
              <w:rPr>
                <w:b/>
                <w:bCs/>
                <w:sz w:val="20"/>
                <w:szCs w:val="20"/>
              </w:rPr>
            </w:pPr>
            <w:r w:rsidRPr="001E3C20">
              <w:rPr>
                <w:b/>
                <w:bCs/>
                <w:sz w:val="20"/>
                <w:szCs w:val="20"/>
              </w:rPr>
              <w:t>Skewness</w:t>
            </w:r>
          </w:p>
        </w:tc>
        <w:tc>
          <w:tcPr>
            <w:tcW w:w="550" w:type="pct"/>
            <w:tcBorders>
              <w:top w:val="single" w:sz="4" w:space="0" w:color="auto"/>
              <w:bottom w:val="single" w:sz="4" w:space="0" w:color="auto"/>
            </w:tcBorders>
          </w:tcPr>
          <w:p w:rsidR="006E6B9D" w:rsidRPr="001E3C20" w:rsidRDefault="006E6B9D" w:rsidP="007531DF">
            <w:pPr>
              <w:spacing w:before="0" w:after="0" w:line="360" w:lineRule="auto"/>
              <w:jc w:val="center"/>
              <w:rPr>
                <w:b/>
                <w:bCs/>
                <w:sz w:val="20"/>
                <w:szCs w:val="20"/>
              </w:rPr>
            </w:pPr>
            <w:r w:rsidRPr="001E3C20">
              <w:rPr>
                <w:b/>
                <w:bCs/>
                <w:sz w:val="20"/>
                <w:szCs w:val="20"/>
              </w:rPr>
              <w:t>Kurtosis</w:t>
            </w:r>
          </w:p>
        </w:tc>
        <w:tc>
          <w:tcPr>
            <w:tcW w:w="1289" w:type="pct"/>
            <w:tcBorders>
              <w:top w:val="single" w:sz="4" w:space="0" w:color="auto"/>
              <w:bottom w:val="single" w:sz="4" w:space="0" w:color="auto"/>
            </w:tcBorders>
          </w:tcPr>
          <w:p w:rsidR="006E6B9D" w:rsidRPr="001E3C20" w:rsidRDefault="006E6B9D" w:rsidP="007531DF">
            <w:pPr>
              <w:spacing w:before="0" w:after="0" w:line="360" w:lineRule="auto"/>
              <w:jc w:val="center"/>
              <w:rPr>
                <w:b/>
                <w:bCs/>
                <w:sz w:val="20"/>
                <w:szCs w:val="20"/>
              </w:rPr>
            </w:pPr>
            <w:r w:rsidRPr="001E3C20">
              <w:rPr>
                <w:b/>
                <w:bCs/>
                <w:sz w:val="20"/>
                <w:szCs w:val="20"/>
              </w:rPr>
              <w:t>Comment</w:t>
            </w:r>
          </w:p>
        </w:tc>
      </w:tr>
      <w:tr w:rsidR="001E3C20" w:rsidRPr="001E3C20" w:rsidTr="006E6B9D">
        <w:tc>
          <w:tcPr>
            <w:tcW w:w="1024" w:type="pct"/>
            <w:tcBorders>
              <w:top w:val="single" w:sz="4" w:space="0" w:color="auto"/>
            </w:tcBorders>
          </w:tcPr>
          <w:p w:rsidR="006E6B9D" w:rsidRPr="001E3C20" w:rsidRDefault="006E6B9D" w:rsidP="007531DF">
            <w:pPr>
              <w:spacing w:before="0" w:after="0" w:line="360" w:lineRule="auto"/>
              <w:jc w:val="left"/>
              <w:rPr>
                <w:sz w:val="20"/>
                <w:szCs w:val="20"/>
              </w:rPr>
            </w:pPr>
            <w:r w:rsidRPr="001E3C20">
              <w:rPr>
                <w:sz w:val="20"/>
                <w:szCs w:val="20"/>
              </w:rPr>
              <w:t>Brand Salience</w:t>
            </w:r>
          </w:p>
        </w:tc>
        <w:tc>
          <w:tcPr>
            <w:tcW w:w="425" w:type="pct"/>
            <w:tcBorders>
              <w:top w:val="single" w:sz="4" w:space="0" w:color="auto"/>
            </w:tcBorders>
          </w:tcPr>
          <w:p w:rsidR="006E6B9D" w:rsidRPr="001E3C20" w:rsidRDefault="006E6B9D" w:rsidP="007531DF">
            <w:pPr>
              <w:spacing w:before="0" w:after="0" w:line="360" w:lineRule="auto"/>
              <w:jc w:val="center"/>
              <w:rPr>
                <w:sz w:val="20"/>
                <w:szCs w:val="20"/>
              </w:rPr>
            </w:pPr>
            <w:r w:rsidRPr="001E3C20">
              <w:rPr>
                <w:sz w:val="20"/>
                <w:szCs w:val="20"/>
              </w:rPr>
              <w:t>0.059</w:t>
            </w:r>
          </w:p>
        </w:tc>
        <w:tc>
          <w:tcPr>
            <w:tcW w:w="436" w:type="pct"/>
            <w:tcBorders>
              <w:top w:val="single" w:sz="4" w:space="0" w:color="auto"/>
            </w:tcBorders>
          </w:tcPr>
          <w:p w:rsidR="006E6B9D" w:rsidRPr="001E3C20" w:rsidRDefault="006E6B9D" w:rsidP="007531DF">
            <w:pPr>
              <w:spacing w:before="0" w:after="0" w:line="360" w:lineRule="auto"/>
              <w:jc w:val="center"/>
              <w:rPr>
                <w:sz w:val="20"/>
                <w:szCs w:val="20"/>
              </w:rPr>
            </w:pPr>
            <w:r w:rsidRPr="001E3C20">
              <w:rPr>
                <w:sz w:val="20"/>
                <w:szCs w:val="20"/>
              </w:rPr>
              <w:t>0.053</w:t>
            </w:r>
          </w:p>
        </w:tc>
        <w:tc>
          <w:tcPr>
            <w:tcW w:w="681" w:type="pct"/>
            <w:tcBorders>
              <w:top w:val="single" w:sz="4" w:space="0" w:color="auto"/>
            </w:tcBorders>
          </w:tcPr>
          <w:p w:rsidR="006E6B9D" w:rsidRPr="001E3C20" w:rsidRDefault="006E6B9D" w:rsidP="007531DF">
            <w:pPr>
              <w:spacing w:before="0" w:after="0" w:line="360" w:lineRule="auto"/>
              <w:jc w:val="center"/>
              <w:rPr>
                <w:sz w:val="20"/>
                <w:szCs w:val="20"/>
              </w:rPr>
            </w:pPr>
            <w:r w:rsidRPr="001E3C20">
              <w:rPr>
                <w:sz w:val="20"/>
                <w:szCs w:val="20"/>
              </w:rPr>
              <w:t>Met</w:t>
            </w:r>
          </w:p>
        </w:tc>
        <w:tc>
          <w:tcPr>
            <w:tcW w:w="595" w:type="pct"/>
            <w:tcBorders>
              <w:top w:val="single" w:sz="4" w:space="0" w:color="auto"/>
            </w:tcBorders>
          </w:tcPr>
          <w:p w:rsidR="006E6B9D" w:rsidRPr="001E3C20" w:rsidRDefault="006E6B9D" w:rsidP="007531DF">
            <w:pPr>
              <w:spacing w:before="0" w:after="0" w:line="360" w:lineRule="auto"/>
              <w:jc w:val="center"/>
              <w:rPr>
                <w:sz w:val="20"/>
                <w:szCs w:val="20"/>
              </w:rPr>
            </w:pPr>
            <w:r w:rsidRPr="001E3C20">
              <w:rPr>
                <w:sz w:val="20"/>
                <w:szCs w:val="20"/>
              </w:rPr>
              <w:t>-1.097</w:t>
            </w:r>
          </w:p>
        </w:tc>
        <w:tc>
          <w:tcPr>
            <w:tcW w:w="550" w:type="pct"/>
            <w:tcBorders>
              <w:top w:val="single" w:sz="4" w:space="0" w:color="auto"/>
            </w:tcBorders>
          </w:tcPr>
          <w:p w:rsidR="006E6B9D" w:rsidRPr="001E3C20" w:rsidRDefault="006E6B9D" w:rsidP="007531DF">
            <w:pPr>
              <w:spacing w:before="0" w:after="0" w:line="360" w:lineRule="auto"/>
              <w:jc w:val="center"/>
              <w:rPr>
                <w:sz w:val="20"/>
                <w:szCs w:val="20"/>
              </w:rPr>
            </w:pPr>
            <w:r w:rsidRPr="001E3C20">
              <w:rPr>
                <w:sz w:val="20"/>
                <w:szCs w:val="20"/>
              </w:rPr>
              <w:t>1.564</w:t>
            </w:r>
          </w:p>
        </w:tc>
        <w:tc>
          <w:tcPr>
            <w:tcW w:w="1289" w:type="pct"/>
            <w:tcBorders>
              <w:top w:val="single" w:sz="4" w:space="0" w:color="auto"/>
            </w:tcBorders>
          </w:tcPr>
          <w:p w:rsidR="006E6B9D" w:rsidRPr="001E3C20" w:rsidRDefault="006E6B9D" w:rsidP="007531DF">
            <w:pPr>
              <w:spacing w:before="0" w:after="0" w:line="360" w:lineRule="auto"/>
              <w:jc w:val="left"/>
              <w:rPr>
                <w:sz w:val="20"/>
                <w:szCs w:val="20"/>
              </w:rPr>
            </w:pPr>
            <w:r w:rsidRPr="001E3C20">
              <w:rPr>
                <w:sz w:val="20"/>
                <w:szCs w:val="20"/>
              </w:rPr>
              <w:t>Normally Distributed</w:t>
            </w:r>
          </w:p>
        </w:tc>
      </w:tr>
      <w:tr w:rsidR="006E6B9D" w:rsidRPr="001E3C20" w:rsidTr="006E6B9D">
        <w:tc>
          <w:tcPr>
            <w:tcW w:w="1024" w:type="pct"/>
          </w:tcPr>
          <w:p w:rsidR="006E6B9D" w:rsidRPr="001E3C20" w:rsidRDefault="006E6B9D" w:rsidP="007531DF">
            <w:pPr>
              <w:spacing w:before="0" w:after="0" w:line="360" w:lineRule="auto"/>
              <w:rPr>
                <w:sz w:val="20"/>
                <w:szCs w:val="20"/>
              </w:rPr>
            </w:pPr>
            <w:r w:rsidRPr="001E3C20">
              <w:rPr>
                <w:sz w:val="20"/>
                <w:szCs w:val="20"/>
              </w:rPr>
              <w:t>Students’ Enrollment Decision</w:t>
            </w:r>
          </w:p>
        </w:tc>
        <w:tc>
          <w:tcPr>
            <w:tcW w:w="425" w:type="pct"/>
          </w:tcPr>
          <w:p w:rsidR="006E6B9D" w:rsidRPr="001E3C20" w:rsidRDefault="006E6B9D" w:rsidP="007531DF">
            <w:pPr>
              <w:spacing w:before="0" w:after="0" w:line="360" w:lineRule="auto"/>
              <w:jc w:val="center"/>
              <w:rPr>
                <w:sz w:val="20"/>
                <w:szCs w:val="20"/>
              </w:rPr>
            </w:pPr>
            <w:r w:rsidRPr="001E3C20">
              <w:rPr>
                <w:sz w:val="20"/>
                <w:szCs w:val="20"/>
              </w:rPr>
              <w:t>0.083</w:t>
            </w:r>
          </w:p>
        </w:tc>
        <w:tc>
          <w:tcPr>
            <w:tcW w:w="436" w:type="pct"/>
          </w:tcPr>
          <w:p w:rsidR="006E6B9D" w:rsidRPr="001E3C20" w:rsidRDefault="006E6B9D" w:rsidP="007531DF">
            <w:pPr>
              <w:spacing w:before="0" w:after="0" w:line="360" w:lineRule="auto"/>
              <w:jc w:val="center"/>
              <w:rPr>
                <w:sz w:val="20"/>
                <w:szCs w:val="20"/>
              </w:rPr>
            </w:pPr>
            <w:r w:rsidRPr="001E3C20">
              <w:rPr>
                <w:sz w:val="20"/>
                <w:szCs w:val="20"/>
              </w:rPr>
              <w:t>0.078</w:t>
            </w:r>
          </w:p>
        </w:tc>
        <w:tc>
          <w:tcPr>
            <w:tcW w:w="681" w:type="pct"/>
          </w:tcPr>
          <w:p w:rsidR="006E6B9D" w:rsidRPr="001E3C20" w:rsidRDefault="006E6B9D" w:rsidP="007531DF">
            <w:pPr>
              <w:spacing w:before="0" w:after="0" w:line="360" w:lineRule="auto"/>
              <w:jc w:val="center"/>
              <w:rPr>
                <w:sz w:val="20"/>
                <w:szCs w:val="20"/>
              </w:rPr>
            </w:pPr>
            <w:r w:rsidRPr="001E3C20">
              <w:rPr>
                <w:sz w:val="20"/>
                <w:szCs w:val="20"/>
              </w:rPr>
              <w:t>Met</w:t>
            </w:r>
          </w:p>
        </w:tc>
        <w:tc>
          <w:tcPr>
            <w:tcW w:w="595" w:type="pct"/>
          </w:tcPr>
          <w:p w:rsidR="006E6B9D" w:rsidRPr="001E3C20" w:rsidRDefault="006E6B9D" w:rsidP="007531DF">
            <w:pPr>
              <w:spacing w:before="0" w:after="0" w:line="360" w:lineRule="auto"/>
              <w:jc w:val="center"/>
              <w:rPr>
                <w:sz w:val="20"/>
                <w:szCs w:val="20"/>
              </w:rPr>
            </w:pPr>
            <w:r w:rsidRPr="001E3C20">
              <w:rPr>
                <w:sz w:val="20"/>
                <w:szCs w:val="20"/>
              </w:rPr>
              <w:t>-1.084</w:t>
            </w:r>
          </w:p>
        </w:tc>
        <w:tc>
          <w:tcPr>
            <w:tcW w:w="550" w:type="pct"/>
          </w:tcPr>
          <w:p w:rsidR="006E6B9D" w:rsidRPr="001E3C20" w:rsidRDefault="006E6B9D" w:rsidP="007531DF">
            <w:pPr>
              <w:spacing w:before="0" w:after="0" w:line="360" w:lineRule="auto"/>
              <w:jc w:val="center"/>
              <w:rPr>
                <w:sz w:val="20"/>
                <w:szCs w:val="20"/>
              </w:rPr>
            </w:pPr>
            <w:r w:rsidRPr="001E3C20">
              <w:rPr>
                <w:sz w:val="20"/>
                <w:szCs w:val="20"/>
              </w:rPr>
              <w:t>2.411</w:t>
            </w:r>
          </w:p>
        </w:tc>
        <w:tc>
          <w:tcPr>
            <w:tcW w:w="1289" w:type="pct"/>
          </w:tcPr>
          <w:p w:rsidR="006E6B9D" w:rsidRPr="001E3C20" w:rsidRDefault="006E6B9D" w:rsidP="007531DF">
            <w:pPr>
              <w:spacing w:before="0" w:after="0" w:line="360" w:lineRule="auto"/>
              <w:jc w:val="left"/>
              <w:rPr>
                <w:sz w:val="20"/>
                <w:szCs w:val="20"/>
              </w:rPr>
            </w:pPr>
            <w:r w:rsidRPr="001E3C20">
              <w:rPr>
                <w:sz w:val="20"/>
                <w:szCs w:val="20"/>
              </w:rPr>
              <w:t>Normally Distributed</w:t>
            </w:r>
          </w:p>
        </w:tc>
      </w:tr>
    </w:tbl>
    <w:p w:rsidR="006E6B9D" w:rsidRPr="001E3C20" w:rsidRDefault="006E6B9D" w:rsidP="006E6B9D">
      <w:pPr>
        <w:rPr>
          <w:rFonts w:cs="Times New Roman"/>
        </w:rPr>
      </w:pPr>
      <w:r w:rsidRPr="001E3C20">
        <w:rPr>
          <w:rFonts w:cs="Times New Roman"/>
        </w:rPr>
        <w:t>The results in Table 3.6 indicate that all variables have p-values greater than 0.05, suggesting that the assumption of normality is satisfied. Furthermore, skewness and kurtosis values fall within acceptable thresholds, confirming that the data approximates a normal distribution suitable for parametric analysis.</w:t>
      </w:r>
    </w:p>
    <w:p w:rsidR="006E6B9D" w:rsidRPr="001E3C20" w:rsidRDefault="006E6B9D" w:rsidP="006E6B9D">
      <w:pPr>
        <w:pStyle w:val="Heading3"/>
        <w:rPr>
          <w:rFonts w:ascii="Times New Roman" w:hAnsi="Times New Roman" w:cs="Times New Roman"/>
          <w:b/>
          <w:color w:val="auto"/>
        </w:rPr>
      </w:pPr>
      <w:bookmarkStart w:id="33" w:name="_Toc230811126"/>
      <w:r w:rsidRPr="001E3C20">
        <w:rPr>
          <w:rFonts w:ascii="Times New Roman" w:hAnsi="Times New Roman" w:cs="Times New Roman"/>
          <w:b/>
          <w:color w:val="auto"/>
        </w:rPr>
        <w:t>3.10.2 Linearity Test</w:t>
      </w:r>
      <w:bookmarkEnd w:id="33"/>
    </w:p>
    <w:p w:rsidR="006E6B9D" w:rsidRPr="001E3C20" w:rsidRDefault="006E6B9D" w:rsidP="006E6B9D">
      <w:pPr>
        <w:rPr>
          <w:rFonts w:cs="Times New Roman"/>
        </w:rPr>
      </w:pPr>
      <w:r w:rsidRPr="001E3C20">
        <w:rPr>
          <w:rFonts w:cs="Times New Roman"/>
        </w:rPr>
        <w:t>Linearity assesses whether a straight-line relationship exists between independent variables and the dependent variable, which is a fundamental assumption in regression analysis (Gujarati &amp; Porter, 2009). The ANOVA test for linearity was used to evaluate this assumption. If p &lt; 0.05 for the linearity component, a significant linear relationship exists between variables.</w:t>
      </w:r>
    </w:p>
    <w:p w:rsidR="006E6B9D" w:rsidRPr="001E3C20" w:rsidRDefault="006E6B9D" w:rsidP="006E6B9D">
      <w:pPr>
        <w:pStyle w:val="Heading4"/>
        <w:rPr>
          <w:rFonts w:ascii="Times New Roman" w:hAnsi="Times New Roman" w:cs="Times New Roman"/>
          <w:i w:val="0"/>
          <w:color w:val="auto"/>
        </w:rPr>
      </w:pPr>
      <w:bookmarkStart w:id="34" w:name="_Toc229492444"/>
      <w:r w:rsidRPr="001E3C20">
        <w:rPr>
          <w:rFonts w:ascii="Times New Roman" w:hAnsi="Times New Roman" w:cs="Times New Roman"/>
          <w:color w:val="auto"/>
        </w:rPr>
        <w:t>Table 3.7: Linearity Test</w:t>
      </w:r>
      <w:bookmarkEnd w:id="34"/>
    </w:p>
    <w:tbl>
      <w:tblPr>
        <w:tblStyle w:val="TableGrid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71"/>
        <w:gridCol w:w="1516"/>
        <w:gridCol w:w="1256"/>
        <w:gridCol w:w="1799"/>
      </w:tblGrid>
      <w:tr w:rsidR="006E6B9D" w:rsidRPr="001E3C20" w:rsidTr="007531DF">
        <w:tc>
          <w:tcPr>
            <w:tcW w:w="0" w:type="auto"/>
            <w:tcBorders>
              <w:top w:val="single" w:sz="4" w:space="0" w:color="auto"/>
              <w:bottom w:val="single" w:sz="4" w:space="0" w:color="auto"/>
            </w:tcBorders>
          </w:tcPr>
          <w:p w:rsidR="006E6B9D" w:rsidRPr="001E3C20" w:rsidRDefault="006E6B9D" w:rsidP="007531DF">
            <w:pPr>
              <w:spacing w:before="0" w:after="0" w:line="360" w:lineRule="auto"/>
              <w:rPr>
                <w:b/>
                <w:bCs/>
                <w:sz w:val="20"/>
                <w:szCs w:val="20"/>
              </w:rPr>
            </w:pPr>
            <w:r w:rsidRPr="001E3C20">
              <w:rPr>
                <w:b/>
                <w:bCs/>
                <w:sz w:val="20"/>
                <w:szCs w:val="20"/>
              </w:rPr>
              <w:t>Relationship</w:t>
            </w:r>
          </w:p>
        </w:tc>
        <w:tc>
          <w:tcPr>
            <w:tcW w:w="0" w:type="auto"/>
            <w:tcBorders>
              <w:top w:val="single" w:sz="4" w:space="0" w:color="auto"/>
              <w:bottom w:val="single" w:sz="4" w:space="0" w:color="auto"/>
            </w:tcBorders>
          </w:tcPr>
          <w:p w:rsidR="006E6B9D" w:rsidRPr="001E3C20" w:rsidRDefault="006E6B9D" w:rsidP="007531DF">
            <w:pPr>
              <w:spacing w:before="0" w:after="0" w:line="360" w:lineRule="auto"/>
              <w:jc w:val="center"/>
              <w:rPr>
                <w:b/>
                <w:bCs/>
                <w:sz w:val="20"/>
                <w:szCs w:val="20"/>
              </w:rPr>
            </w:pPr>
            <w:r w:rsidRPr="001E3C20">
              <w:rPr>
                <w:b/>
                <w:bCs/>
                <w:sz w:val="20"/>
                <w:szCs w:val="20"/>
              </w:rPr>
              <w:t>Sig. (Linearity)</w:t>
            </w:r>
          </w:p>
        </w:tc>
        <w:tc>
          <w:tcPr>
            <w:tcW w:w="1256" w:type="dxa"/>
            <w:tcBorders>
              <w:top w:val="single" w:sz="4" w:space="0" w:color="auto"/>
              <w:bottom w:val="single" w:sz="4" w:space="0" w:color="auto"/>
            </w:tcBorders>
          </w:tcPr>
          <w:p w:rsidR="006E6B9D" w:rsidRPr="001E3C20" w:rsidRDefault="006E6B9D" w:rsidP="007531DF">
            <w:pPr>
              <w:spacing w:before="0" w:after="0" w:line="360" w:lineRule="auto"/>
              <w:jc w:val="center"/>
              <w:rPr>
                <w:b/>
                <w:bCs/>
                <w:sz w:val="20"/>
                <w:szCs w:val="20"/>
              </w:rPr>
            </w:pPr>
            <w:r w:rsidRPr="001E3C20">
              <w:rPr>
                <w:b/>
                <w:bCs/>
                <w:sz w:val="20"/>
                <w:szCs w:val="20"/>
              </w:rPr>
              <w:t>Threshold (p &lt; 0.05)</w:t>
            </w:r>
          </w:p>
        </w:tc>
        <w:tc>
          <w:tcPr>
            <w:tcW w:w="0" w:type="auto"/>
            <w:tcBorders>
              <w:top w:val="single" w:sz="4" w:space="0" w:color="auto"/>
              <w:bottom w:val="single" w:sz="4" w:space="0" w:color="auto"/>
            </w:tcBorders>
          </w:tcPr>
          <w:p w:rsidR="006E6B9D" w:rsidRPr="001E3C20" w:rsidRDefault="006E6B9D" w:rsidP="007531DF">
            <w:pPr>
              <w:spacing w:before="0" w:after="0" w:line="360" w:lineRule="auto"/>
              <w:jc w:val="center"/>
              <w:rPr>
                <w:b/>
                <w:bCs/>
                <w:sz w:val="20"/>
                <w:szCs w:val="20"/>
              </w:rPr>
            </w:pPr>
            <w:r w:rsidRPr="001E3C20">
              <w:rPr>
                <w:b/>
                <w:bCs/>
                <w:sz w:val="20"/>
                <w:szCs w:val="20"/>
              </w:rPr>
              <w:t>Comment</w:t>
            </w:r>
          </w:p>
        </w:tc>
      </w:tr>
      <w:tr w:rsidR="001E3C20" w:rsidRPr="001E3C20" w:rsidTr="007531DF">
        <w:tc>
          <w:tcPr>
            <w:tcW w:w="0" w:type="auto"/>
            <w:tcBorders>
              <w:top w:val="single" w:sz="4" w:space="0" w:color="auto"/>
            </w:tcBorders>
          </w:tcPr>
          <w:p w:rsidR="006E6B9D" w:rsidRPr="001E3C20" w:rsidRDefault="006E6B9D" w:rsidP="007531DF">
            <w:pPr>
              <w:spacing w:before="0" w:after="0" w:line="360" w:lineRule="auto"/>
              <w:jc w:val="left"/>
              <w:rPr>
                <w:sz w:val="20"/>
                <w:szCs w:val="20"/>
              </w:rPr>
            </w:pPr>
            <w:r w:rsidRPr="001E3C20">
              <w:rPr>
                <w:sz w:val="20"/>
                <w:szCs w:val="20"/>
              </w:rPr>
              <w:t>Enrollment Decision vs Brand Salience</w:t>
            </w:r>
          </w:p>
        </w:tc>
        <w:tc>
          <w:tcPr>
            <w:tcW w:w="0" w:type="auto"/>
            <w:tcBorders>
              <w:top w:val="single" w:sz="4" w:space="0" w:color="auto"/>
            </w:tcBorders>
          </w:tcPr>
          <w:p w:rsidR="006E6B9D" w:rsidRPr="001E3C20" w:rsidRDefault="006E6B9D" w:rsidP="007531DF">
            <w:pPr>
              <w:spacing w:before="0" w:after="0" w:line="360" w:lineRule="auto"/>
              <w:jc w:val="center"/>
              <w:rPr>
                <w:sz w:val="20"/>
                <w:szCs w:val="20"/>
              </w:rPr>
            </w:pPr>
            <w:r w:rsidRPr="001E3C20">
              <w:rPr>
                <w:sz w:val="20"/>
                <w:szCs w:val="20"/>
              </w:rPr>
              <w:t>0.000</w:t>
            </w:r>
          </w:p>
        </w:tc>
        <w:tc>
          <w:tcPr>
            <w:tcW w:w="1256" w:type="dxa"/>
            <w:tcBorders>
              <w:top w:val="single" w:sz="4" w:space="0" w:color="auto"/>
            </w:tcBorders>
          </w:tcPr>
          <w:p w:rsidR="006E6B9D" w:rsidRPr="001E3C20" w:rsidRDefault="006E6B9D" w:rsidP="007531DF">
            <w:pPr>
              <w:spacing w:before="0" w:after="0" w:line="360" w:lineRule="auto"/>
              <w:jc w:val="center"/>
              <w:rPr>
                <w:sz w:val="20"/>
                <w:szCs w:val="20"/>
              </w:rPr>
            </w:pPr>
            <w:r w:rsidRPr="001E3C20">
              <w:rPr>
                <w:sz w:val="20"/>
                <w:szCs w:val="20"/>
              </w:rPr>
              <w:t>Met</w:t>
            </w:r>
          </w:p>
        </w:tc>
        <w:tc>
          <w:tcPr>
            <w:tcW w:w="0" w:type="auto"/>
            <w:tcBorders>
              <w:top w:val="single" w:sz="4" w:space="0" w:color="auto"/>
            </w:tcBorders>
          </w:tcPr>
          <w:p w:rsidR="006E6B9D" w:rsidRPr="001E3C20" w:rsidRDefault="006E6B9D" w:rsidP="007531DF">
            <w:pPr>
              <w:spacing w:before="0" w:after="0" w:line="360" w:lineRule="auto"/>
              <w:jc w:val="center"/>
              <w:rPr>
                <w:sz w:val="20"/>
                <w:szCs w:val="20"/>
              </w:rPr>
            </w:pPr>
            <w:r w:rsidRPr="001E3C20">
              <w:rPr>
                <w:sz w:val="20"/>
                <w:szCs w:val="20"/>
              </w:rPr>
              <w:t>Linear Relationship</w:t>
            </w:r>
          </w:p>
        </w:tc>
      </w:tr>
    </w:tbl>
    <w:p w:rsidR="007531DF" w:rsidRPr="001E3C20" w:rsidRDefault="007531DF" w:rsidP="007531DF">
      <w:pPr>
        <w:pStyle w:val="Heading3"/>
        <w:rPr>
          <w:rFonts w:ascii="Times New Roman" w:hAnsi="Times New Roman" w:cs="Times New Roman"/>
          <w:b/>
          <w:color w:val="auto"/>
        </w:rPr>
      </w:pPr>
      <w:bookmarkStart w:id="35" w:name="_Toc230811128"/>
      <w:r w:rsidRPr="001E3C20">
        <w:rPr>
          <w:rFonts w:ascii="Times New Roman" w:hAnsi="Times New Roman" w:cs="Times New Roman"/>
          <w:b/>
          <w:color w:val="auto"/>
        </w:rPr>
        <w:t xml:space="preserve">3.10.4 </w:t>
      </w:r>
      <w:proofErr w:type="spellStart"/>
      <w:r w:rsidRPr="001E3C20">
        <w:rPr>
          <w:rFonts w:ascii="Times New Roman" w:hAnsi="Times New Roman" w:cs="Times New Roman"/>
          <w:b/>
          <w:color w:val="auto"/>
        </w:rPr>
        <w:t>Multicollinearity</w:t>
      </w:r>
      <w:proofErr w:type="spellEnd"/>
      <w:r w:rsidRPr="001E3C20">
        <w:rPr>
          <w:rFonts w:ascii="Times New Roman" w:hAnsi="Times New Roman" w:cs="Times New Roman"/>
          <w:b/>
          <w:color w:val="auto"/>
        </w:rPr>
        <w:t xml:space="preserve"> Test</w:t>
      </w:r>
      <w:bookmarkEnd w:id="35"/>
    </w:p>
    <w:p w:rsidR="007531DF" w:rsidRPr="001E3C20" w:rsidRDefault="007531DF" w:rsidP="007531DF">
      <w:pPr>
        <w:rPr>
          <w:rFonts w:cs="Times New Roman"/>
        </w:rPr>
      </w:pPr>
      <w:proofErr w:type="spellStart"/>
      <w:r w:rsidRPr="001E3C20">
        <w:rPr>
          <w:rFonts w:cs="Times New Roman"/>
        </w:rPr>
        <w:t>Multicollinearity</w:t>
      </w:r>
      <w:proofErr w:type="spellEnd"/>
      <w:r w:rsidRPr="001E3C20">
        <w:rPr>
          <w:rFonts w:cs="Times New Roman"/>
        </w:rPr>
        <w:t xml:space="preserve"> occurs when independent variables are highly correlated, which can distort regression estimates. It was assessed using the Variance Inflation Factor (VIF) and tolerance values </w:t>
      </w:r>
      <w:r w:rsidRPr="001E3C20">
        <w:rPr>
          <w:rFonts w:cs="Times New Roman"/>
        </w:rPr>
        <w:lastRenderedPageBreak/>
        <w:t xml:space="preserve">(Hair et al., 2019). The decision </w:t>
      </w:r>
      <w:proofErr w:type="spellStart"/>
      <w:r w:rsidRPr="001E3C20">
        <w:rPr>
          <w:rFonts w:cs="Times New Roman"/>
        </w:rPr>
        <w:t>criterio</w:t>
      </w:r>
      <w:proofErr w:type="spellEnd"/>
      <w:r w:rsidRPr="001E3C20">
        <w:rPr>
          <w:rFonts w:cs="Times New Roman"/>
        </w:rPr>
        <w:t xml:space="preserve"> is that VIF values less than 10 and tolerance values greater than 0.1 indicate absence of </w:t>
      </w:r>
      <w:proofErr w:type="spellStart"/>
      <w:r w:rsidRPr="001E3C20">
        <w:rPr>
          <w:rFonts w:cs="Times New Roman"/>
        </w:rPr>
        <w:t>multicollinearity</w:t>
      </w:r>
      <w:proofErr w:type="spellEnd"/>
      <w:r w:rsidRPr="001E3C20">
        <w:rPr>
          <w:rFonts w:cs="Times New Roman"/>
        </w:rPr>
        <w:t>.</w:t>
      </w:r>
    </w:p>
    <w:p w:rsidR="007531DF" w:rsidRPr="00EA0243" w:rsidRDefault="007531DF" w:rsidP="007531DF">
      <w:pPr>
        <w:pStyle w:val="Heading4"/>
        <w:rPr>
          <w:rFonts w:ascii="Times New Roman" w:hAnsi="Times New Roman" w:cs="Times New Roman"/>
          <w:b/>
          <w:color w:val="auto"/>
        </w:rPr>
      </w:pPr>
      <w:bookmarkStart w:id="36" w:name="_Toc229492446"/>
      <w:r w:rsidRPr="00EA0243">
        <w:rPr>
          <w:rFonts w:ascii="Times New Roman" w:hAnsi="Times New Roman" w:cs="Times New Roman"/>
          <w:b/>
          <w:color w:val="auto"/>
        </w:rPr>
        <w:t xml:space="preserve">Table 3.9: </w:t>
      </w:r>
      <w:proofErr w:type="spellStart"/>
      <w:r w:rsidRPr="00EA0243">
        <w:rPr>
          <w:rFonts w:ascii="Times New Roman" w:hAnsi="Times New Roman" w:cs="Times New Roman"/>
          <w:b/>
          <w:color w:val="auto"/>
        </w:rPr>
        <w:t>Multicollinearity</w:t>
      </w:r>
      <w:proofErr w:type="spellEnd"/>
      <w:r w:rsidRPr="00EA0243">
        <w:rPr>
          <w:rFonts w:ascii="Times New Roman" w:hAnsi="Times New Roman" w:cs="Times New Roman"/>
          <w:b/>
          <w:color w:val="auto"/>
        </w:rPr>
        <w:t xml:space="preserve"> Test</w:t>
      </w:r>
      <w:bookmarkEnd w:id="36"/>
      <w:r w:rsidRPr="00EA0243">
        <w:rPr>
          <w:rFonts w:ascii="Times New Roman" w:hAnsi="Times New Roman" w:cs="Times New Roman"/>
          <w:b/>
          <w:color w:val="auto"/>
        </w:rPr>
        <w:t xml:space="preserve"> </w:t>
      </w:r>
    </w:p>
    <w:tbl>
      <w:tblPr>
        <w:tblStyle w:val="TableGrid1"/>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1275"/>
        <w:gridCol w:w="793"/>
        <w:gridCol w:w="2423"/>
        <w:gridCol w:w="2219"/>
      </w:tblGrid>
      <w:tr w:rsidR="007531DF" w:rsidRPr="001E3C20" w:rsidTr="007531DF">
        <w:tc>
          <w:tcPr>
            <w:tcW w:w="1117" w:type="pct"/>
            <w:tcBorders>
              <w:top w:val="single" w:sz="4" w:space="0" w:color="auto"/>
              <w:bottom w:val="single" w:sz="4" w:space="0" w:color="auto"/>
            </w:tcBorders>
          </w:tcPr>
          <w:p w:rsidR="007531DF" w:rsidRPr="001E3C20" w:rsidRDefault="007531DF" w:rsidP="007531DF">
            <w:pPr>
              <w:spacing w:before="0" w:after="0" w:line="360" w:lineRule="auto"/>
              <w:rPr>
                <w:b/>
                <w:bCs/>
                <w:sz w:val="20"/>
                <w:szCs w:val="20"/>
              </w:rPr>
            </w:pPr>
            <w:r w:rsidRPr="001E3C20">
              <w:rPr>
                <w:b/>
                <w:bCs/>
                <w:sz w:val="20"/>
                <w:szCs w:val="20"/>
              </w:rPr>
              <w:t>Variable</w:t>
            </w:r>
          </w:p>
        </w:tc>
        <w:tc>
          <w:tcPr>
            <w:tcW w:w="738" w:type="pct"/>
            <w:tcBorders>
              <w:top w:val="single" w:sz="4" w:space="0" w:color="auto"/>
              <w:bottom w:val="single" w:sz="4" w:space="0" w:color="auto"/>
            </w:tcBorders>
          </w:tcPr>
          <w:p w:rsidR="007531DF" w:rsidRPr="001E3C20" w:rsidRDefault="007531DF" w:rsidP="007531DF">
            <w:pPr>
              <w:spacing w:before="0" w:after="0" w:line="360" w:lineRule="auto"/>
              <w:jc w:val="center"/>
              <w:rPr>
                <w:b/>
                <w:bCs/>
                <w:sz w:val="20"/>
                <w:szCs w:val="20"/>
              </w:rPr>
            </w:pPr>
            <w:r w:rsidRPr="001E3C20">
              <w:rPr>
                <w:b/>
                <w:bCs/>
                <w:sz w:val="20"/>
                <w:szCs w:val="20"/>
              </w:rPr>
              <w:t>Tolerance</w:t>
            </w:r>
          </w:p>
        </w:tc>
        <w:tc>
          <w:tcPr>
            <w:tcW w:w="459" w:type="pct"/>
            <w:tcBorders>
              <w:top w:val="single" w:sz="4" w:space="0" w:color="auto"/>
              <w:bottom w:val="single" w:sz="4" w:space="0" w:color="auto"/>
            </w:tcBorders>
          </w:tcPr>
          <w:p w:rsidR="007531DF" w:rsidRPr="001E3C20" w:rsidRDefault="007531DF" w:rsidP="007531DF">
            <w:pPr>
              <w:spacing w:before="0" w:after="0" w:line="360" w:lineRule="auto"/>
              <w:jc w:val="center"/>
              <w:rPr>
                <w:b/>
                <w:bCs/>
                <w:sz w:val="20"/>
                <w:szCs w:val="20"/>
              </w:rPr>
            </w:pPr>
            <w:r w:rsidRPr="001E3C20">
              <w:rPr>
                <w:b/>
                <w:bCs/>
                <w:sz w:val="20"/>
                <w:szCs w:val="20"/>
              </w:rPr>
              <w:t>VIF</w:t>
            </w:r>
          </w:p>
        </w:tc>
        <w:tc>
          <w:tcPr>
            <w:tcW w:w="1402" w:type="pct"/>
            <w:tcBorders>
              <w:top w:val="single" w:sz="4" w:space="0" w:color="auto"/>
              <w:bottom w:val="single" w:sz="4" w:space="0" w:color="auto"/>
            </w:tcBorders>
          </w:tcPr>
          <w:p w:rsidR="007531DF" w:rsidRPr="001E3C20" w:rsidRDefault="007531DF" w:rsidP="007531DF">
            <w:pPr>
              <w:spacing w:before="0" w:after="0" w:line="360" w:lineRule="auto"/>
              <w:jc w:val="center"/>
              <w:rPr>
                <w:b/>
                <w:bCs/>
                <w:sz w:val="20"/>
                <w:szCs w:val="20"/>
              </w:rPr>
            </w:pPr>
            <w:r w:rsidRPr="001E3C20">
              <w:rPr>
                <w:b/>
                <w:bCs/>
                <w:sz w:val="20"/>
                <w:szCs w:val="20"/>
              </w:rPr>
              <w:t>Threshold (VIF &lt; 10)</w:t>
            </w:r>
          </w:p>
        </w:tc>
        <w:tc>
          <w:tcPr>
            <w:tcW w:w="1284" w:type="pct"/>
            <w:tcBorders>
              <w:top w:val="single" w:sz="4" w:space="0" w:color="auto"/>
              <w:bottom w:val="single" w:sz="4" w:space="0" w:color="auto"/>
            </w:tcBorders>
          </w:tcPr>
          <w:p w:rsidR="007531DF" w:rsidRPr="001E3C20" w:rsidRDefault="007531DF" w:rsidP="007531DF">
            <w:pPr>
              <w:spacing w:before="0" w:after="0" w:line="360" w:lineRule="auto"/>
              <w:jc w:val="center"/>
              <w:rPr>
                <w:b/>
                <w:bCs/>
                <w:sz w:val="20"/>
                <w:szCs w:val="20"/>
              </w:rPr>
            </w:pPr>
            <w:r w:rsidRPr="001E3C20">
              <w:rPr>
                <w:b/>
                <w:bCs/>
                <w:sz w:val="20"/>
                <w:szCs w:val="20"/>
              </w:rPr>
              <w:t>Comment</w:t>
            </w:r>
          </w:p>
        </w:tc>
      </w:tr>
      <w:tr w:rsidR="007531DF" w:rsidRPr="001E3C20" w:rsidTr="007531DF">
        <w:tc>
          <w:tcPr>
            <w:tcW w:w="1117" w:type="pct"/>
            <w:tcBorders>
              <w:top w:val="single" w:sz="4" w:space="0" w:color="auto"/>
            </w:tcBorders>
          </w:tcPr>
          <w:p w:rsidR="007531DF" w:rsidRPr="001E3C20" w:rsidRDefault="007531DF" w:rsidP="007531DF">
            <w:pPr>
              <w:spacing w:before="0" w:after="0" w:line="360" w:lineRule="auto"/>
              <w:jc w:val="left"/>
              <w:rPr>
                <w:sz w:val="20"/>
                <w:szCs w:val="20"/>
              </w:rPr>
            </w:pPr>
            <w:r w:rsidRPr="001E3C20">
              <w:rPr>
                <w:sz w:val="20"/>
                <w:szCs w:val="20"/>
              </w:rPr>
              <w:t>Brand Salience</w:t>
            </w:r>
          </w:p>
        </w:tc>
        <w:tc>
          <w:tcPr>
            <w:tcW w:w="738" w:type="pct"/>
            <w:tcBorders>
              <w:top w:val="single" w:sz="4" w:space="0" w:color="auto"/>
            </w:tcBorders>
          </w:tcPr>
          <w:p w:rsidR="007531DF" w:rsidRPr="001E3C20" w:rsidRDefault="007531DF" w:rsidP="007531DF">
            <w:pPr>
              <w:spacing w:before="0" w:after="0" w:line="360" w:lineRule="auto"/>
              <w:jc w:val="center"/>
              <w:rPr>
                <w:sz w:val="20"/>
                <w:szCs w:val="20"/>
              </w:rPr>
            </w:pPr>
            <w:r w:rsidRPr="001E3C20">
              <w:rPr>
                <w:sz w:val="20"/>
                <w:szCs w:val="20"/>
              </w:rPr>
              <w:t>0.372</w:t>
            </w:r>
          </w:p>
        </w:tc>
        <w:tc>
          <w:tcPr>
            <w:tcW w:w="459" w:type="pct"/>
            <w:tcBorders>
              <w:top w:val="single" w:sz="4" w:space="0" w:color="auto"/>
            </w:tcBorders>
          </w:tcPr>
          <w:p w:rsidR="007531DF" w:rsidRPr="001E3C20" w:rsidRDefault="007531DF" w:rsidP="007531DF">
            <w:pPr>
              <w:spacing w:before="0" w:after="0" w:line="360" w:lineRule="auto"/>
              <w:jc w:val="center"/>
              <w:rPr>
                <w:sz w:val="20"/>
                <w:szCs w:val="20"/>
              </w:rPr>
            </w:pPr>
            <w:r w:rsidRPr="001E3C20">
              <w:rPr>
                <w:sz w:val="20"/>
                <w:szCs w:val="20"/>
              </w:rPr>
              <w:t>2.685</w:t>
            </w:r>
          </w:p>
        </w:tc>
        <w:tc>
          <w:tcPr>
            <w:tcW w:w="1402" w:type="pct"/>
            <w:tcBorders>
              <w:top w:val="single" w:sz="4" w:space="0" w:color="auto"/>
            </w:tcBorders>
          </w:tcPr>
          <w:p w:rsidR="007531DF" w:rsidRPr="001E3C20" w:rsidRDefault="007531DF" w:rsidP="007531DF">
            <w:pPr>
              <w:spacing w:before="0" w:after="0" w:line="360" w:lineRule="auto"/>
              <w:jc w:val="center"/>
              <w:rPr>
                <w:sz w:val="20"/>
                <w:szCs w:val="20"/>
              </w:rPr>
            </w:pPr>
            <w:r w:rsidRPr="001E3C20">
              <w:rPr>
                <w:sz w:val="20"/>
                <w:szCs w:val="20"/>
              </w:rPr>
              <w:t>Met</w:t>
            </w:r>
          </w:p>
        </w:tc>
        <w:tc>
          <w:tcPr>
            <w:tcW w:w="1284" w:type="pct"/>
            <w:tcBorders>
              <w:top w:val="single" w:sz="4" w:space="0" w:color="auto"/>
            </w:tcBorders>
          </w:tcPr>
          <w:p w:rsidR="007531DF" w:rsidRPr="001E3C20" w:rsidRDefault="007531DF" w:rsidP="007531DF">
            <w:pPr>
              <w:spacing w:before="0" w:after="0" w:line="360" w:lineRule="auto"/>
              <w:jc w:val="center"/>
              <w:rPr>
                <w:sz w:val="20"/>
                <w:szCs w:val="20"/>
              </w:rPr>
            </w:pPr>
            <w:r w:rsidRPr="001E3C20">
              <w:rPr>
                <w:sz w:val="20"/>
                <w:szCs w:val="20"/>
              </w:rPr>
              <w:t xml:space="preserve">No </w:t>
            </w:r>
            <w:proofErr w:type="spellStart"/>
            <w:r w:rsidRPr="001E3C20">
              <w:rPr>
                <w:sz w:val="20"/>
                <w:szCs w:val="20"/>
              </w:rPr>
              <w:t>Multicollinearity</w:t>
            </w:r>
            <w:proofErr w:type="spellEnd"/>
          </w:p>
        </w:tc>
      </w:tr>
    </w:tbl>
    <w:p w:rsidR="007531DF" w:rsidRPr="001E3C20" w:rsidRDefault="007531DF" w:rsidP="007531DF">
      <w:pPr>
        <w:rPr>
          <w:rFonts w:cs="Times New Roman"/>
        </w:rPr>
      </w:pPr>
      <w:r w:rsidRPr="001E3C20">
        <w:rPr>
          <w:rFonts w:cs="Times New Roman"/>
        </w:rPr>
        <w:t xml:space="preserve">The results show that all VIF values are well below 10, confirming that </w:t>
      </w:r>
      <w:proofErr w:type="spellStart"/>
      <w:r w:rsidRPr="001E3C20">
        <w:rPr>
          <w:rFonts w:cs="Times New Roman"/>
        </w:rPr>
        <w:t>multicollinearity</w:t>
      </w:r>
      <w:proofErr w:type="spellEnd"/>
      <w:r w:rsidRPr="001E3C20">
        <w:rPr>
          <w:rFonts w:cs="Times New Roman"/>
        </w:rPr>
        <w:t xml:space="preserve"> is not a concern. This indicates that each independent variable contributes uniquely to the model.</w:t>
      </w:r>
    </w:p>
    <w:p w:rsidR="007531DF" w:rsidRPr="00195265" w:rsidRDefault="007531DF" w:rsidP="007531DF">
      <w:pPr>
        <w:pStyle w:val="Heading3"/>
        <w:rPr>
          <w:rFonts w:ascii="Times New Roman" w:hAnsi="Times New Roman" w:cs="Times New Roman"/>
          <w:b/>
          <w:color w:val="auto"/>
        </w:rPr>
      </w:pPr>
      <w:bookmarkStart w:id="37" w:name="_Toc230811129"/>
      <w:r w:rsidRPr="00195265">
        <w:rPr>
          <w:rFonts w:ascii="Times New Roman" w:hAnsi="Times New Roman" w:cs="Times New Roman"/>
          <w:b/>
          <w:color w:val="auto"/>
        </w:rPr>
        <w:t>3.10.5 Homoscedasticity Test</w:t>
      </w:r>
      <w:bookmarkEnd w:id="37"/>
    </w:p>
    <w:p w:rsidR="007531DF" w:rsidRPr="001E3C20" w:rsidRDefault="007531DF" w:rsidP="007531DF">
      <w:pPr>
        <w:rPr>
          <w:rFonts w:cs="Times New Roman"/>
        </w:rPr>
      </w:pPr>
      <w:r w:rsidRPr="001E3C20">
        <w:rPr>
          <w:rFonts w:cs="Times New Roman"/>
        </w:rPr>
        <w:t xml:space="preserve">Homoscedasticity refers to the assumption that the variance of residuals is constant across all levels of the independent variables. This was tested using </w:t>
      </w:r>
      <w:proofErr w:type="spellStart"/>
      <w:r w:rsidRPr="001E3C20">
        <w:rPr>
          <w:rFonts w:cs="Times New Roman"/>
        </w:rPr>
        <w:t>Levene’s</w:t>
      </w:r>
      <w:proofErr w:type="spellEnd"/>
      <w:r w:rsidRPr="001E3C20">
        <w:rPr>
          <w:rFonts w:cs="Times New Roman"/>
        </w:rPr>
        <w:t xml:space="preserve"> test (Hair et al., 2019). The decision criterion was that if p &gt; 0.05, the assumption of equal variance (homoscedasticity) is satisfied. The results were presented in table 3.10.</w:t>
      </w:r>
    </w:p>
    <w:p w:rsidR="007531DF" w:rsidRPr="001E3C20" w:rsidRDefault="007531DF" w:rsidP="007531DF">
      <w:pPr>
        <w:pStyle w:val="NormalWeb"/>
      </w:pPr>
      <w:r w:rsidRPr="001E3C20">
        <w:rPr>
          <w:rStyle w:val="Strong"/>
          <w:rFonts w:eastAsiaTheme="majorEastAsia"/>
        </w:rPr>
        <w:t xml:space="preserve">Table 3.10: Homoscedasticity Test </w:t>
      </w:r>
    </w:p>
    <w:tbl>
      <w:tblPr>
        <w:tblStyle w:val="TableGrid1"/>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2495"/>
        <w:gridCol w:w="2402"/>
        <w:gridCol w:w="1756"/>
      </w:tblGrid>
      <w:tr w:rsidR="007531DF" w:rsidRPr="001E3C20" w:rsidTr="007531DF">
        <w:tc>
          <w:tcPr>
            <w:tcW w:w="1150" w:type="pct"/>
            <w:tcBorders>
              <w:top w:val="single" w:sz="4" w:space="0" w:color="auto"/>
              <w:bottom w:val="single" w:sz="4" w:space="0" w:color="auto"/>
            </w:tcBorders>
          </w:tcPr>
          <w:p w:rsidR="007531DF" w:rsidRPr="001E3C20" w:rsidRDefault="007531DF" w:rsidP="007531DF">
            <w:pPr>
              <w:spacing w:before="0" w:after="0" w:line="360" w:lineRule="auto"/>
              <w:rPr>
                <w:b/>
                <w:bCs/>
                <w:sz w:val="20"/>
                <w:szCs w:val="20"/>
              </w:rPr>
            </w:pPr>
            <w:r w:rsidRPr="001E3C20">
              <w:rPr>
                <w:b/>
                <w:bCs/>
                <w:sz w:val="20"/>
                <w:szCs w:val="20"/>
              </w:rPr>
              <w:t>Variable</w:t>
            </w:r>
          </w:p>
        </w:tc>
        <w:tc>
          <w:tcPr>
            <w:tcW w:w="1444" w:type="pct"/>
            <w:tcBorders>
              <w:top w:val="single" w:sz="4" w:space="0" w:color="auto"/>
              <w:bottom w:val="single" w:sz="4" w:space="0" w:color="auto"/>
            </w:tcBorders>
          </w:tcPr>
          <w:p w:rsidR="007531DF" w:rsidRPr="001E3C20" w:rsidRDefault="007531DF" w:rsidP="007531DF">
            <w:pPr>
              <w:spacing w:before="0" w:after="0" w:line="360" w:lineRule="auto"/>
              <w:jc w:val="center"/>
              <w:rPr>
                <w:b/>
                <w:bCs/>
                <w:sz w:val="20"/>
                <w:szCs w:val="20"/>
              </w:rPr>
            </w:pPr>
            <w:r w:rsidRPr="001E3C20">
              <w:rPr>
                <w:b/>
                <w:bCs/>
                <w:sz w:val="20"/>
                <w:szCs w:val="20"/>
              </w:rPr>
              <w:t>Sig. (Based on Mean)</w:t>
            </w:r>
          </w:p>
        </w:tc>
        <w:tc>
          <w:tcPr>
            <w:tcW w:w="1390" w:type="pct"/>
            <w:tcBorders>
              <w:top w:val="single" w:sz="4" w:space="0" w:color="auto"/>
              <w:bottom w:val="single" w:sz="4" w:space="0" w:color="auto"/>
            </w:tcBorders>
          </w:tcPr>
          <w:p w:rsidR="007531DF" w:rsidRPr="001E3C20" w:rsidRDefault="007531DF" w:rsidP="007531DF">
            <w:pPr>
              <w:spacing w:before="0" w:after="0" w:line="360" w:lineRule="auto"/>
              <w:jc w:val="center"/>
              <w:rPr>
                <w:b/>
                <w:bCs/>
                <w:sz w:val="20"/>
                <w:szCs w:val="20"/>
              </w:rPr>
            </w:pPr>
            <w:r w:rsidRPr="001E3C20">
              <w:rPr>
                <w:b/>
                <w:bCs/>
                <w:sz w:val="20"/>
                <w:szCs w:val="20"/>
              </w:rPr>
              <w:t>Threshold (p &gt; 0.05)</w:t>
            </w:r>
          </w:p>
        </w:tc>
        <w:tc>
          <w:tcPr>
            <w:tcW w:w="1016" w:type="pct"/>
            <w:tcBorders>
              <w:top w:val="single" w:sz="4" w:space="0" w:color="auto"/>
              <w:bottom w:val="single" w:sz="4" w:space="0" w:color="auto"/>
            </w:tcBorders>
          </w:tcPr>
          <w:p w:rsidR="007531DF" w:rsidRPr="001E3C20" w:rsidRDefault="007531DF" w:rsidP="007531DF">
            <w:pPr>
              <w:spacing w:before="0" w:after="0" w:line="360" w:lineRule="auto"/>
              <w:jc w:val="center"/>
              <w:rPr>
                <w:b/>
                <w:bCs/>
                <w:sz w:val="20"/>
                <w:szCs w:val="20"/>
              </w:rPr>
            </w:pPr>
            <w:r w:rsidRPr="001E3C20">
              <w:rPr>
                <w:b/>
                <w:bCs/>
                <w:sz w:val="20"/>
                <w:szCs w:val="20"/>
              </w:rPr>
              <w:t>Comment</w:t>
            </w:r>
          </w:p>
        </w:tc>
      </w:tr>
      <w:tr w:rsidR="007531DF" w:rsidRPr="001E3C20" w:rsidTr="007531DF">
        <w:tc>
          <w:tcPr>
            <w:tcW w:w="1150" w:type="pct"/>
            <w:tcBorders>
              <w:top w:val="single" w:sz="4" w:space="0" w:color="auto"/>
            </w:tcBorders>
          </w:tcPr>
          <w:p w:rsidR="007531DF" w:rsidRPr="001E3C20" w:rsidRDefault="007531DF" w:rsidP="007531DF">
            <w:pPr>
              <w:spacing w:before="0" w:after="0" w:line="360" w:lineRule="auto"/>
              <w:jc w:val="left"/>
              <w:rPr>
                <w:sz w:val="20"/>
                <w:szCs w:val="20"/>
              </w:rPr>
            </w:pPr>
            <w:r w:rsidRPr="001E3C20">
              <w:rPr>
                <w:sz w:val="20"/>
                <w:szCs w:val="20"/>
              </w:rPr>
              <w:t>Brand Salience</w:t>
            </w:r>
          </w:p>
        </w:tc>
        <w:tc>
          <w:tcPr>
            <w:tcW w:w="1444" w:type="pct"/>
            <w:tcBorders>
              <w:top w:val="single" w:sz="4" w:space="0" w:color="auto"/>
            </w:tcBorders>
          </w:tcPr>
          <w:p w:rsidR="007531DF" w:rsidRPr="001E3C20" w:rsidRDefault="007531DF" w:rsidP="007531DF">
            <w:pPr>
              <w:spacing w:before="0" w:after="0" w:line="360" w:lineRule="auto"/>
              <w:rPr>
                <w:sz w:val="20"/>
                <w:szCs w:val="20"/>
              </w:rPr>
            </w:pPr>
            <w:r w:rsidRPr="001E3C20">
              <w:rPr>
                <w:sz w:val="20"/>
                <w:szCs w:val="20"/>
              </w:rPr>
              <w:t>0.053</w:t>
            </w:r>
          </w:p>
        </w:tc>
        <w:tc>
          <w:tcPr>
            <w:tcW w:w="1390" w:type="pct"/>
            <w:tcBorders>
              <w:top w:val="single" w:sz="4" w:space="0" w:color="auto"/>
            </w:tcBorders>
          </w:tcPr>
          <w:p w:rsidR="007531DF" w:rsidRPr="001E3C20" w:rsidRDefault="007531DF" w:rsidP="007531DF">
            <w:pPr>
              <w:spacing w:before="0" w:after="0" w:line="360" w:lineRule="auto"/>
              <w:rPr>
                <w:sz w:val="20"/>
                <w:szCs w:val="20"/>
              </w:rPr>
            </w:pPr>
            <w:r w:rsidRPr="001E3C20">
              <w:rPr>
                <w:sz w:val="20"/>
                <w:szCs w:val="20"/>
              </w:rPr>
              <w:t>Met</w:t>
            </w:r>
          </w:p>
        </w:tc>
        <w:tc>
          <w:tcPr>
            <w:tcW w:w="1016" w:type="pct"/>
            <w:tcBorders>
              <w:top w:val="single" w:sz="4" w:space="0" w:color="auto"/>
            </w:tcBorders>
          </w:tcPr>
          <w:p w:rsidR="007531DF" w:rsidRPr="001E3C20" w:rsidRDefault="007531DF" w:rsidP="007531DF">
            <w:pPr>
              <w:spacing w:before="0" w:after="0" w:line="360" w:lineRule="auto"/>
              <w:rPr>
                <w:sz w:val="20"/>
                <w:szCs w:val="20"/>
              </w:rPr>
            </w:pPr>
            <w:r w:rsidRPr="001E3C20">
              <w:rPr>
                <w:sz w:val="20"/>
                <w:szCs w:val="20"/>
              </w:rPr>
              <w:t>Homoscedastic</w:t>
            </w:r>
          </w:p>
        </w:tc>
      </w:tr>
    </w:tbl>
    <w:p w:rsidR="007531DF" w:rsidRPr="001E3C20" w:rsidRDefault="007531DF" w:rsidP="007531DF">
      <w:pPr>
        <w:rPr>
          <w:rFonts w:cs="Times New Roman"/>
        </w:rPr>
      </w:pPr>
      <w:r w:rsidRPr="001E3C20">
        <w:rPr>
          <w:rFonts w:cs="Times New Roman"/>
        </w:rPr>
        <w:t>As indicated in Table 3.10, all p-values exceed 0.05, confirming that the assumption of homoscedasticity is satisfied. This implies that the variance of residuals is constant across the data.</w:t>
      </w:r>
    </w:p>
    <w:p w:rsidR="007531DF" w:rsidRPr="001E3C20" w:rsidRDefault="007531DF" w:rsidP="007531DF">
      <w:pPr>
        <w:rPr>
          <w:rFonts w:cs="Times New Roman"/>
        </w:rPr>
      </w:pPr>
      <w:r w:rsidRPr="001E3C20">
        <w:rPr>
          <w:rFonts w:cs="Times New Roman"/>
        </w:rPr>
        <w:t xml:space="preserve">The findings from the diagnostic tests confirm that all key assumptions of multiple regression analysis were satisfied. The data exhibited normal distribution, linear relationships, independence of errors, absence of </w:t>
      </w:r>
      <w:proofErr w:type="spellStart"/>
      <w:r w:rsidRPr="001E3C20">
        <w:rPr>
          <w:rFonts w:cs="Times New Roman"/>
        </w:rPr>
        <w:t>multicollinearity</w:t>
      </w:r>
      <w:proofErr w:type="spellEnd"/>
      <w:r w:rsidRPr="001E3C20">
        <w:rPr>
          <w:rFonts w:cs="Times New Roman"/>
        </w:rPr>
        <w:t>, and constant variance. Therefore, the dataset was considered appropriate for regression analysis to test the study hypotheses and examine the relationships between brand equity strategies, organizational resources, and students’ enrollment decision in public universities in Kenya.</w:t>
      </w:r>
    </w:p>
    <w:p w:rsidR="006E6B9D" w:rsidRPr="001E3C20" w:rsidRDefault="006E6B9D" w:rsidP="00F62DC1">
      <w:pPr>
        <w:rPr>
          <w:rFonts w:cs="Times New Roman"/>
        </w:rPr>
      </w:pPr>
    </w:p>
    <w:p w:rsidR="007531DF" w:rsidRPr="001E3C20" w:rsidRDefault="007531DF" w:rsidP="007531DF">
      <w:pPr>
        <w:pStyle w:val="Heading1"/>
        <w:rPr>
          <w:rFonts w:cs="Times New Roman"/>
        </w:rPr>
      </w:pPr>
      <w:bookmarkStart w:id="38" w:name="_Toc230811132"/>
      <w:r w:rsidRPr="001E3C20">
        <w:rPr>
          <w:rFonts w:cs="Times New Roman"/>
        </w:rPr>
        <w:lastRenderedPageBreak/>
        <w:t>RESULTS AND DISCUSSIONS</w:t>
      </w:r>
      <w:bookmarkEnd w:id="38"/>
    </w:p>
    <w:p w:rsidR="007531DF" w:rsidRPr="001E3C20" w:rsidRDefault="007531DF" w:rsidP="007531DF">
      <w:pPr>
        <w:pStyle w:val="Heading2"/>
      </w:pPr>
      <w:bookmarkStart w:id="39" w:name="_Toc230811133"/>
      <w:r w:rsidRPr="001E3C20">
        <w:t>4.1 Introduction</w:t>
      </w:r>
      <w:bookmarkEnd w:id="39"/>
    </w:p>
    <w:p w:rsidR="007531DF" w:rsidRPr="001E3C20" w:rsidRDefault="007531DF" w:rsidP="007531DF">
      <w:pPr>
        <w:rPr>
          <w:rFonts w:cs="Times New Roman"/>
        </w:rPr>
      </w:pPr>
      <w:r w:rsidRPr="001E3C20">
        <w:rPr>
          <w:rFonts w:cs="Times New Roman"/>
        </w:rPr>
        <w:t>This chapter presents the results of the study and discusses the findings in relation to the research objectives. It is organized into several sections, including response rate, demographic characteristics of respondents, descriptive statistics with thematic analysis results, inferential statistics, and hypothesis testing. Descriptive analysis is presented for each study variable</w:t>
      </w:r>
      <w:r w:rsidR="00195265">
        <w:rPr>
          <w:rFonts w:cs="Times New Roman"/>
        </w:rPr>
        <w:t xml:space="preserve"> of brand </w:t>
      </w:r>
      <w:proofErr w:type="spellStart"/>
      <w:proofErr w:type="gramStart"/>
      <w:r w:rsidR="00195265">
        <w:rPr>
          <w:rFonts w:cs="Times New Roman"/>
        </w:rPr>
        <w:t>salience.</w:t>
      </w:r>
      <w:r w:rsidRPr="001E3C20">
        <w:rPr>
          <w:rFonts w:cs="Times New Roman"/>
        </w:rPr>
        <w:t>Inferential</w:t>
      </w:r>
      <w:proofErr w:type="spellEnd"/>
      <w:proofErr w:type="gramEnd"/>
      <w:r w:rsidRPr="001E3C20">
        <w:rPr>
          <w:rFonts w:cs="Times New Roman"/>
        </w:rPr>
        <w:t xml:space="preserve"> statistics include correlation analysis, multiple linear regression, and moderated multiple regression analysis to determine the nature and strength of relationships among variables. The chapter concludes with a discussion of the findings in relation to the study hypotheses and existing literature.</w:t>
      </w:r>
    </w:p>
    <w:p w:rsidR="007531DF" w:rsidRPr="001E3C20" w:rsidRDefault="007531DF" w:rsidP="007531DF">
      <w:pPr>
        <w:pStyle w:val="Heading2"/>
      </w:pPr>
      <w:bookmarkStart w:id="40" w:name="_Toc230811134"/>
      <w:r w:rsidRPr="001E3C20">
        <w:t>4.2 Response Rate</w:t>
      </w:r>
      <w:bookmarkEnd w:id="40"/>
    </w:p>
    <w:p w:rsidR="007531DF" w:rsidRPr="001E3C20" w:rsidRDefault="007531DF" w:rsidP="007531DF">
      <w:pPr>
        <w:rPr>
          <w:rFonts w:cs="Times New Roman"/>
        </w:rPr>
      </w:pPr>
      <w:r w:rsidRPr="001E3C20">
        <w:rPr>
          <w:rFonts w:cs="Times New Roman"/>
        </w:rPr>
        <w:t>The study targeted a total sample size of 355 respondents comprising 334 students who were issued with questionnaires and 21 key informants who participated in interviews. The questionnaires were administered to students drawn from selected public universities, while interviews were conducted among Deputy Vice Chancellors (Academic and Student Affairs), Directors of Research and Linkages, and Corporate Affairs officers.</w:t>
      </w:r>
    </w:p>
    <w:p w:rsidR="007531DF" w:rsidRPr="001E3C20" w:rsidRDefault="007531DF" w:rsidP="007531DF">
      <w:pPr>
        <w:rPr>
          <w:rFonts w:cs="Times New Roman"/>
        </w:rPr>
      </w:pPr>
      <w:r w:rsidRPr="001E3C20">
        <w:rPr>
          <w:rFonts w:cs="Times New Roman"/>
        </w:rPr>
        <w:t>Out of the 334 questionnaires administered to student respondents, 296 questionnaires were duly completed and returned, representing a response rate of 88.6%. In addition, all the 21 key informants who had been purposively selected for interviews successfully participated in the study, representing a 100% interview response rate. Consequently, the study achieved an overall response rate of 89.3% based on the total targeted respondents.</w:t>
      </w:r>
    </w:p>
    <w:p w:rsidR="007531DF" w:rsidRPr="001E3C20" w:rsidRDefault="007531DF" w:rsidP="007531DF">
      <w:pPr>
        <w:rPr>
          <w:rFonts w:cs="Times New Roman"/>
        </w:rPr>
      </w:pPr>
      <w:r w:rsidRPr="001E3C20">
        <w:rPr>
          <w:rFonts w:cs="Times New Roman"/>
        </w:rPr>
        <w:t xml:space="preserve">According to </w:t>
      </w:r>
      <w:proofErr w:type="spellStart"/>
      <w:r w:rsidRPr="001E3C20">
        <w:rPr>
          <w:rFonts w:cs="Times New Roman"/>
        </w:rPr>
        <w:t>Mugenda</w:t>
      </w:r>
      <w:proofErr w:type="spellEnd"/>
      <w:r w:rsidRPr="001E3C20">
        <w:rPr>
          <w:rFonts w:cs="Times New Roman"/>
        </w:rPr>
        <w:t xml:space="preserve"> and </w:t>
      </w:r>
      <w:proofErr w:type="spellStart"/>
      <w:r w:rsidRPr="001E3C20">
        <w:rPr>
          <w:rFonts w:cs="Times New Roman"/>
        </w:rPr>
        <w:t>Mugenda</w:t>
      </w:r>
      <w:proofErr w:type="spellEnd"/>
      <w:r w:rsidRPr="001E3C20">
        <w:rPr>
          <w:rFonts w:cs="Times New Roman"/>
        </w:rPr>
        <w:t xml:space="preserve"> (2019), a response rate of 70% and above is considered adequate for social science research because it enhances the reliability, representativeness, and </w:t>
      </w:r>
      <w:r w:rsidRPr="001E3C20">
        <w:rPr>
          <w:rFonts w:cs="Times New Roman"/>
        </w:rPr>
        <w:lastRenderedPageBreak/>
        <w:t>generalizability of study findings. Therefore, the response rate achieved in this study was considered highly satisfactory and sufficient for statistical analysis, interpretation of findings, and drawing valid conclusions regarding brand equity strategies, organizational resources, and students’ enrollment decisions in public universities in Kenya.</w:t>
      </w:r>
    </w:p>
    <w:p w:rsidR="007531DF" w:rsidRPr="001E3C20" w:rsidRDefault="007531DF" w:rsidP="007531DF">
      <w:pPr>
        <w:pStyle w:val="Heading2"/>
      </w:pPr>
      <w:bookmarkStart w:id="41" w:name="_Toc230811135"/>
      <w:r w:rsidRPr="001E3C20">
        <w:t>4.3 Demographic Information</w:t>
      </w:r>
      <w:bookmarkEnd w:id="41"/>
    </w:p>
    <w:p w:rsidR="007531DF" w:rsidRPr="001E3C20" w:rsidRDefault="007531DF" w:rsidP="007531DF">
      <w:pPr>
        <w:rPr>
          <w:rFonts w:cs="Times New Roman"/>
        </w:rPr>
      </w:pPr>
      <w:r w:rsidRPr="001E3C20">
        <w:rPr>
          <w:rFonts w:cs="Times New Roman"/>
        </w:rPr>
        <w:t>This section presents the demographic characteristics of the respondents. The information is important in understanding the background of the respondents and ensuring that the sample is representative of the target population. The demographic variables analyzed include gender, age range and academic level.</w:t>
      </w:r>
    </w:p>
    <w:p w:rsidR="007531DF" w:rsidRPr="00195265" w:rsidRDefault="007531DF" w:rsidP="007531DF">
      <w:pPr>
        <w:pStyle w:val="Heading3"/>
        <w:rPr>
          <w:rFonts w:ascii="Times New Roman" w:hAnsi="Times New Roman" w:cs="Times New Roman"/>
          <w:b/>
          <w:color w:val="auto"/>
        </w:rPr>
      </w:pPr>
      <w:bookmarkStart w:id="42" w:name="_Toc230811136"/>
      <w:r w:rsidRPr="00195265">
        <w:rPr>
          <w:rFonts w:ascii="Times New Roman" w:hAnsi="Times New Roman" w:cs="Times New Roman"/>
          <w:b/>
          <w:color w:val="auto"/>
        </w:rPr>
        <w:t>4.3.1 Gender of Respondents</w:t>
      </w:r>
      <w:bookmarkEnd w:id="42"/>
    </w:p>
    <w:p w:rsidR="007531DF" w:rsidRPr="001E3C20" w:rsidRDefault="007531DF" w:rsidP="007531DF">
      <w:pPr>
        <w:rPr>
          <w:rFonts w:cs="Times New Roman"/>
        </w:rPr>
      </w:pPr>
      <w:r w:rsidRPr="001E3C20">
        <w:rPr>
          <w:rFonts w:cs="Times New Roman"/>
        </w:rPr>
        <w:t>Table 4.1 presents the gender distribution of the respondents.</w:t>
      </w:r>
    </w:p>
    <w:p w:rsidR="007531DF" w:rsidRPr="001E3C20" w:rsidRDefault="007531DF" w:rsidP="007531DF">
      <w:pPr>
        <w:pStyle w:val="Heading4"/>
        <w:rPr>
          <w:rFonts w:ascii="Times New Roman" w:hAnsi="Times New Roman" w:cs="Times New Roman"/>
          <w:b/>
          <w:color w:val="auto"/>
        </w:rPr>
      </w:pPr>
      <w:bookmarkStart w:id="43" w:name="_Toc229492447"/>
      <w:r w:rsidRPr="001E3C20">
        <w:rPr>
          <w:rFonts w:ascii="Times New Roman" w:hAnsi="Times New Roman" w:cs="Times New Roman"/>
          <w:b/>
          <w:color w:val="auto"/>
        </w:rPr>
        <w:t>Table 4.1: Gender of Respondents</w:t>
      </w:r>
      <w:bookmarkEnd w:id="43"/>
    </w:p>
    <w:tbl>
      <w:tblPr>
        <w:tblStyle w:val="TableGrid1"/>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2331"/>
        <w:gridCol w:w="2573"/>
      </w:tblGrid>
      <w:tr w:rsidR="007531DF" w:rsidRPr="001E3C20" w:rsidTr="007531DF">
        <w:tc>
          <w:tcPr>
            <w:tcW w:w="2162" w:type="pct"/>
            <w:tcBorders>
              <w:top w:val="single" w:sz="4" w:space="0" w:color="auto"/>
              <w:bottom w:val="single" w:sz="4" w:space="0" w:color="auto"/>
            </w:tcBorders>
          </w:tcPr>
          <w:p w:rsidR="007531DF" w:rsidRPr="001E3C20" w:rsidRDefault="007531DF" w:rsidP="007531DF">
            <w:pPr>
              <w:spacing w:before="0" w:after="0" w:line="360" w:lineRule="auto"/>
              <w:rPr>
                <w:sz w:val="20"/>
                <w:szCs w:val="20"/>
              </w:rPr>
            </w:pPr>
            <w:r w:rsidRPr="001E3C20">
              <w:rPr>
                <w:sz w:val="20"/>
                <w:szCs w:val="20"/>
              </w:rPr>
              <w:t>Gender</w:t>
            </w:r>
          </w:p>
        </w:tc>
        <w:tc>
          <w:tcPr>
            <w:tcW w:w="1349" w:type="pct"/>
            <w:tcBorders>
              <w:top w:val="single" w:sz="4" w:space="0" w:color="auto"/>
              <w:bottom w:val="single" w:sz="4" w:space="0" w:color="auto"/>
            </w:tcBorders>
          </w:tcPr>
          <w:p w:rsidR="007531DF" w:rsidRPr="001E3C20" w:rsidRDefault="007531DF" w:rsidP="007531DF">
            <w:pPr>
              <w:spacing w:before="0" w:after="0" w:line="360" w:lineRule="auto"/>
              <w:jc w:val="center"/>
              <w:rPr>
                <w:sz w:val="20"/>
                <w:szCs w:val="20"/>
              </w:rPr>
            </w:pPr>
            <w:r w:rsidRPr="001E3C20">
              <w:rPr>
                <w:sz w:val="20"/>
                <w:szCs w:val="20"/>
              </w:rPr>
              <w:t>N</w:t>
            </w:r>
          </w:p>
        </w:tc>
        <w:tc>
          <w:tcPr>
            <w:tcW w:w="1489" w:type="pct"/>
            <w:tcBorders>
              <w:top w:val="single" w:sz="4" w:space="0" w:color="auto"/>
              <w:bottom w:val="single" w:sz="4" w:space="0" w:color="auto"/>
            </w:tcBorders>
          </w:tcPr>
          <w:p w:rsidR="007531DF" w:rsidRPr="001E3C20" w:rsidRDefault="007531DF" w:rsidP="007531DF">
            <w:pPr>
              <w:spacing w:before="0" w:after="0" w:line="360" w:lineRule="auto"/>
              <w:jc w:val="center"/>
              <w:rPr>
                <w:sz w:val="20"/>
                <w:szCs w:val="20"/>
              </w:rPr>
            </w:pPr>
            <w:r w:rsidRPr="001E3C20">
              <w:rPr>
                <w:sz w:val="20"/>
                <w:szCs w:val="20"/>
              </w:rPr>
              <w:t>%</w:t>
            </w:r>
          </w:p>
        </w:tc>
      </w:tr>
      <w:tr w:rsidR="001E3C20" w:rsidRPr="001E3C20" w:rsidTr="007531DF">
        <w:tc>
          <w:tcPr>
            <w:tcW w:w="2162" w:type="pct"/>
            <w:tcBorders>
              <w:top w:val="single" w:sz="4" w:space="0" w:color="auto"/>
            </w:tcBorders>
          </w:tcPr>
          <w:p w:rsidR="007531DF" w:rsidRPr="001E3C20" w:rsidRDefault="007531DF" w:rsidP="007531DF">
            <w:pPr>
              <w:spacing w:before="0" w:after="0" w:line="360" w:lineRule="auto"/>
              <w:rPr>
                <w:sz w:val="20"/>
                <w:szCs w:val="20"/>
              </w:rPr>
            </w:pPr>
            <w:r w:rsidRPr="001E3C20">
              <w:rPr>
                <w:sz w:val="20"/>
                <w:szCs w:val="20"/>
              </w:rPr>
              <w:t>Male</w:t>
            </w:r>
          </w:p>
        </w:tc>
        <w:tc>
          <w:tcPr>
            <w:tcW w:w="1349" w:type="pct"/>
            <w:tcBorders>
              <w:top w:val="single" w:sz="4" w:space="0" w:color="auto"/>
            </w:tcBorders>
          </w:tcPr>
          <w:p w:rsidR="007531DF" w:rsidRPr="001E3C20" w:rsidRDefault="007531DF" w:rsidP="007531DF">
            <w:pPr>
              <w:spacing w:before="0" w:after="0" w:line="360" w:lineRule="auto"/>
              <w:jc w:val="center"/>
              <w:rPr>
                <w:sz w:val="20"/>
                <w:szCs w:val="20"/>
              </w:rPr>
            </w:pPr>
            <w:r w:rsidRPr="001E3C20">
              <w:rPr>
                <w:sz w:val="20"/>
                <w:szCs w:val="20"/>
              </w:rPr>
              <w:t>183</w:t>
            </w:r>
          </w:p>
        </w:tc>
        <w:tc>
          <w:tcPr>
            <w:tcW w:w="1489" w:type="pct"/>
            <w:tcBorders>
              <w:top w:val="single" w:sz="4" w:space="0" w:color="auto"/>
            </w:tcBorders>
          </w:tcPr>
          <w:p w:rsidR="007531DF" w:rsidRPr="001E3C20" w:rsidRDefault="007531DF" w:rsidP="007531DF">
            <w:pPr>
              <w:spacing w:before="0" w:after="0" w:line="360" w:lineRule="auto"/>
              <w:jc w:val="center"/>
              <w:rPr>
                <w:sz w:val="20"/>
                <w:szCs w:val="20"/>
              </w:rPr>
            </w:pPr>
            <w:r w:rsidRPr="001E3C20">
              <w:rPr>
                <w:sz w:val="20"/>
                <w:szCs w:val="20"/>
              </w:rPr>
              <w:t>61.8</w:t>
            </w:r>
          </w:p>
        </w:tc>
      </w:tr>
      <w:tr w:rsidR="001E3C20" w:rsidRPr="001E3C20" w:rsidTr="007531DF">
        <w:tc>
          <w:tcPr>
            <w:tcW w:w="2162" w:type="pct"/>
            <w:tcBorders>
              <w:bottom w:val="single" w:sz="4" w:space="0" w:color="auto"/>
            </w:tcBorders>
          </w:tcPr>
          <w:p w:rsidR="007531DF" w:rsidRPr="001E3C20" w:rsidRDefault="007531DF" w:rsidP="007531DF">
            <w:pPr>
              <w:spacing w:before="0" w:after="0" w:line="360" w:lineRule="auto"/>
              <w:rPr>
                <w:sz w:val="20"/>
                <w:szCs w:val="20"/>
              </w:rPr>
            </w:pPr>
            <w:r w:rsidRPr="001E3C20">
              <w:rPr>
                <w:sz w:val="20"/>
                <w:szCs w:val="20"/>
              </w:rPr>
              <w:t>Female</w:t>
            </w:r>
          </w:p>
        </w:tc>
        <w:tc>
          <w:tcPr>
            <w:tcW w:w="1349" w:type="pct"/>
            <w:tcBorders>
              <w:bottom w:val="single" w:sz="4" w:space="0" w:color="auto"/>
            </w:tcBorders>
          </w:tcPr>
          <w:p w:rsidR="007531DF" w:rsidRPr="001E3C20" w:rsidRDefault="007531DF" w:rsidP="007531DF">
            <w:pPr>
              <w:spacing w:before="0" w:after="0" w:line="360" w:lineRule="auto"/>
              <w:jc w:val="center"/>
              <w:rPr>
                <w:sz w:val="20"/>
                <w:szCs w:val="20"/>
              </w:rPr>
            </w:pPr>
            <w:r w:rsidRPr="001E3C20">
              <w:rPr>
                <w:sz w:val="20"/>
                <w:szCs w:val="20"/>
              </w:rPr>
              <w:t>113</w:t>
            </w:r>
          </w:p>
        </w:tc>
        <w:tc>
          <w:tcPr>
            <w:tcW w:w="1489" w:type="pct"/>
            <w:tcBorders>
              <w:bottom w:val="single" w:sz="4" w:space="0" w:color="auto"/>
            </w:tcBorders>
          </w:tcPr>
          <w:p w:rsidR="007531DF" w:rsidRPr="001E3C20" w:rsidRDefault="007531DF" w:rsidP="007531DF">
            <w:pPr>
              <w:spacing w:before="0" w:after="0" w:line="360" w:lineRule="auto"/>
              <w:jc w:val="center"/>
              <w:rPr>
                <w:sz w:val="20"/>
                <w:szCs w:val="20"/>
              </w:rPr>
            </w:pPr>
            <w:r w:rsidRPr="001E3C20">
              <w:rPr>
                <w:sz w:val="20"/>
                <w:szCs w:val="20"/>
              </w:rPr>
              <w:t>38.2</w:t>
            </w:r>
          </w:p>
        </w:tc>
      </w:tr>
      <w:tr w:rsidR="007531DF" w:rsidRPr="001E3C20" w:rsidTr="007531DF">
        <w:tc>
          <w:tcPr>
            <w:tcW w:w="2162" w:type="pct"/>
            <w:tcBorders>
              <w:top w:val="single" w:sz="4" w:space="0" w:color="auto"/>
              <w:bottom w:val="single" w:sz="4" w:space="0" w:color="auto"/>
            </w:tcBorders>
          </w:tcPr>
          <w:p w:rsidR="007531DF" w:rsidRPr="001E3C20" w:rsidRDefault="007531DF" w:rsidP="007531DF">
            <w:pPr>
              <w:spacing w:before="0" w:after="0" w:line="360" w:lineRule="auto"/>
              <w:rPr>
                <w:sz w:val="20"/>
                <w:szCs w:val="20"/>
              </w:rPr>
            </w:pPr>
            <w:r w:rsidRPr="001E3C20">
              <w:rPr>
                <w:sz w:val="20"/>
                <w:szCs w:val="20"/>
              </w:rPr>
              <w:t>Total</w:t>
            </w:r>
          </w:p>
        </w:tc>
        <w:tc>
          <w:tcPr>
            <w:tcW w:w="1349" w:type="pct"/>
            <w:tcBorders>
              <w:top w:val="single" w:sz="4" w:space="0" w:color="auto"/>
              <w:bottom w:val="single" w:sz="4" w:space="0" w:color="auto"/>
            </w:tcBorders>
          </w:tcPr>
          <w:p w:rsidR="007531DF" w:rsidRPr="001E3C20" w:rsidRDefault="007531DF" w:rsidP="007531DF">
            <w:pPr>
              <w:spacing w:before="0" w:after="0" w:line="360" w:lineRule="auto"/>
              <w:jc w:val="center"/>
              <w:rPr>
                <w:sz w:val="20"/>
                <w:szCs w:val="20"/>
              </w:rPr>
            </w:pPr>
            <w:r w:rsidRPr="001E3C20">
              <w:rPr>
                <w:sz w:val="20"/>
                <w:szCs w:val="20"/>
              </w:rPr>
              <w:t>296</w:t>
            </w:r>
          </w:p>
        </w:tc>
        <w:tc>
          <w:tcPr>
            <w:tcW w:w="1489" w:type="pct"/>
            <w:tcBorders>
              <w:top w:val="single" w:sz="4" w:space="0" w:color="auto"/>
              <w:bottom w:val="single" w:sz="4" w:space="0" w:color="auto"/>
            </w:tcBorders>
          </w:tcPr>
          <w:p w:rsidR="007531DF" w:rsidRPr="001E3C20" w:rsidRDefault="007531DF" w:rsidP="007531DF">
            <w:pPr>
              <w:spacing w:before="0" w:after="0" w:line="360" w:lineRule="auto"/>
              <w:jc w:val="center"/>
              <w:rPr>
                <w:sz w:val="20"/>
                <w:szCs w:val="20"/>
              </w:rPr>
            </w:pPr>
            <w:r w:rsidRPr="001E3C20">
              <w:rPr>
                <w:sz w:val="20"/>
                <w:szCs w:val="20"/>
              </w:rPr>
              <w:t>100</w:t>
            </w:r>
          </w:p>
        </w:tc>
      </w:tr>
    </w:tbl>
    <w:p w:rsidR="007531DF" w:rsidRPr="001E3C20" w:rsidRDefault="007531DF" w:rsidP="007531DF">
      <w:pPr>
        <w:rPr>
          <w:rFonts w:cs="Times New Roman"/>
        </w:rPr>
      </w:pPr>
      <w:r w:rsidRPr="001E3C20">
        <w:rPr>
          <w:rFonts w:cs="Times New Roman"/>
        </w:rPr>
        <w:t>The findings in Table 4.1 indicate that a majority of the respondents were male, accounting for 61.8%, while female respondents represented 38.2%. This suggests a relatively higher participation of male students in the study compared to female students. However, the distribution still reflects a reasonable gender representation, allowing for balanced analysis of perspectives across genders.</w:t>
      </w:r>
    </w:p>
    <w:p w:rsidR="007531DF" w:rsidRPr="00195265" w:rsidRDefault="007531DF" w:rsidP="007531DF">
      <w:pPr>
        <w:pStyle w:val="Heading3"/>
        <w:rPr>
          <w:rFonts w:ascii="Times New Roman" w:hAnsi="Times New Roman" w:cs="Times New Roman"/>
          <w:b/>
          <w:color w:val="auto"/>
        </w:rPr>
      </w:pPr>
      <w:bookmarkStart w:id="44" w:name="_Toc230811137"/>
      <w:r w:rsidRPr="00195265">
        <w:rPr>
          <w:rFonts w:ascii="Times New Roman" w:hAnsi="Times New Roman" w:cs="Times New Roman"/>
          <w:b/>
          <w:color w:val="auto"/>
        </w:rPr>
        <w:t>4.3.2 Age Range of Respondents</w:t>
      </w:r>
      <w:bookmarkEnd w:id="44"/>
    </w:p>
    <w:p w:rsidR="007531DF" w:rsidRPr="001E3C20" w:rsidRDefault="007531DF" w:rsidP="007531DF">
      <w:pPr>
        <w:rPr>
          <w:rFonts w:cs="Times New Roman"/>
        </w:rPr>
      </w:pPr>
      <w:r w:rsidRPr="001E3C20">
        <w:rPr>
          <w:rFonts w:cs="Times New Roman"/>
        </w:rPr>
        <w:t>The age of the respondents was examined and presented in Table 4.2 presents below.</w:t>
      </w:r>
    </w:p>
    <w:p w:rsidR="007531DF" w:rsidRPr="001E3C20" w:rsidRDefault="007531DF" w:rsidP="007531DF">
      <w:pPr>
        <w:pStyle w:val="Heading4"/>
        <w:rPr>
          <w:rFonts w:ascii="Times New Roman" w:hAnsi="Times New Roman" w:cs="Times New Roman"/>
          <w:b/>
          <w:i w:val="0"/>
          <w:color w:val="auto"/>
        </w:rPr>
      </w:pPr>
      <w:bookmarkStart w:id="45" w:name="_Toc229492448"/>
      <w:r w:rsidRPr="001E3C20">
        <w:rPr>
          <w:rFonts w:ascii="Times New Roman" w:hAnsi="Times New Roman" w:cs="Times New Roman"/>
          <w:color w:val="auto"/>
        </w:rPr>
        <w:lastRenderedPageBreak/>
        <w:t>Table 4.2: Age Range of Respondents</w:t>
      </w:r>
      <w:bookmarkEnd w:id="45"/>
    </w:p>
    <w:tbl>
      <w:tblPr>
        <w:tblStyle w:val="TableGrid1"/>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1806"/>
        <w:gridCol w:w="1979"/>
      </w:tblGrid>
      <w:tr w:rsidR="007531DF" w:rsidRPr="001E3C20" w:rsidTr="007531DF">
        <w:tc>
          <w:tcPr>
            <w:tcW w:w="2810" w:type="pct"/>
            <w:tcBorders>
              <w:top w:val="single" w:sz="4" w:space="0" w:color="auto"/>
              <w:bottom w:val="single" w:sz="4" w:space="0" w:color="auto"/>
            </w:tcBorders>
          </w:tcPr>
          <w:p w:rsidR="007531DF" w:rsidRPr="001E3C20" w:rsidRDefault="007531DF" w:rsidP="007531DF">
            <w:pPr>
              <w:spacing w:before="0" w:after="0" w:line="360" w:lineRule="auto"/>
              <w:rPr>
                <w:b/>
                <w:sz w:val="20"/>
                <w:szCs w:val="20"/>
              </w:rPr>
            </w:pPr>
            <w:r w:rsidRPr="001E3C20">
              <w:rPr>
                <w:b/>
                <w:sz w:val="20"/>
                <w:szCs w:val="20"/>
              </w:rPr>
              <w:t>Age Range</w:t>
            </w:r>
          </w:p>
        </w:tc>
        <w:tc>
          <w:tcPr>
            <w:tcW w:w="1045" w:type="pct"/>
            <w:tcBorders>
              <w:top w:val="single" w:sz="4" w:space="0" w:color="auto"/>
              <w:bottom w:val="single" w:sz="4" w:space="0" w:color="auto"/>
            </w:tcBorders>
          </w:tcPr>
          <w:p w:rsidR="007531DF" w:rsidRPr="001E3C20" w:rsidRDefault="007531DF" w:rsidP="007531DF">
            <w:pPr>
              <w:spacing w:before="0" w:after="0" w:line="360" w:lineRule="auto"/>
              <w:jc w:val="center"/>
              <w:rPr>
                <w:b/>
                <w:sz w:val="20"/>
                <w:szCs w:val="20"/>
              </w:rPr>
            </w:pPr>
            <w:r w:rsidRPr="001E3C20">
              <w:rPr>
                <w:b/>
                <w:sz w:val="20"/>
                <w:szCs w:val="20"/>
              </w:rPr>
              <w:t>N</w:t>
            </w:r>
          </w:p>
        </w:tc>
        <w:tc>
          <w:tcPr>
            <w:tcW w:w="1146" w:type="pct"/>
            <w:tcBorders>
              <w:top w:val="single" w:sz="4" w:space="0" w:color="auto"/>
              <w:bottom w:val="single" w:sz="4" w:space="0" w:color="auto"/>
            </w:tcBorders>
          </w:tcPr>
          <w:p w:rsidR="007531DF" w:rsidRPr="001E3C20" w:rsidRDefault="007531DF" w:rsidP="007531DF">
            <w:pPr>
              <w:spacing w:before="0" w:after="0" w:line="360" w:lineRule="auto"/>
              <w:jc w:val="center"/>
              <w:rPr>
                <w:b/>
                <w:sz w:val="20"/>
                <w:szCs w:val="20"/>
              </w:rPr>
            </w:pPr>
            <w:r w:rsidRPr="001E3C20">
              <w:rPr>
                <w:b/>
                <w:sz w:val="20"/>
                <w:szCs w:val="20"/>
              </w:rPr>
              <w:t>%</w:t>
            </w:r>
          </w:p>
        </w:tc>
      </w:tr>
      <w:tr w:rsidR="001E3C20" w:rsidRPr="001E3C20" w:rsidTr="007531DF">
        <w:tc>
          <w:tcPr>
            <w:tcW w:w="2810" w:type="pct"/>
            <w:tcBorders>
              <w:top w:val="single" w:sz="4" w:space="0" w:color="auto"/>
            </w:tcBorders>
          </w:tcPr>
          <w:p w:rsidR="007531DF" w:rsidRPr="001E3C20" w:rsidRDefault="007531DF" w:rsidP="007531DF">
            <w:pPr>
              <w:spacing w:before="0" w:after="0" w:line="360" w:lineRule="auto"/>
              <w:rPr>
                <w:sz w:val="20"/>
                <w:szCs w:val="20"/>
              </w:rPr>
            </w:pPr>
            <w:r w:rsidRPr="001E3C20">
              <w:rPr>
                <w:sz w:val="20"/>
                <w:szCs w:val="20"/>
              </w:rPr>
              <w:t>Up to 25 years</w:t>
            </w:r>
          </w:p>
        </w:tc>
        <w:tc>
          <w:tcPr>
            <w:tcW w:w="1045" w:type="pct"/>
            <w:tcBorders>
              <w:top w:val="single" w:sz="4" w:space="0" w:color="auto"/>
            </w:tcBorders>
          </w:tcPr>
          <w:p w:rsidR="007531DF" w:rsidRPr="001E3C20" w:rsidRDefault="007531DF" w:rsidP="007531DF">
            <w:pPr>
              <w:spacing w:before="0" w:after="0" w:line="360" w:lineRule="auto"/>
              <w:jc w:val="center"/>
              <w:rPr>
                <w:sz w:val="20"/>
                <w:szCs w:val="20"/>
              </w:rPr>
            </w:pPr>
            <w:r w:rsidRPr="001E3C20">
              <w:rPr>
                <w:sz w:val="20"/>
                <w:szCs w:val="20"/>
              </w:rPr>
              <w:t>129</w:t>
            </w:r>
          </w:p>
        </w:tc>
        <w:tc>
          <w:tcPr>
            <w:tcW w:w="1146" w:type="pct"/>
            <w:tcBorders>
              <w:top w:val="single" w:sz="4" w:space="0" w:color="auto"/>
            </w:tcBorders>
          </w:tcPr>
          <w:p w:rsidR="007531DF" w:rsidRPr="001E3C20" w:rsidRDefault="007531DF" w:rsidP="007531DF">
            <w:pPr>
              <w:spacing w:before="0" w:after="0" w:line="360" w:lineRule="auto"/>
              <w:jc w:val="center"/>
              <w:rPr>
                <w:sz w:val="20"/>
                <w:szCs w:val="20"/>
              </w:rPr>
            </w:pPr>
            <w:r w:rsidRPr="001E3C20">
              <w:rPr>
                <w:sz w:val="20"/>
                <w:szCs w:val="20"/>
              </w:rPr>
              <w:t>43.6</w:t>
            </w:r>
          </w:p>
        </w:tc>
      </w:tr>
      <w:tr w:rsidR="001E3C20" w:rsidRPr="001E3C20" w:rsidTr="007531DF">
        <w:tc>
          <w:tcPr>
            <w:tcW w:w="2810" w:type="pct"/>
          </w:tcPr>
          <w:p w:rsidR="007531DF" w:rsidRPr="001E3C20" w:rsidRDefault="007531DF" w:rsidP="007531DF">
            <w:pPr>
              <w:spacing w:before="0" w:after="0" w:line="360" w:lineRule="auto"/>
              <w:rPr>
                <w:sz w:val="20"/>
                <w:szCs w:val="20"/>
              </w:rPr>
            </w:pPr>
            <w:r w:rsidRPr="001E3C20">
              <w:rPr>
                <w:sz w:val="20"/>
                <w:szCs w:val="20"/>
              </w:rPr>
              <w:t>26–30 years</w:t>
            </w:r>
          </w:p>
        </w:tc>
        <w:tc>
          <w:tcPr>
            <w:tcW w:w="1045" w:type="pct"/>
          </w:tcPr>
          <w:p w:rsidR="007531DF" w:rsidRPr="001E3C20" w:rsidRDefault="007531DF" w:rsidP="007531DF">
            <w:pPr>
              <w:spacing w:before="0" w:after="0" w:line="360" w:lineRule="auto"/>
              <w:jc w:val="center"/>
              <w:rPr>
                <w:sz w:val="20"/>
                <w:szCs w:val="20"/>
              </w:rPr>
            </w:pPr>
            <w:r w:rsidRPr="001E3C20">
              <w:rPr>
                <w:sz w:val="20"/>
                <w:szCs w:val="20"/>
              </w:rPr>
              <w:t>91</w:t>
            </w:r>
          </w:p>
        </w:tc>
        <w:tc>
          <w:tcPr>
            <w:tcW w:w="1146" w:type="pct"/>
          </w:tcPr>
          <w:p w:rsidR="007531DF" w:rsidRPr="001E3C20" w:rsidRDefault="007531DF" w:rsidP="007531DF">
            <w:pPr>
              <w:spacing w:before="0" w:after="0" w:line="360" w:lineRule="auto"/>
              <w:jc w:val="center"/>
              <w:rPr>
                <w:sz w:val="20"/>
                <w:szCs w:val="20"/>
              </w:rPr>
            </w:pPr>
            <w:r w:rsidRPr="001E3C20">
              <w:rPr>
                <w:sz w:val="20"/>
                <w:szCs w:val="20"/>
              </w:rPr>
              <w:t>30.7</w:t>
            </w:r>
          </w:p>
        </w:tc>
      </w:tr>
      <w:tr w:rsidR="001E3C20" w:rsidRPr="001E3C20" w:rsidTr="007531DF">
        <w:tc>
          <w:tcPr>
            <w:tcW w:w="2810" w:type="pct"/>
          </w:tcPr>
          <w:p w:rsidR="007531DF" w:rsidRPr="001E3C20" w:rsidRDefault="007531DF" w:rsidP="007531DF">
            <w:pPr>
              <w:spacing w:before="0" w:after="0" w:line="360" w:lineRule="auto"/>
              <w:rPr>
                <w:sz w:val="20"/>
                <w:szCs w:val="20"/>
              </w:rPr>
            </w:pPr>
            <w:r w:rsidRPr="001E3C20">
              <w:rPr>
                <w:sz w:val="20"/>
                <w:szCs w:val="20"/>
              </w:rPr>
              <w:t>31–35 years</w:t>
            </w:r>
          </w:p>
        </w:tc>
        <w:tc>
          <w:tcPr>
            <w:tcW w:w="1045" w:type="pct"/>
          </w:tcPr>
          <w:p w:rsidR="007531DF" w:rsidRPr="001E3C20" w:rsidRDefault="007531DF" w:rsidP="007531DF">
            <w:pPr>
              <w:spacing w:before="0" w:after="0" w:line="360" w:lineRule="auto"/>
              <w:jc w:val="center"/>
              <w:rPr>
                <w:sz w:val="20"/>
                <w:szCs w:val="20"/>
              </w:rPr>
            </w:pPr>
            <w:r w:rsidRPr="001E3C20">
              <w:rPr>
                <w:sz w:val="20"/>
                <w:szCs w:val="20"/>
              </w:rPr>
              <w:t>49</w:t>
            </w:r>
          </w:p>
        </w:tc>
        <w:tc>
          <w:tcPr>
            <w:tcW w:w="1146" w:type="pct"/>
          </w:tcPr>
          <w:p w:rsidR="007531DF" w:rsidRPr="001E3C20" w:rsidRDefault="007531DF" w:rsidP="007531DF">
            <w:pPr>
              <w:spacing w:before="0" w:after="0" w:line="360" w:lineRule="auto"/>
              <w:jc w:val="center"/>
              <w:rPr>
                <w:sz w:val="20"/>
                <w:szCs w:val="20"/>
              </w:rPr>
            </w:pPr>
            <w:r w:rsidRPr="001E3C20">
              <w:rPr>
                <w:sz w:val="20"/>
                <w:szCs w:val="20"/>
              </w:rPr>
              <w:t>16.6</w:t>
            </w:r>
          </w:p>
        </w:tc>
      </w:tr>
      <w:tr w:rsidR="001E3C20" w:rsidRPr="001E3C20" w:rsidTr="007531DF">
        <w:tc>
          <w:tcPr>
            <w:tcW w:w="2810" w:type="pct"/>
          </w:tcPr>
          <w:p w:rsidR="007531DF" w:rsidRPr="001E3C20" w:rsidRDefault="007531DF" w:rsidP="007531DF">
            <w:pPr>
              <w:spacing w:before="0" w:after="0" w:line="360" w:lineRule="auto"/>
              <w:rPr>
                <w:sz w:val="20"/>
                <w:szCs w:val="20"/>
              </w:rPr>
            </w:pPr>
            <w:r w:rsidRPr="001E3C20">
              <w:rPr>
                <w:sz w:val="20"/>
                <w:szCs w:val="20"/>
              </w:rPr>
              <w:t>36–40 years</w:t>
            </w:r>
          </w:p>
        </w:tc>
        <w:tc>
          <w:tcPr>
            <w:tcW w:w="1045" w:type="pct"/>
          </w:tcPr>
          <w:p w:rsidR="007531DF" w:rsidRPr="001E3C20" w:rsidRDefault="007531DF" w:rsidP="007531DF">
            <w:pPr>
              <w:spacing w:before="0" w:after="0" w:line="360" w:lineRule="auto"/>
              <w:jc w:val="center"/>
              <w:rPr>
                <w:sz w:val="20"/>
                <w:szCs w:val="20"/>
              </w:rPr>
            </w:pPr>
            <w:r w:rsidRPr="001E3C20">
              <w:rPr>
                <w:sz w:val="20"/>
                <w:szCs w:val="20"/>
              </w:rPr>
              <w:t>13</w:t>
            </w:r>
          </w:p>
        </w:tc>
        <w:tc>
          <w:tcPr>
            <w:tcW w:w="1146" w:type="pct"/>
          </w:tcPr>
          <w:p w:rsidR="007531DF" w:rsidRPr="001E3C20" w:rsidRDefault="007531DF" w:rsidP="007531DF">
            <w:pPr>
              <w:spacing w:before="0" w:after="0" w:line="360" w:lineRule="auto"/>
              <w:jc w:val="center"/>
              <w:rPr>
                <w:sz w:val="20"/>
                <w:szCs w:val="20"/>
              </w:rPr>
            </w:pPr>
            <w:r w:rsidRPr="001E3C20">
              <w:rPr>
                <w:sz w:val="20"/>
                <w:szCs w:val="20"/>
              </w:rPr>
              <w:t>4.4</w:t>
            </w:r>
          </w:p>
        </w:tc>
      </w:tr>
      <w:tr w:rsidR="001E3C20" w:rsidRPr="001E3C20" w:rsidTr="007531DF">
        <w:tc>
          <w:tcPr>
            <w:tcW w:w="2810" w:type="pct"/>
          </w:tcPr>
          <w:p w:rsidR="007531DF" w:rsidRPr="001E3C20" w:rsidRDefault="007531DF" w:rsidP="007531DF">
            <w:pPr>
              <w:spacing w:before="0" w:after="0" w:line="360" w:lineRule="auto"/>
              <w:rPr>
                <w:sz w:val="20"/>
                <w:szCs w:val="20"/>
              </w:rPr>
            </w:pPr>
            <w:r w:rsidRPr="001E3C20">
              <w:rPr>
                <w:sz w:val="20"/>
                <w:szCs w:val="20"/>
              </w:rPr>
              <w:t>41–45 years</w:t>
            </w:r>
          </w:p>
        </w:tc>
        <w:tc>
          <w:tcPr>
            <w:tcW w:w="1045" w:type="pct"/>
          </w:tcPr>
          <w:p w:rsidR="007531DF" w:rsidRPr="001E3C20" w:rsidRDefault="007531DF" w:rsidP="007531DF">
            <w:pPr>
              <w:spacing w:before="0" w:after="0" w:line="360" w:lineRule="auto"/>
              <w:jc w:val="center"/>
              <w:rPr>
                <w:sz w:val="20"/>
                <w:szCs w:val="20"/>
              </w:rPr>
            </w:pPr>
            <w:r w:rsidRPr="001E3C20">
              <w:rPr>
                <w:sz w:val="20"/>
                <w:szCs w:val="20"/>
              </w:rPr>
              <w:t>10</w:t>
            </w:r>
          </w:p>
        </w:tc>
        <w:tc>
          <w:tcPr>
            <w:tcW w:w="1146" w:type="pct"/>
          </w:tcPr>
          <w:p w:rsidR="007531DF" w:rsidRPr="001E3C20" w:rsidRDefault="007531DF" w:rsidP="007531DF">
            <w:pPr>
              <w:spacing w:before="0" w:after="0" w:line="360" w:lineRule="auto"/>
              <w:jc w:val="center"/>
              <w:rPr>
                <w:sz w:val="20"/>
                <w:szCs w:val="20"/>
              </w:rPr>
            </w:pPr>
            <w:r w:rsidRPr="001E3C20">
              <w:rPr>
                <w:sz w:val="20"/>
                <w:szCs w:val="20"/>
              </w:rPr>
              <w:t>3.4</w:t>
            </w:r>
          </w:p>
        </w:tc>
      </w:tr>
      <w:tr w:rsidR="001E3C20" w:rsidRPr="001E3C20" w:rsidTr="007531DF">
        <w:tc>
          <w:tcPr>
            <w:tcW w:w="2810" w:type="pct"/>
            <w:tcBorders>
              <w:bottom w:val="single" w:sz="4" w:space="0" w:color="auto"/>
            </w:tcBorders>
          </w:tcPr>
          <w:p w:rsidR="007531DF" w:rsidRPr="001E3C20" w:rsidRDefault="007531DF" w:rsidP="007531DF">
            <w:pPr>
              <w:spacing w:before="0" w:after="0" w:line="360" w:lineRule="auto"/>
              <w:rPr>
                <w:sz w:val="20"/>
                <w:szCs w:val="20"/>
              </w:rPr>
            </w:pPr>
            <w:r w:rsidRPr="001E3C20">
              <w:rPr>
                <w:sz w:val="20"/>
                <w:szCs w:val="20"/>
              </w:rPr>
              <w:t>Over 46 years</w:t>
            </w:r>
          </w:p>
        </w:tc>
        <w:tc>
          <w:tcPr>
            <w:tcW w:w="1045" w:type="pct"/>
            <w:tcBorders>
              <w:bottom w:val="single" w:sz="4" w:space="0" w:color="auto"/>
            </w:tcBorders>
          </w:tcPr>
          <w:p w:rsidR="007531DF" w:rsidRPr="001E3C20" w:rsidRDefault="007531DF" w:rsidP="007531DF">
            <w:pPr>
              <w:spacing w:before="0" w:after="0" w:line="360" w:lineRule="auto"/>
              <w:jc w:val="center"/>
              <w:rPr>
                <w:sz w:val="20"/>
                <w:szCs w:val="20"/>
              </w:rPr>
            </w:pPr>
            <w:r w:rsidRPr="001E3C20">
              <w:rPr>
                <w:sz w:val="20"/>
                <w:szCs w:val="20"/>
              </w:rPr>
              <w:t>4</w:t>
            </w:r>
          </w:p>
        </w:tc>
        <w:tc>
          <w:tcPr>
            <w:tcW w:w="1146" w:type="pct"/>
            <w:tcBorders>
              <w:bottom w:val="single" w:sz="4" w:space="0" w:color="auto"/>
            </w:tcBorders>
          </w:tcPr>
          <w:p w:rsidR="007531DF" w:rsidRPr="001E3C20" w:rsidRDefault="007531DF" w:rsidP="007531DF">
            <w:pPr>
              <w:spacing w:before="0" w:after="0" w:line="360" w:lineRule="auto"/>
              <w:jc w:val="center"/>
              <w:rPr>
                <w:sz w:val="20"/>
                <w:szCs w:val="20"/>
              </w:rPr>
            </w:pPr>
            <w:r w:rsidRPr="001E3C20">
              <w:rPr>
                <w:sz w:val="20"/>
                <w:szCs w:val="20"/>
              </w:rPr>
              <w:t>1.4</w:t>
            </w:r>
          </w:p>
        </w:tc>
      </w:tr>
      <w:tr w:rsidR="007531DF" w:rsidRPr="001E3C20" w:rsidTr="007531DF">
        <w:tc>
          <w:tcPr>
            <w:tcW w:w="2810" w:type="pct"/>
            <w:tcBorders>
              <w:top w:val="single" w:sz="4" w:space="0" w:color="auto"/>
              <w:bottom w:val="single" w:sz="4" w:space="0" w:color="auto"/>
            </w:tcBorders>
          </w:tcPr>
          <w:p w:rsidR="007531DF" w:rsidRPr="001E3C20" w:rsidRDefault="007531DF" w:rsidP="007531DF">
            <w:pPr>
              <w:spacing w:before="0" w:after="0" w:line="360" w:lineRule="auto"/>
              <w:rPr>
                <w:b/>
                <w:sz w:val="20"/>
                <w:szCs w:val="20"/>
              </w:rPr>
            </w:pPr>
            <w:r w:rsidRPr="001E3C20">
              <w:rPr>
                <w:b/>
                <w:sz w:val="20"/>
                <w:szCs w:val="20"/>
              </w:rPr>
              <w:t>Total</w:t>
            </w:r>
          </w:p>
        </w:tc>
        <w:tc>
          <w:tcPr>
            <w:tcW w:w="1045" w:type="pct"/>
            <w:tcBorders>
              <w:top w:val="single" w:sz="4" w:space="0" w:color="auto"/>
              <w:bottom w:val="single" w:sz="4" w:space="0" w:color="auto"/>
            </w:tcBorders>
          </w:tcPr>
          <w:p w:rsidR="007531DF" w:rsidRPr="001E3C20" w:rsidRDefault="007531DF" w:rsidP="007531DF">
            <w:pPr>
              <w:spacing w:before="0" w:after="0" w:line="360" w:lineRule="auto"/>
              <w:jc w:val="center"/>
              <w:rPr>
                <w:b/>
                <w:sz w:val="20"/>
                <w:szCs w:val="20"/>
              </w:rPr>
            </w:pPr>
            <w:r w:rsidRPr="001E3C20">
              <w:rPr>
                <w:b/>
                <w:sz w:val="20"/>
                <w:szCs w:val="20"/>
              </w:rPr>
              <w:t>296</w:t>
            </w:r>
          </w:p>
        </w:tc>
        <w:tc>
          <w:tcPr>
            <w:tcW w:w="1146" w:type="pct"/>
            <w:tcBorders>
              <w:top w:val="single" w:sz="4" w:space="0" w:color="auto"/>
              <w:bottom w:val="single" w:sz="4" w:space="0" w:color="auto"/>
            </w:tcBorders>
          </w:tcPr>
          <w:p w:rsidR="007531DF" w:rsidRPr="001E3C20" w:rsidRDefault="007531DF" w:rsidP="007531DF">
            <w:pPr>
              <w:spacing w:before="0" w:after="0" w:line="360" w:lineRule="auto"/>
              <w:jc w:val="center"/>
              <w:rPr>
                <w:b/>
                <w:sz w:val="20"/>
                <w:szCs w:val="20"/>
              </w:rPr>
            </w:pPr>
            <w:r w:rsidRPr="001E3C20">
              <w:rPr>
                <w:b/>
                <w:sz w:val="20"/>
                <w:szCs w:val="20"/>
              </w:rPr>
              <w:t>100</w:t>
            </w:r>
          </w:p>
        </w:tc>
      </w:tr>
    </w:tbl>
    <w:p w:rsidR="007531DF" w:rsidRPr="001E3C20" w:rsidRDefault="007531DF" w:rsidP="007531DF">
      <w:pPr>
        <w:rPr>
          <w:rFonts w:cs="Times New Roman"/>
        </w:rPr>
      </w:pPr>
      <w:r w:rsidRPr="001E3C20">
        <w:rPr>
          <w:rFonts w:cs="Times New Roman"/>
        </w:rPr>
        <w:t>The results show that the majority of respondents (43.6%) were aged up to 25 years, followed by 26–30 years at 30.7%. This indicates that most respondents were relatively young, which is consistent with the typical age distribution of university students. A small proportion of respondents were above 40 years, suggesting representation of staff in the sample.</w:t>
      </w:r>
    </w:p>
    <w:p w:rsidR="007531DF" w:rsidRPr="00195265" w:rsidRDefault="007531DF" w:rsidP="007531DF">
      <w:pPr>
        <w:pStyle w:val="Heading3"/>
        <w:rPr>
          <w:rFonts w:ascii="Times New Roman" w:hAnsi="Times New Roman" w:cs="Times New Roman"/>
          <w:b/>
          <w:color w:val="auto"/>
        </w:rPr>
      </w:pPr>
      <w:bookmarkStart w:id="46" w:name="_Toc230811138"/>
      <w:r w:rsidRPr="00195265">
        <w:rPr>
          <w:rFonts w:ascii="Times New Roman" w:hAnsi="Times New Roman" w:cs="Times New Roman"/>
          <w:b/>
          <w:color w:val="auto"/>
        </w:rPr>
        <w:t>4.3.3 Academic Level of Respondents</w:t>
      </w:r>
      <w:bookmarkEnd w:id="46"/>
    </w:p>
    <w:p w:rsidR="007531DF" w:rsidRPr="001E3C20" w:rsidRDefault="007531DF" w:rsidP="007531DF">
      <w:pPr>
        <w:rPr>
          <w:rFonts w:cs="Times New Roman"/>
        </w:rPr>
      </w:pPr>
      <w:r w:rsidRPr="001E3C20">
        <w:rPr>
          <w:rFonts w:cs="Times New Roman"/>
        </w:rPr>
        <w:t xml:space="preserve">In Table 4.3, academic qualification levels of respondents were presented in frequency distribution below. </w:t>
      </w:r>
    </w:p>
    <w:p w:rsidR="007531DF" w:rsidRPr="001E3C20" w:rsidRDefault="007531DF" w:rsidP="007531DF">
      <w:pPr>
        <w:pStyle w:val="Heading4"/>
        <w:rPr>
          <w:rFonts w:ascii="Times New Roman" w:hAnsi="Times New Roman" w:cs="Times New Roman"/>
          <w:color w:val="auto"/>
        </w:rPr>
      </w:pPr>
      <w:bookmarkStart w:id="47" w:name="_Toc229492449"/>
      <w:r w:rsidRPr="001E3C20">
        <w:rPr>
          <w:rFonts w:ascii="Times New Roman" w:hAnsi="Times New Roman" w:cs="Times New Roman"/>
          <w:color w:val="auto"/>
        </w:rPr>
        <w:t>Table 4.3: Academic Level of Respondents</w:t>
      </w:r>
      <w:bookmarkEnd w:id="47"/>
    </w:p>
    <w:tbl>
      <w:tblPr>
        <w:tblStyle w:val="TableGrid1"/>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1706"/>
        <w:gridCol w:w="1870"/>
      </w:tblGrid>
      <w:tr w:rsidR="007531DF" w:rsidRPr="001E3C20" w:rsidTr="007531DF">
        <w:tc>
          <w:tcPr>
            <w:tcW w:w="2931" w:type="pct"/>
            <w:tcBorders>
              <w:top w:val="single" w:sz="4" w:space="0" w:color="auto"/>
              <w:bottom w:val="single" w:sz="4" w:space="0" w:color="auto"/>
            </w:tcBorders>
          </w:tcPr>
          <w:p w:rsidR="007531DF" w:rsidRPr="001E3C20" w:rsidRDefault="007531DF" w:rsidP="007531DF">
            <w:pPr>
              <w:spacing w:before="0" w:after="0" w:line="360" w:lineRule="auto"/>
              <w:rPr>
                <w:b/>
                <w:sz w:val="20"/>
                <w:szCs w:val="20"/>
              </w:rPr>
            </w:pPr>
            <w:r w:rsidRPr="001E3C20">
              <w:rPr>
                <w:b/>
                <w:sz w:val="20"/>
                <w:szCs w:val="20"/>
              </w:rPr>
              <w:t>Academic Level</w:t>
            </w:r>
          </w:p>
        </w:tc>
        <w:tc>
          <w:tcPr>
            <w:tcW w:w="987" w:type="pct"/>
            <w:tcBorders>
              <w:top w:val="single" w:sz="4" w:space="0" w:color="auto"/>
              <w:bottom w:val="single" w:sz="4" w:space="0" w:color="auto"/>
            </w:tcBorders>
          </w:tcPr>
          <w:p w:rsidR="007531DF" w:rsidRPr="001E3C20" w:rsidRDefault="007531DF" w:rsidP="007531DF">
            <w:pPr>
              <w:spacing w:before="0" w:after="0" w:line="360" w:lineRule="auto"/>
              <w:jc w:val="center"/>
              <w:rPr>
                <w:b/>
                <w:sz w:val="20"/>
                <w:szCs w:val="20"/>
              </w:rPr>
            </w:pPr>
            <w:r w:rsidRPr="001E3C20">
              <w:rPr>
                <w:b/>
                <w:sz w:val="20"/>
                <w:szCs w:val="20"/>
              </w:rPr>
              <w:t>N</w:t>
            </w:r>
          </w:p>
        </w:tc>
        <w:tc>
          <w:tcPr>
            <w:tcW w:w="1082" w:type="pct"/>
            <w:tcBorders>
              <w:top w:val="single" w:sz="4" w:space="0" w:color="auto"/>
              <w:bottom w:val="single" w:sz="4" w:space="0" w:color="auto"/>
            </w:tcBorders>
          </w:tcPr>
          <w:p w:rsidR="007531DF" w:rsidRPr="001E3C20" w:rsidRDefault="007531DF" w:rsidP="007531DF">
            <w:pPr>
              <w:spacing w:before="0" w:after="0" w:line="360" w:lineRule="auto"/>
              <w:jc w:val="center"/>
              <w:rPr>
                <w:b/>
                <w:sz w:val="20"/>
                <w:szCs w:val="20"/>
              </w:rPr>
            </w:pPr>
            <w:r w:rsidRPr="001E3C20">
              <w:rPr>
                <w:b/>
                <w:sz w:val="20"/>
                <w:szCs w:val="20"/>
              </w:rPr>
              <w:t>%</w:t>
            </w:r>
          </w:p>
        </w:tc>
      </w:tr>
      <w:tr w:rsidR="001E3C20" w:rsidRPr="001E3C20" w:rsidTr="007531DF">
        <w:tc>
          <w:tcPr>
            <w:tcW w:w="2931" w:type="pct"/>
            <w:tcBorders>
              <w:top w:val="single" w:sz="4" w:space="0" w:color="auto"/>
            </w:tcBorders>
          </w:tcPr>
          <w:p w:rsidR="007531DF" w:rsidRPr="001E3C20" w:rsidRDefault="00EA0243" w:rsidP="007531DF">
            <w:pPr>
              <w:spacing w:before="0" w:after="0" w:line="360" w:lineRule="auto"/>
              <w:rPr>
                <w:sz w:val="20"/>
                <w:szCs w:val="20"/>
              </w:rPr>
            </w:pPr>
            <w:r>
              <w:rPr>
                <w:sz w:val="20"/>
                <w:szCs w:val="20"/>
              </w:rPr>
              <w:t>University/</w:t>
            </w:r>
            <w:r w:rsidR="007531DF" w:rsidRPr="001E3C20">
              <w:rPr>
                <w:sz w:val="20"/>
                <w:szCs w:val="20"/>
              </w:rPr>
              <w:t>Tertiary College</w:t>
            </w:r>
          </w:p>
        </w:tc>
        <w:tc>
          <w:tcPr>
            <w:tcW w:w="987" w:type="pct"/>
            <w:tcBorders>
              <w:top w:val="single" w:sz="4" w:space="0" w:color="auto"/>
            </w:tcBorders>
          </w:tcPr>
          <w:p w:rsidR="007531DF" w:rsidRPr="001E3C20" w:rsidRDefault="007531DF" w:rsidP="007531DF">
            <w:pPr>
              <w:spacing w:before="0" w:after="0" w:line="360" w:lineRule="auto"/>
              <w:jc w:val="center"/>
              <w:rPr>
                <w:sz w:val="20"/>
                <w:szCs w:val="20"/>
              </w:rPr>
            </w:pPr>
            <w:r w:rsidRPr="001E3C20">
              <w:rPr>
                <w:sz w:val="20"/>
                <w:szCs w:val="20"/>
              </w:rPr>
              <w:t>21</w:t>
            </w:r>
          </w:p>
        </w:tc>
        <w:tc>
          <w:tcPr>
            <w:tcW w:w="1082" w:type="pct"/>
            <w:tcBorders>
              <w:top w:val="single" w:sz="4" w:space="0" w:color="auto"/>
            </w:tcBorders>
          </w:tcPr>
          <w:p w:rsidR="007531DF" w:rsidRPr="001E3C20" w:rsidRDefault="007531DF" w:rsidP="007531DF">
            <w:pPr>
              <w:spacing w:before="0" w:after="0" w:line="360" w:lineRule="auto"/>
              <w:jc w:val="center"/>
              <w:rPr>
                <w:sz w:val="20"/>
                <w:szCs w:val="20"/>
              </w:rPr>
            </w:pPr>
            <w:r w:rsidRPr="001E3C20">
              <w:rPr>
                <w:sz w:val="20"/>
                <w:szCs w:val="20"/>
              </w:rPr>
              <w:t>7.1</w:t>
            </w:r>
          </w:p>
        </w:tc>
      </w:tr>
      <w:tr w:rsidR="001E3C20" w:rsidRPr="001E3C20" w:rsidTr="007531DF">
        <w:tc>
          <w:tcPr>
            <w:tcW w:w="2931" w:type="pct"/>
          </w:tcPr>
          <w:p w:rsidR="007531DF" w:rsidRPr="001E3C20" w:rsidRDefault="007531DF" w:rsidP="007531DF">
            <w:pPr>
              <w:spacing w:before="0" w:after="0" w:line="360" w:lineRule="auto"/>
              <w:rPr>
                <w:sz w:val="20"/>
                <w:szCs w:val="20"/>
              </w:rPr>
            </w:pPr>
            <w:r w:rsidRPr="001E3C20">
              <w:rPr>
                <w:sz w:val="20"/>
                <w:szCs w:val="20"/>
              </w:rPr>
              <w:t>Degree</w:t>
            </w:r>
          </w:p>
        </w:tc>
        <w:tc>
          <w:tcPr>
            <w:tcW w:w="987" w:type="pct"/>
          </w:tcPr>
          <w:p w:rsidR="007531DF" w:rsidRPr="001E3C20" w:rsidRDefault="007531DF" w:rsidP="007531DF">
            <w:pPr>
              <w:spacing w:before="0" w:after="0" w:line="360" w:lineRule="auto"/>
              <w:jc w:val="center"/>
              <w:rPr>
                <w:sz w:val="20"/>
                <w:szCs w:val="20"/>
              </w:rPr>
            </w:pPr>
            <w:r w:rsidRPr="001E3C20">
              <w:rPr>
                <w:sz w:val="20"/>
                <w:szCs w:val="20"/>
              </w:rPr>
              <w:t>219</w:t>
            </w:r>
          </w:p>
        </w:tc>
        <w:tc>
          <w:tcPr>
            <w:tcW w:w="1082" w:type="pct"/>
          </w:tcPr>
          <w:p w:rsidR="007531DF" w:rsidRPr="001E3C20" w:rsidRDefault="007531DF" w:rsidP="007531DF">
            <w:pPr>
              <w:spacing w:before="0" w:after="0" w:line="360" w:lineRule="auto"/>
              <w:jc w:val="center"/>
              <w:rPr>
                <w:sz w:val="20"/>
                <w:szCs w:val="20"/>
              </w:rPr>
            </w:pPr>
            <w:r w:rsidRPr="001E3C20">
              <w:rPr>
                <w:sz w:val="20"/>
                <w:szCs w:val="20"/>
              </w:rPr>
              <w:t>74.0</w:t>
            </w:r>
          </w:p>
        </w:tc>
      </w:tr>
      <w:tr w:rsidR="001E3C20" w:rsidRPr="001E3C20" w:rsidTr="007531DF">
        <w:tc>
          <w:tcPr>
            <w:tcW w:w="2931" w:type="pct"/>
          </w:tcPr>
          <w:p w:rsidR="007531DF" w:rsidRPr="001E3C20" w:rsidRDefault="007531DF" w:rsidP="007531DF">
            <w:pPr>
              <w:spacing w:before="0" w:after="0" w:line="360" w:lineRule="auto"/>
              <w:rPr>
                <w:sz w:val="20"/>
                <w:szCs w:val="20"/>
              </w:rPr>
            </w:pPr>
            <w:r w:rsidRPr="001E3C20">
              <w:rPr>
                <w:sz w:val="20"/>
                <w:szCs w:val="20"/>
              </w:rPr>
              <w:t>Masters</w:t>
            </w:r>
          </w:p>
        </w:tc>
        <w:tc>
          <w:tcPr>
            <w:tcW w:w="987" w:type="pct"/>
          </w:tcPr>
          <w:p w:rsidR="007531DF" w:rsidRPr="001E3C20" w:rsidRDefault="007531DF" w:rsidP="007531DF">
            <w:pPr>
              <w:spacing w:before="0" w:after="0" w:line="360" w:lineRule="auto"/>
              <w:jc w:val="center"/>
              <w:rPr>
                <w:sz w:val="20"/>
                <w:szCs w:val="20"/>
              </w:rPr>
            </w:pPr>
            <w:r w:rsidRPr="001E3C20">
              <w:rPr>
                <w:sz w:val="20"/>
                <w:szCs w:val="20"/>
              </w:rPr>
              <w:t>45</w:t>
            </w:r>
          </w:p>
        </w:tc>
        <w:tc>
          <w:tcPr>
            <w:tcW w:w="1082" w:type="pct"/>
          </w:tcPr>
          <w:p w:rsidR="007531DF" w:rsidRPr="001E3C20" w:rsidRDefault="007531DF" w:rsidP="007531DF">
            <w:pPr>
              <w:spacing w:before="0" w:after="0" w:line="360" w:lineRule="auto"/>
              <w:jc w:val="center"/>
              <w:rPr>
                <w:sz w:val="20"/>
                <w:szCs w:val="20"/>
              </w:rPr>
            </w:pPr>
            <w:r w:rsidRPr="001E3C20">
              <w:rPr>
                <w:sz w:val="20"/>
                <w:szCs w:val="20"/>
              </w:rPr>
              <w:t>15.2</w:t>
            </w:r>
          </w:p>
        </w:tc>
      </w:tr>
      <w:tr w:rsidR="001E3C20" w:rsidRPr="001E3C20" w:rsidTr="007531DF">
        <w:tc>
          <w:tcPr>
            <w:tcW w:w="2931" w:type="pct"/>
          </w:tcPr>
          <w:p w:rsidR="007531DF" w:rsidRPr="001E3C20" w:rsidRDefault="007531DF" w:rsidP="007531DF">
            <w:pPr>
              <w:spacing w:before="0" w:after="0" w:line="360" w:lineRule="auto"/>
              <w:rPr>
                <w:sz w:val="20"/>
                <w:szCs w:val="20"/>
              </w:rPr>
            </w:pPr>
            <w:r w:rsidRPr="001E3C20">
              <w:rPr>
                <w:sz w:val="20"/>
                <w:szCs w:val="20"/>
              </w:rPr>
              <w:t>PhD</w:t>
            </w:r>
          </w:p>
        </w:tc>
        <w:tc>
          <w:tcPr>
            <w:tcW w:w="987" w:type="pct"/>
          </w:tcPr>
          <w:p w:rsidR="007531DF" w:rsidRPr="001E3C20" w:rsidRDefault="007531DF" w:rsidP="007531DF">
            <w:pPr>
              <w:spacing w:before="0" w:after="0" w:line="360" w:lineRule="auto"/>
              <w:jc w:val="center"/>
              <w:rPr>
                <w:sz w:val="20"/>
                <w:szCs w:val="20"/>
              </w:rPr>
            </w:pPr>
            <w:r w:rsidRPr="001E3C20">
              <w:rPr>
                <w:sz w:val="20"/>
                <w:szCs w:val="20"/>
              </w:rPr>
              <w:t>10</w:t>
            </w:r>
          </w:p>
        </w:tc>
        <w:tc>
          <w:tcPr>
            <w:tcW w:w="1082" w:type="pct"/>
          </w:tcPr>
          <w:p w:rsidR="007531DF" w:rsidRPr="001E3C20" w:rsidRDefault="007531DF" w:rsidP="007531DF">
            <w:pPr>
              <w:spacing w:before="0" w:after="0" w:line="360" w:lineRule="auto"/>
              <w:jc w:val="center"/>
              <w:rPr>
                <w:sz w:val="20"/>
                <w:szCs w:val="20"/>
              </w:rPr>
            </w:pPr>
            <w:r w:rsidRPr="001E3C20">
              <w:rPr>
                <w:sz w:val="20"/>
                <w:szCs w:val="20"/>
              </w:rPr>
              <w:t>3.4</w:t>
            </w:r>
          </w:p>
        </w:tc>
      </w:tr>
      <w:tr w:rsidR="007531DF" w:rsidRPr="001E3C20" w:rsidTr="007531DF">
        <w:tc>
          <w:tcPr>
            <w:tcW w:w="2931" w:type="pct"/>
          </w:tcPr>
          <w:p w:rsidR="007531DF" w:rsidRPr="001E3C20" w:rsidRDefault="007531DF" w:rsidP="007531DF">
            <w:pPr>
              <w:spacing w:before="0" w:after="0" w:line="360" w:lineRule="auto"/>
              <w:rPr>
                <w:sz w:val="20"/>
                <w:szCs w:val="20"/>
              </w:rPr>
            </w:pPr>
            <w:r w:rsidRPr="001E3C20">
              <w:rPr>
                <w:sz w:val="20"/>
                <w:szCs w:val="20"/>
              </w:rPr>
              <w:t>Total</w:t>
            </w:r>
          </w:p>
        </w:tc>
        <w:tc>
          <w:tcPr>
            <w:tcW w:w="987" w:type="pct"/>
          </w:tcPr>
          <w:p w:rsidR="007531DF" w:rsidRPr="001E3C20" w:rsidRDefault="007531DF" w:rsidP="007531DF">
            <w:pPr>
              <w:spacing w:before="0" w:after="0" w:line="360" w:lineRule="auto"/>
              <w:jc w:val="center"/>
              <w:rPr>
                <w:sz w:val="20"/>
                <w:szCs w:val="20"/>
              </w:rPr>
            </w:pPr>
            <w:r w:rsidRPr="001E3C20">
              <w:rPr>
                <w:sz w:val="20"/>
                <w:szCs w:val="20"/>
              </w:rPr>
              <w:t>296</w:t>
            </w:r>
          </w:p>
        </w:tc>
        <w:tc>
          <w:tcPr>
            <w:tcW w:w="1082" w:type="pct"/>
          </w:tcPr>
          <w:p w:rsidR="007531DF" w:rsidRPr="001E3C20" w:rsidRDefault="007531DF" w:rsidP="007531DF">
            <w:pPr>
              <w:spacing w:before="0" w:after="0" w:line="360" w:lineRule="auto"/>
              <w:jc w:val="center"/>
              <w:rPr>
                <w:sz w:val="20"/>
                <w:szCs w:val="20"/>
              </w:rPr>
            </w:pPr>
            <w:r w:rsidRPr="001E3C20">
              <w:rPr>
                <w:sz w:val="20"/>
                <w:szCs w:val="20"/>
              </w:rPr>
              <w:t>100</w:t>
            </w:r>
          </w:p>
        </w:tc>
      </w:tr>
    </w:tbl>
    <w:p w:rsidR="007531DF" w:rsidRPr="001E3C20" w:rsidRDefault="007531DF" w:rsidP="007531DF">
      <w:pPr>
        <w:rPr>
          <w:rFonts w:cs="Times New Roman"/>
        </w:rPr>
      </w:pPr>
      <w:r w:rsidRPr="001E3C20">
        <w:rPr>
          <w:rFonts w:cs="Times New Roman"/>
        </w:rPr>
        <w:t>The findings reveal that most respondents (74.0%) were undergraduate degree students, followed by master’s holders at 17.9%. PhD and tertiary college respondents accounted for a small proportion. This indicates that the study primarily reflects perceptions of undergraduate students, who form the largest population in public universities in Kenya.</w:t>
      </w:r>
    </w:p>
    <w:p w:rsidR="007531DF" w:rsidRPr="001E3C20" w:rsidRDefault="007531DF" w:rsidP="007531DF">
      <w:pPr>
        <w:pStyle w:val="Heading2"/>
      </w:pPr>
      <w:bookmarkStart w:id="48" w:name="_Toc230811139"/>
      <w:r w:rsidRPr="001E3C20">
        <w:lastRenderedPageBreak/>
        <w:t>4.4 Descriptive Statistics</w:t>
      </w:r>
      <w:bookmarkEnd w:id="48"/>
      <w:r w:rsidRPr="001E3C20">
        <w:t xml:space="preserve"> and Thematic Results</w:t>
      </w:r>
    </w:p>
    <w:p w:rsidR="007531DF" w:rsidRPr="001E3C20" w:rsidRDefault="007531DF" w:rsidP="007531DF">
      <w:pPr>
        <w:rPr>
          <w:rFonts w:cs="Times New Roman"/>
        </w:rPr>
      </w:pPr>
      <w:r w:rsidRPr="001E3C20">
        <w:rPr>
          <w:rFonts w:cs="Times New Roman"/>
        </w:rPr>
        <w:t>The descriptive statistics results were</w:t>
      </w:r>
      <w:r w:rsidR="00195265">
        <w:rPr>
          <w:rFonts w:cs="Times New Roman"/>
        </w:rPr>
        <w:t xml:space="preserve"> used to summarize the brand salient</w:t>
      </w:r>
      <w:r w:rsidRPr="001E3C20">
        <w:rPr>
          <w:rFonts w:cs="Times New Roman"/>
        </w:rPr>
        <w:t xml:space="preserve"> study variables, namely brand salience, brand resonance, brand response, brand imagery, students’ enrollment decision, and organizational resources. The aim was to examine the distribution of responses and establish the general perceptions of respondents regarding each construct. A five-point Likert scale was used where 1 = Strongly Disagree (SD), 2 = Disagree (D), 3 = Neutral (N), 4 = Agree (A), and 5 = Strongly Agree (SA). Mean scores were used to determine the central tendency of responses, while standard deviation indicates the degree of variability or consensus among respondents. Higher mean values signify stronger agreement, whereas lower standard deviation values indicate closer convergence of opinions.</w:t>
      </w:r>
    </w:p>
    <w:p w:rsidR="007531DF" w:rsidRPr="000031BC" w:rsidRDefault="007531DF" w:rsidP="007531DF">
      <w:pPr>
        <w:pStyle w:val="Heading3"/>
        <w:rPr>
          <w:rFonts w:ascii="Times New Roman" w:hAnsi="Times New Roman" w:cs="Times New Roman"/>
          <w:b/>
          <w:color w:val="auto"/>
        </w:rPr>
      </w:pPr>
      <w:bookmarkStart w:id="49" w:name="_Toc230811140"/>
      <w:r w:rsidRPr="000031BC">
        <w:rPr>
          <w:rFonts w:ascii="Times New Roman" w:hAnsi="Times New Roman" w:cs="Times New Roman"/>
          <w:b/>
          <w:color w:val="auto"/>
        </w:rPr>
        <w:t>4.4.1 Brand Salience Results</w:t>
      </w:r>
      <w:bookmarkEnd w:id="49"/>
    </w:p>
    <w:p w:rsidR="007531DF" w:rsidRPr="001E3C20" w:rsidRDefault="007531DF" w:rsidP="007531DF">
      <w:pPr>
        <w:rPr>
          <w:rFonts w:cs="Times New Roman"/>
        </w:rPr>
      </w:pPr>
      <w:r w:rsidRPr="001E3C20">
        <w:rPr>
          <w:rFonts w:cs="Times New Roman"/>
        </w:rPr>
        <w:t>The integrated findings on brand salience, focusing on how online visibility, search presence, and digital branding influence students’ enrollment decisions in public universities in Kenya. A convergent parallel approach is applied whereby descriptive statistical results are directly triangulated with interview evidence (P1–P21) to generate a unified interpretation of the findings.</w:t>
      </w:r>
    </w:p>
    <w:p w:rsidR="007531DF" w:rsidRPr="001E3C20" w:rsidRDefault="007531DF" w:rsidP="007531DF">
      <w:pPr>
        <w:pStyle w:val="Heading4"/>
        <w:rPr>
          <w:rFonts w:ascii="Times New Roman" w:hAnsi="Times New Roman" w:cs="Times New Roman"/>
          <w:b/>
          <w:i w:val="0"/>
          <w:color w:val="auto"/>
        </w:rPr>
      </w:pPr>
      <w:bookmarkStart w:id="50" w:name="_Toc229492450"/>
      <w:r w:rsidRPr="001E3C20">
        <w:rPr>
          <w:rFonts w:ascii="Times New Roman" w:hAnsi="Times New Roman" w:cs="Times New Roman"/>
          <w:color w:val="auto"/>
        </w:rPr>
        <w:t>Table 4.4: Brand Salience Descriptive Results</w:t>
      </w:r>
      <w:bookmarkEnd w:id="50"/>
    </w:p>
    <w:tbl>
      <w:tblPr>
        <w:tblStyle w:val="TableGrid1"/>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798"/>
        <w:gridCol w:w="810"/>
        <w:gridCol w:w="911"/>
        <w:gridCol w:w="911"/>
        <w:gridCol w:w="930"/>
        <w:gridCol w:w="911"/>
        <w:gridCol w:w="705"/>
        <w:gridCol w:w="664"/>
      </w:tblGrid>
      <w:tr w:rsidR="007531DF" w:rsidRPr="001E3C20" w:rsidTr="007531DF">
        <w:trPr>
          <w:tblHeader/>
        </w:trPr>
        <w:tc>
          <w:tcPr>
            <w:tcW w:w="1619" w:type="pct"/>
          </w:tcPr>
          <w:p w:rsidR="007531DF" w:rsidRPr="001E3C20" w:rsidRDefault="007531DF" w:rsidP="007531DF">
            <w:pPr>
              <w:spacing w:before="0" w:after="0" w:line="360" w:lineRule="auto"/>
              <w:rPr>
                <w:b/>
                <w:sz w:val="20"/>
                <w:szCs w:val="20"/>
              </w:rPr>
            </w:pPr>
            <w:r w:rsidRPr="001E3C20">
              <w:rPr>
                <w:b/>
                <w:sz w:val="20"/>
                <w:szCs w:val="20"/>
              </w:rPr>
              <w:t>Statement</w:t>
            </w:r>
          </w:p>
        </w:tc>
        <w:tc>
          <w:tcPr>
            <w:tcW w:w="469" w:type="pct"/>
          </w:tcPr>
          <w:p w:rsidR="007531DF" w:rsidRPr="001E3C20" w:rsidRDefault="007531DF" w:rsidP="007531DF">
            <w:pPr>
              <w:spacing w:before="0" w:after="0" w:line="360" w:lineRule="auto"/>
              <w:jc w:val="center"/>
              <w:rPr>
                <w:b/>
                <w:sz w:val="20"/>
                <w:szCs w:val="20"/>
              </w:rPr>
            </w:pPr>
            <w:r w:rsidRPr="001E3C20">
              <w:rPr>
                <w:b/>
                <w:sz w:val="20"/>
                <w:szCs w:val="20"/>
              </w:rPr>
              <w:t>1 (SD)</w:t>
            </w:r>
          </w:p>
        </w:tc>
        <w:tc>
          <w:tcPr>
            <w:tcW w:w="527" w:type="pct"/>
          </w:tcPr>
          <w:p w:rsidR="007531DF" w:rsidRPr="001E3C20" w:rsidRDefault="007531DF" w:rsidP="007531DF">
            <w:pPr>
              <w:spacing w:before="0" w:after="0" w:line="360" w:lineRule="auto"/>
              <w:jc w:val="center"/>
              <w:rPr>
                <w:b/>
                <w:sz w:val="20"/>
                <w:szCs w:val="20"/>
              </w:rPr>
            </w:pPr>
            <w:r w:rsidRPr="001E3C20">
              <w:rPr>
                <w:b/>
                <w:sz w:val="20"/>
                <w:szCs w:val="20"/>
              </w:rPr>
              <w:t>2 (D)</w:t>
            </w:r>
          </w:p>
        </w:tc>
        <w:tc>
          <w:tcPr>
            <w:tcW w:w="527" w:type="pct"/>
          </w:tcPr>
          <w:p w:rsidR="007531DF" w:rsidRPr="001E3C20" w:rsidRDefault="007531DF" w:rsidP="007531DF">
            <w:pPr>
              <w:spacing w:before="0" w:after="0" w:line="360" w:lineRule="auto"/>
              <w:jc w:val="center"/>
              <w:rPr>
                <w:b/>
                <w:sz w:val="20"/>
                <w:szCs w:val="20"/>
              </w:rPr>
            </w:pPr>
            <w:r w:rsidRPr="001E3C20">
              <w:rPr>
                <w:b/>
                <w:sz w:val="20"/>
                <w:szCs w:val="20"/>
              </w:rPr>
              <w:t>3 (N)</w:t>
            </w:r>
          </w:p>
        </w:tc>
        <w:tc>
          <w:tcPr>
            <w:tcW w:w="538" w:type="pct"/>
          </w:tcPr>
          <w:p w:rsidR="007531DF" w:rsidRPr="001E3C20" w:rsidRDefault="007531DF" w:rsidP="007531DF">
            <w:pPr>
              <w:spacing w:before="0" w:after="0" w:line="360" w:lineRule="auto"/>
              <w:jc w:val="center"/>
              <w:rPr>
                <w:b/>
                <w:sz w:val="20"/>
                <w:szCs w:val="20"/>
              </w:rPr>
            </w:pPr>
            <w:r w:rsidRPr="001E3C20">
              <w:rPr>
                <w:b/>
                <w:sz w:val="20"/>
                <w:szCs w:val="20"/>
              </w:rPr>
              <w:t>4 (A)</w:t>
            </w:r>
          </w:p>
        </w:tc>
        <w:tc>
          <w:tcPr>
            <w:tcW w:w="527" w:type="pct"/>
          </w:tcPr>
          <w:p w:rsidR="007531DF" w:rsidRPr="001E3C20" w:rsidRDefault="007531DF" w:rsidP="007531DF">
            <w:pPr>
              <w:spacing w:before="0" w:after="0" w:line="360" w:lineRule="auto"/>
              <w:jc w:val="center"/>
              <w:rPr>
                <w:b/>
                <w:sz w:val="20"/>
                <w:szCs w:val="20"/>
              </w:rPr>
            </w:pPr>
            <w:r w:rsidRPr="001E3C20">
              <w:rPr>
                <w:b/>
                <w:sz w:val="20"/>
                <w:szCs w:val="20"/>
              </w:rPr>
              <w:t>5 (SA)</w:t>
            </w:r>
          </w:p>
        </w:tc>
        <w:tc>
          <w:tcPr>
            <w:tcW w:w="408" w:type="pct"/>
          </w:tcPr>
          <w:p w:rsidR="007531DF" w:rsidRPr="001E3C20" w:rsidRDefault="007531DF" w:rsidP="007531DF">
            <w:pPr>
              <w:spacing w:before="0" w:after="0" w:line="360" w:lineRule="auto"/>
              <w:jc w:val="center"/>
              <w:rPr>
                <w:b/>
                <w:sz w:val="20"/>
                <w:szCs w:val="20"/>
              </w:rPr>
            </w:pPr>
            <w:r w:rsidRPr="001E3C20">
              <w:rPr>
                <w:b/>
                <w:sz w:val="20"/>
                <w:szCs w:val="20"/>
              </w:rPr>
              <w:t>Mean</w:t>
            </w:r>
          </w:p>
        </w:tc>
        <w:tc>
          <w:tcPr>
            <w:tcW w:w="384" w:type="pct"/>
          </w:tcPr>
          <w:p w:rsidR="007531DF" w:rsidRPr="001E3C20" w:rsidRDefault="007531DF" w:rsidP="007531DF">
            <w:pPr>
              <w:spacing w:before="0" w:after="0" w:line="360" w:lineRule="auto"/>
              <w:jc w:val="center"/>
              <w:rPr>
                <w:b/>
                <w:sz w:val="20"/>
                <w:szCs w:val="20"/>
              </w:rPr>
            </w:pPr>
            <w:r w:rsidRPr="001E3C20">
              <w:rPr>
                <w:b/>
                <w:sz w:val="20"/>
                <w:szCs w:val="20"/>
              </w:rPr>
              <w:t>Std. Dev.</w:t>
            </w:r>
          </w:p>
        </w:tc>
      </w:tr>
      <w:tr w:rsidR="001E3C20" w:rsidRPr="001E3C20" w:rsidTr="007531DF">
        <w:tc>
          <w:tcPr>
            <w:tcW w:w="1619" w:type="pct"/>
          </w:tcPr>
          <w:p w:rsidR="007531DF" w:rsidRPr="001E3C20" w:rsidRDefault="007531DF" w:rsidP="007531DF">
            <w:pPr>
              <w:spacing w:before="0" w:after="0" w:line="360" w:lineRule="auto"/>
              <w:rPr>
                <w:sz w:val="20"/>
                <w:szCs w:val="20"/>
              </w:rPr>
            </w:pPr>
            <w:r w:rsidRPr="001E3C20">
              <w:rPr>
                <w:sz w:val="20"/>
                <w:szCs w:val="20"/>
              </w:rPr>
              <w:t>The online visibility of this university on social media platforms influenced decision to consider it for higher education.</w:t>
            </w:r>
          </w:p>
        </w:tc>
        <w:tc>
          <w:tcPr>
            <w:tcW w:w="469" w:type="pct"/>
          </w:tcPr>
          <w:p w:rsidR="007531DF" w:rsidRPr="001E3C20" w:rsidRDefault="007531DF" w:rsidP="007531DF">
            <w:pPr>
              <w:spacing w:before="0" w:after="0" w:line="360" w:lineRule="auto"/>
              <w:jc w:val="center"/>
              <w:rPr>
                <w:sz w:val="20"/>
                <w:szCs w:val="20"/>
              </w:rPr>
            </w:pPr>
            <w:r w:rsidRPr="001E3C20">
              <w:rPr>
                <w:sz w:val="20"/>
                <w:szCs w:val="20"/>
              </w:rPr>
              <w:t>13 (4.4%)</w:t>
            </w:r>
          </w:p>
        </w:tc>
        <w:tc>
          <w:tcPr>
            <w:tcW w:w="527" w:type="pct"/>
          </w:tcPr>
          <w:p w:rsidR="007531DF" w:rsidRPr="001E3C20" w:rsidRDefault="007531DF" w:rsidP="007531DF">
            <w:pPr>
              <w:spacing w:before="0" w:after="0" w:line="360" w:lineRule="auto"/>
              <w:jc w:val="center"/>
              <w:rPr>
                <w:sz w:val="20"/>
                <w:szCs w:val="20"/>
              </w:rPr>
            </w:pPr>
            <w:r w:rsidRPr="001E3C20">
              <w:rPr>
                <w:sz w:val="20"/>
                <w:szCs w:val="20"/>
              </w:rPr>
              <w:t>40 (13.5%)</w:t>
            </w:r>
          </w:p>
        </w:tc>
        <w:tc>
          <w:tcPr>
            <w:tcW w:w="527" w:type="pct"/>
          </w:tcPr>
          <w:p w:rsidR="007531DF" w:rsidRPr="001E3C20" w:rsidRDefault="007531DF" w:rsidP="007531DF">
            <w:pPr>
              <w:spacing w:before="0" w:after="0" w:line="360" w:lineRule="auto"/>
              <w:jc w:val="center"/>
              <w:rPr>
                <w:sz w:val="20"/>
                <w:szCs w:val="20"/>
              </w:rPr>
            </w:pPr>
            <w:r w:rsidRPr="001E3C20">
              <w:rPr>
                <w:sz w:val="20"/>
                <w:szCs w:val="20"/>
              </w:rPr>
              <w:t>23 (7.8%)</w:t>
            </w:r>
          </w:p>
        </w:tc>
        <w:tc>
          <w:tcPr>
            <w:tcW w:w="538" w:type="pct"/>
          </w:tcPr>
          <w:p w:rsidR="007531DF" w:rsidRPr="001E3C20" w:rsidRDefault="007531DF" w:rsidP="007531DF">
            <w:pPr>
              <w:spacing w:before="0" w:after="0" w:line="360" w:lineRule="auto"/>
              <w:jc w:val="center"/>
              <w:rPr>
                <w:sz w:val="20"/>
                <w:szCs w:val="20"/>
              </w:rPr>
            </w:pPr>
            <w:r w:rsidRPr="001E3C20">
              <w:rPr>
                <w:sz w:val="20"/>
                <w:szCs w:val="20"/>
              </w:rPr>
              <w:t>179 (60.5%)</w:t>
            </w:r>
          </w:p>
        </w:tc>
        <w:tc>
          <w:tcPr>
            <w:tcW w:w="527" w:type="pct"/>
          </w:tcPr>
          <w:p w:rsidR="007531DF" w:rsidRPr="001E3C20" w:rsidRDefault="007531DF" w:rsidP="007531DF">
            <w:pPr>
              <w:spacing w:before="0" w:after="0" w:line="360" w:lineRule="auto"/>
              <w:jc w:val="center"/>
              <w:rPr>
                <w:sz w:val="20"/>
                <w:szCs w:val="20"/>
              </w:rPr>
            </w:pPr>
            <w:r w:rsidRPr="001E3C20">
              <w:rPr>
                <w:sz w:val="20"/>
                <w:szCs w:val="20"/>
              </w:rPr>
              <w:t>41 (13.9%)</w:t>
            </w:r>
          </w:p>
        </w:tc>
        <w:tc>
          <w:tcPr>
            <w:tcW w:w="408" w:type="pct"/>
          </w:tcPr>
          <w:p w:rsidR="007531DF" w:rsidRPr="001E3C20" w:rsidRDefault="007531DF" w:rsidP="007531DF">
            <w:pPr>
              <w:spacing w:before="0" w:after="0" w:line="360" w:lineRule="auto"/>
              <w:jc w:val="center"/>
              <w:rPr>
                <w:sz w:val="20"/>
                <w:szCs w:val="20"/>
              </w:rPr>
            </w:pPr>
            <w:r w:rsidRPr="001E3C20">
              <w:rPr>
                <w:sz w:val="20"/>
                <w:szCs w:val="20"/>
              </w:rPr>
              <w:t>3.66</w:t>
            </w:r>
          </w:p>
        </w:tc>
        <w:tc>
          <w:tcPr>
            <w:tcW w:w="384" w:type="pct"/>
          </w:tcPr>
          <w:p w:rsidR="007531DF" w:rsidRPr="001E3C20" w:rsidRDefault="007531DF" w:rsidP="007531DF">
            <w:pPr>
              <w:spacing w:before="0" w:after="0" w:line="360" w:lineRule="auto"/>
              <w:jc w:val="center"/>
              <w:rPr>
                <w:sz w:val="20"/>
                <w:szCs w:val="20"/>
              </w:rPr>
            </w:pPr>
            <w:r w:rsidRPr="001E3C20">
              <w:rPr>
                <w:sz w:val="20"/>
                <w:szCs w:val="20"/>
              </w:rPr>
              <w:t>1.02</w:t>
            </w:r>
          </w:p>
        </w:tc>
      </w:tr>
      <w:tr w:rsidR="001E3C20" w:rsidRPr="001E3C20" w:rsidTr="007531DF">
        <w:tc>
          <w:tcPr>
            <w:tcW w:w="1619" w:type="pct"/>
          </w:tcPr>
          <w:p w:rsidR="007531DF" w:rsidRPr="001E3C20" w:rsidRDefault="007531DF" w:rsidP="007531DF">
            <w:pPr>
              <w:spacing w:before="0" w:after="0" w:line="360" w:lineRule="auto"/>
              <w:rPr>
                <w:sz w:val="20"/>
                <w:szCs w:val="20"/>
              </w:rPr>
            </w:pPr>
            <w:r w:rsidRPr="001E3C20">
              <w:rPr>
                <w:sz w:val="20"/>
                <w:szCs w:val="20"/>
              </w:rPr>
              <w:t>Consistent and high online visibility helped it stand out</w:t>
            </w:r>
          </w:p>
        </w:tc>
        <w:tc>
          <w:tcPr>
            <w:tcW w:w="469" w:type="pct"/>
          </w:tcPr>
          <w:p w:rsidR="007531DF" w:rsidRPr="001E3C20" w:rsidRDefault="007531DF" w:rsidP="007531DF">
            <w:pPr>
              <w:spacing w:before="0" w:after="0" w:line="360" w:lineRule="auto"/>
              <w:jc w:val="center"/>
              <w:rPr>
                <w:sz w:val="20"/>
                <w:szCs w:val="20"/>
              </w:rPr>
            </w:pPr>
            <w:r w:rsidRPr="001E3C20">
              <w:rPr>
                <w:sz w:val="20"/>
                <w:szCs w:val="20"/>
              </w:rPr>
              <w:t>8 (2.7%)</w:t>
            </w:r>
          </w:p>
        </w:tc>
        <w:tc>
          <w:tcPr>
            <w:tcW w:w="527" w:type="pct"/>
          </w:tcPr>
          <w:p w:rsidR="007531DF" w:rsidRPr="001E3C20" w:rsidRDefault="007531DF" w:rsidP="007531DF">
            <w:pPr>
              <w:spacing w:before="0" w:after="0" w:line="360" w:lineRule="auto"/>
              <w:jc w:val="center"/>
              <w:rPr>
                <w:sz w:val="20"/>
                <w:szCs w:val="20"/>
              </w:rPr>
            </w:pPr>
            <w:r w:rsidRPr="001E3C20">
              <w:rPr>
                <w:sz w:val="20"/>
                <w:szCs w:val="20"/>
              </w:rPr>
              <w:t>18 (6.1%)</w:t>
            </w:r>
          </w:p>
        </w:tc>
        <w:tc>
          <w:tcPr>
            <w:tcW w:w="527" w:type="pct"/>
          </w:tcPr>
          <w:p w:rsidR="007531DF" w:rsidRPr="001E3C20" w:rsidRDefault="007531DF" w:rsidP="007531DF">
            <w:pPr>
              <w:spacing w:before="0" w:after="0" w:line="360" w:lineRule="auto"/>
              <w:jc w:val="center"/>
              <w:rPr>
                <w:sz w:val="20"/>
                <w:szCs w:val="20"/>
              </w:rPr>
            </w:pPr>
            <w:r w:rsidRPr="001E3C20">
              <w:rPr>
                <w:sz w:val="20"/>
                <w:szCs w:val="20"/>
              </w:rPr>
              <w:t>91 (30.7%)</w:t>
            </w:r>
          </w:p>
        </w:tc>
        <w:tc>
          <w:tcPr>
            <w:tcW w:w="538" w:type="pct"/>
          </w:tcPr>
          <w:p w:rsidR="007531DF" w:rsidRPr="001E3C20" w:rsidRDefault="007531DF" w:rsidP="007531DF">
            <w:pPr>
              <w:spacing w:before="0" w:after="0" w:line="360" w:lineRule="auto"/>
              <w:jc w:val="center"/>
              <w:rPr>
                <w:sz w:val="20"/>
                <w:szCs w:val="20"/>
              </w:rPr>
            </w:pPr>
            <w:r w:rsidRPr="001E3C20">
              <w:rPr>
                <w:sz w:val="20"/>
                <w:szCs w:val="20"/>
              </w:rPr>
              <w:t>131 (44.3%)</w:t>
            </w:r>
          </w:p>
        </w:tc>
        <w:tc>
          <w:tcPr>
            <w:tcW w:w="527" w:type="pct"/>
          </w:tcPr>
          <w:p w:rsidR="007531DF" w:rsidRPr="001E3C20" w:rsidRDefault="007531DF" w:rsidP="007531DF">
            <w:pPr>
              <w:spacing w:before="0" w:after="0" w:line="360" w:lineRule="auto"/>
              <w:jc w:val="center"/>
              <w:rPr>
                <w:sz w:val="20"/>
                <w:szCs w:val="20"/>
              </w:rPr>
            </w:pPr>
            <w:r w:rsidRPr="001E3C20">
              <w:rPr>
                <w:sz w:val="20"/>
                <w:szCs w:val="20"/>
              </w:rPr>
              <w:t>48 (16.2%)</w:t>
            </w:r>
          </w:p>
        </w:tc>
        <w:tc>
          <w:tcPr>
            <w:tcW w:w="408" w:type="pct"/>
          </w:tcPr>
          <w:p w:rsidR="007531DF" w:rsidRPr="001E3C20" w:rsidRDefault="007531DF" w:rsidP="007531DF">
            <w:pPr>
              <w:spacing w:before="0" w:after="0" w:line="360" w:lineRule="auto"/>
              <w:jc w:val="center"/>
              <w:rPr>
                <w:sz w:val="20"/>
                <w:szCs w:val="20"/>
              </w:rPr>
            </w:pPr>
            <w:r w:rsidRPr="001E3C20">
              <w:rPr>
                <w:sz w:val="20"/>
                <w:szCs w:val="20"/>
              </w:rPr>
              <w:t>3.65</w:t>
            </w:r>
          </w:p>
        </w:tc>
        <w:tc>
          <w:tcPr>
            <w:tcW w:w="384" w:type="pct"/>
          </w:tcPr>
          <w:p w:rsidR="007531DF" w:rsidRPr="001E3C20" w:rsidRDefault="007531DF" w:rsidP="007531DF">
            <w:pPr>
              <w:spacing w:before="0" w:after="0" w:line="360" w:lineRule="auto"/>
              <w:jc w:val="center"/>
              <w:rPr>
                <w:sz w:val="20"/>
                <w:szCs w:val="20"/>
              </w:rPr>
            </w:pPr>
            <w:r w:rsidRPr="001E3C20">
              <w:rPr>
                <w:sz w:val="20"/>
                <w:szCs w:val="20"/>
              </w:rPr>
              <w:t>0.92</w:t>
            </w:r>
          </w:p>
        </w:tc>
      </w:tr>
      <w:tr w:rsidR="001E3C20" w:rsidRPr="001E3C20" w:rsidTr="007531DF">
        <w:tc>
          <w:tcPr>
            <w:tcW w:w="1619" w:type="pct"/>
          </w:tcPr>
          <w:p w:rsidR="007531DF" w:rsidRPr="001E3C20" w:rsidRDefault="007531DF" w:rsidP="007531DF">
            <w:pPr>
              <w:spacing w:before="0" w:after="0" w:line="360" w:lineRule="auto"/>
              <w:rPr>
                <w:sz w:val="20"/>
                <w:szCs w:val="20"/>
              </w:rPr>
            </w:pPr>
            <w:r w:rsidRPr="001E3C20">
              <w:rPr>
                <w:sz w:val="20"/>
                <w:szCs w:val="20"/>
              </w:rPr>
              <w:t>High website traffic reflects popularity and influenced interest</w:t>
            </w:r>
          </w:p>
        </w:tc>
        <w:tc>
          <w:tcPr>
            <w:tcW w:w="469" w:type="pct"/>
          </w:tcPr>
          <w:p w:rsidR="007531DF" w:rsidRPr="001E3C20" w:rsidRDefault="007531DF" w:rsidP="007531DF">
            <w:pPr>
              <w:spacing w:before="0" w:after="0" w:line="360" w:lineRule="auto"/>
              <w:jc w:val="center"/>
              <w:rPr>
                <w:sz w:val="20"/>
                <w:szCs w:val="20"/>
              </w:rPr>
            </w:pPr>
            <w:r w:rsidRPr="001E3C20">
              <w:rPr>
                <w:sz w:val="20"/>
                <w:szCs w:val="20"/>
              </w:rPr>
              <w:t>9 (3.0%)</w:t>
            </w:r>
          </w:p>
        </w:tc>
        <w:tc>
          <w:tcPr>
            <w:tcW w:w="527" w:type="pct"/>
          </w:tcPr>
          <w:p w:rsidR="007531DF" w:rsidRPr="001E3C20" w:rsidRDefault="007531DF" w:rsidP="007531DF">
            <w:pPr>
              <w:spacing w:before="0" w:after="0" w:line="360" w:lineRule="auto"/>
              <w:jc w:val="center"/>
              <w:rPr>
                <w:sz w:val="20"/>
                <w:szCs w:val="20"/>
              </w:rPr>
            </w:pPr>
            <w:r w:rsidRPr="001E3C20">
              <w:rPr>
                <w:sz w:val="20"/>
                <w:szCs w:val="20"/>
              </w:rPr>
              <w:t>38 (12.8%)</w:t>
            </w:r>
          </w:p>
        </w:tc>
        <w:tc>
          <w:tcPr>
            <w:tcW w:w="527" w:type="pct"/>
          </w:tcPr>
          <w:p w:rsidR="007531DF" w:rsidRPr="001E3C20" w:rsidRDefault="007531DF" w:rsidP="007531DF">
            <w:pPr>
              <w:spacing w:before="0" w:after="0" w:line="360" w:lineRule="auto"/>
              <w:jc w:val="center"/>
              <w:rPr>
                <w:sz w:val="20"/>
                <w:szCs w:val="20"/>
              </w:rPr>
            </w:pPr>
            <w:r w:rsidRPr="001E3C20">
              <w:rPr>
                <w:sz w:val="20"/>
                <w:szCs w:val="20"/>
              </w:rPr>
              <w:t>71 (24.0%)</w:t>
            </w:r>
          </w:p>
        </w:tc>
        <w:tc>
          <w:tcPr>
            <w:tcW w:w="538" w:type="pct"/>
          </w:tcPr>
          <w:p w:rsidR="007531DF" w:rsidRPr="001E3C20" w:rsidRDefault="007531DF" w:rsidP="007531DF">
            <w:pPr>
              <w:spacing w:before="0" w:after="0" w:line="360" w:lineRule="auto"/>
              <w:jc w:val="center"/>
              <w:rPr>
                <w:sz w:val="20"/>
                <w:szCs w:val="20"/>
              </w:rPr>
            </w:pPr>
            <w:r w:rsidRPr="001E3C20">
              <w:rPr>
                <w:sz w:val="20"/>
                <w:szCs w:val="20"/>
              </w:rPr>
              <w:t>143 (48.3%)</w:t>
            </w:r>
          </w:p>
        </w:tc>
        <w:tc>
          <w:tcPr>
            <w:tcW w:w="527" w:type="pct"/>
          </w:tcPr>
          <w:p w:rsidR="007531DF" w:rsidRPr="001E3C20" w:rsidRDefault="007531DF" w:rsidP="007531DF">
            <w:pPr>
              <w:spacing w:before="0" w:after="0" w:line="360" w:lineRule="auto"/>
              <w:jc w:val="center"/>
              <w:rPr>
                <w:sz w:val="20"/>
                <w:szCs w:val="20"/>
              </w:rPr>
            </w:pPr>
            <w:r w:rsidRPr="001E3C20">
              <w:rPr>
                <w:sz w:val="20"/>
                <w:szCs w:val="20"/>
              </w:rPr>
              <w:t>35 (11.8%)</w:t>
            </w:r>
          </w:p>
        </w:tc>
        <w:tc>
          <w:tcPr>
            <w:tcW w:w="408" w:type="pct"/>
          </w:tcPr>
          <w:p w:rsidR="007531DF" w:rsidRPr="001E3C20" w:rsidRDefault="007531DF" w:rsidP="007531DF">
            <w:pPr>
              <w:spacing w:before="0" w:after="0" w:line="360" w:lineRule="auto"/>
              <w:jc w:val="center"/>
              <w:rPr>
                <w:sz w:val="20"/>
                <w:szCs w:val="20"/>
              </w:rPr>
            </w:pPr>
            <w:r w:rsidRPr="001E3C20">
              <w:rPr>
                <w:sz w:val="20"/>
                <w:szCs w:val="20"/>
              </w:rPr>
              <w:t>3.53</w:t>
            </w:r>
          </w:p>
        </w:tc>
        <w:tc>
          <w:tcPr>
            <w:tcW w:w="384" w:type="pct"/>
          </w:tcPr>
          <w:p w:rsidR="007531DF" w:rsidRPr="001E3C20" w:rsidRDefault="007531DF" w:rsidP="007531DF">
            <w:pPr>
              <w:spacing w:before="0" w:after="0" w:line="360" w:lineRule="auto"/>
              <w:jc w:val="center"/>
              <w:rPr>
                <w:sz w:val="20"/>
                <w:szCs w:val="20"/>
              </w:rPr>
            </w:pPr>
            <w:r w:rsidRPr="001E3C20">
              <w:rPr>
                <w:sz w:val="20"/>
                <w:szCs w:val="20"/>
              </w:rPr>
              <w:t>0.96</w:t>
            </w:r>
          </w:p>
        </w:tc>
      </w:tr>
      <w:tr w:rsidR="001E3C20" w:rsidRPr="001E3C20" w:rsidTr="007531DF">
        <w:tc>
          <w:tcPr>
            <w:tcW w:w="1619" w:type="pct"/>
          </w:tcPr>
          <w:p w:rsidR="007531DF" w:rsidRPr="001E3C20" w:rsidRDefault="007531DF" w:rsidP="007531DF">
            <w:pPr>
              <w:spacing w:before="0" w:after="0" w:line="360" w:lineRule="auto"/>
              <w:rPr>
                <w:sz w:val="20"/>
                <w:szCs w:val="20"/>
              </w:rPr>
            </w:pPr>
            <w:r w:rsidRPr="001E3C20">
              <w:rPr>
                <w:sz w:val="20"/>
                <w:szCs w:val="20"/>
              </w:rPr>
              <w:lastRenderedPageBreak/>
              <w:t>Frequent appearance in online searches influenced choice</w:t>
            </w:r>
          </w:p>
        </w:tc>
        <w:tc>
          <w:tcPr>
            <w:tcW w:w="469" w:type="pct"/>
          </w:tcPr>
          <w:p w:rsidR="007531DF" w:rsidRPr="001E3C20" w:rsidRDefault="007531DF" w:rsidP="007531DF">
            <w:pPr>
              <w:spacing w:before="0" w:after="0" w:line="360" w:lineRule="auto"/>
              <w:jc w:val="center"/>
              <w:rPr>
                <w:sz w:val="20"/>
                <w:szCs w:val="20"/>
              </w:rPr>
            </w:pPr>
            <w:r w:rsidRPr="001E3C20">
              <w:rPr>
                <w:sz w:val="20"/>
                <w:szCs w:val="20"/>
              </w:rPr>
              <w:t>6 (2.0%)</w:t>
            </w:r>
          </w:p>
        </w:tc>
        <w:tc>
          <w:tcPr>
            <w:tcW w:w="527" w:type="pct"/>
          </w:tcPr>
          <w:p w:rsidR="007531DF" w:rsidRPr="001E3C20" w:rsidRDefault="007531DF" w:rsidP="007531DF">
            <w:pPr>
              <w:spacing w:before="0" w:after="0" w:line="360" w:lineRule="auto"/>
              <w:jc w:val="center"/>
              <w:rPr>
                <w:sz w:val="20"/>
                <w:szCs w:val="20"/>
              </w:rPr>
            </w:pPr>
            <w:r w:rsidRPr="001E3C20">
              <w:rPr>
                <w:sz w:val="20"/>
                <w:szCs w:val="20"/>
              </w:rPr>
              <w:t>22 (7.4%)</w:t>
            </w:r>
          </w:p>
        </w:tc>
        <w:tc>
          <w:tcPr>
            <w:tcW w:w="527" w:type="pct"/>
          </w:tcPr>
          <w:p w:rsidR="007531DF" w:rsidRPr="001E3C20" w:rsidRDefault="007531DF" w:rsidP="007531DF">
            <w:pPr>
              <w:spacing w:before="0" w:after="0" w:line="360" w:lineRule="auto"/>
              <w:jc w:val="center"/>
              <w:rPr>
                <w:sz w:val="20"/>
                <w:szCs w:val="20"/>
              </w:rPr>
            </w:pPr>
            <w:r w:rsidRPr="001E3C20">
              <w:rPr>
                <w:sz w:val="20"/>
                <w:szCs w:val="20"/>
              </w:rPr>
              <w:t>53 (17.9%)</w:t>
            </w:r>
          </w:p>
        </w:tc>
        <w:tc>
          <w:tcPr>
            <w:tcW w:w="538" w:type="pct"/>
          </w:tcPr>
          <w:p w:rsidR="007531DF" w:rsidRPr="001E3C20" w:rsidRDefault="007531DF" w:rsidP="007531DF">
            <w:pPr>
              <w:spacing w:before="0" w:after="0" w:line="360" w:lineRule="auto"/>
              <w:jc w:val="center"/>
              <w:rPr>
                <w:sz w:val="20"/>
                <w:szCs w:val="20"/>
              </w:rPr>
            </w:pPr>
            <w:r w:rsidRPr="001E3C20">
              <w:rPr>
                <w:sz w:val="20"/>
                <w:szCs w:val="20"/>
              </w:rPr>
              <w:t>183 (61.8%)</w:t>
            </w:r>
          </w:p>
        </w:tc>
        <w:tc>
          <w:tcPr>
            <w:tcW w:w="527" w:type="pct"/>
          </w:tcPr>
          <w:p w:rsidR="007531DF" w:rsidRPr="001E3C20" w:rsidRDefault="007531DF" w:rsidP="007531DF">
            <w:pPr>
              <w:spacing w:before="0" w:after="0" w:line="360" w:lineRule="auto"/>
              <w:jc w:val="center"/>
              <w:rPr>
                <w:sz w:val="20"/>
                <w:szCs w:val="20"/>
              </w:rPr>
            </w:pPr>
            <w:r w:rsidRPr="001E3C20">
              <w:rPr>
                <w:sz w:val="20"/>
                <w:szCs w:val="20"/>
              </w:rPr>
              <w:t>32 (10.8%)</w:t>
            </w:r>
          </w:p>
        </w:tc>
        <w:tc>
          <w:tcPr>
            <w:tcW w:w="408" w:type="pct"/>
          </w:tcPr>
          <w:p w:rsidR="007531DF" w:rsidRPr="001E3C20" w:rsidRDefault="007531DF" w:rsidP="007531DF">
            <w:pPr>
              <w:spacing w:before="0" w:after="0" w:line="360" w:lineRule="auto"/>
              <w:jc w:val="center"/>
              <w:rPr>
                <w:sz w:val="20"/>
                <w:szCs w:val="20"/>
              </w:rPr>
            </w:pPr>
            <w:r w:rsidRPr="001E3C20">
              <w:rPr>
                <w:sz w:val="20"/>
                <w:szCs w:val="20"/>
              </w:rPr>
              <w:t>3.72</w:t>
            </w:r>
          </w:p>
        </w:tc>
        <w:tc>
          <w:tcPr>
            <w:tcW w:w="384" w:type="pct"/>
          </w:tcPr>
          <w:p w:rsidR="007531DF" w:rsidRPr="001E3C20" w:rsidRDefault="007531DF" w:rsidP="007531DF">
            <w:pPr>
              <w:spacing w:before="0" w:after="0" w:line="360" w:lineRule="auto"/>
              <w:jc w:val="center"/>
              <w:rPr>
                <w:sz w:val="20"/>
                <w:szCs w:val="20"/>
              </w:rPr>
            </w:pPr>
            <w:r w:rsidRPr="001E3C20">
              <w:rPr>
                <w:sz w:val="20"/>
                <w:szCs w:val="20"/>
              </w:rPr>
              <w:t>0.83</w:t>
            </w:r>
          </w:p>
        </w:tc>
      </w:tr>
      <w:tr w:rsidR="001E3C20" w:rsidRPr="001E3C20" w:rsidTr="007531DF">
        <w:tc>
          <w:tcPr>
            <w:tcW w:w="1619" w:type="pct"/>
          </w:tcPr>
          <w:p w:rsidR="007531DF" w:rsidRPr="001E3C20" w:rsidRDefault="007531DF" w:rsidP="007531DF">
            <w:pPr>
              <w:spacing w:before="0" w:after="0" w:line="360" w:lineRule="auto"/>
              <w:rPr>
                <w:sz w:val="20"/>
                <w:szCs w:val="20"/>
              </w:rPr>
            </w:pPr>
            <w:r w:rsidRPr="001E3C20">
              <w:rPr>
                <w:sz w:val="20"/>
                <w:szCs w:val="20"/>
              </w:rPr>
              <w:t>University brand is well-represented online</w:t>
            </w:r>
          </w:p>
        </w:tc>
        <w:tc>
          <w:tcPr>
            <w:tcW w:w="469" w:type="pct"/>
          </w:tcPr>
          <w:p w:rsidR="007531DF" w:rsidRPr="001E3C20" w:rsidRDefault="007531DF" w:rsidP="007531DF">
            <w:pPr>
              <w:spacing w:before="0" w:after="0" w:line="360" w:lineRule="auto"/>
              <w:jc w:val="center"/>
              <w:rPr>
                <w:sz w:val="20"/>
                <w:szCs w:val="20"/>
              </w:rPr>
            </w:pPr>
            <w:r w:rsidRPr="001E3C20">
              <w:rPr>
                <w:sz w:val="20"/>
                <w:szCs w:val="20"/>
              </w:rPr>
              <w:t>7 (2.4%)</w:t>
            </w:r>
          </w:p>
        </w:tc>
        <w:tc>
          <w:tcPr>
            <w:tcW w:w="527" w:type="pct"/>
          </w:tcPr>
          <w:p w:rsidR="007531DF" w:rsidRPr="001E3C20" w:rsidRDefault="007531DF" w:rsidP="007531DF">
            <w:pPr>
              <w:spacing w:before="0" w:after="0" w:line="360" w:lineRule="auto"/>
              <w:jc w:val="center"/>
              <w:rPr>
                <w:sz w:val="20"/>
                <w:szCs w:val="20"/>
              </w:rPr>
            </w:pPr>
            <w:r w:rsidRPr="001E3C20">
              <w:rPr>
                <w:sz w:val="20"/>
                <w:szCs w:val="20"/>
              </w:rPr>
              <w:t>35 (11.8%)</w:t>
            </w:r>
          </w:p>
        </w:tc>
        <w:tc>
          <w:tcPr>
            <w:tcW w:w="527" w:type="pct"/>
          </w:tcPr>
          <w:p w:rsidR="007531DF" w:rsidRPr="001E3C20" w:rsidRDefault="007531DF" w:rsidP="007531DF">
            <w:pPr>
              <w:spacing w:before="0" w:after="0" w:line="360" w:lineRule="auto"/>
              <w:jc w:val="center"/>
              <w:rPr>
                <w:sz w:val="20"/>
                <w:szCs w:val="20"/>
              </w:rPr>
            </w:pPr>
            <w:r w:rsidRPr="001E3C20">
              <w:rPr>
                <w:sz w:val="20"/>
                <w:szCs w:val="20"/>
              </w:rPr>
              <w:t>31 (10.5%)</w:t>
            </w:r>
          </w:p>
        </w:tc>
        <w:tc>
          <w:tcPr>
            <w:tcW w:w="538" w:type="pct"/>
          </w:tcPr>
          <w:p w:rsidR="007531DF" w:rsidRPr="001E3C20" w:rsidRDefault="007531DF" w:rsidP="007531DF">
            <w:pPr>
              <w:spacing w:before="0" w:after="0" w:line="360" w:lineRule="auto"/>
              <w:jc w:val="center"/>
              <w:rPr>
                <w:sz w:val="20"/>
                <w:szCs w:val="20"/>
              </w:rPr>
            </w:pPr>
            <w:r w:rsidRPr="001E3C20">
              <w:rPr>
                <w:sz w:val="20"/>
                <w:szCs w:val="20"/>
              </w:rPr>
              <w:t>177 (59.8%)</w:t>
            </w:r>
          </w:p>
        </w:tc>
        <w:tc>
          <w:tcPr>
            <w:tcW w:w="527" w:type="pct"/>
          </w:tcPr>
          <w:p w:rsidR="007531DF" w:rsidRPr="001E3C20" w:rsidRDefault="007531DF" w:rsidP="007531DF">
            <w:pPr>
              <w:spacing w:before="0" w:after="0" w:line="360" w:lineRule="auto"/>
              <w:jc w:val="center"/>
              <w:rPr>
                <w:sz w:val="20"/>
                <w:szCs w:val="20"/>
              </w:rPr>
            </w:pPr>
            <w:r w:rsidRPr="001E3C20">
              <w:rPr>
                <w:sz w:val="20"/>
                <w:szCs w:val="20"/>
              </w:rPr>
              <w:t>46 (15.5%)</w:t>
            </w:r>
          </w:p>
        </w:tc>
        <w:tc>
          <w:tcPr>
            <w:tcW w:w="408" w:type="pct"/>
          </w:tcPr>
          <w:p w:rsidR="007531DF" w:rsidRPr="001E3C20" w:rsidRDefault="007531DF" w:rsidP="007531DF">
            <w:pPr>
              <w:spacing w:before="0" w:after="0" w:line="360" w:lineRule="auto"/>
              <w:jc w:val="center"/>
              <w:rPr>
                <w:sz w:val="20"/>
                <w:szCs w:val="20"/>
              </w:rPr>
            </w:pPr>
            <w:r w:rsidRPr="001E3C20">
              <w:rPr>
                <w:sz w:val="20"/>
                <w:szCs w:val="20"/>
              </w:rPr>
              <w:t>3.74</w:t>
            </w:r>
          </w:p>
        </w:tc>
        <w:tc>
          <w:tcPr>
            <w:tcW w:w="384" w:type="pct"/>
          </w:tcPr>
          <w:p w:rsidR="007531DF" w:rsidRPr="001E3C20" w:rsidRDefault="007531DF" w:rsidP="007531DF">
            <w:pPr>
              <w:spacing w:before="0" w:after="0" w:line="360" w:lineRule="auto"/>
              <w:jc w:val="center"/>
              <w:rPr>
                <w:sz w:val="20"/>
                <w:szCs w:val="20"/>
              </w:rPr>
            </w:pPr>
            <w:r w:rsidRPr="001E3C20">
              <w:rPr>
                <w:sz w:val="20"/>
                <w:szCs w:val="20"/>
              </w:rPr>
              <w:t>0.94</w:t>
            </w:r>
          </w:p>
        </w:tc>
      </w:tr>
      <w:tr w:rsidR="001E3C20" w:rsidRPr="001E3C20" w:rsidTr="007531DF">
        <w:tc>
          <w:tcPr>
            <w:tcW w:w="1619" w:type="pct"/>
          </w:tcPr>
          <w:p w:rsidR="007531DF" w:rsidRPr="001E3C20" w:rsidRDefault="007531DF" w:rsidP="007531DF">
            <w:pPr>
              <w:spacing w:before="0" w:after="0" w:line="360" w:lineRule="auto"/>
              <w:rPr>
                <w:sz w:val="20"/>
                <w:szCs w:val="20"/>
              </w:rPr>
            </w:pPr>
            <w:r w:rsidRPr="001E3C20">
              <w:rPr>
                <w:sz w:val="20"/>
                <w:szCs w:val="20"/>
              </w:rPr>
              <w:t>Visibility attracts more students</w:t>
            </w:r>
          </w:p>
        </w:tc>
        <w:tc>
          <w:tcPr>
            <w:tcW w:w="469" w:type="pct"/>
          </w:tcPr>
          <w:p w:rsidR="007531DF" w:rsidRPr="001E3C20" w:rsidRDefault="007531DF" w:rsidP="007531DF">
            <w:pPr>
              <w:spacing w:before="0" w:after="0" w:line="360" w:lineRule="auto"/>
              <w:jc w:val="center"/>
              <w:rPr>
                <w:sz w:val="20"/>
                <w:szCs w:val="20"/>
              </w:rPr>
            </w:pPr>
            <w:r w:rsidRPr="001E3C20">
              <w:rPr>
                <w:sz w:val="20"/>
                <w:szCs w:val="20"/>
              </w:rPr>
              <w:t>15 (5.1%)</w:t>
            </w:r>
          </w:p>
        </w:tc>
        <w:tc>
          <w:tcPr>
            <w:tcW w:w="527" w:type="pct"/>
          </w:tcPr>
          <w:p w:rsidR="007531DF" w:rsidRPr="001E3C20" w:rsidRDefault="007531DF" w:rsidP="007531DF">
            <w:pPr>
              <w:spacing w:before="0" w:after="0" w:line="360" w:lineRule="auto"/>
              <w:jc w:val="center"/>
              <w:rPr>
                <w:sz w:val="20"/>
                <w:szCs w:val="20"/>
              </w:rPr>
            </w:pPr>
            <w:r w:rsidRPr="001E3C20">
              <w:rPr>
                <w:sz w:val="20"/>
                <w:szCs w:val="20"/>
              </w:rPr>
              <w:t>16 (5.4%)</w:t>
            </w:r>
          </w:p>
        </w:tc>
        <w:tc>
          <w:tcPr>
            <w:tcW w:w="527" w:type="pct"/>
          </w:tcPr>
          <w:p w:rsidR="007531DF" w:rsidRPr="001E3C20" w:rsidRDefault="007531DF" w:rsidP="007531DF">
            <w:pPr>
              <w:spacing w:before="0" w:after="0" w:line="360" w:lineRule="auto"/>
              <w:jc w:val="center"/>
              <w:rPr>
                <w:sz w:val="20"/>
                <w:szCs w:val="20"/>
              </w:rPr>
            </w:pPr>
            <w:r w:rsidRPr="001E3C20">
              <w:rPr>
                <w:sz w:val="20"/>
                <w:szCs w:val="20"/>
              </w:rPr>
              <w:t>16 (5.4%)</w:t>
            </w:r>
          </w:p>
        </w:tc>
        <w:tc>
          <w:tcPr>
            <w:tcW w:w="538" w:type="pct"/>
          </w:tcPr>
          <w:p w:rsidR="007531DF" w:rsidRPr="001E3C20" w:rsidRDefault="007531DF" w:rsidP="007531DF">
            <w:pPr>
              <w:spacing w:before="0" w:after="0" w:line="360" w:lineRule="auto"/>
              <w:jc w:val="center"/>
              <w:rPr>
                <w:sz w:val="20"/>
                <w:szCs w:val="20"/>
              </w:rPr>
            </w:pPr>
            <w:r w:rsidRPr="001E3C20">
              <w:rPr>
                <w:sz w:val="20"/>
                <w:szCs w:val="20"/>
              </w:rPr>
              <w:t>191 (64.5%)</w:t>
            </w:r>
          </w:p>
        </w:tc>
        <w:tc>
          <w:tcPr>
            <w:tcW w:w="527" w:type="pct"/>
          </w:tcPr>
          <w:p w:rsidR="007531DF" w:rsidRPr="001E3C20" w:rsidRDefault="007531DF" w:rsidP="007531DF">
            <w:pPr>
              <w:spacing w:before="0" w:after="0" w:line="360" w:lineRule="auto"/>
              <w:jc w:val="center"/>
              <w:rPr>
                <w:sz w:val="20"/>
                <w:szCs w:val="20"/>
              </w:rPr>
            </w:pPr>
            <w:r w:rsidRPr="001E3C20">
              <w:rPr>
                <w:sz w:val="20"/>
                <w:szCs w:val="20"/>
              </w:rPr>
              <w:t>58 (19.6%)</w:t>
            </w:r>
          </w:p>
        </w:tc>
        <w:tc>
          <w:tcPr>
            <w:tcW w:w="408" w:type="pct"/>
          </w:tcPr>
          <w:p w:rsidR="007531DF" w:rsidRPr="001E3C20" w:rsidRDefault="007531DF" w:rsidP="007531DF">
            <w:pPr>
              <w:spacing w:before="0" w:after="0" w:line="360" w:lineRule="auto"/>
              <w:jc w:val="center"/>
              <w:rPr>
                <w:sz w:val="20"/>
                <w:szCs w:val="20"/>
              </w:rPr>
            </w:pPr>
            <w:r w:rsidRPr="001E3C20">
              <w:rPr>
                <w:sz w:val="20"/>
                <w:szCs w:val="20"/>
              </w:rPr>
              <w:t>3.88</w:t>
            </w:r>
          </w:p>
        </w:tc>
        <w:tc>
          <w:tcPr>
            <w:tcW w:w="384" w:type="pct"/>
          </w:tcPr>
          <w:p w:rsidR="007531DF" w:rsidRPr="001E3C20" w:rsidRDefault="007531DF" w:rsidP="007531DF">
            <w:pPr>
              <w:spacing w:before="0" w:after="0" w:line="360" w:lineRule="auto"/>
              <w:jc w:val="center"/>
              <w:rPr>
                <w:sz w:val="20"/>
                <w:szCs w:val="20"/>
              </w:rPr>
            </w:pPr>
            <w:r w:rsidRPr="001E3C20">
              <w:rPr>
                <w:sz w:val="20"/>
                <w:szCs w:val="20"/>
              </w:rPr>
              <w:t>0.95</w:t>
            </w:r>
          </w:p>
        </w:tc>
      </w:tr>
      <w:tr w:rsidR="007531DF" w:rsidRPr="001E3C20" w:rsidTr="007531DF">
        <w:tc>
          <w:tcPr>
            <w:tcW w:w="1619" w:type="pct"/>
          </w:tcPr>
          <w:p w:rsidR="007531DF" w:rsidRPr="001E3C20" w:rsidRDefault="007531DF" w:rsidP="007531DF">
            <w:pPr>
              <w:spacing w:before="0" w:after="0" w:line="360" w:lineRule="auto"/>
              <w:rPr>
                <w:sz w:val="20"/>
                <w:szCs w:val="20"/>
              </w:rPr>
            </w:pPr>
            <w:r w:rsidRPr="001E3C20">
              <w:rPr>
                <w:sz w:val="20"/>
                <w:szCs w:val="20"/>
              </w:rPr>
              <w:t>Average</w:t>
            </w:r>
          </w:p>
        </w:tc>
        <w:tc>
          <w:tcPr>
            <w:tcW w:w="469" w:type="pct"/>
          </w:tcPr>
          <w:p w:rsidR="007531DF" w:rsidRPr="001E3C20" w:rsidRDefault="007531DF" w:rsidP="007531DF">
            <w:pPr>
              <w:spacing w:before="0" w:after="0" w:line="360" w:lineRule="auto"/>
              <w:jc w:val="center"/>
              <w:rPr>
                <w:sz w:val="20"/>
                <w:szCs w:val="20"/>
              </w:rPr>
            </w:pPr>
          </w:p>
        </w:tc>
        <w:tc>
          <w:tcPr>
            <w:tcW w:w="527" w:type="pct"/>
          </w:tcPr>
          <w:p w:rsidR="007531DF" w:rsidRPr="001E3C20" w:rsidRDefault="007531DF" w:rsidP="007531DF">
            <w:pPr>
              <w:spacing w:before="0" w:after="0" w:line="360" w:lineRule="auto"/>
              <w:jc w:val="center"/>
              <w:rPr>
                <w:sz w:val="20"/>
                <w:szCs w:val="20"/>
              </w:rPr>
            </w:pPr>
          </w:p>
        </w:tc>
        <w:tc>
          <w:tcPr>
            <w:tcW w:w="527" w:type="pct"/>
          </w:tcPr>
          <w:p w:rsidR="007531DF" w:rsidRPr="001E3C20" w:rsidRDefault="007531DF" w:rsidP="007531DF">
            <w:pPr>
              <w:spacing w:before="0" w:after="0" w:line="360" w:lineRule="auto"/>
              <w:jc w:val="center"/>
              <w:rPr>
                <w:sz w:val="20"/>
                <w:szCs w:val="20"/>
              </w:rPr>
            </w:pPr>
          </w:p>
        </w:tc>
        <w:tc>
          <w:tcPr>
            <w:tcW w:w="538" w:type="pct"/>
          </w:tcPr>
          <w:p w:rsidR="007531DF" w:rsidRPr="001E3C20" w:rsidRDefault="007531DF" w:rsidP="007531DF">
            <w:pPr>
              <w:spacing w:before="0" w:after="0" w:line="360" w:lineRule="auto"/>
              <w:jc w:val="center"/>
              <w:rPr>
                <w:sz w:val="20"/>
                <w:szCs w:val="20"/>
              </w:rPr>
            </w:pPr>
          </w:p>
        </w:tc>
        <w:tc>
          <w:tcPr>
            <w:tcW w:w="527" w:type="pct"/>
          </w:tcPr>
          <w:p w:rsidR="007531DF" w:rsidRPr="001E3C20" w:rsidRDefault="007531DF" w:rsidP="007531DF">
            <w:pPr>
              <w:spacing w:before="0" w:after="0" w:line="360" w:lineRule="auto"/>
              <w:jc w:val="center"/>
              <w:rPr>
                <w:sz w:val="20"/>
                <w:szCs w:val="20"/>
              </w:rPr>
            </w:pPr>
          </w:p>
        </w:tc>
        <w:tc>
          <w:tcPr>
            <w:tcW w:w="408" w:type="pct"/>
          </w:tcPr>
          <w:p w:rsidR="007531DF" w:rsidRPr="001E3C20" w:rsidRDefault="007531DF" w:rsidP="007531DF">
            <w:pPr>
              <w:spacing w:before="0" w:after="0" w:line="360" w:lineRule="auto"/>
              <w:jc w:val="center"/>
              <w:rPr>
                <w:sz w:val="20"/>
                <w:szCs w:val="20"/>
              </w:rPr>
            </w:pPr>
            <w:r w:rsidRPr="001E3C20">
              <w:rPr>
                <w:sz w:val="20"/>
                <w:szCs w:val="20"/>
              </w:rPr>
              <w:t>3.70</w:t>
            </w:r>
          </w:p>
        </w:tc>
        <w:tc>
          <w:tcPr>
            <w:tcW w:w="384" w:type="pct"/>
          </w:tcPr>
          <w:p w:rsidR="007531DF" w:rsidRPr="001E3C20" w:rsidRDefault="007531DF" w:rsidP="007531DF">
            <w:pPr>
              <w:spacing w:before="0" w:after="0" w:line="360" w:lineRule="auto"/>
              <w:jc w:val="center"/>
              <w:rPr>
                <w:sz w:val="20"/>
                <w:szCs w:val="20"/>
              </w:rPr>
            </w:pPr>
            <w:r w:rsidRPr="001E3C20">
              <w:rPr>
                <w:sz w:val="20"/>
                <w:szCs w:val="20"/>
              </w:rPr>
              <w:t>0.63</w:t>
            </w:r>
          </w:p>
        </w:tc>
      </w:tr>
    </w:tbl>
    <w:p w:rsidR="007531DF" w:rsidRPr="001E3C20" w:rsidRDefault="007531DF" w:rsidP="007531DF">
      <w:pPr>
        <w:rPr>
          <w:rFonts w:cs="Times New Roman"/>
        </w:rPr>
      </w:pPr>
      <w:r w:rsidRPr="001E3C20">
        <w:rPr>
          <w:rFonts w:cs="Times New Roman"/>
        </w:rPr>
        <w:t xml:space="preserve">The first item indicates that 60.5% of respondents agreed that social media visibility influenced their consideration of the university (M = 3.66, SD = 1.02). This suggests that social media platforms constitute a primary interface through which prospective students encounter and evaluate universities, shaping initial awareness and institutional consideration. The relatively higher standard deviation reflects heterogeneity in reliance on social media as an information source, implying that while a substantial proportion of students depend on it, others rely on alternative channels such as institutional websites or interpersonal networks. This finding is consistent with </w:t>
      </w:r>
      <w:proofErr w:type="spellStart"/>
      <w:r w:rsidRPr="001E3C20">
        <w:rPr>
          <w:rFonts w:cs="Times New Roman"/>
        </w:rPr>
        <w:t>Kubetzek</w:t>
      </w:r>
      <w:proofErr w:type="spellEnd"/>
      <w:r w:rsidRPr="001E3C20">
        <w:rPr>
          <w:rFonts w:cs="Times New Roman"/>
        </w:rPr>
        <w:t xml:space="preserve"> (2022), who conceptualizes brand salience as the ease of recall and recognition during decision-making, and with Minh and Mai (2024), who argue that digital communication channels significantly enhance institutional visibility and admission decisions. Interview evidence strongly corroborates this pattern, with respondents noting that students’ first interaction with universities often occurs online. One participant observed that “Most students first encounter the university through platforms such as Facebook, X, Instagram, and </w:t>
      </w:r>
      <w:proofErr w:type="spellStart"/>
      <w:r w:rsidRPr="001E3C20">
        <w:rPr>
          <w:rFonts w:cs="Times New Roman"/>
        </w:rPr>
        <w:t>TikTok</w:t>
      </w:r>
      <w:proofErr w:type="spellEnd"/>
      <w:r w:rsidRPr="001E3C20">
        <w:rPr>
          <w:rFonts w:cs="Times New Roman"/>
        </w:rPr>
        <w:t>. These platforms shape the first impression students develop about the institution” (P3), while another noted that “If a university is not active online, many prospective applicants assume it is less competitive or less relevant” (P11). The convergence of quantitative and qualitative evidence demonstrates that social media visibility functions as an entry-point mechanism that frames early awareness and institutional legitimacy.</w:t>
      </w:r>
    </w:p>
    <w:p w:rsidR="007531DF" w:rsidRPr="001E3C20" w:rsidRDefault="007531DF" w:rsidP="007531DF">
      <w:pPr>
        <w:rPr>
          <w:rFonts w:cs="Times New Roman"/>
        </w:rPr>
      </w:pPr>
      <w:r w:rsidRPr="001E3C20">
        <w:rPr>
          <w:rFonts w:cs="Times New Roman"/>
        </w:rPr>
        <w:lastRenderedPageBreak/>
        <w:t xml:space="preserve">The second statement shows that 44.3% of respondents agreed that consistent and high online visibility enabled the university to stand out from competitors (M = 3.65, SD = 0.92). This indicates moderate agreement that sustained digital engagement contributes to brand differentiation. The relatively lower dispersion suggests reasonable consensus on the importance of consistency in reinforcing recognition and recall. This finding aligns with </w:t>
      </w:r>
      <w:proofErr w:type="spellStart"/>
      <w:r w:rsidRPr="001E3C20">
        <w:rPr>
          <w:rFonts w:cs="Times New Roman"/>
        </w:rPr>
        <w:t>Yiadom</w:t>
      </w:r>
      <w:proofErr w:type="spellEnd"/>
      <w:r w:rsidRPr="001E3C20">
        <w:rPr>
          <w:rFonts w:cs="Times New Roman"/>
        </w:rPr>
        <w:t xml:space="preserve"> et al. (2025), who established that institutional brand salience significantly influences students’ choice of higher education institutions by strengthening visibility and distinctiveness in competitive markets. It also resonates with </w:t>
      </w:r>
      <w:proofErr w:type="spellStart"/>
      <w:r w:rsidRPr="001E3C20">
        <w:rPr>
          <w:rFonts w:cs="Times New Roman"/>
        </w:rPr>
        <w:t>Nyamwaya</w:t>
      </w:r>
      <w:proofErr w:type="spellEnd"/>
      <w:r w:rsidRPr="001E3C20">
        <w:rPr>
          <w:rFonts w:cs="Times New Roman"/>
        </w:rPr>
        <w:t xml:space="preserve"> and </w:t>
      </w:r>
      <w:proofErr w:type="spellStart"/>
      <w:r w:rsidRPr="001E3C20">
        <w:rPr>
          <w:rFonts w:cs="Times New Roman"/>
        </w:rPr>
        <w:t>Muchunku</w:t>
      </w:r>
      <w:proofErr w:type="spellEnd"/>
      <w:r w:rsidRPr="001E3C20">
        <w:rPr>
          <w:rFonts w:cs="Times New Roman"/>
        </w:rPr>
        <w:t xml:space="preserve"> (2021), who found that sustained visibility enhances institutional recognition despite resource constraints. Interview responses reinforce this interpretation, with one respondent stating that “Consistency is very important in branding. We ensure that our university logo, colors, programs, and achievements are continuously communicated across all online platforms” (P7), while another added that “Frequent online engagement keeps the institution relevant in the minds of students and parents during the selection period” (P14). The convergence suggests that brand salience is strengthened not merely by visibility, but by sustained and coherent exposure that enhances differentiation in a competitive higher education environment.</w:t>
      </w:r>
    </w:p>
    <w:p w:rsidR="007531DF" w:rsidRPr="001E3C20" w:rsidRDefault="007531DF" w:rsidP="007531DF">
      <w:pPr>
        <w:rPr>
          <w:rFonts w:cs="Times New Roman"/>
        </w:rPr>
      </w:pPr>
      <w:r w:rsidRPr="001E3C20">
        <w:rPr>
          <w:rFonts w:cs="Times New Roman"/>
        </w:rPr>
        <w:t xml:space="preserve">The third item reveals that 48.3% of respondents agreed that high website traffic reflects institutional popularity and influenced their interest (M = 3.53, SD = 0.96). Although this reflects a generally positive perception, the relatively lower mean suggests that website traffic is a less salient indicator compared to more direct forms of digital visibility such as social media exposure and search engine results. This observation partly supports Minh and Mai (2024), who emphasize the strategic role of institutional websites in shaping brand salience and admission decisions. However, the present findings suggest that in the Kenyan context, website influence is largely indirect. Interview data clarifies this interpretation, as respondents indicated that students primarily use websites for verification rather than evaluating traffic metrics. One respondent explained, “Most students visit the university website to verify programs, fees structures, admission </w:t>
      </w:r>
      <w:r w:rsidRPr="001E3C20">
        <w:rPr>
          <w:rFonts w:cs="Times New Roman"/>
        </w:rPr>
        <w:lastRenderedPageBreak/>
        <w:t>requirements, and rankings before making final decisions” (P5). This suggests that students prioritize informational credibility and content quality over quantitative indicators of popularity, reinforcing the idea that website effectiveness depends on functional utility rather than perceived traffic.</w:t>
      </w:r>
    </w:p>
    <w:p w:rsidR="007531DF" w:rsidRPr="001E3C20" w:rsidRDefault="007531DF" w:rsidP="007531DF">
      <w:pPr>
        <w:rPr>
          <w:rFonts w:cs="Times New Roman"/>
        </w:rPr>
      </w:pPr>
      <w:r w:rsidRPr="001E3C20">
        <w:rPr>
          <w:rFonts w:cs="Times New Roman"/>
        </w:rPr>
        <w:t xml:space="preserve">A stronger pattern emerges in the fourth item, where 61.8% of respondents agreed that frequent appearance in online searches influenced their choice of university (M = 3.72, SD = 0.83), with relatively low dispersion indicating convergence of opinion. This finding strongly aligns with </w:t>
      </w:r>
      <w:proofErr w:type="spellStart"/>
      <w:r w:rsidRPr="001E3C20">
        <w:rPr>
          <w:rFonts w:cs="Times New Roman"/>
        </w:rPr>
        <w:t>Kubetzek</w:t>
      </w:r>
      <w:proofErr w:type="spellEnd"/>
      <w:r w:rsidRPr="001E3C20">
        <w:rPr>
          <w:rFonts w:cs="Times New Roman"/>
        </w:rPr>
        <w:t xml:space="preserve"> (2022), who argues that brand salience reflects ease of recall and accessibility during decision-making situations. It also supports Minh and Mai (2024), who found that visibility across digital channels significantly shapes institutional selection. Interview data reinforces this result, with one respondent noting that “Appearing among the top search results increases the likelihood that students will explore the institution further” (P18). The convergence indicates that search engine visibility functions as a critical gateway in the decision-making process, ensuring that institutions are included in students’ consideration sets and enhancing discoverability at the point of need.</w:t>
      </w:r>
    </w:p>
    <w:p w:rsidR="007531DF" w:rsidRPr="001E3C20" w:rsidRDefault="007531DF" w:rsidP="007531DF">
      <w:pPr>
        <w:rPr>
          <w:rFonts w:cs="Times New Roman"/>
        </w:rPr>
      </w:pPr>
      <w:r w:rsidRPr="001E3C20">
        <w:rPr>
          <w:rFonts w:cs="Times New Roman"/>
        </w:rPr>
        <w:t xml:space="preserve">The fifth item shows that 59.8% of respondents agreed that the university brand is well represented online (M = 3.74, SD = 0.94), indicating a generally positive perception of institutional digital coherence. This suggests that respondents perceive universities as maintaining structured and consistent online identities across platforms. This finding corresponds with </w:t>
      </w:r>
      <w:proofErr w:type="spellStart"/>
      <w:r w:rsidRPr="001E3C20">
        <w:rPr>
          <w:rFonts w:cs="Times New Roman"/>
        </w:rPr>
        <w:t>Rizard</w:t>
      </w:r>
      <w:proofErr w:type="spellEnd"/>
      <w:r w:rsidRPr="001E3C20">
        <w:rPr>
          <w:rFonts w:cs="Times New Roman"/>
        </w:rPr>
        <w:t xml:space="preserve"> et al. (2023), who established that brand equity dimensions, including brand salience, significantly influence institutional reputation and student choice. Interview responses further support this interpretation, with one respondent stating that “We deliberately maintain active branding campaigns because visibility creates familiarity, and familiarity creates confidence among prospective students and parents” (P9), while another noted that “Students tend to associate strong online presence with quality, stability, and institutional credibility” (P20). The convergence suggests that coherent </w:t>
      </w:r>
      <w:r w:rsidRPr="001E3C20">
        <w:rPr>
          <w:rFonts w:cs="Times New Roman"/>
        </w:rPr>
        <w:lastRenderedPageBreak/>
        <w:t>digital representation strengthens institutional legitimacy and enhances trust, both of which are central to enrollment decisions.</w:t>
      </w:r>
    </w:p>
    <w:p w:rsidR="007531DF" w:rsidRPr="001E3C20" w:rsidRDefault="007531DF" w:rsidP="007531DF">
      <w:pPr>
        <w:rPr>
          <w:rFonts w:cs="Times New Roman"/>
        </w:rPr>
      </w:pPr>
      <w:r w:rsidRPr="001E3C20">
        <w:rPr>
          <w:rFonts w:cs="Times New Roman"/>
        </w:rPr>
        <w:t xml:space="preserve">The final statement recorded the highest level of agreement, with 64.5% of respondents indicating that visibility attracts more students (M = 3.88, SD = 0.95). This suggests that visibility is the most influential dimension of brand salience in the study. This result is consistent with </w:t>
      </w:r>
      <w:proofErr w:type="spellStart"/>
      <w:r w:rsidRPr="001E3C20">
        <w:rPr>
          <w:rFonts w:cs="Times New Roman"/>
        </w:rPr>
        <w:t>Yiadom</w:t>
      </w:r>
      <w:proofErr w:type="spellEnd"/>
      <w:r w:rsidRPr="001E3C20">
        <w:rPr>
          <w:rFonts w:cs="Times New Roman"/>
        </w:rPr>
        <w:t xml:space="preserve"> et al. (2025), who found that brand salience significantly influences enrollment decisions in higher education institutions, and with </w:t>
      </w:r>
      <w:proofErr w:type="spellStart"/>
      <w:r w:rsidRPr="001E3C20">
        <w:rPr>
          <w:rFonts w:cs="Times New Roman"/>
        </w:rPr>
        <w:t>Mwaura</w:t>
      </w:r>
      <w:proofErr w:type="spellEnd"/>
      <w:r w:rsidRPr="001E3C20">
        <w:rPr>
          <w:rFonts w:cs="Times New Roman"/>
        </w:rPr>
        <w:t xml:space="preserve"> and </w:t>
      </w:r>
      <w:proofErr w:type="spellStart"/>
      <w:r w:rsidRPr="001E3C20">
        <w:rPr>
          <w:rFonts w:cs="Times New Roman"/>
        </w:rPr>
        <w:t>Mang’ana</w:t>
      </w:r>
      <w:proofErr w:type="spellEnd"/>
      <w:r w:rsidRPr="001E3C20">
        <w:rPr>
          <w:rFonts w:cs="Times New Roman"/>
        </w:rPr>
        <w:t xml:space="preserve"> (2023), who established a positive relationship between brand salience and market outcomes in the telecommunications sector. Interview data strongly corroborates this finding, with respondents reporting increased inquiries and applications following visibility campaigns. One participant stated that “Whenever our online campaigns increase, we normally record more inquiries, website visits, and applications from prospective students” (P1), while another noted that “Visibility widens the university’s reach beyond its geographical region and exposes the institution to a larger student population” (P16). The convergence confirms that visibility is not only perceptual but also behaviorally consequential, directly influencing application volumes and institutional reach.</w:t>
      </w:r>
    </w:p>
    <w:p w:rsidR="007531DF" w:rsidRPr="001E3C20" w:rsidRDefault="007531DF" w:rsidP="007531DF">
      <w:pPr>
        <w:rPr>
          <w:rFonts w:cs="Times New Roman"/>
        </w:rPr>
      </w:pPr>
      <w:r w:rsidRPr="001E3C20">
        <w:rPr>
          <w:rFonts w:cs="Times New Roman"/>
        </w:rPr>
        <w:t>The findings demonstrate strong convergence between quantitative and qualitative evidence, confirming that brand salience, particularly digital visibility, significantly shapes students’ enrollment decisions in public universities in Kenya. Across both datasets, four key mechanisms are evident: awareness creation through social media exposure, differentiation through consistent branding, verification through institutional websites, and discoverability through search engine visibility. However, interview data further reveals contextual constraints, including limited funding, technological infrastructure challenges, and staffing shortages (P12, P21), which affect universities’ ability to sustain strong digital branding strategies. This indicates that while brand salience is a critical determinant of enrollment decisions, its effectiveness is moderated by institutional capacity differences within the Kenyan public university system.</w:t>
      </w:r>
    </w:p>
    <w:p w:rsidR="007531DF" w:rsidRPr="001E3C20" w:rsidRDefault="007531DF" w:rsidP="00F62DC1">
      <w:pPr>
        <w:rPr>
          <w:rFonts w:cs="Times New Roman"/>
        </w:rPr>
      </w:pPr>
      <w:r w:rsidRPr="001E3C20">
        <w:rPr>
          <w:rFonts w:cs="Times New Roman"/>
        </w:rPr>
        <w:lastRenderedPageBreak/>
        <w:t xml:space="preserve">The findings strongly align with </w:t>
      </w:r>
      <w:proofErr w:type="spellStart"/>
      <w:r w:rsidRPr="001E3C20">
        <w:rPr>
          <w:rFonts w:cs="Times New Roman"/>
        </w:rPr>
        <w:t>Kubetzek’s</w:t>
      </w:r>
      <w:proofErr w:type="spellEnd"/>
      <w:r w:rsidRPr="001E3C20">
        <w:rPr>
          <w:rFonts w:cs="Times New Roman"/>
        </w:rPr>
        <w:t xml:space="preserve"> (2022) conceptualization of brand salience as ease of recall and consideration in decision-making. They also corroborate empirical evidence from Minh and Mai (2024), </w:t>
      </w:r>
      <w:proofErr w:type="spellStart"/>
      <w:r w:rsidRPr="001E3C20">
        <w:rPr>
          <w:rFonts w:cs="Times New Roman"/>
        </w:rPr>
        <w:t>Yiadom</w:t>
      </w:r>
      <w:proofErr w:type="spellEnd"/>
      <w:r w:rsidRPr="001E3C20">
        <w:rPr>
          <w:rFonts w:cs="Times New Roman"/>
        </w:rPr>
        <w:t xml:space="preserve"> et al. (2025), and </w:t>
      </w:r>
      <w:proofErr w:type="spellStart"/>
      <w:r w:rsidRPr="001E3C20">
        <w:rPr>
          <w:rFonts w:cs="Times New Roman"/>
        </w:rPr>
        <w:t>Rizard</w:t>
      </w:r>
      <w:proofErr w:type="spellEnd"/>
      <w:r w:rsidRPr="001E3C20">
        <w:rPr>
          <w:rFonts w:cs="Times New Roman"/>
        </w:rPr>
        <w:t xml:space="preserve"> et al. (2023), all of which emphasize the importance of visibility, consistency, and digital communication in shaping institutional choice. However, within the Kenyan higher education context, these effects operate within a structurally constrained environment shaped by government placement systems, institutional disparities, and resource limitations, suggesting that brand salience functions as a moderated rather than absolute determinant of enrollment decisions..</w:t>
      </w:r>
      <w:r w:rsidRPr="001E3C20">
        <w:rPr>
          <w:rFonts w:cs="Times New Roman"/>
          <w:vanish/>
          <w:sz w:val="16"/>
          <w:szCs w:val="16"/>
        </w:rPr>
        <w:t>Top of FormBottom of Form</w:t>
      </w:r>
    </w:p>
    <w:p w:rsidR="007531DF" w:rsidRPr="00BE34F3" w:rsidRDefault="007531DF" w:rsidP="007531DF">
      <w:pPr>
        <w:pStyle w:val="Heading3"/>
        <w:rPr>
          <w:rFonts w:ascii="Times New Roman" w:hAnsi="Times New Roman" w:cs="Times New Roman"/>
          <w:b/>
          <w:color w:val="auto"/>
        </w:rPr>
      </w:pPr>
      <w:bookmarkStart w:id="51" w:name="_Toc230811144"/>
      <w:r w:rsidRPr="00BE34F3">
        <w:rPr>
          <w:rFonts w:ascii="Times New Roman" w:hAnsi="Times New Roman" w:cs="Times New Roman"/>
          <w:b/>
          <w:color w:val="auto"/>
        </w:rPr>
        <w:t>4.4.5 Students’ Enrollment Decision</w:t>
      </w:r>
      <w:bookmarkEnd w:id="51"/>
    </w:p>
    <w:p w:rsidR="007531DF" w:rsidRPr="001E3C20" w:rsidRDefault="007531DF" w:rsidP="007531DF">
      <w:pPr>
        <w:rPr>
          <w:rFonts w:cs="Times New Roman"/>
        </w:rPr>
      </w:pPr>
      <w:r w:rsidRPr="001E3C20">
        <w:rPr>
          <w:rFonts w:cs="Times New Roman"/>
        </w:rPr>
        <w:t xml:space="preserve">The dependent variable given by student’s enrollment decision was evaluated using </w:t>
      </w:r>
      <w:proofErr w:type="spellStart"/>
      <w:r w:rsidRPr="001E3C20">
        <w:rPr>
          <w:rFonts w:cs="Times New Roman"/>
        </w:rPr>
        <w:t>bothe</w:t>
      </w:r>
      <w:proofErr w:type="spellEnd"/>
      <w:r w:rsidRPr="001E3C20">
        <w:rPr>
          <w:rFonts w:cs="Times New Roman"/>
        </w:rPr>
        <w:t xml:space="preserve"> questionnaire and interview. The response from the questionnaire representing mean and standard deviation were </w:t>
      </w:r>
      <w:proofErr w:type="spellStart"/>
      <w:r w:rsidRPr="001E3C20">
        <w:rPr>
          <w:rFonts w:cs="Times New Roman"/>
        </w:rPr>
        <w:t>integratively</w:t>
      </w:r>
      <w:proofErr w:type="spellEnd"/>
      <w:r w:rsidRPr="001E3C20">
        <w:rPr>
          <w:rFonts w:cs="Times New Roman"/>
        </w:rPr>
        <w:t xml:space="preserve"> discussed with interview response using parallel convergent technique to improve the results and understanding. The quantitative data were present in Table 4.8. </w:t>
      </w:r>
    </w:p>
    <w:p w:rsidR="007531DF" w:rsidRPr="001E3C20" w:rsidRDefault="007531DF" w:rsidP="007531DF">
      <w:pPr>
        <w:pStyle w:val="Heading4"/>
        <w:rPr>
          <w:rFonts w:ascii="Times New Roman" w:hAnsi="Times New Roman" w:cs="Times New Roman"/>
          <w:color w:val="auto"/>
        </w:rPr>
      </w:pPr>
      <w:bookmarkStart w:id="52" w:name="_Toc229492454"/>
      <w:r w:rsidRPr="001E3C20">
        <w:rPr>
          <w:rFonts w:ascii="Times New Roman" w:hAnsi="Times New Roman" w:cs="Times New Roman"/>
          <w:color w:val="auto"/>
        </w:rPr>
        <w:t>Table 4.8: Students’ Enrollment Decision Results</w:t>
      </w:r>
      <w:bookmarkEnd w:id="52"/>
    </w:p>
    <w:tbl>
      <w:tblPr>
        <w:tblStyle w:val="TableGrid1"/>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357"/>
        <w:gridCol w:w="874"/>
        <w:gridCol w:w="975"/>
        <w:gridCol w:w="975"/>
        <w:gridCol w:w="1020"/>
        <w:gridCol w:w="975"/>
        <w:gridCol w:w="705"/>
        <w:gridCol w:w="759"/>
      </w:tblGrid>
      <w:tr w:rsidR="001E3C20" w:rsidRPr="001E3C20" w:rsidTr="007531DF">
        <w:tc>
          <w:tcPr>
            <w:tcW w:w="1364" w:type="pct"/>
          </w:tcPr>
          <w:p w:rsidR="007531DF" w:rsidRPr="001E3C20" w:rsidRDefault="007531DF" w:rsidP="007531DF">
            <w:pPr>
              <w:spacing w:before="0" w:after="0" w:line="360" w:lineRule="auto"/>
              <w:rPr>
                <w:b/>
                <w:sz w:val="20"/>
                <w:szCs w:val="20"/>
              </w:rPr>
            </w:pPr>
            <w:r w:rsidRPr="001E3C20">
              <w:rPr>
                <w:b/>
                <w:sz w:val="20"/>
                <w:szCs w:val="20"/>
              </w:rPr>
              <w:t>Statement</w:t>
            </w:r>
          </w:p>
        </w:tc>
        <w:tc>
          <w:tcPr>
            <w:tcW w:w="506" w:type="pct"/>
          </w:tcPr>
          <w:p w:rsidR="007531DF" w:rsidRPr="001E3C20" w:rsidRDefault="007531DF" w:rsidP="007531DF">
            <w:pPr>
              <w:spacing w:before="0" w:after="0" w:line="360" w:lineRule="auto"/>
              <w:rPr>
                <w:b/>
                <w:sz w:val="20"/>
                <w:szCs w:val="20"/>
              </w:rPr>
            </w:pPr>
            <w:r w:rsidRPr="001E3C20">
              <w:rPr>
                <w:b/>
                <w:sz w:val="20"/>
                <w:szCs w:val="20"/>
              </w:rPr>
              <w:t>1 (SD)</w:t>
            </w:r>
          </w:p>
        </w:tc>
        <w:tc>
          <w:tcPr>
            <w:tcW w:w="564" w:type="pct"/>
          </w:tcPr>
          <w:p w:rsidR="007531DF" w:rsidRPr="001E3C20" w:rsidRDefault="007531DF" w:rsidP="007531DF">
            <w:pPr>
              <w:spacing w:before="0" w:after="0" w:line="360" w:lineRule="auto"/>
              <w:rPr>
                <w:b/>
                <w:sz w:val="20"/>
                <w:szCs w:val="20"/>
              </w:rPr>
            </w:pPr>
            <w:r w:rsidRPr="001E3C20">
              <w:rPr>
                <w:b/>
                <w:sz w:val="20"/>
                <w:szCs w:val="20"/>
              </w:rPr>
              <w:t>2 (D)</w:t>
            </w:r>
          </w:p>
        </w:tc>
        <w:tc>
          <w:tcPr>
            <w:tcW w:w="564" w:type="pct"/>
          </w:tcPr>
          <w:p w:rsidR="007531DF" w:rsidRPr="001E3C20" w:rsidRDefault="007531DF" w:rsidP="007531DF">
            <w:pPr>
              <w:spacing w:before="0" w:after="0" w:line="360" w:lineRule="auto"/>
              <w:rPr>
                <w:b/>
                <w:sz w:val="20"/>
                <w:szCs w:val="20"/>
              </w:rPr>
            </w:pPr>
            <w:r w:rsidRPr="001E3C20">
              <w:rPr>
                <w:b/>
                <w:sz w:val="20"/>
                <w:szCs w:val="20"/>
              </w:rPr>
              <w:t>3 (N)</w:t>
            </w:r>
          </w:p>
        </w:tc>
        <w:tc>
          <w:tcPr>
            <w:tcW w:w="590" w:type="pct"/>
          </w:tcPr>
          <w:p w:rsidR="007531DF" w:rsidRPr="001E3C20" w:rsidRDefault="007531DF" w:rsidP="007531DF">
            <w:pPr>
              <w:spacing w:before="0" w:after="0" w:line="360" w:lineRule="auto"/>
              <w:rPr>
                <w:b/>
                <w:sz w:val="20"/>
                <w:szCs w:val="20"/>
              </w:rPr>
            </w:pPr>
            <w:r w:rsidRPr="001E3C20">
              <w:rPr>
                <w:b/>
                <w:sz w:val="20"/>
                <w:szCs w:val="20"/>
              </w:rPr>
              <w:t>4 (A)</w:t>
            </w:r>
          </w:p>
        </w:tc>
        <w:tc>
          <w:tcPr>
            <w:tcW w:w="564" w:type="pct"/>
          </w:tcPr>
          <w:p w:rsidR="007531DF" w:rsidRPr="001E3C20" w:rsidRDefault="007531DF" w:rsidP="007531DF">
            <w:pPr>
              <w:spacing w:before="0" w:after="0" w:line="360" w:lineRule="auto"/>
              <w:rPr>
                <w:b/>
                <w:sz w:val="20"/>
                <w:szCs w:val="20"/>
              </w:rPr>
            </w:pPr>
            <w:r w:rsidRPr="001E3C20">
              <w:rPr>
                <w:b/>
                <w:sz w:val="20"/>
                <w:szCs w:val="20"/>
              </w:rPr>
              <w:t>5 (SA)</w:t>
            </w:r>
          </w:p>
        </w:tc>
        <w:tc>
          <w:tcPr>
            <w:tcW w:w="408" w:type="pct"/>
          </w:tcPr>
          <w:p w:rsidR="007531DF" w:rsidRPr="001E3C20" w:rsidRDefault="007531DF" w:rsidP="007531DF">
            <w:pPr>
              <w:spacing w:before="0" w:after="0" w:line="360" w:lineRule="auto"/>
              <w:rPr>
                <w:b/>
                <w:sz w:val="20"/>
                <w:szCs w:val="20"/>
              </w:rPr>
            </w:pPr>
            <w:r w:rsidRPr="001E3C20">
              <w:rPr>
                <w:b/>
                <w:sz w:val="20"/>
                <w:szCs w:val="20"/>
              </w:rPr>
              <w:t>Mean</w:t>
            </w:r>
          </w:p>
        </w:tc>
        <w:tc>
          <w:tcPr>
            <w:tcW w:w="439" w:type="pct"/>
          </w:tcPr>
          <w:p w:rsidR="007531DF" w:rsidRPr="001E3C20" w:rsidRDefault="007531DF" w:rsidP="007531DF">
            <w:pPr>
              <w:spacing w:before="0" w:after="0" w:line="360" w:lineRule="auto"/>
              <w:rPr>
                <w:b/>
                <w:sz w:val="20"/>
                <w:szCs w:val="20"/>
              </w:rPr>
            </w:pPr>
            <w:r w:rsidRPr="001E3C20">
              <w:rPr>
                <w:b/>
                <w:sz w:val="20"/>
                <w:szCs w:val="20"/>
              </w:rPr>
              <w:t>Std. Dev.</w:t>
            </w:r>
          </w:p>
        </w:tc>
      </w:tr>
      <w:tr w:rsidR="007531DF" w:rsidRPr="001E3C20" w:rsidTr="007531DF">
        <w:tc>
          <w:tcPr>
            <w:tcW w:w="1364" w:type="pct"/>
          </w:tcPr>
          <w:p w:rsidR="007531DF" w:rsidRPr="001E3C20" w:rsidRDefault="007531DF" w:rsidP="007531DF">
            <w:pPr>
              <w:spacing w:before="0" w:after="0" w:line="360" w:lineRule="auto"/>
              <w:rPr>
                <w:sz w:val="20"/>
                <w:szCs w:val="20"/>
              </w:rPr>
            </w:pPr>
            <w:r w:rsidRPr="001E3C20">
              <w:rPr>
                <w:sz w:val="20"/>
                <w:szCs w:val="20"/>
              </w:rPr>
              <w:t>Lecturer expertise influences decision</w:t>
            </w:r>
          </w:p>
        </w:tc>
        <w:tc>
          <w:tcPr>
            <w:tcW w:w="506" w:type="pct"/>
          </w:tcPr>
          <w:p w:rsidR="007531DF" w:rsidRPr="001E3C20" w:rsidRDefault="007531DF" w:rsidP="007531DF">
            <w:pPr>
              <w:spacing w:before="0" w:after="0" w:line="360" w:lineRule="auto"/>
              <w:rPr>
                <w:sz w:val="20"/>
                <w:szCs w:val="20"/>
              </w:rPr>
            </w:pPr>
            <w:r w:rsidRPr="001E3C20">
              <w:rPr>
                <w:sz w:val="20"/>
                <w:szCs w:val="20"/>
              </w:rPr>
              <w:t>15 (5.1%)</w:t>
            </w:r>
          </w:p>
        </w:tc>
        <w:tc>
          <w:tcPr>
            <w:tcW w:w="564" w:type="pct"/>
          </w:tcPr>
          <w:p w:rsidR="007531DF" w:rsidRPr="001E3C20" w:rsidRDefault="007531DF" w:rsidP="007531DF">
            <w:pPr>
              <w:spacing w:before="0" w:after="0" w:line="360" w:lineRule="auto"/>
              <w:rPr>
                <w:sz w:val="20"/>
                <w:szCs w:val="20"/>
              </w:rPr>
            </w:pPr>
            <w:r w:rsidRPr="001E3C20">
              <w:rPr>
                <w:sz w:val="20"/>
                <w:szCs w:val="20"/>
              </w:rPr>
              <w:t>42 (14.2%)</w:t>
            </w:r>
          </w:p>
        </w:tc>
        <w:tc>
          <w:tcPr>
            <w:tcW w:w="564" w:type="pct"/>
          </w:tcPr>
          <w:p w:rsidR="007531DF" w:rsidRPr="001E3C20" w:rsidRDefault="007531DF" w:rsidP="007531DF">
            <w:pPr>
              <w:spacing w:before="0" w:after="0" w:line="360" w:lineRule="auto"/>
              <w:rPr>
                <w:sz w:val="20"/>
                <w:szCs w:val="20"/>
              </w:rPr>
            </w:pPr>
            <w:r w:rsidRPr="001E3C20">
              <w:rPr>
                <w:sz w:val="20"/>
                <w:szCs w:val="20"/>
              </w:rPr>
              <w:t>39 (13.2%)</w:t>
            </w:r>
          </w:p>
        </w:tc>
        <w:tc>
          <w:tcPr>
            <w:tcW w:w="590" w:type="pct"/>
          </w:tcPr>
          <w:p w:rsidR="007531DF" w:rsidRPr="001E3C20" w:rsidRDefault="007531DF" w:rsidP="007531DF">
            <w:pPr>
              <w:spacing w:before="0" w:after="0" w:line="360" w:lineRule="auto"/>
              <w:rPr>
                <w:sz w:val="20"/>
                <w:szCs w:val="20"/>
              </w:rPr>
            </w:pPr>
            <w:r w:rsidRPr="001E3C20">
              <w:rPr>
                <w:sz w:val="20"/>
                <w:szCs w:val="20"/>
              </w:rPr>
              <w:t>164 (55.4%)</w:t>
            </w:r>
          </w:p>
        </w:tc>
        <w:tc>
          <w:tcPr>
            <w:tcW w:w="564" w:type="pct"/>
          </w:tcPr>
          <w:p w:rsidR="007531DF" w:rsidRPr="001E3C20" w:rsidRDefault="007531DF" w:rsidP="007531DF">
            <w:pPr>
              <w:spacing w:before="0" w:after="0" w:line="360" w:lineRule="auto"/>
              <w:rPr>
                <w:sz w:val="20"/>
                <w:szCs w:val="20"/>
              </w:rPr>
            </w:pPr>
            <w:r w:rsidRPr="001E3C20">
              <w:rPr>
                <w:sz w:val="20"/>
                <w:szCs w:val="20"/>
              </w:rPr>
              <w:t>36 (12.2%)</w:t>
            </w:r>
          </w:p>
        </w:tc>
        <w:tc>
          <w:tcPr>
            <w:tcW w:w="408" w:type="pct"/>
          </w:tcPr>
          <w:p w:rsidR="007531DF" w:rsidRPr="001E3C20" w:rsidRDefault="007531DF" w:rsidP="007531DF">
            <w:pPr>
              <w:spacing w:before="0" w:after="0" w:line="360" w:lineRule="auto"/>
              <w:rPr>
                <w:sz w:val="20"/>
                <w:szCs w:val="20"/>
              </w:rPr>
            </w:pPr>
            <w:r w:rsidRPr="001E3C20">
              <w:rPr>
                <w:sz w:val="20"/>
                <w:szCs w:val="20"/>
              </w:rPr>
              <w:t>3.55</w:t>
            </w:r>
          </w:p>
        </w:tc>
        <w:tc>
          <w:tcPr>
            <w:tcW w:w="439" w:type="pct"/>
          </w:tcPr>
          <w:p w:rsidR="007531DF" w:rsidRPr="001E3C20" w:rsidRDefault="007531DF" w:rsidP="007531DF">
            <w:pPr>
              <w:spacing w:before="0" w:after="0" w:line="360" w:lineRule="auto"/>
              <w:rPr>
                <w:sz w:val="20"/>
                <w:szCs w:val="20"/>
              </w:rPr>
            </w:pPr>
            <w:r w:rsidRPr="001E3C20">
              <w:rPr>
                <w:sz w:val="20"/>
                <w:szCs w:val="20"/>
              </w:rPr>
              <w:t>1.04</w:t>
            </w:r>
          </w:p>
        </w:tc>
      </w:tr>
      <w:tr w:rsidR="007531DF" w:rsidRPr="001E3C20" w:rsidTr="007531DF">
        <w:tc>
          <w:tcPr>
            <w:tcW w:w="1364" w:type="pct"/>
          </w:tcPr>
          <w:p w:rsidR="007531DF" w:rsidRPr="001E3C20" w:rsidRDefault="007531DF" w:rsidP="007531DF">
            <w:pPr>
              <w:spacing w:before="0" w:after="0" w:line="360" w:lineRule="auto"/>
              <w:rPr>
                <w:sz w:val="20"/>
                <w:szCs w:val="20"/>
              </w:rPr>
            </w:pPr>
            <w:r w:rsidRPr="001E3C20">
              <w:rPr>
                <w:sz w:val="20"/>
                <w:szCs w:val="20"/>
              </w:rPr>
              <w:t>Qualified faculty increases confidence</w:t>
            </w:r>
          </w:p>
        </w:tc>
        <w:tc>
          <w:tcPr>
            <w:tcW w:w="506" w:type="pct"/>
          </w:tcPr>
          <w:p w:rsidR="007531DF" w:rsidRPr="001E3C20" w:rsidRDefault="007531DF" w:rsidP="007531DF">
            <w:pPr>
              <w:spacing w:before="0" w:after="0" w:line="360" w:lineRule="auto"/>
              <w:rPr>
                <w:sz w:val="20"/>
                <w:szCs w:val="20"/>
              </w:rPr>
            </w:pPr>
            <w:r w:rsidRPr="001E3C20">
              <w:rPr>
                <w:sz w:val="20"/>
                <w:szCs w:val="20"/>
              </w:rPr>
              <w:t>1 (0.3%)</w:t>
            </w:r>
          </w:p>
        </w:tc>
        <w:tc>
          <w:tcPr>
            <w:tcW w:w="564" w:type="pct"/>
          </w:tcPr>
          <w:p w:rsidR="007531DF" w:rsidRPr="001E3C20" w:rsidRDefault="007531DF" w:rsidP="007531DF">
            <w:pPr>
              <w:spacing w:before="0" w:after="0" w:line="360" w:lineRule="auto"/>
              <w:rPr>
                <w:sz w:val="20"/>
                <w:szCs w:val="20"/>
              </w:rPr>
            </w:pPr>
            <w:r w:rsidRPr="001E3C20">
              <w:rPr>
                <w:sz w:val="20"/>
                <w:szCs w:val="20"/>
              </w:rPr>
              <w:t>19 (6.4%)</w:t>
            </w:r>
          </w:p>
        </w:tc>
        <w:tc>
          <w:tcPr>
            <w:tcW w:w="564" w:type="pct"/>
          </w:tcPr>
          <w:p w:rsidR="007531DF" w:rsidRPr="001E3C20" w:rsidRDefault="007531DF" w:rsidP="007531DF">
            <w:pPr>
              <w:spacing w:before="0" w:after="0" w:line="360" w:lineRule="auto"/>
              <w:rPr>
                <w:sz w:val="20"/>
                <w:szCs w:val="20"/>
              </w:rPr>
            </w:pPr>
            <w:r w:rsidRPr="001E3C20">
              <w:rPr>
                <w:sz w:val="20"/>
                <w:szCs w:val="20"/>
              </w:rPr>
              <w:t>76 (25.7%)</w:t>
            </w:r>
          </w:p>
        </w:tc>
        <w:tc>
          <w:tcPr>
            <w:tcW w:w="590" w:type="pct"/>
          </w:tcPr>
          <w:p w:rsidR="007531DF" w:rsidRPr="001E3C20" w:rsidRDefault="007531DF" w:rsidP="007531DF">
            <w:pPr>
              <w:spacing w:before="0" w:after="0" w:line="360" w:lineRule="auto"/>
              <w:rPr>
                <w:sz w:val="20"/>
                <w:szCs w:val="20"/>
              </w:rPr>
            </w:pPr>
            <w:r w:rsidRPr="001E3C20">
              <w:rPr>
                <w:sz w:val="20"/>
                <w:szCs w:val="20"/>
              </w:rPr>
              <w:t>145 (49.0%)</w:t>
            </w:r>
          </w:p>
        </w:tc>
        <w:tc>
          <w:tcPr>
            <w:tcW w:w="564" w:type="pct"/>
          </w:tcPr>
          <w:p w:rsidR="007531DF" w:rsidRPr="001E3C20" w:rsidRDefault="007531DF" w:rsidP="007531DF">
            <w:pPr>
              <w:spacing w:before="0" w:after="0" w:line="360" w:lineRule="auto"/>
              <w:rPr>
                <w:sz w:val="20"/>
                <w:szCs w:val="20"/>
              </w:rPr>
            </w:pPr>
            <w:r w:rsidRPr="001E3C20">
              <w:rPr>
                <w:sz w:val="20"/>
                <w:szCs w:val="20"/>
              </w:rPr>
              <w:t>55 (18.6%)</w:t>
            </w:r>
          </w:p>
        </w:tc>
        <w:tc>
          <w:tcPr>
            <w:tcW w:w="408" w:type="pct"/>
          </w:tcPr>
          <w:p w:rsidR="007531DF" w:rsidRPr="001E3C20" w:rsidRDefault="007531DF" w:rsidP="007531DF">
            <w:pPr>
              <w:spacing w:before="0" w:after="0" w:line="360" w:lineRule="auto"/>
              <w:rPr>
                <w:sz w:val="20"/>
                <w:szCs w:val="20"/>
              </w:rPr>
            </w:pPr>
            <w:r w:rsidRPr="001E3C20">
              <w:rPr>
                <w:sz w:val="20"/>
                <w:szCs w:val="20"/>
              </w:rPr>
              <w:t>3.79</w:t>
            </w:r>
          </w:p>
        </w:tc>
        <w:tc>
          <w:tcPr>
            <w:tcW w:w="439" w:type="pct"/>
          </w:tcPr>
          <w:p w:rsidR="007531DF" w:rsidRPr="001E3C20" w:rsidRDefault="007531DF" w:rsidP="007531DF">
            <w:pPr>
              <w:spacing w:before="0" w:after="0" w:line="360" w:lineRule="auto"/>
              <w:rPr>
                <w:sz w:val="20"/>
                <w:szCs w:val="20"/>
              </w:rPr>
            </w:pPr>
            <w:r w:rsidRPr="001E3C20">
              <w:rPr>
                <w:sz w:val="20"/>
                <w:szCs w:val="20"/>
              </w:rPr>
              <w:t>0.83</w:t>
            </w:r>
          </w:p>
        </w:tc>
      </w:tr>
      <w:tr w:rsidR="007531DF" w:rsidRPr="001E3C20" w:rsidTr="007531DF">
        <w:tc>
          <w:tcPr>
            <w:tcW w:w="1364" w:type="pct"/>
          </w:tcPr>
          <w:p w:rsidR="007531DF" w:rsidRPr="001E3C20" w:rsidRDefault="007531DF" w:rsidP="007531DF">
            <w:pPr>
              <w:spacing w:before="0" w:after="0" w:line="360" w:lineRule="auto"/>
              <w:rPr>
                <w:sz w:val="20"/>
                <w:szCs w:val="20"/>
              </w:rPr>
            </w:pPr>
            <w:r w:rsidRPr="001E3C20">
              <w:rPr>
                <w:sz w:val="20"/>
                <w:szCs w:val="20"/>
              </w:rPr>
              <w:t>Faculty expertise influences preference</w:t>
            </w:r>
          </w:p>
        </w:tc>
        <w:tc>
          <w:tcPr>
            <w:tcW w:w="506" w:type="pct"/>
          </w:tcPr>
          <w:p w:rsidR="007531DF" w:rsidRPr="001E3C20" w:rsidRDefault="007531DF" w:rsidP="007531DF">
            <w:pPr>
              <w:spacing w:before="0" w:after="0" w:line="360" w:lineRule="auto"/>
              <w:rPr>
                <w:sz w:val="20"/>
                <w:szCs w:val="20"/>
              </w:rPr>
            </w:pPr>
            <w:r w:rsidRPr="001E3C20">
              <w:rPr>
                <w:sz w:val="20"/>
                <w:szCs w:val="20"/>
              </w:rPr>
              <w:t>10 (3.4%)</w:t>
            </w:r>
          </w:p>
        </w:tc>
        <w:tc>
          <w:tcPr>
            <w:tcW w:w="564" w:type="pct"/>
          </w:tcPr>
          <w:p w:rsidR="007531DF" w:rsidRPr="001E3C20" w:rsidRDefault="007531DF" w:rsidP="007531DF">
            <w:pPr>
              <w:spacing w:before="0" w:after="0" w:line="360" w:lineRule="auto"/>
              <w:rPr>
                <w:sz w:val="20"/>
                <w:szCs w:val="20"/>
              </w:rPr>
            </w:pPr>
            <w:r w:rsidRPr="001E3C20">
              <w:rPr>
                <w:sz w:val="20"/>
                <w:szCs w:val="20"/>
              </w:rPr>
              <w:t>38 (12.8%)</w:t>
            </w:r>
          </w:p>
        </w:tc>
        <w:tc>
          <w:tcPr>
            <w:tcW w:w="564" w:type="pct"/>
          </w:tcPr>
          <w:p w:rsidR="007531DF" w:rsidRPr="001E3C20" w:rsidRDefault="007531DF" w:rsidP="007531DF">
            <w:pPr>
              <w:spacing w:before="0" w:after="0" w:line="360" w:lineRule="auto"/>
              <w:rPr>
                <w:sz w:val="20"/>
                <w:szCs w:val="20"/>
              </w:rPr>
            </w:pPr>
            <w:r w:rsidRPr="001E3C20">
              <w:rPr>
                <w:sz w:val="20"/>
                <w:szCs w:val="20"/>
              </w:rPr>
              <w:t>65 (22.0%)</w:t>
            </w:r>
          </w:p>
        </w:tc>
        <w:tc>
          <w:tcPr>
            <w:tcW w:w="590" w:type="pct"/>
          </w:tcPr>
          <w:p w:rsidR="007531DF" w:rsidRPr="001E3C20" w:rsidRDefault="007531DF" w:rsidP="007531DF">
            <w:pPr>
              <w:spacing w:before="0" w:after="0" w:line="360" w:lineRule="auto"/>
              <w:rPr>
                <w:sz w:val="20"/>
                <w:szCs w:val="20"/>
              </w:rPr>
            </w:pPr>
            <w:r w:rsidRPr="001E3C20">
              <w:rPr>
                <w:sz w:val="20"/>
                <w:szCs w:val="20"/>
              </w:rPr>
              <w:t>137 (46.3%)</w:t>
            </w:r>
          </w:p>
        </w:tc>
        <w:tc>
          <w:tcPr>
            <w:tcW w:w="564" w:type="pct"/>
          </w:tcPr>
          <w:p w:rsidR="007531DF" w:rsidRPr="001E3C20" w:rsidRDefault="007531DF" w:rsidP="007531DF">
            <w:pPr>
              <w:spacing w:before="0" w:after="0" w:line="360" w:lineRule="auto"/>
              <w:rPr>
                <w:sz w:val="20"/>
                <w:szCs w:val="20"/>
              </w:rPr>
            </w:pPr>
            <w:r w:rsidRPr="001E3C20">
              <w:rPr>
                <w:sz w:val="20"/>
                <w:szCs w:val="20"/>
              </w:rPr>
              <w:t>46 (15.5%)</w:t>
            </w:r>
          </w:p>
        </w:tc>
        <w:tc>
          <w:tcPr>
            <w:tcW w:w="408" w:type="pct"/>
          </w:tcPr>
          <w:p w:rsidR="007531DF" w:rsidRPr="001E3C20" w:rsidRDefault="007531DF" w:rsidP="007531DF">
            <w:pPr>
              <w:spacing w:before="0" w:after="0" w:line="360" w:lineRule="auto"/>
              <w:rPr>
                <w:sz w:val="20"/>
                <w:szCs w:val="20"/>
              </w:rPr>
            </w:pPr>
            <w:r w:rsidRPr="001E3C20">
              <w:rPr>
                <w:sz w:val="20"/>
                <w:szCs w:val="20"/>
              </w:rPr>
              <w:t>3.58</w:t>
            </w:r>
          </w:p>
        </w:tc>
        <w:tc>
          <w:tcPr>
            <w:tcW w:w="439" w:type="pct"/>
          </w:tcPr>
          <w:p w:rsidR="007531DF" w:rsidRPr="001E3C20" w:rsidRDefault="007531DF" w:rsidP="007531DF">
            <w:pPr>
              <w:spacing w:before="0" w:after="0" w:line="360" w:lineRule="auto"/>
              <w:rPr>
                <w:sz w:val="20"/>
                <w:szCs w:val="20"/>
              </w:rPr>
            </w:pPr>
            <w:r w:rsidRPr="001E3C20">
              <w:rPr>
                <w:sz w:val="20"/>
                <w:szCs w:val="20"/>
              </w:rPr>
              <w:t>1.01</w:t>
            </w:r>
          </w:p>
        </w:tc>
      </w:tr>
      <w:tr w:rsidR="007531DF" w:rsidRPr="001E3C20" w:rsidTr="007531DF">
        <w:tc>
          <w:tcPr>
            <w:tcW w:w="1364" w:type="pct"/>
          </w:tcPr>
          <w:p w:rsidR="007531DF" w:rsidRPr="001E3C20" w:rsidRDefault="007531DF" w:rsidP="007531DF">
            <w:pPr>
              <w:spacing w:before="0" w:after="0" w:line="360" w:lineRule="auto"/>
              <w:rPr>
                <w:sz w:val="20"/>
                <w:szCs w:val="20"/>
              </w:rPr>
            </w:pPr>
            <w:r w:rsidRPr="001E3C20">
              <w:rPr>
                <w:sz w:val="20"/>
                <w:szCs w:val="20"/>
              </w:rPr>
              <w:t>Research excellence influences decision</w:t>
            </w:r>
          </w:p>
        </w:tc>
        <w:tc>
          <w:tcPr>
            <w:tcW w:w="506" w:type="pct"/>
          </w:tcPr>
          <w:p w:rsidR="007531DF" w:rsidRPr="001E3C20" w:rsidRDefault="007531DF" w:rsidP="007531DF">
            <w:pPr>
              <w:spacing w:before="0" w:after="0" w:line="360" w:lineRule="auto"/>
              <w:rPr>
                <w:sz w:val="20"/>
                <w:szCs w:val="20"/>
              </w:rPr>
            </w:pPr>
            <w:r w:rsidRPr="001E3C20">
              <w:rPr>
                <w:sz w:val="20"/>
                <w:szCs w:val="20"/>
              </w:rPr>
              <w:t>7 (2.4%)</w:t>
            </w:r>
          </w:p>
        </w:tc>
        <w:tc>
          <w:tcPr>
            <w:tcW w:w="564" w:type="pct"/>
          </w:tcPr>
          <w:p w:rsidR="007531DF" w:rsidRPr="001E3C20" w:rsidRDefault="007531DF" w:rsidP="007531DF">
            <w:pPr>
              <w:spacing w:before="0" w:after="0" w:line="360" w:lineRule="auto"/>
              <w:rPr>
                <w:sz w:val="20"/>
                <w:szCs w:val="20"/>
              </w:rPr>
            </w:pPr>
            <w:r w:rsidRPr="001E3C20">
              <w:rPr>
                <w:sz w:val="20"/>
                <w:szCs w:val="20"/>
              </w:rPr>
              <w:t>20 (6.8%)</w:t>
            </w:r>
          </w:p>
        </w:tc>
        <w:tc>
          <w:tcPr>
            <w:tcW w:w="564" w:type="pct"/>
          </w:tcPr>
          <w:p w:rsidR="007531DF" w:rsidRPr="001E3C20" w:rsidRDefault="007531DF" w:rsidP="007531DF">
            <w:pPr>
              <w:spacing w:before="0" w:after="0" w:line="360" w:lineRule="auto"/>
              <w:rPr>
                <w:sz w:val="20"/>
                <w:szCs w:val="20"/>
              </w:rPr>
            </w:pPr>
            <w:r w:rsidRPr="001E3C20">
              <w:rPr>
                <w:sz w:val="20"/>
                <w:szCs w:val="20"/>
              </w:rPr>
              <w:t>52 (17.6%)</w:t>
            </w:r>
          </w:p>
        </w:tc>
        <w:tc>
          <w:tcPr>
            <w:tcW w:w="590" w:type="pct"/>
          </w:tcPr>
          <w:p w:rsidR="007531DF" w:rsidRPr="001E3C20" w:rsidRDefault="007531DF" w:rsidP="007531DF">
            <w:pPr>
              <w:spacing w:before="0" w:after="0" w:line="360" w:lineRule="auto"/>
              <w:rPr>
                <w:sz w:val="20"/>
                <w:szCs w:val="20"/>
              </w:rPr>
            </w:pPr>
            <w:r w:rsidRPr="001E3C20">
              <w:rPr>
                <w:sz w:val="20"/>
                <w:szCs w:val="20"/>
              </w:rPr>
              <w:t>169 (57.1%)</w:t>
            </w:r>
          </w:p>
        </w:tc>
        <w:tc>
          <w:tcPr>
            <w:tcW w:w="564" w:type="pct"/>
          </w:tcPr>
          <w:p w:rsidR="007531DF" w:rsidRPr="001E3C20" w:rsidRDefault="007531DF" w:rsidP="007531DF">
            <w:pPr>
              <w:spacing w:before="0" w:after="0" w:line="360" w:lineRule="auto"/>
              <w:rPr>
                <w:sz w:val="20"/>
                <w:szCs w:val="20"/>
              </w:rPr>
            </w:pPr>
            <w:r w:rsidRPr="001E3C20">
              <w:rPr>
                <w:sz w:val="20"/>
                <w:szCs w:val="20"/>
              </w:rPr>
              <w:t>48 (16.2%)</w:t>
            </w:r>
          </w:p>
        </w:tc>
        <w:tc>
          <w:tcPr>
            <w:tcW w:w="408" w:type="pct"/>
          </w:tcPr>
          <w:p w:rsidR="007531DF" w:rsidRPr="001E3C20" w:rsidRDefault="007531DF" w:rsidP="007531DF">
            <w:pPr>
              <w:spacing w:before="0" w:after="0" w:line="360" w:lineRule="auto"/>
              <w:rPr>
                <w:sz w:val="20"/>
                <w:szCs w:val="20"/>
              </w:rPr>
            </w:pPr>
            <w:r w:rsidRPr="001E3C20">
              <w:rPr>
                <w:sz w:val="20"/>
                <w:szCs w:val="20"/>
              </w:rPr>
              <w:t>3.78</w:t>
            </w:r>
          </w:p>
        </w:tc>
        <w:tc>
          <w:tcPr>
            <w:tcW w:w="439" w:type="pct"/>
          </w:tcPr>
          <w:p w:rsidR="007531DF" w:rsidRPr="001E3C20" w:rsidRDefault="007531DF" w:rsidP="007531DF">
            <w:pPr>
              <w:spacing w:before="0" w:after="0" w:line="360" w:lineRule="auto"/>
              <w:rPr>
                <w:sz w:val="20"/>
                <w:szCs w:val="20"/>
              </w:rPr>
            </w:pPr>
            <w:r w:rsidRPr="001E3C20">
              <w:rPr>
                <w:sz w:val="20"/>
                <w:szCs w:val="20"/>
              </w:rPr>
              <w:t>0.88</w:t>
            </w:r>
          </w:p>
        </w:tc>
      </w:tr>
      <w:tr w:rsidR="007531DF" w:rsidRPr="001E3C20" w:rsidTr="007531DF">
        <w:tc>
          <w:tcPr>
            <w:tcW w:w="1364" w:type="pct"/>
          </w:tcPr>
          <w:p w:rsidR="007531DF" w:rsidRPr="001E3C20" w:rsidRDefault="007531DF" w:rsidP="007531DF">
            <w:pPr>
              <w:spacing w:before="0" w:after="0" w:line="360" w:lineRule="auto"/>
              <w:rPr>
                <w:sz w:val="20"/>
                <w:szCs w:val="20"/>
              </w:rPr>
            </w:pPr>
            <w:r w:rsidRPr="001E3C20">
              <w:rPr>
                <w:sz w:val="20"/>
                <w:szCs w:val="20"/>
              </w:rPr>
              <w:t>Research capability influences choice</w:t>
            </w:r>
          </w:p>
        </w:tc>
        <w:tc>
          <w:tcPr>
            <w:tcW w:w="506" w:type="pct"/>
          </w:tcPr>
          <w:p w:rsidR="007531DF" w:rsidRPr="001E3C20" w:rsidRDefault="007531DF" w:rsidP="007531DF">
            <w:pPr>
              <w:spacing w:before="0" w:after="0" w:line="360" w:lineRule="auto"/>
              <w:rPr>
                <w:sz w:val="20"/>
                <w:szCs w:val="20"/>
              </w:rPr>
            </w:pPr>
            <w:r w:rsidRPr="001E3C20">
              <w:rPr>
                <w:sz w:val="20"/>
                <w:szCs w:val="20"/>
              </w:rPr>
              <w:t>4 (1.4%)</w:t>
            </w:r>
          </w:p>
        </w:tc>
        <w:tc>
          <w:tcPr>
            <w:tcW w:w="564" w:type="pct"/>
          </w:tcPr>
          <w:p w:rsidR="007531DF" w:rsidRPr="001E3C20" w:rsidRDefault="007531DF" w:rsidP="007531DF">
            <w:pPr>
              <w:spacing w:before="0" w:after="0" w:line="360" w:lineRule="auto"/>
              <w:rPr>
                <w:sz w:val="20"/>
                <w:szCs w:val="20"/>
              </w:rPr>
            </w:pPr>
            <w:r w:rsidRPr="001E3C20">
              <w:rPr>
                <w:sz w:val="20"/>
                <w:szCs w:val="20"/>
              </w:rPr>
              <w:t>38 (12.8%)</w:t>
            </w:r>
          </w:p>
        </w:tc>
        <w:tc>
          <w:tcPr>
            <w:tcW w:w="564" w:type="pct"/>
          </w:tcPr>
          <w:p w:rsidR="007531DF" w:rsidRPr="001E3C20" w:rsidRDefault="007531DF" w:rsidP="007531DF">
            <w:pPr>
              <w:spacing w:before="0" w:after="0" w:line="360" w:lineRule="auto"/>
              <w:rPr>
                <w:sz w:val="20"/>
                <w:szCs w:val="20"/>
              </w:rPr>
            </w:pPr>
            <w:r w:rsidRPr="001E3C20">
              <w:rPr>
                <w:sz w:val="20"/>
                <w:szCs w:val="20"/>
              </w:rPr>
              <w:t>39 (13.2%)</w:t>
            </w:r>
          </w:p>
        </w:tc>
        <w:tc>
          <w:tcPr>
            <w:tcW w:w="590" w:type="pct"/>
          </w:tcPr>
          <w:p w:rsidR="007531DF" w:rsidRPr="001E3C20" w:rsidRDefault="007531DF" w:rsidP="007531DF">
            <w:pPr>
              <w:spacing w:before="0" w:after="0" w:line="360" w:lineRule="auto"/>
              <w:rPr>
                <w:sz w:val="20"/>
                <w:szCs w:val="20"/>
              </w:rPr>
            </w:pPr>
            <w:r w:rsidRPr="001E3C20">
              <w:rPr>
                <w:sz w:val="20"/>
                <w:szCs w:val="20"/>
              </w:rPr>
              <w:t>152 (51.4%)</w:t>
            </w:r>
          </w:p>
        </w:tc>
        <w:tc>
          <w:tcPr>
            <w:tcW w:w="564" w:type="pct"/>
          </w:tcPr>
          <w:p w:rsidR="007531DF" w:rsidRPr="001E3C20" w:rsidRDefault="007531DF" w:rsidP="007531DF">
            <w:pPr>
              <w:spacing w:before="0" w:after="0" w:line="360" w:lineRule="auto"/>
              <w:rPr>
                <w:sz w:val="20"/>
                <w:szCs w:val="20"/>
              </w:rPr>
            </w:pPr>
            <w:r w:rsidRPr="001E3C20">
              <w:rPr>
                <w:sz w:val="20"/>
                <w:szCs w:val="20"/>
              </w:rPr>
              <w:t>63 (21.3%)</w:t>
            </w:r>
          </w:p>
        </w:tc>
        <w:tc>
          <w:tcPr>
            <w:tcW w:w="408" w:type="pct"/>
          </w:tcPr>
          <w:p w:rsidR="007531DF" w:rsidRPr="001E3C20" w:rsidRDefault="007531DF" w:rsidP="007531DF">
            <w:pPr>
              <w:spacing w:before="0" w:after="0" w:line="360" w:lineRule="auto"/>
              <w:rPr>
                <w:sz w:val="20"/>
                <w:szCs w:val="20"/>
              </w:rPr>
            </w:pPr>
            <w:r w:rsidRPr="001E3C20">
              <w:rPr>
                <w:sz w:val="20"/>
                <w:szCs w:val="20"/>
              </w:rPr>
              <w:t>3.78</w:t>
            </w:r>
          </w:p>
        </w:tc>
        <w:tc>
          <w:tcPr>
            <w:tcW w:w="439" w:type="pct"/>
          </w:tcPr>
          <w:p w:rsidR="007531DF" w:rsidRPr="001E3C20" w:rsidRDefault="007531DF" w:rsidP="007531DF">
            <w:pPr>
              <w:spacing w:before="0" w:after="0" w:line="360" w:lineRule="auto"/>
              <w:rPr>
                <w:sz w:val="20"/>
                <w:szCs w:val="20"/>
              </w:rPr>
            </w:pPr>
            <w:r w:rsidRPr="001E3C20">
              <w:rPr>
                <w:sz w:val="20"/>
                <w:szCs w:val="20"/>
              </w:rPr>
              <w:t>0.97</w:t>
            </w:r>
          </w:p>
        </w:tc>
      </w:tr>
      <w:tr w:rsidR="007531DF" w:rsidRPr="001E3C20" w:rsidTr="007531DF">
        <w:tc>
          <w:tcPr>
            <w:tcW w:w="1364" w:type="pct"/>
          </w:tcPr>
          <w:p w:rsidR="007531DF" w:rsidRPr="001E3C20" w:rsidRDefault="007531DF" w:rsidP="007531DF">
            <w:pPr>
              <w:spacing w:before="0" w:after="0" w:line="360" w:lineRule="auto"/>
              <w:rPr>
                <w:sz w:val="20"/>
                <w:szCs w:val="20"/>
              </w:rPr>
            </w:pPr>
            <w:r w:rsidRPr="001E3C20">
              <w:rPr>
                <w:sz w:val="20"/>
                <w:szCs w:val="20"/>
              </w:rPr>
              <w:t>Institutional reputation influences preference</w:t>
            </w:r>
          </w:p>
        </w:tc>
        <w:tc>
          <w:tcPr>
            <w:tcW w:w="506" w:type="pct"/>
          </w:tcPr>
          <w:p w:rsidR="007531DF" w:rsidRPr="001E3C20" w:rsidRDefault="007531DF" w:rsidP="007531DF">
            <w:pPr>
              <w:spacing w:before="0" w:after="0" w:line="360" w:lineRule="auto"/>
              <w:rPr>
                <w:sz w:val="20"/>
                <w:szCs w:val="20"/>
              </w:rPr>
            </w:pPr>
            <w:r w:rsidRPr="001E3C20">
              <w:rPr>
                <w:sz w:val="20"/>
                <w:szCs w:val="20"/>
              </w:rPr>
              <w:t>9 (3.0%)</w:t>
            </w:r>
          </w:p>
        </w:tc>
        <w:tc>
          <w:tcPr>
            <w:tcW w:w="564" w:type="pct"/>
          </w:tcPr>
          <w:p w:rsidR="007531DF" w:rsidRPr="001E3C20" w:rsidRDefault="007531DF" w:rsidP="007531DF">
            <w:pPr>
              <w:spacing w:before="0" w:after="0" w:line="360" w:lineRule="auto"/>
              <w:rPr>
                <w:sz w:val="20"/>
                <w:szCs w:val="20"/>
              </w:rPr>
            </w:pPr>
            <w:r w:rsidRPr="001E3C20">
              <w:rPr>
                <w:sz w:val="20"/>
                <w:szCs w:val="20"/>
              </w:rPr>
              <w:t>8 (2.7%)</w:t>
            </w:r>
          </w:p>
        </w:tc>
        <w:tc>
          <w:tcPr>
            <w:tcW w:w="564" w:type="pct"/>
          </w:tcPr>
          <w:p w:rsidR="007531DF" w:rsidRPr="001E3C20" w:rsidRDefault="007531DF" w:rsidP="007531DF">
            <w:pPr>
              <w:spacing w:before="0" w:after="0" w:line="360" w:lineRule="auto"/>
              <w:rPr>
                <w:sz w:val="20"/>
                <w:szCs w:val="20"/>
              </w:rPr>
            </w:pPr>
            <w:r w:rsidRPr="001E3C20">
              <w:rPr>
                <w:sz w:val="20"/>
                <w:szCs w:val="20"/>
              </w:rPr>
              <w:t>37 (12.5%)</w:t>
            </w:r>
          </w:p>
        </w:tc>
        <w:tc>
          <w:tcPr>
            <w:tcW w:w="590" w:type="pct"/>
          </w:tcPr>
          <w:p w:rsidR="007531DF" w:rsidRPr="001E3C20" w:rsidRDefault="007531DF" w:rsidP="007531DF">
            <w:pPr>
              <w:spacing w:before="0" w:after="0" w:line="360" w:lineRule="auto"/>
              <w:rPr>
                <w:sz w:val="20"/>
                <w:szCs w:val="20"/>
              </w:rPr>
            </w:pPr>
            <w:r w:rsidRPr="001E3C20">
              <w:rPr>
                <w:sz w:val="20"/>
                <w:szCs w:val="20"/>
              </w:rPr>
              <w:t>179 (60.5%)</w:t>
            </w:r>
          </w:p>
        </w:tc>
        <w:tc>
          <w:tcPr>
            <w:tcW w:w="564" w:type="pct"/>
          </w:tcPr>
          <w:p w:rsidR="007531DF" w:rsidRPr="001E3C20" w:rsidRDefault="007531DF" w:rsidP="007531DF">
            <w:pPr>
              <w:spacing w:before="0" w:after="0" w:line="360" w:lineRule="auto"/>
              <w:rPr>
                <w:sz w:val="20"/>
                <w:szCs w:val="20"/>
              </w:rPr>
            </w:pPr>
            <w:r w:rsidRPr="001E3C20">
              <w:rPr>
                <w:sz w:val="20"/>
                <w:szCs w:val="20"/>
              </w:rPr>
              <w:t>63 (21.3%)</w:t>
            </w:r>
          </w:p>
        </w:tc>
        <w:tc>
          <w:tcPr>
            <w:tcW w:w="408" w:type="pct"/>
          </w:tcPr>
          <w:p w:rsidR="007531DF" w:rsidRPr="001E3C20" w:rsidRDefault="007531DF" w:rsidP="007531DF">
            <w:pPr>
              <w:spacing w:before="0" w:after="0" w:line="360" w:lineRule="auto"/>
              <w:rPr>
                <w:sz w:val="20"/>
                <w:szCs w:val="20"/>
              </w:rPr>
            </w:pPr>
            <w:r w:rsidRPr="001E3C20">
              <w:rPr>
                <w:sz w:val="20"/>
                <w:szCs w:val="20"/>
              </w:rPr>
              <w:t>3.94</w:t>
            </w:r>
          </w:p>
        </w:tc>
        <w:tc>
          <w:tcPr>
            <w:tcW w:w="439" w:type="pct"/>
          </w:tcPr>
          <w:p w:rsidR="007531DF" w:rsidRPr="001E3C20" w:rsidRDefault="007531DF" w:rsidP="007531DF">
            <w:pPr>
              <w:spacing w:before="0" w:after="0" w:line="360" w:lineRule="auto"/>
              <w:rPr>
                <w:sz w:val="20"/>
                <w:szCs w:val="20"/>
              </w:rPr>
            </w:pPr>
            <w:r w:rsidRPr="001E3C20">
              <w:rPr>
                <w:sz w:val="20"/>
                <w:szCs w:val="20"/>
              </w:rPr>
              <w:t>0.85</w:t>
            </w:r>
          </w:p>
        </w:tc>
      </w:tr>
      <w:tr w:rsidR="007531DF" w:rsidRPr="001E3C20" w:rsidTr="007531DF">
        <w:tc>
          <w:tcPr>
            <w:tcW w:w="1364" w:type="pct"/>
          </w:tcPr>
          <w:p w:rsidR="007531DF" w:rsidRPr="001E3C20" w:rsidRDefault="007531DF" w:rsidP="007531DF">
            <w:pPr>
              <w:spacing w:before="0" w:after="0" w:line="360" w:lineRule="auto"/>
              <w:rPr>
                <w:sz w:val="20"/>
                <w:szCs w:val="20"/>
              </w:rPr>
            </w:pPr>
            <w:r w:rsidRPr="001E3C20">
              <w:rPr>
                <w:sz w:val="20"/>
                <w:szCs w:val="20"/>
              </w:rPr>
              <w:lastRenderedPageBreak/>
              <w:t>Average</w:t>
            </w:r>
          </w:p>
        </w:tc>
        <w:tc>
          <w:tcPr>
            <w:tcW w:w="506" w:type="pct"/>
          </w:tcPr>
          <w:p w:rsidR="007531DF" w:rsidRPr="001E3C20" w:rsidRDefault="007531DF" w:rsidP="007531DF">
            <w:pPr>
              <w:spacing w:before="0" w:after="0" w:line="360" w:lineRule="auto"/>
              <w:rPr>
                <w:sz w:val="20"/>
                <w:szCs w:val="20"/>
              </w:rPr>
            </w:pPr>
          </w:p>
        </w:tc>
        <w:tc>
          <w:tcPr>
            <w:tcW w:w="564" w:type="pct"/>
          </w:tcPr>
          <w:p w:rsidR="007531DF" w:rsidRPr="001E3C20" w:rsidRDefault="007531DF" w:rsidP="007531DF">
            <w:pPr>
              <w:spacing w:before="0" w:after="0" w:line="360" w:lineRule="auto"/>
              <w:rPr>
                <w:sz w:val="20"/>
                <w:szCs w:val="20"/>
              </w:rPr>
            </w:pPr>
          </w:p>
        </w:tc>
        <w:tc>
          <w:tcPr>
            <w:tcW w:w="564" w:type="pct"/>
          </w:tcPr>
          <w:p w:rsidR="007531DF" w:rsidRPr="001E3C20" w:rsidRDefault="007531DF" w:rsidP="007531DF">
            <w:pPr>
              <w:spacing w:before="0" w:after="0" w:line="360" w:lineRule="auto"/>
              <w:rPr>
                <w:sz w:val="20"/>
                <w:szCs w:val="20"/>
              </w:rPr>
            </w:pPr>
          </w:p>
        </w:tc>
        <w:tc>
          <w:tcPr>
            <w:tcW w:w="590" w:type="pct"/>
          </w:tcPr>
          <w:p w:rsidR="007531DF" w:rsidRPr="001E3C20" w:rsidRDefault="007531DF" w:rsidP="007531DF">
            <w:pPr>
              <w:spacing w:before="0" w:after="0" w:line="360" w:lineRule="auto"/>
              <w:rPr>
                <w:sz w:val="20"/>
                <w:szCs w:val="20"/>
              </w:rPr>
            </w:pPr>
          </w:p>
        </w:tc>
        <w:tc>
          <w:tcPr>
            <w:tcW w:w="564" w:type="pct"/>
          </w:tcPr>
          <w:p w:rsidR="007531DF" w:rsidRPr="001E3C20" w:rsidRDefault="007531DF" w:rsidP="007531DF">
            <w:pPr>
              <w:spacing w:before="0" w:after="0" w:line="360" w:lineRule="auto"/>
              <w:rPr>
                <w:sz w:val="20"/>
                <w:szCs w:val="20"/>
              </w:rPr>
            </w:pPr>
          </w:p>
        </w:tc>
        <w:tc>
          <w:tcPr>
            <w:tcW w:w="408" w:type="pct"/>
          </w:tcPr>
          <w:p w:rsidR="007531DF" w:rsidRPr="001E3C20" w:rsidRDefault="007531DF" w:rsidP="007531DF">
            <w:pPr>
              <w:spacing w:before="0" w:after="0" w:line="360" w:lineRule="auto"/>
              <w:rPr>
                <w:sz w:val="20"/>
                <w:szCs w:val="20"/>
              </w:rPr>
            </w:pPr>
            <w:r w:rsidRPr="001E3C20">
              <w:rPr>
                <w:sz w:val="20"/>
                <w:szCs w:val="20"/>
              </w:rPr>
              <w:t>3.74</w:t>
            </w:r>
          </w:p>
        </w:tc>
        <w:tc>
          <w:tcPr>
            <w:tcW w:w="439" w:type="pct"/>
          </w:tcPr>
          <w:p w:rsidR="007531DF" w:rsidRPr="001E3C20" w:rsidRDefault="007531DF" w:rsidP="007531DF">
            <w:pPr>
              <w:spacing w:before="0" w:after="0" w:line="360" w:lineRule="auto"/>
              <w:rPr>
                <w:sz w:val="20"/>
                <w:szCs w:val="20"/>
              </w:rPr>
            </w:pPr>
            <w:r w:rsidRPr="001E3C20">
              <w:rPr>
                <w:sz w:val="20"/>
                <w:szCs w:val="20"/>
              </w:rPr>
              <w:t>0.64</w:t>
            </w:r>
          </w:p>
        </w:tc>
      </w:tr>
    </w:tbl>
    <w:p w:rsidR="007531DF" w:rsidRPr="001E3C20" w:rsidRDefault="007531DF" w:rsidP="007531DF">
      <w:pPr>
        <w:rPr>
          <w:rFonts w:cs="Times New Roman"/>
        </w:rPr>
      </w:pPr>
      <w:r w:rsidRPr="001E3C20">
        <w:rPr>
          <w:rFonts w:cs="Times New Roman"/>
        </w:rPr>
        <w:t xml:space="preserve">The first item indicates that 55.4% of respondents agreed that lecturer expertise influences their enrollment decision (M = 3.55, SD = 1.04), suggesting that perceived teaching competence is a meaningful but not singular determinant of university choice. The relatively higher dispersion indicates variation in how students access and evaluate information about academic staff prior to enrollment. This implies that lecturer expertise operates as a partially indirect quality signal, rather than a fully observable attribute at the decision stage. This finding aligns with Afrin (2020), who established that perceived academic strength and institutional branding significantly shape student trust and institutional selection, and </w:t>
      </w:r>
      <w:proofErr w:type="spellStart"/>
      <w:r w:rsidRPr="001E3C20">
        <w:rPr>
          <w:rFonts w:cs="Times New Roman"/>
        </w:rPr>
        <w:t>Nakalyakaani</w:t>
      </w:r>
      <w:proofErr w:type="spellEnd"/>
      <w:r w:rsidRPr="001E3C20">
        <w:rPr>
          <w:rFonts w:cs="Times New Roman"/>
        </w:rPr>
        <w:t xml:space="preserve"> and </w:t>
      </w:r>
      <w:proofErr w:type="spellStart"/>
      <w:r w:rsidRPr="001E3C20">
        <w:rPr>
          <w:rFonts w:cs="Times New Roman"/>
        </w:rPr>
        <w:t>Bisaso</w:t>
      </w:r>
      <w:proofErr w:type="spellEnd"/>
      <w:r w:rsidRPr="001E3C20">
        <w:rPr>
          <w:rFonts w:cs="Times New Roman"/>
        </w:rPr>
        <w:t xml:space="preserve"> (2020), who observed that academic attributes influence enrolment decisions but often interact with broader institutional factors.</w:t>
      </w:r>
    </w:p>
    <w:p w:rsidR="007531DF" w:rsidRPr="001E3C20" w:rsidRDefault="007531DF" w:rsidP="007531DF">
      <w:pPr>
        <w:rPr>
          <w:rFonts w:cs="Times New Roman"/>
        </w:rPr>
      </w:pPr>
      <w:r w:rsidRPr="001E3C20">
        <w:rPr>
          <w:rFonts w:cs="Times New Roman"/>
        </w:rPr>
        <w:t>The interview data strongly corroborate this result by showing that students associate lecturer competence with academic credibility and learning assurance. One respondent noted that “Students today are very conscious of where they study… they look at the reputation of the university, the courses offered, and whether graduates are employable” (P4), while another emphasized that “the main factors include quality of teaching staff and academic excellence” (P17). These narratives confirm that lecturer expertise is interpreted as part of a broader institutional quality signal rather than an isolated determinant of choice.</w:t>
      </w:r>
    </w:p>
    <w:p w:rsidR="007531DF" w:rsidRPr="001E3C20" w:rsidRDefault="007531DF" w:rsidP="007531DF">
      <w:pPr>
        <w:rPr>
          <w:rFonts w:cs="Times New Roman"/>
        </w:rPr>
      </w:pPr>
      <w:r w:rsidRPr="001E3C20">
        <w:rPr>
          <w:rFonts w:cs="Times New Roman"/>
        </w:rPr>
        <w:t xml:space="preserve">The second statement shows that 49.0% of respondents agreed that qualified faculty increases confidence in the university (M = 3.79, SD = 0.83), indicating a stronger and more consistent perception compared to general expertise. The lower standard deviation suggests convergence in the view that formal academic qualifications serve as credible signals of institutional quality. This finding is consistent with </w:t>
      </w:r>
      <w:proofErr w:type="spellStart"/>
      <w:r w:rsidRPr="001E3C20">
        <w:rPr>
          <w:rFonts w:cs="Times New Roman"/>
        </w:rPr>
        <w:t>Yamin</w:t>
      </w:r>
      <w:proofErr w:type="spellEnd"/>
      <w:r w:rsidRPr="001E3C20">
        <w:rPr>
          <w:rFonts w:cs="Times New Roman"/>
        </w:rPr>
        <w:t xml:space="preserve"> (2024), who identified faculty reputation as a central determinant of student enrolment decisions, and Al </w:t>
      </w:r>
      <w:proofErr w:type="spellStart"/>
      <w:r w:rsidRPr="001E3C20">
        <w:rPr>
          <w:rFonts w:cs="Times New Roman"/>
        </w:rPr>
        <w:t>Samman</w:t>
      </w:r>
      <w:proofErr w:type="spellEnd"/>
      <w:r w:rsidRPr="001E3C20">
        <w:rPr>
          <w:rFonts w:cs="Times New Roman"/>
        </w:rPr>
        <w:t xml:space="preserve"> and Al-</w:t>
      </w:r>
      <w:proofErr w:type="spellStart"/>
      <w:r w:rsidRPr="001E3C20">
        <w:rPr>
          <w:rFonts w:cs="Times New Roman"/>
        </w:rPr>
        <w:t>Ethawi</w:t>
      </w:r>
      <w:proofErr w:type="spellEnd"/>
      <w:r w:rsidRPr="001E3C20">
        <w:rPr>
          <w:rFonts w:cs="Times New Roman"/>
        </w:rPr>
        <w:t xml:space="preserve"> (2023), who emphasized that faculty credentials and academic strength significantly enhance institutional attractiveness in higher education markets.</w:t>
      </w:r>
    </w:p>
    <w:p w:rsidR="007531DF" w:rsidRPr="001E3C20" w:rsidRDefault="007531DF" w:rsidP="007531DF">
      <w:pPr>
        <w:rPr>
          <w:rFonts w:cs="Times New Roman"/>
        </w:rPr>
      </w:pPr>
      <w:r w:rsidRPr="001E3C20">
        <w:rPr>
          <w:rFonts w:cs="Times New Roman"/>
        </w:rPr>
        <w:lastRenderedPageBreak/>
        <w:t>Interview findings reinforce this result by emphasizing that qualifications function as trust-building mechanisms. One respondent stated that “qualified lecturers give students confidence that they will receive quality education and proper academic guidance” (P11), while another added that “research-active faculty and strong academic departments enhance institutional reputation” (P2). The convergence of findings demonstrates that faculty qualifications operate as formalized credibility signals that reduce uncertainty and strengthen institutional trust during decision-making.</w:t>
      </w:r>
    </w:p>
    <w:p w:rsidR="007531DF" w:rsidRPr="001E3C20" w:rsidRDefault="007531DF" w:rsidP="007531DF">
      <w:pPr>
        <w:rPr>
          <w:rFonts w:cs="Times New Roman"/>
        </w:rPr>
      </w:pPr>
      <w:r w:rsidRPr="001E3C20">
        <w:rPr>
          <w:rFonts w:cs="Times New Roman"/>
        </w:rPr>
        <w:t xml:space="preserve">The third item reveals that 46.3% of respondents agreed that faculty expertise influences their preference (M = 3.58, SD = 1.01), indicating moderate influence within the preference formation stage. The relatively wider dispersion suggests that faculty expertise is evaluated alongside other competing institutional attributes such as program relevance and institutional reputation. This finding is consistent with Afrin (2020), who noted that branding elements interact with contextual factors in shaping student preferences, and </w:t>
      </w:r>
      <w:proofErr w:type="spellStart"/>
      <w:r w:rsidRPr="001E3C20">
        <w:rPr>
          <w:rFonts w:cs="Times New Roman"/>
        </w:rPr>
        <w:t>Nakalyakaani</w:t>
      </w:r>
      <w:proofErr w:type="spellEnd"/>
      <w:r w:rsidRPr="001E3C20">
        <w:rPr>
          <w:rFonts w:cs="Times New Roman"/>
        </w:rPr>
        <w:t xml:space="preserve"> and </w:t>
      </w:r>
      <w:proofErr w:type="spellStart"/>
      <w:r w:rsidRPr="001E3C20">
        <w:rPr>
          <w:rFonts w:cs="Times New Roman"/>
        </w:rPr>
        <w:t>Bisaso</w:t>
      </w:r>
      <w:proofErr w:type="spellEnd"/>
      <w:r w:rsidRPr="001E3C20">
        <w:rPr>
          <w:rFonts w:cs="Times New Roman"/>
        </w:rPr>
        <w:t xml:space="preserve"> (2020), who emphasized that institutional image and service quality collectively shape enrolment decisions rather than acting independently. Interview data support this interpretation by showing that faculty expertise is considered but not decisive in isolation. One respondent explained that “students may admire a course because of its content, but their final decision is influenced by how strong the department is and the expertise of lecturers” (P8), while another noted that “students still ask about lecturers and whether the course has experienced academic staff” (P19). This confirms that faculty expertise contributes to preference formation but is embedded within a broader evaluative framework.</w:t>
      </w:r>
    </w:p>
    <w:p w:rsidR="007531DF" w:rsidRPr="001E3C20" w:rsidRDefault="007531DF" w:rsidP="007531DF">
      <w:pPr>
        <w:rPr>
          <w:rFonts w:cs="Times New Roman"/>
        </w:rPr>
      </w:pPr>
      <w:r w:rsidRPr="001E3C20">
        <w:rPr>
          <w:rFonts w:cs="Times New Roman"/>
        </w:rPr>
        <w:t xml:space="preserve">A stronger pattern emerges in the fourth statement, where 57.1% of respondents agreed that research excellence influences enrollment decisions (M = 3.78, SD = 0.88). This indicates that research performance is a significant academic signal shaping institutional attractiveness. The relatively low dispersion suggests consensus that research-active universities are perceived as more prestigious and academically advanced. This finding aligns with </w:t>
      </w:r>
      <w:proofErr w:type="spellStart"/>
      <w:r w:rsidRPr="001E3C20">
        <w:rPr>
          <w:rFonts w:cs="Times New Roman"/>
        </w:rPr>
        <w:t>Muendo</w:t>
      </w:r>
      <w:proofErr w:type="spellEnd"/>
      <w:r w:rsidRPr="001E3C20">
        <w:rPr>
          <w:rFonts w:cs="Times New Roman"/>
        </w:rPr>
        <w:t xml:space="preserve"> et al. (2024), who found that academic excellence and institutional prestige significantly influence postgraduate enrollment </w:t>
      </w:r>
      <w:r w:rsidRPr="001E3C20">
        <w:rPr>
          <w:rFonts w:cs="Times New Roman"/>
        </w:rPr>
        <w:lastRenderedPageBreak/>
        <w:t xml:space="preserve">decisions in Kenya, and Al </w:t>
      </w:r>
      <w:proofErr w:type="spellStart"/>
      <w:r w:rsidRPr="001E3C20">
        <w:rPr>
          <w:rFonts w:cs="Times New Roman"/>
        </w:rPr>
        <w:t>Samman</w:t>
      </w:r>
      <w:proofErr w:type="spellEnd"/>
      <w:r w:rsidRPr="001E3C20">
        <w:rPr>
          <w:rFonts w:cs="Times New Roman"/>
        </w:rPr>
        <w:t xml:space="preserve"> and Al-</w:t>
      </w:r>
      <w:proofErr w:type="spellStart"/>
      <w:r w:rsidRPr="001E3C20">
        <w:rPr>
          <w:rFonts w:cs="Times New Roman"/>
        </w:rPr>
        <w:t>Ethawi</w:t>
      </w:r>
      <w:proofErr w:type="spellEnd"/>
      <w:r w:rsidRPr="001E3C20">
        <w:rPr>
          <w:rFonts w:cs="Times New Roman"/>
        </w:rPr>
        <w:t xml:space="preserve"> (2023), who emphasized research visibility as a key global branding strategy for universities. Interview evidence strongly supports this finding. One respondent observed that “a university that is active in research is seen as more serious and academically advanced” (P1), while another noted that “research output enhances reputation and signals that the university is contributing new knowledge” (P15). These narratives confirm that research excellence functions as a prestige-building mechanism that strengthens perceived institutional quality and attractiveness.</w:t>
      </w:r>
    </w:p>
    <w:p w:rsidR="007531DF" w:rsidRPr="001E3C20" w:rsidRDefault="007531DF" w:rsidP="007531DF">
      <w:pPr>
        <w:rPr>
          <w:rFonts w:cs="Times New Roman"/>
        </w:rPr>
      </w:pPr>
      <w:r w:rsidRPr="001E3C20">
        <w:rPr>
          <w:rFonts w:cs="Times New Roman"/>
        </w:rPr>
        <w:t xml:space="preserve">Similarly, the fifth item shows that 51.4% of respondents agreed that research capability influences their choice (M = 3.78, SD = 0.97). This reinforces the importance of institutional capacity for sustained scholarly output, not just current performance. The slightly higher variability suggests differences in how students interpret research capability, likely influenced by disciplinary interests or career aspirations. This finding aligns with </w:t>
      </w:r>
      <w:proofErr w:type="spellStart"/>
      <w:r w:rsidRPr="001E3C20">
        <w:rPr>
          <w:rFonts w:cs="Times New Roman"/>
        </w:rPr>
        <w:t>Yamin</w:t>
      </w:r>
      <w:proofErr w:type="spellEnd"/>
      <w:r w:rsidRPr="001E3C20">
        <w:rPr>
          <w:rFonts w:cs="Times New Roman"/>
        </w:rPr>
        <w:t xml:space="preserve"> (2024), who identified institutional academic strength and research reputation as key determinants of enrolment decisions, and Afrin (2020), who highlighted research capacity as part of broader institutional quality perception.</w:t>
      </w:r>
    </w:p>
    <w:p w:rsidR="007531DF" w:rsidRPr="001E3C20" w:rsidRDefault="007531DF" w:rsidP="007531DF">
      <w:pPr>
        <w:rPr>
          <w:rFonts w:cs="Times New Roman"/>
        </w:rPr>
      </w:pPr>
      <w:r w:rsidRPr="001E3C20">
        <w:rPr>
          <w:rFonts w:cs="Times New Roman"/>
        </w:rPr>
        <w:t xml:space="preserve">Interview findings further reinforce this result. One respondent stated that “students are very interested in employability and want to know what kind of jobs graduates get” (P6), while another emphasized that “programs aligned with industry needs attract more students” (P20). These responses indicate that research capability is indirectly linked to employability expectations and perceived institutional competitiveness in the </w:t>
      </w:r>
      <w:proofErr w:type="spellStart"/>
      <w:r w:rsidRPr="001E3C20">
        <w:rPr>
          <w:rFonts w:cs="Times New Roman"/>
        </w:rPr>
        <w:t>labour</w:t>
      </w:r>
      <w:proofErr w:type="spellEnd"/>
      <w:r w:rsidRPr="001E3C20">
        <w:rPr>
          <w:rFonts w:cs="Times New Roman"/>
        </w:rPr>
        <w:t xml:space="preserve"> market.</w:t>
      </w:r>
    </w:p>
    <w:p w:rsidR="007531DF" w:rsidRPr="001E3C20" w:rsidRDefault="007531DF" w:rsidP="007531DF">
      <w:pPr>
        <w:rPr>
          <w:rFonts w:cs="Times New Roman"/>
        </w:rPr>
      </w:pPr>
      <w:r w:rsidRPr="001E3C20">
        <w:rPr>
          <w:rFonts w:cs="Times New Roman"/>
        </w:rPr>
        <w:t xml:space="preserve">The final statement records the highest level of agreement, with 60.5% of respondents indicating that institutional reputation influences their preference (M = 3.94, SD = 0.85). This demonstrates that reputation functions as the dominant integrative construct in enrollment decision-making. It synthesizes multiple academic signals—including faculty expertise, research performance, and graduate outcomes—into a single evaluative judgment. This finding is strongly supported by Al </w:t>
      </w:r>
      <w:proofErr w:type="spellStart"/>
      <w:r w:rsidRPr="001E3C20">
        <w:rPr>
          <w:rFonts w:cs="Times New Roman"/>
        </w:rPr>
        <w:lastRenderedPageBreak/>
        <w:t>Samman</w:t>
      </w:r>
      <w:proofErr w:type="spellEnd"/>
      <w:r w:rsidRPr="001E3C20">
        <w:rPr>
          <w:rFonts w:cs="Times New Roman"/>
        </w:rPr>
        <w:t xml:space="preserve"> and Al-</w:t>
      </w:r>
      <w:proofErr w:type="spellStart"/>
      <w:r w:rsidRPr="001E3C20">
        <w:rPr>
          <w:rFonts w:cs="Times New Roman"/>
        </w:rPr>
        <w:t>Ethawi</w:t>
      </w:r>
      <w:proofErr w:type="spellEnd"/>
      <w:r w:rsidRPr="001E3C20">
        <w:rPr>
          <w:rFonts w:cs="Times New Roman"/>
        </w:rPr>
        <w:t xml:space="preserve"> (2023), who identified institutional reputation as a central outcome of effective branding in higher education, and </w:t>
      </w:r>
      <w:proofErr w:type="spellStart"/>
      <w:r w:rsidRPr="001E3C20">
        <w:rPr>
          <w:rFonts w:cs="Times New Roman"/>
        </w:rPr>
        <w:t>Muendo</w:t>
      </w:r>
      <w:proofErr w:type="spellEnd"/>
      <w:r w:rsidRPr="001E3C20">
        <w:rPr>
          <w:rFonts w:cs="Times New Roman"/>
        </w:rPr>
        <w:t xml:space="preserve"> et al. (2024), who found that perceived prestige significantly influences university choice in Kenya.</w:t>
      </w:r>
    </w:p>
    <w:p w:rsidR="007531DF" w:rsidRPr="001E3C20" w:rsidRDefault="007531DF" w:rsidP="007531DF">
      <w:pPr>
        <w:rPr>
          <w:rFonts w:cs="Times New Roman"/>
        </w:rPr>
      </w:pPr>
      <w:r w:rsidRPr="001E3C20">
        <w:rPr>
          <w:rFonts w:cs="Times New Roman"/>
        </w:rPr>
        <w:t>Interview data strongly confirm this dominance. One respondent explained that “reputation is built over time through teaching, research, and graduate performance” (P3), while another noted that “students prefer universities with strong reputations because it reduces uncertainty about quality and employability” (P18). These narratives demonstrate that reputation functions as a cognitive shortcut that integrates multiple quality indicators into a single decision criterion.</w:t>
      </w:r>
    </w:p>
    <w:p w:rsidR="007531DF" w:rsidRPr="001E3C20" w:rsidRDefault="007531DF" w:rsidP="007531DF">
      <w:pPr>
        <w:rPr>
          <w:rFonts w:cs="Times New Roman"/>
        </w:rPr>
      </w:pPr>
      <w:r w:rsidRPr="001E3C20">
        <w:rPr>
          <w:rFonts w:cs="Times New Roman"/>
        </w:rPr>
        <w:t xml:space="preserve">Overall, the average mean score of 3.74 indicates a strong influence of academic factors on students’ enrollment decisions. The findings suggest that while individual elements such as lecturer expertise, faculty qualifications, and research capacity are important, institutional reputation emerges as the most decisive factor. This supports </w:t>
      </w:r>
      <w:proofErr w:type="spellStart"/>
      <w:r w:rsidRPr="001E3C20">
        <w:rPr>
          <w:rFonts w:cs="Times New Roman"/>
        </w:rPr>
        <w:t>Yamin</w:t>
      </w:r>
      <w:proofErr w:type="spellEnd"/>
      <w:r w:rsidRPr="001E3C20">
        <w:rPr>
          <w:rFonts w:cs="Times New Roman"/>
        </w:rPr>
        <w:t xml:space="preserve"> (2024) and Al </w:t>
      </w:r>
      <w:proofErr w:type="spellStart"/>
      <w:r w:rsidRPr="001E3C20">
        <w:rPr>
          <w:rFonts w:cs="Times New Roman"/>
        </w:rPr>
        <w:t>Samman</w:t>
      </w:r>
      <w:proofErr w:type="spellEnd"/>
      <w:r w:rsidRPr="001E3C20">
        <w:rPr>
          <w:rFonts w:cs="Times New Roman"/>
        </w:rPr>
        <w:t xml:space="preserve"> and Al-</w:t>
      </w:r>
      <w:proofErr w:type="spellStart"/>
      <w:r w:rsidRPr="001E3C20">
        <w:rPr>
          <w:rFonts w:cs="Times New Roman"/>
        </w:rPr>
        <w:t>Ethawi</w:t>
      </w:r>
      <w:proofErr w:type="spellEnd"/>
      <w:r w:rsidRPr="001E3C20">
        <w:rPr>
          <w:rFonts w:cs="Times New Roman"/>
        </w:rPr>
        <w:t xml:space="preserve"> (2023), who argue that integrated branding strategies combining academic excellence and research visibility are essential for institutional competitiveness. In the Kenyan context, </w:t>
      </w:r>
      <w:proofErr w:type="spellStart"/>
      <w:r w:rsidRPr="001E3C20">
        <w:rPr>
          <w:rFonts w:cs="Times New Roman"/>
        </w:rPr>
        <w:t>Muendo</w:t>
      </w:r>
      <w:proofErr w:type="spellEnd"/>
      <w:r w:rsidRPr="001E3C20">
        <w:rPr>
          <w:rFonts w:cs="Times New Roman"/>
        </w:rPr>
        <w:t xml:space="preserve"> et al. (2024) similarly emphasize that institutional prestige plays a central role in shaping student enrollment behavior within public universities.</w:t>
      </w:r>
    </w:p>
    <w:p w:rsidR="007531DF" w:rsidRPr="001E3C20" w:rsidRDefault="007531DF" w:rsidP="007531DF">
      <w:pPr>
        <w:rPr>
          <w:rFonts w:cs="Times New Roman"/>
        </w:rPr>
      </w:pPr>
      <w:r w:rsidRPr="001E3C20">
        <w:rPr>
          <w:rFonts w:cs="Times New Roman"/>
        </w:rPr>
        <w:t>The qualitative findings from key informants (P1–P21) strongly corroborate the quantitative results by demonstrating that enrollment decisions are shaped through layered cognitive evaluations of academic quality. Lecturer expertise, faculty qualifications, and research performance function as quality signals, but these are ultimately synthesized into institutional reputation, which serves as the dominant decision-making anchor. Respondents consistently emphasized employability, program relevance, and academic credibility as key interpretive frameworks guiding student choice.</w:t>
      </w:r>
    </w:p>
    <w:p w:rsidR="007531DF" w:rsidRPr="001E3C20" w:rsidRDefault="007531DF" w:rsidP="00F62DC1">
      <w:pPr>
        <w:rPr>
          <w:rFonts w:cs="Times New Roman"/>
        </w:rPr>
      </w:pPr>
      <w:r w:rsidRPr="001E3C20">
        <w:rPr>
          <w:rFonts w:cs="Times New Roman"/>
        </w:rPr>
        <w:lastRenderedPageBreak/>
        <w:t>However, the interviews also introduce important contextual nuance. Enrollment decisions in Kenyan public universities are not purely merit-based but are also influenced by structural factors such as government placement systems, program availability, institutional funding disparities, and regional access. This suggests that while academic factors strongly shape preferences, their influence is mediated by systemic constraints within the higher education environment. In summary, the integrated evidence confirms that students evaluate universities through a hierarchical cognitive framework in which academic staff quality and research strength function as foundational signals, while institutional reputation operates as the final and most influential integrative construc</w:t>
      </w:r>
      <w:r w:rsidR="00BE34F3">
        <w:rPr>
          <w:rFonts w:cs="Times New Roman"/>
        </w:rPr>
        <w:t>t guiding enrollment decisions.</w:t>
      </w:r>
    </w:p>
    <w:p w:rsidR="007531DF" w:rsidRPr="001E3C20" w:rsidRDefault="007531DF" w:rsidP="007531DF">
      <w:pPr>
        <w:pStyle w:val="Heading2"/>
      </w:pPr>
      <w:bookmarkStart w:id="53" w:name="_Toc230811146"/>
      <w:r w:rsidRPr="001E3C20">
        <w:t>4.5 Inferential Statistics</w:t>
      </w:r>
      <w:bookmarkEnd w:id="53"/>
    </w:p>
    <w:p w:rsidR="007531DF" w:rsidRPr="001E3C20" w:rsidRDefault="007531DF" w:rsidP="007531DF">
      <w:pPr>
        <w:rPr>
          <w:rFonts w:cs="Times New Roman"/>
        </w:rPr>
      </w:pPr>
      <w:r w:rsidRPr="001E3C20">
        <w:rPr>
          <w:rFonts w:cs="Times New Roman"/>
        </w:rPr>
        <w:t xml:space="preserve">The study employed inferential statistical techniques to examine the relationships and predictive effects among the study variables. Specifically, Pearson correlation analysis was used to determine the strength and direction of associations between brand equity dimensions and students’ enrollment decisions. Multiple linear regression analysis was further applied to assess the individual and combined predictive influence of the independent variables on the dependent variable. In addition, moderated multiple linear regression was conducted to evaluate the moderating effect of organizational resources on the relationship between brand equity and students’ enrollment decisions. These analytical techniques provided a robust basis for testing the study hypotheses and drawing statistically supported </w:t>
      </w:r>
      <w:proofErr w:type="gramStart"/>
      <w:r w:rsidRPr="001E3C20">
        <w:rPr>
          <w:rFonts w:cs="Times New Roman"/>
        </w:rPr>
        <w:t>conclusions..</w:t>
      </w:r>
      <w:proofErr w:type="gramEnd"/>
      <w:r w:rsidRPr="001E3C20">
        <w:rPr>
          <w:rFonts w:cs="Times New Roman"/>
        </w:rPr>
        <w:t xml:space="preserve"> </w:t>
      </w:r>
    </w:p>
    <w:p w:rsidR="007531DF" w:rsidRPr="00BE34F3" w:rsidRDefault="007531DF" w:rsidP="007531DF">
      <w:pPr>
        <w:pStyle w:val="Heading3"/>
        <w:rPr>
          <w:rFonts w:ascii="Times New Roman" w:hAnsi="Times New Roman" w:cs="Times New Roman"/>
          <w:b/>
          <w:color w:val="auto"/>
        </w:rPr>
      </w:pPr>
      <w:bookmarkStart w:id="54" w:name="_Toc230811147"/>
      <w:r w:rsidRPr="00BE34F3">
        <w:rPr>
          <w:rFonts w:ascii="Times New Roman" w:hAnsi="Times New Roman" w:cs="Times New Roman"/>
          <w:b/>
          <w:color w:val="auto"/>
        </w:rPr>
        <w:t>4.5.1 Pearson Correlation Analysis</w:t>
      </w:r>
      <w:bookmarkEnd w:id="54"/>
    </w:p>
    <w:p w:rsidR="007531DF" w:rsidRPr="001E3C20" w:rsidRDefault="007531DF" w:rsidP="007531DF">
      <w:pPr>
        <w:rPr>
          <w:rFonts w:cs="Times New Roman"/>
        </w:rPr>
      </w:pPr>
      <w:r w:rsidRPr="001E3C20">
        <w:rPr>
          <w:rFonts w:cs="Times New Roman"/>
        </w:rPr>
        <w:t xml:space="preserve">Pearson correlation analysis was conducted to examine the strength and direction of the linear relationships among the study variable; Brand Salience (BS). The Pearson correlation coefficient (r) ranges from −1 to +1, where values closer to +1 indicate strong positive relationships, values </w:t>
      </w:r>
      <w:r w:rsidRPr="001E3C20">
        <w:rPr>
          <w:rFonts w:cs="Times New Roman"/>
        </w:rPr>
        <w:lastRenderedPageBreak/>
        <w:t>closer to −1 indicate strong negative relationships, and values near 0 suggest weak or no linear association. Statistical significance was evaluate</w:t>
      </w:r>
      <w:r w:rsidR="00717974">
        <w:rPr>
          <w:rFonts w:cs="Times New Roman"/>
        </w:rPr>
        <w:t>d at the 0.01 level (2-tailed).</w:t>
      </w:r>
    </w:p>
    <w:p w:rsidR="007531DF" w:rsidRPr="001E3C20" w:rsidRDefault="007531DF" w:rsidP="007531DF">
      <w:pPr>
        <w:pStyle w:val="Heading4"/>
        <w:rPr>
          <w:rFonts w:ascii="Times New Roman" w:hAnsi="Times New Roman" w:cs="Times New Roman"/>
          <w:b/>
          <w:i w:val="0"/>
          <w:color w:val="auto"/>
        </w:rPr>
      </w:pPr>
      <w:bookmarkStart w:id="55" w:name="_Toc229492456"/>
      <w:r w:rsidRPr="001E3C20">
        <w:rPr>
          <w:rFonts w:ascii="Times New Roman" w:hAnsi="Times New Roman" w:cs="Times New Roman"/>
          <w:color w:val="auto"/>
        </w:rPr>
        <w:t>Table 4.10: Pearson Correlation Results</w:t>
      </w:r>
      <w:bookmarkEnd w:id="55"/>
    </w:p>
    <w:tbl>
      <w:tblPr>
        <w:tblStyle w:val="TableGrid1"/>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10"/>
        <w:gridCol w:w="2334"/>
        <w:gridCol w:w="766"/>
        <w:gridCol w:w="766"/>
      </w:tblGrid>
      <w:tr w:rsidR="001E3C20" w:rsidRPr="001E3C20" w:rsidTr="007531DF">
        <w:trPr>
          <w:tblHeader/>
        </w:trPr>
        <w:tc>
          <w:tcPr>
            <w:tcW w:w="0" w:type="auto"/>
            <w:gridSpan w:val="2"/>
          </w:tcPr>
          <w:p w:rsidR="007531DF" w:rsidRPr="001E3C20" w:rsidRDefault="007531DF" w:rsidP="007531DF">
            <w:pPr>
              <w:spacing w:before="0" w:after="0" w:line="360" w:lineRule="auto"/>
              <w:rPr>
                <w:b/>
                <w:sz w:val="20"/>
                <w:szCs w:val="20"/>
              </w:rPr>
            </w:pPr>
          </w:p>
        </w:tc>
        <w:tc>
          <w:tcPr>
            <w:tcW w:w="0" w:type="auto"/>
          </w:tcPr>
          <w:p w:rsidR="007531DF" w:rsidRPr="001E3C20" w:rsidRDefault="007531DF" w:rsidP="007531DF">
            <w:pPr>
              <w:spacing w:before="0" w:after="0" w:line="360" w:lineRule="auto"/>
              <w:rPr>
                <w:b/>
                <w:sz w:val="20"/>
                <w:szCs w:val="20"/>
              </w:rPr>
            </w:pPr>
            <w:r w:rsidRPr="001E3C20">
              <w:rPr>
                <w:b/>
                <w:sz w:val="20"/>
                <w:szCs w:val="20"/>
              </w:rPr>
              <w:t>BS</w:t>
            </w:r>
          </w:p>
        </w:tc>
        <w:tc>
          <w:tcPr>
            <w:tcW w:w="0" w:type="auto"/>
          </w:tcPr>
          <w:p w:rsidR="007531DF" w:rsidRPr="001E3C20" w:rsidRDefault="007531DF" w:rsidP="007531DF">
            <w:pPr>
              <w:spacing w:before="0" w:after="0" w:line="360" w:lineRule="auto"/>
              <w:rPr>
                <w:b/>
                <w:sz w:val="20"/>
                <w:szCs w:val="20"/>
              </w:rPr>
            </w:pPr>
            <w:r w:rsidRPr="001E3C20">
              <w:rPr>
                <w:b/>
                <w:sz w:val="20"/>
                <w:szCs w:val="20"/>
              </w:rPr>
              <w:t>SED</w:t>
            </w:r>
          </w:p>
        </w:tc>
      </w:tr>
      <w:tr w:rsidR="007531DF" w:rsidRPr="001E3C20" w:rsidTr="007531DF">
        <w:tc>
          <w:tcPr>
            <w:tcW w:w="1710" w:type="dxa"/>
            <w:vMerge w:val="restart"/>
          </w:tcPr>
          <w:p w:rsidR="007531DF" w:rsidRPr="001E3C20" w:rsidRDefault="007531DF" w:rsidP="007531DF">
            <w:pPr>
              <w:spacing w:before="0" w:after="0" w:line="360" w:lineRule="auto"/>
              <w:rPr>
                <w:sz w:val="20"/>
                <w:szCs w:val="20"/>
              </w:rPr>
            </w:pPr>
            <w:r w:rsidRPr="001E3C20">
              <w:rPr>
                <w:sz w:val="20"/>
                <w:szCs w:val="20"/>
              </w:rPr>
              <w:t>Brand Salience (BS)</w:t>
            </w:r>
          </w:p>
        </w:tc>
        <w:tc>
          <w:tcPr>
            <w:tcW w:w="2334" w:type="dxa"/>
          </w:tcPr>
          <w:p w:rsidR="007531DF" w:rsidRPr="001E3C20" w:rsidRDefault="007531DF" w:rsidP="007531DF">
            <w:pPr>
              <w:spacing w:before="0" w:after="0" w:line="360" w:lineRule="auto"/>
              <w:rPr>
                <w:sz w:val="20"/>
                <w:szCs w:val="20"/>
              </w:rPr>
            </w:pPr>
            <w:r w:rsidRPr="001E3C20">
              <w:rPr>
                <w:sz w:val="20"/>
                <w:szCs w:val="20"/>
              </w:rPr>
              <w:t>Pearson Correlation</w:t>
            </w:r>
          </w:p>
        </w:tc>
        <w:tc>
          <w:tcPr>
            <w:tcW w:w="0" w:type="auto"/>
          </w:tcPr>
          <w:p w:rsidR="007531DF" w:rsidRPr="001E3C20" w:rsidRDefault="007531DF" w:rsidP="007531DF">
            <w:pPr>
              <w:spacing w:before="0" w:after="0" w:line="360" w:lineRule="auto"/>
              <w:rPr>
                <w:sz w:val="20"/>
                <w:szCs w:val="20"/>
              </w:rPr>
            </w:pPr>
            <w:r w:rsidRPr="001E3C20">
              <w:rPr>
                <w:sz w:val="20"/>
                <w:szCs w:val="20"/>
              </w:rPr>
              <w:t>1</w:t>
            </w:r>
          </w:p>
        </w:tc>
        <w:tc>
          <w:tcPr>
            <w:tcW w:w="0" w:type="auto"/>
          </w:tcPr>
          <w:p w:rsidR="007531DF" w:rsidRPr="001E3C20" w:rsidRDefault="007531DF" w:rsidP="007531DF">
            <w:pPr>
              <w:spacing w:before="0" w:after="0" w:line="360" w:lineRule="auto"/>
              <w:rPr>
                <w:sz w:val="20"/>
                <w:szCs w:val="20"/>
              </w:rPr>
            </w:pPr>
            <w:r w:rsidRPr="001E3C20">
              <w:rPr>
                <w:sz w:val="20"/>
                <w:szCs w:val="20"/>
              </w:rPr>
              <w:t>.687**</w:t>
            </w:r>
          </w:p>
        </w:tc>
      </w:tr>
      <w:tr w:rsidR="007531DF" w:rsidRPr="001E3C20" w:rsidTr="007531DF">
        <w:tc>
          <w:tcPr>
            <w:tcW w:w="1710" w:type="dxa"/>
            <w:vMerge/>
          </w:tcPr>
          <w:p w:rsidR="007531DF" w:rsidRPr="001E3C20" w:rsidRDefault="007531DF" w:rsidP="007531DF">
            <w:pPr>
              <w:spacing w:before="0" w:after="0" w:line="360" w:lineRule="auto"/>
              <w:rPr>
                <w:sz w:val="20"/>
                <w:szCs w:val="20"/>
              </w:rPr>
            </w:pPr>
          </w:p>
        </w:tc>
        <w:tc>
          <w:tcPr>
            <w:tcW w:w="2334" w:type="dxa"/>
          </w:tcPr>
          <w:p w:rsidR="007531DF" w:rsidRPr="001E3C20" w:rsidRDefault="007531DF" w:rsidP="007531DF">
            <w:pPr>
              <w:spacing w:before="0" w:after="0" w:line="360" w:lineRule="auto"/>
              <w:rPr>
                <w:sz w:val="20"/>
                <w:szCs w:val="20"/>
              </w:rPr>
            </w:pPr>
            <w:r w:rsidRPr="001E3C20">
              <w:rPr>
                <w:sz w:val="20"/>
                <w:szCs w:val="20"/>
              </w:rPr>
              <w:t>Sig. (2-tailed)</w:t>
            </w:r>
          </w:p>
        </w:tc>
        <w:tc>
          <w:tcPr>
            <w:tcW w:w="0" w:type="auto"/>
          </w:tcPr>
          <w:p w:rsidR="007531DF" w:rsidRPr="001E3C20" w:rsidRDefault="007531DF" w:rsidP="007531DF">
            <w:pPr>
              <w:spacing w:before="0" w:after="0" w:line="360" w:lineRule="auto"/>
              <w:rPr>
                <w:sz w:val="20"/>
                <w:szCs w:val="20"/>
              </w:rPr>
            </w:pPr>
          </w:p>
        </w:tc>
        <w:tc>
          <w:tcPr>
            <w:tcW w:w="0" w:type="auto"/>
          </w:tcPr>
          <w:p w:rsidR="007531DF" w:rsidRPr="001E3C20" w:rsidRDefault="007531DF" w:rsidP="007531DF">
            <w:pPr>
              <w:spacing w:before="0" w:after="0" w:line="360" w:lineRule="auto"/>
              <w:rPr>
                <w:sz w:val="20"/>
                <w:szCs w:val="20"/>
              </w:rPr>
            </w:pPr>
            <w:r w:rsidRPr="001E3C20">
              <w:rPr>
                <w:sz w:val="20"/>
                <w:szCs w:val="20"/>
              </w:rPr>
              <w:t>.000</w:t>
            </w:r>
          </w:p>
        </w:tc>
      </w:tr>
      <w:tr w:rsidR="007531DF" w:rsidRPr="001E3C20" w:rsidTr="007531DF">
        <w:tc>
          <w:tcPr>
            <w:tcW w:w="1710" w:type="dxa"/>
            <w:vMerge/>
          </w:tcPr>
          <w:p w:rsidR="007531DF" w:rsidRPr="001E3C20" w:rsidRDefault="007531DF" w:rsidP="007531DF">
            <w:pPr>
              <w:spacing w:before="0" w:after="0" w:line="360" w:lineRule="auto"/>
              <w:rPr>
                <w:sz w:val="20"/>
                <w:szCs w:val="20"/>
              </w:rPr>
            </w:pPr>
          </w:p>
        </w:tc>
        <w:tc>
          <w:tcPr>
            <w:tcW w:w="2334" w:type="dxa"/>
          </w:tcPr>
          <w:p w:rsidR="007531DF" w:rsidRPr="001E3C20" w:rsidRDefault="007531DF" w:rsidP="007531DF">
            <w:pPr>
              <w:spacing w:before="0" w:after="0" w:line="360" w:lineRule="auto"/>
              <w:rPr>
                <w:sz w:val="20"/>
                <w:szCs w:val="20"/>
              </w:rPr>
            </w:pPr>
            <w:r w:rsidRPr="001E3C20">
              <w:rPr>
                <w:sz w:val="20"/>
                <w:szCs w:val="20"/>
              </w:rPr>
              <w:t>N</w:t>
            </w:r>
          </w:p>
        </w:tc>
        <w:tc>
          <w:tcPr>
            <w:tcW w:w="0" w:type="auto"/>
          </w:tcPr>
          <w:p w:rsidR="007531DF" w:rsidRPr="001E3C20" w:rsidRDefault="007531DF" w:rsidP="007531DF">
            <w:pPr>
              <w:spacing w:before="0" w:after="0" w:line="360" w:lineRule="auto"/>
              <w:rPr>
                <w:sz w:val="20"/>
                <w:szCs w:val="20"/>
              </w:rPr>
            </w:pPr>
            <w:r w:rsidRPr="001E3C20">
              <w:rPr>
                <w:sz w:val="20"/>
                <w:szCs w:val="20"/>
              </w:rPr>
              <w:t>296</w:t>
            </w:r>
          </w:p>
        </w:tc>
        <w:tc>
          <w:tcPr>
            <w:tcW w:w="0" w:type="auto"/>
          </w:tcPr>
          <w:p w:rsidR="007531DF" w:rsidRPr="001E3C20" w:rsidRDefault="007531DF" w:rsidP="007531DF">
            <w:pPr>
              <w:spacing w:before="0" w:after="0" w:line="360" w:lineRule="auto"/>
              <w:rPr>
                <w:sz w:val="20"/>
                <w:szCs w:val="20"/>
              </w:rPr>
            </w:pPr>
            <w:r w:rsidRPr="001E3C20">
              <w:rPr>
                <w:sz w:val="20"/>
                <w:szCs w:val="20"/>
              </w:rPr>
              <w:t>296</w:t>
            </w:r>
          </w:p>
        </w:tc>
      </w:tr>
      <w:tr w:rsidR="007531DF" w:rsidRPr="001E3C20" w:rsidTr="007531DF">
        <w:tc>
          <w:tcPr>
            <w:tcW w:w="1710" w:type="dxa"/>
            <w:vMerge/>
          </w:tcPr>
          <w:p w:rsidR="007531DF" w:rsidRPr="001E3C20" w:rsidRDefault="007531DF" w:rsidP="007531DF">
            <w:pPr>
              <w:spacing w:before="0" w:after="0" w:line="360" w:lineRule="auto"/>
              <w:rPr>
                <w:sz w:val="20"/>
                <w:szCs w:val="20"/>
              </w:rPr>
            </w:pPr>
          </w:p>
        </w:tc>
        <w:tc>
          <w:tcPr>
            <w:tcW w:w="2334" w:type="dxa"/>
          </w:tcPr>
          <w:p w:rsidR="007531DF" w:rsidRPr="001E3C20" w:rsidRDefault="007531DF" w:rsidP="007531DF">
            <w:pPr>
              <w:spacing w:before="0" w:after="0" w:line="360" w:lineRule="auto"/>
              <w:rPr>
                <w:sz w:val="20"/>
                <w:szCs w:val="20"/>
              </w:rPr>
            </w:pPr>
            <w:r w:rsidRPr="001E3C20">
              <w:rPr>
                <w:sz w:val="20"/>
                <w:szCs w:val="20"/>
              </w:rPr>
              <w:t>N</w:t>
            </w:r>
          </w:p>
        </w:tc>
        <w:tc>
          <w:tcPr>
            <w:tcW w:w="0" w:type="auto"/>
          </w:tcPr>
          <w:p w:rsidR="007531DF" w:rsidRPr="001E3C20" w:rsidRDefault="007531DF" w:rsidP="007531DF">
            <w:pPr>
              <w:spacing w:before="0" w:after="0" w:line="360" w:lineRule="auto"/>
              <w:rPr>
                <w:sz w:val="20"/>
                <w:szCs w:val="20"/>
              </w:rPr>
            </w:pPr>
            <w:r w:rsidRPr="001E3C20">
              <w:rPr>
                <w:sz w:val="20"/>
                <w:szCs w:val="20"/>
              </w:rPr>
              <w:t>296</w:t>
            </w:r>
          </w:p>
        </w:tc>
        <w:tc>
          <w:tcPr>
            <w:tcW w:w="0" w:type="auto"/>
          </w:tcPr>
          <w:p w:rsidR="007531DF" w:rsidRPr="001E3C20" w:rsidRDefault="007531DF" w:rsidP="007531DF">
            <w:pPr>
              <w:spacing w:before="0" w:after="0" w:line="360" w:lineRule="auto"/>
              <w:rPr>
                <w:sz w:val="20"/>
                <w:szCs w:val="20"/>
              </w:rPr>
            </w:pPr>
            <w:r w:rsidRPr="001E3C20">
              <w:rPr>
                <w:sz w:val="20"/>
                <w:szCs w:val="20"/>
              </w:rPr>
              <w:t>296</w:t>
            </w:r>
          </w:p>
        </w:tc>
      </w:tr>
      <w:tr w:rsidR="007531DF" w:rsidRPr="001E3C20" w:rsidTr="007531DF">
        <w:tc>
          <w:tcPr>
            <w:tcW w:w="1710" w:type="dxa"/>
            <w:vMerge w:val="restart"/>
          </w:tcPr>
          <w:p w:rsidR="007531DF" w:rsidRPr="001E3C20" w:rsidRDefault="007531DF" w:rsidP="007531DF">
            <w:pPr>
              <w:spacing w:before="0" w:after="0" w:line="360" w:lineRule="auto"/>
              <w:rPr>
                <w:sz w:val="20"/>
                <w:szCs w:val="20"/>
              </w:rPr>
            </w:pPr>
            <w:r w:rsidRPr="001E3C20">
              <w:rPr>
                <w:sz w:val="20"/>
                <w:szCs w:val="20"/>
              </w:rPr>
              <w:t>Students’ Enrollment Decision (SED)</w:t>
            </w:r>
          </w:p>
        </w:tc>
        <w:tc>
          <w:tcPr>
            <w:tcW w:w="2334" w:type="dxa"/>
          </w:tcPr>
          <w:p w:rsidR="007531DF" w:rsidRPr="001E3C20" w:rsidRDefault="007531DF" w:rsidP="007531DF">
            <w:pPr>
              <w:spacing w:before="0" w:after="0" w:line="360" w:lineRule="auto"/>
              <w:rPr>
                <w:sz w:val="20"/>
                <w:szCs w:val="20"/>
              </w:rPr>
            </w:pPr>
            <w:r w:rsidRPr="001E3C20">
              <w:rPr>
                <w:sz w:val="20"/>
                <w:szCs w:val="20"/>
              </w:rPr>
              <w:t>Pearson Correlation</w:t>
            </w:r>
          </w:p>
        </w:tc>
        <w:tc>
          <w:tcPr>
            <w:tcW w:w="0" w:type="auto"/>
          </w:tcPr>
          <w:p w:rsidR="007531DF" w:rsidRPr="001E3C20" w:rsidRDefault="007531DF" w:rsidP="007531DF">
            <w:pPr>
              <w:spacing w:before="0" w:after="0" w:line="360" w:lineRule="auto"/>
              <w:rPr>
                <w:sz w:val="20"/>
                <w:szCs w:val="20"/>
              </w:rPr>
            </w:pPr>
            <w:r w:rsidRPr="001E3C20">
              <w:rPr>
                <w:sz w:val="20"/>
                <w:szCs w:val="20"/>
              </w:rPr>
              <w:t>.687**</w:t>
            </w:r>
          </w:p>
        </w:tc>
        <w:tc>
          <w:tcPr>
            <w:tcW w:w="0" w:type="auto"/>
          </w:tcPr>
          <w:p w:rsidR="007531DF" w:rsidRPr="001E3C20" w:rsidRDefault="007531DF" w:rsidP="007531DF">
            <w:pPr>
              <w:spacing w:before="0" w:after="0" w:line="360" w:lineRule="auto"/>
              <w:rPr>
                <w:sz w:val="20"/>
                <w:szCs w:val="20"/>
              </w:rPr>
            </w:pPr>
            <w:r w:rsidRPr="001E3C20">
              <w:rPr>
                <w:sz w:val="20"/>
                <w:szCs w:val="20"/>
              </w:rPr>
              <w:t>1</w:t>
            </w:r>
          </w:p>
        </w:tc>
      </w:tr>
      <w:tr w:rsidR="007531DF" w:rsidRPr="001E3C20" w:rsidTr="007531DF">
        <w:tc>
          <w:tcPr>
            <w:tcW w:w="1710" w:type="dxa"/>
            <w:vMerge/>
          </w:tcPr>
          <w:p w:rsidR="007531DF" w:rsidRPr="001E3C20" w:rsidRDefault="007531DF" w:rsidP="007531DF">
            <w:pPr>
              <w:spacing w:before="0" w:after="0" w:line="360" w:lineRule="auto"/>
              <w:rPr>
                <w:sz w:val="20"/>
                <w:szCs w:val="20"/>
              </w:rPr>
            </w:pPr>
          </w:p>
        </w:tc>
        <w:tc>
          <w:tcPr>
            <w:tcW w:w="2334" w:type="dxa"/>
          </w:tcPr>
          <w:p w:rsidR="007531DF" w:rsidRPr="001E3C20" w:rsidRDefault="007531DF" w:rsidP="007531DF">
            <w:pPr>
              <w:spacing w:before="0" w:after="0" w:line="360" w:lineRule="auto"/>
              <w:rPr>
                <w:sz w:val="20"/>
                <w:szCs w:val="20"/>
              </w:rPr>
            </w:pPr>
            <w:r w:rsidRPr="001E3C20">
              <w:rPr>
                <w:sz w:val="20"/>
                <w:szCs w:val="20"/>
              </w:rPr>
              <w:t>Sig. (2-tailed)</w:t>
            </w:r>
          </w:p>
        </w:tc>
        <w:tc>
          <w:tcPr>
            <w:tcW w:w="0" w:type="auto"/>
          </w:tcPr>
          <w:p w:rsidR="007531DF" w:rsidRPr="001E3C20" w:rsidRDefault="007531DF" w:rsidP="007531DF">
            <w:pPr>
              <w:spacing w:before="0" w:after="0" w:line="360" w:lineRule="auto"/>
              <w:rPr>
                <w:sz w:val="20"/>
                <w:szCs w:val="20"/>
              </w:rPr>
            </w:pPr>
            <w:r w:rsidRPr="001E3C20">
              <w:rPr>
                <w:sz w:val="20"/>
                <w:szCs w:val="20"/>
              </w:rPr>
              <w:t>.000</w:t>
            </w:r>
          </w:p>
        </w:tc>
        <w:tc>
          <w:tcPr>
            <w:tcW w:w="0" w:type="auto"/>
          </w:tcPr>
          <w:p w:rsidR="007531DF" w:rsidRPr="001E3C20" w:rsidRDefault="007531DF" w:rsidP="007531DF">
            <w:pPr>
              <w:spacing w:before="0" w:after="0" w:line="360" w:lineRule="auto"/>
              <w:rPr>
                <w:sz w:val="20"/>
                <w:szCs w:val="20"/>
              </w:rPr>
            </w:pPr>
          </w:p>
        </w:tc>
      </w:tr>
      <w:tr w:rsidR="007531DF" w:rsidRPr="001E3C20" w:rsidTr="007531DF">
        <w:tc>
          <w:tcPr>
            <w:tcW w:w="1710" w:type="dxa"/>
            <w:vMerge/>
          </w:tcPr>
          <w:p w:rsidR="007531DF" w:rsidRPr="001E3C20" w:rsidRDefault="007531DF" w:rsidP="007531DF">
            <w:pPr>
              <w:spacing w:before="0" w:after="0" w:line="360" w:lineRule="auto"/>
              <w:rPr>
                <w:sz w:val="20"/>
                <w:szCs w:val="20"/>
              </w:rPr>
            </w:pPr>
          </w:p>
        </w:tc>
        <w:tc>
          <w:tcPr>
            <w:tcW w:w="2334" w:type="dxa"/>
          </w:tcPr>
          <w:p w:rsidR="007531DF" w:rsidRPr="001E3C20" w:rsidRDefault="007531DF" w:rsidP="007531DF">
            <w:pPr>
              <w:spacing w:before="0" w:after="0" w:line="360" w:lineRule="auto"/>
              <w:rPr>
                <w:sz w:val="20"/>
                <w:szCs w:val="20"/>
              </w:rPr>
            </w:pPr>
            <w:r w:rsidRPr="001E3C20">
              <w:rPr>
                <w:sz w:val="20"/>
                <w:szCs w:val="20"/>
              </w:rPr>
              <w:t>N</w:t>
            </w:r>
          </w:p>
        </w:tc>
        <w:tc>
          <w:tcPr>
            <w:tcW w:w="0" w:type="auto"/>
          </w:tcPr>
          <w:p w:rsidR="007531DF" w:rsidRPr="001E3C20" w:rsidRDefault="007531DF" w:rsidP="007531DF">
            <w:pPr>
              <w:spacing w:before="0" w:after="0" w:line="360" w:lineRule="auto"/>
              <w:rPr>
                <w:sz w:val="20"/>
                <w:szCs w:val="20"/>
              </w:rPr>
            </w:pPr>
            <w:r w:rsidRPr="001E3C20">
              <w:rPr>
                <w:sz w:val="20"/>
                <w:szCs w:val="20"/>
              </w:rPr>
              <w:t>296</w:t>
            </w:r>
          </w:p>
        </w:tc>
        <w:tc>
          <w:tcPr>
            <w:tcW w:w="0" w:type="auto"/>
          </w:tcPr>
          <w:p w:rsidR="007531DF" w:rsidRPr="001E3C20" w:rsidRDefault="007531DF" w:rsidP="007531DF">
            <w:pPr>
              <w:spacing w:before="0" w:after="0" w:line="360" w:lineRule="auto"/>
              <w:rPr>
                <w:sz w:val="20"/>
                <w:szCs w:val="20"/>
              </w:rPr>
            </w:pPr>
            <w:r w:rsidRPr="001E3C20">
              <w:rPr>
                <w:sz w:val="20"/>
                <w:szCs w:val="20"/>
              </w:rPr>
              <w:t>296</w:t>
            </w:r>
          </w:p>
        </w:tc>
      </w:tr>
      <w:tr w:rsidR="007531DF" w:rsidRPr="001E3C20" w:rsidTr="007531DF">
        <w:tc>
          <w:tcPr>
            <w:tcW w:w="0" w:type="auto"/>
            <w:gridSpan w:val="4"/>
          </w:tcPr>
          <w:p w:rsidR="007531DF" w:rsidRPr="001E3C20" w:rsidRDefault="007531DF" w:rsidP="007531DF">
            <w:pPr>
              <w:spacing w:before="0" w:after="0" w:line="360" w:lineRule="auto"/>
              <w:rPr>
                <w:sz w:val="20"/>
                <w:szCs w:val="20"/>
              </w:rPr>
            </w:pPr>
            <w:r w:rsidRPr="001E3C20">
              <w:rPr>
                <w:sz w:val="20"/>
                <w:szCs w:val="20"/>
              </w:rPr>
              <w:t>**. Correlation is significant at the 0.01 level (2-tailed).</w:t>
            </w:r>
          </w:p>
        </w:tc>
      </w:tr>
    </w:tbl>
    <w:p w:rsidR="007531DF" w:rsidRPr="001E3C20" w:rsidRDefault="007531DF" w:rsidP="007531DF">
      <w:pPr>
        <w:rPr>
          <w:rFonts w:cs="Times New Roman"/>
        </w:rPr>
      </w:pPr>
      <w:r w:rsidRPr="001E3C20">
        <w:rPr>
          <w:rFonts w:cs="Times New Roman"/>
        </w:rPr>
        <w:t>The findings reveal that all variables are positively and significantly correlated (p &lt; 0.01), indicating that improvements in brand-related constructs and organizational resources are associated with increased students’ enrollment decisions.</w:t>
      </w:r>
    </w:p>
    <w:p w:rsidR="007531DF" w:rsidRPr="001E3C20" w:rsidRDefault="007531DF" w:rsidP="007531DF">
      <w:pPr>
        <w:rPr>
          <w:rFonts w:cs="Times New Roman"/>
        </w:rPr>
      </w:pPr>
      <w:r w:rsidRPr="001E3C20">
        <w:rPr>
          <w:rFonts w:cs="Times New Roman"/>
        </w:rPr>
        <w:t>Specifically, Brand Salience (BS) shows a strong positive relationship.</w:t>
      </w:r>
      <w:r w:rsidR="00A637FD">
        <w:rPr>
          <w:rFonts w:cs="Times New Roman"/>
        </w:rPr>
        <w:t xml:space="preserve"> </w:t>
      </w:r>
      <w:proofErr w:type="gramStart"/>
      <w:r w:rsidRPr="001E3C20">
        <w:rPr>
          <w:rFonts w:cs="Times New Roman"/>
        </w:rPr>
        <w:t>This</w:t>
      </w:r>
      <w:proofErr w:type="gramEnd"/>
      <w:r w:rsidRPr="001E3C20">
        <w:rPr>
          <w:rFonts w:cs="Times New Roman"/>
        </w:rPr>
        <w:t xml:space="preserve"> suggests that higher awareness and recognition of an institution’s brand are strongly linked to favorable perceptions and increased likelihood of student enrollment.</w:t>
      </w:r>
    </w:p>
    <w:p w:rsidR="007531DF" w:rsidRPr="00BE34F3" w:rsidRDefault="007531DF" w:rsidP="007531DF">
      <w:pPr>
        <w:pStyle w:val="Heading3"/>
        <w:rPr>
          <w:rFonts w:ascii="Times New Roman" w:hAnsi="Times New Roman" w:cs="Times New Roman"/>
          <w:b/>
          <w:color w:val="auto"/>
        </w:rPr>
      </w:pPr>
      <w:bookmarkStart w:id="56" w:name="_Toc230811148"/>
      <w:r w:rsidRPr="00BE34F3">
        <w:rPr>
          <w:rFonts w:ascii="Times New Roman" w:hAnsi="Times New Roman" w:cs="Times New Roman"/>
          <w:b/>
          <w:color w:val="auto"/>
        </w:rPr>
        <w:t>4.5.2 Multiple Linear Regression</w:t>
      </w:r>
      <w:bookmarkEnd w:id="56"/>
    </w:p>
    <w:p w:rsidR="005765CA" w:rsidRPr="001E3C20" w:rsidRDefault="005765CA" w:rsidP="005765CA">
      <w:pPr>
        <w:rPr>
          <w:rFonts w:cs="Times New Roman"/>
        </w:rPr>
      </w:pPr>
      <w:r w:rsidRPr="001E3C20">
        <w:rPr>
          <w:rFonts w:cs="Times New Roman"/>
        </w:rPr>
        <w:t>Multiple linear regression analysis was conducted to determine the combined and individual influence of Brand Salience, Brand Resonance, Brand Response, and Brand Imagery on Students’ Enrollment Decision. The results are presented in Tables 4.11, 4.12, and 4.13.</w:t>
      </w:r>
    </w:p>
    <w:p w:rsidR="005765CA" w:rsidRPr="001E3C20" w:rsidRDefault="005765CA" w:rsidP="005765CA">
      <w:pPr>
        <w:pStyle w:val="Heading4"/>
        <w:rPr>
          <w:rFonts w:ascii="Times New Roman" w:hAnsi="Times New Roman" w:cs="Times New Roman"/>
          <w:color w:val="auto"/>
        </w:rPr>
      </w:pPr>
      <w:bookmarkStart w:id="57" w:name="_Toc229492457"/>
      <w:r w:rsidRPr="001E3C20">
        <w:rPr>
          <w:rFonts w:ascii="Times New Roman" w:hAnsi="Times New Roman" w:cs="Times New Roman"/>
          <w:color w:val="auto"/>
        </w:rPr>
        <w:t>Table 4.11: Model Summary</w:t>
      </w:r>
      <w:bookmarkEnd w:id="57"/>
    </w:p>
    <w:tbl>
      <w:tblPr>
        <w:tblW w:w="5000"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576"/>
        <w:gridCol w:w="741"/>
        <w:gridCol w:w="786"/>
        <w:gridCol w:w="1063"/>
        <w:gridCol w:w="1063"/>
        <w:gridCol w:w="1063"/>
        <w:gridCol w:w="807"/>
        <w:gridCol w:w="741"/>
        <w:gridCol w:w="741"/>
        <w:gridCol w:w="1059"/>
      </w:tblGrid>
      <w:tr w:rsidR="001E3C20" w:rsidRPr="001E3C20" w:rsidTr="00A74E65">
        <w:trPr>
          <w:cantSplit/>
        </w:trPr>
        <w:tc>
          <w:tcPr>
            <w:tcW w:w="333" w:type="pct"/>
            <w:vMerge w:val="restart"/>
            <w:shd w:val="clear" w:color="auto" w:fill="auto"/>
            <w:vAlign w:val="bottom"/>
          </w:tcPr>
          <w:p w:rsidR="005765CA" w:rsidRPr="001E3C20" w:rsidRDefault="005765CA" w:rsidP="00A74E65">
            <w:pPr>
              <w:spacing w:before="0" w:after="0" w:line="360" w:lineRule="auto"/>
              <w:rPr>
                <w:rFonts w:cs="Times New Roman"/>
                <w:sz w:val="20"/>
                <w:szCs w:val="20"/>
              </w:rPr>
            </w:pPr>
            <w:r w:rsidRPr="001E3C20">
              <w:rPr>
                <w:rFonts w:cs="Times New Roman"/>
                <w:sz w:val="20"/>
                <w:szCs w:val="20"/>
              </w:rPr>
              <w:t>Model</w:t>
            </w:r>
          </w:p>
        </w:tc>
        <w:tc>
          <w:tcPr>
            <w:tcW w:w="429" w:type="pct"/>
            <w:vMerge w:val="restart"/>
            <w:shd w:val="clear" w:color="auto" w:fill="auto"/>
            <w:vAlign w:val="bottom"/>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R</w:t>
            </w:r>
          </w:p>
        </w:tc>
        <w:tc>
          <w:tcPr>
            <w:tcW w:w="455" w:type="pct"/>
            <w:vMerge w:val="restart"/>
            <w:shd w:val="clear" w:color="auto" w:fill="auto"/>
            <w:vAlign w:val="bottom"/>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R Square</w:t>
            </w:r>
          </w:p>
        </w:tc>
        <w:tc>
          <w:tcPr>
            <w:tcW w:w="615" w:type="pct"/>
            <w:vMerge w:val="restart"/>
            <w:shd w:val="clear" w:color="auto" w:fill="auto"/>
            <w:vAlign w:val="bottom"/>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Adjusted R Square</w:t>
            </w:r>
          </w:p>
        </w:tc>
        <w:tc>
          <w:tcPr>
            <w:tcW w:w="615" w:type="pct"/>
            <w:vMerge w:val="restart"/>
            <w:shd w:val="clear" w:color="auto" w:fill="auto"/>
            <w:vAlign w:val="bottom"/>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Std. Error of the Estimate</w:t>
            </w:r>
          </w:p>
        </w:tc>
        <w:tc>
          <w:tcPr>
            <w:tcW w:w="2553" w:type="pct"/>
            <w:gridSpan w:val="5"/>
            <w:shd w:val="clear" w:color="auto" w:fill="auto"/>
            <w:vAlign w:val="bottom"/>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Change Statistics</w:t>
            </w:r>
          </w:p>
        </w:tc>
      </w:tr>
      <w:tr w:rsidR="001E3C20" w:rsidRPr="001E3C20" w:rsidTr="00A74E65">
        <w:trPr>
          <w:cantSplit/>
        </w:trPr>
        <w:tc>
          <w:tcPr>
            <w:tcW w:w="333" w:type="pct"/>
            <w:vMerge/>
            <w:shd w:val="clear" w:color="auto" w:fill="auto"/>
            <w:vAlign w:val="bottom"/>
          </w:tcPr>
          <w:p w:rsidR="005765CA" w:rsidRPr="001E3C20" w:rsidRDefault="005765CA" w:rsidP="00A74E65">
            <w:pPr>
              <w:spacing w:before="0" w:after="0" w:line="360" w:lineRule="auto"/>
              <w:rPr>
                <w:rFonts w:cs="Times New Roman"/>
                <w:sz w:val="20"/>
                <w:szCs w:val="20"/>
              </w:rPr>
            </w:pPr>
          </w:p>
        </w:tc>
        <w:tc>
          <w:tcPr>
            <w:tcW w:w="429" w:type="pct"/>
            <w:vMerge/>
            <w:shd w:val="clear" w:color="auto" w:fill="auto"/>
            <w:vAlign w:val="bottom"/>
          </w:tcPr>
          <w:p w:rsidR="005765CA" w:rsidRPr="001E3C20" w:rsidRDefault="005765CA" w:rsidP="00A74E65">
            <w:pPr>
              <w:spacing w:before="0" w:after="0" w:line="360" w:lineRule="auto"/>
              <w:jc w:val="center"/>
              <w:rPr>
                <w:rFonts w:cs="Times New Roman"/>
                <w:sz w:val="20"/>
                <w:szCs w:val="20"/>
              </w:rPr>
            </w:pPr>
          </w:p>
        </w:tc>
        <w:tc>
          <w:tcPr>
            <w:tcW w:w="455" w:type="pct"/>
            <w:vMerge/>
            <w:shd w:val="clear" w:color="auto" w:fill="auto"/>
            <w:vAlign w:val="bottom"/>
          </w:tcPr>
          <w:p w:rsidR="005765CA" w:rsidRPr="001E3C20" w:rsidRDefault="005765CA" w:rsidP="00A74E65">
            <w:pPr>
              <w:spacing w:before="0" w:after="0" w:line="360" w:lineRule="auto"/>
              <w:jc w:val="center"/>
              <w:rPr>
                <w:rFonts w:cs="Times New Roman"/>
                <w:sz w:val="20"/>
                <w:szCs w:val="20"/>
              </w:rPr>
            </w:pPr>
          </w:p>
        </w:tc>
        <w:tc>
          <w:tcPr>
            <w:tcW w:w="615" w:type="pct"/>
            <w:vMerge/>
            <w:shd w:val="clear" w:color="auto" w:fill="auto"/>
            <w:vAlign w:val="bottom"/>
          </w:tcPr>
          <w:p w:rsidR="005765CA" w:rsidRPr="001E3C20" w:rsidRDefault="005765CA" w:rsidP="00A74E65">
            <w:pPr>
              <w:spacing w:before="0" w:after="0" w:line="360" w:lineRule="auto"/>
              <w:jc w:val="center"/>
              <w:rPr>
                <w:rFonts w:cs="Times New Roman"/>
                <w:sz w:val="20"/>
                <w:szCs w:val="20"/>
              </w:rPr>
            </w:pPr>
          </w:p>
        </w:tc>
        <w:tc>
          <w:tcPr>
            <w:tcW w:w="615" w:type="pct"/>
            <w:vMerge/>
            <w:shd w:val="clear" w:color="auto" w:fill="auto"/>
            <w:vAlign w:val="bottom"/>
          </w:tcPr>
          <w:p w:rsidR="005765CA" w:rsidRPr="001E3C20" w:rsidRDefault="005765CA" w:rsidP="00A74E65">
            <w:pPr>
              <w:spacing w:before="0" w:after="0" w:line="360" w:lineRule="auto"/>
              <w:jc w:val="center"/>
              <w:rPr>
                <w:rFonts w:cs="Times New Roman"/>
                <w:sz w:val="20"/>
                <w:szCs w:val="20"/>
              </w:rPr>
            </w:pPr>
          </w:p>
        </w:tc>
        <w:tc>
          <w:tcPr>
            <w:tcW w:w="615" w:type="pct"/>
            <w:shd w:val="clear" w:color="auto" w:fill="auto"/>
            <w:vAlign w:val="bottom"/>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R Square Change</w:t>
            </w:r>
          </w:p>
        </w:tc>
        <w:tc>
          <w:tcPr>
            <w:tcW w:w="467" w:type="pct"/>
            <w:shd w:val="clear" w:color="auto" w:fill="auto"/>
            <w:vAlign w:val="bottom"/>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F Change</w:t>
            </w:r>
          </w:p>
        </w:tc>
        <w:tc>
          <w:tcPr>
            <w:tcW w:w="429" w:type="pct"/>
            <w:shd w:val="clear" w:color="auto" w:fill="auto"/>
            <w:vAlign w:val="bottom"/>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df1</w:t>
            </w:r>
          </w:p>
        </w:tc>
        <w:tc>
          <w:tcPr>
            <w:tcW w:w="429" w:type="pct"/>
            <w:shd w:val="clear" w:color="auto" w:fill="auto"/>
            <w:vAlign w:val="bottom"/>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df2</w:t>
            </w:r>
          </w:p>
        </w:tc>
        <w:tc>
          <w:tcPr>
            <w:tcW w:w="613" w:type="pct"/>
            <w:shd w:val="clear" w:color="auto" w:fill="auto"/>
            <w:vAlign w:val="bottom"/>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Sig. F Change</w:t>
            </w:r>
          </w:p>
        </w:tc>
      </w:tr>
      <w:tr w:rsidR="001E3C20" w:rsidRPr="001E3C20" w:rsidTr="00A74E65">
        <w:trPr>
          <w:cantSplit/>
        </w:trPr>
        <w:tc>
          <w:tcPr>
            <w:tcW w:w="333" w:type="pct"/>
            <w:shd w:val="clear" w:color="auto" w:fill="auto"/>
          </w:tcPr>
          <w:p w:rsidR="005765CA" w:rsidRPr="001E3C20" w:rsidRDefault="005765CA" w:rsidP="00A74E65">
            <w:pPr>
              <w:spacing w:before="0" w:after="0" w:line="360" w:lineRule="auto"/>
              <w:rPr>
                <w:rFonts w:cs="Times New Roman"/>
                <w:sz w:val="20"/>
                <w:szCs w:val="20"/>
              </w:rPr>
            </w:pPr>
            <w:r w:rsidRPr="001E3C20">
              <w:rPr>
                <w:rFonts w:cs="Times New Roman"/>
                <w:sz w:val="20"/>
                <w:szCs w:val="20"/>
              </w:rPr>
              <w:t>1</w:t>
            </w:r>
          </w:p>
        </w:tc>
        <w:tc>
          <w:tcPr>
            <w:tcW w:w="429" w:type="pct"/>
            <w:shd w:val="clear" w:color="auto" w:fill="auto"/>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.824a</w:t>
            </w:r>
          </w:p>
        </w:tc>
        <w:tc>
          <w:tcPr>
            <w:tcW w:w="455" w:type="pct"/>
            <w:shd w:val="clear" w:color="auto" w:fill="auto"/>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.680</w:t>
            </w:r>
          </w:p>
        </w:tc>
        <w:tc>
          <w:tcPr>
            <w:tcW w:w="615" w:type="pct"/>
            <w:shd w:val="clear" w:color="auto" w:fill="auto"/>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.675</w:t>
            </w:r>
          </w:p>
        </w:tc>
        <w:tc>
          <w:tcPr>
            <w:tcW w:w="615" w:type="pct"/>
            <w:shd w:val="clear" w:color="auto" w:fill="auto"/>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.36329</w:t>
            </w:r>
          </w:p>
        </w:tc>
        <w:tc>
          <w:tcPr>
            <w:tcW w:w="615" w:type="pct"/>
            <w:shd w:val="clear" w:color="auto" w:fill="auto"/>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.680</w:t>
            </w:r>
          </w:p>
        </w:tc>
        <w:tc>
          <w:tcPr>
            <w:tcW w:w="467" w:type="pct"/>
            <w:shd w:val="clear" w:color="auto" w:fill="auto"/>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154.263</w:t>
            </w:r>
          </w:p>
        </w:tc>
        <w:tc>
          <w:tcPr>
            <w:tcW w:w="429" w:type="pct"/>
            <w:shd w:val="clear" w:color="auto" w:fill="auto"/>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4</w:t>
            </w:r>
          </w:p>
        </w:tc>
        <w:tc>
          <w:tcPr>
            <w:tcW w:w="429" w:type="pct"/>
            <w:shd w:val="clear" w:color="auto" w:fill="auto"/>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291</w:t>
            </w:r>
          </w:p>
        </w:tc>
        <w:tc>
          <w:tcPr>
            <w:tcW w:w="613" w:type="pct"/>
            <w:shd w:val="clear" w:color="auto" w:fill="auto"/>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.000</w:t>
            </w:r>
          </w:p>
        </w:tc>
      </w:tr>
      <w:tr w:rsidR="001E3C20" w:rsidRPr="001E3C20" w:rsidTr="00A74E65">
        <w:trPr>
          <w:cantSplit/>
        </w:trPr>
        <w:tc>
          <w:tcPr>
            <w:tcW w:w="5000" w:type="pct"/>
            <w:gridSpan w:val="10"/>
            <w:shd w:val="clear" w:color="auto" w:fill="auto"/>
          </w:tcPr>
          <w:p w:rsidR="005765CA" w:rsidRPr="001E3C20" w:rsidRDefault="005765CA" w:rsidP="005765CA">
            <w:pPr>
              <w:spacing w:before="0" w:after="0" w:line="360" w:lineRule="auto"/>
              <w:rPr>
                <w:rFonts w:cs="Times New Roman"/>
                <w:sz w:val="20"/>
                <w:szCs w:val="20"/>
              </w:rPr>
            </w:pPr>
            <w:r w:rsidRPr="001E3C20">
              <w:rPr>
                <w:rFonts w:cs="Times New Roman"/>
                <w:sz w:val="20"/>
                <w:szCs w:val="20"/>
              </w:rPr>
              <w:lastRenderedPageBreak/>
              <w:t>a. Predictors: (Constant), Brand Salience</w:t>
            </w:r>
          </w:p>
        </w:tc>
      </w:tr>
      <w:tr w:rsidR="001E3C20" w:rsidRPr="001E3C20" w:rsidTr="00A74E65">
        <w:trPr>
          <w:cantSplit/>
        </w:trPr>
        <w:tc>
          <w:tcPr>
            <w:tcW w:w="5000" w:type="pct"/>
            <w:gridSpan w:val="10"/>
            <w:shd w:val="clear" w:color="auto" w:fill="auto"/>
          </w:tcPr>
          <w:p w:rsidR="005765CA" w:rsidRPr="001E3C20" w:rsidRDefault="005765CA" w:rsidP="00A74E65">
            <w:pPr>
              <w:spacing w:before="0" w:after="0" w:line="360" w:lineRule="auto"/>
              <w:rPr>
                <w:rFonts w:cs="Times New Roman"/>
                <w:sz w:val="20"/>
                <w:szCs w:val="20"/>
              </w:rPr>
            </w:pPr>
            <w:r w:rsidRPr="001E3C20">
              <w:rPr>
                <w:rFonts w:cs="Times New Roman"/>
                <w:sz w:val="20"/>
                <w:szCs w:val="20"/>
              </w:rPr>
              <w:t>b. Dependent Variable: Students’ Enrollment Decision</w:t>
            </w:r>
          </w:p>
        </w:tc>
      </w:tr>
    </w:tbl>
    <w:p w:rsidR="005765CA" w:rsidRPr="001E3C20" w:rsidRDefault="005765CA" w:rsidP="005765CA">
      <w:pPr>
        <w:rPr>
          <w:rFonts w:cs="Times New Roman"/>
        </w:rPr>
      </w:pPr>
      <w:r w:rsidRPr="001E3C20">
        <w:rPr>
          <w:rFonts w:cs="Times New Roman"/>
        </w:rPr>
        <w:t>The model summary indicates a strong relationship between the independent variables and Students’ Enrollment Decision, with a correlation coefficient (R) of 0.824. This suggests a strong positive linear association between brand equity dimensions and students’ enrollment decision-making. The coefficient of determination (R²) is 0.680, implying that 68.0% of the variation in Students’ Enrollment Decision is explained by B</w:t>
      </w:r>
      <w:r w:rsidR="00BE34F3">
        <w:rPr>
          <w:rFonts w:cs="Times New Roman"/>
        </w:rPr>
        <w:t>rand Salience.</w:t>
      </w:r>
      <w:r w:rsidRPr="001E3C20">
        <w:rPr>
          <w:rFonts w:cs="Times New Roman"/>
        </w:rPr>
        <w:t xml:space="preserve"> The adjusted R² value of 0.675 indicates that even after adjusting for the number of predictors, the model retains strong explanatory power. </w:t>
      </w:r>
    </w:p>
    <w:p w:rsidR="005765CA" w:rsidRPr="001E3C20" w:rsidRDefault="005765CA" w:rsidP="005765CA">
      <w:pPr>
        <w:rPr>
          <w:rFonts w:cs="Times New Roman"/>
        </w:rPr>
      </w:pPr>
      <w:r w:rsidRPr="001E3C20">
        <w:rPr>
          <w:rFonts w:cs="Times New Roman"/>
        </w:rPr>
        <w:t>The ANOVA results further validate the overall model fitness. The regression sum of squares (81.440) is substantially higher than the residual sum of squares (38.407), indicating that the model explains a large proportion of the variability in the dependent variable as shown in Table 4.12.</w:t>
      </w:r>
    </w:p>
    <w:p w:rsidR="005765CA" w:rsidRPr="001E3C20" w:rsidRDefault="005765CA" w:rsidP="005765CA">
      <w:pPr>
        <w:pStyle w:val="Heading4"/>
        <w:rPr>
          <w:rFonts w:ascii="Times New Roman" w:hAnsi="Times New Roman" w:cs="Times New Roman"/>
          <w:i w:val="0"/>
          <w:color w:val="auto"/>
        </w:rPr>
      </w:pPr>
      <w:bookmarkStart w:id="58" w:name="_Toc229492458"/>
      <w:r w:rsidRPr="001E3C20">
        <w:rPr>
          <w:rFonts w:ascii="Times New Roman" w:hAnsi="Times New Roman" w:cs="Times New Roman"/>
          <w:color w:val="auto"/>
        </w:rPr>
        <w:t>Table 4.12: ANOVA Results</w:t>
      </w:r>
      <w:bookmarkEnd w:id="58"/>
    </w:p>
    <w:tbl>
      <w:tblPr>
        <w:tblW w:w="8498"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781"/>
        <w:gridCol w:w="1371"/>
        <w:gridCol w:w="1566"/>
        <w:gridCol w:w="1093"/>
        <w:gridCol w:w="1501"/>
        <w:gridCol w:w="1093"/>
        <w:gridCol w:w="1093"/>
      </w:tblGrid>
      <w:tr w:rsidR="001E3C20" w:rsidRPr="001E3C20" w:rsidTr="00A74E65">
        <w:trPr>
          <w:cantSplit/>
        </w:trPr>
        <w:tc>
          <w:tcPr>
            <w:tcW w:w="2152" w:type="dxa"/>
            <w:gridSpan w:val="2"/>
            <w:tcBorders>
              <w:top w:val="single" w:sz="4" w:space="0" w:color="auto"/>
              <w:bottom w:val="single" w:sz="4" w:space="0" w:color="auto"/>
            </w:tcBorders>
            <w:shd w:val="clear" w:color="auto" w:fill="auto"/>
            <w:vAlign w:val="bottom"/>
          </w:tcPr>
          <w:p w:rsidR="005765CA" w:rsidRPr="001E3C20" w:rsidRDefault="005765CA" w:rsidP="00A74E65">
            <w:pPr>
              <w:spacing w:before="0" w:after="0" w:line="360" w:lineRule="auto"/>
              <w:rPr>
                <w:rFonts w:cs="Times New Roman"/>
                <w:b/>
                <w:sz w:val="20"/>
                <w:szCs w:val="20"/>
              </w:rPr>
            </w:pPr>
            <w:r w:rsidRPr="001E3C20">
              <w:rPr>
                <w:rFonts w:cs="Times New Roman"/>
                <w:b/>
                <w:sz w:val="20"/>
                <w:szCs w:val="20"/>
              </w:rPr>
              <w:t>Model</w:t>
            </w:r>
          </w:p>
        </w:tc>
        <w:tc>
          <w:tcPr>
            <w:tcW w:w="1566" w:type="dxa"/>
            <w:tcBorders>
              <w:top w:val="single" w:sz="4" w:space="0" w:color="auto"/>
              <w:bottom w:val="single" w:sz="4" w:space="0" w:color="auto"/>
            </w:tcBorders>
            <w:shd w:val="clear" w:color="auto" w:fill="auto"/>
            <w:vAlign w:val="bottom"/>
          </w:tcPr>
          <w:p w:rsidR="005765CA" w:rsidRPr="001E3C20" w:rsidRDefault="005765CA" w:rsidP="00A74E65">
            <w:pPr>
              <w:spacing w:before="0" w:after="0" w:line="360" w:lineRule="auto"/>
              <w:jc w:val="center"/>
              <w:rPr>
                <w:rFonts w:cs="Times New Roman"/>
                <w:b/>
                <w:sz w:val="20"/>
                <w:szCs w:val="20"/>
              </w:rPr>
            </w:pPr>
            <w:r w:rsidRPr="001E3C20">
              <w:rPr>
                <w:rFonts w:cs="Times New Roman"/>
                <w:b/>
                <w:sz w:val="20"/>
                <w:szCs w:val="20"/>
              </w:rPr>
              <w:t>Sum of Squares</w:t>
            </w:r>
          </w:p>
        </w:tc>
        <w:tc>
          <w:tcPr>
            <w:tcW w:w="1093" w:type="dxa"/>
            <w:tcBorders>
              <w:top w:val="single" w:sz="4" w:space="0" w:color="auto"/>
              <w:bottom w:val="single" w:sz="4" w:space="0" w:color="auto"/>
            </w:tcBorders>
            <w:shd w:val="clear" w:color="auto" w:fill="auto"/>
            <w:vAlign w:val="bottom"/>
          </w:tcPr>
          <w:p w:rsidR="005765CA" w:rsidRPr="001E3C20" w:rsidRDefault="005765CA" w:rsidP="00A74E65">
            <w:pPr>
              <w:spacing w:before="0" w:after="0" w:line="360" w:lineRule="auto"/>
              <w:jc w:val="center"/>
              <w:rPr>
                <w:rFonts w:cs="Times New Roman"/>
                <w:b/>
                <w:sz w:val="20"/>
                <w:szCs w:val="20"/>
              </w:rPr>
            </w:pPr>
            <w:proofErr w:type="spellStart"/>
            <w:r w:rsidRPr="001E3C20">
              <w:rPr>
                <w:rFonts w:cs="Times New Roman"/>
                <w:b/>
                <w:sz w:val="20"/>
                <w:szCs w:val="20"/>
              </w:rPr>
              <w:t>df</w:t>
            </w:r>
            <w:proofErr w:type="spellEnd"/>
          </w:p>
        </w:tc>
        <w:tc>
          <w:tcPr>
            <w:tcW w:w="1501" w:type="dxa"/>
            <w:tcBorders>
              <w:top w:val="single" w:sz="4" w:space="0" w:color="auto"/>
              <w:bottom w:val="single" w:sz="4" w:space="0" w:color="auto"/>
            </w:tcBorders>
            <w:shd w:val="clear" w:color="auto" w:fill="auto"/>
            <w:vAlign w:val="bottom"/>
          </w:tcPr>
          <w:p w:rsidR="005765CA" w:rsidRPr="001E3C20" w:rsidRDefault="005765CA" w:rsidP="00A74E65">
            <w:pPr>
              <w:spacing w:before="0" w:after="0" w:line="360" w:lineRule="auto"/>
              <w:jc w:val="center"/>
              <w:rPr>
                <w:rFonts w:cs="Times New Roman"/>
                <w:b/>
                <w:sz w:val="20"/>
                <w:szCs w:val="20"/>
              </w:rPr>
            </w:pPr>
            <w:r w:rsidRPr="001E3C20">
              <w:rPr>
                <w:rFonts w:cs="Times New Roman"/>
                <w:b/>
                <w:sz w:val="20"/>
                <w:szCs w:val="20"/>
              </w:rPr>
              <w:t>Mean Square</w:t>
            </w:r>
          </w:p>
        </w:tc>
        <w:tc>
          <w:tcPr>
            <w:tcW w:w="1093" w:type="dxa"/>
            <w:tcBorders>
              <w:top w:val="single" w:sz="4" w:space="0" w:color="auto"/>
              <w:bottom w:val="single" w:sz="4" w:space="0" w:color="auto"/>
            </w:tcBorders>
            <w:shd w:val="clear" w:color="auto" w:fill="auto"/>
            <w:vAlign w:val="bottom"/>
          </w:tcPr>
          <w:p w:rsidR="005765CA" w:rsidRPr="001E3C20" w:rsidRDefault="005765CA" w:rsidP="00A74E65">
            <w:pPr>
              <w:spacing w:before="0" w:after="0" w:line="360" w:lineRule="auto"/>
              <w:jc w:val="center"/>
              <w:rPr>
                <w:rFonts w:cs="Times New Roman"/>
                <w:b/>
                <w:sz w:val="20"/>
                <w:szCs w:val="20"/>
              </w:rPr>
            </w:pPr>
            <w:r w:rsidRPr="001E3C20">
              <w:rPr>
                <w:rFonts w:cs="Times New Roman"/>
                <w:b/>
                <w:sz w:val="20"/>
                <w:szCs w:val="20"/>
              </w:rPr>
              <w:t>F</w:t>
            </w:r>
          </w:p>
        </w:tc>
        <w:tc>
          <w:tcPr>
            <w:tcW w:w="1093" w:type="dxa"/>
            <w:tcBorders>
              <w:top w:val="single" w:sz="4" w:space="0" w:color="auto"/>
              <w:bottom w:val="single" w:sz="4" w:space="0" w:color="auto"/>
            </w:tcBorders>
            <w:shd w:val="clear" w:color="auto" w:fill="auto"/>
            <w:vAlign w:val="bottom"/>
          </w:tcPr>
          <w:p w:rsidR="005765CA" w:rsidRPr="001E3C20" w:rsidRDefault="005765CA" w:rsidP="00A74E65">
            <w:pPr>
              <w:spacing w:before="0" w:after="0" w:line="360" w:lineRule="auto"/>
              <w:jc w:val="center"/>
              <w:rPr>
                <w:rFonts w:cs="Times New Roman"/>
                <w:b/>
                <w:sz w:val="20"/>
                <w:szCs w:val="20"/>
              </w:rPr>
            </w:pPr>
            <w:r w:rsidRPr="001E3C20">
              <w:rPr>
                <w:rFonts w:cs="Times New Roman"/>
                <w:b/>
                <w:sz w:val="20"/>
                <w:szCs w:val="20"/>
              </w:rPr>
              <w:t>Sig.</w:t>
            </w:r>
          </w:p>
        </w:tc>
      </w:tr>
      <w:tr w:rsidR="001E3C20" w:rsidRPr="001E3C20" w:rsidTr="00A74E65">
        <w:trPr>
          <w:cantSplit/>
        </w:trPr>
        <w:tc>
          <w:tcPr>
            <w:tcW w:w="781" w:type="dxa"/>
            <w:vMerge w:val="restart"/>
            <w:tcBorders>
              <w:top w:val="single" w:sz="4" w:space="0" w:color="auto"/>
            </w:tcBorders>
            <w:shd w:val="clear" w:color="auto" w:fill="auto"/>
          </w:tcPr>
          <w:p w:rsidR="005765CA" w:rsidRPr="001E3C20" w:rsidRDefault="005765CA" w:rsidP="00A74E65">
            <w:pPr>
              <w:spacing w:before="0" w:after="0" w:line="360" w:lineRule="auto"/>
              <w:rPr>
                <w:rFonts w:cs="Times New Roman"/>
                <w:sz w:val="20"/>
                <w:szCs w:val="20"/>
              </w:rPr>
            </w:pPr>
            <w:r w:rsidRPr="001E3C20">
              <w:rPr>
                <w:rFonts w:cs="Times New Roman"/>
                <w:sz w:val="20"/>
                <w:szCs w:val="20"/>
              </w:rPr>
              <w:t>1</w:t>
            </w:r>
          </w:p>
        </w:tc>
        <w:tc>
          <w:tcPr>
            <w:tcW w:w="1371" w:type="dxa"/>
            <w:tcBorders>
              <w:top w:val="single" w:sz="4" w:space="0" w:color="auto"/>
            </w:tcBorders>
            <w:shd w:val="clear" w:color="auto" w:fill="auto"/>
          </w:tcPr>
          <w:p w:rsidR="005765CA" w:rsidRPr="001E3C20" w:rsidRDefault="005765CA" w:rsidP="00A74E65">
            <w:pPr>
              <w:spacing w:before="0" w:after="0" w:line="360" w:lineRule="auto"/>
              <w:rPr>
                <w:rFonts w:cs="Times New Roman"/>
                <w:sz w:val="20"/>
                <w:szCs w:val="20"/>
              </w:rPr>
            </w:pPr>
            <w:r w:rsidRPr="001E3C20">
              <w:rPr>
                <w:rFonts w:cs="Times New Roman"/>
                <w:sz w:val="20"/>
                <w:szCs w:val="20"/>
              </w:rPr>
              <w:t>Regression</w:t>
            </w:r>
          </w:p>
        </w:tc>
        <w:tc>
          <w:tcPr>
            <w:tcW w:w="1566" w:type="dxa"/>
            <w:tcBorders>
              <w:top w:val="single" w:sz="4" w:space="0" w:color="auto"/>
            </w:tcBorders>
            <w:shd w:val="clear" w:color="auto" w:fill="auto"/>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81.440</w:t>
            </w:r>
          </w:p>
        </w:tc>
        <w:tc>
          <w:tcPr>
            <w:tcW w:w="1093" w:type="dxa"/>
            <w:tcBorders>
              <w:top w:val="single" w:sz="4" w:space="0" w:color="auto"/>
            </w:tcBorders>
            <w:shd w:val="clear" w:color="auto" w:fill="auto"/>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4</w:t>
            </w:r>
          </w:p>
        </w:tc>
        <w:tc>
          <w:tcPr>
            <w:tcW w:w="1501" w:type="dxa"/>
            <w:tcBorders>
              <w:top w:val="single" w:sz="4" w:space="0" w:color="auto"/>
            </w:tcBorders>
            <w:shd w:val="clear" w:color="auto" w:fill="auto"/>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20.360</w:t>
            </w:r>
          </w:p>
        </w:tc>
        <w:tc>
          <w:tcPr>
            <w:tcW w:w="1093" w:type="dxa"/>
            <w:tcBorders>
              <w:top w:val="single" w:sz="4" w:space="0" w:color="auto"/>
            </w:tcBorders>
            <w:shd w:val="clear" w:color="auto" w:fill="auto"/>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154.263</w:t>
            </w:r>
          </w:p>
        </w:tc>
        <w:tc>
          <w:tcPr>
            <w:tcW w:w="1093" w:type="dxa"/>
            <w:tcBorders>
              <w:top w:val="single" w:sz="4" w:space="0" w:color="auto"/>
            </w:tcBorders>
            <w:shd w:val="clear" w:color="auto" w:fill="auto"/>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.000b</w:t>
            </w:r>
          </w:p>
        </w:tc>
      </w:tr>
      <w:tr w:rsidR="001E3C20" w:rsidRPr="001E3C20" w:rsidTr="00A74E65">
        <w:trPr>
          <w:cantSplit/>
        </w:trPr>
        <w:tc>
          <w:tcPr>
            <w:tcW w:w="781" w:type="dxa"/>
            <w:vMerge/>
            <w:shd w:val="clear" w:color="auto" w:fill="auto"/>
          </w:tcPr>
          <w:p w:rsidR="005765CA" w:rsidRPr="001E3C20" w:rsidRDefault="005765CA" w:rsidP="00A74E65">
            <w:pPr>
              <w:spacing w:before="0" w:after="0" w:line="360" w:lineRule="auto"/>
              <w:rPr>
                <w:rFonts w:cs="Times New Roman"/>
                <w:sz w:val="20"/>
                <w:szCs w:val="20"/>
              </w:rPr>
            </w:pPr>
          </w:p>
        </w:tc>
        <w:tc>
          <w:tcPr>
            <w:tcW w:w="1371" w:type="dxa"/>
            <w:shd w:val="clear" w:color="auto" w:fill="auto"/>
          </w:tcPr>
          <w:p w:rsidR="005765CA" w:rsidRPr="001E3C20" w:rsidRDefault="005765CA" w:rsidP="00A74E65">
            <w:pPr>
              <w:spacing w:before="0" w:after="0" w:line="360" w:lineRule="auto"/>
              <w:rPr>
                <w:rFonts w:cs="Times New Roman"/>
                <w:sz w:val="20"/>
                <w:szCs w:val="20"/>
              </w:rPr>
            </w:pPr>
            <w:r w:rsidRPr="001E3C20">
              <w:rPr>
                <w:rFonts w:cs="Times New Roman"/>
                <w:sz w:val="20"/>
                <w:szCs w:val="20"/>
              </w:rPr>
              <w:t>Residual</w:t>
            </w:r>
          </w:p>
        </w:tc>
        <w:tc>
          <w:tcPr>
            <w:tcW w:w="1566" w:type="dxa"/>
            <w:shd w:val="clear" w:color="auto" w:fill="auto"/>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38.407</w:t>
            </w:r>
          </w:p>
        </w:tc>
        <w:tc>
          <w:tcPr>
            <w:tcW w:w="1093" w:type="dxa"/>
            <w:shd w:val="clear" w:color="auto" w:fill="auto"/>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291</w:t>
            </w:r>
          </w:p>
        </w:tc>
        <w:tc>
          <w:tcPr>
            <w:tcW w:w="1501" w:type="dxa"/>
            <w:shd w:val="clear" w:color="auto" w:fill="auto"/>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.132</w:t>
            </w:r>
          </w:p>
        </w:tc>
        <w:tc>
          <w:tcPr>
            <w:tcW w:w="1093" w:type="dxa"/>
            <w:shd w:val="clear" w:color="auto" w:fill="auto"/>
            <w:vAlign w:val="center"/>
          </w:tcPr>
          <w:p w:rsidR="005765CA" w:rsidRPr="001E3C20" w:rsidRDefault="005765CA" w:rsidP="00A74E65">
            <w:pPr>
              <w:spacing w:before="0" w:after="0" w:line="360" w:lineRule="auto"/>
              <w:jc w:val="center"/>
              <w:rPr>
                <w:rFonts w:cs="Times New Roman"/>
                <w:sz w:val="20"/>
                <w:szCs w:val="20"/>
              </w:rPr>
            </w:pPr>
          </w:p>
        </w:tc>
        <w:tc>
          <w:tcPr>
            <w:tcW w:w="1093" w:type="dxa"/>
            <w:shd w:val="clear" w:color="auto" w:fill="auto"/>
            <w:vAlign w:val="center"/>
          </w:tcPr>
          <w:p w:rsidR="005765CA" w:rsidRPr="001E3C20" w:rsidRDefault="005765CA" w:rsidP="00A74E65">
            <w:pPr>
              <w:spacing w:before="0" w:after="0" w:line="360" w:lineRule="auto"/>
              <w:jc w:val="center"/>
              <w:rPr>
                <w:rFonts w:cs="Times New Roman"/>
                <w:sz w:val="20"/>
                <w:szCs w:val="20"/>
              </w:rPr>
            </w:pPr>
          </w:p>
        </w:tc>
      </w:tr>
      <w:tr w:rsidR="001E3C20" w:rsidRPr="001E3C20" w:rsidTr="00A74E65">
        <w:trPr>
          <w:cantSplit/>
        </w:trPr>
        <w:tc>
          <w:tcPr>
            <w:tcW w:w="781" w:type="dxa"/>
            <w:vMerge/>
            <w:shd w:val="clear" w:color="auto" w:fill="auto"/>
          </w:tcPr>
          <w:p w:rsidR="005765CA" w:rsidRPr="001E3C20" w:rsidRDefault="005765CA" w:rsidP="00A74E65">
            <w:pPr>
              <w:spacing w:before="0" w:after="0" w:line="360" w:lineRule="auto"/>
              <w:rPr>
                <w:rFonts w:cs="Times New Roman"/>
                <w:sz w:val="20"/>
                <w:szCs w:val="20"/>
              </w:rPr>
            </w:pPr>
          </w:p>
        </w:tc>
        <w:tc>
          <w:tcPr>
            <w:tcW w:w="1371" w:type="dxa"/>
            <w:shd w:val="clear" w:color="auto" w:fill="auto"/>
          </w:tcPr>
          <w:p w:rsidR="005765CA" w:rsidRPr="001E3C20" w:rsidRDefault="005765CA" w:rsidP="00A74E65">
            <w:pPr>
              <w:spacing w:before="0" w:after="0" w:line="360" w:lineRule="auto"/>
              <w:rPr>
                <w:rFonts w:cs="Times New Roman"/>
                <w:sz w:val="20"/>
                <w:szCs w:val="20"/>
              </w:rPr>
            </w:pPr>
            <w:r w:rsidRPr="001E3C20">
              <w:rPr>
                <w:rFonts w:cs="Times New Roman"/>
                <w:sz w:val="20"/>
                <w:szCs w:val="20"/>
              </w:rPr>
              <w:t>Total</w:t>
            </w:r>
          </w:p>
        </w:tc>
        <w:tc>
          <w:tcPr>
            <w:tcW w:w="1566" w:type="dxa"/>
            <w:shd w:val="clear" w:color="auto" w:fill="auto"/>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119.848</w:t>
            </w:r>
          </w:p>
        </w:tc>
        <w:tc>
          <w:tcPr>
            <w:tcW w:w="1093" w:type="dxa"/>
            <w:shd w:val="clear" w:color="auto" w:fill="auto"/>
          </w:tcPr>
          <w:p w:rsidR="005765CA" w:rsidRPr="001E3C20" w:rsidRDefault="005765CA" w:rsidP="00A74E65">
            <w:pPr>
              <w:spacing w:before="0" w:after="0" w:line="360" w:lineRule="auto"/>
              <w:jc w:val="center"/>
              <w:rPr>
                <w:rFonts w:cs="Times New Roman"/>
                <w:sz w:val="20"/>
                <w:szCs w:val="20"/>
              </w:rPr>
            </w:pPr>
            <w:r w:rsidRPr="001E3C20">
              <w:rPr>
                <w:rFonts w:cs="Times New Roman"/>
                <w:sz w:val="20"/>
                <w:szCs w:val="20"/>
              </w:rPr>
              <w:t>295</w:t>
            </w:r>
          </w:p>
        </w:tc>
        <w:tc>
          <w:tcPr>
            <w:tcW w:w="1501" w:type="dxa"/>
            <w:shd w:val="clear" w:color="auto" w:fill="auto"/>
            <w:vAlign w:val="center"/>
          </w:tcPr>
          <w:p w:rsidR="005765CA" w:rsidRPr="001E3C20" w:rsidRDefault="005765CA" w:rsidP="00A74E65">
            <w:pPr>
              <w:spacing w:before="0" w:after="0" w:line="360" w:lineRule="auto"/>
              <w:jc w:val="center"/>
              <w:rPr>
                <w:rFonts w:cs="Times New Roman"/>
                <w:sz w:val="20"/>
                <w:szCs w:val="20"/>
              </w:rPr>
            </w:pPr>
          </w:p>
        </w:tc>
        <w:tc>
          <w:tcPr>
            <w:tcW w:w="1093" w:type="dxa"/>
            <w:shd w:val="clear" w:color="auto" w:fill="auto"/>
            <w:vAlign w:val="center"/>
          </w:tcPr>
          <w:p w:rsidR="005765CA" w:rsidRPr="001E3C20" w:rsidRDefault="005765CA" w:rsidP="00A74E65">
            <w:pPr>
              <w:spacing w:before="0" w:after="0" w:line="360" w:lineRule="auto"/>
              <w:jc w:val="center"/>
              <w:rPr>
                <w:rFonts w:cs="Times New Roman"/>
                <w:sz w:val="20"/>
                <w:szCs w:val="20"/>
              </w:rPr>
            </w:pPr>
          </w:p>
        </w:tc>
        <w:tc>
          <w:tcPr>
            <w:tcW w:w="1093" w:type="dxa"/>
            <w:shd w:val="clear" w:color="auto" w:fill="auto"/>
            <w:vAlign w:val="center"/>
          </w:tcPr>
          <w:p w:rsidR="005765CA" w:rsidRPr="001E3C20" w:rsidRDefault="005765CA" w:rsidP="00A74E65">
            <w:pPr>
              <w:spacing w:before="0" w:after="0" w:line="360" w:lineRule="auto"/>
              <w:jc w:val="center"/>
              <w:rPr>
                <w:rFonts w:cs="Times New Roman"/>
                <w:sz w:val="20"/>
                <w:szCs w:val="20"/>
              </w:rPr>
            </w:pPr>
          </w:p>
        </w:tc>
      </w:tr>
      <w:tr w:rsidR="001E3C20" w:rsidRPr="001E3C20" w:rsidTr="00A74E65">
        <w:trPr>
          <w:cantSplit/>
        </w:trPr>
        <w:tc>
          <w:tcPr>
            <w:tcW w:w="8498" w:type="dxa"/>
            <w:gridSpan w:val="7"/>
            <w:shd w:val="clear" w:color="auto" w:fill="auto"/>
          </w:tcPr>
          <w:p w:rsidR="005765CA" w:rsidRPr="001E3C20" w:rsidRDefault="005765CA" w:rsidP="00A74E65">
            <w:pPr>
              <w:spacing w:before="0" w:after="0" w:line="360" w:lineRule="auto"/>
              <w:rPr>
                <w:rFonts w:cs="Times New Roman"/>
                <w:sz w:val="20"/>
                <w:szCs w:val="20"/>
              </w:rPr>
            </w:pPr>
            <w:r w:rsidRPr="001E3C20">
              <w:rPr>
                <w:rFonts w:cs="Times New Roman"/>
                <w:sz w:val="20"/>
                <w:szCs w:val="20"/>
              </w:rPr>
              <w:t>a. Dependent Variable: Students’ Enrollment Decision</w:t>
            </w:r>
          </w:p>
        </w:tc>
      </w:tr>
      <w:tr w:rsidR="001E3C20" w:rsidRPr="001E3C20" w:rsidTr="00A74E65">
        <w:trPr>
          <w:cantSplit/>
        </w:trPr>
        <w:tc>
          <w:tcPr>
            <w:tcW w:w="8498" w:type="dxa"/>
            <w:gridSpan w:val="7"/>
            <w:shd w:val="clear" w:color="auto" w:fill="auto"/>
          </w:tcPr>
          <w:p w:rsidR="005765CA" w:rsidRPr="001E3C20" w:rsidRDefault="005765CA" w:rsidP="00A74E65">
            <w:pPr>
              <w:spacing w:before="0" w:after="0" w:line="360" w:lineRule="auto"/>
              <w:rPr>
                <w:rFonts w:cs="Times New Roman"/>
                <w:sz w:val="20"/>
                <w:szCs w:val="20"/>
              </w:rPr>
            </w:pPr>
            <w:r w:rsidRPr="001E3C20">
              <w:rPr>
                <w:rFonts w:cs="Times New Roman"/>
                <w:sz w:val="20"/>
                <w:szCs w:val="20"/>
              </w:rPr>
              <w:t>b. Predictors: (Constant), Brand Imagery, Brand Resonance, Brand Salience, Brand Response</w:t>
            </w:r>
          </w:p>
        </w:tc>
      </w:tr>
    </w:tbl>
    <w:p w:rsidR="005765CA" w:rsidRPr="001E3C20" w:rsidRDefault="005765CA" w:rsidP="005765CA">
      <w:pPr>
        <w:rPr>
          <w:rFonts w:cs="Times New Roman"/>
        </w:rPr>
      </w:pPr>
      <w:r w:rsidRPr="001E3C20">
        <w:rPr>
          <w:rFonts w:cs="Times New Roman"/>
        </w:rPr>
        <w:t>The F-statistic of 154.263 with a significance level of p = 0.000 (p &lt; 0.05) confirms that the regression model is statistically significant. This implies that, collectively, Brand Salience, significantly influence Students’ Enrollment Decision. Therefore, the null hyp</w:t>
      </w:r>
      <w:r w:rsidR="00BE34F3">
        <w:rPr>
          <w:rFonts w:cs="Times New Roman"/>
        </w:rPr>
        <w:t xml:space="preserve">othesis of no joint effect failed to be </w:t>
      </w:r>
      <w:r w:rsidRPr="001E3C20">
        <w:rPr>
          <w:rFonts w:cs="Times New Roman"/>
        </w:rPr>
        <w:t>rejected.</w:t>
      </w:r>
    </w:p>
    <w:p w:rsidR="005765CA" w:rsidRPr="001E3C20" w:rsidRDefault="005765CA" w:rsidP="005765CA">
      <w:pPr>
        <w:rPr>
          <w:rFonts w:cs="Times New Roman"/>
        </w:rPr>
      </w:pPr>
      <w:r w:rsidRPr="001E3C20">
        <w:rPr>
          <w:rFonts w:cs="Times New Roman"/>
        </w:rPr>
        <w:t xml:space="preserve">The coefficients Table 4.13 provides important insights into the magnitude and direction of the relationship between each brand equity dimension and Students’ Enrollment Decision, while controlling for the influence of other variables in the model. The resulting regression equation </w:t>
      </w:r>
      <w:r w:rsidRPr="001E3C20">
        <w:rPr>
          <w:rFonts w:cs="Times New Roman"/>
        </w:rPr>
        <w:lastRenderedPageBreak/>
        <w:t>shows that all predictors contribute positively to enrollment decisions, indicating that improvements in any of the brand equity dimensions are associated with an increase in students’ likelihood of enrolling in the institution.</w:t>
      </w:r>
    </w:p>
    <w:p w:rsidR="005765CA" w:rsidRPr="001E3C20" w:rsidRDefault="005765CA" w:rsidP="005765CA">
      <w:pPr>
        <w:pStyle w:val="Heading4"/>
        <w:rPr>
          <w:rFonts w:ascii="Times New Roman" w:hAnsi="Times New Roman" w:cs="Times New Roman"/>
          <w:color w:val="auto"/>
        </w:rPr>
      </w:pPr>
      <w:bookmarkStart w:id="59" w:name="_Toc229492459"/>
      <w:r w:rsidRPr="001E3C20">
        <w:rPr>
          <w:rFonts w:ascii="Times New Roman" w:hAnsi="Times New Roman" w:cs="Times New Roman"/>
          <w:color w:val="auto"/>
        </w:rPr>
        <w:t>Table 4.13: Coefficient Results</w:t>
      </w:r>
      <w:bookmarkEnd w:id="59"/>
    </w:p>
    <w:tbl>
      <w:tblPr>
        <w:tblStyle w:val="TableGrid1"/>
        <w:tblW w:w="931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782"/>
        <w:gridCol w:w="1942"/>
        <w:gridCol w:w="1420"/>
        <w:gridCol w:w="1420"/>
        <w:gridCol w:w="1566"/>
        <w:gridCol w:w="1092"/>
        <w:gridCol w:w="1092"/>
      </w:tblGrid>
      <w:tr w:rsidR="001E3C20" w:rsidRPr="001E3C20" w:rsidTr="00A74E65">
        <w:tc>
          <w:tcPr>
            <w:tcW w:w="2724" w:type="dxa"/>
            <w:gridSpan w:val="2"/>
            <w:vMerge w:val="restart"/>
          </w:tcPr>
          <w:p w:rsidR="005765CA" w:rsidRPr="001E3C20" w:rsidRDefault="005765CA" w:rsidP="00A74E65">
            <w:pPr>
              <w:spacing w:before="0" w:after="0" w:line="360" w:lineRule="auto"/>
              <w:rPr>
                <w:sz w:val="20"/>
                <w:szCs w:val="20"/>
              </w:rPr>
            </w:pPr>
            <w:r w:rsidRPr="001E3C20">
              <w:rPr>
                <w:sz w:val="20"/>
                <w:szCs w:val="20"/>
              </w:rPr>
              <w:t>Model</w:t>
            </w:r>
          </w:p>
        </w:tc>
        <w:tc>
          <w:tcPr>
            <w:tcW w:w="2840" w:type="dxa"/>
            <w:gridSpan w:val="2"/>
          </w:tcPr>
          <w:p w:rsidR="005765CA" w:rsidRPr="001E3C20" w:rsidRDefault="005765CA" w:rsidP="00A74E65">
            <w:pPr>
              <w:spacing w:before="0" w:after="0" w:line="360" w:lineRule="auto"/>
              <w:rPr>
                <w:b/>
                <w:sz w:val="20"/>
                <w:szCs w:val="20"/>
              </w:rPr>
            </w:pPr>
            <w:r w:rsidRPr="001E3C20">
              <w:rPr>
                <w:b/>
                <w:sz w:val="20"/>
                <w:szCs w:val="20"/>
              </w:rPr>
              <w:t>Unstandardized Coefficients</w:t>
            </w:r>
          </w:p>
        </w:tc>
        <w:tc>
          <w:tcPr>
            <w:tcW w:w="1566" w:type="dxa"/>
          </w:tcPr>
          <w:p w:rsidR="005765CA" w:rsidRPr="001E3C20" w:rsidRDefault="005765CA" w:rsidP="00A74E65">
            <w:pPr>
              <w:spacing w:before="0" w:after="0" w:line="360" w:lineRule="auto"/>
              <w:rPr>
                <w:b/>
                <w:sz w:val="20"/>
                <w:szCs w:val="20"/>
              </w:rPr>
            </w:pPr>
            <w:r w:rsidRPr="001E3C20">
              <w:rPr>
                <w:b/>
                <w:sz w:val="20"/>
                <w:szCs w:val="20"/>
              </w:rPr>
              <w:t>Standardized Coefficients</w:t>
            </w:r>
          </w:p>
        </w:tc>
        <w:tc>
          <w:tcPr>
            <w:tcW w:w="1092" w:type="dxa"/>
            <w:vMerge w:val="restart"/>
          </w:tcPr>
          <w:p w:rsidR="005765CA" w:rsidRPr="001E3C20" w:rsidRDefault="005765CA" w:rsidP="00A74E65">
            <w:pPr>
              <w:spacing w:before="0" w:after="0" w:line="360" w:lineRule="auto"/>
              <w:rPr>
                <w:b/>
                <w:sz w:val="20"/>
                <w:szCs w:val="20"/>
              </w:rPr>
            </w:pPr>
            <w:r w:rsidRPr="001E3C20">
              <w:rPr>
                <w:b/>
                <w:sz w:val="20"/>
                <w:szCs w:val="20"/>
              </w:rPr>
              <w:t>t</w:t>
            </w:r>
          </w:p>
        </w:tc>
        <w:tc>
          <w:tcPr>
            <w:tcW w:w="1092" w:type="dxa"/>
            <w:vMerge w:val="restart"/>
          </w:tcPr>
          <w:p w:rsidR="005765CA" w:rsidRPr="001E3C20" w:rsidRDefault="005765CA" w:rsidP="00A74E65">
            <w:pPr>
              <w:spacing w:before="0" w:after="0" w:line="360" w:lineRule="auto"/>
              <w:rPr>
                <w:b/>
                <w:sz w:val="20"/>
                <w:szCs w:val="20"/>
              </w:rPr>
            </w:pPr>
            <w:r w:rsidRPr="001E3C20">
              <w:rPr>
                <w:b/>
                <w:sz w:val="20"/>
                <w:szCs w:val="20"/>
              </w:rPr>
              <w:t>Sig.</w:t>
            </w:r>
          </w:p>
        </w:tc>
      </w:tr>
      <w:tr w:rsidR="001E3C20" w:rsidRPr="001E3C20" w:rsidTr="00A74E65">
        <w:tc>
          <w:tcPr>
            <w:tcW w:w="2724" w:type="dxa"/>
            <w:gridSpan w:val="2"/>
            <w:vMerge/>
          </w:tcPr>
          <w:p w:rsidR="005765CA" w:rsidRPr="001E3C20" w:rsidRDefault="005765CA" w:rsidP="00A74E65">
            <w:pPr>
              <w:spacing w:before="0" w:after="0" w:line="360" w:lineRule="auto"/>
              <w:rPr>
                <w:sz w:val="20"/>
                <w:szCs w:val="20"/>
              </w:rPr>
            </w:pPr>
          </w:p>
        </w:tc>
        <w:tc>
          <w:tcPr>
            <w:tcW w:w="1420" w:type="dxa"/>
          </w:tcPr>
          <w:p w:rsidR="005765CA" w:rsidRPr="001E3C20" w:rsidRDefault="005765CA" w:rsidP="00A74E65">
            <w:pPr>
              <w:spacing w:before="0" w:after="0" w:line="360" w:lineRule="auto"/>
              <w:rPr>
                <w:b/>
                <w:sz w:val="20"/>
                <w:szCs w:val="20"/>
              </w:rPr>
            </w:pPr>
            <w:r w:rsidRPr="001E3C20">
              <w:rPr>
                <w:b/>
                <w:sz w:val="20"/>
                <w:szCs w:val="20"/>
              </w:rPr>
              <w:t>B</w:t>
            </w:r>
          </w:p>
        </w:tc>
        <w:tc>
          <w:tcPr>
            <w:tcW w:w="1420" w:type="dxa"/>
          </w:tcPr>
          <w:p w:rsidR="005765CA" w:rsidRPr="001E3C20" w:rsidRDefault="005765CA" w:rsidP="00A74E65">
            <w:pPr>
              <w:spacing w:before="0" w:after="0" w:line="360" w:lineRule="auto"/>
              <w:rPr>
                <w:b/>
                <w:sz w:val="20"/>
                <w:szCs w:val="20"/>
              </w:rPr>
            </w:pPr>
            <w:r w:rsidRPr="001E3C20">
              <w:rPr>
                <w:b/>
                <w:sz w:val="20"/>
                <w:szCs w:val="20"/>
              </w:rPr>
              <w:t>Std. Error</w:t>
            </w:r>
          </w:p>
        </w:tc>
        <w:tc>
          <w:tcPr>
            <w:tcW w:w="1566" w:type="dxa"/>
          </w:tcPr>
          <w:p w:rsidR="005765CA" w:rsidRPr="001E3C20" w:rsidRDefault="005765CA" w:rsidP="00A74E65">
            <w:pPr>
              <w:spacing w:before="0" w:after="0" w:line="360" w:lineRule="auto"/>
              <w:rPr>
                <w:b/>
                <w:sz w:val="20"/>
                <w:szCs w:val="20"/>
              </w:rPr>
            </w:pPr>
            <w:r w:rsidRPr="001E3C20">
              <w:rPr>
                <w:b/>
                <w:sz w:val="20"/>
                <w:szCs w:val="20"/>
              </w:rPr>
              <w:t>Beta</w:t>
            </w:r>
          </w:p>
        </w:tc>
        <w:tc>
          <w:tcPr>
            <w:tcW w:w="1092" w:type="dxa"/>
            <w:vMerge/>
          </w:tcPr>
          <w:p w:rsidR="005765CA" w:rsidRPr="001E3C20" w:rsidRDefault="005765CA" w:rsidP="00A74E65">
            <w:pPr>
              <w:spacing w:before="0" w:after="0" w:line="360" w:lineRule="auto"/>
              <w:rPr>
                <w:sz w:val="20"/>
                <w:szCs w:val="20"/>
              </w:rPr>
            </w:pPr>
          </w:p>
        </w:tc>
        <w:tc>
          <w:tcPr>
            <w:tcW w:w="1092" w:type="dxa"/>
            <w:vMerge/>
          </w:tcPr>
          <w:p w:rsidR="005765CA" w:rsidRPr="001E3C20" w:rsidRDefault="005765CA" w:rsidP="00A74E65">
            <w:pPr>
              <w:spacing w:before="0" w:after="0" w:line="360" w:lineRule="auto"/>
              <w:rPr>
                <w:sz w:val="20"/>
                <w:szCs w:val="20"/>
              </w:rPr>
            </w:pPr>
          </w:p>
        </w:tc>
      </w:tr>
      <w:tr w:rsidR="001E3C20" w:rsidRPr="001E3C20" w:rsidTr="00A74E65">
        <w:tc>
          <w:tcPr>
            <w:tcW w:w="782" w:type="dxa"/>
            <w:vMerge w:val="restart"/>
          </w:tcPr>
          <w:p w:rsidR="005765CA" w:rsidRPr="001E3C20" w:rsidRDefault="005765CA" w:rsidP="00A74E65">
            <w:pPr>
              <w:spacing w:before="0" w:after="0" w:line="360" w:lineRule="auto"/>
              <w:rPr>
                <w:sz w:val="20"/>
                <w:szCs w:val="20"/>
              </w:rPr>
            </w:pPr>
            <w:r w:rsidRPr="001E3C20">
              <w:rPr>
                <w:sz w:val="20"/>
                <w:szCs w:val="20"/>
              </w:rPr>
              <w:t>1</w:t>
            </w:r>
          </w:p>
        </w:tc>
        <w:tc>
          <w:tcPr>
            <w:tcW w:w="1942" w:type="dxa"/>
            <w:tcBorders>
              <w:top w:val="nil"/>
              <w:bottom w:val="nil"/>
            </w:tcBorders>
          </w:tcPr>
          <w:p w:rsidR="005765CA" w:rsidRPr="001E3C20" w:rsidRDefault="005765CA" w:rsidP="00A74E65">
            <w:pPr>
              <w:spacing w:before="0" w:after="0" w:line="360" w:lineRule="auto"/>
              <w:rPr>
                <w:sz w:val="20"/>
                <w:szCs w:val="20"/>
              </w:rPr>
            </w:pPr>
            <w:r w:rsidRPr="001E3C20">
              <w:rPr>
                <w:sz w:val="20"/>
                <w:szCs w:val="20"/>
              </w:rPr>
              <w:t>(Constant)</w:t>
            </w:r>
          </w:p>
        </w:tc>
        <w:tc>
          <w:tcPr>
            <w:tcW w:w="1420" w:type="dxa"/>
            <w:tcBorders>
              <w:top w:val="nil"/>
              <w:bottom w:val="nil"/>
            </w:tcBorders>
          </w:tcPr>
          <w:p w:rsidR="005765CA" w:rsidRPr="001E3C20" w:rsidRDefault="005765CA" w:rsidP="00A74E65">
            <w:pPr>
              <w:spacing w:before="0" w:after="0" w:line="360" w:lineRule="auto"/>
              <w:rPr>
                <w:sz w:val="20"/>
                <w:szCs w:val="20"/>
              </w:rPr>
            </w:pPr>
            <w:r w:rsidRPr="001E3C20">
              <w:rPr>
                <w:sz w:val="20"/>
                <w:szCs w:val="20"/>
              </w:rPr>
              <w:t>.337</w:t>
            </w:r>
          </w:p>
        </w:tc>
        <w:tc>
          <w:tcPr>
            <w:tcW w:w="1420" w:type="dxa"/>
            <w:tcBorders>
              <w:top w:val="nil"/>
              <w:bottom w:val="nil"/>
            </w:tcBorders>
          </w:tcPr>
          <w:p w:rsidR="005765CA" w:rsidRPr="001E3C20" w:rsidRDefault="005765CA" w:rsidP="00A74E65">
            <w:pPr>
              <w:spacing w:before="0" w:after="0" w:line="360" w:lineRule="auto"/>
              <w:rPr>
                <w:sz w:val="20"/>
                <w:szCs w:val="20"/>
              </w:rPr>
            </w:pPr>
            <w:r w:rsidRPr="001E3C20">
              <w:rPr>
                <w:sz w:val="20"/>
                <w:szCs w:val="20"/>
              </w:rPr>
              <w:t>.141</w:t>
            </w:r>
          </w:p>
        </w:tc>
        <w:tc>
          <w:tcPr>
            <w:tcW w:w="1566" w:type="dxa"/>
            <w:tcBorders>
              <w:top w:val="nil"/>
              <w:bottom w:val="nil"/>
            </w:tcBorders>
          </w:tcPr>
          <w:p w:rsidR="005765CA" w:rsidRPr="001E3C20" w:rsidRDefault="005765CA" w:rsidP="00A74E65">
            <w:pPr>
              <w:spacing w:before="0" w:after="0" w:line="360" w:lineRule="auto"/>
              <w:rPr>
                <w:sz w:val="20"/>
                <w:szCs w:val="20"/>
              </w:rPr>
            </w:pPr>
          </w:p>
        </w:tc>
        <w:tc>
          <w:tcPr>
            <w:tcW w:w="1092" w:type="dxa"/>
            <w:tcBorders>
              <w:top w:val="nil"/>
              <w:bottom w:val="nil"/>
            </w:tcBorders>
          </w:tcPr>
          <w:p w:rsidR="005765CA" w:rsidRPr="001E3C20" w:rsidRDefault="005765CA" w:rsidP="00A74E65">
            <w:pPr>
              <w:spacing w:before="0" w:after="0" w:line="360" w:lineRule="auto"/>
              <w:rPr>
                <w:sz w:val="20"/>
                <w:szCs w:val="20"/>
              </w:rPr>
            </w:pPr>
            <w:r w:rsidRPr="001E3C20">
              <w:rPr>
                <w:sz w:val="20"/>
                <w:szCs w:val="20"/>
              </w:rPr>
              <w:t>2.383</w:t>
            </w:r>
          </w:p>
        </w:tc>
        <w:tc>
          <w:tcPr>
            <w:tcW w:w="1092" w:type="dxa"/>
            <w:tcBorders>
              <w:top w:val="nil"/>
              <w:bottom w:val="nil"/>
            </w:tcBorders>
          </w:tcPr>
          <w:p w:rsidR="005765CA" w:rsidRPr="001E3C20" w:rsidRDefault="005765CA" w:rsidP="00A74E65">
            <w:pPr>
              <w:spacing w:before="0" w:after="0" w:line="360" w:lineRule="auto"/>
              <w:rPr>
                <w:sz w:val="20"/>
                <w:szCs w:val="20"/>
              </w:rPr>
            </w:pPr>
            <w:r w:rsidRPr="001E3C20">
              <w:rPr>
                <w:sz w:val="20"/>
                <w:szCs w:val="20"/>
              </w:rPr>
              <w:t>.018</w:t>
            </w:r>
          </w:p>
        </w:tc>
      </w:tr>
      <w:tr w:rsidR="001E3C20" w:rsidRPr="001E3C20" w:rsidTr="00A74E65">
        <w:tc>
          <w:tcPr>
            <w:tcW w:w="782" w:type="dxa"/>
            <w:vMerge/>
          </w:tcPr>
          <w:p w:rsidR="005765CA" w:rsidRPr="001E3C20" w:rsidRDefault="005765CA" w:rsidP="00A74E65">
            <w:pPr>
              <w:spacing w:before="0" w:after="0" w:line="360" w:lineRule="auto"/>
              <w:rPr>
                <w:sz w:val="20"/>
                <w:szCs w:val="20"/>
              </w:rPr>
            </w:pPr>
          </w:p>
        </w:tc>
        <w:tc>
          <w:tcPr>
            <w:tcW w:w="1942" w:type="dxa"/>
            <w:tcBorders>
              <w:top w:val="nil"/>
              <w:bottom w:val="nil"/>
            </w:tcBorders>
          </w:tcPr>
          <w:p w:rsidR="005765CA" w:rsidRPr="001E3C20" w:rsidRDefault="005765CA" w:rsidP="00A74E65">
            <w:pPr>
              <w:spacing w:before="0" w:after="0" w:line="360" w:lineRule="auto"/>
              <w:rPr>
                <w:sz w:val="20"/>
                <w:szCs w:val="20"/>
              </w:rPr>
            </w:pPr>
            <w:r w:rsidRPr="001E3C20">
              <w:rPr>
                <w:sz w:val="20"/>
                <w:szCs w:val="20"/>
              </w:rPr>
              <w:t>Brand Salience</w:t>
            </w:r>
          </w:p>
        </w:tc>
        <w:tc>
          <w:tcPr>
            <w:tcW w:w="1420" w:type="dxa"/>
            <w:tcBorders>
              <w:top w:val="nil"/>
              <w:bottom w:val="nil"/>
            </w:tcBorders>
          </w:tcPr>
          <w:p w:rsidR="005765CA" w:rsidRPr="001E3C20" w:rsidRDefault="005765CA" w:rsidP="00A74E65">
            <w:pPr>
              <w:spacing w:before="0" w:after="0" w:line="360" w:lineRule="auto"/>
              <w:rPr>
                <w:sz w:val="20"/>
                <w:szCs w:val="20"/>
              </w:rPr>
            </w:pPr>
            <w:r w:rsidRPr="001E3C20">
              <w:rPr>
                <w:sz w:val="20"/>
                <w:szCs w:val="20"/>
              </w:rPr>
              <w:t>.110</w:t>
            </w:r>
          </w:p>
        </w:tc>
        <w:tc>
          <w:tcPr>
            <w:tcW w:w="1420" w:type="dxa"/>
            <w:tcBorders>
              <w:top w:val="nil"/>
              <w:bottom w:val="nil"/>
            </w:tcBorders>
          </w:tcPr>
          <w:p w:rsidR="005765CA" w:rsidRPr="001E3C20" w:rsidRDefault="005765CA" w:rsidP="00A74E65">
            <w:pPr>
              <w:spacing w:before="0" w:after="0" w:line="360" w:lineRule="auto"/>
              <w:rPr>
                <w:sz w:val="20"/>
                <w:szCs w:val="20"/>
              </w:rPr>
            </w:pPr>
            <w:r w:rsidRPr="001E3C20">
              <w:rPr>
                <w:sz w:val="20"/>
                <w:szCs w:val="20"/>
              </w:rPr>
              <w:t>.055</w:t>
            </w:r>
          </w:p>
        </w:tc>
        <w:tc>
          <w:tcPr>
            <w:tcW w:w="1566" w:type="dxa"/>
            <w:tcBorders>
              <w:top w:val="nil"/>
              <w:bottom w:val="nil"/>
            </w:tcBorders>
          </w:tcPr>
          <w:p w:rsidR="005765CA" w:rsidRPr="001E3C20" w:rsidRDefault="005765CA" w:rsidP="00A74E65">
            <w:pPr>
              <w:spacing w:before="0" w:after="0" w:line="360" w:lineRule="auto"/>
              <w:rPr>
                <w:sz w:val="20"/>
                <w:szCs w:val="20"/>
              </w:rPr>
            </w:pPr>
            <w:r w:rsidRPr="001E3C20">
              <w:rPr>
                <w:sz w:val="20"/>
                <w:szCs w:val="20"/>
              </w:rPr>
              <w:t>.110</w:t>
            </w:r>
          </w:p>
        </w:tc>
        <w:tc>
          <w:tcPr>
            <w:tcW w:w="1092" w:type="dxa"/>
            <w:tcBorders>
              <w:top w:val="nil"/>
              <w:bottom w:val="nil"/>
            </w:tcBorders>
          </w:tcPr>
          <w:p w:rsidR="005765CA" w:rsidRPr="001E3C20" w:rsidRDefault="005765CA" w:rsidP="00A74E65">
            <w:pPr>
              <w:spacing w:before="0" w:after="0" w:line="360" w:lineRule="auto"/>
              <w:rPr>
                <w:sz w:val="20"/>
                <w:szCs w:val="20"/>
              </w:rPr>
            </w:pPr>
            <w:r w:rsidRPr="001E3C20">
              <w:rPr>
                <w:sz w:val="20"/>
                <w:szCs w:val="20"/>
              </w:rPr>
              <w:t>2.015</w:t>
            </w:r>
          </w:p>
        </w:tc>
        <w:tc>
          <w:tcPr>
            <w:tcW w:w="1092" w:type="dxa"/>
            <w:tcBorders>
              <w:top w:val="nil"/>
              <w:bottom w:val="nil"/>
            </w:tcBorders>
          </w:tcPr>
          <w:p w:rsidR="005765CA" w:rsidRPr="001E3C20" w:rsidRDefault="005765CA" w:rsidP="00A74E65">
            <w:pPr>
              <w:spacing w:before="0" w:after="0" w:line="360" w:lineRule="auto"/>
              <w:rPr>
                <w:sz w:val="20"/>
                <w:szCs w:val="20"/>
              </w:rPr>
            </w:pPr>
            <w:r w:rsidRPr="001E3C20">
              <w:rPr>
                <w:sz w:val="20"/>
                <w:szCs w:val="20"/>
              </w:rPr>
              <w:t>.045</w:t>
            </w:r>
          </w:p>
        </w:tc>
      </w:tr>
      <w:tr w:rsidR="001E3C20" w:rsidRPr="001E3C20" w:rsidTr="00A74E65">
        <w:trPr>
          <w:gridAfter w:val="6"/>
          <w:wAfter w:w="8532" w:type="dxa"/>
          <w:trHeight w:val="345"/>
        </w:trPr>
        <w:tc>
          <w:tcPr>
            <w:tcW w:w="782" w:type="dxa"/>
            <w:vMerge/>
          </w:tcPr>
          <w:p w:rsidR="005765CA" w:rsidRPr="001E3C20" w:rsidRDefault="005765CA" w:rsidP="00A74E65">
            <w:pPr>
              <w:spacing w:before="0" w:after="0" w:line="360" w:lineRule="auto"/>
              <w:rPr>
                <w:sz w:val="20"/>
                <w:szCs w:val="20"/>
              </w:rPr>
            </w:pPr>
          </w:p>
        </w:tc>
      </w:tr>
      <w:tr w:rsidR="001E3C20" w:rsidRPr="001E3C20" w:rsidTr="00A74E65">
        <w:trPr>
          <w:gridAfter w:val="6"/>
          <w:wAfter w:w="8532" w:type="dxa"/>
          <w:trHeight w:val="345"/>
        </w:trPr>
        <w:tc>
          <w:tcPr>
            <w:tcW w:w="782" w:type="dxa"/>
            <w:vMerge/>
          </w:tcPr>
          <w:p w:rsidR="005765CA" w:rsidRPr="001E3C20" w:rsidRDefault="005765CA" w:rsidP="00A74E65">
            <w:pPr>
              <w:spacing w:before="0" w:after="0" w:line="360" w:lineRule="auto"/>
              <w:rPr>
                <w:sz w:val="20"/>
                <w:szCs w:val="20"/>
              </w:rPr>
            </w:pPr>
          </w:p>
        </w:tc>
      </w:tr>
      <w:tr w:rsidR="001E3C20" w:rsidRPr="001E3C20" w:rsidTr="00A74E65">
        <w:trPr>
          <w:gridAfter w:val="6"/>
          <w:wAfter w:w="8532" w:type="dxa"/>
          <w:trHeight w:val="345"/>
        </w:trPr>
        <w:tc>
          <w:tcPr>
            <w:tcW w:w="782" w:type="dxa"/>
            <w:vMerge/>
          </w:tcPr>
          <w:p w:rsidR="005765CA" w:rsidRPr="001E3C20" w:rsidRDefault="005765CA" w:rsidP="00A74E65">
            <w:pPr>
              <w:spacing w:before="0" w:after="0" w:line="360" w:lineRule="auto"/>
              <w:rPr>
                <w:sz w:val="20"/>
                <w:szCs w:val="20"/>
              </w:rPr>
            </w:pPr>
          </w:p>
        </w:tc>
      </w:tr>
      <w:tr w:rsidR="001E3C20" w:rsidRPr="001E3C20" w:rsidTr="00A74E65">
        <w:tc>
          <w:tcPr>
            <w:tcW w:w="9314" w:type="dxa"/>
            <w:gridSpan w:val="7"/>
          </w:tcPr>
          <w:p w:rsidR="005765CA" w:rsidRPr="001E3C20" w:rsidRDefault="005765CA" w:rsidP="00A74E65">
            <w:pPr>
              <w:spacing w:before="0" w:after="0" w:line="360" w:lineRule="auto"/>
              <w:rPr>
                <w:sz w:val="20"/>
                <w:szCs w:val="20"/>
              </w:rPr>
            </w:pPr>
            <w:r w:rsidRPr="001E3C20">
              <w:rPr>
                <w:sz w:val="20"/>
                <w:szCs w:val="20"/>
              </w:rPr>
              <w:t>a. Dependent Variable: Students’ Enrollment Decision</w:t>
            </w:r>
          </w:p>
        </w:tc>
      </w:tr>
    </w:tbl>
    <w:p w:rsidR="005765CA" w:rsidRPr="001E3C20" w:rsidRDefault="005765CA" w:rsidP="005765CA">
      <w:pPr>
        <w:rPr>
          <w:rFonts w:cs="Times New Roman"/>
        </w:rPr>
      </w:pPr>
      <w:r w:rsidRPr="001E3C20">
        <w:rPr>
          <w:rFonts w:cs="Times New Roman"/>
        </w:rPr>
        <w:t xml:space="preserve">The regression model can be expressed as: </w:t>
      </w:r>
    </w:p>
    <w:p w:rsidR="005765CA" w:rsidRPr="001E3C20" w:rsidRDefault="005765CA" w:rsidP="005765CA">
      <w:pPr>
        <w:rPr>
          <w:rFonts w:cs="Times New Roman"/>
        </w:rPr>
      </w:pPr>
      <w:r w:rsidRPr="001E3C20">
        <w:rPr>
          <w:rFonts w:cs="Times New Roman"/>
        </w:rPr>
        <w:t xml:space="preserve">Students’ Enrollment Decision = 0.337 + 0.110(BS) + 0.189(BR) + 0.352(BRE) + 0.259(BI). </w:t>
      </w:r>
    </w:p>
    <w:p w:rsidR="005765CA" w:rsidRPr="001E3C20" w:rsidRDefault="005765CA" w:rsidP="007531DF">
      <w:pPr>
        <w:rPr>
          <w:rFonts w:cs="Times New Roman"/>
        </w:rPr>
      </w:pPr>
      <w:r w:rsidRPr="001E3C20">
        <w:rPr>
          <w:rFonts w:cs="Times New Roman"/>
        </w:rPr>
        <w:t xml:space="preserve">The constant term (B = 0.337, p = 0.018) represents the baseline level of Students’ Enrollment Decision when all independent variables are held at zero. Although primarily a statistical reference point, its significance indicates that the model is well specified and that the dependent variable has a meaningful starting value even in </w:t>
      </w:r>
      <w:r w:rsidR="00BE34F3">
        <w:rPr>
          <w:rFonts w:cs="Times New Roman"/>
        </w:rPr>
        <w:t>the absence of the predictors.</w:t>
      </w:r>
    </w:p>
    <w:p w:rsidR="005765CA" w:rsidRPr="001E3C20" w:rsidRDefault="005765CA" w:rsidP="007531DF">
      <w:pPr>
        <w:rPr>
          <w:rFonts w:cs="Times New Roman"/>
        </w:rPr>
      </w:pPr>
      <w:r w:rsidRPr="001E3C20">
        <w:rPr>
          <w:rFonts w:cs="Times New Roman"/>
        </w:rPr>
        <w:t>Brand Salience (B = 0.110, p = 0.045) has the weakest but still statistically significant effect. This suggests that while awareness and visibility of the institution’s brand are important, their direct influence on enrollment decisions is relatively limited compared to other dimensions. It implies that being known is necessary, but not sufficient on its own to strongly drive enrollment choices.</w:t>
      </w:r>
    </w:p>
    <w:p w:rsidR="005765CA" w:rsidRPr="001E3C20" w:rsidRDefault="005765CA" w:rsidP="005765CA">
      <w:pPr>
        <w:pStyle w:val="Heading2"/>
      </w:pPr>
      <w:r w:rsidRPr="001E3C20">
        <w:t xml:space="preserve">Hypotheses Testing </w:t>
      </w:r>
    </w:p>
    <w:p w:rsidR="005765CA" w:rsidRPr="001E3C20" w:rsidRDefault="005765CA" w:rsidP="005765CA">
      <w:pPr>
        <w:rPr>
          <w:rFonts w:cs="Times New Roman"/>
          <w:i/>
        </w:rPr>
      </w:pPr>
      <w:r w:rsidRPr="001E3C20">
        <w:rPr>
          <w:rFonts w:cs="Times New Roman"/>
          <w:i/>
        </w:rPr>
        <w:t>H</w:t>
      </w:r>
      <w:r w:rsidRPr="001E3C20">
        <w:rPr>
          <w:rFonts w:cs="Times New Roman"/>
          <w:i/>
          <w:vertAlign w:val="subscript"/>
        </w:rPr>
        <w:t>0</w:t>
      </w:r>
      <w:r w:rsidRPr="001E3C20">
        <w:rPr>
          <w:rFonts w:cs="Times New Roman"/>
          <w:i/>
        </w:rPr>
        <w:t xml:space="preserve">1: There is no statistically significant relationship between brand salience and students’ enrollment </w:t>
      </w:r>
      <w:proofErr w:type="gramStart"/>
      <w:r w:rsidRPr="001E3C20">
        <w:rPr>
          <w:rFonts w:cs="Times New Roman"/>
          <w:i/>
        </w:rPr>
        <w:t>decision  in</w:t>
      </w:r>
      <w:proofErr w:type="gramEnd"/>
      <w:r w:rsidRPr="001E3C20">
        <w:rPr>
          <w:rFonts w:cs="Times New Roman"/>
          <w:i/>
        </w:rPr>
        <w:t xml:space="preserve"> Public Universities in Kenya</w:t>
      </w:r>
    </w:p>
    <w:p w:rsidR="005765CA" w:rsidRPr="001E3C20" w:rsidRDefault="005765CA" w:rsidP="005765CA">
      <w:pPr>
        <w:rPr>
          <w:rFonts w:cs="Times New Roman"/>
        </w:rPr>
      </w:pPr>
      <w:r w:rsidRPr="001E3C20">
        <w:rPr>
          <w:rFonts w:cs="Times New Roman"/>
        </w:rPr>
        <w:lastRenderedPageBreak/>
        <w:t>The first hypothesis stated that there is no statistically significant relationship between brand salience and students’ enrollment decision in public universities in Kenya. The regression results indicate that brand salience has a positive and statistically significant effect on students’ enrollment decisions, leading to the rejection of the null hypothesis (B = 0.110, p = 0.045). This implies that institutional awareness and visibility play a meaningful role in shaping students’ choices, although the effect is relatively weak compared to other dimensions of brand equity. In practical terms, this suggests that while students are more likely to consider universities they can easily recognize or recall, awareness alone does not strongly determine final enrollment decisions, as deeper evaluative and experiential factors tend to exert greater influence.</w:t>
      </w:r>
    </w:p>
    <w:p w:rsidR="005765CA" w:rsidRPr="001E3C20" w:rsidRDefault="005765CA" w:rsidP="005765CA">
      <w:pPr>
        <w:rPr>
          <w:rFonts w:cs="Times New Roman"/>
        </w:rPr>
      </w:pPr>
      <w:r w:rsidRPr="001E3C20">
        <w:rPr>
          <w:rFonts w:cs="Times New Roman"/>
        </w:rPr>
        <w:t xml:space="preserve">These findings are consistent with </w:t>
      </w:r>
      <w:proofErr w:type="spellStart"/>
      <w:r w:rsidRPr="001E3C20">
        <w:rPr>
          <w:rFonts w:cs="Times New Roman"/>
        </w:rPr>
        <w:t>Kubetzek</w:t>
      </w:r>
      <w:proofErr w:type="spellEnd"/>
      <w:r w:rsidRPr="001E3C20">
        <w:rPr>
          <w:rFonts w:cs="Times New Roman"/>
        </w:rPr>
        <w:t xml:space="preserve"> (2022), who conceptualizes brand salience as the ease with which a brand is remembered and recognized, emphasizing its role in building initial awareness within the decision-making process. Similarly, Minh and Mai (2024) established that brand salience significantly influences student admission choices by enhancing institutional visibility through digital and promotional platforms. In addition, </w:t>
      </w:r>
      <w:proofErr w:type="spellStart"/>
      <w:r w:rsidRPr="001E3C20">
        <w:rPr>
          <w:rFonts w:cs="Times New Roman"/>
        </w:rPr>
        <w:t>Rizard</w:t>
      </w:r>
      <w:proofErr w:type="spellEnd"/>
      <w:r w:rsidRPr="001E3C20">
        <w:rPr>
          <w:rFonts w:cs="Times New Roman"/>
        </w:rPr>
        <w:t xml:space="preserve"> et al. (2023) found that brand salience contributes positively to university reputation and student intention to choose an institution, reinforcing its relevance in shaping early-stage consideration sets. </w:t>
      </w:r>
      <w:proofErr w:type="spellStart"/>
      <w:r w:rsidRPr="001E3C20">
        <w:rPr>
          <w:rFonts w:cs="Times New Roman"/>
        </w:rPr>
        <w:t>Yiadom</w:t>
      </w:r>
      <w:proofErr w:type="spellEnd"/>
      <w:r w:rsidRPr="001E3C20">
        <w:rPr>
          <w:rFonts w:cs="Times New Roman"/>
        </w:rPr>
        <w:t xml:space="preserve"> et al. (2025) further support this position by demonstrating that institutional brand salience significantly affects student decisions, highlighting its role in differentiating universities in competitive environments. </w:t>
      </w:r>
      <w:proofErr w:type="spellStart"/>
      <w:r w:rsidRPr="001E3C20">
        <w:rPr>
          <w:rFonts w:cs="Times New Roman"/>
        </w:rPr>
        <w:t>Nyamwaya</w:t>
      </w:r>
      <w:proofErr w:type="spellEnd"/>
      <w:r w:rsidRPr="001E3C20">
        <w:rPr>
          <w:rFonts w:cs="Times New Roman"/>
        </w:rPr>
        <w:t xml:space="preserve"> and </w:t>
      </w:r>
      <w:proofErr w:type="spellStart"/>
      <w:r w:rsidRPr="001E3C20">
        <w:rPr>
          <w:rFonts w:cs="Times New Roman"/>
        </w:rPr>
        <w:t>Muchunku</w:t>
      </w:r>
      <w:proofErr w:type="spellEnd"/>
      <w:r w:rsidRPr="001E3C20">
        <w:rPr>
          <w:rFonts w:cs="Times New Roman"/>
        </w:rPr>
        <w:t xml:space="preserve"> (2021) also observed that branding and visibility efforts contribute to improved brand recall and recognition, although their effectiveness is influenced by institutional and external constraints. Collectively, these studies concur that brand salience plays an important role in awareness creation and initial consideration of institutions.</w:t>
      </w:r>
    </w:p>
    <w:p w:rsidR="005765CA" w:rsidRPr="001E3C20" w:rsidRDefault="005765CA" w:rsidP="005765CA">
      <w:pPr>
        <w:rPr>
          <w:rFonts w:cs="Times New Roman"/>
        </w:rPr>
      </w:pPr>
      <w:r w:rsidRPr="001E3C20">
        <w:rPr>
          <w:rFonts w:cs="Times New Roman"/>
        </w:rPr>
        <w:t xml:space="preserve">However, contrasting perspectives are also evident in the literature. </w:t>
      </w:r>
      <w:proofErr w:type="spellStart"/>
      <w:r w:rsidRPr="001E3C20">
        <w:rPr>
          <w:rFonts w:cs="Times New Roman"/>
        </w:rPr>
        <w:t>Sabri</w:t>
      </w:r>
      <w:proofErr w:type="spellEnd"/>
      <w:r w:rsidRPr="001E3C20">
        <w:rPr>
          <w:rFonts w:cs="Times New Roman"/>
        </w:rPr>
        <w:t xml:space="preserve"> and </w:t>
      </w:r>
      <w:proofErr w:type="spellStart"/>
      <w:r w:rsidRPr="001E3C20">
        <w:rPr>
          <w:rFonts w:cs="Times New Roman"/>
        </w:rPr>
        <w:t>Nazri</w:t>
      </w:r>
      <w:proofErr w:type="spellEnd"/>
      <w:r w:rsidRPr="001E3C20">
        <w:rPr>
          <w:rFonts w:cs="Times New Roman"/>
        </w:rPr>
        <w:t xml:space="preserve"> (2023) found that brand salience does not significantly influence decision-making, suggesting that awareness alone may not translate into actual behavioral intention when stronger evaluative factors such as </w:t>
      </w:r>
      <w:r w:rsidRPr="001E3C20">
        <w:rPr>
          <w:rFonts w:cs="Times New Roman"/>
        </w:rPr>
        <w:lastRenderedPageBreak/>
        <w:t>perceived quality are present. This contradiction highlights that the effect of brand salience may be context-dependent and less influential in decisions that involve higher stakes or long-term commitments. The divergence in findings may be attributed to differences in context, as most prior studies were conducted in consumer markets or private higher education settings, unlike the public university context in Kenya, which is shaped by government placement systems, resource disparities, and institutional reputation hierarchies.</w:t>
      </w:r>
    </w:p>
    <w:p w:rsidR="005765CA" w:rsidRPr="001E3C20" w:rsidRDefault="005765CA" w:rsidP="005765CA">
      <w:pPr>
        <w:rPr>
          <w:rFonts w:cs="Times New Roman"/>
        </w:rPr>
      </w:pPr>
      <w:r w:rsidRPr="001E3C20">
        <w:rPr>
          <w:rFonts w:cs="Times New Roman"/>
        </w:rPr>
        <w:t>From the researcher’s perspective, the findings of this study confirm that brand salience is an important but foundational determinant of students’ enrollment decisions. It operates primarily at the awareness and consideration stage, ensuring that universities are visible and recognizable to prospective students. However, its limited effect size suggests that it functions more as an entry-level influence rather than a decisive factor in final selection.</w:t>
      </w:r>
    </w:p>
    <w:p w:rsidR="005765CA" w:rsidRPr="001E3C20" w:rsidRDefault="005765CA" w:rsidP="005765CA">
      <w:pPr>
        <w:pStyle w:val="Heading1"/>
        <w:rPr>
          <w:rFonts w:cs="Times New Roman"/>
        </w:rPr>
      </w:pPr>
      <w:bookmarkStart w:id="60" w:name="_Toc230811152"/>
      <w:r w:rsidRPr="001E3C20">
        <w:rPr>
          <w:rFonts w:cs="Times New Roman"/>
        </w:rPr>
        <w:t>CONCLUSIONS AND RECOMMENDATIONS</w:t>
      </w:r>
      <w:bookmarkEnd w:id="60"/>
    </w:p>
    <w:p w:rsidR="005765CA" w:rsidRPr="001E3C20" w:rsidRDefault="005765CA" w:rsidP="005765CA">
      <w:pPr>
        <w:pStyle w:val="Heading2"/>
      </w:pPr>
      <w:bookmarkStart w:id="61" w:name="_Toc230811153"/>
      <w:r w:rsidRPr="001E3C20">
        <w:t>5.1 Introduction</w:t>
      </w:r>
      <w:bookmarkEnd w:id="61"/>
    </w:p>
    <w:p w:rsidR="005765CA" w:rsidRPr="001E3C20" w:rsidRDefault="005765CA" w:rsidP="005765CA">
      <w:pPr>
        <w:rPr>
          <w:rFonts w:cs="Times New Roman"/>
        </w:rPr>
      </w:pPr>
      <w:r w:rsidRPr="001E3C20">
        <w:rPr>
          <w:rFonts w:cs="Times New Roman"/>
        </w:rPr>
        <w:t xml:space="preserve">This chapter presents the summary of the key findings of the study, draws conclusions based on the empirical results, and provides policy and managerial recommendations derived from the study outcomes. It also outlines areas for further research. </w:t>
      </w:r>
    </w:p>
    <w:p w:rsidR="005765CA" w:rsidRPr="001E3C20" w:rsidRDefault="005765CA" w:rsidP="005765CA">
      <w:pPr>
        <w:pStyle w:val="Heading3"/>
        <w:rPr>
          <w:rFonts w:ascii="Times New Roman" w:hAnsi="Times New Roman" w:cs="Times New Roman"/>
          <w:b/>
          <w:color w:val="auto"/>
        </w:rPr>
      </w:pPr>
      <w:bookmarkStart w:id="62" w:name="_Toc230811155"/>
      <w:r w:rsidRPr="001E3C20">
        <w:rPr>
          <w:rFonts w:ascii="Times New Roman" w:hAnsi="Times New Roman" w:cs="Times New Roman"/>
          <w:b/>
          <w:color w:val="auto"/>
        </w:rPr>
        <w:t>5.2.1 Relationship between brand salience and students’ enrollment decision</w:t>
      </w:r>
      <w:bookmarkEnd w:id="62"/>
      <w:r w:rsidRPr="001E3C20">
        <w:rPr>
          <w:rFonts w:ascii="Times New Roman" w:hAnsi="Times New Roman" w:cs="Times New Roman"/>
          <w:b/>
          <w:color w:val="auto"/>
        </w:rPr>
        <w:t xml:space="preserve">  </w:t>
      </w:r>
    </w:p>
    <w:p w:rsidR="005765CA" w:rsidRPr="001E3C20" w:rsidRDefault="005765CA" w:rsidP="005765CA">
      <w:pPr>
        <w:rPr>
          <w:rFonts w:cs="Times New Roman"/>
        </w:rPr>
      </w:pPr>
      <w:r w:rsidRPr="001E3C20">
        <w:rPr>
          <w:rFonts w:cs="Times New Roman"/>
        </w:rPr>
        <w:t xml:space="preserve">The findings indicate that brand salience, particularly through digital visibility, plays an important role in shaping students’ enrollment decisions in public universities in Kenya. Respondents generally acknowledged that social media platforms significantly influence their initial consideration of universities, suggesting that these platforms serve as the primary entry point for institutional awareness among prospective students. Consistent online presence was also found to </w:t>
      </w:r>
      <w:r w:rsidRPr="001E3C20">
        <w:rPr>
          <w:rFonts w:cs="Times New Roman"/>
        </w:rPr>
        <w:lastRenderedPageBreak/>
        <w:t>be important in helping universities stand out from competitors, indicating that sustained visibility enhances institutional recognition and recall in the minds of potential applicants.</w:t>
      </w:r>
    </w:p>
    <w:p w:rsidR="005765CA" w:rsidRPr="001E3C20" w:rsidRDefault="005765CA" w:rsidP="005765CA">
      <w:pPr>
        <w:rPr>
          <w:rFonts w:cs="Times New Roman"/>
        </w:rPr>
      </w:pPr>
      <w:r w:rsidRPr="001E3C20">
        <w:rPr>
          <w:rFonts w:cs="Times New Roman"/>
        </w:rPr>
        <w:t>In addition, respondents noted that frequent appearance in online search results contributes to increased interest in a university, highlighting the importance of search engine visibility in the student decision-making process. A coherent and well-structured online institutional presence was also perceived to positively influence enrollment considerations, reinforcing the importance of maintaining a consistent brand identity across digital platforms. Overall, visibility was widely perceived as a key driver of attracting students, although website traffic as a technical indicator was less influential in shaping perceptions. These findings collectively show that brand salience primarily functions as an awareness-building mechanism that introduces and positions universities within the consideration set of prospective students. From the inferential analysis, it is established that brand salience has a statistically significant relationship with students’ enrollment decisions (B = 0.110, p = 0.045)., although its effect is relatively weaker compared to other brand equity dimensions. This confirms that while awareness and visibility are important, they do not independently exert a strong decisive influence on students’ final enrollment choices.</w:t>
      </w:r>
    </w:p>
    <w:p w:rsidR="005765CA" w:rsidRPr="001E3C20" w:rsidRDefault="005765CA" w:rsidP="005765CA">
      <w:pPr>
        <w:pStyle w:val="Heading2"/>
      </w:pPr>
      <w:bookmarkStart w:id="63" w:name="_Toc230811160"/>
      <w:r w:rsidRPr="001E3C20">
        <w:t>5.3 Conclusions</w:t>
      </w:r>
      <w:bookmarkEnd w:id="63"/>
      <w:r w:rsidRPr="001E3C20">
        <w:t xml:space="preserve"> </w:t>
      </w:r>
    </w:p>
    <w:p w:rsidR="005765CA" w:rsidRPr="001E3C20" w:rsidRDefault="005765CA" w:rsidP="005765CA">
      <w:pPr>
        <w:rPr>
          <w:rFonts w:cs="Times New Roman"/>
        </w:rPr>
      </w:pPr>
      <w:r w:rsidRPr="001E3C20">
        <w:rPr>
          <w:rFonts w:cs="Times New Roman"/>
        </w:rPr>
        <w:t xml:space="preserve">In the first objective, the study concludes that brand salience has a statistically significant but foundational influence on students’ enrollment decisions in public universities in Kenya. Its primary role is to generate initial awareness, visibility, and mental availability of institutions within a highly competitive higher education environment. However, its effect is largely entry-level rather than decisive, as it mainly determines whether a university enters the student’s consideration set rather than whether it is ultimately selected. Final enrollment decisions are more strongly shaped by deeper evaluative constructs such as institutional credibility, perceived quality, reputation, and </w:t>
      </w:r>
      <w:r w:rsidRPr="001E3C20">
        <w:rPr>
          <w:rFonts w:cs="Times New Roman"/>
        </w:rPr>
        <w:lastRenderedPageBreak/>
        <w:t>experiential attributes. Thus, brand salience functions as a necessary but insufficient condition in the s</w:t>
      </w:r>
      <w:r w:rsidR="00BE34F3">
        <w:rPr>
          <w:rFonts w:cs="Times New Roman"/>
        </w:rPr>
        <w:t>tudent decision-making process.</w:t>
      </w:r>
    </w:p>
    <w:p w:rsidR="005765CA" w:rsidRPr="001E3C20" w:rsidRDefault="005765CA" w:rsidP="005765CA">
      <w:pPr>
        <w:pStyle w:val="Heading2"/>
      </w:pPr>
      <w:bookmarkStart w:id="64" w:name="_Toc230811161"/>
      <w:r w:rsidRPr="001E3C20">
        <w:t>5.4 Recommendations</w:t>
      </w:r>
      <w:bookmarkEnd w:id="64"/>
    </w:p>
    <w:p w:rsidR="005765CA" w:rsidRPr="001E3C20" w:rsidRDefault="005765CA" w:rsidP="005765CA">
      <w:pPr>
        <w:rPr>
          <w:rFonts w:cs="Times New Roman"/>
        </w:rPr>
      </w:pPr>
      <w:r w:rsidRPr="001E3C20">
        <w:rPr>
          <w:rFonts w:cs="Times New Roman"/>
        </w:rPr>
        <w:t>From the first objective’s conclusion, the public universities should enhance brand salience by investing in sustained and strategically coordinated digital visibility initiatives. This includes strengthening social media engagement, optimizing search engine performance, and maintaining consistent and coherent branding across all online platforms. However, these efforts should not be implemented in isolation. They must be integrated with broader institutional strategies aimed at improving academic quality, student experience, and institutional reputation. Visibility alone is insufficient to drive enrollment decisions; therefore, universities should adopt a balanced branding strategy that combines awareness creation with strong value-based propositions to attract a</w:t>
      </w:r>
      <w:r w:rsidR="00BE34F3">
        <w:rPr>
          <w:rFonts w:cs="Times New Roman"/>
        </w:rPr>
        <w:t>nd retain prospective students.</w:t>
      </w:r>
    </w:p>
    <w:p w:rsidR="005765CA" w:rsidRPr="001E3C20" w:rsidRDefault="005765CA" w:rsidP="005765CA">
      <w:pPr>
        <w:pStyle w:val="Heading2"/>
      </w:pPr>
      <w:bookmarkStart w:id="65" w:name="_Toc230811162"/>
      <w:r w:rsidRPr="001E3C20">
        <w:t>5.5 Suggestions for Further Research Area</w:t>
      </w:r>
      <w:bookmarkEnd w:id="65"/>
    </w:p>
    <w:p w:rsidR="005765CA" w:rsidRPr="001E3C20" w:rsidRDefault="005765CA" w:rsidP="005765CA">
      <w:pPr>
        <w:rPr>
          <w:rFonts w:cs="Times New Roman"/>
        </w:rPr>
      </w:pPr>
      <w:r w:rsidRPr="001E3C20">
        <w:rPr>
          <w:rFonts w:cs="Times New Roman"/>
        </w:rPr>
        <w:t>Future research may extend this study by examining additional determinants of students’ enrollment decisions beyond brand equity and organizational resources, particularly factors such as tuition affordability, government policy frameworks, peer influence dynamics, and socio-economic background of students.</w:t>
      </w:r>
    </w:p>
    <w:p w:rsidR="005765CA" w:rsidRDefault="005765CA" w:rsidP="005765CA">
      <w:pPr>
        <w:rPr>
          <w:rFonts w:cs="Times New Roman"/>
        </w:rPr>
      </w:pPr>
    </w:p>
    <w:p w:rsidR="001E3C20" w:rsidRDefault="001E3C20" w:rsidP="005765CA">
      <w:pPr>
        <w:rPr>
          <w:rFonts w:cs="Times New Roman"/>
        </w:rPr>
      </w:pPr>
    </w:p>
    <w:p w:rsidR="001E3C20" w:rsidRDefault="001E3C20" w:rsidP="005765CA">
      <w:pPr>
        <w:rPr>
          <w:rFonts w:cs="Times New Roman"/>
        </w:rPr>
      </w:pPr>
    </w:p>
    <w:p w:rsidR="001E3C20" w:rsidRDefault="001E3C20" w:rsidP="005765CA">
      <w:pPr>
        <w:rPr>
          <w:rFonts w:cs="Times New Roman"/>
        </w:rPr>
      </w:pPr>
    </w:p>
    <w:p w:rsidR="005765CA" w:rsidRPr="001E3C20" w:rsidRDefault="005765CA" w:rsidP="005765CA">
      <w:pPr>
        <w:rPr>
          <w:rFonts w:cs="Times New Roman"/>
        </w:rPr>
      </w:pPr>
    </w:p>
    <w:p w:rsidR="005765CA" w:rsidRPr="00BE34F3" w:rsidRDefault="005765CA" w:rsidP="00BE34F3">
      <w:pPr>
        <w:spacing w:before="0" w:after="0"/>
        <w:rPr>
          <w:rFonts w:cs="Times New Roman"/>
          <w:b/>
          <w:sz w:val="24"/>
          <w:szCs w:val="24"/>
        </w:rPr>
      </w:pPr>
      <w:r w:rsidRPr="00BE34F3">
        <w:rPr>
          <w:rFonts w:cs="Times New Roman"/>
          <w:b/>
          <w:sz w:val="24"/>
          <w:szCs w:val="24"/>
        </w:rPr>
        <w:lastRenderedPageBreak/>
        <w:t>References</w:t>
      </w:r>
    </w:p>
    <w:p w:rsidR="005765CA" w:rsidRPr="001E3C20" w:rsidRDefault="005765CA" w:rsidP="00BE34F3">
      <w:pPr>
        <w:pStyle w:val="ds-markdown-paragraph"/>
        <w:shd w:val="clear" w:color="auto" w:fill="FFFFFF"/>
        <w:spacing w:before="0" w:beforeAutospacing="0" w:after="0" w:afterAutospacing="0"/>
        <w:ind w:left="720" w:hanging="720"/>
        <w:rPr>
          <w:shd w:val="clear" w:color="auto" w:fill="FFFFFF"/>
        </w:rPr>
      </w:pPr>
      <w:r w:rsidRPr="001E3C20">
        <w:rPr>
          <w:shd w:val="clear" w:color="auto" w:fill="FFFFFF"/>
        </w:rPr>
        <w:t>Afrin, S. (2020). Effective Branding and Choice of University: A Thematic Analysis of Bangladeshi Private University Students. </w:t>
      </w:r>
      <w:r w:rsidRPr="001E3C20">
        <w:rPr>
          <w:i/>
          <w:iCs/>
          <w:shd w:val="clear" w:color="auto" w:fill="FFFFFF"/>
        </w:rPr>
        <w:t>AIUB Journal of Business and Economics</w:t>
      </w:r>
      <w:r w:rsidRPr="001E3C20">
        <w:rPr>
          <w:shd w:val="clear" w:color="auto" w:fill="FFFFFF"/>
        </w:rPr>
        <w:t>, </w:t>
      </w:r>
      <w:r w:rsidRPr="001E3C20">
        <w:rPr>
          <w:i/>
          <w:iCs/>
          <w:shd w:val="clear" w:color="auto" w:fill="FFFFFF"/>
        </w:rPr>
        <w:t>17</w:t>
      </w:r>
      <w:r w:rsidRPr="001E3C20">
        <w:rPr>
          <w:shd w:val="clear" w:color="auto" w:fill="FFFFFF"/>
        </w:rPr>
        <w:t>(1), 67-90.</w:t>
      </w:r>
      <w:r w:rsidRPr="001E3C20">
        <w:t xml:space="preserve"> </w:t>
      </w:r>
    </w:p>
    <w:p w:rsidR="005765CA" w:rsidRPr="001E3C20" w:rsidRDefault="005765CA" w:rsidP="005765CA">
      <w:pPr>
        <w:pStyle w:val="ds-markdown-paragraph"/>
        <w:shd w:val="clear" w:color="auto" w:fill="FFFFFF"/>
        <w:ind w:left="720" w:hanging="720"/>
        <w:rPr>
          <w:shd w:val="clear" w:color="auto" w:fill="FFFFFF"/>
        </w:rPr>
      </w:pPr>
      <w:proofErr w:type="spellStart"/>
      <w:r w:rsidRPr="001E3C20">
        <w:rPr>
          <w:shd w:val="clear" w:color="auto" w:fill="FFFFFF"/>
        </w:rPr>
        <w:t>Alemu</w:t>
      </w:r>
      <w:proofErr w:type="spellEnd"/>
      <w:r w:rsidRPr="001E3C20">
        <w:rPr>
          <w:shd w:val="clear" w:color="auto" w:fill="FFFFFF"/>
        </w:rPr>
        <w:t>, S. (2022). </w:t>
      </w:r>
      <w:r w:rsidRPr="001E3C20">
        <w:rPr>
          <w:i/>
          <w:iCs/>
          <w:shd w:val="clear" w:color="auto" w:fill="FFFFFF"/>
        </w:rPr>
        <w:t xml:space="preserve">The Effect </w:t>
      </w:r>
      <w:proofErr w:type="gramStart"/>
      <w:r w:rsidRPr="001E3C20">
        <w:rPr>
          <w:i/>
          <w:iCs/>
          <w:shd w:val="clear" w:color="auto" w:fill="FFFFFF"/>
        </w:rPr>
        <w:t>Of</w:t>
      </w:r>
      <w:proofErr w:type="gramEnd"/>
      <w:r w:rsidRPr="001E3C20">
        <w:rPr>
          <w:i/>
          <w:iCs/>
          <w:shd w:val="clear" w:color="auto" w:fill="FFFFFF"/>
        </w:rPr>
        <w:t xml:space="preserve"> Brand Equity Upon </w:t>
      </w:r>
      <w:proofErr w:type="spellStart"/>
      <w:r w:rsidRPr="001E3C20">
        <w:rPr>
          <w:i/>
          <w:iCs/>
          <w:shd w:val="clear" w:color="auto" w:fill="FFFFFF"/>
        </w:rPr>
        <w:t>Customers’service</w:t>
      </w:r>
      <w:proofErr w:type="spellEnd"/>
      <w:r w:rsidRPr="001E3C20">
        <w:rPr>
          <w:i/>
          <w:iCs/>
          <w:shd w:val="clear" w:color="auto" w:fill="FFFFFF"/>
        </w:rPr>
        <w:t xml:space="preserve"> Choices: The Case Of Bank Of Abyssinia </w:t>
      </w:r>
      <w:proofErr w:type="spellStart"/>
      <w:r w:rsidRPr="001E3C20">
        <w:rPr>
          <w:i/>
          <w:iCs/>
          <w:shd w:val="clear" w:color="auto" w:fill="FFFFFF"/>
        </w:rPr>
        <w:t>Sc</w:t>
      </w:r>
      <w:proofErr w:type="spellEnd"/>
      <w:r w:rsidRPr="001E3C20">
        <w:rPr>
          <w:i/>
          <w:iCs/>
          <w:shd w:val="clear" w:color="auto" w:fill="FFFFFF"/>
        </w:rPr>
        <w:t xml:space="preserve"> In Addis Ababa</w:t>
      </w:r>
      <w:r w:rsidRPr="001E3C20">
        <w:rPr>
          <w:shd w:val="clear" w:color="auto" w:fill="FFFFFF"/>
        </w:rPr>
        <w:t xml:space="preserve"> (Doctoral Dissertation, St. Mary’s University). </w:t>
      </w:r>
    </w:p>
    <w:p w:rsidR="005765CA" w:rsidRPr="001E3C20" w:rsidRDefault="005765CA" w:rsidP="005765CA">
      <w:pPr>
        <w:pStyle w:val="ds-markdown-paragraph"/>
        <w:shd w:val="clear" w:color="auto" w:fill="FFFFFF"/>
        <w:ind w:left="720" w:hanging="720"/>
        <w:rPr>
          <w:shd w:val="clear" w:color="auto" w:fill="FFFFFF"/>
        </w:rPr>
      </w:pPr>
      <w:r w:rsidRPr="001E3C20">
        <w:rPr>
          <w:shd w:val="clear" w:color="auto" w:fill="FFFFFF"/>
        </w:rPr>
        <w:t>Alfred, B. E. T. T. (2020). The Moderating Effect of Information Systems Capabilities on the Relationship between Information Systems Resources and Performance of Firms in the Telecommunications Industry in Kenya.</w:t>
      </w:r>
    </w:p>
    <w:p w:rsidR="005765CA" w:rsidRPr="001E3C20" w:rsidRDefault="005765CA" w:rsidP="005765CA">
      <w:pPr>
        <w:pStyle w:val="ds-markdown-paragraph"/>
        <w:shd w:val="clear" w:color="auto" w:fill="FFFFFF"/>
        <w:ind w:left="720" w:hanging="720"/>
      </w:pPr>
      <w:r w:rsidRPr="001E3C20">
        <w:t>Almeida, P., &amp; Santos, J. (2023). Digital alumni engagement analytics in higher education. </w:t>
      </w:r>
      <w:r w:rsidRPr="001E3C20">
        <w:rPr>
          <w:rStyle w:val="Emphasis"/>
          <w:rFonts w:eastAsiaTheme="majorEastAsia"/>
        </w:rPr>
        <w:t>Journal of Institutional Research</w:t>
      </w:r>
      <w:r w:rsidRPr="001E3C20">
        <w:t>, 48(2), 134-152. </w:t>
      </w:r>
      <w:hyperlink r:id="rId8" w:tgtFrame="_blank" w:history="1">
        <w:r w:rsidRPr="001E3C20">
          <w:rPr>
            <w:rStyle w:val="Hyperlink"/>
            <w:rFonts w:eastAsiaTheme="majorEastAsia"/>
            <w:color w:val="auto"/>
          </w:rPr>
          <w:t>https://doi.org/10.xxxx/jir.2023.02.005</w:t>
        </w:r>
      </w:hyperlink>
    </w:p>
    <w:p w:rsidR="005765CA" w:rsidRPr="001E3C20" w:rsidRDefault="005765CA" w:rsidP="005765CA">
      <w:pPr>
        <w:pStyle w:val="ds-markdown-paragraph"/>
        <w:shd w:val="clear" w:color="auto" w:fill="FFFFFF"/>
        <w:ind w:left="720" w:hanging="720"/>
        <w:rPr>
          <w:shd w:val="clear" w:color="auto" w:fill="FFFFFF"/>
        </w:rPr>
      </w:pPr>
      <w:r w:rsidRPr="001E3C20">
        <w:t>Baker, T. L., et al. (2023). "Alumni Giving and Brand Attachment in Higher Education." </w:t>
      </w:r>
      <w:r w:rsidRPr="001E3C20">
        <w:rPr>
          <w:rStyle w:val="Emphasis"/>
          <w:rFonts w:eastAsiaTheme="majorEastAsia"/>
        </w:rPr>
        <w:t>Journal of Marketing for Higher Education</w:t>
      </w:r>
      <w:r w:rsidRPr="001E3C20">
        <w:t>, 33(1), 45-67.</w:t>
      </w:r>
    </w:p>
    <w:p w:rsidR="005765CA" w:rsidRPr="001E3C20" w:rsidRDefault="005765CA" w:rsidP="005765CA">
      <w:pPr>
        <w:pStyle w:val="ds-markdown-paragraph"/>
        <w:shd w:val="clear" w:color="auto" w:fill="FFFFFF"/>
        <w:ind w:left="720" w:hanging="720"/>
      </w:pPr>
      <w:r w:rsidRPr="001E3C20">
        <w:t xml:space="preserve">Belanger, C., Bali, S., &amp; </w:t>
      </w:r>
      <w:proofErr w:type="spellStart"/>
      <w:r w:rsidRPr="001E3C20">
        <w:t>Longden</w:t>
      </w:r>
      <w:proofErr w:type="spellEnd"/>
      <w:r w:rsidRPr="001E3C20">
        <w:t>, B. (2022). </w:t>
      </w:r>
      <w:r w:rsidRPr="001E3C20">
        <w:rPr>
          <w:rStyle w:val="Emphasis"/>
          <w:rFonts w:eastAsiaTheme="majorEastAsia"/>
        </w:rPr>
        <w:t>Transparency and accountability in higher education: The role of branding in public universities</w:t>
      </w:r>
      <w:r w:rsidRPr="001E3C20">
        <w:t>. Routledge.</w:t>
      </w:r>
    </w:p>
    <w:p w:rsidR="005765CA" w:rsidRPr="001E3C20" w:rsidRDefault="005765CA" w:rsidP="005765CA">
      <w:pPr>
        <w:pStyle w:val="ds-markdown-paragraph"/>
        <w:shd w:val="clear" w:color="auto" w:fill="FFFFFF"/>
        <w:ind w:left="720" w:hanging="720"/>
        <w:rPr>
          <w:shd w:val="clear" w:color="auto" w:fill="FFFFFF"/>
        </w:rPr>
      </w:pPr>
      <w:proofErr w:type="spellStart"/>
      <w:r w:rsidRPr="001E3C20">
        <w:rPr>
          <w:shd w:val="clear" w:color="auto" w:fill="FFFFFF"/>
        </w:rPr>
        <w:t>Bonareri</w:t>
      </w:r>
      <w:proofErr w:type="spellEnd"/>
      <w:r w:rsidRPr="001E3C20">
        <w:rPr>
          <w:shd w:val="clear" w:color="auto" w:fill="FFFFFF"/>
        </w:rPr>
        <w:t xml:space="preserve">, A., </w:t>
      </w:r>
      <w:proofErr w:type="spellStart"/>
      <w:r w:rsidRPr="001E3C20">
        <w:rPr>
          <w:shd w:val="clear" w:color="auto" w:fill="FFFFFF"/>
        </w:rPr>
        <w:t>Nkabu</w:t>
      </w:r>
      <w:proofErr w:type="spellEnd"/>
      <w:r w:rsidRPr="001E3C20">
        <w:rPr>
          <w:shd w:val="clear" w:color="auto" w:fill="FFFFFF"/>
        </w:rPr>
        <w:t xml:space="preserve">, C., &amp; </w:t>
      </w:r>
      <w:proofErr w:type="spellStart"/>
      <w:r w:rsidRPr="001E3C20">
        <w:rPr>
          <w:shd w:val="clear" w:color="auto" w:fill="FFFFFF"/>
        </w:rPr>
        <w:t>Huka</w:t>
      </w:r>
      <w:proofErr w:type="spellEnd"/>
      <w:r w:rsidRPr="001E3C20">
        <w:rPr>
          <w:shd w:val="clear" w:color="auto" w:fill="FFFFFF"/>
        </w:rPr>
        <w:t>, G. (2022). Brand equity and customer citizenship behavior among students of selected universities within Mount Kenya region. </w:t>
      </w:r>
      <w:r w:rsidRPr="001E3C20">
        <w:rPr>
          <w:i/>
          <w:iCs/>
          <w:shd w:val="clear" w:color="auto" w:fill="FFFFFF"/>
        </w:rPr>
        <w:t>African Journal of Science, Technology and Social Sciences</w:t>
      </w:r>
      <w:r w:rsidRPr="001E3C20">
        <w:rPr>
          <w:shd w:val="clear" w:color="auto" w:fill="FFFFFF"/>
        </w:rPr>
        <w:t>, </w:t>
      </w:r>
      <w:r w:rsidRPr="001E3C20">
        <w:rPr>
          <w:i/>
          <w:iCs/>
          <w:shd w:val="clear" w:color="auto" w:fill="FFFFFF"/>
        </w:rPr>
        <w:t>1</w:t>
      </w:r>
      <w:r w:rsidRPr="001E3C20">
        <w:rPr>
          <w:shd w:val="clear" w:color="auto" w:fill="FFFFFF"/>
        </w:rPr>
        <w:t>(1).</w:t>
      </w:r>
    </w:p>
    <w:p w:rsidR="005765CA" w:rsidRPr="001E3C20" w:rsidRDefault="005765CA" w:rsidP="005765CA">
      <w:pPr>
        <w:pStyle w:val="ds-markdown-paragraph"/>
        <w:shd w:val="clear" w:color="auto" w:fill="FFFFFF"/>
        <w:ind w:left="720" w:hanging="720"/>
      </w:pPr>
      <w:proofErr w:type="spellStart"/>
      <w:r w:rsidRPr="001E3C20">
        <w:t>Chapleo</w:t>
      </w:r>
      <w:proofErr w:type="spellEnd"/>
      <w:r w:rsidRPr="001E3C20">
        <w:t>, C., &amp; Clark, P. (2021). </w:t>
      </w:r>
      <w:r w:rsidRPr="001E3C20">
        <w:rPr>
          <w:rStyle w:val="Emphasis"/>
          <w:rFonts w:eastAsiaTheme="majorEastAsia"/>
        </w:rPr>
        <w:t>Brand attachment in higher education: The role of reputation and emotional engagement</w:t>
      </w:r>
      <w:r w:rsidRPr="001E3C20">
        <w:t>. Journal of Marketing for Higher Education, *31*(2), 245-260. </w:t>
      </w:r>
      <w:hyperlink r:id="rId9" w:tgtFrame="_blank" w:history="1">
        <w:r w:rsidRPr="001E3C20">
          <w:rPr>
            <w:rStyle w:val="Hyperlink"/>
            <w:rFonts w:eastAsiaTheme="majorEastAsia"/>
            <w:color w:val="auto"/>
          </w:rPr>
          <w:t>https://doi.org/10.1080/08841241.2021.1927284</w:t>
        </w:r>
      </w:hyperlink>
    </w:p>
    <w:p w:rsidR="005765CA" w:rsidRPr="001E3C20" w:rsidRDefault="005765CA" w:rsidP="005765CA">
      <w:pPr>
        <w:pStyle w:val="ds-markdown-paragraph"/>
        <w:shd w:val="clear" w:color="auto" w:fill="FFFFFF"/>
        <w:ind w:left="720" w:hanging="720"/>
        <w:rPr>
          <w:shd w:val="clear" w:color="auto" w:fill="FFFFFF"/>
        </w:rPr>
      </w:pPr>
      <w:proofErr w:type="spellStart"/>
      <w:r w:rsidRPr="001E3C20">
        <w:t>Chapleo</w:t>
      </w:r>
      <w:proofErr w:type="spellEnd"/>
      <w:r w:rsidRPr="001E3C20">
        <w:t>, C., &amp; Clark, P. (2021). </w:t>
      </w:r>
      <w:r w:rsidRPr="001E3C20">
        <w:rPr>
          <w:rStyle w:val="Emphasis"/>
          <w:rFonts w:eastAsiaTheme="majorEastAsia"/>
        </w:rPr>
        <w:t>Branding Universities: Trends, Strategies, and Challenges.</w:t>
      </w:r>
      <w:r w:rsidRPr="001E3C20">
        <w:t> Routledge.</w:t>
      </w:r>
    </w:p>
    <w:p w:rsidR="005765CA" w:rsidRPr="001E3C20" w:rsidRDefault="005765CA" w:rsidP="005765CA">
      <w:pPr>
        <w:pStyle w:val="ds-markdown-paragraph"/>
        <w:shd w:val="clear" w:color="auto" w:fill="FFFFFF"/>
        <w:ind w:left="720" w:hanging="720"/>
      </w:pPr>
      <w:r w:rsidRPr="001E3C20">
        <w:t xml:space="preserve">Chen, L., </w:t>
      </w:r>
      <w:proofErr w:type="spellStart"/>
      <w:r w:rsidRPr="001E3C20">
        <w:t>Stiber</w:t>
      </w:r>
      <w:proofErr w:type="spellEnd"/>
      <w:r w:rsidRPr="001E3C20">
        <w:t>, M., &amp; Johnson, R. (2023). Cultural dimensions of university brand equity. </w:t>
      </w:r>
      <w:r w:rsidRPr="001E3C20">
        <w:rPr>
          <w:rStyle w:val="Emphasis"/>
          <w:rFonts w:eastAsiaTheme="majorEastAsia"/>
        </w:rPr>
        <w:t>International Journal of Educational Development</w:t>
      </w:r>
      <w:r w:rsidRPr="001E3C20">
        <w:t>, 97, 102743. </w:t>
      </w:r>
      <w:hyperlink r:id="rId10" w:tgtFrame="_blank" w:history="1">
        <w:r w:rsidRPr="001E3C20">
          <w:rPr>
            <w:rStyle w:val="Hyperlink"/>
            <w:rFonts w:eastAsiaTheme="majorEastAsia"/>
            <w:color w:val="auto"/>
          </w:rPr>
          <w:t>https://doi.org/10.xxxx/ijed.2023.102743</w:t>
        </w:r>
      </w:hyperlink>
    </w:p>
    <w:p w:rsidR="005765CA" w:rsidRPr="001E3C20" w:rsidRDefault="005765CA" w:rsidP="005765CA">
      <w:pPr>
        <w:pStyle w:val="ds-markdown-paragraph"/>
        <w:shd w:val="clear" w:color="auto" w:fill="FFFFFF"/>
        <w:ind w:left="720" w:hanging="720"/>
        <w:rPr>
          <w:shd w:val="clear" w:color="auto" w:fill="FFFFFF"/>
        </w:rPr>
      </w:pPr>
      <w:r w:rsidRPr="001E3C20">
        <w:rPr>
          <w:rStyle w:val="Strong"/>
          <w:rFonts w:eastAsiaTheme="majorEastAsia"/>
          <w:shd w:val="clear" w:color="auto" w:fill="FFFFFF"/>
        </w:rPr>
        <w:t>Coombs, W. T. (2019).</w:t>
      </w:r>
      <w:r w:rsidRPr="001E3C20">
        <w:t xml:space="preserve"> </w:t>
      </w:r>
      <w:r w:rsidRPr="001E3C20">
        <w:rPr>
          <w:rStyle w:val="Emphasis"/>
          <w:rFonts w:eastAsiaTheme="majorEastAsia"/>
          <w:shd w:val="clear" w:color="auto" w:fill="FFFFFF"/>
        </w:rPr>
        <w:t>Ongoing crisis communication: Planning, managing, and responding</w:t>
      </w:r>
      <w:r w:rsidRPr="001E3C20">
        <w:rPr>
          <w:shd w:val="clear" w:color="auto" w:fill="FFFFFF"/>
        </w:rPr>
        <w:t xml:space="preserve"> (4th ed.). SAGE Publications. </w:t>
      </w:r>
    </w:p>
    <w:p w:rsidR="005765CA" w:rsidRPr="001E3C20" w:rsidRDefault="005765CA" w:rsidP="005765CA">
      <w:pPr>
        <w:pStyle w:val="ds-markdown-paragraph"/>
        <w:shd w:val="clear" w:color="auto" w:fill="FFFFFF"/>
        <w:ind w:left="720" w:hanging="720"/>
        <w:rPr>
          <w:shd w:val="clear" w:color="auto" w:fill="FFFFFF"/>
        </w:rPr>
      </w:pPr>
      <w:r w:rsidRPr="001E3C20">
        <w:rPr>
          <w:shd w:val="clear" w:color="auto" w:fill="FFFFFF"/>
        </w:rPr>
        <w:t xml:space="preserve"> de </w:t>
      </w:r>
      <w:proofErr w:type="spellStart"/>
      <w:r w:rsidRPr="001E3C20">
        <w:rPr>
          <w:shd w:val="clear" w:color="auto" w:fill="FFFFFF"/>
        </w:rPr>
        <w:t>Heer</w:t>
      </w:r>
      <w:proofErr w:type="spellEnd"/>
      <w:r w:rsidRPr="001E3C20">
        <w:rPr>
          <w:shd w:val="clear" w:color="auto" w:fill="FFFFFF"/>
        </w:rPr>
        <w:t xml:space="preserve">, F., &amp; </w:t>
      </w:r>
      <w:proofErr w:type="spellStart"/>
      <w:r w:rsidRPr="001E3C20">
        <w:rPr>
          <w:shd w:val="clear" w:color="auto" w:fill="FFFFFF"/>
        </w:rPr>
        <w:t>Tandoh-Offin</w:t>
      </w:r>
      <w:proofErr w:type="spellEnd"/>
      <w:r w:rsidRPr="001E3C20">
        <w:rPr>
          <w:shd w:val="clear" w:color="auto" w:fill="FFFFFF"/>
        </w:rPr>
        <w:t>, P. (2015). Exploring the Benefits of Branding Universities: A Developing Country Perspective. </w:t>
      </w:r>
      <w:r w:rsidRPr="001E3C20">
        <w:rPr>
          <w:i/>
          <w:iCs/>
          <w:shd w:val="clear" w:color="auto" w:fill="FFFFFF"/>
        </w:rPr>
        <w:t>IUP Journal of Brand Management</w:t>
      </w:r>
      <w:r w:rsidRPr="001E3C20">
        <w:rPr>
          <w:shd w:val="clear" w:color="auto" w:fill="FFFFFF"/>
        </w:rPr>
        <w:t>, </w:t>
      </w:r>
      <w:r w:rsidRPr="001E3C20">
        <w:rPr>
          <w:i/>
          <w:iCs/>
          <w:shd w:val="clear" w:color="auto" w:fill="FFFFFF"/>
        </w:rPr>
        <w:t>12</w:t>
      </w:r>
      <w:r w:rsidRPr="001E3C20">
        <w:rPr>
          <w:shd w:val="clear" w:color="auto" w:fill="FFFFFF"/>
        </w:rPr>
        <w:t xml:space="preserve">(4). </w:t>
      </w:r>
    </w:p>
    <w:p w:rsidR="005765CA" w:rsidRPr="001E3C20" w:rsidRDefault="005765CA" w:rsidP="005765CA">
      <w:pPr>
        <w:pStyle w:val="ds-markdown-paragraph"/>
        <w:shd w:val="clear" w:color="auto" w:fill="FFFFFF"/>
        <w:ind w:left="720" w:hanging="720"/>
        <w:rPr>
          <w:shd w:val="clear" w:color="auto" w:fill="FFFFFF"/>
        </w:rPr>
      </w:pPr>
      <w:r w:rsidRPr="001E3C20">
        <w:lastRenderedPageBreak/>
        <w:t xml:space="preserve">Dholakia, R. R., &amp; </w:t>
      </w:r>
      <w:proofErr w:type="spellStart"/>
      <w:r w:rsidRPr="001E3C20">
        <w:t>Acciardo</w:t>
      </w:r>
      <w:proofErr w:type="spellEnd"/>
      <w:r w:rsidRPr="001E3C20">
        <w:t>, L. A. (2022). "Digital Branding in Universities: The Role of Social Media." </w:t>
      </w:r>
      <w:r w:rsidRPr="001E3C20">
        <w:rPr>
          <w:rStyle w:val="Emphasis"/>
          <w:rFonts w:eastAsiaTheme="majorEastAsia"/>
        </w:rPr>
        <w:t>Higher Education Policy</w:t>
      </w:r>
      <w:r w:rsidRPr="001E3C20">
        <w:t>, 35(2), 210-229.</w:t>
      </w:r>
    </w:p>
    <w:p w:rsidR="005765CA" w:rsidRPr="001E3C20" w:rsidRDefault="005765CA" w:rsidP="005765CA">
      <w:pPr>
        <w:pStyle w:val="ds-markdown-paragraph"/>
        <w:shd w:val="clear" w:color="auto" w:fill="FFFFFF"/>
        <w:ind w:left="720" w:hanging="720"/>
      </w:pPr>
      <w:r w:rsidRPr="001E3C20">
        <w:t xml:space="preserve">Dholakia, R., &amp; </w:t>
      </w:r>
      <w:proofErr w:type="spellStart"/>
      <w:r w:rsidRPr="001E3C20">
        <w:t>Acciardo</w:t>
      </w:r>
      <w:proofErr w:type="spellEnd"/>
      <w:r w:rsidRPr="001E3C20">
        <w:t>, L. (2023). </w:t>
      </w:r>
      <w:r w:rsidRPr="001E3C20">
        <w:rPr>
          <w:rStyle w:val="Emphasis"/>
          <w:rFonts w:eastAsiaTheme="majorEastAsia"/>
        </w:rPr>
        <w:t>Strategic branding in public universities: Balancing tradition and digital innovation</w:t>
      </w:r>
      <w:r w:rsidRPr="001E3C20">
        <w:t>. Higher Education Policy, *36*(1), 78-95. </w:t>
      </w:r>
      <w:hyperlink r:id="rId11" w:tgtFrame="_blank" w:history="1">
        <w:r w:rsidRPr="001E3C20">
          <w:rPr>
            <w:rStyle w:val="Hyperlink"/>
            <w:rFonts w:eastAsiaTheme="majorEastAsia"/>
            <w:color w:val="auto"/>
          </w:rPr>
          <w:t>https://doi.org/10.1057/s41307-022-00287-9</w:t>
        </w:r>
      </w:hyperlink>
    </w:p>
    <w:p w:rsidR="005765CA" w:rsidRPr="001E3C20" w:rsidRDefault="005765CA" w:rsidP="005765CA">
      <w:pPr>
        <w:pStyle w:val="ds-markdown-paragraph"/>
        <w:shd w:val="clear" w:color="auto" w:fill="FFFFFF"/>
        <w:ind w:left="720" w:hanging="720"/>
        <w:rPr>
          <w:shd w:val="clear" w:color="auto" w:fill="FFFFFF"/>
        </w:rPr>
      </w:pPr>
      <w:r w:rsidRPr="001E3C20">
        <w:rPr>
          <w:shd w:val="clear" w:color="auto" w:fill="FFFFFF"/>
        </w:rPr>
        <w:t xml:space="preserve">Do, T. T. H., &amp; </w:t>
      </w:r>
      <w:proofErr w:type="spellStart"/>
      <w:r w:rsidRPr="001E3C20">
        <w:rPr>
          <w:shd w:val="clear" w:color="auto" w:fill="FFFFFF"/>
        </w:rPr>
        <w:t>Ralev</w:t>
      </w:r>
      <w:proofErr w:type="spellEnd"/>
      <w:r w:rsidRPr="001E3C20">
        <w:rPr>
          <w:shd w:val="clear" w:color="auto" w:fill="FFFFFF"/>
        </w:rPr>
        <w:t xml:space="preserve">, V. (2021). Swedish university brand personality and student choice: How does the university brand personality influence international students when selecting a higher education institution? Case study: Jönköping University. </w:t>
      </w:r>
    </w:p>
    <w:p w:rsidR="005765CA" w:rsidRPr="001E3C20" w:rsidRDefault="005765CA" w:rsidP="005765CA">
      <w:pPr>
        <w:pStyle w:val="ds-markdown-paragraph"/>
        <w:shd w:val="clear" w:color="auto" w:fill="FFFFFF"/>
        <w:ind w:left="720" w:hanging="720"/>
        <w:rPr>
          <w:shd w:val="clear" w:color="auto" w:fill="FFFFFF"/>
        </w:rPr>
      </w:pPr>
      <w:r w:rsidRPr="001E3C20">
        <w:rPr>
          <w:shd w:val="clear" w:color="auto" w:fill="FFFFFF"/>
        </w:rPr>
        <w:t xml:space="preserve"> </w:t>
      </w:r>
      <w:proofErr w:type="spellStart"/>
      <w:r w:rsidRPr="001E3C20">
        <w:rPr>
          <w:shd w:val="clear" w:color="auto" w:fill="FFFFFF"/>
        </w:rPr>
        <w:t>FakhrEldin</w:t>
      </w:r>
      <w:proofErr w:type="spellEnd"/>
      <w:r w:rsidRPr="001E3C20">
        <w:rPr>
          <w:shd w:val="clear" w:color="auto" w:fill="FFFFFF"/>
        </w:rPr>
        <w:t>, H. (2023). </w:t>
      </w:r>
      <w:r w:rsidRPr="001E3C20">
        <w:rPr>
          <w:i/>
          <w:iCs/>
          <w:shd w:val="clear" w:color="auto" w:fill="FFFFFF"/>
        </w:rPr>
        <w:t>The effect of brand equity on students’ choice to study in a private university. A study across private universities in Egypt. Submitted by: Karim Ashmawy Under Supervision of</w:t>
      </w:r>
      <w:r w:rsidRPr="001E3C20">
        <w:rPr>
          <w:shd w:val="clear" w:color="auto" w:fill="FFFFFF"/>
        </w:rPr>
        <w:t xml:space="preserve"> (Doctoral dissertation, The British University in Egypt). </w:t>
      </w:r>
    </w:p>
    <w:p w:rsidR="005765CA" w:rsidRPr="001E3C20" w:rsidRDefault="005765CA" w:rsidP="005765CA">
      <w:pPr>
        <w:pStyle w:val="ds-markdown-paragraph"/>
        <w:shd w:val="clear" w:color="auto" w:fill="FFFFFF"/>
        <w:ind w:left="720" w:hanging="720"/>
        <w:rPr>
          <w:shd w:val="clear" w:color="auto" w:fill="FFFFFF"/>
        </w:rPr>
      </w:pPr>
      <w:r w:rsidRPr="001E3C20">
        <w:rPr>
          <w:shd w:val="clear" w:color="auto" w:fill="FFFFFF"/>
        </w:rPr>
        <w:t>Garcia, D. E. (2016). </w:t>
      </w:r>
      <w:r w:rsidRPr="001E3C20">
        <w:rPr>
          <w:i/>
          <w:iCs/>
          <w:shd w:val="clear" w:color="auto" w:fill="FFFFFF"/>
        </w:rPr>
        <w:t>A study on the effect of higher education branding on student's college decision</w:t>
      </w:r>
      <w:r w:rsidRPr="001E3C20">
        <w:rPr>
          <w:shd w:val="clear" w:color="auto" w:fill="FFFFFF"/>
        </w:rPr>
        <w:t>. The University of Texas Rio Grande Valley.</w:t>
      </w:r>
    </w:p>
    <w:p w:rsidR="005765CA" w:rsidRPr="001E3C20" w:rsidRDefault="005765CA" w:rsidP="005765CA">
      <w:pPr>
        <w:pStyle w:val="ds-markdown-paragraph"/>
        <w:shd w:val="clear" w:color="auto" w:fill="FFFFFF"/>
        <w:ind w:left="720" w:hanging="720"/>
      </w:pPr>
      <w:r w:rsidRPr="001E3C20">
        <w:t>Garcia-Lopez, M., Martinez-Ortega, R., &amp; Kim, S. (2023). Immersive learning ecosystems in higher education. </w:t>
      </w:r>
      <w:r w:rsidRPr="001E3C20">
        <w:rPr>
          <w:rStyle w:val="Emphasis"/>
          <w:rFonts w:eastAsiaTheme="majorEastAsia"/>
        </w:rPr>
        <w:t>Computers &amp; Education</w:t>
      </w:r>
      <w:r w:rsidRPr="001E3C20">
        <w:t>, 196, 104701. </w:t>
      </w:r>
      <w:hyperlink r:id="rId12" w:tgtFrame="_blank" w:history="1">
        <w:r w:rsidRPr="001E3C20">
          <w:rPr>
            <w:rStyle w:val="Hyperlink"/>
            <w:rFonts w:eastAsiaTheme="majorEastAsia"/>
            <w:color w:val="auto"/>
          </w:rPr>
          <w:t>https://doi.org/10.xxxx/cae.2023.104701</w:t>
        </w:r>
      </w:hyperlink>
    </w:p>
    <w:p w:rsidR="005765CA" w:rsidRPr="001E3C20" w:rsidRDefault="005765CA" w:rsidP="005765CA">
      <w:pPr>
        <w:pStyle w:val="ds-markdown-paragraph"/>
        <w:shd w:val="clear" w:color="auto" w:fill="FFFFFF"/>
        <w:ind w:left="720" w:hanging="720"/>
        <w:rPr>
          <w:shd w:val="clear" w:color="auto" w:fill="FFFFFF"/>
        </w:rPr>
      </w:pPr>
      <w:proofErr w:type="spellStart"/>
      <w:r w:rsidRPr="001E3C20">
        <w:rPr>
          <w:shd w:val="clear" w:color="auto" w:fill="FFFFFF"/>
        </w:rPr>
        <w:t>Ghorbanzadeh</w:t>
      </w:r>
      <w:proofErr w:type="spellEnd"/>
      <w:r w:rsidRPr="001E3C20">
        <w:rPr>
          <w:shd w:val="clear" w:color="auto" w:fill="FFFFFF"/>
        </w:rPr>
        <w:t xml:space="preserve">, D., </w:t>
      </w:r>
      <w:proofErr w:type="spellStart"/>
      <w:r w:rsidRPr="001E3C20">
        <w:rPr>
          <w:shd w:val="clear" w:color="auto" w:fill="FFFFFF"/>
        </w:rPr>
        <w:t>Rahehagh</w:t>
      </w:r>
      <w:proofErr w:type="spellEnd"/>
      <w:r w:rsidRPr="001E3C20">
        <w:rPr>
          <w:shd w:val="clear" w:color="auto" w:fill="FFFFFF"/>
        </w:rPr>
        <w:t xml:space="preserve">, A., &amp; </w:t>
      </w:r>
      <w:proofErr w:type="spellStart"/>
      <w:r w:rsidRPr="001E3C20">
        <w:rPr>
          <w:shd w:val="clear" w:color="auto" w:fill="FFFFFF"/>
        </w:rPr>
        <w:t>Najarzadeh</w:t>
      </w:r>
      <w:proofErr w:type="spellEnd"/>
      <w:r w:rsidRPr="001E3C20">
        <w:rPr>
          <w:shd w:val="clear" w:color="auto" w:fill="FFFFFF"/>
        </w:rPr>
        <w:t>, M. (2024). Determinants of university brand loyalty in an emerging higher education market. </w:t>
      </w:r>
      <w:r w:rsidRPr="001E3C20">
        <w:rPr>
          <w:i/>
          <w:iCs/>
          <w:shd w:val="clear" w:color="auto" w:fill="FFFFFF"/>
        </w:rPr>
        <w:t>Journal of Applied Research in Higher Education</w:t>
      </w:r>
      <w:r w:rsidRPr="001E3C20">
        <w:rPr>
          <w:shd w:val="clear" w:color="auto" w:fill="FFFFFF"/>
        </w:rPr>
        <w:t>, </w:t>
      </w:r>
      <w:r w:rsidRPr="001E3C20">
        <w:rPr>
          <w:i/>
          <w:iCs/>
          <w:shd w:val="clear" w:color="auto" w:fill="FFFFFF"/>
        </w:rPr>
        <w:t>16</w:t>
      </w:r>
      <w:r w:rsidRPr="001E3C20">
        <w:rPr>
          <w:shd w:val="clear" w:color="auto" w:fill="FFFFFF"/>
        </w:rPr>
        <w:t>(5), 2075-2090.</w:t>
      </w:r>
    </w:p>
    <w:p w:rsidR="005765CA" w:rsidRPr="001E3C20" w:rsidRDefault="005765CA" w:rsidP="005765CA">
      <w:pPr>
        <w:pStyle w:val="ds-markdown-paragraph"/>
        <w:shd w:val="clear" w:color="auto" w:fill="FFFFFF"/>
        <w:ind w:left="720" w:hanging="720"/>
      </w:pPr>
      <w:proofErr w:type="spellStart"/>
      <w:r w:rsidRPr="001E3C20">
        <w:t>Hemsley</w:t>
      </w:r>
      <w:proofErr w:type="spellEnd"/>
      <w:r w:rsidRPr="001E3C20">
        <w:t xml:space="preserve">-Brown, J., </w:t>
      </w:r>
      <w:proofErr w:type="spellStart"/>
      <w:r w:rsidRPr="001E3C20">
        <w:t>Melewar</w:t>
      </w:r>
      <w:proofErr w:type="spellEnd"/>
      <w:r w:rsidRPr="001E3C20">
        <w:t>, T. C., &amp; Nguyen, B. (2020). </w:t>
      </w:r>
      <w:r w:rsidRPr="001E3C20">
        <w:rPr>
          <w:rStyle w:val="Emphasis"/>
          <w:rFonts w:eastAsiaTheme="majorEastAsia"/>
        </w:rPr>
        <w:t>Exploring brand identity, reputation, and student decision-making in higher education</w:t>
      </w:r>
      <w:r w:rsidRPr="001E3C20">
        <w:t>. Studies in Higher Education, *45*(8), 1541-1558. </w:t>
      </w:r>
      <w:hyperlink r:id="rId13" w:tgtFrame="_blank" w:history="1">
        <w:r w:rsidRPr="001E3C20">
          <w:rPr>
            <w:rStyle w:val="Hyperlink"/>
            <w:rFonts w:eastAsiaTheme="majorEastAsia"/>
            <w:color w:val="auto"/>
          </w:rPr>
          <w:t>https://doi.org/10.1080/03075079.2019.1593350</w:t>
        </w:r>
      </w:hyperlink>
    </w:p>
    <w:p w:rsidR="005765CA" w:rsidRPr="001E3C20" w:rsidRDefault="005765CA" w:rsidP="005765CA">
      <w:pPr>
        <w:pStyle w:val="ds-markdown-paragraph"/>
        <w:shd w:val="clear" w:color="auto" w:fill="FFFFFF"/>
        <w:ind w:left="720" w:hanging="720"/>
        <w:rPr>
          <w:shd w:val="clear" w:color="auto" w:fill="FFFFFF"/>
        </w:rPr>
      </w:pPr>
      <w:proofErr w:type="spellStart"/>
      <w:r w:rsidRPr="001E3C20">
        <w:t>Hemsley</w:t>
      </w:r>
      <w:proofErr w:type="spellEnd"/>
      <w:r w:rsidRPr="001E3C20">
        <w:t xml:space="preserve">-Brown, J., </w:t>
      </w:r>
      <w:proofErr w:type="spellStart"/>
      <w:r w:rsidRPr="001E3C20">
        <w:t>Melewar</w:t>
      </w:r>
      <w:proofErr w:type="spellEnd"/>
      <w:r w:rsidRPr="001E3C20">
        <w:t>, T. C., Nguyen, B., &amp; Wilson, E. J. (2020). "Exploring brand identity, meaning, and reputation in higher education." </w:t>
      </w:r>
      <w:r w:rsidRPr="001E3C20">
        <w:rPr>
          <w:rStyle w:val="Emphasis"/>
          <w:rFonts w:eastAsiaTheme="majorEastAsia"/>
        </w:rPr>
        <w:t xml:space="preserve">Journal of Business </w:t>
      </w:r>
      <w:proofErr w:type="spellStart"/>
      <w:r w:rsidRPr="001E3C20">
        <w:rPr>
          <w:rStyle w:val="Emphasis"/>
          <w:rFonts w:eastAsiaTheme="majorEastAsia"/>
        </w:rPr>
        <w:t>Waiganjo</w:t>
      </w:r>
      <w:proofErr w:type="spellEnd"/>
      <w:r w:rsidRPr="001E3C20">
        <w:rPr>
          <w:rStyle w:val="Emphasis"/>
          <w:rFonts w:eastAsiaTheme="majorEastAsia"/>
        </w:rPr>
        <w:t>, E. (2021)., 109</w:t>
      </w:r>
      <w:r w:rsidRPr="001E3C20">
        <w:t>, 228-240.</w:t>
      </w:r>
    </w:p>
    <w:p w:rsidR="005765CA" w:rsidRPr="001E3C20" w:rsidRDefault="005765CA" w:rsidP="005765CA">
      <w:pPr>
        <w:pStyle w:val="ds-markdown-paragraph"/>
        <w:shd w:val="clear" w:color="auto" w:fill="FFFFFF"/>
        <w:ind w:left="720" w:hanging="720"/>
        <w:rPr>
          <w:shd w:val="clear" w:color="auto" w:fill="FFFFFF"/>
        </w:rPr>
      </w:pPr>
      <w:r w:rsidRPr="001E3C20">
        <w:rPr>
          <w:shd w:val="clear" w:color="auto" w:fill="FFFFFF"/>
        </w:rPr>
        <w:t xml:space="preserve">Husain, R., Paul, J., &amp; </w:t>
      </w:r>
      <w:proofErr w:type="spellStart"/>
      <w:r w:rsidRPr="001E3C20">
        <w:rPr>
          <w:shd w:val="clear" w:color="auto" w:fill="FFFFFF"/>
        </w:rPr>
        <w:t>Koles</w:t>
      </w:r>
      <w:proofErr w:type="spellEnd"/>
      <w:r w:rsidRPr="001E3C20">
        <w:rPr>
          <w:shd w:val="clear" w:color="auto" w:fill="FFFFFF"/>
        </w:rPr>
        <w:t>, B. (2022). The role of brand experience, brand resonance and brand trust in luxury consumption. </w:t>
      </w:r>
      <w:r w:rsidRPr="001E3C20">
        <w:rPr>
          <w:i/>
          <w:iCs/>
          <w:shd w:val="clear" w:color="auto" w:fill="FFFFFF"/>
        </w:rPr>
        <w:t>Journal of Retailing and Consumer Services</w:t>
      </w:r>
      <w:r w:rsidRPr="001E3C20">
        <w:rPr>
          <w:shd w:val="clear" w:color="auto" w:fill="FFFFFF"/>
        </w:rPr>
        <w:t>, </w:t>
      </w:r>
      <w:r w:rsidRPr="001E3C20">
        <w:rPr>
          <w:i/>
          <w:iCs/>
          <w:shd w:val="clear" w:color="auto" w:fill="FFFFFF"/>
        </w:rPr>
        <w:t>66</w:t>
      </w:r>
      <w:r w:rsidRPr="001E3C20">
        <w:rPr>
          <w:shd w:val="clear" w:color="auto" w:fill="FFFFFF"/>
        </w:rPr>
        <w:t>, 102895.</w:t>
      </w:r>
    </w:p>
    <w:p w:rsidR="005765CA" w:rsidRPr="001E3C20" w:rsidRDefault="005765CA" w:rsidP="005765CA">
      <w:pPr>
        <w:rPr>
          <w:rStyle w:val="Hyperlink"/>
          <w:rFonts w:cs="Times New Roman"/>
          <w:color w:val="auto"/>
        </w:rPr>
      </w:pPr>
      <w:r w:rsidRPr="001E3C20">
        <w:rPr>
          <w:rFonts w:cs="Times New Roman"/>
        </w:rPr>
        <w:t xml:space="preserve">Joseph, A., Mullen, E., &amp; </w:t>
      </w:r>
      <w:proofErr w:type="spellStart"/>
      <w:r w:rsidRPr="001E3C20">
        <w:rPr>
          <w:rFonts w:cs="Times New Roman"/>
        </w:rPr>
        <w:t>Spake</w:t>
      </w:r>
      <w:proofErr w:type="spellEnd"/>
      <w:r w:rsidRPr="001E3C20">
        <w:rPr>
          <w:rFonts w:cs="Times New Roman"/>
        </w:rPr>
        <w:t>, D. (2021). </w:t>
      </w:r>
      <w:r w:rsidRPr="001E3C20">
        <w:rPr>
          <w:rStyle w:val="Emphasis"/>
          <w:rFonts w:cs="Times New Roman"/>
        </w:rPr>
        <w:t>The influence of university branding on student choice: A cross-national study</w:t>
      </w:r>
      <w:r w:rsidRPr="001E3C20">
        <w:rPr>
          <w:rFonts w:cs="Times New Roman"/>
        </w:rPr>
        <w:t>. Journal of Educational Marketing, *15*(3), 321-337. </w:t>
      </w:r>
      <w:hyperlink r:id="rId14" w:tgtFrame="_blank" w:history="1">
        <w:r w:rsidRPr="001E3C20">
          <w:rPr>
            <w:rStyle w:val="Hyperlink"/>
            <w:rFonts w:cs="Times New Roman"/>
            <w:color w:val="auto"/>
          </w:rPr>
          <w:t>https://doi.org/10.1108/JEM-02-2021-0043</w:t>
        </w:r>
      </w:hyperlink>
    </w:p>
    <w:p w:rsidR="005765CA" w:rsidRPr="001E3C20" w:rsidRDefault="005765CA" w:rsidP="005765CA">
      <w:pPr>
        <w:pStyle w:val="ds-markdown-paragraph"/>
        <w:shd w:val="clear" w:color="auto" w:fill="FFFFFF"/>
        <w:ind w:left="720" w:hanging="720"/>
        <w:rPr>
          <w:shd w:val="clear" w:color="auto" w:fill="FFFFFF"/>
        </w:rPr>
      </w:pPr>
      <w:r w:rsidRPr="001E3C20">
        <w:rPr>
          <w:shd w:val="clear" w:color="auto" w:fill="FFFFFF"/>
        </w:rPr>
        <w:lastRenderedPageBreak/>
        <w:t xml:space="preserve">Kennedy, N. G. R., Martin, O., Zachary, A. B., &amp; </w:t>
      </w:r>
      <w:proofErr w:type="spellStart"/>
      <w:r w:rsidRPr="001E3C20">
        <w:rPr>
          <w:shd w:val="clear" w:color="auto" w:fill="FFFFFF"/>
        </w:rPr>
        <w:t>Reginah</w:t>
      </w:r>
      <w:proofErr w:type="spellEnd"/>
      <w:r w:rsidRPr="001E3C20">
        <w:rPr>
          <w:shd w:val="clear" w:color="auto" w:fill="FFFFFF"/>
        </w:rPr>
        <w:t xml:space="preserve">, K. (2022). The Moderating </w:t>
      </w:r>
      <w:proofErr w:type="gramStart"/>
      <w:r w:rsidRPr="001E3C20">
        <w:rPr>
          <w:shd w:val="clear" w:color="auto" w:fill="FFFFFF"/>
        </w:rPr>
        <w:t>effect</w:t>
      </w:r>
      <w:proofErr w:type="gramEnd"/>
      <w:r w:rsidRPr="001E3C20">
        <w:rPr>
          <w:shd w:val="clear" w:color="auto" w:fill="FFFFFF"/>
        </w:rPr>
        <w:t xml:space="preserve"> Of organizational environment on strategy implementation and performance of Kenya owned State Corporations relationship. </w:t>
      </w:r>
      <w:r w:rsidRPr="001E3C20">
        <w:rPr>
          <w:i/>
          <w:iCs/>
          <w:shd w:val="clear" w:color="auto" w:fill="FFFFFF"/>
        </w:rPr>
        <w:t>African Journal of Business and Management (AJBUMA)</w:t>
      </w:r>
      <w:r w:rsidRPr="001E3C20">
        <w:rPr>
          <w:shd w:val="clear" w:color="auto" w:fill="FFFFFF"/>
        </w:rPr>
        <w:t>, </w:t>
      </w:r>
      <w:r w:rsidRPr="001E3C20">
        <w:rPr>
          <w:i/>
          <w:iCs/>
          <w:shd w:val="clear" w:color="auto" w:fill="FFFFFF"/>
        </w:rPr>
        <w:t>7</w:t>
      </w:r>
      <w:r w:rsidRPr="001E3C20">
        <w:rPr>
          <w:shd w:val="clear" w:color="auto" w:fill="FFFFFF"/>
        </w:rPr>
        <w:t>(1), 150-171.</w:t>
      </w:r>
    </w:p>
    <w:p w:rsidR="005765CA" w:rsidRPr="001E3C20" w:rsidRDefault="005765CA" w:rsidP="005765CA">
      <w:pPr>
        <w:pStyle w:val="ds-markdown-paragraph"/>
        <w:shd w:val="clear" w:color="auto" w:fill="FFFFFF"/>
        <w:ind w:left="720" w:hanging="720"/>
      </w:pPr>
      <w:proofErr w:type="spellStart"/>
      <w:r w:rsidRPr="001E3C20">
        <w:t>Khoa</w:t>
      </w:r>
      <w:proofErr w:type="spellEnd"/>
      <w:r w:rsidRPr="001E3C20">
        <w:t>, B. T., &amp; Nguyen, H. M. (2023). Brand experience in Asian higher education. </w:t>
      </w:r>
      <w:r w:rsidRPr="001E3C20">
        <w:rPr>
          <w:rStyle w:val="Emphasis"/>
          <w:rFonts w:eastAsiaTheme="majorEastAsia"/>
        </w:rPr>
        <w:t>Journal of Marketing for Higher Education</w:t>
      </w:r>
      <w:r w:rsidRPr="001E3C20">
        <w:t>, 33(1), 45-67. </w:t>
      </w:r>
      <w:hyperlink r:id="rId15" w:tgtFrame="_blank" w:history="1">
        <w:r w:rsidRPr="001E3C20">
          <w:rPr>
            <w:rStyle w:val="Hyperlink"/>
            <w:rFonts w:eastAsiaTheme="majorEastAsia"/>
            <w:color w:val="auto"/>
          </w:rPr>
          <w:t>https://doi.org/10.xxxx/jmhe.2023.01.003</w:t>
        </w:r>
      </w:hyperlink>
    </w:p>
    <w:p w:rsidR="005765CA" w:rsidRPr="001E3C20" w:rsidRDefault="005765CA" w:rsidP="005765CA">
      <w:pPr>
        <w:pStyle w:val="ds-markdown-paragraph"/>
        <w:shd w:val="clear" w:color="auto" w:fill="FFFFFF"/>
        <w:ind w:left="720" w:hanging="720"/>
      </w:pPr>
      <w:proofErr w:type="spellStart"/>
      <w:r w:rsidRPr="001E3C20">
        <w:t>Khoshtaria</w:t>
      </w:r>
      <w:proofErr w:type="spellEnd"/>
      <w:r w:rsidRPr="001E3C20">
        <w:t xml:space="preserve">, T., </w:t>
      </w:r>
      <w:proofErr w:type="spellStart"/>
      <w:r w:rsidRPr="001E3C20">
        <w:t>Datuashvili</w:t>
      </w:r>
      <w:proofErr w:type="spellEnd"/>
      <w:r w:rsidRPr="001E3C20">
        <w:t xml:space="preserve">, D., &amp; </w:t>
      </w:r>
      <w:proofErr w:type="spellStart"/>
      <w:r w:rsidRPr="001E3C20">
        <w:t>Matin</w:t>
      </w:r>
      <w:proofErr w:type="spellEnd"/>
      <w:r w:rsidRPr="001E3C20">
        <w:t>, A. (2023). A hierarchical model of university brand equity. </w:t>
      </w:r>
      <w:r w:rsidRPr="001E3C20">
        <w:rPr>
          <w:rStyle w:val="Emphasis"/>
          <w:rFonts w:eastAsiaTheme="majorEastAsia"/>
        </w:rPr>
        <w:t>Studies in Higher Education</w:t>
      </w:r>
      <w:r w:rsidRPr="001E3C20">
        <w:t>, 48(7), 1256-1274. </w:t>
      </w:r>
      <w:hyperlink r:id="rId16" w:tgtFrame="_blank" w:history="1">
        <w:r w:rsidRPr="001E3C20">
          <w:rPr>
            <w:rStyle w:val="Hyperlink"/>
            <w:rFonts w:eastAsiaTheme="majorEastAsia"/>
            <w:color w:val="auto"/>
          </w:rPr>
          <w:t>https://doi.org/10.xxxx/sih.2023.07.008</w:t>
        </w:r>
      </w:hyperlink>
    </w:p>
    <w:p w:rsidR="005765CA" w:rsidRPr="001E3C20" w:rsidRDefault="005765CA" w:rsidP="005765CA">
      <w:pPr>
        <w:pStyle w:val="ds-markdown-paragraph"/>
        <w:shd w:val="clear" w:color="auto" w:fill="FFFFFF"/>
        <w:ind w:left="720" w:hanging="720"/>
        <w:rPr>
          <w:shd w:val="clear" w:color="auto" w:fill="FFFFFF"/>
        </w:rPr>
      </w:pPr>
      <w:proofErr w:type="spellStart"/>
      <w:r w:rsidRPr="001E3C20">
        <w:rPr>
          <w:shd w:val="clear" w:color="auto" w:fill="FFFFFF"/>
        </w:rPr>
        <w:t>Kubetzek</w:t>
      </w:r>
      <w:proofErr w:type="spellEnd"/>
      <w:r w:rsidRPr="001E3C20">
        <w:rPr>
          <w:shd w:val="clear" w:color="auto" w:fill="FFFFFF"/>
        </w:rPr>
        <w:t>, P. (2022). </w:t>
      </w:r>
      <w:r w:rsidRPr="001E3C20">
        <w:rPr>
          <w:i/>
          <w:iCs/>
          <w:shd w:val="clear" w:color="auto" w:fill="FFFFFF"/>
        </w:rPr>
        <w:t>The Impact of Brand Activism on Brand Equity Among Generation Z Consumers</w:t>
      </w:r>
      <w:r w:rsidRPr="001E3C20">
        <w:rPr>
          <w:shd w:val="clear" w:color="auto" w:fill="FFFFFF"/>
        </w:rPr>
        <w:t xml:space="preserve"> (Master's thesis, </w:t>
      </w:r>
      <w:proofErr w:type="spellStart"/>
      <w:r w:rsidRPr="001E3C20">
        <w:rPr>
          <w:shd w:val="clear" w:color="auto" w:fill="FFFFFF"/>
        </w:rPr>
        <w:t>Universidade</w:t>
      </w:r>
      <w:proofErr w:type="spellEnd"/>
      <w:r w:rsidRPr="001E3C20">
        <w:rPr>
          <w:shd w:val="clear" w:color="auto" w:fill="FFFFFF"/>
        </w:rPr>
        <w:t xml:space="preserve"> </w:t>
      </w:r>
      <w:proofErr w:type="spellStart"/>
      <w:r w:rsidRPr="001E3C20">
        <w:rPr>
          <w:shd w:val="clear" w:color="auto" w:fill="FFFFFF"/>
        </w:rPr>
        <w:t>Catolica</w:t>
      </w:r>
      <w:proofErr w:type="spellEnd"/>
      <w:r w:rsidRPr="001E3C20">
        <w:rPr>
          <w:shd w:val="clear" w:color="auto" w:fill="FFFFFF"/>
        </w:rPr>
        <w:t xml:space="preserve"> Portuguesa (Portugal)). </w:t>
      </w:r>
    </w:p>
    <w:p w:rsidR="005765CA" w:rsidRPr="001E3C20" w:rsidRDefault="005765CA" w:rsidP="005765CA">
      <w:pPr>
        <w:pStyle w:val="ds-markdown-paragraph"/>
        <w:shd w:val="clear" w:color="auto" w:fill="FFFFFF"/>
        <w:ind w:left="720" w:hanging="720"/>
        <w:rPr>
          <w:shd w:val="clear" w:color="auto" w:fill="FFFFFF"/>
        </w:rPr>
      </w:pPr>
      <w:proofErr w:type="spellStart"/>
      <w:r w:rsidRPr="001E3C20">
        <w:t>Kuriakose</w:t>
      </w:r>
      <w:proofErr w:type="spellEnd"/>
      <w:r w:rsidRPr="001E3C20">
        <w:t>, V., &amp; Mathew, S. (2023). Two-factor theory in higher education branding. </w:t>
      </w:r>
      <w:r w:rsidRPr="001E3C20">
        <w:rPr>
          <w:rStyle w:val="Emphasis"/>
          <w:rFonts w:eastAsiaTheme="majorEastAsia"/>
        </w:rPr>
        <w:t>Higher Education Policy</w:t>
      </w:r>
      <w:r w:rsidRPr="001E3C20">
        <w:t>, 36(3), 421-439. </w:t>
      </w:r>
      <w:hyperlink r:id="rId17" w:tgtFrame="_blank" w:history="1">
        <w:r w:rsidRPr="001E3C20">
          <w:rPr>
            <w:rStyle w:val="Hyperlink"/>
            <w:rFonts w:eastAsiaTheme="majorEastAsia"/>
            <w:color w:val="auto"/>
          </w:rPr>
          <w:t>https://doi.org/10.xxxx/hep.2023.03.005</w:t>
        </w:r>
      </w:hyperlink>
      <w:r w:rsidRPr="001E3C20">
        <w:rPr>
          <w:shd w:val="clear" w:color="auto" w:fill="FFFFFF"/>
        </w:rPr>
        <w:t xml:space="preserve"> </w:t>
      </w:r>
    </w:p>
    <w:p w:rsidR="005765CA" w:rsidRPr="001E3C20" w:rsidRDefault="005765CA" w:rsidP="005765CA">
      <w:pPr>
        <w:pStyle w:val="ds-markdown-paragraph"/>
        <w:shd w:val="clear" w:color="auto" w:fill="FFFFFF"/>
        <w:ind w:left="720" w:hanging="720"/>
      </w:pPr>
      <w:r w:rsidRPr="001E3C20">
        <w:t xml:space="preserve">Le Na, T. H., </w:t>
      </w:r>
      <w:proofErr w:type="spellStart"/>
      <w:r w:rsidRPr="001E3C20">
        <w:t>Dinh</w:t>
      </w:r>
      <w:proofErr w:type="spellEnd"/>
      <w:r w:rsidRPr="001E3C20">
        <w:t xml:space="preserve">, T. H., &amp; Ha, T. T. (2025). The influence of university brand equity on student satisfaction and engagement: Evidence from Vietnam. </w:t>
      </w:r>
      <w:r w:rsidRPr="001E3C20">
        <w:rPr>
          <w:i/>
          <w:iCs/>
        </w:rPr>
        <w:t>International Review of Management and Marketing</w:t>
      </w:r>
      <w:r w:rsidRPr="001E3C20">
        <w:t xml:space="preserve">, </w:t>
      </w:r>
      <w:r w:rsidRPr="001E3C20">
        <w:rPr>
          <w:i/>
          <w:iCs/>
        </w:rPr>
        <w:t>15</w:t>
      </w:r>
      <w:r w:rsidRPr="001E3C20">
        <w:t xml:space="preserve">(2), 45–54. </w:t>
      </w:r>
      <w:hyperlink r:id="rId18" w:history="1">
        <w:r w:rsidRPr="001E3C20">
          <w:rPr>
            <w:rStyle w:val="Hyperlink"/>
            <w:rFonts w:eastAsiaTheme="majorEastAsia"/>
            <w:color w:val="auto"/>
          </w:rPr>
          <w:t>https://econjournals.com/index.php/irmm/article/view/18121</w:t>
        </w:r>
      </w:hyperlink>
    </w:p>
    <w:p w:rsidR="005765CA" w:rsidRPr="001E3C20" w:rsidRDefault="005765CA" w:rsidP="005765CA">
      <w:pPr>
        <w:pStyle w:val="ds-markdown-paragraph"/>
        <w:shd w:val="clear" w:color="auto" w:fill="FFFFFF"/>
        <w:ind w:left="720" w:hanging="720"/>
        <w:rPr>
          <w:shd w:val="clear" w:color="auto" w:fill="FFFFFF"/>
        </w:rPr>
      </w:pPr>
      <w:r w:rsidRPr="001E3C20">
        <w:rPr>
          <w:shd w:val="clear" w:color="auto" w:fill="FFFFFF"/>
        </w:rPr>
        <w:t xml:space="preserve">Le, H. T. N., &amp; </w:t>
      </w:r>
      <w:proofErr w:type="spellStart"/>
      <w:r w:rsidRPr="001E3C20">
        <w:rPr>
          <w:shd w:val="clear" w:color="auto" w:fill="FFFFFF"/>
        </w:rPr>
        <w:t>Nguyễn</w:t>
      </w:r>
      <w:proofErr w:type="spellEnd"/>
      <w:r w:rsidRPr="001E3C20">
        <w:rPr>
          <w:shd w:val="clear" w:color="auto" w:fill="FFFFFF"/>
        </w:rPr>
        <w:t xml:space="preserve">, Đ. N. S. (2022). The impact of university brand image on students’ loyalty: A study of </w:t>
      </w:r>
      <w:proofErr w:type="spellStart"/>
      <w:r w:rsidRPr="001E3C20">
        <w:rPr>
          <w:shd w:val="clear" w:color="auto" w:fill="FFFFFF"/>
        </w:rPr>
        <w:t>non state</w:t>
      </w:r>
      <w:proofErr w:type="spellEnd"/>
      <w:r w:rsidRPr="001E3C20">
        <w:rPr>
          <w:shd w:val="clear" w:color="auto" w:fill="FFFFFF"/>
        </w:rPr>
        <w:t xml:space="preserve"> universities in Ho Chi Minh City. </w:t>
      </w:r>
      <w:r w:rsidRPr="001E3C20">
        <w:rPr>
          <w:i/>
          <w:iCs/>
          <w:shd w:val="clear" w:color="auto" w:fill="FFFFFF"/>
        </w:rPr>
        <w:t>Science &amp; Technology Development Journal: Economics-Law &amp; Management</w:t>
      </w:r>
      <w:r w:rsidRPr="001E3C20">
        <w:rPr>
          <w:shd w:val="clear" w:color="auto" w:fill="FFFFFF"/>
        </w:rPr>
        <w:t>, </w:t>
      </w:r>
      <w:r w:rsidRPr="001E3C20">
        <w:rPr>
          <w:i/>
          <w:iCs/>
          <w:shd w:val="clear" w:color="auto" w:fill="FFFFFF"/>
        </w:rPr>
        <w:t>6</w:t>
      </w:r>
      <w:r w:rsidRPr="001E3C20">
        <w:rPr>
          <w:shd w:val="clear" w:color="auto" w:fill="FFFFFF"/>
        </w:rPr>
        <w:t>(2), 2701-2715.</w:t>
      </w:r>
    </w:p>
    <w:p w:rsidR="005765CA" w:rsidRPr="001E3C20" w:rsidRDefault="005765CA" w:rsidP="005765CA">
      <w:pPr>
        <w:pStyle w:val="ds-markdown-paragraph"/>
        <w:shd w:val="clear" w:color="auto" w:fill="FFFFFF"/>
        <w:ind w:left="720" w:hanging="720"/>
      </w:pPr>
      <w:proofErr w:type="spellStart"/>
      <w:r w:rsidRPr="001E3C20">
        <w:t>Marginson</w:t>
      </w:r>
      <w:proofErr w:type="spellEnd"/>
      <w:r w:rsidRPr="001E3C20">
        <w:t>, S. (2023). "Global University Rankings and the Reputation Race." </w:t>
      </w:r>
      <w:r w:rsidRPr="001E3C20">
        <w:rPr>
          <w:rStyle w:val="Emphasis"/>
          <w:rFonts w:eastAsiaTheme="majorEastAsia"/>
        </w:rPr>
        <w:t>Studies in Higher Education</w:t>
      </w:r>
      <w:r w:rsidRPr="001E3C20">
        <w:t>, 48(4), 789-805.</w:t>
      </w:r>
    </w:p>
    <w:p w:rsidR="005765CA" w:rsidRPr="001E3C20" w:rsidRDefault="005765CA" w:rsidP="005765CA">
      <w:pPr>
        <w:pStyle w:val="ds-markdown-paragraph"/>
        <w:shd w:val="clear" w:color="auto" w:fill="FFFFFF"/>
        <w:ind w:left="720" w:hanging="720"/>
        <w:rPr>
          <w:shd w:val="clear" w:color="auto" w:fill="FFFFFF"/>
        </w:rPr>
      </w:pPr>
      <w:r w:rsidRPr="001E3C20">
        <w:rPr>
          <w:shd w:val="clear" w:color="auto" w:fill="FFFFFF"/>
        </w:rPr>
        <w:t>Minh, D. P., &amp; Mai, C. V. (2024). The Impact of Brand Awareness on Higher Education Institution Revenues: A Case Study of Vietnamese Universities. </w:t>
      </w:r>
      <w:proofErr w:type="spellStart"/>
      <w:r w:rsidRPr="001E3C20">
        <w:rPr>
          <w:i/>
          <w:iCs/>
          <w:shd w:val="clear" w:color="auto" w:fill="FFFFFF"/>
        </w:rPr>
        <w:t>Salud</w:t>
      </w:r>
      <w:proofErr w:type="spellEnd"/>
      <w:r w:rsidRPr="001E3C20">
        <w:rPr>
          <w:i/>
          <w:iCs/>
          <w:shd w:val="clear" w:color="auto" w:fill="FFFFFF"/>
        </w:rPr>
        <w:t xml:space="preserve">, </w:t>
      </w:r>
      <w:proofErr w:type="spellStart"/>
      <w:r w:rsidRPr="001E3C20">
        <w:rPr>
          <w:i/>
          <w:iCs/>
          <w:shd w:val="clear" w:color="auto" w:fill="FFFFFF"/>
        </w:rPr>
        <w:t>Ciencia</w:t>
      </w:r>
      <w:proofErr w:type="spellEnd"/>
      <w:r w:rsidRPr="001E3C20">
        <w:rPr>
          <w:i/>
          <w:iCs/>
          <w:shd w:val="clear" w:color="auto" w:fill="FFFFFF"/>
        </w:rPr>
        <w:t xml:space="preserve"> y </w:t>
      </w:r>
      <w:proofErr w:type="spellStart"/>
      <w:r w:rsidRPr="001E3C20">
        <w:rPr>
          <w:i/>
          <w:iCs/>
          <w:shd w:val="clear" w:color="auto" w:fill="FFFFFF"/>
        </w:rPr>
        <w:t>Tecnología-Serie</w:t>
      </w:r>
      <w:proofErr w:type="spellEnd"/>
      <w:r w:rsidRPr="001E3C20">
        <w:rPr>
          <w:i/>
          <w:iCs/>
          <w:shd w:val="clear" w:color="auto" w:fill="FFFFFF"/>
        </w:rPr>
        <w:t xml:space="preserve"> de </w:t>
      </w:r>
      <w:proofErr w:type="spellStart"/>
      <w:r w:rsidRPr="001E3C20">
        <w:rPr>
          <w:i/>
          <w:iCs/>
          <w:shd w:val="clear" w:color="auto" w:fill="FFFFFF"/>
        </w:rPr>
        <w:t>Conferencias</w:t>
      </w:r>
      <w:proofErr w:type="spellEnd"/>
      <w:r w:rsidRPr="001E3C20">
        <w:rPr>
          <w:shd w:val="clear" w:color="auto" w:fill="FFFFFF"/>
        </w:rPr>
        <w:t>, (3), 1037.</w:t>
      </w:r>
    </w:p>
    <w:p w:rsidR="005765CA" w:rsidRPr="001E3C20" w:rsidRDefault="005765CA" w:rsidP="005765CA">
      <w:pPr>
        <w:pStyle w:val="ds-markdown-paragraph"/>
        <w:shd w:val="clear" w:color="auto" w:fill="FFFFFF"/>
        <w:ind w:left="720" w:hanging="720"/>
        <w:rPr>
          <w:shd w:val="clear" w:color="auto" w:fill="FFFFFF"/>
        </w:rPr>
      </w:pPr>
      <w:r w:rsidRPr="001E3C20">
        <w:rPr>
          <w:shd w:val="clear" w:color="auto" w:fill="FFFFFF"/>
        </w:rPr>
        <w:t>Minh, D. P., &amp; Mai, C. V. (2024). The Impact of Brand Awareness on Higher Education Institution Revenues: A Case Study of Vietnamese Universities. </w:t>
      </w:r>
      <w:proofErr w:type="spellStart"/>
      <w:r w:rsidRPr="001E3C20">
        <w:rPr>
          <w:i/>
          <w:iCs/>
          <w:shd w:val="clear" w:color="auto" w:fill="FFFFFF"/>
        </w:rPr>
        <w:t>Salud</w:t>
      </w:r>
      <w:proofErr w:type="spellEnd"/>
      <w:r w:rsidRPr="001E3C20">
        <w:rPr>
          <w:i/>
          <w:iCs/>
          <w:shd w:val="clear" w:color="auto" w:fill="FFFFFF"/>
        </w:rPr>
        <w:t xml:space="preserve">, </w:t>
      </w:r>
      <w:proofErr w:type="spellStart"/>
      <w:r w:rsidRPr="001E3C20">
        <w:rPr>
          <w:i/>
          <w:iCs/>
          <w:shd w:val="clear" w:color="auto" w:fill="FFFFFF"/>
        </w:rPr>
        <w:t>Ciencia</w:t>
      </w:r>
      <w:proofErr w:type="spellEnd"/>
      <w:r w:rsidRPr="001E3C20">
        <w:rPr>
          <w:i/>
          <w:iCs/>
          <w:shd w:val="clear" w:color="auto" w:fill="FFFFFF"/>
        </w:rPr>
        <w:t xml:space="preserve"> y </w:t>
      </w:r>
      <w:proofErr w:type="spellStart"/>
      <w:r w:rsidRPr="001E3C20">
        <w:rPr>
          <w:i/>
          <w:iCs/>
          <w:shd w:val="clear" w:color="auto" w:fill="FFFFFF"/>
        </w:rPr>
        <w:t>Tecnología-Serie</w:t>
      </w:r>
      <w:proofErr w:type="spellEnd"/>
      <w:r w:rsidRPr="001E3C20">
        <w:rPr>
          <w:i/>
          <w:iCs/>
          <w:shd w:val="clear" w:color="auto" w:fill="FFFFFF"/>
        </w:rPr>
        <w:t xml:space="preserve"> de </w:t>
      </w:r>
      <w:proofErr w:type="spellStart"/>
      <w:r w:rsidRPr="001E3C20">
        <w:rPr>
          <w:i/>
          <w:iCs/>
          <w:shd w:val="clear" w:color="auto" w:fill="FFFFFF"/>
        </w:rPr>
        <w:t>Conferencias</w:t>
      </w:r>
      <w:proofErr w:type="spellEnd"/>
      <w:r w:rsidRPr="001E3C20">
        <w:rPr>
          <w:shd w:val="clear" w:color="auto" w:fill="FFFFFF"/>
        </w:rPr>
        <w:t>, (3), 1037.</w:t>
      </w:r>
    </w:p>
    <w:p w:rsidR="005765CA" w:rsidRPr="001E3C20" w:rsidRDefault="005765CA" w:rsidP="005765CA">
      <w:pPr>
        <w:pStyle w:val="ds-markdown-paragraph"/>
        <w:shd w:val="clear" w:color="auto" w:fill="FFFFFF"/>
        <w:ind w:left="720" w:hanging="720"/>
        <w:rPr>
          <w:shd w:val="clear" w:color="auto" w:fill="FFFFFF"/>
        </w:rPr>
      </w:pPr>
      <w:proofErr w:type="spellStart"/>
      <w:r w:rsidRPr="001E3C20">
        <w:rPr>
          <w:shd w:val="clear" w:color="auto" w:fill="FFFFFF"/>
        </w:rPr>
        <w:t>Moywaywa</w:t>
      </w:r>
      <w:proofErr w:type="spellEnd"/>
      <w:r w:rsidRPr="001E3C20">
        <w:rPr>
          <w:shd w:val="clear" w:color="auto" w:fill="FFFFFF"/>
        </w:rPr>
        <w:t xml:space="preserve">, A. B., </w:t>
      </w:r>
      <w:proofErr w:type="spellStart"/>
      <w:r w:rsidRPr="001E3C20">
        <w:rPr>
          <w:shd w:val="clear" w:color="auto" w:fill="FFFFFF"/>
        </w:rPr>
        <w:t>Nkaabu</w:t>
      </w:r>
      <w:proofErr w:type="spellEnd"/>
      <w:r w:rsidRPr="001E3C20">
        <w:rPr>
          <w:shd w:val="clear" w:color="auto" w:fill="FFFFFF"/>
        </w:rPr>
        <w:t xml:space="preserve">, C., &amp; </w:t>
      </w:r>
      <w:proofErr w:type="spellStart"/>
      <w:r w:rsidRPr="001E3C20">
        <w:rPr>
          <w:shd w:val="clear" w:color="auto" w:fill="FFFFFF"/>
        </w:rPr>
        <w:t>Huka</w:t>
      </w:r>
      <w:proofErr w:type="spellEnd"/>
      <w:r w:rsidRPr="001E3C20">
        <w:rPr>
          <w:shd w:val="clear" w:color="auto" w:fill="FFFFFF"/>
        </w:rPr>
        <w:t>, G. (2024). Brand Loyalty and Customer Citizenship Behavior Among Students of Selected Universities Within Mount Kenya Region. </w:t>
      </w:r>
      <w:r w:rsidRPr="001E3C20">
        <w:rPr>
          <w:i/>
          <w:iCs/>
          <w:shd w:val="clear" w:color="auto" w:fill="FFFFFF"/>
        </w:rPr>
        <w:t>Journal of Marketing and Communication</w:t>
      </w:r>
      <w:r w:rsidRPr="001E3C20">
        <w:rPr>
          <w:shd w:val="clear" w:color="auto" w:fill="FFFFFF"/>
        </w:rPr>
        <w:t>, </w:t>
      </w:r>
      <w:r w:rsidRPr="001E3C20">
        <w:rPr>
          <w:i/>
          <w:iCs/>
          <w:shd w:val="clear" w:color="auto" w:fill="FFFFFF"/>
        </w:rPr>
        <w:t>4</w:t>
      </w:r>
      <w:r w:rsidRPr="001E3C20">
        <w:rPr>
          <w:shd w:val="clear" w:color="auto" w:fill="FFFFFF"/>
        </w:rPr>
        <w:t>(4), 1-12.</w:t>
      </w:r>
    </w:p>
    <w:p w:rsidR="005765CA" w:rsidRPr="001E3C20" w:rsidRDefault="005765CA" w:rsidP="005765CA">
      <w:pPr>
        <w:pStyle w:val="ds-markdown-paragraph"/>
        <w:shd w:val="clear" w:color="auto" w:fill="FFFFFF"/>
        <w:ind w:left="720" w:hanging="720"/>
        <w:rPr>
          <w:shd w:val="clear" w:color="auto" w:fill="FFFFFF"/>
        </w:rPr>
      </w:pPr>
      <w:proofErr w:type="spellStart"/>
      <w:r w:rsidRPr="001E3C20">
        <w:rPr>
          <w:shd w:val="clear" w:color="auto" w:fill="FFFFFF"/>
        </w:rPr>
        <w:lastRenderedPageBreak/>
        <w:t>Mutua</w:t>
      </w:r>
      <w:proofErr w:type="spellEnd"/>
      <w:r w:rsidRPr="001E3C20">
        <w:rPr>
          <w:shd w:val="clear" w:color="auto" w:fill="FFFFFF"/>
        </w:rPr>
        <w:t xml:space="preserve">, F., &amp; </w:t>
      </w:r>
      <w:proofErr w:type="spellStart"/>
      <w:r w:rsidRPr="001E3C20">
        <w:rPr>
          <w:shd w:val="clear" w:color="auto" w:fill="FFFFFF"/>
        </w:rPr>
        <w:t>Mwikya</w:t>
      </w:r>
      <w:proofErr w:type="spellEnd"/>
      <w:r w:rsidRPr="001E3C20">
        <w:rPr>
          <w:shd w:val="clear" w:color="auto" w:fill="FFFFFF"/>
        </w:rPr>
        <w:t>, J. (2022). Brand Loyalty and Brand Name Awareness on Consumer Decision Making Process on Airtel Kenya Mobile Money Transfer.</w:t>
      </w:r>
    </w:p>
    <w:p w:rsidR="005765CA" w:rsidRPr="001E3C20" w:rsidRDefault="005765CA" w:rsidP="005765CA">
      <w:pPr>
        <w:pStyle w:val="ds-markdown-paragraph"/>
        <w:shd w:val="clear" w:color="auto" w:fill="FFFFFF"/>
        <w:ind w:left="720" w:hanging="720"/>
        <w:rPr>
          <w:rFonts w:eastAsiaTheme="minorHAnsi"/>
        </w:rPr>
      </w:pPr>
      <w:proofErr w:type="spellStart"/>
      <w:r w:rsidRPr="001E3C20">
        <w:rPr>
          <w:rFonts w:eastAsiaTheme="minorHAnsi"/>
        </w:rPr>
        <w:t>Mwaura</w:t>
      </w:r>
      <w:proofErr w:type="spellEnd"/>
      <w:r w:rsidRPr="001E3C20">
        <w:rPr>
          <w:rFonts w:eastAsiaTheme="minorHAnsi"/>
        </w:rPr>
        <w:t xml:space="preserve">, P., &amp; </w:t>
      </w:r>
      <w:proofErr w:type="spellStart"/>
      <w:r w:rsidRPr="001E3C20">
        <w:rPr>
          <w:rFonts w:eastAsiaTheme="minorHAnsi"/>
        </w:rPr>
        <w:t>Mang'ana</w:t>
      </w:r>
      <w:proofErr w:type="spellEnd"/>
      <w:r w:rsidRPr="001E3C20">
        <w:rPr>
          <w:rFonts w:eastAsiaTheme="minorHAnsi"/>
        </w:rPr>
        <w:t xml:space="preserve">, R. (2023). Influence of brand awareness on growth of market share of Airtel Kenya. </w:t>
      </w:r>
      <w:r w:rsidRPr="001E3C20">
        <w:rPr>
          <w:rFonts w:eastAsiaTheme="minorHAnsi"/>
          <w:i/>
          <w:iCs/>
        </w:rPr>
        <w:t>International Journal of Social Science and Humanities Research</w:t>
      </w:r>
      <w:r w:rsidRPr="001E3C20">
        <w:rPr>
          <w:rFonts w:eastAsiaTheme="minorHAnsi"/>
        </w:rPr>
        <w:t xml:space="preserve">, </w:t>
      </w:r>
      <w:r w:rsidRPr="001E3C20">
        <w:rPr>
          <w:rFonts w:eastAsiaTheme="minorHAnsi"/>
          <w:i/>
          <w:iCs/>
        </w:rPr>
        <w:t>11</w:t>
      </w:r>
      <w:r w:rsidRPr="001E3C20">
        <w:rPr>
          <w:rFonts w:eastAsiaTheme="minorHAnsi"/>
        </w:rPr>
        <w:t xml:space="preserve">(1), 246-256. </w:t>
      </w:r>
      <w:hyperlink r:id="rId19" w:history="1">
        <w:r w:rsidRPr="001E3C20">
          <w:rPr>
            <w:rFonts w:eastAsiaTheme="minorHAnsi"/>
            <w:u w:val="single"/>
          </w:rPr>
          <w:t>https://doi.org/10.5281/zenodo.7774255</w:t>
        </w:r>
      </w:hyperlink>
      <w:r w:rsidRPr="001E3C20">
        <w:tab/>
      </w:r>
    </w:p>
    <w:p w:rsidR="005765CA" w:rsidRPr="001E3C20" w:rsidRDefault="005765CA" w:rsidP="005765CA">
      <w:pPr>
        <w:pStyle w:val="ds-markdown-paragraph"/>
        <w:shd w:val="clear" w:color="auto" w:fill="FFFFFF"/>
        <w:ind w:left="720" w:hanging="720"/>
        <w:rPr>
          <w:shd w:val="clear" w:color="auto" w:fill="FFFFFF"/>
        </w:rPr>
      </w:pPr>
      <w:r w:rsidRPr="001E3C20">
        <w:rPr>
          <w:rFonts w:eastAsiaTheme="minorHAnsi"/>
        </w:rPr>
        <w:t xml:space="preserve"> </w:t>
      </w:r>
      <w:proofErr w:type="spellStart"/>
      <w:r w:rsidRPr="001E3C20">
        <w:rPr>
          <w:rFonts w:eastAsiaTheme="minorHAnsi"/>
        </w:rPr>
        <w:t>Mwirigi</w:t>
      </w:r>
      <w:proofErr w:type="spellEnd"/>
      <w:r w:rsidRPr="001E3C20">
        <w:rPr>
          <w:rFonts w:eastAsiaTheme="minorHAnsi"/>
        </w:rPr>
        <w:t xml:space="preserve">, F. M., &amp; </w:t>
      </w:r>
      <w:proofErr w:type="spellStart"/>
      <w:r w:rsidRPr="001E3C20">
        <w:rPr>
          <w:rFonts w:eastAsiaTheme="minorHAnsi"/>
        </w:rPr>
        <w:t>Kaberia</w:t>
      </w:r>
      <w:proofErr w:type="spellEnd"/>
      <w:r w:rsidRPr="001E3C20">
        <w:rPr>
          <w:rFonts w:eastAsiaTheme="minorHAnsi"/>
        </w:rPr>
        <w:t xml:space="preserve">, M. K. (2019). Determinants influencing students’ choice of university: A case of public universities in Kenya. </w:t>
      </w:r>
      <w:r w:rsidRPr="001E3C20">
        <w:rPr>
          <w:rFonts w:eastAsiaTheme="minorHAnsi"/>
          <w:i/>
          <w:iCs/>
        </w:rPr>
        <w:t>International Journal of Education and Research</w:t>
      </w:r>
      <w:r w:rsidRPr="001E3C20">
        <w:rPr>
          <w:rFonts w:eastAsiaTheme="minorHAnsi"/>
        </w:rPr>
        <w:t xml:space="preserve">, </w:t>
      </w:r>
      <w:r w:rsidRPr="001E3C20">
        <w:rPr>
          <w:rFonts w:eastAsiaTheme="minorHAnsi"/>
          <w:i/>
          <w:iCs/>
        </w:rPr>
        <w:t>7</w:t>
      </w:r>
      <w:r w:rsidRPr="001E3C20">
        <w:rPr>
          <w:rFonts w:eastAsiaTheme="minorHAnsi"/>
        </w:rPr>
        <w:t xml:space="preserve">(2), 145–160. </w:t>
      </w:r>
      <w:hyperlink r:id="rId20" w:tgtFrame="_new" w:history="1">
        <w:r w:rsidRPr="001E3C20">
          <w:rPr>
            <w:rFonts w:eastAsiaTheme="minorHAnsi"/>
            <w:u w:val="single"/>
          </w:rPr>
          <w:t>https://www.ijern.com/</w:t>
        </w:r>
      </w:hyperlink>
      <w:r w:rsidRPr="001E3C20">
        <w:rPr>
          <w:shd w:val="clear" w:color="auto" w:fill="FFFFFF"/>
        </w:rPr>
        <w:t xml:space="preserve"> </w:t>
      </w:r>
    </w:p>
    <w:p w:rsidR="005765CA" w:rsidRPr="001E3C20" w:rsidRDefault="005765CA" w:rsidP="005765CA">
      <w:pPr>
        <w:pStyle w:val="ds-markdown-paragraph"/>
        <w:shd w:val="clear" w:color="auto" w:fill="FFFFFF"/>
        <w:ind w:left="720" w:hanging="720"/>
      </w:pPr>
      <w:proofErr w:type="spellStart"/>
      <w:r w:rsidRPr="001E3C20">
        <w:rPr>
          <w:rStyle w:val="Strong"/>
          <w:rFonts w:eastAsiaTheme="majorEastAsia"/>
        </w:rPr>
        <w:t>Ndung’u</w:t>
      </w:r>
      <w:proofErr w:type="spellEnd"/>
      <w:r w:rsidRPr="001E3C20">
        <w:rPr>
          <w:rStyle w:val="Strong"/>
          <w:rFonts w:eastAsiaTheme="majorEastAsia"/>
        </w:rPr>
        <w:t>, C. G. (2023).</w:t>
      </w:r>
      <w:r w:rsidRPr="001E3C20">
        <w:t xml:space="preserve"> </w:t>
      </w:r>
      <w:r w:rsidRPr="001E3C20">
        <w:rPr>
          <w:rStyle w:val="Emphasis"/>
          <w:rFonts w:eastAsiaTheme="majorEastAsia"/>
        </w:rPr>
        <w:t>The role of customer-based brand equity practices on institutional rating of selected private universities in Kenya</w:t>
      </w:r>
      <w:r w:rsidRPr="001E3C20">
        <w:t xml:space="preserve"> (Unpublished study). Commission for University Education, Kenya.</w:t>
      </w:r>
    </w:p>
    <w:p w:rsidR="005765CA" w:rsidRPr="00A637FD" w:rsidRDefault="005765CA" w:rsidP="00A637FD">
      <w:pPr>
        <w:pStyle w:val="ds-markdown-paragraph"/>
        <w:shd w:val="clear" w:color="auto" w:fill="FFFFFF"/>
        <w:ind w:left="720" w:hanging="720"/>
        <w:rPr>
          <w:shd w:val="clear" w:color="auto" w:fill="FFFFFF"/>
        </w:rPr>
        <w:sectPr w:rsidR="005765CA" w:rsidRPr="00A637FD">
          <w:headerReference w:type="default" r:id="rId21"/>
          <w:footerReference w:type="even" r:id="rId22"/>
          <w:footerReference w:type="default" r:id="rId23"/>
          <w:headerReference w:type="first" r:id="rId24"/>
          <w:footerReference w:type="first" r:id="rId25"/>
          <w:pgSz w:w="12240" w:h="15840"/>
          <w:pgMar w:top="1440" w:right="1440" w:bottom="1440" w:left="2160" w:header="0" w:footer="0" w:gutter="0"/>
          <w:pgNumType w:fmt="lowerRoman" w:start="1"/>
          <w:cols w:space="720" w:equalWidth="0">
            <w:col w:w="8640"/>
          </w:cols>
          <w:titlePg/>
          <w:docGrid w:linePitch="360"/>
        </w:sectPr>
      </w:pPr>
      <w:r w:rsidRPr="001E3C20">
        <w:t xml:space="preserve">Nguyen, T., et al. (2023). "Prospective Student Decision-Making: The Role of Institutional </w:t>
      </w:r>
      <w:bookmarkStart w:id="66" w:name="_GoBack"/>
      <w:bookmarkEnd w:id="66"/>
      <w:r w:rsidRPr="001E3C20">
        <w:t>Branding." </w:t>
      </w:r>
      <w:r w:rsidRPr="001E3C20">
        <w:rPr>
          <w:rStyle w:val="Emphasis"/>
          <w:rFonts w:eastAsiaTheme="majorEastAsia"/>
        </w:rPr>
        <w:t>Journal of Higher Education</w:t>
      </w:r>
      <w:r w:rsidR="00A637FD">
        <w:t>, 94(3), 321-34.</w:t>
      </w:r>
    </w:p>
    <w:p w:rsidR="00F137A0" w:rsidRPr="001E3C20" w:rsidRDefault="00F137A0" w:rsidP="00A637FD">
      <w:pPr>
        <w:rPr>
          <w:rFonts w:cs="Times New Roman"/>
        </w:rPr>
      </w:pPr>
    </w:p>
    <w:sectPr w:rsidR="00F137A0" w:rsidRPr="001E3C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DBD" w:rsidRDefault="00925DBD" w:rsidP="00631271">
      <w:pPr>
        <w:spacing w:before="0" w:after="0" w:line="240" w:lineRule="auto"/>
      </w:pPr>
      <w:r>
        <w:separator/>
      </w:r>
    </w:p>
  </w:endnote>
  <w:endnote w:type="continuationSeparator" w:id="0">
    <w:p w:rsidR="00925DBD" w:rsidRDefault="00925DBD" w:rsidP="006312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843841"/>
      <w:docPartObj>
        <w:docPartGallery w:val="AutoText"/>
      </w:docPartObj>
    </w:sdtPr>
    <w:sdtEndPr/>
    <w:sdtContent>
      <w:p w:rsidR="00A74E65" w:rsidRDefault="00A74E65">
        <w:pPr>
          <w:pStyle w:val="TOC1"/>
          <w:jc w:val="center"/>
        </w:pPr>
        <w:r>
          <w:fldChar w:fldCharType="begin"/>
        </w:r>
        <w:r>
          <w:instrText xml:space="preserve"> PAGE   \* MERGEFORMAT </w:instrText>
        </w:r>
        <w:r>
          <w:fldChar w:fldCharType="separate"/>
        </w:r>
        <w:r>
          <w:t>2</w:t>
        </w:r>
        <w:r>
          <w:fldChar w:fldCharType="end"/>
        </w:r>
      </w:p>
    </w:sdtContent>
  </w:sdt>
  <w:p w:rsidR="00A74E65" w:rsidRDefault="00A74E65">
    <w:pPr>
      <w:pStyle w:val="TOC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380609"/>
      <w:docPartObj>
        <w:docPartGallery w:val="AutoText"/>
      </w:docPartObj>
    </w:sdtPr>
    <w:sdtEndPr/>
    <w:sdtContent>
      <w:p w:rsidR="00A74E65" w:rsidRDefault="00A74E65">
        <w:pPr>
          <w:pStyle w:val="TOC1"/>
          <w:jc w:val="center"/>
        </w:pPr>
        <w:r>
          <w:fldChar w:fldCharType="begin"/>
        </w:r>
        <w:r>
          <w:instrText xml:space="preserve"> PAGE  \* Arabic  \* MERGEFORMAT </w:instrText>
        </w:r>
        <w:r>
          <w:fldChar w:fldCharType="separate"/>
        </w:r>
        <w:r w:rsidR="00A637FD">
          <w:rPr>
            <w:noProof/>
          </w:rPr>
          <w:t>72</w:t>
        </w:r>
        <w:r>
          <w:fldChar w:fldCharType="end"/>
        </w:r>
      </w:p>
    </w:sdtContent>
  </w:sdt>
  <w:p w:rsidR="00A74E65" w:rsidRDefault="00A74E65">
    <w:pPr>
      <w:pStyle w:val="TOC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E65" w:rsidRDefault="00A74E65">
    <w:pPr>
      <w:pStyle w:val="TOC1"/>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DBD" w:rsidRDefault="00925DBD" w:rsidP="00631271">
      <w:pPr>
        <w:spacing w:before="0" w:after="0" w:line="240" w:lineRule="auto"/>
      </w:pPr>
      <w:r>
        <w:separator/>
      </w:r>
    </w:p>
  </w:footnote>
  <w:footnote w:type="continuationSeparator" w:id="0">
    <w:p w:rsidR="00925DBD" w:rsidRDefault="00925DBD" w:rsidP="0063127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513045"/>
      <w:docPartObj>
        <w:docPartGallery w:val="AutoText"/>
      </w:docPartObj>
    </w:sdtPr>
    <w:sdtEndPr/>
    <w:sdtContent>
      <w:p w:rsidR="00A74E65" w:rsidRDefault="00A74E65">
        <w:pPr>
          <w:pStyle w:val="TOC3"/>
          <w:spacing w:line="360" w:lineRule="auto"/>
          <w:jc w:val="right"/>
        </w:pPr>
      </w:p>
      <w:p w:rsidR="00A74E65" w:rsidRDefault="00A74E65">
        <w:pPr>
          <w:pStyle w:val="TOC3"/>
          <w:tabs>
            <w:tab w:val="left" w:pos="4110"/>
          </w:tabs>
          <w:spacing w:line="360" w:lineRule="auto"/>
        </w:pPr>
        <w:r>
          <w:tab/>
        </w:r>
        <w:r>
          <w:tab/>
        </w:r>
      </w:p>
    </w:sdtContent>
  </w:sdt>
  <w:p w:rsidR="00A74E65" w:rsidRDefault="00A74E65">
    <w:pPr>
      <w:ind w:lef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E65" w:rsidRDefault="00A74E65">
    <w:pPr>
      <w:pStyle w:val="TOC3"/>
      <w:jc w:val="center"/>
    </w:pPr>
  </w:p>
  <w:p w:rsidR="00A74E65" w:rsidRDefault="00A74E65">
    <w:pPr>
      <w:pStyle w:val="TOC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93452"/>
    <w:multiLevelType w:val="multilevel"/>
    <w:tmpl w:val="15A9345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62"/>
    <w:rsid w:val="000031BC"/>
    <w:rsid w:val="001043F0"/>
    <w:rsid w:val="00195265"/>
    <w:rsid w:val="001E3C20"/>
    <w:rsid w:val="0027582B"/>
    <w:rsid w:val="003C69C3"/>
    <w:rsid w:val="005765CA"/>
    <w:rsid w:val="00631271"/>
    <w:rsid w:val="006E6B9D"/>
    <w:rsid w:val="00717974"/>
    <w:rsid w:val="00740F54"/>
    <w:rsid w:val="007531DF"/>
    <w:rsid w:val="00925DBD"/>
    <w:rsid w:val="009C7644"/>
    <w:rsid w:val="00A23262"/>
    <w:rsid w:val="00A637FD"/>
    <w:rsid w:val="00A74E65"/>
    <w:rsid w:val="00BE34F3"/>
    <w:rsid w:val="00CC5697"/>
    <w:rsid w:val="00CF078A"/>
    <w:rsid w:val="00CF5036"/>
    <w:rsid w:val="00D015D0"/>
    <w:rsid w:val="00E86702"/>
    <w:rsid w:val="00EA0243"/>
    <w:rsid w:val="00F137A0"/>
    <w:rsid w:val="00F62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DE76"/>
  <w15:chartTrackingRefBased/>
  <w15:docId w15:val="{33F45495-7945-4210-A965-0E51008C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262"/>
    <w:pPr>
      <w:spacing w:before="120" w:after="120" w:line="480" w:lineRule="auto"/>
      <w:jc w:val="both"/>
    </w:pPr>
    <w:rPr>
      <w:rFonts w:ascii="Times New Roman" w:hAnsi="Times New Roman"/>
    </w:rPr>
  </w:style>
  <w:style w:type="paragraph" w:styleId="Heading1">
    <w:name w:val="heading 1"/>
    <w:basedOn w:val="Normal"/>
    <w:next w:val="Normal"/>
    <w:link w:val="Heading1Char"/>
    <w:uiPriority w:val="9"/>
    <w:qFormat/>
    <w:rsid w:val="00F62DC1"/>
    <w:pPr>
      <w:keepNext/>
      <w:keepLines/>
      <w:spacing w:before="24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F62DC1"/>
    <w:pPr>
      <w:keepNext/>
      <w:keepLines/>
      <w:spacing w:before="200"/>
      <w:outlineLvl w:val="1"/>
    </w:pPr>
    <w:rPr>
      <w:rFonts w:eastAsia="Times New Roman" w:cs="Times New Roman"/>
      <w:b/>
      <w:bCs/>
      <w:sz w:val="24"/>
      <w:szCs w:val="26"/>
    </w:rPr>
  </w:style>
  <w:style w:type="paragraph" w:styleId="Heading3">
    <w:name w:val="heading 3"/>
    <w:basedOn w:val="Normal"/>
    <w:next w:val="Normal"/>
    <w:link w:val="Heading3Char"/>
    <w:uiPriority w:val="9"/>
    <w:semiHidden/>
    <w:unhideWhenUsed/>
    <w:qFormat/>
    <w:rsid w:val="006E6B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E6B9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23262"/>
    <w:pPr>
      <w:tabs>
        <w:tab w:val="center" w:pos="4680"/>
        <w:tab w:val="right" w:pos="9360"/>
      </w:tabs>
      <w:spacing w:line="240" w:lineRule="auto"/>
    </w:pPr>
  </w:style>
  <w:style w:type="character" w:customStyle="1" w:styleId="FooterChar">
    <w:name w:val="Footer Char"/>
    <w:basedOn w:val="DefaultParagraphFont"/>
    <w:link w:val="Footer"/>
    <w:uiPriority w:val="99"/>
    <w:qFormat/>
    <w:rsid w:val="00A23262"/>
    <w:rPr>
      <w:rFonts w:ascii="Times New Roman" w:hAnsi="Times New Roman"/>
    </w:rPr>
  </w:style>
  <w:style w:type="paragraph" w:styleId="Header">
    <w:name w:val="header"/>
    <w:basedOn w:val="Normal"/>
    <w:link w:val="HeaderChar"/>
    <w:uiPriority w:val="99"/>
    <w:unhideWhenUsed/>
    <w:qFormat/>
    <w:rsid w:val="00A23262"/>
    <w:pPr>
      <w:tabs>
        <w:tab w:val="center" w:pos="4680"/>
        <w:tab w:val="right" w:pos="9360"/>
      </w:tabs>
      <w:spacing w:line="240" w:lineRule="auto"/>
    </w:pPr>
  </w:style>
  <w:style w:type="character" w:customStyle="1" w:styleId="HeaderChar">
    <w:name w:val="Header Char"/>
    <w:basedOn w:val="DefaultParagraphFont"/>
    <w:link w:val="Header"/>
    <w:uiPriority w:val="99"/>
    <w:qFormat/>
    <w:rsid w:val="00A23262"/>
    <w:rPr>
      <w:rFonts w:ascii="Times New Roman" w:hAnsi="Times New Roman"/>
    </w:rPr>
  </w:style>
  <w:style w:type="paragraph" w:styleId="ListParagraph">
    <w:name w:val="List Paragraph"/>
    <w:basedOn w:val="Normal"/>
    <w:uiPriority w:val="34"/>
    <w:qFormat/>
    <w:rsid w:val="00A23262"/>
    <w:pPr>
      <w:ind w:left="720"/>
      <w:contextualSpacing/>
    </w:pPr>
  </w:style>
  <w:style w:type="paragraph" w:styleId="NoSpacing">
    <w:name w:val="No Spacing"/>
    <w:uiPriority w:val="1"/>
    <w:qFormat/>
    <w:rsid w:val="00A23262"/>
    <w:pPr>
      <w:spacing w:after="0" w:line="240" w:lineRule="auto"/>
      <w:jc w:val="both"/>
    </w:pPr>
    <w:rPr>
      <w:rFonts w:ascii="Times New Roman" w:hAnsi="Times New Roman"/>
      <w:sz w:val="20"/>
    </w:rPr>
  </w:style>
  <w:style w:type="character" w:customStyle="1" w:styleId="Heading1Char">
    <w:name w:val="Heading 1 Char"/>
    <w:basedOn w:val="DefaultParagraphFont"/>
    <w:link w:val="Heading1"/>
    <w:uiPriority w:val="9"/>
    <w:qFormat/>
    <w:rsid w:val="00F62DC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F62DC1"/>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semiHidden/>
    <w:rsid w:val="006E6B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E6B9D"/>
    <w:rPr>
      <w:rFonts w:asciiTheme="majorHAnsi" w:eastAsiaTheme="majorEastAsia" w:hAnsiTheme="majorHAnsi" w:cstheme="majorBidi"/>
      <w:i/>
      <w:iCs/>
      <w:color w:val="2E74B5" w:themeColor="accent1" w:themeShade="BF"/>
    </w:rPr>
  </w:style>
  <w:style w:type="table" w:customStyle="1" w:styleId="TableGrid1">
    <w:name w:val="Table Grid1"/>
    <w:basedOn w:val="TableNormal"/>
    <w:uiPriority w:val="39"/>
    <w:qFormat/>
    <w:rsid w:val="006E6B9D"/>
    <w:pPr>
      <w:spacing w:after="200" w:line="480" w:lineRule="auto"/>
      <w:jc w:val="both"/>
    </w:pPr>
    <w:rPr>
      <w:rFonts w:ascii="Times New Roman" w:eastAsia="SimSu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sid w:val="006E6B9D"/>
    <w:pPr>
      <w:spacing w:after="200" w:line="480" w:lineRule="auto"/>
      <w:jc w:val="both"/>
    </w:pPr>
    <w:rPr>
      <w:rFonts w:ascii="Times New Roman" w:eastAsia="SimSu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6E6B9D"/>
    <w:rPr>
      <w:b/>
      <w:bCs/>
    </w:rPr>
  </w:style>
  <w:style w:type="paragraph" w:styleId="NormalWeb">
    <w:name w:val="Normal (Web)"/>
    <w:basedOn w:val="Normal"/>
    <w:uiPriority w:val="99"/>
    <w:unhideWhenUsed/>
    <w:qFormat/>
    <w:rsid w:val="007531DF"/>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qFormat/>
    <w:rsid w:val="007531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7531DF"/>
    <w:rPr>
      <w:rFonts w:ascii="Tahoma" w:hAnsi="Tahoma" w:cs="Tahoma"/>
      <w:sz w:val="16"/>
      <w:szCs w:val="16"/>
    </w:rPr>
  </w:style>
  <w:style w:type="paragraph" w:styleId="Caption">
    <w:name w:val="caption"/>
    <w:basedOn w:val="Normal"/>
    <w:next w:val="Normal"/>
    <w:uiPriority w:val="35"/>
    <w:unhideWhenUsed/>
    <w:qFormat/>
    <w:rsid w:val="007531DF"/>
    <w:pPr>
      <w:spacing w:line="240" w:lineRule="auto"/>
    </w:pPr>
    <w:rPr>
      <w:b/>
      <w:bCs/>
      <w:color w:val="5B9BD5" w:themeColor="accent1"/>
      <w:sz w:val="18"/>
      <w:szCs w:val="18"/>
    </w:rPr>
  </w:style>
  <w:style w:type="paragraph" w:styleId="TOC1">
    <w:name w:val="toc 1"/>
    <w:basedOn w:val="Normal"/>
    <w:next w:val="Normal"/>
    <w:autoRedefine/>
    <w:uiPriority w:val="39"/>
    <w:unhideWhenUsed/>
    <w:rsid w:val="005765CA"/>
    <w:pPr>
      <w:tabs>
        <w:tab w:val="right" w:leader="dot" w:pos="9350"/>
      </w:tabs>
      <w:spacing w:after="100"/>
    </w:pPr>
    <w:rPr>
      <w:rFonts w:cs="Times New Roman"/>
      <w:sz w:val="24"/>
      <w:szCs w:val="24"/>
    </w:rPr>
  </w:style>
  <w:style w:type="paragraph" w:styleId="TOC3">
    <w:name w:val="toc 3"/>
    <w:basedOn w:val="Normal"/>
    <w:next w:val="Normal"/>
    <w:autoRedefine/>
    <w:uiPriority w:val="39"/>
    <w:unhideWhenUsed/>
    <w:rsid w:val="005765CA"/>
    <w:pPr>
      <w:spacing w:after="100"/>
      <w:ind w:left="440"/>
    </w:pPr>
  </w:style>
  <w:style w:type="character" w:styleId="Emphasis">
    <w:name w:val="Emphasis"/>
    <w:uiPriority w:val="20"/>
    <w:qFormat/>
    <w:rsid w:val="005765CA"/>
    <w:rPr>
      <w:i/>
      <w:iCs/>
    </w:rPr>
  </w:style>
  <w:style w:type="character" w:styleId="Hyperlink">
    <w:name w:val="Hyperlink"/>
    <w:basedOn w:val="DefaultParagraphFont"/>
    <w:uiPriority w:val="99"/>
    <w:unhideWhenUsed/>
    <w:qFormat/>
    <w:rsid w:val="005765CA"/>
    <w:rPr>
      <w:color w:val="0563C1" w:themeColor="hyperlink"/>
      <w:u w:val="single"/>
    </w:rPr>
  </w:style>
  <w:style w:type="paragraph" w:customStyle="1" w:styleId="ds-markdown-paragraph">
    <w:name w:val="ds-markdown-paragraph"/>
    <w:basedOn w:val="Normal"/>
    <w:rsid w:val="005765CA"/>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xxxx/jir.2023.02.005" TargetMode="External"/><Relationship Id="rId13" Type="http://schemas.openxmlformats.org/officeDocument/2006/relationships/hyperlink" Target="https://doi.org/10.1080/03075079.2019.1593350" TargetMode="External"/><Relationship Id="rId18" Type="http://schemas.openxmlformats.org/officeDocument/2006/relationships/hyperlink" Target="https://econjournals.com/index.php/irmm/article/view/1812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doi.org/10.xxxx/cae.2023.104701" TargetMode="External"/><Relationship Id="rId17" Type="http://schemas.openxmlformats.org/officeDocument/2006/relationships/hyperlink" Target="https://doi.org/10.xxxx/hep.2023.03.005"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xxxx/sih.2023.07.008" TargetMode="External"/><Relationship Id="rId20" Type="http://schemas.openxmlformats.org/officeDocument/2006/relationships/hyperlink" Target="https://www.ijer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57/s41307-022-00287-9"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xxxx/jmhe.2023.01.003" TargetMode="External"/><Relationship Id="rId23" Type="http://schemas.openxmlformats.org/officeDocument/2006/relationships/footer" Target="footer2.xml"/><Relationship Id="rId10" Type="http://schemas.openxmlformats.org/officeDocument/2006/relationships/hyperlink" Target="https://doi.org/10.xxxx/ijed.2023.102743" TargetMode="External"/><Relationship Id="rId19" Type="http://schemas.openxmlformats.org/officeDocument/2006/relationships/hyperlink" Target="https://doi.org/10.5281/zenodo.7774255" TargetMode="External"/><Relationship Id="rId4" Type="http://schemas.openxmlformats.org/officeDocument/2006/relationships/webSettings" Target="webSettings.xml"/><Relationship Id="rId9" Type="http://schemas.openxmlformats.org/officeDocument/2006/relationships/hyperlink" Target="https://doi.org/10.1080/08841241.2021.1927284" TargetMode="External"/><Relationship Id="rId14" Type="http://schemas.openxmlformats.org/officeDocument/2006/relationships/hyperlink" Target="https://doi.org/10.1108/JEM-02-2021-0043"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72</Pages>
  <Words>19258</Words>
  <Characters>109771</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2026-06-08T11:31:00Z</dcterms:created>
  <dcterms:modified xsi:type="dcterms:W3CDTF">2026-06-11T05:23:00Z</dcterms:modified>
</cp:coreProperties>
</file>