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1BF1" w14:textId="77777777" w:rsidR="00C01F53" w:rsidRDefault="00C01F53" w:rsidP="00C01F53"/>
    <w:p w14:paraId="137508B6" w14:textId="51E59ACE" w:rsidR="005B1A1C" w:rsidRPr="005B0DBF" w:rsidRDefault="005B1A1C" w:rsidP="00F93C86">
      <w:pPr>
        <w:jc w:val="center"/>
        <w:rPr>
          <w:b/>
          <w:sz w:val="36"/>
          <w:szCs w:val="36"/>
        </w:rPr>
      </w:pPr>
      <w:r w:rsidRPr="005B0DBF">
        <w:rPr>
          <w:b/>
          <w:sz w:val="36"/>
          <w:szCs w:val="36"/>
        </w:rPr>
        <w:t>Determinants</w:t>
      </w:r>
      <w:r w:rsidR="00F93C86" w:rsidRPr="005B0DBF">
        <w:rPr>
          <w:b/>
          <w:sz w:val="36"/>
          <w:szCs w:val="36"/>
        </w:rPr>
        <w:t xml:space="preserve">, Disclosure, And Help-Seeking Behaviour </w:t>
      </w:r>
      <w:r w:rsidR="00E47686" w:rsidRPr="005B0DBF">
        <w:rPr>
          <w:b/>
          <w:sz w:val="36"/>
          <w:szCs w:val="36"/>
        </w:rPr>
        <w:t>i</w:t>
      </w:r>
      <w:r w:rsidR="00F93C86" w:rsidRPr="005B0DBF">
        <w:rPr>
          <w:b/>
          <w:sz w:val="36"/>
          <w:szCs w:val="36"/>
        </w:rPr>
        <w:t xml:space="preserve">n Domestic Violence: </w:t>
      </w:r>
      <w:r w:rsidRPr="005B0DBF">
        <w:rPr>
          <w:b/>
          <w:sz w:val="36"/>
          <w:szCs w:val="36"/>
        </w:rPr>
        <w:t xml:space="preserve">A </w:t>
      </w:r>
      <w:r w:rsidR="00F93C86" w:rsidRPr="005B0DBF">
        <w:rPr>
          <w:b/>
          <w:sz w:val="36"/>
          <w:szCs w:val="36"/>
        </w:rPr>
        <w:t xml:space="preserve">Comparative Study </w:t>
      </w:r>
      <w:r w:rsidR="00BC3C38" w:rsidRPr="005B0DBF">
        <w:rPr>
          <w:b/>
          <w:sz w:val="36"/>
          <w:szCs w:val="36"/>
        </w:rPr>
        <w:t>o</w:t>
      </w:r>
      <w:r w:rsidR="00F93C86" w:rsidRPr="005B0DBF">
        <w:rPr>
          <w:b/>
          <w:sz w:val="36"/>
          <w:szCs w:val="36"/>
        </w:rPr>
        <w:t xml:space="preserve">f Women </w:t>
      </w:r>
      <w:r w:rsidR="00BC3C38" w:rsidRPr="005B0DBF">
        <w:rPr>
          <w:b/>
          <w:sz w:val="36"/>
          <w:szCs w:val="36"/>
        </w:rPr>
        <w:t>i</w:t>
      </w:r>
      <w:r w:rsidR="00F93C86" w:rsidRPr="005B0DBF">
        <w:rPr>
          <w:b/>
          <w:sz w:val="36"/>
          <w:szCs w:val="36"/>
        </w:rPr>
        <w:t xml:space="preserve">n Rural </w:t>
      </w:r>
      <w:r w:rsidR="00A73A4D" w:rsidRPr="005B0DBF">
        <w:rPr>
          <w:b/>
          <w:sz w:val="36"/>
          <w:szCs w:val="36"/>
        </w:rPr>
        <w:t>a</w:t>
      </w:r>
      <w:r w:rsidR="00F93C86" w:rsidRPr="005B0DBF">
        <w:rPr>
          <w:b/>
          <w:sz w:val="36"/>
          <w:szCs w:val="36"/>
        </w:rPr>
        <w:t xml:space="preserve">nd Urban Settings </w:t>
      </w:r>
      <w:r w:rsidR="00B27BD8" w:rsidRPr="005B0DBF">
        <w:rPr>
          <w:b/>
          <w:sz w:val="36"/>
          <w:szCs w:val="36"/>
        </w:rPr>
        <w:t>i</w:t>
      </w:r>
      <w:r w:rsidR="00F93C86" w:rsidRPr="005B0DBF">
        <w:rPr>
          <w:b/>
          <w:sz w:val="36"/>
          <w:szCs w:val="36"/>
        </w:rPr>
        <w:t xml:space="preserve">n </w:t>
      </w:r>
      <w:r w:rsidRPr="005B0DBF">
        <w:rPr>
          <w:b/>
          <w:sz w:val="36"/>
          <w:szCs w:val="36"/>
        </w:rPr>
        <w:t>Anambra State</w:t>
      </w:r>
      <w:r w:rsidR="00F93C86" w:rsidRPr="005B0DBF">
        <w:rPr>
          <w:b/>
          <w:sz w:val="36"/>
          <w:szCs w:val="36"/>
        </w:rPr>
        <w:t xml:space="preserve">, </w:t>
      </w:r>
      <w:r w:rsidRPr="005B0DBF">
        <w:rPr>
          <w:b/>
          <w:sz w:val="36"/>
          <w:szCs w:val="36"/>
        </w:rPr>
        <w:t>Nigeria</w:t>
      </w:r>
    </w:p>
    <w:p w14:paraId="0CD7BC7D" w14:textId="271FB85F" w:rsidR="005B1A1C" w:rsidRPr="009E365A" w:rsidRDefault="00A73A4D" w:rsidP="002D1874">
      <w:r>
        <w:t>*</w:t>
      </w:r>
      <w:r w:rsidR="00F93C86">
        <w:t>Chiejine Gibson Ifechukwude</w:t>
      </w:r>
      <w:r w:rsidR="00E81F6F" w:rsidRPr="00A73A4D">
        <w:rPr>
          <w:vertAlign w:val="superscript"/>
        </w:rPr>
        <w:t>1,2</w:t>
      </w:r>
      <w:r w:rsidR="00F93C86">
        <w:t xml:space="preserve">, </w:t>
      </w:r>
      <w:r w:rsidR="00386C80" w:rsidRPr="00386C80">
        <w:t>Nnaemeka Emmanuel Akubue</w:t>
      </w:r>
      <w:r w:rsidR="00E110F2" w:rsidRPr="00A73A4D">
        <w:rPr>
          <w:vertAlign w:val="superscript"/>
        </w:rPr>
        <w:t>3,4</w:t>
      </w:r>
      <w:r w:rsidR="00386C80">
        <w:t xml:space="preserve">, </w:t>
      </w:r>
      <w:r w:rsidR="00E110F2" w:rsidRPr="00E110F2">
        <w:t>Ogbonna Vivian Ifeoma</w:t>
      </w:r>
      <w:r w:rsidR="00E110F2" w:rsidRPr="00A73A4D">
        <w:rPr>
          <w:vertAlign w:val="superscript"/>
        </w:rPr>
        <w:t>2</w:t>
      </w:r>
      <w:r>
        <w:t xml:space="preserve">, </w:t>
      </w:r>
      <w:proofErr w:type="spellStart"/>
      <w:r w:rsidR="00386C80" w:rsidRPr="00386C80">
        <w:t>Agunanne</w:t>
      </w:r>
      <w:proofErr w:type="spellEnd"/>
      <w:r w:rsidR="00386C80" w:rsidRPr="00386C80">
        <w:t xml:space="preserve"> Christiana</w:t>
      </w:r>
      <w:r w:rsidR="00E81F6F" w:rsidRPr="00E81F6F">
        <w:t xml:space="preserve"> Chikaodiri</w:t>
      </w:r>
      <w:r w:rsidR="00E110F2" w:rsidRPr="00A73A4D">
        <w:rPr>
          <w:vertAlign w:val="superscript"/>
        </w:rPr>
        <w:t>5</w:t>
      </w:r>
      <w:r w:rsidR="00E81F6F">
        <w:t>,</w:t>
      </w:r>
      <w:r w:rsidR="00386C80">
        <w:t xml:space="preserve"> </w:t>
      </w:r>
      <w:proofErr w:type="spellStart"/>
      <w:r w:rsidR="00386C80" w:rsidRPr="00386C80">
        <w:t>Agunanne</w:t>
      </w:r>
      <w:proofErr w:type="spellEnd"/>
      <w:r w:rsidR="00386C80" w:rsidRPr="00386C80">
        <w:t xml:space="preserve"> Benjamin Chukwuemeka</w:t>
      </w:r>
      <w:r w:rsidR="00E110F2" w:rsidRPr="00A73A4D">
        <w:rPr>
          <w:vertAlign w:val="superscript"/>
        </w:rPr>
        <w:t>6</w:t>
      </w:r>
      <w:r w:rsidR="00386C80">
        <w:t xml:space="preserve">, </w:t>
      </w:r>
      <w:proofErr w:type="spellStart"/>
      <w:r w:rsidRPr="00A73A4D">
        <w:t>Duluora</w:t>
      </w:r>
      <w:proofErr w:type="spellEnd"/>
      <w:r w:rsidRPr="00A73A4D">
        <w:t xml:space="preserve"> Nneka Chidimma</w:t>
      </w:r>
      <w:r w:rsidRPr="00A73A4D">
        <w:rPr>
          <w:vertAlign w:val="superscript"/>
        </w:rPr>
        <w:t>1</w:t>
      </w:r>
      <w:r>
        <w:t xml:space="preserve">, </w:t>
      </w:r>
      <w:proofErr w:type="spellStart"/>
      <w:r w:rsidR="00386C80" w:rsidRPr="00386C80">
        <w:t>Omoteniola</w:t>
      </w:r>
      <w:proofErr w:type="spellEnd"/>
      <w:r w:rsidR="00386C80" w:rsidRPr="00386C80">
        <w:t xml:space="preserve"> Taiwo-Ojo</w:t>
      </w:r>
      <w:r w:rsidR="00E110F2" w:rsidRPr="00A73A4D">
        <w:rPr>
          <w:vertAlign w:val="superscript"/>
        </w:rPr>
        <w:t>7</w:t>
      </w:r>
      <w:r w:rsidR="00974A0F">
        <w:t xml:space="preserve">, </w:t>
      </w:r>
      <w:r w:rsidR="000C01E9" w:rsidRPr="000C01E9">
        <w:t>Okoli Adaora Ukamaka</w:t>
      </w:r>
      <w:r w:rsidR="009E365A">
        <w:rPr>
          <w:vertAlign w:val="superscript"/>
        </w:rPr>
        <w:t>8</w:t>
      </w:r>
      <w:r w:rsidR="000C01E9">
        <w:t>,</w:t>
      </w:r>
      <w:r w:rsidR="000C01E9" w:rsidRPr="000C01E9">
        <w:t xml:space="preserve"> </w:t>
      </w:r>
      <w:proofErr w:type="spellStart"/>
      <w:r w:rsidR="00974A0F" w:rsidRPr="00974A0F">
        <w:t>Chinekwu</w:t>
      </w:r>
      <w:proofErr w:type="spellEnd"/>
      <w:r w:rsidR="00974A0F" w:rsidRPr="00974A0F">
        <w:t xml:space="preserve"> S. Anyaoku</w:t>
      </w:r>
      <w:r w:rsidR="009E365A">
        <w:rPr>
          <w:vertAlign w:val="superscript"/>
        </w:rPr>
        <w:t>9</w:t>
      </w:r>
      <w:r w:rsidR="009E365A">
        <w:t xml:space="preserve">, </w:t>
      </w:r>
      <w:r w:rsidR="009E365A" w:rsidRPr="009E365A">
        <w:t>Best Ordinioha</w:t>
      </w:r>
      <w:r w:rsidR="009E365A" w:rsidRPr="009E365A">
        <w:rPr>
          <w:vertAlign w:val="superscript"/>
        </w:rPr>
        <w:t>10</w:t>
      </w:r>
    </w:p>
    <w:p w14:paraId="569634A8" w14:textId="20B48F9E" w:rsidR="00F93C86" w:rsidRPr="006D0DEF" w:rsidRDefault="00F93C86" w:rsidP="005B1A1C">
      <w:pPr>
        <w:rPr>
          <w:b/>
        </w:rPr>
      </w:pPr>
      <w:r w:rsidRPr="006D0DEF">
        <w:rPr>
          <w:b/>
        </w:rPr>
        <w:t xml:space="preserve">Affiliations </w:t>
      </w:r>
    </w:p>
    <w:p w14:paraId="5B4976A7" w14:textId="77777777" w:rsidR="00E81F6F" w:rsidRPr="00D7464C" w:rsidRDefault="00E81F6F" w:rsidP="00E81F6F">
      <w:pPr>
        <w:spacing w:after="0" w:line="240" w:lineRule="auto"/>
        <w:rPr>
          <w:rFonts w:eastAsia="Times New Roman" w:cs="Times New Roman"/>
          <w:color w:val="000000"/>
          <w:szCs w:val="24"/>
        </w:rPr>
      </w:pPr>
      <w:bookmarkStart w:id="0" w:name="_Hlk220515498"/>
      <w:r w:rsidRPr="00D7464C">
        <w:rPr>
          <w:rFonts w:eastAsia="Times New Roman" w:cs="Times New Roman"/>
          <w:color w:val="000000"/>
          <w:szCs w:val="24"/>
          <w:vertAlign w:val="superscript"/>
        </w:rPr>
        <w:t>1</w:t>
      </w:r>
      <w:r w:rsidRPr="00D7464C">
        <w:rPr>
          <w:rFonts w:eastAsia="Times New Roman" w:cs="Times New Roman"/>
          <w:color w:val="000000"/>
          <w:szCs w:val="24"/>
        </w:rPr>
        <w:t>Department of Community Medicine, Nnamdi Azikiwe University Teaching Hospital, Nnewi, Anambra State, Nigeria</w:t>
      </w:r>
    </w:p>
    <w:bookmarkEnd w:id="0"/>
    <w:p w14:paraId="49F65898" w14:textId="35D84BF5" w:rsidR="00E81F6F" w:rsidRDefault="00E110F2" w:rsidP="005B1A1C">
      <w:r w:rsidRPr="006D0DEF">
        <w:rPr>
          <w:vertAlign w:val="superscript"/>
        </w:rPr>
        <w:t>2</w:t>
      </w:r>
      <w:r w:rsidRPr="00E110F2">
        <w:t xml:space="preserve">Department of </w:t>
      </w:r>
      <w:r>
        <w:t>P</w:t>
      </w:r>
      <w:r w:rsidRPr="00E110F2">
        <w:t xml:space="preserve">opulation and </w:t>
      </w:r>
      <w:r>
        <w:t>R</w:t>
      </w:r>
      <w:r w:rsidRPr="00E110F2">
        <w:t xml:space="preserve">eproductive </w:t>
      </w:r>
      <w:r>
        <w:t>H</w:t>
      </w:r>
      <w:r w:rsidRPr="00E110F2">
        <w:t>ealth,</w:t>
      </w:r>
      <w:r>
        <w:t xml:space="preserve"> </w:t>
      </w:r>
      <w:r w:rsidR="00E81F6F" w:rsidRPr="00E81F6F">
        <w:t>School of Postgraduate studies, university of Port Harcourt</w:t>
      </w:r>
      <w:r w:rsidR="006D0DEF">
        <w:t>, Nigeria</w:t>
      </w:r>
    </w:p>
    <w:p w14:paraId="1E8250EC" w14:textId="6B4ED39D" w:rsidR="00E110F2" w:rsidRDefault="00E110F2" w:rsidP="00E110F2">
      <w:r w:rsidRPr="006D0DEF">
        <w:rPr>
          <w:vertAlign w:val="superscript"/>
        </w:rPr>
        <w:t>3</w:t>
      </w:r>
      <w:r>
        <w:t>Institute of Public Health, College of Medicine, University of Nigeria, Nsukka, Nigeria</w:t>
      </w:r>
    </w:p>
    <w:p w14:paraId="4237C67E" w14:textId="7F9D3355" w:rsidR="00E110F2" w:rsidRDefault="00E110F2" w:rsidP="00E110F2">
      <w:r w:rsidRPr="006D0DEF">
        <w:rPr>
          <w:vertAlign w:val="superscript"/>
        </w:rPr>
        <w:t>4</w:t>
      </w:r>
      <w:r>
        <w:t>School of Public Health, Texila American University, Guyana</w:t>
      </w:r>
    </w:p>
    <w:p w14:paraId="0F503343" w14:textId="4CC73B8A" w:rsidR="00E110F2" w:rsidRDefault="00E110F2" w:rsidP="00E110F2">
      <w:r w:rsidRPr="006D0DEF">
        <w:rPr>
          <w:vertAlign w:val="superscript"/>
        </w:rPr>
        <w:t>5</w:t>
      </w:r>
      <w:r w:rsidRPr="00E110F2">
        <w:t>National Postgraduate Medical College of Nigeria</w:t>
      </w:r>
      <w:r>
        <w:t>, Nigeria</w:t>
      </w:r>
    </w:p>
    <w:p w14:paraId="019924EF" w14:textId="124405A9" w:rsidR="00E110F2" w:rsidRDefault="00E110F2" w:rsidP="00E110F2">
      <w:r w:rsidRPr="006D0DEF">
        <w:rPr>
          <w:vertAlign w:val="superscript"/>
        </w:rPr>
        <w:t>6</w:t>
      </w:r>
      <w:r w:rsidRPr="00E110F2">
        <w:t>Alex Ekwueme Federal University Teaching Hospital Abakaliki Ebonyi State</w:t>
      </w:r>
      <w:r>
        <w:t>, Nigeria</w:t>
      </w:r>
    </w:p>
    <w:p w14:paraId="7FE9A0D3" w14:textId="77777777" w:rsidR="00974A0F" w:rsidRDefault="00E110F2" w:rsidP="00E110F2">
      <w:r w:rsidRPr="006D0DEF">
        <w:rPr>
          <w:vertAlign w:val="superscript"/>
        </w:rPr>
        <w:t>7</w:t>
      </w:r>
      <w:r w:rsidRPr="00E110F2">
        <w:t xml:space="preserve">Ladoke Akintola University of Technology </w:t>
      </w:r>
      <w:proofErr w:type="spellStart"/>
      <w:r w:rsidRPr="00E110F2">
        <w:t>Ogbomoso</w:t>
      </w:r>
      <w:proofErr w:type="spellEnd"/>
      <w:r w:rsidR="006D0DEF">
        <w:t>,</w:t>
      </w:r>
      <w:r w:rsidRPr="00E110F2">
        <w:t xml:space="preserve"> Oyo State</w:t>
      </w:r>
      <w:r w:rsidR="006D0DEF">
        <w:t>, Nigeria</w:t>
      </w:r>
    </w:p>
    <w:p w14:paraId="70AC59BE" w14:textId="77777777" w:rsidR="009E365A" w:rsidRDefault="009E365A" w:rsidP="009E365A">
      <w:pPr>
        <w:spacing w:after="0" w:line="240" w:lineRule="auto"/>
        <w:rPr>
          <w:rFonts w:eastAsia="Times New Roman" w:cs="Times New Roman"/>
          <w:color w:val="000000"/>
          <w:sz w:val="22"/>
          <w:lang w:eastAsia="en-GB"/>
        </w:rPr>
      </w:pPr>
      <w:bookmarkStart w:id="1" w:name="_Hlk220517162"/>
      <w:bookmarkStart w:id="2" w:name="_Hlk219269652"/>
      <w:r>
        <w:rPr>
          <w:rFonts w:eastAsia="Times New Roman" w:cs="Times New Roman"/>
          <w:color w:val="000000"/>
          <w:sz w:val="22"/>
          <w:vertAlign w:val="superscript"/>
          <w:lang w:eastAsia="en-GB"/>
        </w:rPr>
        <w:t>8</w:t>
      </w:r>
      <w:r w:rsidRPr="000C01E9">
        <w:rPr>
          <w:rFonts w:eastAsia="Times New Roman" w:cs="Times New Roman"/>
          <w:color w:val="000000"/>
          <w:sz w:val="22"/>
          <w:lang w:eastAsia="en-GB"/>
        </w:rPr>
        <w:t>Enugu State College of Nursing Sciences Parklane Enugu</w:t>
      </w:r>
      <w:r>
        <w:rPr>
          <w:rFonts w:eastAsia="Times New Roman" w:cs="Times New Roman"/>
          <w:color w:val="000000"/>
          <w:sz w:val="22"/>
          <w:lang w:eastAsia="en-GB"/>
        </w:rPr>
        <w:t>, Nigeria</w:t>
      </w:r>
    </w:p>
    <w:p w14:paraId="3971A371" w14:textId="77777777" w:rsidR="009E365A" w:rsidRPr="000C01E9" w:rsidRDefault="009E365A" w:rsidP="009E365A">
      <w:pPr>
        <w:spacing w:after="0" w:line="240" w:lineRule="auto"/>
        <w:rPr>
          <w:rFonts w:eastAsia="Times New Roman" w:cs="Times New Roman"/>
          <w:color w:val="000000"/>
          <w:sz w:val="22"/>
          <w:lang w:eastAsia="en-GB"/>
        </w:rPr>
      </w:pPr>
    </w:p>
    <w:bookmarkEnd w:id="2"/>
    <w:p w14:paraId="0B732309" w14:textId="36AA9F25" w:rsidR="00974A0F" w:rsidRDefault="009E365A" w:rsidP="00E110F2">
      <w:r>
        <w:rPr>
          <w:vertAlign w:val="superscript"/>
        </w:rPr>
        <w:t>9</w:t>
      </w:r>
      <w:r w:rsidR="00974A0F" w:rsidRPr="00974A0F">
        <w:t xml:space="preserve">Department of </w:t>
      </w:r>
      <w:r w:rsidR="003034D7">
        <w:t>Family</w:t>
      </w:r>
      <w:r w:rsidR="00974A0F" w:rsidRPr="00974A0F">
        <w:t xml:space="preserve"> Medicine, Nnamdi Azikiwe University Teaching Hospital, Nnewi, Anambra State, Nigeria</w:t>
      </w:r>
    </w:p>
    <w:p w14:paraId="4BAC90A9" w14:textId="68ACF79E" w:rsidR="000C01E9" w:rsidRDefault="009E365A" w:rsidP="00E110F2">
      <w:r w:rsidRPr="009E365A">
        <w:rPr>
          <w:vertAlign w:val="superscript"/>
        </w:rPr>
        <w:t>10</w:t>
      </w:r>
      <w:r>
        <w:t xml:space="preserve"> School of Public Health, University of Port Harcourt, Nigeria</w:t>
      </w:r>
    </w:p>
    <w:bookmarkEnd w:id="1"/>
    <w:p w14:paraId="4DB2E280" w14:textId="434FD63E" w:rsidR="005B1A1C" w:rsidRPr="006D0DEF" w:rsidRDefault="00F93C86" w:rsidP="005B1A1C">
      <w:pPr>
        <w:rPr>
          <w:b/>
        </w:rPr>
      </w:pPr>
      <w:r w:rsidRPr="006D0DEF">
        <w:rPr>
          <w:b/>
        </w:rPr>
        <w:t xml:space="preserve">Corresponding Author: </w:t>
      </w:r>
      <w:r w:rsidR="006D0DEF" w:rsidRPr="00734D03">
        <w:rPr>
          <w:rFonts w:cs="Times New Roman"/>
          <w:szCs w:val="24"/>
        </w:rPr>
        <w:t xml:space="preserve">Chiejine Gibson Ifechukwude; </w:t>
      </w:r>
      <w:hyperlink r:id="rId7" w:history="1">
        <w:r w:rsidR="006D0DEF" w:rsidRPr="00734D03">
          <w:rPr>
            <w:rStyle w:val="Hyperlink"/>
            <w:rFonts w:cs="Times New Roman"/>
            <w:szCs w:val="24"/>
          </w:rPr>
          <w:t>drgib2002@gmail.com</w:t>
        </w:r>
      </w:hyperlink>
      <w:r w:rsidR="006D0DEF">
        <w:rPr>
          <w:rStyle w:val="Hyperlink"/>
          <w:rFonts w:cs="Times New Roman"/>
          <w:szCs w:val="24"/>
        </w:rPr>
        <w:t xml:space="preserve">; </w:t>
      </w:r>
      <w:r w:rsidR="00584DDE">
        <w:rPr>
          <w:rStyle w:val="Hyperlink"/>
          <w:rFonts w:cs="Times New Roman"/>
          <w:szCs w:val="24"/>
        </w:rPr>
        <w:t>+</w:t>
      </w:r>
      <w:r w:rsidR="006D0DEF">
        <w:rPr>
          <w:rStyle w:val="Hyperlink"/>
          <w:rFonts w:cs="Times New Roman"/>
          <w:szCs w:val="24"/>
        </w:rPr>
        <w:t>234</w:t>
      </w:r>
      <w:r w:rsidR="005B0DBF">
        <w:rPr>
          <w:rStyle w:val="Hyperlink"/>
          <w:rFonts w:cs="Times New Roman"/>
          <w:szCs w:val="24"/>
        </w:rPr>
        <w:t>7062215523</w:t>
      </w:r>
    </w:p>
    <w:p w14:paraId="660982FC" w14:textId="733A71B9" w:rsidR="005B1A1C" w:rsidRPr="00085CE0" w:rsidRDefault="00F93C86" w:rsidP="00F93C86">
      <w:pPr>
        <w:jc w:val="center"/>
        <w:rPr>
          <w:b/>
          <w:bCs/>
          <w:sz w:val="28"/>
          <w:szCs w:val="28"/>
        </w:rPr>
      </w:pPr>
      <w:r w:rsidRPr="00085CE0">
        <w:rPr>
          <w:b/>
          <w:bCs/>
          <w:sz w:val="28"/>
          <w:szCs w:val="28"/>
        </w:rPr>
        <w:t>ABSTRACT</w:t>
      </w:r>
    </w:p>
    <w:p w14:paraId="0D0A0061" w14:textId="69B3BD9F" w:rsidR="005B0DBF" w:rsidRDefault="005B0DBF" w:rsidP="005B0DBF">
      <w:r w:rsidRPr="00F93C86">
        <w:rPr>
          <w:b/>
        </w:rPr>
        <w:t>Background</w:t>
      </w:r>
    </w:p>
    <w:p w14:paraId="1D3A5EB5" w14:textId="4D2170E4" w:rsidR="005B0DBF" w:rsidRDefault="005B1A1C" w:rsidP="00F93C86">
      <w:pPr>
        <w:jc w:val="both"/>
      </w:pPr>
      <w:r>
        <w:t>Domestic violence (DV) against women remains a pervasive public health problem worldwide. Disclosure and help-seeking behaviours are critical pathways for accessing support and protection, yet they remain poorly understood in low- and middle-income countries,</w:t>
      </w:r>
      <w:r w:rsidR="005B0DBF">
        <w:t xml:space="preserve"> including</w:t>
      </w:r>
      <w:r>
        <w:t xml:space="preserve"> Nigeria. This study examined the determinants, disclosure patterns, and help-seeking behaviours related to DV among women in rural and urban settings</w:t>
      </w:r>
      <w:r w:rsidR="00F93C86">
        <w:t>.</w:t>
      </w:r>
      <w:r>
        <w:t xml:space="preserve"> </w:t>
      </w:r>
    </w:p>
    <w:p w14:paraId="4770F072" w14:textId="3E162359" w:rsidR="005B0DBF" w:rsidRPr="005B0DBF" w:rsidRDefault="005B0DBF" w:rsidP="005B0DBF">
      <w:pPr>
        <w:rPr>
          <w:b/>
        </w:rPr>
      </w:pPr>
      <w:r w:rsidRPr="00F93C86">
        <w:rPr>
          <w:b/>
        </w:rPr>
        <w:t>Methods</w:t>
      </w:r>
    </w:p>
    <w:p w14:paraId="08855077" w14:textId="55EAD242" w:rsidR="005B0DBF" w:rsidRDefault="005B1A1C" w:rsidP="00F93C86">
      <w:pPr>
        <w:jc w:val="both"/>
      </w:pPr>
      <w:r>
        <w:t xml:space="preserve">A comparative cross-sectional mixed-methods study was conducted in Nnewi North (urban) and Anaocha (rural) Local Government Areas. A total of 588 women aged 18 years and older were recruited. In addition, 20 survivors who disclosed DV during the survey were purposively </w:t>
      </w:r>
      <w:r>
        <w:lastRenderedPageBreak/>
        <w:t>selected for in-depth interviews. Quantitative data were analysed using descriptive statistics and multivariable logistic regression while qualitative data were thematically analysed.</w:t>
      </w:r>
      <w:r w:rsidR="00C23E98">
        <w:t xml:space="preserve"> </w:t>
      </w:r>
    </w:p>
    <w:p w14:paraId="4AA9A3BC" w14:textId="5E200A3F" w:rsidR="005B0DBF" w:rsidRPr="005B0DBF" w:rsidRDefault="005B0DBF" w:rsidP="005B0DBF">
      <w:pPr>
        <w:rPr>
          <w:b/>
        </w:rPr>
      </w:pPr>
      <w:r w:rsidRPr="00F93C86">
        <w:rPr>
          <w:b/>
        </w:rPr>
        <w:t>Results</w:t>
      </w:r>
    </w:p>
    <w:p w14:paraId="46D5A116" w14:textId="7466AEF2" w:rsidR="005B0DBF" w:rsidRDefault="005B1A1C" w:rsidP="00F93C86">
      <w:pPr>
        <w:jc w:val="both"/>
      </w:pPr>
      <w:r>
        <w:t xml:space="preserve">The mean age of respondents was 31.88 ± 10.1 years, with the majority aged 20–29 years (35.4%), married (67%), </w:t>
      </w:r>
      <w:r w:rsidR="005B0DBF">
        <w:t xml:space="preserve">and </w:t>
      </w:r>
      <w:r>
        <w:t>self-employed (56.3%). Key determinants of DV included alcohol and substance abuse by partners (adjusted odds ratio [aOR]: 1.45; 95% CI: 1.03–2.04), economic hardship (aOR: 0.66; 95% CI: 0.47–0.92), and educational disparity between partners (aOR: 1.75; 95% CI: 1.18–2.62). Economic hardship was more significant in rural areas, whereas alcohol and substance abuse were more prevalent in urban areas. Overall disclosure rates were below 50%, with survivors primarily confiding in parents or siblings (28.4%) and in-laws (17.9%), while disclosure to healthcare providers was rare, particularly among urban women. Help-seeking prevalence was 42.2% among rural women and 38.1% among urban women, with emotional support being the most commonly received form and legal support the least accessed.</w:t>
      </w:r>
      <w:r w:rsidR="00584DDE">
        <w:t xml:space="preserve"> </w:t>
      </w:r>
    </w:p>
    <w:p w14:paraId="497F9E4B" w14:textId="12833CD2" w:rsidR="005B0DBF" w:rsidRPr="005B0DBF" w:rsidRDefault="005B0DBF" w:rsidP="005B0DBF">
      <w:pPr>
        <w:rPr>
          <w:b/>
        </w:rPr>
      </w:pPr>
      <w:r w:rsidRPr="00F93C86">
        <w:rPr>
          <w:b/>
        </w:rPr>
        <w:t>Conclusion</w:t>
      </w:r>
    </w:p>
    <w:p w14:paraId="6DFE3C7D" w14:textId="0C919EA4" w:rsidR="005B1A1C" w:rsidRDefault="005B1A1C" w:rsidP="00F93C86">
      <w:pPr>
        <w:jc w:val="both"/>
      </w:pPr>
      <w:r>
        <w:t>Domestic violence against women in Anambra State is influenced by partner-related, socioeconomic, and educational factors, with low disclosure and limited help-seeking observed across rural and urban settings. Interventions should promote safe disclosure, strengthen formal support systems, and address contextual determinants to improve the protection and well-being of survivors.</w:t>
      </w:r>
    </w:p>
    <w:p w14:paraId="41CB693A" w14:textId="4B456D10" w:rsidR="005B1A1C" w:rsidRDefault="005B1A1C" w:rsidP="005B1A1C">
      <w:r w:rsidRPr="005B1A1C">
        <w:rPr>
          <w:b/>
        </w:rPr>
        <w:t>Keywords</w:t>
      </w:r>
      <w:r>
        <w:t xml:space="preserve">: Domestic violence, </w:t>
      </w:r>
      <w:r w:rsidR="00584DDE">
        <w:t xml:space="preserve">Determinants, </w:t>
      </w:r>
      <w:r>
        <w:t>Disclosure, Help-seeking behaviour, Rural–urban differences, Nigeria, Women’s health</w:t>
      </w:r>
    </w:p>
    <w:p w14:paraId="7D0A57F9" w14:textId="0174C9EB" w:rsidR="002D1874" w:rsidRPr="00085CE0" w:rsidRDefault="00085CE0" w:rsidP="002D1874">
      <w:pPr>
        <w:rPr>
          <w:b/>
          <w:sz w:val="28"/>
          <w:szCs w:val="28"/>
        </w:rPr>
      </w:pPr>
      <w:r w:rsidRPr="00085CE0">
        <w:rPr>
          <w:b/>
          <w:sz w:val="28"/>
          <w:szCs w:val="28"/>
        </w:rPr>
        <w:t>INTRODUCTION</w:t>
      </w:r>
    </w:p>
    <w:p w14:paraId="2696C113" w14:textId="62A33DB7" w:rsidR="002D1874" w:rsidRDefault="002D1874" w:rsidP="00E47686">
      <w:pPr>
        <w:spacing w:line="360" w:lineRule="auto"/>
        <w:jc w:val="both"/>
      </w:pPr>
      <w:r>
        <w:t>Domestic violence (DV) against women remains a pervasive public health and human rights problem globally, with profound consequences for women’s physical, mental, sexual, and reproductive health, as well as for families and societies at large. The World Health Organization (WHO) estimates that nearly one in three women worldwide have experienced physical and/or sexual intimate partner violence in their lifetime, with the burden disproportionately borne by women in low- and middle-income countries (WHO, 2021). Beyond immediate injuries, DV is associated with depression, anxiety, post-traumatic stress disorder, substance use disorders, unintended pregnancies, sexually transmitted infections, and increased maternal morbidity and mortality (Devries et al., 2021; Sardinha et al., 2022). Despite increased global attention, DV remains underreported, poorly disclosed, and inadequately addressed, particularly in sub-Saharan Africa.</w:t>
      </w:r>
      <w:r w:rsidR="006765A4">
        <w:t xml:space="preserve"> </w:t>
      </w:r>
      <w:r>
        <w:t xml:space="preserve">Nigeria bears a substantial share of the DV burden in Africa. Recent national and subnational studies indicate that between 25% and 45% of ever-partnered women report lifetime experience of physical, sexual, or emotional violence, with wide contextual variations across geopolitical zones, socioeconomic strata, and cultural </w:t>
      </w:r>
      <w:r>
        <w:lastRenderedPageBreak/>
        <w:t xml:space="preserve">settings (National Population Commission [NPC] &amp; ICF, 2019; Benebo et al., 2022). In </w:t>
      </w:r>
      <w:r w:rsidR="00E47686">
        <w:t>south eastern</w:t>
      </w:r>
      <w:r>
        <w:t xml:space="preserve"> Nigeria, entrenched patriarchal norms, strong kinship structures, bride-price practices, and social expectations surrounding marriage and endurance often normalize violence and discourage women from speaking out (</w:t>
      </w:r>
      <w:proofErr w:type="spellStart"/>
      <w:r>
        <w:t>Okemgbo</w:t>
      </w:r>
      <w:proofErr w:type="spellEnd"/>
      <w:r>
        <w:t xml:space="preserve"> et al., 2021; Umeh et al., 2023). These sociocultural dynamics interact with economic stressors and </w:t>
      </w:r>
      <w:r w:rsidR="006765A4">
        <w:t>behavioural</w:t>
      </w:r>
      <w:r>
        <w:t xml:space="preserve"> factors</w:t>
      </w:r>
      <w:r w:rsidR="006765A4">
        <w:t xml:space="preserve"> to</w:t>
      </w:r>
      <w:r>
        <w:t xml:space="preserve"> </w:t>
      </w:r>
      <w:r w:rsidR="006765A4">
        <w:t>shape</w:t>
      </w:r>
      <w:r>
        <w:t xml:space="preserve"> both the occurrence of DV and women’s responses to it.</w:t>
      </w:r>
      <w:r w:rsidR="00584DDE">
        <w:t xml:space="preserve"> </w:t>
      </w:r>
      <w:r w:rsidR="006765A4">
        <w:t>Studies have</w:t>
      </w:r>
      <w:r>
        <w:t xml:space="preserve"> identifie</w:t>
      </w:r>
      <w:r w:rsidR="006765A4">
        <w:t>d</w:t>
      </w:r>
      <w:r>
        <w:t xml:space="preserve"> alcohol and substance abuse, economic hardship, low educational attainment, and educational or age disparities between partners as key determinants of DV (Ahinkorah et al., 2021; Peterman et al., 2021). The COVID-19 pandemic further exacerbated these risk factors through job losses, financial strain, and increased household stress, leading to reported surges in DV globally and in Nigeria (Sediri et al., 2020; Ojeahere et al., 2022). However, determinants do not operate uniformly across contexts. Rural and urban environments differ markedly in terms of livelihood opportunities, social networks, access to services, and exposure to substance use, which may differentially influence both the risk of violence and coping pathways (Aboagye et al., 2022; Alio et al., 2024). Yet, empirical evidence directly comparing rural and urban settings within the same sociocultural region in Nigeria remains limited.</w:t>
      </w:r>
    </w:p>
    <w:p w14:paraId="064465B5" w14:textId="12991AEE" w:rsidR="002D1874" w:rsidRDefault="002D1874" w:rsidP="00E47686">
      <w:pPr>
        <w:spacing w:line="360" w:lineRule="auto"/>
        <w:jc w:val="both"/>
      </w:pPr>
      <w:r>
        <w:t xml:space="preserve">Disclosure and help-seeking </w:t>
      </w:r>
      <w:r w:rsidR="006765A4">
        <w:t>behaviour</w:t>
      </w:r>
      <w:r>
        <w:t xml:space="preserve"> constitute critical but underexplored dimensions of DV. Globally, fewer than half of women who experience DV ever disclose their experiences, and even fewer seek formal support from healthcare providers, law enforcement, or legal institutions (Sardinha et al., 2022; WHO, 2021). In Nigeria, disclosure is often confined to informal networks such as parents, siblings, or in-laws, while engagement with formal services is rare due to fear of stigma, retaliation, financial dependence, lack of trust in institutions, and limited awareness of available services (Aihie, 2020; Owoaje et al., 2021). Health systems, despite being strategic entry points for identification and support of survivors, remain underutilized, particularly in urban settings where anonymity paradoxically coexists with weak social support (Onyemelukwe et al., 2023). Understanding who women disclose to, why they choose certain pathways, and what forms of support they ultimately receive is essential for designing survivor-</w:t>
      </w:r>
      <w:r w:rsidR="007065E9">
        <w:t>centred</w:t>
      </w:r>
      <w:r>
        <w:t xml:space="preserve"> interventions.</w:t>
      </w:r>
      <w:r w:rsidR="007065E9">
        <w:t xml:space="preserve"> </w:t>
      </w:r>
      <w:r>
        <w:t xml:space="preserve">Importantly, rural–urban differences in disclosure and help-seeking are not well characterized in the Nigerian context. Rural women may face stronger traditional norms, geographical barriers, and limited service availability, while urban women may experience heightened substance use exposure, economic inequality, and fragmented social ties (Benebo et al., 2022; Umeh et al., 2023). </w:t>
      </w:r>
      <w:r w:rsidR="00A72842">
        <w:t>Hence, this</w:t>
      </w:r>
      <w:r>
        <w:t xml:space="preserve"> study examines the determinants, disclosure patterns, and help-seeking </w:t>
      </w:r>
      <w:r w:rsidR="007065E9">
        <w:t>behaviours</w:t>
      </w:r>
      <w:r>
        <w:t xml:space="preserve"> related to domestic violence </w:t>
      </w:r>
      <w:r>
        <w:lastRenderedPageBreak/>
        <w:t xml:space="preserve">among women of reproductive age in rural and urban settings of Anambra State, Southeast Nigeria. </w:t>
      </w:r>
    </w:p>
    <w:p w14:paraId="2AE9846B" w14:textId="77777777" w:rsidR="00444546" w:rsidRPr="007065E9" w:rsidRDefault="00444546" w:rsidP="00444546">
      <w:pPr>
        <w:rPr>
          <w:b/>
        </w:rPr>
      </w:pPr>
      <w:r w:rsidRPr="007065E9">
        <w:rPr>
          <w:b/>
        </w:rPr>
        <w:t>Statement of the Problem</w:t>
      </w:r>
    </w:p>
    <w:p w14:paraId="07D0C4C8" w14:textId="7F4212F6" w:rsidR="00444546" w:rsidRDefault="00444546" w:rsidP="00A72842">
      <w:pPr>
        <w:spacing w:line="360" w:lineRule="auto"/>
        <w:jc w:val="both"/>
      </w:pPr>
      <w:r>
        <w:t>Domestic violence (DV) against women remains a critical public health, social, and human rights challenge worldwide, yet it continues to be largely hidden due to low rates of disclosure and inadequate help-seeking. Although global evidence indicates that approximately one in three women experience physical or sexual intimate partner violence in their lifetime, fewer than half of survivors disclose their experiences to anyone, and only a small proportion seek formal support services such as healthcare, legal, or social welfare systems (Sardinha et al., 2022; World Health Organization [WHO], 2021). The invisibility created by non-disclosure undermines timely identification, limits access to care and protection, and perpetuates cycles of violence, particularly in low- and middle-income countries such as Nigeria.</w:t>
      </w:r>
      <w:r w:rsidR="00611745">
        <w:t xml:space="preserve"> </w:t>
      </w:r>
      <w:r>
        <w:t>Sociocultural norms that emphasize marital endurance, family privacy, and female submissiveness often discourage women from speaking out, while fear of stigma, blame, retaliation, and family disintegration further suppress disclosure (Benebo et al., 2022; Umeh et al., 2023). Consequently, many women confide only in informal networks</w:t>
      </w:r>
      <w:r w:rsidR="00611745">
        <w:t xml:space="preserve"> </w:t>
      </w:r>
      <w:r>
        <w:t>typically parents, siblings, or in-laws</w:t>
      </w:r>
      <w:r w:rsidR="00611745">
        <w:t xml:space="preserve"> </w:t>
      </w:r>
      <w:r>
        <w:t>rather than in formal institutions that are better positioned to provide comprehensive protection and support (Owoaje et al., 2021). Disclosure to healthcare providers, law enforcement agencies, or legal services remains particularly rare, despite the well-documented role of these systems in mitigating health consequences and preventing recurrence of violence (Onyemelukwe et al., 2023).</w:t>
      </w:r>
      <w:r w:rsidR="00611745">
        <w:t xml:space="preserve"> </w:t>
      </w:r>
      <w:r>
        <w:t xml:space="preserve">Help-seeking </w:t>
      </w:r>
      <w:r w:rsidR="00611745">
        <w:t>behaviours</w:t>
      </w:r>
      <w:r>
        <w:t xml:space="preserve"> following disclosure is similarly limited and uneven. Even when women disclose abuse, the support they receive is often restricted to emotional reassurance or short-term financial assistance, while access to legal remedies and structured psychosocial services remains minimal (Sardinha et al., 2022). Structural barriers</w:t>
      </w:r>
      <w:r w:rsidR="00611745">
        <w:t xml:space="preserve"> which </w:t>
      </w:r>
      <w:r>
        <w:t>includ</w:t>
      </w:r>
      <w:r w:rsidR="00611745">
        <w:t>e</w:t>
      </w:r>
      <w:r>
        <w:t xml:space="preserve"> weak referral systems, limited availability of survivor-</w:t>
      </w:r>
      <w:r w:rsidR="00611745">
        <w:t>centred</w:t>
      </w:r>
      <w:r>
        <w:t xml:space="preserve"> services, poor enforcement of protective laws, and lack of confidentiality</w:t>
      </w:r>
      <w:r w:rsidR="00611745">
        <w:t xml:space="preserve"> </w:t>
      </w:r>
      <w:r>
        <w:t>further constrain women’s ability to seek and obtain effective help (WHO, 2021). These challenges are compounded by economic dependence on abusive partners, which reduces women’s agency and capacity to pursue formal support pathways.</w:t>
      </w:r>
      <w:r w:rsidR="00611745">
        <w:t xml:space="preserve"> </w:t>
      </w:r>
      <w:r>
        <w:t xml:space="preserve">Rural–urban differences add an additional complexity to disclosure and help-seeking </w:t>
      </w:r>
      <w:r w:rsidR="00611745">
        <w:t>behaviours</w:t>
      </w:r>
      <w:r>
        <w:t xml:space="preserve">. Rural women may face stronger traditional norms, geographic isolation, and limited service availability, whereas urban women may experience greater exposure to alcohol and substance use, economic inequality, and fragmented social support networks (Ahinkorah et al., 2021; Aboagye et al., 2022). </w:t>
      </w:r>
      <w:r w:rsidR="00611745">
        <w:t xml:space="preserve"> </w:t>
      </w:r>
      <w:r>
        <w:t xml:space="preserve">In Anambra State, Southeast Nigeria, </w:t>
      </w:r>
      <w:r>
        <w:lastRenderedPageBreak/>
        <w:t xml:space="preserve">where strong kinship ties coexist with rapid urbanization, there is a notable gap in context-specific evidence on how women navigate disclosure and help-seeking following domestic violence. </w:t>
      </w:r>
      <w:r w:rsidR="00611745">
        <w:t xml:space="preserve"> </w:t>
      </w:r>
      <w:r>
        <w:t xml:space="preserve">The persistence of low disclosure and limited help-seeking, coupled with contextual rural–urban differences and key determinants such as alcohol and substance abuse, economic hardship, and educational disparities between partners, underscores a critical research and policy gap. Without robust comparative evidence that integrates women’s lived experiences, interventions risk being poorly targeted and ineffective. Therefore, this study seeks to address this gap by examining the determinants, disclosure pathways, and help-seeking </w:t>
      </w:r>
      <w:r w:rsidR="00611745">
        <w:t>behaviours</w:t>
      </w:r>
      <w:r>
        <w:t xml:space="preserve"> related to domestic violence among women in rural and urban settings of Anambra State, Nigeria. </w:t>
      </w:r>
    </w:p>
    <w:p w14:paraId="061DE93E" w14:textId="5CDDC451" w:rsidR="00444546" w:rsidRPr="00A25837" w:rsidRDefault="00444546" w:rsidP="00444546">
      <w:pPr>
        <w:rPr>
          <w:b/>
        </w:rPr>
      </w:pPr>
      <w:r w:rsidRPr="00A25837">
        <w:rPr>
          <w:b/>
        </w:rPr>
        <w:t>Conceptual Framework</w:t>
      </w:r>
    </w:p>
    <w:p w14:paraId="71726F52" w14:textId="0A1A3FD1" w:rsidR="00444546" w:rsidRDefault="00444546" w:rsidP="00642163">
      <w:pPr>
        <w:spacing w:line="360" w:lineRule="auto"/>
        <w:jc w:val="both"/>
      </w:pPr>
      <w:r>
        <w:t xml:space="preserve">The conceptual framework for this study is grounded in the ecological and </w:t>
      </w:r>
      <w:r w:rsidR="00642163">
        <w:t>Behavioral</w:t>
      </w:r>
      <w:r>
        <w:t xml:space="preserve"> models of domestic violence, which posit that women’s experiences of domestic violence (DV), disclosure, and help-seeking </w:t>
      </w:r>
      <w:r w:rsidR="00642163">
        <w:t>behaviours</w:t>
      </w:r>
      <w:r>
        <w:t xml:space="preserve"> are shaped by the interaction of individual, relational, household, and contextual factors. In this framework, domestic violence experience is influenced by key socio-demographic and partner-related determinants, while disclosure and help-seeking </w:t>
      </w:r>
      <w:r w:rsidR="00642163">
        <w:t>behaviours</w:t>
      </w:r>
      <w:r>
        <w:t xml:space="preserve"> function as downstream responses that are moderated by individual agency and contextual access to support systems.</w:t>
      </w:r>
    </w:p>
    <w:p w14:paraId="13A2D26C" w14:textId="5BA9C0D5" w:rsidR="00444546" w:rsidRDefault="00444546" w:rsidP="00642163">
      <w:pPr>
        <w:spacing w:line="360" w:lineRule="auto"/>
        <w:jc w:val="both"/>
      </w:pPr>
      <w:r>
        <w:t>At the determinant level, the framework identifies alcohol and substance abuse by partners, economic hardship, and educational disparity between partners as primary risk factors for DV. These determinants operate within broader socio-demographic characteristics, including women’s age, marital status, education, employment status, family structure, parity, type of marriage, and age difference between spouses. The influence of these determinants is further shaped by place of residence (rural versus urban), reflecting differences in social norms, economic opportunities, exposure to substance use, and access to services.</w:t>
      </w:r>
    </w:p>
    <w:p w14:paraId="7128C8B3" w14:textId="44DAAB75" w:rsidR="00444546" w:rsidRDefault="00444546" w:rsidP="00642163">
      <w:pPr>
        <w:spacing w:line="360" w:lineRule="auto"/>
        <w:jc w:val="both"/>
      </w:pPr>
      <w:r>
        <w:t xml:space="preserve">Experiencing domestic violence triggers a decision-making process regarding disclosure, which represents a critical mediating pathway in the framework. Disclosure may occur through informal channels (parents, siblings, in-laws, friends) or formal channels (healthcare providers, law enforcement, legal and social welfare services). </w:t>
      </w:r>
      <w:r w:rsidR="00D53C52">
        <w:t xml:space="preserve"> </w:t>
      </w:r>
      <w:r>
        <w:t xml:space="preserve">Disclosure, </w:t>
      </w:r>
      <w:r w:rsidR="00D53C52">
        <w:t>then</w:t>
      </w:r>
      <w:r>
        <w:t xml:space="preserve"> influences help-seeking </w:t>
      </w:r>
      <w:r w:rsidR="00642163">
        <w:t>behaviour</w:t>
      </w:r>
      <w:r>
        <w:t xml:space="preserve">, conceptualized as the active pursuit and receipt of support following abuse. Help-seeking may take multiple forms, including emotional support, financial assistance, medical care, and legal support. The framework recognizes that disclosure does not automatically </w:t>
      </w:r>
      <w:r>
        <w:lastRenderedPageBreak/>
        <w:t>translate into effective help-seeking; rather, help-seeking is constrained or facilitated by structural factors such as service availability,</w:t>
      </w:r>
      <w:r w:rsidR="0026545F">
        <w:t xml:space="preserve"> </w:t>
      </w:r>
      <w:r>
        <w:t>affordability, confidentiality, and trust in institutions. Rural–urban residence moderates these pathways, contributing to observed differences in the type and extent of support accessed.</w:t>
      </w:r>
    </w:p>
    <w:p w14:paraId="3EC4C674" w14:textId="77777777" w:rsidR="00642163" w:rsidRDefault="00642163">
      <w:r>
        <w:br w:type="page"/>
      </w:r>
    </w:p>
    <w:p w14:paraId="4A2529F2" w14:textId="77777777" w:rsidR="00492574" w:rsidRDefault="00444546" w:rsidP="00444546">
      <w:pPr>
        <w:rPr>
          <w:noProof/>
        </w:rPr>
      </w:pPr>
      <w:r>
        <w:lastRenderedPageBreak/>
        <w:t xml:space="preserve">Figure 1. </w:t>
      </w:r>
      <w:r w:rsidR="0026545F">
        <w:t>Conceptual Framework of Determinants, Disclosure, and Help-Seeking Behaviour in Domestic Violence among Women in Rural and Urban Anambra State</w:t>
      </w:r>
      <w:r w:rsidR="0026545F">
        <w:rPr>
          <w:noProof/>
        </w:rPr>
        <w:t xml:space="preserve"> </w:t>
      </w:r>
    </w:p>
    <w:p w14:paraId="60EA8898" w14:textId="0C03210A" w:rsidR="002341DD" w:rsidRDefault="00877C00" w:rsidP="00444546">
      <w:r>
        <w:rPr>
          <w:noProof/>
        </w:rPr>
        <mc:AlternateContent>
          <mc:Choice Requires="wps">
            <w:drawing>
              <wp:anchor distT="0" distB="0" distL="114300" distR="114300" simplePos="0" relativeHeight="251672576" behindDoc="0" locked="0" layoutInCell="1" allowOverlap="1" wp14:anchorId="53EF8686" wp14:editId="047A32E7">
                <wp:simplePos x="0" y="0"/>
                <wp:positionH relativeFrom="column">
                  <wp:posOffset>2489200</wp:posOffset>
                </wp:positionH>
                <wp:positionV relativeFrom="paragraph">
                  <wp:posOffset>3968750</wp:posOffset>
                </wp:positionV>
                <wp:extent cx="1397000" cy="25400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1397000" cy="25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955D26" w14:textId="77777777" w:rsidR="007C2B6A" w:rsidRPr="00C570B7" w:rsidRDefault="007C2B6A" w:rsidP="00877C00">
                            <w:pPr>
                              <w:jc w:val="center"/>
                              <w:rPr>
                                <w:color w:val="FF0000"/>
                              </w:rPr>
                            </w:pPr>
                            <w:r w:rsidRPr="00C570B7">
                              <w:rPr>
                                <w:color w:val="FF0000"/>
                              </w:rPr>
                              <w:t>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F8686" id="Rectangle 15" o:spid="_x0000_s1026" style="position:absolute;margin-left:196pt;margin-top:312.5pt;width:110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" fillcolor="white [3201]" strokecolor="#70ad47 [3209]" strokeweight="1pt">
                <v:textbox>
                  <w:txbxContent>
                    <w:p w14:paraId="26955D26" w14:textId="77777777" w:rsidR="007C2B6A" w:rsidRPr="00C570B7" w:rsidRDefault="007C2B6A" w:rsidP="00877C00">
                      <w:pPr>
                        <w:jc w:val="center"/>
                        <w:rPr>
                          <w:color w:val="FF0000"/>
                        </w:rPr>
                      </w:pPr>
                      <w:r w:rsidRPr="00C570B7">
                        <w:rPr>
                          <w:color w:val="FF0000"/>
                        </w:rPr>
                        <w:t>DISCLOSURE</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204797F" wp14:editId="50B5C8AA">
                <wp:simplePos x="0" y="0"/>
                <wp:positionH relativeFrom="column">
                  <wp:posOffset>3016250</wp:posOffset>
                </wp:positionH>
                <wp:positionV relativeFrom="paragraph">
                  <wp:posOffset>3517900</wp:posOffset>
                </wp:positionV>
                <wp:extent cx="323850" cy="247650"/>
                <wp:effectExtent l="19050" t="0" r="19050" b="38100"/>
                <wp:wrapNone/>
                <wp:docPr id="6" name="Arrow: Down 6"/>
                <wp:cNvGraphicFramePr/>
                <a:graphic xmlns:a="http://schemas.openxmlformats.org/drawingml/2006/main">
                  <a:graphicData uri="http://schemas.microsoft.com/office/word/2010/wordprocessingShape">
                    <wps:wsp>
                      <wps:cNvSpPr/>
                      <wps:spPr>
                        <a:xfrm>
                          <a:off x="0" y="0"/>
                          <a:ext cx="323850" cy="2476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F6BFE" id="Arrow: Down 6" o:spid="_x0000_s1026" type="#_x0000_t67" style="position:absolute;margin-left:237.5pt;margin-top:277pt;width:25.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" adj="10800" fillcolor="white [3201]" strokecolor="#70ad47 [3209]" strokeweight="1pt"/>
            </w:pict>
          </mc:Fallback>
        </mc:AlternateContent>
      </w:r>
    </w:p>
    <w:p w14:paraId="7836CD53" w14:textId="23A14B11" w:rsidR="002341DD" w:rsidRDefault="00492574" w:rsidP="00444546">
      <w:r>
        <w:rPr>
          <w:noProof/>
        </w:rPr>
        <mc:AlternateContent>
          <mc:Choice Requires="wps">
            <w:drawing>
              <wp:anchor distT="0" distB="0" distL="114300" distR="114300" simplePos="0" relativeHeight="251659264" behindDoc="0" locked="0" layoutInCell="1" allowOverlap="1" wp14:anchorId="3ED44838" wp14:editId="1673CC92">
                <wp:simplePos x="0" y="0"/>
                <wp:positionH relativeFrom="margin">
                  <wp:align>right</wp:align>
                </wp:positionH>
                <wp:positionV relativeFrom="paragraph">
                  <wp:posOffset>106045</wp:posOffset>
                </wp:positionV>
                <wp:extent cx="5422900" cy="8445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5422900" cy="844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79BCEC" w14:textId="77777777" w:rsidR="007C2B6A" w:rsidRPr="00496BBB" w:rsidRDefault="007C2B6A" w:rsidP="00877C00">
                            <w:pPr>
                              <w:jc w:val="center"/>
                              <w:rPr>
                                <w:b/>
                                <w:color w:val="FF0000"/>
                              </w:rPr>
                            </w:pPr>
                            <w:r w:rsidRPr="00496BBB">
                              <w:rPr>
                                <w:b/>
                                <w:color w:val="FF0000"/>
                              </w:rPr>
                              <w:t>SOCIO-DEMOGRAPHIC FACTORS</w:t>
                            </w:r>
                          </w:p>
                          <w:p w14:paraId="67518A3D" w14:textId="77777777" w:rsidR="007C2B6A" w:rsidRDefault="007C2B6A" w:rsidP="00877C00">
                            <w:r>
                              <w:t xml:space="preserve">• Age       • Education      • Marital status   • Employment status      • Parity                                 • Family structure        • Type of marriage     • Age difference between spouses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44838" id="Rectangle 1" o:spid="_x0000_s1027" style="position:absolute;margin-left:375.8pt;margin-top:8.35pt;width:427pt;height: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" fillcolor="white [3201]" strokecolor="#70ad47 [3209]" strokeweight="1pt">
                <v:textbox>
                  <w:txbxContent>
                    <w:p w14:paraId="6679BCEC" w14:textId="77777777" w:rsidR="007C2B6A" w:rsidRPr="00496BBB" w:rsidRDefault="007C2B6A" w:rsidP="00877C00">
                      <w:pPr>
                        <w:jc w:val="center"/>
                        <w:rPr>
                          <w:b/>
                          <w:color w:val="FF0000"/>
                        </w:rPr>
                      </w:pPr>
                      <w:r w:rsidRPr="00496BBB">
                        <w:rPr>
                          <w:b/>
                          <w:color w:val="FF0000"/>
                        </w:rPr>
                        <w:t>SOCIO-DEMOGRAPHIC FACTORS</w:t>
                      </w:r>
                    </w:p>
                    <w:p w14:paraId="67518A3D" w14:textId="77777777" w:rsidR="007C2B6A" w:rsidRDefault="007C2B6A" w:rsidP="00877C00">
                      <w:r>
                        <w:t xml:space="preserve">• Age       • Education      • Marital status   • Employment status      • Parity                                 • Family structure        • Type of marriage     • Age difference between spouses        </w:t>
                      </w:r>
                    </w:p>
                  </w:txbxContent>
                </v:textbox>
                <w10:wrap anchorx="margin"/>
              </v:rect>
            </w:pict>
          </mc:Fallback>
        </mc:AlternateContent>
      </w:r>
    </w:p>
    <w:p w14:paraId="03866EC3" w14:textId="5753D1E8" w:rsidR="002341DD" w:rsidRDefault="002341DD" w:rsidP="00444546"/>
    <w:p w14:paraId="45A88B6C" w14:textId="6DF9756A" w:rsidR="002341DD" w:rsidRDefault="002341DD" w:rsidP="00444546"/>
    <w:p w14:paraId="161A52C7" w14:textId="6F173401" w:rsidR="002341DD" w:rsidRDefault="00492574" w:rsidP="00444546">
      <w:r>
        <w:rPr>
          <w:noProof/>
        </w:rPr>
        <mc:AlternateContent>
          <mc:Choice Requires="wps">
            <w:drawing>
              <wp:anchor distT="0" distB="0" distL="114300" distR="114300" simplePos="0" relativeHeight="251660288" behindDoc="0" locked="0" layoutInCell="1" allowOverlap="1" wp14:anchorId="0E12ABB3" wp14:editId="51F991FD">
                <wp:simplePos x="0" y="0"/>
                <wp:positionH relativeFrom="column">
                  <wp:posOffset>2743200</wp:posOffset>
                </wp:positionH>
                <wp:positionV relativeFrom="paragraph">
                  <wp:posOffset>154305</wp:posOffset>
                </wp:positionV>
                <wp:extent cx="323850" cy="215900"/>
                <wp:effectExtent l="38100" t="0" r="0" b="31750"/>
                <wp:wrapNone/>
                <wp:docPr id="2" name="Arrow: Down 2"/>
                <wp:cNvGraphicFramePr/>
                <a:graphic xmlns:a="http://schemas.openxmlformats.org/drawingml/2006/main">
                  <a:graphicData uri="http://schemas.microsoft.com/office/word/2010/wordprocessingShape">
                    <wps:wsp>
                      <wps:cNvSpPr/>
                      <wps:spPr>
                        <a:xfrm>
                          <a:off x="0" y="0"/>
                          <a:ext cx="323850" cy="215900"/>
                        </a:xfrm>
                        <a:prstGeom prst="downArrow">
                          <a:avLst>
                            <a:gd name="adj1" fmla="val 50000"/>
                            <a:gd name="adj2" fmla="val 57042"/>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B34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in;margin-top:12.15pt;width:2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" adj="9279" fillcolor="white [3201]" strokecolor="#70ad47 [3209]" strokeweight="1pt"/>
            </w:pict>
          </mc:Fallback>
        </mc:AlternateContent>
      </w:r>
    </w:p>
    <w:p w14:paraId="44CD995A" w14:textId="2A7488C4" w:rsidR="002341DD" w:rsidRDefault="0026545F" w:rsidP="00444546">
      <w:r>
        <w:rPr>
          <w:noProof/>
        </w:rPr>
        <mc:AlternateContent>
          <mc:Choice Requires="wps">
            <w:drawing>
              <wp:anchor distT="0" distB="0" distL="114300" distR="114300" simplePos="0" relativeHeight="251661312" behindDoc="0" locked="0" layoutInCell="1" allowOverlap="1" wp14:anchorId="33368744" wp14:editId="68124AD2">
                <wp:simplePos x="0" y="0"/>
                <wp:positionH relativeFrom="margin">
                  <wp:align>right</wp:align>
                </wp:positionH>
                <wp:positionV relativeFrom="paragraph">
                  <wp:posOffset>85725</wp:posOffset>
                </wp:positionV>
                <wp:extent cx="5429250" cy="79375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5429250" cy="793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CEE4B6" w14:textId="77777777" w:rsidR="007C2B6A" w:rsidRPr="00496BBB" w:rsidRDefault="007C2B6A" w:rsidP="00877C00">
                            <w:pPr>
                              <w:jc w:val="center"/>
                              <w:rPr>
                                <w:color w:val="FF0000"/>
                              </w:rPr>
                            </w:pPr>
                            <w:r w:rsidRPr="00496BBB">
                              <w:rPr>
                                <w:color w:val="FF0000"/>
                              </w:rPr>
                              <w:t>KEY DETERMINANTS OF DV</w:t>
                            </w:r>
                          </w:p>
                          <w:p w14:paraId="6128DA68" w14:textId="77777777" w:rsidR="007C2B6A" w:rsidRDefault="007C2B6A" w:rsidP="00877C00">
                            <w:r>
                              <w:t>• Alcohol &amp; substance abuse    • Economic hardship    • Educational disparity between partners</w:t>
                            </w:r>
                          </w:p>
                          <w:p w14:paraId="774FA96E"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68744" id="Rectangle 3" o:spid="_x0000_s1028" style="position:absolute;margin-left:376.3pt;margin-top:6.75pt;width:427.5pt;height: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" fillcolor="white [3201]" strokecolor="#70ad47 [3209]" strokeweight="1pt">
                <v:textbox>
                  <w:txbxContent>
                    <w:p w14:paraId="09CEE4B6" w14:textId="77777777" w:rsidR="007C2B6A" w:rsidRPr="00496BBB" w:rsidRDefault="007C2B6A" w:rsidP="00877C00">
                      <w:pPr>
                        <w:jc w:val="center"/>
                        <w:rPr>
                          <w:color w:val="FF0000"/>
                        </w:rPr>
                      </w:pPr>
                      <w:r w:rsidRPr="00496BBB">
                        <w:rPr>
                          <w:color w:val="FF0000"/>
                        </w:rPr>
                        <w:t>KEY DETERMINANTS OF DV</w:t>
                      </w:r>
                    </w:p>
                    <w:p w14:paraId="6128DA68" w14:textId="77777777" w:rsidR="007C2B6A" w:rsidRDefault="007C2B6A" w:rsidP="00877C00">
                      <w:r>
                        <w:t>• Alcohol &amp; substance abuse    • Economic hardship    • Educational disparity between partners</w:t>
                      </w:r>
                    </w:p>
                    <w:p w14:paraId="774FA96E" w14:textId="77777777" w:rsidR="007C2B6A" w:rsidRDefault="007C2B6A" w:rsidP="00877C00">
                      <w:pPr>
                        <w:jc w:val="center"/>
                      </w:pPr>
                    </w:p>
                  </w:txbxContent>
                </v:textbox>
                <w10:wrap anchorx="margin"/>
              </v:rect>
            </w:pict>
          </mc:Fallback>
        </mc:AlternateContent>
      </w:r>
    </w:p>
    <w:p w14:paraId="731FA2E0" w14:textId="432BB3BB" w:rsidR="00444546" w:rsidRDefault="00444546" w:rsidP="002D1874"/>
    <w:p w14:paraId="550C1F18" w14:textId="7EA08F07" w:rsidR="002341DD" w:rsidRDefault="002341DD" w:rsidP="002D1874">
      <w:pPr>
        <w:rPr>
          <w:b/>
        </w:rPr>
      </w:pPr>
    </w:p>
    <w:p w14:paraId="3B0D4505" w14:textId="709BF1A8" w:rsidR="002341DD" w:rsidRDefault="00492574" w:rsidP="002D1874">
      <w:pPr>
        <w:rPr>
          <w:b/>
        </w:rPr>
      </w:pPr>
      <w:r>
        <w:rPr>
          <w:noProof/>
        </w:rPr>
        <mc:AlternateContent>
          <mc:Choice Requires="wps">
            <w:drawing>
              <wp:anchor distT="0" distB="0" distL="114300" distR="114300" simplePos="0" relativeHeight="251662336" behindDoc="0" locked="0" layoutInCell="1" allowOverlap="1" wp14:anchorId="6BCBE7C1" wp14:editId="72A37ADB">
                <wp:simplePos x="0" y="0"/>
                <wp:positionH relativeFrom="column">
                  <wp:posOffset>2959100</wp:posOffset>
                </wp:positionH>
                <wp:positionV relativeFrom="paragraph">
                  <wp:posOffset>90170</wp:posOffset>
                </wp:positionV>
                <wp:extent cx="311150" cy="184150"/>
                <wp:effectExtent l="38100" t="0" r="0" b="44450"/>
                <wp:wrapNone/>
                <wp:docPr id="4" name="Arrow: Down 4"/>
                <wp:cNvGraphicFramePr/>
                <a:graphic xmlns:a="http://schemas.openxmlformats.org/drawingml/2006/main">
                  <a:graphicData uri="http://schemas.microsoft.com/office/word/2010/wordprocessingShape">
                    <wps:wsp>
                      <wps:cNvSpPr/>
                      <wps:spPr>
                        <a:xfrm>
                          <a:off x="0" y="0"/>
                          <a:ext cx="311150" cy="1841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A3F9" id="Arrow: Down 4" o:spid="_x0000_s1026" type="#_x0000_t67" style="position:absolute;margin-left:233pt;margin-top:7.1pt;width:24.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" adj="10800" fillcolor="white [3201]" strokecolor="#70ad47 [3209]" strokeweight="1pt"/>
            </w:pict>
          </mc:Fallback>
        </mc:AlternateContent>
      </w:r>
    </w:p>
    <w:p w14:paraId="1617D880" w14:textId="6E670176" w:rsidR="002341DD" w:rsidRDefault="00492574" w:rsidP="002D1874">
      <w:pPr>
        <w:rPr>
          <w:b/>
        </w:rPr>
      </w:pPr>
      <w:r>
        <w:rPr>
          <w:noProof/>
        </w:rPr>
        <mc:AlternateContent>
          <mc:Choice Requires="wps">
            <w:drawing>
              <wp:anchor distT="0" distB="0" distL="114300" distR="114300" simplePos="0" relativeHeight="251663360" behindDoc="0" locked="0" layoutInCell="1" allowOverlap="1" wp14:anchorId="68DFFF31" wp14:editId="625A5B2B">
                <wp:simplePos x="0" y="0"/>
                <wp:positionH relativeFrom="column">
                  <wp:posOffset>501650</wp:posOffset>
                </wp:positionH>
                <wp:positionV relativeFrom="paragraph">
                  <wp:posOffset>21590</wp:posOffset>
                </wp:positionV>
                <wp:extent cx="5124450" cy="83185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5124450" cy="831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A7A6D6" w14:textId="77777777" w:rsidR="007C2B6A" w:rsidRPr="00496BBB" w:rsidRDefault="007C2B6A" w:rsidP="00877C00">
                            <w:pPr>
                              <w:jc w:val="center"/>
                              <w:rPr>
                                <w:color w:val="FF0000"/>
                              </w:rPr>
                            </w:pPr>
                            <w:r w:rsidRPr="00496BBB">
                              <w:rPr>
                                <w:color w:val="FF0000"/>
                              </w:rPr>
                              <w:t>EXPERIENCE OF DOMESTIC VIOLENCE</w:t>
                            </w:r>
                          </w:p>
                          <w:p w14:paraId="5AB8341C" w14:textId="77777777" w:rsidR="007C2B6A" w:rsidRDefault="007C2B6A" w:rsidP="00877C00">
                            <w:r>
                              <w:t>• Physical    • Emotional / psychological • Sexual   and Financial</w:t>
                            </w:r>
                          </w:p>
                          <w:p w14:paraId="67B4043D"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FF31" id="Rectangle 5" o:spid="_x0000_s1029" style="position:absolute;margin-left:39.5pt;margin-top:1.7pt;width:403.5pt;height: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" fillcolor="white [3201]" strokecolor="#70ad47 [3209]" strokeweight="1pt">
                <v:textbox>
                  <w:txbxContent>
                    <w:p w14:paraId="20A7A6D6" w14:textId="77777777" w:rsidR="007C2B6A" w:rsidRPr="00496BBB" w:rsidRDefault="007C2B6A" w:rsidP="00877C00">
                      <w:pPr>
                        <w:jc w:val="center"/>
                        <w:rPr>
                          <w:color w:val="FF0000"/>
                        </w:rPr>
                      </w:pPr>
                      <w:r w:rsidRPr="00496BBB">
                        <w:rPr>
                          <w:color w:val="FF0000"/>
                        </w:rPr>
                        <w:t>EXPERIENCE OF DOMESTIC VIOLENCE</w:t>
                      </w:r>
                    </w:p>
                    <w:p w14:paraId="5AB8341C" w14:textId="77777777" w:rsidR="007C2B6A" w:rsidRDefault="007C2B6A" w:rsidP="00877C00">
                      <w:r>
                        <w:t>• Physical    • Emotional / psychological • Sexual   and Financial</w:t>
                      </w:r>
                    </w:p>
                    <w:p w14:paraId="67B4043D" w14:textId="77777777" w:rsidR="007C2B6A" w:rsidRDefault="007C2B6A" w:rsidP="00877C00">
                      <w:pPr>
                        <w:jc w:val="center"/>
                      </w:pPr>
                    </w:p>
                  </w:txbxContent>
                </v:textbox>
              </v:rect>
            </w:pict>
          </mc:Fallback>
        </mc:AlternateContent>
      </w:r>
    </w:p>
    <w:p w14:paraId="50B32B92" w14:textId="77777777" w:rsidR="002341DD" w:rsidRDefault="002341DD" w:rsidP="002D1874">
      <w:pPr>
        <w:rPr>
          <w:b/>
        </w:rPr>
      </w:pPr>
    </w:p>
    <w:p w14:paraId="3F6AF247" w14:textId="134980EC" w:rsidR="0026545F" w:rsidRDefault="0026545F" w:rsidP="00FC5C89">
      <w:r>
        <w:rPr>
          <w:noProof/>
        </w:rPr>
        <mc:AlternateContent>
          <mc:Choice Requires="wps">
            <w:drawing>
              <wp:anchor distT="0" distB="0" distL="114300" distR="114300" simplePos="0" relativeHeight="251670528" behindDoc="0" locked="0" layoutInCell="1" allowOverlap="1" wp14:anchorId="05408785" wp14:editId="3B47A300">
                <wp:simplePos x="0" y="0"/>
                <wp:positionH relativeFrom="column">
                  <wp:posOffset>882650</wp:posOffset>
                </wp:positionH>
                <wp:positionV relativeFrom="paragraph">
                  <wp:posOffset>931545</wp:posOffset>
                </wp:positionV>
                <wp:extent cx="2006600" cy="113665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2006600" cy="1136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49585A" w14:textId="77777777" w:rsidR="007C2B6A" w:rsidRDefault="007C2B6A" w:rsidP="00877C00">
                            <w:r w:rsidRPr="00496BBB">
                              <w:rPr>
                                <w:b/>
                              </w:rPr>
                              <w:t>Informal channels</w:t>
                            </w:r>
                            <w:r>
                              <w:t xml:space="preserve">               </w:t>
                            </w:r>
                          </w:p>
                          <w:p w14:paraId="73CF26F8" w14:textId="77777777" w:rsidR="007C2B6A" w:rsidRDefault="007C2B6A" w:rsidP="00877C00">
                            <w:r>
                              <w:t xml:space="preserve"> • Parents / siblings  </w:t>
                            </w:r>
                          </w:p>
                          <w:p w14:paraId="6D16F3B9" w14:textId="77777777" w:rsidR="007C2B6A" w:rsidRDefault="007C2B6A" w:rsidP="00877C00">
                            <w:r>
                              <w:t xml:space="preserve">• In-laws                           </w:t>
                            </w:r>
                          </w:p>
                          <w:p w14:paraId="2490F552" w14:textId="77777777" w:rsidR="007C2B6A" w:rsidRDefault="007C2B6A" w:rsidP="00877C00">
                            <w:r>
                              <w:t xml:space="preserve">• Friends / social groups           </w:t>
                            </w:r>
                          </w:p>
                          <w:p w14:paraId="68202108"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8785" id="Rectangle 13" o:spid="_x0000_s1030" style="position:absolute;margin-left:69.5pt;margin-top:73.35pt;width:158pt;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" fillcolor="white [3201]" strokecolor="#70ad47 [3209]" strokeweight="1pt">
                <v:textbox>
                  <w:txbxContent>
                    <w:p w14:paraId="1749585A" w14:textId="77777777" w:rsidR="007C2B6A" w:rsidRDefault="007C2B6A" w:rsidP="00877C00">
                      <w:r w:rsidRPr="00496BBB">
                        <w:rPr>
                          <w:b/>
                        </w:rPr>
                        <w:t>Informal channels</w:t>
                      </w:r>
                      <w:r>
                        <w:t xml:space="preserve">               </w:t>
                      </w:r>
                    </w:p>
                    <w:p w14:paraId="73CF26F8" w14:textId="77777777" w:rsidR="007C2B6A" w:rsidRDefault="007C2B6A" w:rsidP="00877C00">
                      <w:r>
                        <w:t xml:space="preserve"> • Parents / siblings  </w:t>
                      </w:r>
                    </w:p>
                    <w:p w14:paraId="6D16F3B9" w14:textId="77777777" w:rsidR="007C2B6A" w:rsidRDefault="007C2B6A" w:rsidP="00877C00">
                      <w:r>
                        <w:t xml:space="preserve">• In-laws                           </w:t>
                      </w:r>
                    </w:p>
                    <w:p w14:paraId="2490F552" w14:textId="77777777" w:rsidR="007C2B6A" w:rsidRDefault="007C2B6A" w:rsidP="00877C00">
                      <w:r>
                        <w:t xml:space="preserve">• Friends / social groups           </w:t>
                      </w:r>
                    </w:p>
                    <w:p w14:paraId="68202108" w14:textId="77777777" w:rsidR="007C2B6A" w:rsidRDefault="007C2B6A" w:rsidP="00877C00">
                      <w:pPr>
                        <w:jc w:val="center"/>
                      </w:pP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02410E4F" wp14:editId="571E0F3A">
                <wp:simplePos x="0" y="0"/>
                <wp:positionH relativeFrom="column">
                  <wp:posOffset>3683000</wp:posOffset>
                </wp:positionH>
                <wp:positionV relativeFrom="paragraph">
                  <wp:posOffset>937895</wp:posOffset>
                </wp:positionV>
                <wp:extent cx="1898650" cy="11049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1898650" cy="1104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884B94" w14:textId="77777777" w:rsidR="007C2B6A" w:rsidRPr="00C570B7" w:rsidRDefault="007C2B6A" w:rsidP="00877C00">
                            <w:pPr>
                              <w:rPr>
                                <w:b/>
                              </w:rPr>
                            </w:pPr>
                            <w:r w:rsidRPr="00C570B7">
                              <w:rPr>
                                <w:b/>
                              </w:rPr>
                              <w:t xml:space="preserve">Formal channels                       </w:t>
                            </w:r>
                          </w:p>
                          <w:p w14:paraId="77C83717" w14:textId="77777777" w:rsidR="007C2B6A" w:rsidRDefault="007C2B6A" w:rsidP="00877C00">
                            <w:r>
                              <w:t xml:space="preserve">• Healthcare providers                 </w:t>
                            </w:r>
                          </w:p>
                          <w:p w14:paraId="56F674C0" w14:textId="77777777" w:rsidR="007C2B6A" w:rsidRDefault="007C2B6A" w:rsidP="00877C00">
                            <w:r>
                              <w:t xml:space="preserve">• Police / legal system                </w:t>
                            </w:r>
                          </w:p>
                          <w:p w14:paraId="47E9CC48" w14:textId="77777777" w:rsidR="007C2B6A" w:rsidRDefault="007C2B6A" w:rsidP="00877C00">
                            <w:r>
                              <w:t xml:space="preserve">• Social welfare services              </w:t>
                            </w:r>
                          </w:p>
                          <w:p w14:paraId="6F4EBA86"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0E4F" id="Rectangle 14" o:spid="_x0000_s1031" style="position:absolute;margin-left:290pt;margin-top:73.85pt;width:149.5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" fillcolor="white [3201]" strokecolor="#70ad47 [3209]" strokeweight="1pt">
                <v:textbox>
                  <w:txbxContent>
                    <w:p w14:paraId="30884B94" w14:textId="77777777" w:rsidR="007C2B6A" w:rsidRPr="00C570B7" w:rsidRDefault="007C2B6A" w:rsidP="00877C00">
                      <w:pPr>
                        <w:rPr>
                          <w:b/>
                        </w:rPr>
                      </w:pPr>
                      <w:r w:rsidRPr="00C570B7">
                        <w:rPr>
                          <w:b/>
                        </w:rPr>
                        <w:t xml:space="preserve">Formal channels                       </w:t>
                      </w:r>
                    </w:p>
                    <w:p w14:paraId="77C83717" w14:textId="77777777" w:rsidR="007C2B6A" w:rsidRDefault="007C2B6A" w:rsidP="00877C00">
                      <w:r>
                        <w:t xml:space="preserve">• Healthcare providers                 </w:t>
                      </w:r>
                    </w:p>
                    <w:p w14:paraId="56F674C0" w14:textId="77777777" w:rsidR="007C2B6A" w:rsidRDefault="007C2B6A" w:rsidP="00877C00">
                      <w:r>
                        <w:t xml:space="preserve">• Police / legal system                </w:t>
                      </w:r>
                    </w:p>
                    <w:p w14:paraId="47E9CC48" w14:textId="77777777" w:rsidR="007C2B6A" w:rsidRDefault="007C2B6A" w:rsidP="00877C00">
                      <w:r>
                        <w:t xml:space="preserve">• Social welfare services              </w:t>
                      </w:r>
                    </w:p>
                    <w:p w14:paraId="6F4EBA86" w14:textId="77777777" w:rsidR="007C2B6A" w:rsidRDefault="007C2B6A" w:rsidP="00877C00">
                      <w:pPr>
                        <w:jc w:val="cente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4CEA11C3" wp14:editId="6DF9B1D5">
                <wp:simplePos x="0" y="0"/>
                <wp:positionH relativeFrom="column">
                  <wp:posOffset>660400</wp:posOffset>
                </wp:positionH>
                <wp:positionV relativeFrom="paragraph">
                  <wp:posOffset>3471545</wp:posOffset>
                </wp:positionV>
                <wp:extent cx="4914900" cy="857250"/>
                <wp:effectExtent l="0" t="0" r="19050" b="19050"/>
                <wp:wrapNone/>
                <wp:docPr id="11" name="Rectangle: Rounded Corners 11"/>
                <wp:cNvGraphicFramePr/>
                <a:graphic xmlns:a="http://schemas.openxmlformats.org/drawingml/2006/main">
                  <a:graphicData uri="http://schemas.microsoft.com/office/word/2010/wordprocessingShape">
                    <wps:wsp>
                      <wps:cNvSpPr/>
                      <wps:spPr>
                        <a:xfrm>
                          <a:off x="0" y="0"/>
                          <a:ext cx="4914900" cy="857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075189" w14:textId="77777777" w:rsidR="007C2B6A" w:rsidRPr="000C1F78" w:rsidRDefault="007C2B6A" w:rsidP="00877C00">
                            <w:pPr>
                              <w:jc w:val="center"/>
                              <w:rPr>
                                <w:color w:val="FF0000"/>
                              </w:rPr>
                            </w:pPr>
                            <w:r w:rsidRPr="000C1F78">
                              <w:rPr>
                                <w:color w:val="FF0000"/>
                              </w:rPr>
                              <w:t>MODERATING CONTEXTUAL FACTOR</w:t>
                            </w:r>
                          </w:p>
                          <w:p w14:paraId="19CFB104" w14:textId="77777777" w:rsidR="007C2B6A" w:rsidRDefault="007C2B6A" w:rsidP="00877C00">
                            <w:r>
                              <w:t xml:space="preserve"> Place of residence (Rural vs Urban), Influences determinants, disclosure pathways, and help-seeking outcomes</w:t>
                            </w:r>
                          </w:p>
                          <w:p w14:paraId="4FC69B6D"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A11C3" id="Rectangle: Rounded Corners 11" o:spid="_x0000_s1032" style="position:absolute;margin-left:52pt;margin-top:273.35pt;width:387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" fillcolor="white [3201]" strokecolor="#70ad47 [3209]" strokeweight="1pt">
                <v:stroke joinstyle="miter"/>
                <v:textbox>
                  <w:txbxContent>
                    <w:p w14:paraId="1E075189" w14:textId="77777777" w:rsidR="007C2B6A" w:rsidRPr="000C1F78" w:rsidRDefault="007C2B6A" w:rsidP="00877C00">
                      <w:pPr>
                        <w:jc w:val="center"/>
                        <w:rPr>
                          <w:color w:val="FF0000"/>
                        </w:rPr>
                      </w:pPr>
                      <w:r w:rsidRPr="000C1F78">
                        <w:rPr>
                          <w:color w:val="FF0000"/>
                        </w:rPr>
                        <w:t>MODERATING CONTEXTUAL FACTOR</w:t>
                      </w:r>
                    </w:p>
                    <w:p w14:paraId="19CFB104" w14:textId="77777777" w:rsidR="007C2B6A" w:rsidRDefault="007C2B6A" w:rsidP="00877C00">
                      <w:r>
                        <w:t xml:space="preserve"> Place of residence (Rural vs Urban), Influences determinants, disclosure pathways, and help-seeking outcomes</w:t>
                      </w:r>
                    </w:p>
                    <w:p w14:paraId="4FC69B6D" w14:textId="77777777" w:rsidR="007C2B6A" w:rsidRDefault="007C2B6A" w:rsidP="00877C00">
                      <w:pPr>
                        <w:jc w:val="center"/>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18D5FEC4" wp14:editId="51B27DCF">
                <wp:simplePos x="0" y="0"/>
                <wp:positionH relativeFrom="column">
                  <wp:posOffset>3149600</wp:posOffset>
                </wp:positionH>
                <wp:positionV relativeFrom="paragraph">
                  <wp:posOffset>3210560</wp:posOffset>
                </wp:positionV>
                <wp:extent cx="190500" cy="228600"/>
                <wp:effectExtent l="19050" t="0" r="19050" b="38100"/>
                <wp:wrapNone/>
                <wp:docPr id="10" name="Arrow: Down 10"/>
                <wp:cNvGraphicFramePr/>
                <a:graphic xmlns:a="http://schemas.openxmlformats.org/drawingml/2006/main">
                  <a:graphicData uri="http://schemas.microsoft.com/office/word/2010/wordprocessingShape">
                    <wps:wsp>
                      <wps:cNvSpPr/>
                      <wps:spPr>
                        <a:xfrm>
                          <a:off x="0" y="0"/>
                          <a:ext cx="190500" cy="2286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D46A" id="Arrow: Down 10" o:spid="_x0000_s1026" type="#_x0000_t67" style="position:absolute;margin-left:248pt;margin-top:252.8pt;width:1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" adj="12600" fillcolor="white [3201]" strokecolor="#70ad47 [3209]" strokeweight="1pt"/>
            </w:pict>
          </mc:Fallback>
        </mc:AlternateContent>
      </w:r>
    </w:p>
    <w:p w14:paraId="3B25B750" w14:textId="1FBB3C11" w:rsidR="0026545F" w:rsidRDefault="00492574">
      <w:r>
        <w:rPr>
          <w:noProof/>
        </w:rPr>
        <mc:AlternateContent>
          <mc:Choice Requires="wps">
            <w:drawing>
              <wp:anchor distT="0" distB="0" distL="114300" distR="114300" simplePos="0" relativeHeight="251667456" behindDoc="0" locked="0" layoutInCell="1" allowOverlap="1" wp14:anchorId="3A5A7235" wp14:editId="497FD08C">
                <wp:simplePos x="0" y="0"/>
                <wp:positionH relativeFrom="column">
                  <wp:posOffset>552450</wp:posOffset>
                </wp:positionH>
                <wp:positionV relativeFrom="paragraph">
                  <wp:posOffset>2095500</wp:posOffset>
                </wp:positionV>
                <wp:extent cx="4908550" cy="7747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4908550" cy="774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7A648E" w14:textId="77777777" w:rsidR="007C2B6A" w:rsidRPr="000C1F78" w:rsidRDefault="007C2B6A" w:rsidP="00877C00">
                            <w:pPr>
                              <w:jc w:val="center"/>
                              <w:rPr>
                                <w:color w:val="FF0000"/>
                              </w:rPr>
                            </w:pPr>
                            <w:r w:rsidRPr="000C1F78">
                              <w:rPr>
                                <w:color w:val="FF0000"/>
                              </w:rPr>
                              <w:t>HELP-SEEKING BEHAVIOUR</w:t>
                            </w:r>
                          </w:p>
                          <w:p w14:paraId="5670714E" w14:textId="0FC58295" w:rsidR="007C2B6A" w:rsidRDefault="007C2B6A" w:rsidP="00877C00">
                            <w:r>
                              <w:t xml:space="preserve">• Emotional support   • Financial assistance   • Medical care •Legal support                        </w:t>
                            </w:r>
                          </w:p>
                          <w:p w14:paraId="32B78F62"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A7235" id="Rectangle 9" o:spid="_x0000_s1033" style="position:absolute;margin-left:43.5pt;margin-top:165pt;width:386.5pt;height: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" fillcolor="white [3201]" strokecolor="#70ad47 [3209]" strokeweight="1pt">
                <v:textbox>
                  <w:txbxContent>
                    <w:p w14:paraId="347A648E" w14:textId="77777777" w:rsidR="007C2B6A" w:rsidRPr="000C1F78" w:rsidRDefault="007C2B6A" w:rsidP="00877C00">
                      <w:pPr>
                        <w:jc w:val="center"/>
                        <w:rPr>
                          <w:color w:val="FF0000"/>
                        </w:rPr>
                      </w:pPr>
                      <w:r w:rsidRPr="000C1F78">
                        <w:rPr>
                          <w:color w:val="FF0000"/>
                        </w:rPr>
                        <w:t>HELP-SEEKING BEHAVIOUR</w:t>
                      </w:r>
                    </w:p>
                    <w:p w14:paraId="5670714E" w14:textId="0FC58295" w:rsidR="007C2B6A" w:rsidRDefault="007C2B6A" w:rsidP="00877C00">
                      <w:r>
                        <w:t xml:space="preserve">• Emotional support   • Financial assistance   • Medical care •Legal support                        </w:t>
                      </w:r>
                    </w:p>
                    <w:p w14:paraId="32B78F62" w14:textId="77777777" w:rsidR="007C2B6A" w:rsidRDefault="007C2B6A" w:rsidP="00877C00">
                      <w:pPr>
                        <w:jc w:val="cente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A4749EA" wp14:editId="5249DAE3">
                <wp:simplePos x="0" y="0"/>
                <wp:positionH relativeFrom="column">
                  <wp:posOffset>3054350</wp:posOffset>
                </wp:positionH>
                <wp:positionV relativeFrom="paragraph">
                  <wp:posOffset>1866900</wp:posOffset>
                </wp:positionV>
                <wp:extent cx="330200" cy="228600"/>
                <wp:effectExtent l="38100" t="0" r="12700" b="38100"/>
                <wp:wrapNone/>
                <wp:docPr id="8" name="Arrow: Down 8"/>
                <wp:cNvGraphicFramePr/>
                <a:graphic xmlns:a="http://schemas.openxmlformats.org/drawingml/2006/main">
                  <a:graphicData uri="http://schemas.microsoft.com/office/word/2010/wordprocessingShape">
                    <wps:wsp>
                      <wps:cNvSpPr/>
                      <wps:spPr>
                        <a:xfrm>
                          <a:off x="0" y="0"/>
                          <a:ext cx="330200" cy="2286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A1EF6" id="Arrow: Down 8" o:spid="_x0000_s1026" type="#_x0000_t67" style="position:absolute;margin-left:240.5pt;margin-top:147pt;width:2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" adj="10800" fillcolor="white [3201]" strokecolor="#70ad47 [3209]" strokeweight="1pt"/>
            </w:pict>
          </mc:Fallback>
        </mc:AlternateContent>
      </w:r>
      <w:r>
        <w:rPr>
          <w:noProof/>
        </w:rPr>
        <mc:AlternateContent>
          <mc:Choice Requires="wps">
            <w:drawing>
              <wp:anchor distT="0" distB="0" distL="114300" distR="114300" simplePos="0" relativeHeight="251665408" behindDoc="0" locked="0" layoutInCell="1" allowOverlap="1" wp14:anchorId="5E631537" wp14:editId="4D3E815E">
                <wp:simplePos x="0" y="0"/>
                <wp:positionH relativeFrom="column">
                  <wp:posOffset>533400</wp:posOffset>
                </wp:positionH>
                <wp:positionV relativeFrom="paragraph">
                  <wp:posOffset>425450</wp:posOffset>
                </wp:positionV>
                <wp:extent cx="5118100" cy="13843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5118100" cy="1384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8E7394" w14:textId="77777777" w:rsidR="007C2B6A" w:rsidRDefault="007C2B6A" w:rsidP="00877C00"/>
                          <w:p w14:paraId="20F4C265" w14:textId="77777777" w:rsidR="007C2B6A" w:rsidRDefault="007C2B6A" w:rsidP="00877C00">
                            <w:r>
                              <w:t xml:space="preserve">           </w:t>
                            </w:r>
                          </w:p>
                          <w:p w14:paraId="68D2570F" w14:textId="77777777" w:rsidR="007C2B6A" w:rsidRDefault="007C2B6A" w:rsidP="0087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31537" id="Rectangle 7" o:spid="_x0000_s1034" style="position:absolute;margin-left:42pt;margin-top:33.5pt;width:403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" fillcolor="white [3201]" strokecolor="#70ad47 [3209]" strokeweight="1pt">
                <v:textbox>
                  <w:txbxContent>
                    <w:p w14:paraId="118E7394" w14:textId="77777777" w:rsidR="007C2B6A" w:rsidRDefault="007C2B6A" w:rsidP="00877C00"/>
                    <w:p w14:paraId="20F4C265" w14:textId="77777777" w:rsidR="007C2B6A" w:rsidRDefault="007C2B6A" w:rsidP="00877C00">
                      <w:r>
                        <w:t xml:space="preserve">           </w:t>
                      </w:r>
                    </w:p>
                    <w:p w14:paraId="68D2570F" w14:textId="77777777" w:rsidR="007C2B6A" w:rsidRDefault="007C2B6A" w:rsidP="00877C00">
                      <w:pPr>
                        <w:jc w:val="center"/>
                      </w:pPr>
                    </w:p>
                  </w:txbxContent>
                </v:textbox>
              </v:rect>
            </w:pict>
          </mc:Fallback>
        </mc:AlternateContent>
      </w:r>
      <w:r w:rsidR="0026545F">
        <w:br w:type="page"/>
      </w:r>
    </w:p>
    <w:p w14:paraId="76DF3A60" w14:textId="08D4F941" w:rsidR="000109E9" w:rsidRDefault="000109E9">
      <w:pPr>
        <w:rPr>
          <w:b/>
        </w:rPr>
      </w:pPr>
    </w:p>
    <w:p w14:paraId="3735471C" w14:textId="06C9BF3C" w:rsidR="000109E9" w:rsidRPr="00085CE0" w:rsidRDefault="00085CE0" w:rsidP="007C2B6A">
      <w:pPr>
        <w:spacing w:line="360" w:lineRule="auto"/>
        <w:jc w:val="both"/>
        <w:rPr>
          <w:b/>
          <w:sz w:val="28"/>
          <w:szCs w:val="28"/>
        </w:rPr>
      </w:pPr>
      <w:r w:rsidRPr="00085CE0">
        <w:rPr>
          <w:b/>
          <w:sz w:val="28"/>
          <w:szCs w:val="28"/>
        </w:rPr>
        <w:t>METHODOLOGY</w:t>
      </w:r>
    </w:p>
    <w:p w14:paraId="77267F12" w14:textId="77777777" w:rsidR="007C2B6A" w:rsidRPr="00085CE0" w:rsidRDefault="007C2B6A" w:rsidP="007C2B6A">
      <w:pPr>
        <w:spacing w:line="360" w:lineRule="auto"/>
        <w:jc w:val="both"/>
        <w:rPr>
          <w:b/>
          <w:bCs/>
          <w:iCs/>
        </w:rPr>
      </w:pPr>
      <w:r w:rsidRPr="00085CE0">
        <w:rPr>
          <w:b/>
          <w:bCs/>
          <w:iCs/>
        </w:rPr>
        <w:t>Study Design and Setting</w:t>
      </w:r>
    </w:p>
    <w:p w14:paraId="1AE5BAD8" w14:textId="77777777" w:rsidR="007C2B6A" w:rsidRDefault="007C2B6A" w:rsidP="007C2B6A">
      <w:pPr>
        <w:spacing w:line="360" w:lineRule="auto"/>
        <w:jc w:val="both"/>
      </w:pPr>
      <w:r>
        <w:t>The study was a community-based comparative cross-sectional study conducted in Anambra State, Southeast Nigeria. Two Local governments arears LGAs were selected by probability sampling technique: Nnewi North (urban) and Anaocha (rural), to reflect diverse socio-economic and cultural contexts.</w:t>
      </w:r>
    </w:p>
    <w:p w14:paraId="7A3DBA1F" w14:textId="77777777" w:rsidR="007C2B6A" w:rsidRPr="00085CE0" w:rsidRDefault="007C2B6A" w:rsidP="007C2B6A">
      <w:pPr>
        <w:spacing w:line="360" w:lineRule="auto"/>
        <w:jc w:val="both"/>
        <w:rPr>
          <w:b/>
          <w:bCs/>
          <w:iCs/>
        </w:rPr>
      </w:pPr>
      <w:r w:rsidRPr="00085CE0">
        <w:rPr>
          <w:b/>
          <w:bCs/>
          <w:iCs/>
        </w:rPr>
        <w:t>Study area</w:t>
      </w:r>
    </w:p>
    <w:p w14:paraId="2D1A264F" w14:textId="3C073D1E" w:rsidR="007C2B6A" w:rsidRDefault="007C2B6A" w:rsidP="007C2B6A">
      <w:pPr>
        <w:spacing w:line="360" w:lineRule="auto"/>
        <w:jc w:val="both"/>
      </w:pPr>
      <w:r>
        <w:t>The stud</w:t>
      </w:r>
      <w:r w:rsidR="00D2725C">
        <w:t>y was carried out in</w:t>
      </w:r>
      <w:r>
        <w:t xml:space="preserve"> Anambra State, one of the 36 states in Nigeria. The state capital of Anambra State is Awka. The name "Anambra" is a translation from the original name of the river Omambala. Anambra State shares borders with Delta State to the west, Imo and Rivers State to the south, Enugu State to the east, and Kogi State to the north. There are three senatorial districts in the state, namely: Anambra North senatorial district, Anambra Central senatorial district </w:t>
      </w:r>
      <w:r w:rsidR="000F3CE1">
        <w:t>and</w:t>
      </w:r>
      <w:r>
        <w:t xml:space="preserve"> Anambra South senatorial district. There are 21 local government areas in the state. The indigenous ethnic groups residing in Anambra State primarily consist of the Igbo community, which represents 99% of the total population. Anambra is ranked as the eighth most prominent state within Nigeria and it is the second most densely populated state in Nigeria, following closely behind Lagos State </w:t>
      </w:r>
      <w:r w:rsidRPr="00B27BD8">
        <w:t xml:space="preserve">(city population, 2023). It has </w:t>
      </w:r>
      <w:r>
        <w:t xml:space="preserve">a total area of 4,710 km², 1,264/km² Population Density and 2.2% Annual Population growth rate (city population, 2023). </w:t>
      </w:r>
      <w:r w:rsidR="006E5907" w:rsidRPr="00D509E3">
        <w:t xml:space="preserve">Based on 2006 census projections, </w:t>
      </w:r>
      <w:r w:rsidR="006E5907" w:rsidRPr="006E5907">
        <w:t xml:space="preserve">the estimated population of Anambra State for 2024 </w:t>
      </w:r>
      <w:r w:rsidR="006E5907">
        <w:t>wa</w:t>
      </w:r>
      <w:r w:rsidR="006E5907" w:rsidRPr="006E5907">
        <w:t xml:space="preserve">s approximately 6.95 million to over 7 million </w:t>
      </w:r>
      <w:r w:rsidR="00D509E3" w:rsidRPr="006E5907">
        <w:t>people</w:t>
      </w:r>
      <w:r w:rsidR="00D509E3">
        <w:t xml:space="preserve"> (Anambra 2025, 2025</w:t>
      </w:r>
      <w:proofErr w:type="gramStart"/>
      <w:r w:rsidR="00D509E3">
        <w:t>)</w:t>
      </w:r>
      <w:r w:rsidR="006E5907">
        <w:t xml:space="preserve"> </w:t>
      </w:r>
      <w:r>
        <w:t>.</w:t>
      </w:r>
      <w:proofErr w:type="gramEnd"/>
      <w:r>
        <w:t xml:space="preserve"> The male population accounts for 50.7% of the total, while the female population represents 49.3% (city population, 2023). Furthermore, the age demographic breakdown shows that individuals aged 0-14 years constitute 35.5% of the population, those aged 15-64 years make up 60.5%, and individuals above the age of 65 account for 4% of the total population (city population, 2023). The major occupation is trading and agriculture. According to the National Population Commission, Awka Anambra State, the Local Government Areas are categorised into Urban and Rural Local Government Areas. There are seven Urban Local Government Areas which include Awka South, Idemili North, Ihiala, Nnewi North, Nnewi South, Onitsha North, and Onitsha South. There are fourteen rural Local Government areas which are Aguata, Anambra East, Anambra West, Anaocha, Awka North, Ayamelum, Dunukofia, Ekwusigo, </w:t>
      </w:r>
      <w:r>
        <w:lastRenderedPageBreak/>
        <w:t>Idemili North, Idemili South, Njikoka Ogbaru, Orumba North, Orumba South, and Oyi local government area.</w:t>
      </w:r>
    </w:p>
    <w:p w14:paraId="5F3C5FAB" w14:textId="77777777" w:rsidR="007C2B6A" w:rsidRPr="009C7C17" w:rsidRDefault="007C2B6A" w:rsidP="007C2B6A">
      <w:pPr>
        <w:spacing w:line="360" w:lineRule="auto"/>
        <w:jc w:val="both"/>
        <w:rPr>
          <w:rFonts w:eastAsia="Calibri" w:cs="Times New Roman"/>
          <w:b/>
          <w:lang w:eastAsia="en-GB"/>
        </w:rPr>
      </w:pPr>
      <w:r w:rsidRPr="009C7C17">
        <w:rPr>
          <w:rFonts w:eastAsia="Calibri" w:cs="Times New Roman"/>
          <w:b/>
          <w:lang w:eastAsia="en-GB"/>
        </w:rPr>
        <w:t xml:space="preserve">Quantitative study </w:t>
      </w:r>
    </w:p>
    <w:p w14:paraId="2A2EFB17" w14:textId="77777777" w:rsidR="007C2B6A" w:rsidRPr="00FD63C9" w:rsidRDefault="007C2B6A" w:rsidP="007C2B6A">
      <w:pPr>
        <w:spacing w:line="360" w:lineRule="auto"/>
        <w:jc w:val="both"/>
        <w:rPr>
          <w:rFonts w:eastAsia="Calibri" w:cs="Times New Roman"/>
          <w:i/>
        </w:rPr>
      </w:pPr>
      <w:r w:rsidRPr="00FD63C9">
        <w:rPr>
          <w:rFonts w:eastAsia="Calibri" w:cs="Times New Roman"/>
          <w:i/>
          <w:lang w:eastAsia="en-GB"/>
        </w:rPr>
        <w:t>The Study Population</w:t>
      </w:r>
    </w:p>
    <w:p w14:paraId="67635E45" w14:textId="77777777" w:rsidR="007C2B6A" w:rsidRPr="00FD63C9" w:rsidRDefault="007C2B6A" w:rsidP="007C2B6A">
      <w:pPr>
        <w:spacing w:line="360" w:lineRule="auto"/>
        <w:jc w:val="both"/>
        <w:rPr>
          <w:rFonts w:eastAsia="Calibri" w:cs="Times New Roman"/>
        </w:rPr>
      </w:pPr>
      <w:r w:rsidRPr="00FD63C9">
        <w:rPr>
          <w:rFonts w:eastAsia="Calibri" w:cs="Times New Roman"/>
          <w:lang w:eastAsia="en-GB"/>
        </w:rPr>
        <w:t>This study population comprised all women 18 years and older living in households of the selected study areas.</w:t>
      </w:r>
    </w:p>
    <w:p w14:paraId="6A2470C1" w14:textId="77777777" w:rsidR="007C2B6A" w:rsidRPr="00FD63C9" w:rsidRDefault="007C2B6A" w:rsidP="007C2B6A">
      <w:pPr>
        <w:spacing w:line="360" w:lineRule="auto"/>
        <w:jc w:val="both"/>
        <w:rPr>
          <w:rFonts w:eastAsia="Calibri" w:cs="Times New Roman"/>
          <w:i/>
          <w:lang w:eastAsia="en-GB"/>
        </w:rPr>
      </w:pPr>
      <w:r w:rsidRPr="00FD63C9">
        <w:rPr>
          <w:rFonts w:eastAsia="Calibri" w:cs="Times New Roman"/>
          <w:i/>
          <w:lang w:eastAsia="en-GB"/>
        </w:rPr>
        <w:t xml:space="preserve">Inclusion criteria </w:t>
      </w:r>
    </w:p>
    <w:p w14:paraId="13068757"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This included all women 18 years and older who have lived in the selected communit</w:t>
      </w:r>
      <w:r>
        <w:rPr>
          <w:rFonts w:eastAsia="Calibri" w:cs="Times New Roman"/>
          <w:lang w:eastAsia="en-GB"/>
        </w:rPr>
        <w:t>ies</w:t>
      </w:r>
      <w:r w:rsidRPr="00FD63C9">
        <w:rPr>
          <w:rFonts w:eastAsia="Calibri" w:cs="Times New Roman"/>
          <w:lang w:eastAsia="en-GB"/>
        </w:rPr>
        <w:t xml:space="preserve"> of study for at least one year prior to the study.</w:t>
      </w:r>
    </w:p>
    <w:p w14:paraId="7C82C54E" w14:textId="77777777" w:rsidR="007C2B6A" w:rsidRPr="00FD63C9" w:rsidRDefault="007C2B6A" w:rsidP="007C2B6A">
      <w:pPr>
        <w:spacing w:line="360" w:lineRule="auto"/>
        <w:jc w:val="both"/>
        <w:rPr>
          <w:rFonts w:eastAsia="Calibri" w:cs="Times New Roman"/>
          <w:i/>
          <w:lang w:eastAsia="en-GB"/>
        </w:rPr>
      </w:pPr>
      <w:r w:rsidRPr="00FD63C9">
        <w:rPr>
          <w:rFonts w:eastAsia="Calibri" w:cs="Times New Roman"/>
          <w:i/>
          <w:lang w:eastAsia="en-GB"/>
        </w:rPr>
        <w:t>Exclusion criteria</w:t>
      </w:r>
    </w:p>
    <w:p w14:paraId="3FD84416"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Th</w:t>
      </w:r>
      <w:r>
        <w:rPr>
          <w:rFonts w:eastAsia="Calibri" w:cs="Times New Roman"/>
          <w:lang w:eastAsia="en-GB"/>
        </w:rPr>
        <w:t>is include</w:t>
      </w:r>
      <w:r w:rsidRPr="00FD63C9">
        <w:rPr>
          <w:rFonts w:eastAsia="Calibri" w:cs="Times New Roman"/>
          <w:lang w:eastAsia="en-GB"/>
        </w:rPr>
        <w:t xml:space="preserve"> women who were critically ill and not fit to participate during the study period</w:t>
      </w:r>
    </w:p>
    <w:p w14:paraId="66B8D87B" w14:textId="77777777" w:rsidR="007C2B6A" w:rsidRPr="00FD63C9" w:rsidRDefault="007C2B6A" w:rsidP="007C2B6A">
      <w:pPr>
        <w:spacing w:line="360" w:lineRule="auto"/>
        <w:jc w:val="both"/>
        <w:rPr>
          <w:rFonts w:eastAsia="Calibri" w:cs="Times New Roman"/>
          <w:i/>
          <w:lang w:eastAsia="en-GB"/>
        </w:rPr>
      </w:pPr>
      <w:r w:rsidRPr="00FD63C9">
        <w:rPr>
          <w:rFonts w:eastAsia="Calibri" w:cs="Times New Roman"/>
          <w:i/>
          <w:lang w:eastAsia="en-GB"/>
        </w:rPr>
        <w:t>Sample Size Determination</w:t>
      </w:r>
    </w:p>
    <w:p w14:paraId="5C55D461"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The formula for comparative studies for proportions was applied to calculate the sample size for this study. The formula is n = 2(Zα+Zβ)</w:t>
      </w:r>
      <w:r w:rsidRPr="00FD63C9">
        <w:rPr>
          <w:rFonts w:eastAsia="Calibri" w:cs="Times New Roman"/>
          <w:vertAlign w:val="superscript"/>
          <w:lang w:eastAsia="en-GB"/>
        </w:rPr>
        <w:t>2</w:t>
      </w:r>
      <w:r w:rsidRPr="00FD63C9">
        <w:rPr>
          <w:rFonts w:eastAsia="Calibri" w:cs="Times New Roman"/>
          <w:lang w:eastAsia="en-GB"/>
        </w:rPr>
        <w:t xml:space="preserve"> P (1-P)</w:t>
      </w:r>
      <w:proofErr w:type="gramStart"/>
      <w:r w:rsidRPr="00FD63C9">
        <w:rPr>
          <w:rFonts w:eastAsia="Calibri" w:cs="Times New Roman"/>
          <w:lang w:eastAsia="en-GB"/>
        </w:rPr>
        <w:t>/(</w:t>
      </w:r>
      <w:proofErr w:type="gramEnd"/>
      <w:r w:rsidRPr="00FD63C9">
        <w:rPr>
          <w:rFonts w:eastAsia="Calibri" w:cs="Times New Roman"/>
          <w:lang w:eastAsia="en-GB"/>
        </w:rPr>
        <w:t>p</w:t>
      </w:r>
      <w:r w:rsidRPr="00FD63C9">
        <w:rPr>
          <w:rFonts w:eastAsia="Calibri" w:cs="Times New Roman"/>
          <w:vertAlign w:val="subscript"/>
          <w:lang w:eastAsia="en-GB"/>
        </w:rPr>
        <w:t>1</w:t>
      </w:r>
      <w:r w:rsidRPr="00FD63C9">
        <w:rPr>
          <w:rFonts w:eastAsia="Calibri" w:cs="Times New Roman"/>
          <w:lang w:eastAsia="en-GB"/>
        </w:rPr>
        <w:t xml:space="preserve"> –p</w:t>
      </w:r>
      <w:r w:rsidRPr="00FD63C9">
        <w:rPr>
          <w:rFonts w:eastAsia="Calibri" w:cs="Times New Roman"/>
          <w:vertAlign w:val="subscript"/>
          <w:lang w:eastAsia="en-GB"/>
        </w:rPr>
        <w:t>2</w:t>
      </w:r>
      <w:r w:rsidRPr="00FD63C9">
        <w:rPr>
          <w:rFonts w:eastAsia="Calibri" w:cs="Times New Roman"/>
          <w:lang w:eastAsia="en-GB"/>
        </w:rPr>
        <w:t>)</w:t>
      </w:r>
      <w:r w:rsidRPr="00FD63C9">
        <w:rPr>
          <w:rFonts w:eastAsia="Calibri" w:cs="Times New Roman"/>
          <w:vertAlign w:val="superscript"/>
          <w:lang w:eastAsia="en-GB"/>
        </w:rPr>
        <w:t>2</w:t>
      </w:r>
      <w:r w:rsidRPr="00FD63C9">
        <w:rPr>
          <w:rFonts w:eastAsia="Calibri" w:cs="Times New Roman"/>
          <w:lang w:eastAsia="en-GB"/>
        </w:rPr>
        <w:t xml:space="preserve"> (Charan et al., 2021)</w:t>
      </w:r>
    </w:p>
    <w:p w14:paraId="63C16414"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Where n= Minimum sample size for each group.</w:t>
      </w:r>
    </w:p>
    <w:p w14:paraId="0D29411D"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 xml:space="preserve">The level of significance (α) and the power of the test (1-β) were set at 5% and 80% respectively </w:t>
      </w:r>
    </w:p>
    <w:p w14:paraId="02B3B3F4"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Zα= Standard normal deviate corresponding to the probability of type 1 error (α) at 5% =1.96</w:t>
      </w:r>
    </w:p>
    <w:p w14:paraId="430B56E1"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 xml:space="preserve">Zβ =Standard normal deviate corresponding to the probability of making type II error (β) of 20%. The power at 80% was used which is =0.84. </w:t>
      </w:r>
    </w:p>
    <w:p w14:paraId="2510DB45"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p1 and p2 were the proportion in two groups of a similar study.</w:t>
      </w:r>
    </w:p>
    <w:p w14:paraId="12B8B545"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P is pooled prevalence calculated by adding prevalence is group 1 and prevalence in group 2 and then dividing the sum by 2.</w:t>
      </w:r>
    </w:p>
    <w:p w14:paraId="530ECB51"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 xml:space="preserve">In this </w:t>
      </w:r>
      <w:r>
        <w:rPr>
          <w:rFonts w:eastAsia="Calibri" w:cs="Times New Roman"/>
          <w:lang w:eastAsia="en-GB"/>
        </w:rPr>
        <w:t>study</w:t>
      </w:r>
      <w:r w:rsidRPr="00FD63C9">
        <w:rPr>
          <w:rFonts w:eastAsia="Calibri" w:cs="Times New Roman"/>
          <w:lang w:eastAsia="en-GB"/>
        </w:rPr>
        <w:t xml:space="preserve"> reference was made to a research by Ajah </w:t>
      </w:r>
      <w:r w:rsidRPr="00FD63C9">
        <w:rPr>
          <w:rFonts w:eastAsia="Calibri" w:cs="Times New Roman"/>
          <w:i/>
          <w:lang w:eastAsia="en-GB"/>
        </w:rPr>
        <w:t xml:space="preserve">et. al. </w:t>
      </w:r>
      <w:r w:rsidRPr="00FD63C9">
        <w:rPr>
          <w:rFonts w:eastAsia="Calibri" w:cs="Times New Roman"/>
          <w:lang w:eastAsia="en-GB"/>
        </w:rPr>
        <w:t>in southeast Nigeria where the prevalence of physical domestic violence was 37.2% among the rural women and 23.5% in urban women</w:t>
      </w:r>
      <w:sdt>
        <w:sdtPr>
          <w:rPr>
            <w:rFonts w:eastAsia="DengXian" w:cs="Times New Roman"/>
            <w:lang w:eastAsia="en-GB"/>
          </w:rPr>
          <w:tag w:val="MENDELEY_CITATION_v3_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"/>
          <w:id w:val="431863561"/>
        </w:sdtPr>
        <w:sdtContent>
          <w:r w:rsidRPr="00FD63C9">
            <w:rPr>
              <w:rFonts w:eastAsia="Calibri" w:cs="Times New Roman"/>
              <w:color w:val="000000"/>
              <w:lang w:eastAsia="en-GB"/>
            </w:rPr>
            <w:t>(Ajah et al., 2014)</w:t>
          </w:r>
        </w:sdtContent>
      </w:sdt>
      <w:r w:rsidRPr="00FD63C9">
        <w:rPr>
          <w:rFonts w:eastAsia="Calibri" w:cs="Times New Roman"/>
          <w:lang w:eastAsia="en-GB"/>
        </w:rPr>
        <w:t xml:space="preserve"> . </w:t>
      </w:r>
    </w:p>
    <w:p w14:paraId="799AC58D"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Therefore, p1 and p2 were respectively 0.372 and 0.235</w:t>
      </w:r>
    </w:p>
    <w:p w14:paraId="4199BE57"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Substituting the values into the equation, n = 2(Zα+Zβ)</w:t>
      </w:r>
      <w:r w:rsidRPr="00FD63C9">
        <w:rPr>
          <w:rFonts w:eastAsia="Calibri" w:cs="Times New Roman"/>
          <w:vertAlign w:val="superscript"/>
          <w:lang w:eastAsia="en-GB"/>
        </w:rPr>
        <w:t>2</w:t>
      </w:r>
      <w:r w:rsidRPr="00FD63C9">
        <w:rPr>
          <w:rFonts w:eastAsia="Calibri" w:cs="Times New Roman"/>
          <w:lang w:eastAsia="en-GB"/>
        </w:rPr>
        <w:t xml:space="preserve"> P (1-P)/ (p1 –p2)</w:t>
      </w:r>
      <w:r w:rsidRPr="00FD63C9">
        <w:rPr>
          <w:rFonts w:eastAsia="Calibri" w:cs="Times New Roman"/>
          <w:vertAlign w:val="superscript"/>
          <w:lang w:eastAsia="en-GB"/>
        </w:rPr>
        <w:t>2</w:t>
      </w:r>
    </w:p>
    <w:p w14:paraId="465C83C0"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lastRenderedPageBreak/>
        <w:t>n= 176.60</w:t>
      </w:r>
    </w:p>
    <w:p w14:paraId="663738C3"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Approximately 177 participants in each group was calculated.</w:t>
      </w:r>
    </w:p>
    <w:p w14:paraId="6F896CC6" w14:textId="77777777" w:rsidR="007C2B6A" w:rsidRPr="00222069" w:rsidRDefault="007C2B6A" w:rsidP="007C2B6A">
      <w:pPr>
        <w:spacing w:line="360" w:lineRule="auto"/>
        <w:jc w:val="both"/>
        <w:rPr>
          <w:rFonts w:eastAsia="DengXian" w:cs="Times New Roman"/>
          <w:lang w:eastAsia="en-GB"/>
        </w:rPr>
      </w:pPr>
      <w:r w:rsidRPr="00FD63C9">
        <w:rPr>
          <w:rFonts w:eastAsia="Calibri" w:cs="Times New Roman"/>
          <w:lang w:eastAsia="en-GB"/>
        </w:rPr>
        <w:t xml:space="preserve">A 10% non-response rate was considered using the formula, </w:t>
      </w:r>
      <w:r w:rsidRPr="00FD63C9">
        <w:rPr>
          <w:rFonts w:eastAsia="DengXian" w:cs="Times New Roman"/>
          <w:lang w:eastAsia="en-GB"/>
        </w:rPr>
        <w:t>n/(1-f) where n= sample size, f is the proportion of non-response rate.</w:t>
      </w:r>
      <w:r>
        <w:rPr>
          <w:rFonts w:eastAsia="DengXian" w:cs="Times New Roman"/>
          <w:lang w:eastAsia="en-GB"/>
        </w:rPr>
        <w:t xml:space="preserve"> </w:t>
      </w:r>
      <w:r w:rsidRPr="00FD63C9">
        <w:rPr>
          <w:rFonts w:eastAsia="Calibri" w:cs="Times New Roman"/>
          <w:lang w:eastAsia="en-GB"/>
        </w:rPr>
        <w:t>Therefore, total sample size = 176.6/ (1-0.1)</w:t>
      </w:r>
    </w:p>
    <w:p w14:paraId="061EE344" w14:textId="5EE717E2"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 xml:space="preserve">        = 176.6/0.9</w:t>
      </w:r>
      <w:r>
        <w:rPr>
          <w:rFonts w:eastAsia="Calibri" w:cs="Times New Roman"/>
          <w:lang w:eastAsia="en-GB"/>
        </w:rPr>
        <w:t xml:space="preserve"> </w:t>
      </w:r>
      <w:r w:rsidRPr="00FD63C9">
        <w:rPr>
          <w:rFonts w:eastAsia="Calibri" w:cs="Times New Roman"/>
          <w:lang w:eastAsia="en-GB"/>
        </w:rPr>
        <w:t>= 196.22. Sample size for the study was approximately 196.</w:t>
      </w:r>
    </w:p>
    <w:p w14:paraId="6A015A94" w14:textId="77777777" w:rsidR="007C2B6A" w:rsidRPr="00FD63C9" w:rsidRDefault="007C2B6A" w:rsidP="007C2B6A">
      <w:pPr>
        <w:spacing w:line="360" w:lineRule="auto"/>
        <w:jc w:val="both"/>
        <w:rPr>
          <w:rFonts w:eastAsia="Calibri" w:cs="Times New Roman"/>
          <w:lang w:eastAsia="en-GB"/>
        </w:rPr>
      </w:pPr>
      <w:r w:rsidRPr="00FD63C9">
        <w:rPr>
          <w:rFonts w:eastAsia="Calibri" w:cs="Times New Roman"/>
          <w:lang w:eastAsia="en-GB"/>
        </w:rPr>
        <w:t>Therefore, sample size for the respondents in the rural and urban communities was 196 participants each</w:t>
      </w:r>
      <w:r>
        <w:rPr>
          <w:rFonts w:eastAsia="Calibri" w:cs="Times New Roman"/>
          <w:lang w:eastAsia="en-GB"/>
        </w:rPr>
        <w:t>.</w:t>
      </w:r>
      <w:r w:rsidRPr="00FD63C9">
        <w:rPr>
          <w:rFonts w:eastAsia="Calibri" w:cs="Times New Roman"/>
          <w:lang w:eastAsia="en-GB"/>
        </w:rPr>
        <w:t xml:space="preserve"> </w:t>
      </w:r>
      <w:r>
        <w:rPr>
          <w:rFonts w:eastAsia="Calibri" w:cs="Times New Roman"/>
          <w:lang w:eastAsia="en-GB"/>
        </w:rPr>
        <w:t xml:space="preserve"> </w:t>
      </w:r>
      <w:r w:rsidRPr="00FD63C9">
        <w:rPr>
          <w:rFonts w:eastAsia="Calibri" w:cs="Times New Roman"/>
          <w:lang w:eastAsia="en-GB"/>
        </w:rPr>
        <w:t>Applying a design effect of 1.5 as multistage sampling technique was used, the total sample size became 1.5 * 392 = 588. Therefore, total number of participants was 588. The number of participants for each group was approximated to 294.</w:t>
      </w:r>
    </w:p>
    <w:p w14:paraId="50FCC66B" w14:textId="77777777" w:rsidR="007C2B6A" w:rsidRPr="00ED2CC1" w:rsidRDefault="007C2B6A" w:rsidP="007C2B6A">
      <w:pPr>
        <w:spacing w:line="360" w:lineRule="auto"/>
        <w:jc w:val="both"/>
        <w:rPr>
          <w:rFonts w:eastAsia="Calibri" w:cs="Times New Roman"/>
          <w:i/>
          <w:lang w:eastAsia="en-GB"/>
        </w:rPr>
      </w:pPr>
      <w:r w:rsidRPr="00ED2CC1">
        <w:rPr>
          <w:rFonts w:eastAsia="Calibri" w:cs="Times New Roman"/>
          <w:i/>
          <w:lang w:eastAsia="en-GB"/>
        </w:rPr>
        <w:t>Sampling Technique</w:t>
      </w:r>
    </w:p>
    <w:p w14:paraId="0C54CADF" w14:textId="77777777" w:rsidR="007C2B6A" w:rsidRPr="00ED2CC1" w:rsidRDefault="007C2B6A" w:rsidP="007C2B6A">
      <w:pPr>
        <w:spacing w:line="360" w:lineRule="auto"/>
        <w:jc w:val="both"/>
        <w:rPr>
          <w:rFonts w:eastAsia="Calibri" w:cs="Times New Roman"/>
          <w:szCs w:val="24"/>
          <w:lang w:eastAsia="en-GB"/>
        </w:rPr>
      </w:pPr>
      <w:r w:rsidRPr="00ED2CC1">
        <w:rPr>
          <w:rFonts w:eastAsia="Calibri" w:cs="Times New Roman"/>
          <w:szCs w:val="24"/>
          <w:lang w:eastAsia="en-GB"/>
        </w:rPr>
        <w:t xml:space="preserve">The multistage sampling technique was used for the selection of the study participants. The stages involved stratification, simple random sampling technique </w:t>
      </w:r>
      <w:r>
        <w:rPr>
          <w:rFonts w:eastAsia="Calibri" w:cs="Times New Roman"/>
          <w:szCs w:val="24"/>
          <w:lang w:eastAsia="en-GB"/>
        </w:rPr>
        <w:t>and</w:t>
      </w:r>
      <w:r w:rsidRPr="00ED2CC1">
        <w:rPr>
          <w:rFonts w:eastAsia="Calibri" w:cs="Times New Roman"/>
          <w:szCs w:val="24"/>
          <w:lang w:eastAsia="en-GB"/>
        </w:rPr>
        <w:t xml:space="preserve"> the World Health Organization modified cluster sampling technique -</w:t>
      </w:r>
    </w:p>
    <w:p w14:paraId="2BF771E1" w14:textId="77777777" w:rsidR="007C2B6A" w:rsidRPr="00ED2CC1" w:rsidRDefault="007C2B6A" w:rsidP="007C2B6A">
      <w:pPr>
        <w:spacing w:before="100" w:beforeAutospacing="1" w:line="360" w:lineRule="auto"/>
        <w:jc w:val="both"/>
        <w:rPr>
          <w:rFonts w:eastAsia="DengXian" w:cs="Times New Roman"/>
          <w:color w:val="000000"/>
          <w:szCs w:val="24"/>
          <w:lang w:eastAsia="en-GB"/>
        </w:rPr>
      </w:pPr>
      <w:r w:rsidRPr="00ED2CC1">
        <w:rPr>
          <w:rFonts w:eastAsia="DengXian" w:cs="Times New Roman"/>
          <w:i/>
          <w:color w:val="000000"/>
          <w:szCs w:val="24"/>
          <w:lang w:eastAsia="en-GB"/>
        </w:rPr>
        <w:t xml:space="preserve">Stage </w:t>
      </w:r>
      <w:r>
        <w:rPr>
          <w:rFonts w:eastAsia="DengXian" w:cs="Times New Roman"/>
          <w:i/>
          <w:color w:val="000000"/>
          <w:szCs w:val="24"/>
          <w:lang w:eastAsia="en-GB"/>
        </w:rPr>
        <w:t>1</w:t>
      </w:r>
      <w:r w:rsidRPr="00ED2CC1">
        <w:rPr>
          <w:rFonts w:eastAsia="DengXian" w:cs="Times New Roman"/>
          <w:i/>
          <w:color w:val="000000"/>
          <w:szCs w:val="24"/>
          <w:lang w:eastAsia="en-GB"/>
        </w:rPr>
        <w:t xml:space="preserve">: </w:t>
      </w:r>
      <w:r w:rsidRPr="00ED2CC1">
        <w:rPr>
          <w:rFonts w:eastAsia="DengXian" w:cs="Times New Roman"/>
          <w:color w:val="000000"/>
          <w:szCs w:val="24"/>
          <w:lang w:eastAsia="en-GB"/>
        </w:rPr>
        <w:t>Stratification</w:t>
      </w:r>
    </w:p>
    <w:p w14:paraId="4ED8864D" w14:textId="77777777" w:rsidR="007C2B6A" w:rsidRDefault="007C2B6A" w:rsidP="007C2B6A">
      <w:pPr>
        <w:spacing w:before="100" w:beforeAutospacing="1" w:line="360" w:lineRule="auto"/>
        <w:jc w:val="both"/>
        <w:rPr>
          <w:rFonts w:eastAsia="DengXian" w:cs="Times New Roman"/>
          <w:color w:val="000000"/>
          <w:szCs w:val="24"/>
          <w:lang w:eastAsia="en-GB"/>
        </w:rPr>
      </w:pPr>
      <w:r w:rsidRPr="00ED2CC1">
        <w:rPr>
          <w:rFonts w:eastAsia="DengXian" w:cs="Times New Roman"/>
          <w:color w:val="000000"/>
          <w:szCs w:val="24"/>
          <w:lang w:eastAsia="en-GB"/>
        </w:rPr>
        <w:t xml:space="preserve">The Local Government Areas </w:t>
      </w:r>
      <w:r w:rsidRPr="00ED2CC1">
        <w:rPr>
          <w:rFonts w:eastAsia="DengXian" w:cs="Times New Roman"/>
          <w:szCs w:val="24"/>
          <w:lang w:eastAsia="en-GB"/>
        </w:rPr>
        <w:t>were stratified</w:t>
      </w:r>
      <w:r w:rsidRPr="00ED2CC1">
        <w:rPr>
          <w:rFonts w:eastAsia="DengXian" w:cs="Times New Roman"/>
          <w:color w:val="000000"/>
          <w:szCs w:val="24"/>
          <w:lang w:eastAsia="en-GB"/>
        </w:rPr>
        <w:t xml:space="preserve"> first into the urban and rural LGAs </w:t>
      </w:r>
    </w:p>
    <w:p w14:paraId="63A50F56" w14:textId="77777777" w:rsidR="007C2B6A" w:rsidRDefault="007C2B6A" w:rsidP="007C2B6A">
      <w:pPr>
        <w:spacing w:before="100" w:beforeAutospacing="1" w:line="360" w:lineRule="auto"/>
        <w:jc w:val="both"/>
        <w:rPr>
          <w:rFonts w:eastAsia="DengXian" w:cs="Times New Roman"/>
          <w:color w:val="000000"/>
          <w:szCs w:val="24"/>
          <w:lang w:eastAsia="en-GB"/>
        </w:rPr>
      </w:pPr>
      <w:r w:rsidRPr="00AC105D">
        <w:rPr>
          <w:rFonts w:eastAsia="DengXian" w:cs="Times New Roman"/>
          <w:i/>
          <w:color w:val="000000"/>
          <w:szCs w:val="24"/>
          <w:lang w:eastAsia="en-GB"/>
        </w:rPr>
        <w:t>Stage 2</w:t>
      </w:r>
      <w:r>
        <w:rPr>
          <w:rFonts w:eastAsia="DengXian" w:cs="Times New Roman"/>
          <w:color w:val="000000"/>
          <w:szCs w:val="24"/>
          <w:lang w:eastAsia="en-GB"/>
        </w:rPr>
        <w:t>: Simple random sampling technique</w:t>
      </w:r>
    </w:p>
    <w:p w14:paraId="4E4A4E80" w14:textId="77777777" w:rsidR="007C2B6A" w:rsidRPr="00ED2CC1" w:rsidRDefault="007C2B6A" w:rsidP="007C2B6A">
      <w:pPr>
        <w:spacing w:before="100" w:beforeAutospacing="1" w:line="360" w:lineRule="auto"/>
        <w:jc w:val="both"/>
        <w:rPr>
          <w:rFonts w:eastAsia="DengXian" w:cs="Times New Roman"/>
          <w:color w:val="000000"/>
          <w:szCs w:val="24"/>
          <w:lang w:eastAsia="en-GB"/>
        </w:rPr>
      </w:pPr>
      <w:r>
        <w:rPr>
          <w:rFonts w:eastAsia="DengXian" w:cs="Times New Roman"/>
          <w:color w:val="000000"/>
          <w:szCs w:val="24"/>
          <w:lang w:eastAsia="en-GB"/>
        </w:rPr>
        <w:t>One</w:t>
      </w:r>
      <w:r w:rsidRPr="00ED2CC1">
        <w:rPr>
          <w:rFonts w:eastAsia="DengXian" w:cs="Times New Roman"/>
          <w:color w:val="000000"/>
          <w:szCs w:val="24"/>
          <w:lang w:eastAsia="en-GB"/>
        </w:rPr>
        <w:t xml:space="preserve"> LGA was selected from each stratum using simple random sampling technique. Nnewi North Local Government was randomly selected from the seven urban LGAs</w:t>
      </w:r>
      <w:r>
        <w:rPr>
          <w:rFonts w:eastAsia="DengXian" w:cs="Times New Roman"/>
          <w:color w:val="000000"/>
          <w:szCs w:val="24"/>
          <w:lang w:eastAsia="en-GB"/>
        </w:rPr>
        <w:t>.</w:t>
      </w:r>
      <w:r w:rsidRPr="00ED2CC1">
        <w:rPr>
          <w:rFonts w:eastAsia="DengXian" w:cs="Times New Roman"/>
          <w:color w:val="000000"/>
          <w:szCs w:val="24"/>
          <w:lang w:eastAsia="en-GB"/>
        </w:rPr>
        <w:t xml:space="preserve"> </w:t>
      </w:r>
      <w:r>
        <w:rPr>
          <w:rFonts w:eastAsia="DengXian" w:cs="Times New Roman"/>
          <w:color w:val="000000"/>
          <w:szCs w:val="24"/>
          <w:lang w:eastAsia="en-GB"/>
        </w:rPr>
        <w:t>From the</w:t>
      </w:r>
      <w:r w:rsidRPr="00ED2CC1">
        <w:rPr>
          <w:rFonts w:eastAsia="DengXian" w:cs="Times New Roman"/>
          <w:color w:val="000000"/>
          <w:szCs w:val="24"/>
          <w:lang w:eastAsia="en-GB"/>
        </w:rPr>
        <w:t xml:space="preserve"> fourteen rural Local Government areas, Anaocha Local Government Area</w:t>
      </w:r>
      <w:r>
        <w:rPr>
          <w:rFonts w:eastAsia="DengXian" w:cs="Times New Roman"/>
          <w:color w:val="000000"/>
          <w:szCs w:val="24"/>
          <w:lang w:eastAsia="en-GB"/>
        </w:rPr>
        <w:t xml:space="preserve"> was</w:t>
      </w:r>
      <w:r w:rsidRPr="00ED2CC1">
        <w:rPr>
          <w:rFonts w:eastAsia="DengXian" w:cs="Times New Roman"/>
          <w:color w:val="000000"/>
          <w:szCs w:val="24"/>
          <w:lang w:eastAsia="en-GB"/>
        </w:rPr>
        <w:t xml:space="preserve"> randomly selected</w:t>
      </w:r>
      <w:r>
        <w:rPr>
          <w:rFonts w:eastAsia="DengXian" w:cs="Times New Roman"/>
          <w:color w:val="000000"/>
          <w:szCs w:val="24"/>
          <w:lang w:eastAsia="en-GB"/>
        </w:rPr>
        <w:t>.</w:t>
      </w:r>
      <w:r w:rsidRPr="00ED2CC1">
        <w:rPr>
          <w:rFonts w:eastAsia="DengXian" w:cs="Times New Roman"/>
          <w:color w:val="000000"/>
          <w:szCs w:val="24"/>
          <w:lang w:eastAsia="en-GB"/>
        </w:rPr>
        <w:t xml:space="preserve"> </w:t>
      </w:r>
    </w:p>
    <w:p w14:paraId="13B272CC" w14:textId="77777777" w:rsidR="007C2B6A" w:rsidRPr="00ED2CC1" w:rsidRDefault="007C2B6A" w:rsidP="007C2B6A">
      <w:pPr>
        <w:spacing w:line="360" w:lineRule="auto"/>
        <w:jc w:val="both"/>
        <w:rPr>
          <w:rFonts w:eastAsia="Calibri" w:cs="Times New Roman"/>
          <w:i/>
          <w:lang w:eastAsia="en-GB"/>
        </w:rPr>
      </w:pPr>
      <w:r w:rsidRPr="00ED2CC1">
        <w:rPr>
          <w:rFonts w:eastAsia="Calibri" w:cs="Times New Roman"/>
          <w:i/>
          <w:lang w:eastAsia="en-GB"/>
        </w:rPr>
        <w:t xml:space="preserve">Stage </w:t>
      </w:r>
      <w:r>
        <w:rPr>
          <w:rFonts w:eastAsia="Calibri" w:cs="Times New Roman"/>
          <w:i/>
          <w:lang w:eastAsia="en-GB"/>
        </w:rPr>
        <w:t>3</w:t>
      </w:r>
      <w:r w:rsidRPr="00ED2CC1">
        <w:rPr>
          <w:rFonts w:eastAsia="Calibri" w:cs="Times New Roman"/>
          <w:i/>
          <w:lang w:eastAsia="en-GB"/>
        </w:rPr>
        <w:t xml:space="preserve">:  </w:t>
      </w:r>
      <w:r w:rsidRPr="00ED2CC1">
        <w:rPr>
          <w:rFonts w:eastAsia="Calibri" w:cs="Times New Roman"/>
          <w:lang w:eastAsia="en-GB"/>
        </w:rPr>
        <w:t xml:space="preserve">Simple random sampling technique- Selection of </w:t>
      </w:r>
      <w:r>
        <w:rPr>
          <w:rFonts w:eastAsia="Calibri" w:cs="Times New Roman"/>
          <w:lang w:eastAsia="en-GB"/>
        </w:rPr>
        <w:t>the</w:t>
      </w:r>
      <w:r w:rsidRPr="00ED2CC1">
        <w:rPr>
          <w:rFonts w:eastAsia="Calibri" w:cs="Times New Roman"/>
          <w:lang w:eastAsia="en-GB"/>
        </w:rPr>
        <w:t xml:space="preserve"> ward</w:t>
      </w:r>
      <w:r>
        <w:rPr>
          <w:rFonts w:eastAsia="Calibri" w:cs="Times New Roman"/>
          <w:lang w:eastAsia="en-GB"/>
        </w:rPr>
        <w:t>s.</w:t>
      </w:r>
      <w:r w:rsidRPr="00ED2CC1">
        <w:rPr>
          <w:rFonts w:eastAsia="Calibri" w:cs="Times New Roman"/>
          <w:lang w:eastAsia="en-GB"/>
        </w:rPr>
        <w:t xml:space="preserve"> </w:t>
      </w:r>
      <w:r w:rsidRPr="00ED2CC1">
        <w:rPr>
          <w:rFonts w:eastAsia="Calibri" w:cs="Times New Roman"/>
          <w:i/>
          <w:lang w:eastAsia="en-GB"/>
        </w:rPr>
        <w:t xml:space="preserve"> </w:t>
      </w:r>
    </w:p>
    <w:p w14:paraId="3FEABDF9" w14:textId="77777777" w:rsidR="007C2B6A" w:rsidRPr="00ED2CC1" w:rsidRDefault="007C2B6A" w:rsidP="007C2B6A">
      <w:pPr>
        <w:spacing w:line="360" w:lineRule="auto"/>
        <w:jc w:val="both"/>
        <w:rPr>
          <w:rFonts w:eastAsia="Calibri" w:cs="Times New Roman"/>
          <w:lang w:eastAsia="en-GB"/>
        </w:rPr>
      </w:pPr>
      <w:r>
        <w:rPr>
          <w:rFonts w:eastAsia="Calibri" w:cs="Times New Roman"/>
          <w:lang w:eastAsia="en-GB"/>
        </w:rPr>
        <w:t>O</w:t>
      </w:r>
      <w:r w:rsidRPr="00ED2CC1">
        <w:rPr>
          <w:rFonts w:eastAsia="Calibri" w:cs="Times New Roman"/>
          <w:lang w:eastAsia="en-GB"/>
        </w:rPr>
        <w:t xml:space="preserve">ne ward each </w:t>
      </w:r>
      <w:r>
        <w:rPr>
          <w:rFonts w:eastAsia="Calibri" w:cs="Times New Roman"/>
          <w:lang w:eastAsia="en-GB"/>
        </w:rPr>
        <w:t>were selected from</w:t>
      </w:r>
      <w:r w:rsidRPr="00ED2CC1">
        <w:rPr>
          <w:rFonts w:eastAsia="Calibri" w:cs="Times New Roman"/>
          <w:lang w:eastAsia="en-GB"/>
        </w:rPr>
        <w:t xml:space="preserve"> the Nnewi North and Anaocha LGAs </w:t>
      </w:r>
      <w:r>
        <w:rPr>
          <w:rFonts w:eastAsia="Calibri" w:cs="Times New Roman"/>
          <w:lang w:eastAsia="en-GB"/>
        </w:rPr>
        <w:t xml:space="preserve">by </w:t>
      </w:r>
      <w:r w:rsidRPr="00092D87">
        <w:rPr>
          <w:rFonts w:eastAsia="Calibri" w:cs="Times New Roman"/>
          <w:lang w:eastAsia="en-GB"/>
        </w:rPr>
        <w:t xml:space="preserve">simple random sampling </w:t>
      </w:r>
      <w:r>
        <w:rPr>
          <w:rFonts w:eastAsia="Calibri" w:cs="Times New Roman"/>
          <w:lang w:eastAsia="en-GB"/>
        </w:rPr>
        <w:t>method</w:t>
      </w:r>
      <w:r w:rsidRPr="00ED2CC1">
        <w:rPr>
          <w:rFonts w:eastAsia="Calibri" w:cs="Times New Roman"/>
          <w:lang w:eastAsia="en-GB"/>
        </w:rPr>
        <w:t>. Nnewi-Ichi ward 2 was selected from Nnewi North LGA and Neni ward 1 was selected from Anaocha LGA.</w:t>
      </w:r>
    </w:p>
    <w:p w14:paraId="2B86C656" w14:textId="77777777" w:rsidR="007C2B6A" w:rsidRPr="00ED2CC1" w:rsidRDefault="007C2B6A" w:rsidP="007C2B6A">
      <w:pPr>
        <w:spacing w:line="360" w:lineRule="auto"/>
        <w:jc w:val="both"/>
        <w:rPr>
          <w:rFonts w:eastAsia="Calibri" w:cs="Times New Roman"/>
          <w:lang w:eastAsia="en-GB"/>
        </w:rPr>
      </w:pPr>
      <w:r w:rsidRPr="00ED2CC1">
        <w:rPr>
          <w:rFonts w:eastAsia="Calibri" w:cs="Times New Roman"/>
          <w:i/>
          <w:lang w:eastAsia="en-GB"/>
        </w:rPr>
        <w:t xml:space="preserve">Stage </w:t>
      </w:r>
      <w:r>
        <w:rPr>
          <w:rFonts w:eastAsia="Calibri" w:cs="Times New Roman"/>
          <w:i/>
          <w:lang w:eastAsia="en-GB"/>
        </w:rPr>
        <w:t>4</w:t>
      </w:r>
      <w:r w:rsidRPr="00ED2CC1">
        <w:rPr>
          <w:rFonts w:eastAsia="Calibri" w:cs="Times New Roman"/>
          <w:i/>
          <w:lang w:eastAsia="en-GB"/>
        </w:rPr>
        <w:t xml:space="preserve">:  </w:t>
      </w:r>
      <w:r w:rsidRPr="00ED2CC1">
        <w:rPr>
          <w:rFonts w:eastAsia="Calibri" w:cs="Times New Roman"/>
          <w:lang w:eastAsia="en-GB"/>
        </w:rPr>
        <w:t xml:space="preserve">Selection of the Households and respondents </w:t>
      </w:r>
    </w:p>
    <w:p w14:paraId="6C7392A7" w14:textId="77777777" w:rsidR="007C2B6A" w:rsidRPr="00ED2CC1" w:rsidRDefault="007C2B6A" w:rsidP="007C2B6A">
      <w:pPr>
        <w:spacing w:line="360" w:lineRule="auto"/>
        <w:jc w:val="both"/>
        <w:rPr>
          <w:rFonts w:eastAsia="Calibri" w:cs="Times New Roman"/>
          <w:lang w:eastAsia="en-GB"/>
        </w:rPr>
      </w:pPr>
      <w:r w:rsidRPr="00ED2CC1">
        <w:rPr>
          <w:rFonts w:eastAsia="Calibri" w:cs="Times New Roman"/>
          <w:lang w:eastAsia="en-GB"/>
        </w:rPr>
        <w:t xml:space="preserve">The World Health Organization modified cluster sampling technique was </w:t>
      </w:r>
      <w:r>
        <w:rPr>
          <w:rFonts w:eastAsia="Calibri" w:cs="Times New Roman"/>
          <w:lang w:eastAsia="en-GB"/>
        </w:rPr>
        <w:t>employed at this stage</w:t>
      </w:r>
      <w:r w:rsidRPr="00ED2CC1">
        <w:rPr>
          <w:rFonts w:eastAsia="Calibri" w:cs="Times New Roman"/>
          <w:lang w:eastAsia="en-GB"/>
        </w:rPr>
        <w:t xml:space="preserve">. Starting from a prominent </w:t>
      </w:r>
      <w:r>
        <w:rPr>
          <w:rFonts w:eastAsia="Calibri" w:cs="Times New Roman"/>
          <w:lang w:eastAsia="en-GB"/>
        </w:rPr>
        <w:t xml:space="preserve">central </w:t>
      </w:r>
      <w:r w:rsidRPr="00ED2CC1">
        <w:rPr>
          <w:rFonts w:eastAsia="Calibri" w:cs="Times New Roman"/>
          <w:lang w:eastAsia="en-GB"/>
        </w:rPr>
        <w:t>point (</w:t>
      </w:r>
      <w:r>
        <w:rPr>
          <w:rFonts w:eastAsia="Calibri" w:cs="Times New Roman"/>
          <w:lang w:eastAsia="en-GB"/>
        </w:rPr>
        <w:t>a school</w:t>
      </w:r>
      <w:r w:rsidRPr="00ED2CC1">
        <w:rPr>
          <w:rFonts w:eastAsia="Calibri" w:cs="Times New Roman"/>
          <w:lang w:eastAsia="en-GB"/>
        </w:rPr>
        <w:t>)</w:t>
      </w:r>
      <w:r>
        <w:rPr>
          <w:rFonts w:eastAsia="Calibri" w:cs="Times New Roman"/>
          <w:lang w:eastAsia="en-GB"/>
        </w:rPr>
        <w:t>,</w:t>
      </w:r>
      <w:r w:rsidRPr="00ED2CC1">
        <w:rPr>
          <w:rFonts w:eastAsia="Calibri" w:cs="Times New Roman"/>
          <w:lang w:eastAsia="en-GB"/>
        </w:rPr>
        <w:t xml:space="preserve"> a bottle was spinned on the ground. </w:t>
      </w:r>
      <w:r w:rsidRPr="00ED2CC1">
        <w:rPr>
          <w:rFonts w:eastAsia="Calibri" w:cs="Times New Roman"/>
          <w:lang w:eastAsia="en-GB"/>
        </w:rPr>
        <w:lastRenderedPageBreak/>
        <w:t xml:space="preserve">From the direction the bottle was facing, the first house on the right was selected, and then moving clockwise, all women in each household who met the inclusion criteria were studied until the required sample size was obtained. In each household, only one eligible woman was studied and in compounds with more than one household, all eligible women were studied </w:t>
      </w:r>
    </w:p>
    <w:p w14:paraId="28CE0076" w14:textId="77777777" w:rsidR="007C2B6A" w:rsidRPr="00ED2CC1" w:rsidRDefault="007C2B6A" w:rsidP="007C2B6A">
      <w:pPr>
        <w:spacing w:line="360" w:lineRule="auto"/>
        <w:jc w:val="both"/>
        <w:rPr>
          <w:rFonts w:eastAsia="Calibri" w:cs="Times New Roman"/>
          <w:i/>
        </w:rPr>
      </w:pPr>
      <w:r w:rsidRPr="00ED2CC1">
        <w:rPr>
          <w:rFonts w:eastAsia="Calibri" w:cs="Times New Roman"/>
          <w:i/>
        </w:rPr>
        <w:t>Data Collection</w:t>
      </w:r>
    </w:p>
    <w:p w14:paraId="01F48903" w14:textId="31998748" w:rsidR="007C2B6A" w:rsidRPr="00ED2CC1" w:rsidRDefault="007C2B6A" w:rsidP="007C2B6A">
      <w:pPr>
        <w:spacing w:line="360" w:lineRule="auto"/>
        <w:jc w:val="both"/>
        <w:rPr>
          <w:rFonts w:eastAsia="Calibri" w:cs="Times New Roman"/>
        </w:rPr>
      </w:pPr>
      <w:r w:rsidRPr="00ED2CC1">
        <w:rPr>
          <w:rFonts w:eastAsia="Calibri" w:cs="Times New Roman"/>
        </w:rPr>
        <w:t>Quantitative data were collected using structured interviewer-administered questionnaires adapted from validated instruments</w:t>
      </w:r>
      <w:r>
        <w:rPr>
          <w:rFonts w:eastAsia="Calibri" w:cs="Times New Roman"/>
        </w:rPr>
        <w:t xml:space="preserve"> (</w:t>
      </w:r>
      <w:r w:rsidRPr="00C448B2">
        <w:rPr>
          <w:rFonts w:eastAsia="Calibri" w:cs="Times New Roman"/>
        </w:rPr>
        <w:t>WHO Multi-Country Study on Women’s Health and Domestic Violence</w:t>
      </w:r>
      <w:r>
        <w:rPr>
          <w:rFonts w:eastAsia="Calibri" w:cs="Times New Roman"/>
        </w:rPr>
        <w:t>)</w:t>
      </w:r>
      <w:r w:rsidRPr="00ED2CC1">
        <w:rPr>
          <w:rFonts w:eastAsia="Calibri" w:cs="Times New Roman"/>
        </w:rPr>
        <w:t xml:space="preserve">. Items assessed </w:t>
      </w:r>
      <w:r>
        <w:rPr>
          <w:rFonts w:eastAsia="Calibri" w:cs="Times New Roman"/>
        </w:rPr>
        <w:t xml:space="preserve">were </w:t>
      </w:r>
      <w:r w:rsidR="00534314">
        <w:rPr>
          <w:rFonts w:eastAsia="Calibri" w:cs="Times New Roman"/>
        </w:rPr>
        <w:t>determinants, disclosure of domestic violence and help-seeking behaviours</w:t>
      </w:r>
      <w:r w:rsidRPr="00ED2CC1">
        <w:rPr>
          <w:rFonts w:eastAsia="Calibri" w:cs="Times New Roman"/>
        </w:rPr>
        <w:t xml:space="preserve">. </w:t>
      </w:r>
      <w:r w:rsidRPr="00ED2CC1">
        <w:rPr>
          <w:rFonts w:eastAsia="DengXian" w:cs="Times New Roman"/>
          <w:szCs w:val="24"/>
          <w:lang w:eastAsia="en-GB"/>
        </w:rPr>
        <w:t xml:space="preserve">The questionnaire had </w:t>
      </w:r>
      <w:r w:rsidR="00534314">
        <w:rPr>
          <w:rFonts w:eastAsia="DengXian" w:cs="Times New Roman"/>
          <w:szCs w:val="24"/>
          <w:lang w:eastAsia="en-GB"/>
        </w:rPr>
        <w:t>four</w:t>
      </w:r>
      <w:r w:rsidRPr="00ED2CC1">
        <w:rPr>
          <w:rFonts w:eastAsia="DengXian" w:cs="Times New Roman"/>
          <w:szCs w:val="24"/>
          <w:lang w:eastAsia="en-GB"/>
        </w:rPr>
        <w:t xml:space="preserve"> sections; </w:t>
      </w:r>
    </w:p>
    <w:p w14:paraId="1D38D8E9" w14:textId="77777777" w:rsidR="007C2B6A" w:rsidRPr="00D710EC" w:rsidRDefault="007C2B6A" w:rsidP="007C2B6A">
      <w:pPr>
        <w:spacing w:before="100" w:beforeAutospacing="1" w:after="0" w:line="360" w:lineRule="auto"/>
        <w:jc w:val="both"/>
        <w:rPr>
          <w:rFonts w:eastAsia="DengXian" w:cs="Times New Roman"/>
          <w:szCs w:val="24"/>
          <w:lang w:eastAsia="en-GB"/>
        </w:rPr>
      </w:pPr>
      <w:r w:rsidRPr="00D710EC">
        <w:rPr>
          <w:rFonts w:eastAsia="DengXian" w:cs="Times New Roman"/>
          <w:szCs w:val="24"/>
          <w:lang w:eastAsia="en-GB"/>
        </w:rPr>
        <w:t>Section A: Socio-demographic characteristics of respondents</w:t>
      </w:r>
    </w:p>
    <w:p w14:paraId="28E62B8E" w14:textId="4F40FFC0" w:rsidR="007C2B6A" w:rsidRPr="00D710EC" w:rsidRDefault="007C2B6A" w:rsidP="007C2B6A">
      <w:pPr>
        <w:spacing w:before="100" w:beforeAutospacing="1" w:after="0" w:line="360" w:lineRule="auto"/>
        <w:jc w:val="both"/>
        <w:rPr>
          <w:rFonts w:eastAsia="DengXian" w:cs="Times New Roman"/>
          <w:szCs w:val="24"/>
          <w:lang w:eastAsia="en-GB"/>
        </w:rPr>
      </w:pPr>
      <w:r w:rsidRPr="00D710EC">
        <w:rPr>
          <w:rFonts w:eastAsia="DengXian" w:cs="Times New Roman"/>
          <w:szCs w:val="24"/>
          <w:lang w:eastAsia="en-GB"/>
        </w:rPr>
        <w:t xml:space="preserve">Section B: </w:t>
      </w:r>
      <w:r w:rsidR="00D710EC" w:rsidRPr="00D710EC">
        <w:rPr>
          <w:rFonts w:eastAsia="DengXian" w:cs="Times New Roman"/>
          <w:szCs w:val="24"/>
          <w:lang w:eastAsia="en-GB"/>
        </w:rPr>
        <w:t>Determinants of domestic violence</w:t>
      </w:r>
    </w:p>
    <w:p w14:paraId="2121A6F4" w14:textId="40121845" w:rsidR="007C2B6A" w:rsidRPr="00D710EC" w:rsidRDefault="007C2B6A" w:rsidP="007C2B6A">
      <w:pPr>
        <w:spacing w:before="100" w:beforeAutospacing="1" w:after="0" w:line="360" w:lineRule="auto"/>
        <w:jc w:val="both"/>
        <w:rPr>
          <w:rFonts w:eastAsia="DengXian" w:cs="Times New Roman"/>
          <w:szCs w:val="24"/>
          <w:lang w:eastAsia="en-GB"/>
        </w:rPr>
      </w:pPr>
      <w:r w:rsidRPr="00D710EC">
        <w:rPr>
          <w:rFonts w:eastAsia="DengXian" w:cs="Times New Roman"/>
          <w:szCs w:val="24"/>
          <w:lang w:eastAsia="en-GB"/>
        </w:rPr>
        <w:t xml:space="preserve">Section C: </w:t>
      </w:r>
      <w:r w:rsidR="00D710EC" w:rsidRPr="00D710EC">
        <w:rPr>
          <w:rFonts w:eastAsia="DengXian" w:cs="Times New Roman"/>
          <w:szCs w:val="24"/>
          <w:lang w:eastAsia="en-GB"/>
        </w:rPr>
        <w:t>Disclosure of domestic</w:t>
      </w:r>
      <w:r w:rsidRPr="00D710EC">
        <w:rPr>
          <w:rFonts w:eastAsia="DengXian" w:cs="Times New Roman"/>
          <w:szCs w:val="24"/>
          <w:lang w:eastAsia="en-GB"/>
        </w:rPr>
        <w:t xml:space="preserve"> violence experienced</w:t>
      </w:r>
    </w:p>
    <w:p w14:paraId="196C0C9A" w14:textId="21A4F539" w:rsidR="00D710EC" w:rsidRPr="002E2D4D" w:rsidRDefault="00D710EC" w:rsidP="007C2B6A">
      <w:pPr>
        <w:spacing w:before="100" w:beforeAutospacing="1" w:after="0" w:line="360" w:lineRule="auto"/>
        <w:jc w:val="both"/>
        <w:rPr>
          <w:rFonts w:eastAsia="DengXian" w:cs="Times New Roman"/>
          <w:szCs w:val="24"/>
          <w:lang w:eastAsia="en-GB"/>
        </w:rPr>
      </w:pPr>
      <w:r w:rsidRPr="00D710EC">
        <w:rPr>
          <w:rFonts w:eastAsia="DengXian" w:cs="Times New Roman"/>
          <w:szCs w:val="24"/>
          <w:lang w:eastAsia="en-GB"/>
        </w:rPr>
        <w:t>Section D: Help-seeking behaviour of survivors of domestic violence</w:t>
      </w:r>
    </w:p>
    <w:p w14:paraId="230E933E" w14:textId="77777777" w:rsidR="007C2B6A" w:rsidRPr="00ED2CC1" w:rsidRDefault="007C2B6A" w:rsidP="007C2B6A">
      <w:pPr>
        <w:spacing w:line="360" w:lineRule="auto"/>
        <w:jc w:val="both"/>
        <w:rPr>
          <w:rFonts w:eastAsia="Calibri" w:cs="Times New Roman"/>
          <w:i/>
          <w:lang w:eastAsia="en-GB"/>
        </w:rPr>
      </w:pPr>
      <w:r w:rsidRPr="00ED2CC1">
        <w:rPr>
          <w:rFonts w:eastAsia="Calibri" w:cs="Times New Roman"/>
          <w:i/>
          <w:lang w:eastAsia="en-GB"/>
        </w:rPr>
        <w:t>Validity and Reliability of Study Instrument</w:t>
      </w:r>
    </w:p>
    <w:p w14:paraId="013378A2" w14:textId="30F096F8" w:rsidR="007C2B6A" w:rsidRPr="00ED2CC1" w:rsidRDefault="007C2B6A" w:rsidP="007C2B6A">
      <w:pPr>
        <w:spacing w:line="360" w:lineRule="auto"/>
        <w:jc w:val="both"/>
        <w:rPr>
          <w:rFonts w:eastAsia="DengXian" w:cs="Times New Roman"/>
          <w:color w:val="000000"/>
          <w:lang w:eastAsia="en-GB"/>
        </w:rPr>
      </w:pPr>
      <w:r w:rsidRPr="00ED2CC1">
        <w:rPr>
          <w:rFonts w:eastAsia="DengXian" w:cs="Times New Roman"/>
          <w:color w:val="000000"/>
          <w:lang w:eastAsia="en-GB"/>
        </w:rPr>
        <w:t>A semi-structured interviewer-administered questionnaire adapted from the WHO Multi-Country Study on Women’s Health and Domestic Violence was used to collect data for this study. The study instrument was reviewed by experts and my supervisors for face and content validity</w:t>
      </w:r>
      <w:r>
        <w:rPr>
          <w:rFonts w:eastAsia="DengXian" w:cs="Times New Roman"/>
          <w:color w:val="000000"/>
          <w:lang w:eastAsia="en-GB"/>
        </w:rPr>
        <w:t xml:space="preserve">. </w:t>
      </w:r>
      <w:r w:rsidRPr="00ED2CC1">
        <w:rPr>
          <w:rFonts w:eastAsia="DengXian" w:cs="Times New Roman"/>
          <w:color w:val="000000"/>
          <w:lang w:eastAsia="en-GB"/>
        </w:rPr>
        <w:t xml:space="preserve">The questionnaires were translated to Igbo language then back translated to English to ensure that the original meanings of the research questions were </w:t>
      </w:r>
      <w:r>
        <w:rPr>
          <w:rFonts w:eastAsia="DengXian" w:cs="Times New Roman"/>
          <w:color w:val="000000"/>
          <w:lang w:eastAsia="en-GB"/>
        </w:rPr>
        <w:t>retained</w:t>
      </w:r>
      <w:r w:rsidRPr="00ED2CC1">
        <w:rPr>
          <w:rFonts w:eastAsia="DengXian" w:cs="Times New Roman"/>
          <w:color w:val="000000"/>
          <w:lang w:eastAsia="en-GB"/>
        </w:rPr>
        <w:t xml:space="preserve">. </w:t>
      </w:r>
    </w:p>
    <w:p w14:paraId="2EA7A0CA" w14:textId="77777777" w:rsidR="007C2B6A" w:rsidRPr="00ED2CC1" w:rsidRDefault="007C2B6A" w:rsidP="007C2B6A">
      <w:pPr>
        <w:spacing w:line="360" w:lineRule="auto"/>
        <w:jc w:val="both"/>
        <w:rPr>
          <w:rFonts w:eastAsia="Calibri" w:cs="Times New Roman"/>
          <w:i/>
          <w:lang w:eastAsia="en-GB"/>
        </w:rPr>
      </w:pPr>
      <w:r w:rsidRPr="00ED2CC1">
        <w:rPr>
          <w:rFonts w:eastAsia="Calibri" w:cs="Times New Roman"/>
          <w:i/>
          <w:lang w:eastAsia="en-GB"/>
        </w:rPr>
        <w:t>Pre-Testing</w:t>
      </w:r>
    </w:p>
    <w:p w14:paraId="6FD0393A" w14:textId="59BA35D0" w:rsidR="007C2B6A" w:rsidRPr="00ED2CC1" w:rsidRDefault="007C2B6A" w:rsidP="007C2B6A">
      <w:pPr>
        <w:spacing w:line="360" w:lineRule="auto"/>
        <w:jc w:val="both"/>
        <w:rPr>
          <w:rFonts w:eastAsia="DengXian" w:cs="Times New Roman"/>
          <w:color w:val="000000"/>
          <w:lang w:eastAsia="en-GB"/>
        </w:rPr>
      </w:pPr>
      <w:r w:rsidRPr="00ED2CC1">
        <w:rPr>
          <w:rFonts w:eastAsia="DengXian" w:cs="Times New Roman"/>
          <w:color w:val="000000"/>
          <w:lang w:eastAsia="en-GB"/>
        </w:rPr>
        <w:t xml:space="preserve">The study instruments for the research were pretested in a different Local Government area in Anambra state different from the selected LGAs for the research. A pre-test of 10% (approximately 59) of the sample size (588) was used. The pre-testing assessed the validity of the questionnaire, the capability of the research assistants, time it takes to complete the interview, need for corrections in the study instrument and feasibility of the </w:t>
      </w:r>
      <w:r>
        <w:rPr>
          <w:rFonts w:eastAsia="DengXian" w:cs="Times New Roman"/>
          <w:color w:val="000000"/>
          <w:lang w:eastAsia="en-GB"/>
        </w:rPr>
        <w:t>interview</w:t>
      </w:r>
      <w:r w:rsidRPr="00ED2CC1">
        <w:rPr>
          <w:rFonts w:eastAsia="DengXian" w:cs="Times New Roman"/>
          <w:color w:val="000000"/>
          <w:lang w:eastAsia="en-GB"/>
        </w:rPr>
        <w:t xml:space="preserve"> proce</w:t>
      </w:r>
      <w:r>
        <w:rPr>
          <w:rFonts w:eastAsia="DengXian" w:cs="Times New Roman"/>
          <w:color w:val="000000"/>
          <w:lang w:eastAsia="en-GB"/>
        </w:rPr>
        <w:t>ss</w:t>
      </w:r>
      <w:r w:rsidRPr="00ED2CC1">
        <w:rPr>
          <w:rFonts w:eastAsia="DengXian" w:cs="Times New Roman"/>
          <w:color w:val="000000"/>
          <w:lang w:eastAsia="en-GB"/>
        </w:rPr>
        <w:t xml:space="preserve">. </w:t>
      </w:r>
    </w:p>
    <w:p w14:paraId="2230553B" w14:textId="77777777" w:rsidR="007C2B6A" w:rsidRPr="00ED2CC1" w:rsidRDefault="007C2B6A" w:rsidP="007C2B6A">
      <w:pPr>
        <w:spacing w:line="360" w:lineRule="auto"/>
        <w:jc w:val="both"/>
        <w:rPr>
          <w:rFonts w:eastAsia="Calibri" w:cs="Times New Roman"/>
          <w:i/>
        </w:rPr>
      </w:pPr>
      <w:r w:rsidRPr="00ED2CC1">
        <w:rPr>
          <w:rFonts w:eastAsia="Calibri" w:cs="Times New Roman"/>
          <w:i/>
        </w:rPr>
        <w:t>Data Analysis</w:t>
      </w:r>
    </w:p>
    <w:p w14:paraId="33426A90" w14:textId="0A7EF098" w:rsidR="007C2B6A" w:rsidRDefault="007C2B6A" w:rsidP="007C2B6A">
      <w:pPr>
        <w:spacing w:line="360" w:lineRule="auto"/>
        <w:jc w:val="both"/>
        <w:rPr>
          <w:rFonts w:eastAsia="Calibri" w:cs="Times New Roman"/>
        </w:rPr>
      </w:pPr>
      <w:r w:rsidRPr="00ED2CC1">
        <w:rPr>
          <w:rFonts w:eastAsia="Calibri" w:cs="Times New Roman"/>
        </w:rPr>
        <w:t xml:space="preserve">Quantitative data were analysed with </w:t>
      </w:r>
      <w:r>
        <w:rPr>
          <w:rFonts w:eastAsia="Calibri" w:cs="Times New Roman"/>
        </w:rPr>
        <w:t xml:space="preserve">the </w:t>
      </w:r>
      <w:r w:rsidRPr="00ED2CC1">
        <w:rPr>
          <w:rFonts w:eastAsia="Calibri" w:cs="Times New Roman"/>
        </w:rPr>
        <w:t xml:space="preserve">IBM SPSS version 25. Descriptive statistics summarized </w:t>
      </w:r>
      <w:r>
        <w:rPr>
          <w:rFonts w:eastAsia="Calibri" w:cs="Times New Roman"/>
        </w:rPr>
        <w:t xml:space="preserve">the sociodemographic characteristics, </w:t>
      </w:r>
      <w:r w:rsidR="005A6B4B">
        <w:rPr>
          <w:rFonts w:eastAsia="Calibri" w:cs="Times New Roman"/>
        </w:rPr>
        <w:t>determinants, disclosure of</w:t>
      </w:r>
      <w:r w:rsidR="00937619">
        <w:rPr>
          <w:rFonts w:eastAsia="Calibri" w:cs="Times New Roman"/>
        </w:rPr>
        <w:t xml:space="preserve"> </w:t>
      </w:r>
      <w:r w:rsidR="005A6B4B">
        <w:rPr>
          <w:rFonts w:eastAsia="Calibri" w:cs="Times New Roman"/>
        </w:rPr>
        <w:t>DV and help-</w:t>
      </w:r>
      <w:r w:rsidR="005A6B4B">
        <w:rPr>
          <w:rFonts w:eastAsia="Calibri" w:cs="Times New Roman"/>
        </w:rPr>
        <w:lastRenderedPageBreak/>
        <w:t xml:space="preserve">seeking behaviours </w:t>
      </w:r>
      <w:r>
        <w:rPr>
          <w:rFonts w:eastAsia="Calibri" w:cs="Times New Roman"/>
        </w:rPr>
        <w:t>among the urban and rural women</w:t>
      </w:r>
      <w:r w:rsidRPr="00ED2CC1">
        <w:rPr>
          <w:rFonts w:eastAsia="Calibri" w:cs="Times New Roman"/>
        </w:rPr>
        <w:t xml:space="preserve">. Chi-square tests compared </w:t>
      </w:r>
      <w:r>
        <w:rPr>
          <w:rFonts w:eastAsia="Calibri" w:cs="Times New Roman"/>
        </w:rPr>
        <w:t xml:space="preserve">the </w:t>
      </w:r>
      <w:r w:rsidRPr="00ED2CC1">
        <w:rPr>
          <w:rFonts w:eastAsia="Calibri" w:cs="Times New Roman"/>
        </w:rPr>
        <w:t>urban and rural groups.</w:t>
      </w:r>
    </w:p>
    <w:p w14:paraId="15FEDDA6" w14:textId="77777777" w:rsidR="007C2B6A" w:rsidRPr="009C7C17" w:rsidRDefault="007C2B6A" w:rsidP="007C2B6A">
      <w:pPr>
        <w:spacing w:line="360" w:lineRule="auto"/>
        <w:jc w:val="both"/>
        <w:rPr>
          <w:rFonts w:eastAsia="Calibri" w:cs="Times New Roman"/>
          <w:b/>
        </w:rPr>
      </w:pPr>
      <w:r w:rsidRPr="009C7C17">
        <w:rPr>
          <w:rFonts w:eastAsia="Calibri" w:cs="Times New Roman"/>
          <w:b/>
        </w:rPr>
        <w:t xml:space="preserve">Qualitative Study </w:t>
      </w:r>
    </w:p>
    <w:p w14:paraId="6D89D9C8" w14:textId="77777777" w:rsidR="007C2B6A" w:rsidRPr="009C7C17" w:rsidRDefault="007C2B6A" w:rsidP="007C2B6A">
      <w:pPr>
        <w:spacing w:line="360" w:lineRule="auto"/>
        <w:jc w:val="both"/>
        <w:rPr>
          <w:rFonts w:eastAsia="Calibri" w:cs="Times New Roman"/>
          <w:i/>
          <w:lang w:eastAsia="en-GB"/>
        </w:rPr>
      </w:pPr>
      <w:bookmarkStart w:id="3" w:name="_Toc209809836"/>
      <w:bookmarkStart w:id="4" w:name="_Hlk196915080"/>
      <w:r w:rsidRPr="009C7C17">
        <w:rPr>
          <w:rFonts w:eastAsia="Calibri" w:cs="Times New Roman"/>
          <w:i/>
          <w:lang w:eastAsia="en-GB"/>
        </w:rPr>
        <w:t>Qualitative study type</w:t>
      </w:r>
      <w:bookmarkEnd w:id="3"/>
    </w:p>
    <w:p w14:paraId="5C74BB80" w14:textId="77777777" w:rsidR="007C2B6A" w:rsidRPr="009C7C17" w:rsidRDefault="007C2B6A" w:rsidP="007C2B6A">
      <w:pPr>
        <w:spacing w:before="100" w:beforeAutospacing="1" w:after="0" w:line="360" w:lineRule="auto"/>
        <w:jc w:val="both"/>
        <w:rPr>
          <w:rFonts w:eastAsia="SimSun" w:cs="Times New Roman"/>
          <w:kern w:val="2"/>
          <w:szCs w:val="24"/>
          <w:lang w:eastAsia="en-GB"/>
        </w:rPr>
      </w:pPr>
      <w:r w:rsidRPr="009C7C17">
        <w:rPr>
          <w:rFonts w:eastAsia="SimSun" w:cs="Times New Roman"/>
          <w:kern w:val="2"/>
          <w:szCs w:val="24"/>
          <w:lang w:eastAsia="en-GB"/>
        </w:rPr>
        <w:t>In-depth interview (IDI) was employed in the qualitative study</w:t>
      </w:r>
    </w:p>
    <w:p w14:paraId="054A026F" w14:textId="77777777" w:rsidR="007C2B6A" w:rsidRPr="009C7C17" w:rsidRDefault="007C2B6A" w:rsidP="007C2B6A">
      <w:pPr>
        <w:spacing w:line="360" w:lineRule="auto"/>
        <w:jc w:val="both"/>
        <w:rPr>
          <w:rFonts w:eastAsia="Calibri" w:cs="Times New Roman"/>
          <w:i/>
          <w:lang w:eastAsia="en-GB"/>
        </w:rPr>
      </w:pPr>
      <w:bookmarkStart w:id="5" w:name="_Toc209809837"/>
      <w:r w:rsidRPr="009C7C17">
        <w:rPr>
          <w:rFonts w:eastAsia="Calibri" w:cs="Times New Roman"/>
          <w:i/>
          <w:lang w:eastAsia="en-GB"/>
        </w:rPr>
        <w:t>Study population</w:t>
      </w:r>
      <w:bookmarkEnd w:id="5"/>
    </w:p>
    <w:p w14:paraId="034C0324" w14:textId="79162C4E" w:rsidR="007C2B6A" w:rsidRPr="009C7C17" w:rsidRDefault="007C2B6A" w:rsidP="007C2B6A">
      <w:pPr>
        <w:spacing w:before="100" w:beforeAutospacing="1" w:after="0" w:line="360" w:lineRule="auto"/>
        <w:jc w:val="both"/>
        <w:rPr>
          <w:rFonts w:eastAsia="SimSun" w:cs="Times New Roman"/>
          <w:kern w:val="2"/>
          <w:szCs w:val="24"/>
          <w:lang w:eastAsia="en-GB"/>
        </w:rPr>
      </w:pPr>
      <w:r>
        <w:rPr>
          <w:rFonts w:eastAsia="SimSun" w:cs="Times New Roman"/>
          <w:kern w:val="2"/>
          <w:szCs w:val="24"/>
          <w:lang w:eastAsia="en-GB"/>
        </w:rPr>
        <w:t>It includes a</w:t>
      </w:r>
      <w:r w:rsidRPr="009C7C17">
        <w:rPr>
          <w:rFonts w:eastAsia="SimSun" w:cs="Times New Roman"/>
          <w:kern w:val="2"/>
          <w:szCs w:val="24"/>
          <w:lang w:eastAsia="en-GB"/>
        </w:rPr>
        <w:t xml:space="preserve">ll </w:t>
      </w:r>
      <w:r w:rsidR="00937619" w:rsidRPr="009C7C17">
        <w:rPr>
          <w:rFonts w:eastAsia="SimSun" w:cs="Times New Roman"/>
          <w:kern w:val="2"/>
          <w:szCs w:val="24"/>
          <w:lang w:eastAsia="en-GB"/>
        </w:rPr>
        <w:t>the survivors</w:t>
      </w:r>
      <w:r w:rsidRPr="009C7C17">
        <w:rPr>
          <w:rFonts w:eastAsia="SimSun" w:cs="Times New Roman"/>
          <w:kern w:val="2"/>
          <w:szCs w:val="24"/>
          <w:lang w:eastAsia="en-GB"/>
        </w:rPr>
        <w:t xml:space="preserve"> </w:t>
      </w:r>
      <w:r w:rsidR="002E2D4D">
        <w:rPr>
          <w:rFonts w:eastAsia="SimSun" w:cs="Times New Roman"/>
          <w:kern w:val="2"/>
          <w:szCs w:val="24"/>
          <w:lang w:eastAsia="en-GB"/>
        </w:rPr>
        <w:t>of</w:t>
      </w:r>
      <w:r w:rsidRPr="009C7C17">
        <w:rPr>
          <w:rFonts w:eastAsia="SimSun" w:cs="Times New Roman"/>
          <w:kern w:val="2"/>
          <w:szCs w:val="24"/>
          <w:lang w:eastAsia="en-GB"/>
        </w:rPr>
        <w:t xml:space="preserve"> domestic violence </w:t>
      </w:r>
    </w:p>
    <w:p w14:paraId="16213301" w14:textId="77777777" w:rsidR="007C2B6A" w:rsidRPr="009C7C17" w:rsidRDefault="007C2B6A" w:rsidP="007C2B6A">
      <w:pPr>
        <w:spacing w:before="100" w:beforeAutospacing="1" w:after="0" w:line="360" w:lineRule="auto"/>
        <w:jc w:val="both"/>
        <w:rPr>
          <w:rFonts w:eastAsia="SimSun" w:cs="Times New Roman"/>
          <w:i/>
          <w:kern w:val="2"/>
          <w:szCs w:val="24"/>
          <w:lang w:eastAsia="en-GB"/>
        </w:rPr>
      </w:pPr>
      <w:r w:rsidRPr="009C7C17">
        <w:rPr>
          <w:rFonts w:eastAsia="SimSun" w:cs="Times New Roman"/>
          <w:i/>
          <w:kern w:val="2"/>
          <w:szCs w:val="24"/>
          <w:lang w:eastAsia="en-GB"/>
        </w:rPr>
        <w:t>Inclusion criteria</w:t>
      </w:r>
    </w:p>
    <w:p w14:paraId="12AE6650" w14:textId="77777777" w:rsidR="007C2B6A" w:rsidRPr="009C7C17" w:rsidRDefault="007C2B6A" w:rsidP="007C2B6A">
      <w:pPr>
        <w:spacing w:before="100" w:beforeAutospacing="1" w:after="0" w:line="360" w:lineRule="auto"/>
        <w:jc w:val="both"/>
        <w:rPr>
          <w:rFonts w:eastAsia="SimSun" w:cs="Times New Roman"/>
          <w:kern w:val="2"/>
          <w:szCs w:val="24"/>
          <w:lang w:eastAsia="en-GB"/>
        </w:rPr>
      </w:pPr>
      <w:r w:rsidRPr="00DF286D">
        <w:rPr>
          <w:rFonts w:eastAsia="SimSun" w:cs="Times New Roman"/>
          <w:kern w:val="2"/>
          <w:szCs w:val="24"/>
          <w:lang w:eastAsia="en-GB"/>
        </w:rPr>
        <w:t>It includes all</w:t>
      </w:r>
      <w:r w:rsidRPr="009C7C17">
        <w:rPr>
          <w:rFonts w:eastAsia="SimSun" w:cs="Times New Roman"/>
          <w:kern w:val="2"/>
          <w:szCs w:val="24"/>
          <w:lang w:eastAsia="en-GB"/>
        </w:rPr>
        <w:t xml:space="preserve"> the women survivors who experienced domestic violence captured during the quantitative study.</w:t>
      </w:r>
    </w:p>
    <w:p w14:paraId="4797D757" w14:textId="77777777" w:rsidR="007C2B6A" w:rsidRPr="009C7C17" w:rsidRDefault="007C2B6A" w:rsidP="007C2B6A">
      <w:pPr>
        <w:spacing w:before="100" w:beforeAutospacing="1" w:after="0" w:line="360" w:lineRule="auto"/>
        <w:jc w:val="both"/>
        <w:rPr>
          <w:rFonts w:eastAsia="SimSun" w:cs="Times New Roman"/>
          <w:i/>
          <w:kern w:val="2"/>
          <w:szCs w:val="24"/>
          <w:lang w:eastAsia="en-GB"/>
        </w:rPr>
      </w:pPr>
      <w:r w:rsidRPr="009C7C17">
        <w:rPr>
          <w:rFonts w:eastAsia="SimSun" w:cs="Times New Roman"/>
          <w:i/>
          <w:kern w:val="2"/>
          <w:szCs w:val="24"/>
          <w:lang w:eastAsia="en-GB"/>
        </w:rPr>
        <w:t>Exclusion criteria</w:t>
      </w:r>
    </w:p>
    <w:p w14:paraId="272CFB00" w14:textId="77777777" w:rsidR="007C2B6A" w:rsidRPr="009C7C17" w:rsidRDefault="007C2B6A" w:rsidP="007C2B6A">
      <w:pPr>
        <w:spacing w:before="100" w:beforeAutospacing="1" w:after="0" w:line="360" w:lineRule="auto"/>
        <w:jc w:val="both"/>
        <w:rPr>
          <w:rFonts w:eastAsia="SimSun" w:cs="Times New Roman"/>
          <w:kern w:val="2"/>
          <w:szCs w:val="24"/>
          <w:lang w:eastAsia="en-GB"/>
        </w:rPr>
      </w:pPr>
      <w:r w:rsidRPr="009C7C17">
        <w:rPr>
          <w:rFonts w:eastAsia="SimSun" w:cs="Times New Roman"/>
          <w:kern w:val="2"/>
          <w:szCs w:val="24"/>
          <w:lang w:eastAsia="en-GB"/>
        </w:rPr>
        <w:t xml:space="preserve">Women who were not be able </w:t>
      </w:r>
      <w:r>
        <w:rPr>
          <w:rFonts w:eastAsia="SimSun" w:cs="Times New Roman"/>
          <w:kern w:val="2"/>
          <w:szCs w:val="24"/>
          <w:lang w:eastAsia="en-GB"/>
        </w:rPr>
        <w:t xml:space="preserve">to grant </w:t>
      </w:r>
      <w:r w:rsidRPr="009C7C17">
        <w:rPr>
          <w:rFonts w:eastAsia="SimSun" w:cs="Times New Roman"/>
          <w:kern w:val="2"/>
          <w:szCs w:val="24"/>
          <w:lang w:eastAsia="en-GB"/>
        </w:rPr>
        <w:t>the in-depth interview</w:t>
      </w:r>
      <w:r>
        <w:rPr>
          <w:rFonts w:eastAsia="SimSun" w:cs="Times New Roman"/>
          <w:kern w:val="2"/>
          <w:szCs w:val="24"/>
          <w:lang w:eastAsia="en-GB"/>
        </w:rPr>
        <w:t>s</w:t>
      </w:r>
      <w:r w:rsidRPr="009C7C17">
        <w:rPr>
          <w:rFonts w:eastAsia="SimSun" w:cs="Times New Roman"/>
          <w:kern w:val="2"/>
          <w:szCs w:val="24"/>
          <w:lang w:eastAsia="en-GB"/>
        </w:rPr>
        <w:t xml:space="preserve"> (IDI</w:t>
      </w:r>
      <w:r>
        <w:rPr>
          <w:rFonts w:eastAsia="SimSun" w:cs="Times New Roman"/>
          <w:kern w:val="2"/>
          <w:szCs w:val="24"/>
          <w:lang w:eastAsia="en-GB"/>
        </w:rPr>
        <w:t>s</w:t>
      </w:r>
      <w:r w:rsidRPr="009C7C17">
        <w:rPr>
          <w:rFonts w:eastAsia="SimSun" w:cs="Times New Roman"/>
          <w:kern w:val="2"/>
          <w:szCs w:val="24"/>
          <w:lang w:eastAsia="en-GB"/>
        </w:rPr>
        <w:t>)</w:t>
      </w:r>
    </w:p>
    <w:p w14:paraId="03A5F30A" w14:textId="77777777" w:rsidR="007C2B6A" w:rsidRPr="009C7C17" w:rsidRDefault="007C2B6A" w:rsidP="007C2B6A">
      <w:pPr>
        <w:spacing w:line="360" w:lineRule="auto"/>
        <w:jc w:val="both"/>
        <w:rPr>
          <w:rFonts w:eastAsia="Calibri" w:cs="Times New Roman"/>
          <w:i/>
          <w:lang w:eastAsia="en-GB"/>
        </w:rPr>
      </w:pPr>
      <w:bookmarkStart w:id="6" w:name="_Toc209809838"/>
      <w:r w:rsidRPr="009C7C17">
        <w:rPr>
          <w:rFonts w:eastAsia="Calibri" w:cs="Times New Roman"/>
          <w:lang w:eastAsia="en-GB"/>
        </w:rPr>
        <w:t xml:space="preserve"> </w:t>
      </w:r>
      <w:r w:rsidRPr="009C7C17">
        <w:rPr>
          <w:rFonts w:eastAsia="Calibri" w:cs="Times New Roman"/>
          <w:i/>
          <w:lang w:eastAsia="en-GB"/>
        </w:rPr>
        <w:t>Sampling technique</w:t>
      </w:r>
      <w:bookmarkEnd w:id="6"/>
      <w:r w:rsidRPr="009C7C17">
        <w:rPr>
          <w:rFonts w:eastAsia="Calibri" w:cs="Times New Roman"/>
          <w:i/>
          <w:lang w:eastAsia="en-GB"/>
        </w:rPr>
        <w:t xml:space="preserve"> </w:t>
      </w:r>
    </w:p>
    <w:p w14:paraId="1069776A" w14:textId="77777777" w:rsidR="007C2B6A" w:rsidRPr="009C7C17" w:rsidRDefault="007C2B6A" w:rsidP="007C2B6A">
      <w:pPr>
        <w:spacing w:before="100" w:beforeAutospacing="1" w:after="0" w:line="360" w:lineRule="auto"/>
        <w:jc w:val="both"/>
        <w:rPr>
          <w:rFonts w:eastAsia="SimSun" w:cs="Times New Roman"/>
          <w:kern w:val="2"/>
          <w:szCs w:val="24"/>
          <w:lang w:eastAsia="en-GB"/>
        </w:rPr>
      </w:pPr>
      <w:bookmarkStart w:id="7" w:name="_Hlk173315576"/>
      <w:r w:rsidRPr="009C7C17">
        <w:rPr>
          <w:rFonts w:eastAsia="SimSun" w:cs="Times New Roman"/>
          <w:kern w:val="2"/>
          <w:szCs w:val="24"/>
          <w:lang w:eastAsia="en-GB"/>
        </w:rPr>
        <w:t>Twenty women who experienced domestic violence were purposively selected for the study. Ten of the survivors were selected from each of the wards under study. Each of the participants that meet the criteria for the</w:t>
      </w:r>
      <w:r w:rsidRPr="009C7C17">
        <w:rPr>
          <w:rFonts w:eastAsia="DengXian" w:cs="Times New Roman"/>
          <w:szCs w:val="24"/>
          <w:lang w:eastAsia="en-GB"/>
        </w:rPr>
        <w:t xml:space="preserve"> </w:t>
      </w:r>
      <w:r w:rsidRPr="009C7C17">
        <w:rPr>
          <w:rFonts w:eastAsia="SimSun" w:cs="Times New Roman"/>
          <w:kern w:val="2"/>
          <w:szCs w:val="24"/>
          <w:lang w:eastAsia="en-GB"/>
        </w:rPr>
        <w:t>in-depth interviews (IDI) was counselled a</w:t>
      </w:r>
      <w:bookmarkStart w:id="8" w:name="_Hlk170946699"/>
      <w:r w:rsidRPr="009C7C17">
        <w:rPr>
          <w:rFonts w:eastAsia="SimSun" w:cs="Times New Roman"/>
          <w:kern w:val="2"/>
          <w:szCs w:val="24"/>
          <w:lang w:eastAsia="en-GB"/>
        </w:rPr>
        <w:t>nd interview</w:t>
      </w:r>
      <w:bookmarkEnd w:id="8"/>
      <w:r w:rsidRPr="009C7C17">
        <w:rPr>
          <w:rFonts w:eastAsia="SimSun" w:cs="Times New Roman"/>
          <w:kern w:val="2"/>
          <w:szCs w:val="24"/>
          <w:lang w:eastAsia="en-GB"/>
        </w:rPr>
        <w:t>ed by the principal researcher and the research assistants simultaneously after identification from the quantitative study until the required number was reached.</w:t>
      </w:r>
    </w:p>
    <w:p w14:paraId="3916DA80" w14:textId="77777777" w:rsidR="007C2B6A" w:rsidRPr="00DF286D" w:rsidRDefault="007C2B6A" w:rsidP="007C2B6A">
      <w:pPr>
        <w:spacing w:line="360" w:lineRule="auto"/>
        <w:jc w:val="both"/>
        <w:rPr>
          <w:rFonts w:eastAsia="Calibri" w:cs="Times New Roman"/>
          <w:i/>
          <w:lang w:eastAsia="en-GB"/>
        </w:rPr>
      </w:pPr>
      <w:bookmarkStart w:id="9" w:name="_Toc209809839"/>
      <w:bookmarkEnd w:id="7"/>
      <w:r w:rsidRPr="009C7C17">
        <w:rPr>
          <w:rFonts w:eastAsia="Calibri" w:cs="Times New Roman"/>
          <w:i/>
          <w:lang w:eastAsia="en-GB"/>
        </w:rPr>
        <w:t>Method of Qualitative data collection</w:t>
      </w:r>
      <w:bookmarkEnd w:id="9"/>
    </w:p>
    <w:p w14:paraId="3CC934CB" w14:textId="77777777" w:rsidR="007C2B6A" w:rsidRDefault="007C2B6A" w:rsidP="007C2B6A">
      <w:pPr>
        <w:spacing w:before="100" w:beforeAutospacing="1" w:after="0" w:line="360" w:lineRule="auto"/>
        <w:jc w:val="both"/>
        <w:rPr>
          <w:rFonts w:eastAsia="SimSun" w:cs="Times New Roman"/>
          <w:kern w:val="2"/>
          <w:szCs w:val="24"/>
          <w:lang w:eastAsia="en-GB"/>
        </w:rPr>
      </w:pPr>
      <w:r w:rsidRPr="00B05A35">
        <w:rPr>
          <w:rFonts w:eastAsia="SimSun" w:cs="Times New Roman"/>
          <w:kern w:val="2"/>
          <w:szCs w:val="24"/>
          <w:lang w:eastAsia="en-GB"/>
        </w:rPr>
        <w:t xml:space="preserve">Data was collected using the in-depth interview (IDI). All respondents in the quantitative study who experienced domestic violence qualified for the in-depth interview. Ten survivors were selected from Neni ward 1 under the rural LGA (Anaocha) and ten were selected from Nnewi-Ichi ward 2 in Nnewi North LGA. Each participant was told about the essence of the IDI and its benefit. The conversations were tape-recorded and documented to improve qualitative data analysis. Before initiating the interviews, measures were taken to make participants relax using different techniques such as, small talk for a few minutes, helped them remain comfortable </w:t>
      </w:r>
      <w:r w:rsidRPr="00B05A35">
        <w:rPr>
          <w:rFonts w:eastAsia="SimSun" w:cs="Times New Roman"/>
          <w:kern w:val="2"/>
          <w:szCs w:val="24"/>
          <w:lang w:eastAsia="en-GB"/>
        </w:rPr>
        <w:lastRenderedPageBreak/>
        <w:t>during the interview. We also assured participants that their responses will be kept confidential. Each IDI lasted for about 25 to 30 minutes per participant.</w:t>
      </w:r>
    </w:p>
    <w:p w14:paraId="0DFB36DA" w14:textId="77777777" w:rsidR="007C2B6A" w:rsidRPr="009C7C17" w:rsidRDefault="007C2B6A" w:rsidP="007C2B6A">
      <w:pPr>
        <w:spacing w:line="360" w:lineRule="auto"/>
        <w:jc w:val="both"/>
        <w:rPr>
          <w:rFonts w:eastAsia="Calibri" w:cs="Times New Roman"/>
          <w:i/>
          <w:lang w:eastAsia="en-GB"/>
        </w:rPr>
      </w:pPr>
      <w:bookmarkStart w:id="10" w:name="_Toc209809840"/>
      <w:r w:rsidRPr="009C7C17">
        <w:rPr>
          <w:rFonts w:eastAsia="Calibri" w:cs="Times New Roman"/>
          <w:i/>
          <w:lang w:eastAsia="en-GB"/>
        </w:rPr>
        <w:t>Qualitative interview guide</w:t>
      </w:r>
      <w:bookmarkEnd w:id="10"/>
    </w:p>
    <w:p w14:paraId="7973FA45" w14:textId="361A73D2" w:rsidR="007C2B6A" w:rsidRPr="009C7C17" w:rsidRDefault="007C2B6A" w:rsidP="007C2B6A">
      <w:pPr>
        <w:spacing w:before="100" w:beforeAutospacing="1" w:after="0" w:line="360" w:lineRule="auto"/>
        <w:jc w:val="both"/>
        <w:rPr>
          <w:rFonts w:eastAsia="SimSun" w:cs="Times New Roman"/>
          <w:kern w:val="2"/>
          <w:szCs w:val="24"/>
          <w:lang w:eastAsia="en-GB"/>
        </w:rPr>
      </w:pPr>
      <w:r w:rsidRPr="009C7C17">
        <w:rPr>
          <w:rFonts w:eastAsia="SimSun" w:cs="Times New Roman"/>
          <w:kern w:val="2"/>
          <w:szCs w:val="24"/>
          <w:lang w:eastAsia="en-GB"/>
        </w:rPr>
        <w:t xml:space="preserve">The interview guide was designed to capture the participants’ </w:t>
      </w:r>
      <w:r w:rsidR="00A84441">
        <w:rPr>
          <w:rFonts w:eastAsia="SimSun" w:cs="Times New Roman"/>
          <w:kern w:val="2"/>
          <w:szCs w:val="24"/>
          <w:lang w:eastAsia="en-GB"/>
        </w:rPr>
        <w:t>experience, disclosure pattern and help-seeking behaviours after the</w:t>
      </w:r>
      <w:r>
        <w:rPr>
          <w:rFonts w:eastAsia="SimSun" w:cs="Times New Roman"/>
          <w:kern w:val="2"/>
          <w:szCs w:val="24"/>
          <w:lang w:eastAsia="en-GB"/>
        </w:rPr>
        <w:t xml:space="preserve"> </w:t>
      </w:r>
      <w:r w:rsidRPr="009C7C17">
        <w:rPr>
          <w:rFonts w:eastAsia="SimSun" w:cs="Times New Roman"/>
          <w:kern w:val="2"/>
          <w:szCs w:val="24"/>
          <w:lang w:eastAsia="en-GB"/>
        </w:rPr>
        <w:t xml:space="preserve">domestic violence. The interview guide was developed based on prior experience, expert opinions, and from reviewing relevant literature on the subject. </w:t>
      </w:r>
    </w:p>
    <w:p w14:paraId="7155284B" w14:textId="77777777" w:rsidR="007C2B6A" w:rsidRPr="009C7C17" w:rsidRDefault="007C2B6A" w:rsidP="007C2B6A">
      <w:pPr>
        <w:spacing w:line="360" w:lineRule="auto"/>
        <w:jc w:val="both"/>
        <w:rPr>
          <w:rFonts w:eastAsia="Calibri" w:cs="Times New Roman"/>
          <w:i/>
          <w:lang w:eastAsia="en-GB"/>
        </w:rPr>
      </w:pPr>
      <w:bookmarkStart w:id="11" w:name="_Toc209809841"/>
      <w:bookmarkEnd w:id="4"/>
      <w:r w:rsidRPr="009C7C17">
        <w:rPr>
          <w:rFonts w:eastAsia="Calibri" w:cs="Times New Roman"/>
          <w:i/>
          <w:lang w:eastAsia="en-GB"/>
        </w:rPr>
        <w:t>Interview guide pre-test</w:t>
      </w:r>
      <w:bookmarkEnd w:id="11"/>
    </w:p>
    <w:p w14:paraId="6AF7AF91" w14:textId="77777777" w:rsidR="007C2B6A" w:rsidRPr="009C7C17" w:rsidRDefault="007C2B6A" w:rsidP="007C2B6A">
      <w:pPr>
        <w:spacing w:before="100" w:beforeAutospacing="1" w:after="0" w:line="360" w:lineRule="auto"/>
        <w:jc w:val="both"/>
        <w:rPr>
          <w:rFonts w:eastAsia="SimSun" w:cs="Times New Roman"/>
          <w:kern w:val="2"/>
          <w:szCs w:val="24"/>
          <w:lang w:eastAsia="en-GB"/>
        </w:rPr>
      </w:pPr>
      <w:r w:rsidRPr="009C7C17">
        <w:rPr>
          <w:rFonts w:eastAsia="SimSun" w:cs="Times New Roman"/>
          <w:kern w:val="2"/>
          <w:szCs w:val="24"/>
          <w:lang w:eastAsia="en-GB"/>
        </w:rPr>
        <w:t>The interview guide was pretested in a different community at other sites with similar characteristics for clarity, time it takes to complete each interview and for validity. This was done simultaneously with the pre-test of the quantitative study.</w:t>
      </w:r>
    </w:p>
    <w:p w14:paraId="3B17444A" w14:textId="77777777" w:rsidR="007C2B6A" w:rsidRPr="009C7C17" w:rsidRDefault="007C2B6A" w:rsidP="007C2B6A">
      <w:pPr>
        <w:spacing w:line="360" w:lineRule="auto"/>
        <w:jc w:val="both"/>
        <w:rPr>
          <w:rFonts w:eastAsia="Calibri" w:cs="Times New Roman"/>
          <w:i/>
          <w:lang w:eastAsia="en-GB"/>
        </w:rPr>
      </w:pPr>
      <w:bookmarkStart w:id="12" w:name="_Toc209809842"/>
      <w:bookmarkStart w:id="13" w:name="_Hlk196917473"/>
      <w:bookmarkStart w:id="14" w:name="_Hlk173369410"/>
      <w:r w:rsidRPr="009C7C17">
        <w:rPr>
          <w:rFonts w:eastAsia="Calibri" w:cs="Times New Roman"/>
          <w:i/>
          <w:lang w:eastAsia="en-GB"/>
        </w:rPr>
        <w:t>Qualitative data analysis</w:t>
      </w:r>
      <w:bookmarkEnd w:id="12"/>
    </w:p>
    <w:bookmarkEnd w:id="13"/>
    <w:bookmarkEnd w:id="14"/>
    <w:p w14:paraId="06A3930B" w14:textId="6F59823F" w:rsidR="007C2B6A" w:rsidRPr="00ED2CC1" w:rsidRDefault="007C2B6A" w:rsidP="007C2B6A">
      <w:pPr>
        <w:spacing w:line="360" w:lineRule="auto"/>
        <w:jc w:val="both"/>
        <w:rPr>
          <w:rFonts w:eastAsia="Calibri" w:cs="Times New Roman"/>
        </w:rPr>
      </w:pPr>
      <w:r>
        <w:rPr>
          <w:rFonts w:eastAsia="Calibri" w:cs="Times New Roman"/>
        </w:rPr>
        <w:t>In-depth interviews (</w:t>
      </w:r>
      <w:r w:rsidRPr="00ED2CC1">
        <w:rPr>
          <w:rFonts w:eastAsia="Calibri" w:cs="Times New Roman"/>
        </w:rPr>
        <w:t>IDIs</w:t>
      </w:r>
      <w:r>
        <w:rPr>
          <w:rFonts w:eastAsia="Calibri" w:cs="Times New Roman"/>
        </w:rPr>
        <w:t>)</w:t>
      </w:r>
      <w:r w:rsidRPr="00ED2CC1">
        <w:rPr>
          <w:rFonts w:eastAsia="Calibri" w:cs="Times New Roman"/>
        </w:rPr>
        <w:t xml:space="preserve"> explored </w:t>
      </w:r>
      <w:r>
        <w:rPr>
          <w:rFonts w:eastAsia="Calibri" w:cs="Times New Roman"/>
        </w:rPr>
        <w:t>details</w:t>
      </w:r>
      <w:r w:rsidRPr="00ED2CC1">
        <w:rPr>
          <w:rFonts w:eastAsia="Calibri" w:cs="Times New Roman"/>
        </w:rPr>
        <w:t xml:space="preserve"> of</w:t>
      </w:r>
      <w:r>
        <w:rPr>
          <w:rFonts w:eastAsia="Calibri" w:cs="Times New Roman"/>
        </w:rPr>
        <w:t xml:space="preserve"> the experiences by the survivors</w:t>
      </w:r>
      <w:r w:rsidR="00BC52E2">
        <w:rPr>
          <w:rFonts w:eastAsia="Calibri" w:cs="Times New Roman"/>
        </w:rPr>
        <w:t>, their disclosure patterns and help-seeking behaviours</w:t>
      </w:r>
      <w:r w:rsidRPr="00ED2CC1">
        <w:rPr>
          <w:rFonts w:eastAsia="Calibri" w:cs="Times New Roman"/>
        </w:rPr>
        <w:t>.</w:t>
      </w:r>
      <w:r>
        <w:rPr>
          <w:rFonts w:eastAsia="Calibri" w:cs="Times New Roman"/>
        </w:rPr>
        <w:t xml:space="preserve"> </w:t>
      </w:r>
      <w:r w:rsidRPr="00ED2CC1">
        <w:rPr>
          <w:rFonts w:eastAsia="SimSun" w:cs="Times New Roman"/>
          <w:kern w:val="2"/>
          <w:szCs w:val="24"/>
        </w:rPr>
        <w:t xml:space="preserve">Thematic qualitative analysis was </w:t>
      </w:r>
      <w:r>
        <w:rPr>
          <w:rFonts w:eastAsia="SimSun" w:cs="Times New Roman"/>
          <w:kern w:val="2"/>
          <w:szCs w:val="24"/>
        </w:rPr>
        <w:t>employed</w:t>
      </w:r>
      <w:r w:rsidRPr="00ED2CC1">
        <w:rPr>
          <w:rFonts w:eastAsia="SimSun" w:cs="Times New Roman"/>
          <w:kern w:val="2"/>
          <w:szCs w:val="24"/>
        </w:rPr>
        <w:t xml:space="preserve"> to analyse the </w:t>
      </w:r>
      <w:r>
        <w:rPr>
          <w:rFonts w:eastAsia="SimSun" w:cs="Times New Roman"/>
          <w:kern w:val="2"/>
          <w:szCs w:val="24"/>
        </w:rPr>
        <w:t>data collected</w:t>
      </w:r>
      <w:r w:rsidR="00AD6810">
        <w:rPr>
          <w:rFonts w:eastAsia="SimSun" w:cs="Times New Roman"/>
          <w:kern w:val="2"/>
          <w:szCs w:val="24"/>
        </w:rPr>
        <w:t>.</w:t>
      </w:r>
    </w:p>
    <w:p w14:paraId="4C4CBD66" w14:textId="77777777" w:rsidR="007C2B6A" w:rsidRPr="00ED2CC1" w:rsidRDefault="007C2B6A" w:rsidP="007C2B6A">
      <w:pPr>
        <w:spacing w:line="360" w:lineRule="auto"/>
        <w:jc w:val="both"/>
        <w:rPr>
          <w:rFonts w:eastAsia="Calibri" w:cs="Times New Roman"/>
          <w:i/>
        </w:rPr>
      </w:pPr>
      <w:r w:rsidRPr="00ED2CC1">
        <w:rPr>
          <w:rFonts w:eastAsia="Calibri" w:cs="Times New Roman"/>
          <w:i/>
        </w:rPr>
        <w:t>Ethical Considerations</w:t>
      </w:r>
    </w:p>
    <w:p w14:paraId="1C6680DF" w14:textId="6C99D568" w:rsidR="000109E9" w:rsidRPr="00085CE0" w:rsidRDefault="007C2B6A" w:rsidP="00085CE0">
      <w:pPr>
        <w:spacing w:line="360" w:lineRule="auto"/>
        <w:jc w:val="both"/>
        <w:rPr>
          <w:rFonts w:eastAsia="Calibri" w:cs="Times New Roman"/>
        </w:rPr>
      </w:pPr>
      <w:bookmarkStart w:id="15" w:name="_Hlk210435183"/>
      <w:r w:rsidRPr="00ED2CC1">
        <w:rPr>
          <w:rFonts w:eastAsia="Calibri" w:cs="Times New Roman"/>
        </w:rPr>
        <w:t xml:space="preserve">Ethical approval was obtained from the </w:t>
      </w:r>
      <w:r>
        <w:rPr>
          <w:rFonts w:eastAsia="Calibri" w:cs="Times New Roman"/>
        </w:rPr>
        <w:t>University of Port-Harcourt Ethics Committee.</w:t>
      </w:r>
      <w:r w:rsidRPr="00ED2CC1">
        <w:rPr>
          <w:rFonts w:eastAsia="Calibri" w:cs="Times New Roman"/>
        </w:rPr>
        <w:t xml:space="preserve"> The ethical approval reference number was UPH/CEREMAD/REC/MM107/012 and dated 25</w:t>
      </w:r>
      <w:r w:rsidRPr="00ED2CC1">
        <w:rPr>
          <w:rFonts w:eastAsia="Calibri" w:cs="Times New Roman"/>
          <w:vertAlign w:val="superscript"/>
        </w:rPr>
        <w:t>th</w:t>
      </w:r>
      <w:r w:rsidRPr="00ED2CC1">
        <w:rPr>
          <w:rFonts w:eastAsia="Calibri" w:cs="Times New Roman"/>
        </w:rPr>
        <w:t xml:space="preserve"> February 2025. Written informed consent was obtained, and confidentiality </w:t>
      </w:r>
      <w:r>
        <w:rPr>
          <w:rFonts w:eastAsia="Calibri" w:cs="Times New Roman"/>
        </w:rPr>
        <w:t>was assured and</w:t>
      </w:r>
      <w:r w:rsidRPr="00ED2CC1">
        <w:rPr>
          <w:rFonts w:eastAsia="Calibri" w:cs="Times New Roman"/>
        </w:rPr>
        <w:t xml:space="preserve"> maintained.</w:t>
      </w:r>
      <w:bookmarkEnd w:id="15"/>
      <w:r>
        <w:rPr>
          <w:rFonts w:eastAsia="Calibri" w:cs="Times New Roman"/>
        </w:rPr>
        <w:t xml:space="preserve"> The survivors of domestic violence were counselled and given contacts of relevant agencies that assist survivors of DV.</w:t>
      </w:r>
    </w:p>
    <w:p w14:paraId="56F34B6A" w14:textId="75236EA3" w:rsidR="001D694C" w:rsidRPr="00E83029" w:rsidRDefault="00085CE0" w:rsidP="001D694C">
      <w:pPr>
        <w:rPr>
          <w:b/>
        </w:rPr>
      </w:pPr>
      <w:r w:rsidRPr="00E83029">
        <w:rPr>
          <w:b/>
        </w:rPr>
        <w:t>RESULTS</w:t>
      </w:r>
    </w:p>
    <w:p w14:paraId="4EA10BC1" w14:textId="77777777" w:rsidR="001D694C" w:rsidRPr="00085CE0" w:rsidRDefault="001D694C" w:rsidP="001D694C">
      <w:pPr>
        <w:spacing w:line="360" w:lineRule="auto"/>
        <w:jc w:val="both"/>
        <w:rPr>
          <w:rFonts w:eastAsia="Calibri" w:cs="Times New Roman"/>
          <w:b/>
          <w:bCs/>
          <w:iCs/>
        </w:rPr>
      </w:pPr>
      <w:r w:rsidRPr="00085CE0">
        <w:rPr>
          <w:rFonts w:eastAsia="Calibri" w:cs="Times New Roman"/>
          <w:b/>
          <w:bCs/>
          <w:iCs/>
        </w:rPr>
        <w:t>Socio-demographic Characteristics</w:t>
      </w:r>
    </w:p>
    <w:p w14:paraId="5B1A2BD0" w14:textId="77777777" w:rsidR="007D06CC" w:rsidRDefault="001D694C" w:rsidP="00492574">
      <w:pPr>
        <w:spacing w:line="360" w:lineRule="auto"/>
        <w:jc w:val="both"/>
        <w:rPr>
          <w:rFonts w:eastAsia="Calibri" w:cs="Times New Roman"/>
          <w:szCs w:val="24"/>
          <w:lang w:eastAsia="en-GB"/>
        </w:rPr>
      </w:pPr>
      <w:r>
        <w:rPr>
          <w:rFonts w:eastAsia="Calibri" w:cs="Times New Roman"/>
          <w:szCs w:val="24"/>
          <w:lang w:eastAsia="en-GB"/>
        </w:rPr>
        <w:t>The most common</w:t>
      </w:r>
      <w:r w:rsidRPr="00686EDC">
        <w:rPr>
          <w:rFonts w:eastAsia="Calibri" w:cs="Times New Roman"/>
          <w:szCs w:val="24"/>
          <w:lang w:eastAsia="en-GB"/>
        </w:rPr>
        <w:t xml:space="preserve"> age was the 20 to 29-</w:t>
      </w:r>
      <w:r w:rsidR="00492574" w:rsidRPr="00686EDC">
        <w:rPr>
          <w:rFonts w:eastAsia="Calibri" w:cs="Times New Roman"/>
          <w:szCs w:val="24"/>
          <w:lang w:eastAsia="en-GB"/>
        </w:rPr>
        <w:t>year</w:t>
      </w:r>
      <w:r w:rsidR="00492574">
        <w:rPr>
          <w:rFonts w:eastAsia="Calibri" w:cs="Times New Roman"/>
          <w:szCs w:val="24"/>
          <w:lang w:eastAsia="en-GB"/>
        </w:rPr>
        <w:t xml:space="preserve">s </w:t>
      </w:r>
      <w:r w:rsidR="00492574" w:rsidRPr="00686EDC">
        <w:rPr>
          <w:rFonts w:eastAsia="Calibri" w:cs="Times New Roman"/>
          <w:szCs w:val="24"/>
          <w:lang w:eastAsia="en-GB"/>
        </w:rPr>
        <w:t>(</w:t>
      </w:r>
      <w:r w:rsidRPr="00686EDC">
        <w:rPr>
          <w:rFonts w:eastAsia="Calibri" w:cs="Times New Roman"/>
          <w:szCs w:val="24"/>
          <w:lang w:eastAsia="en-GB"/>
        </w:rPr>
        <w:t xml:space="preserve">208;35.4%). For the urban respondents, the </w:t>
      </w:r>
      <w:r>
        <w:rPr>
          <w:rFonts w:eastAsia="Calibri" w:cs="Times New Roman"/>
          <w:szCs w:val="24"/>
          <w:lang w:eastAsia="en-GB"/>
        </w:rPr>
        <w:t xml:space="preserve">most </w:t>
      </w:r>
      <w:r w:rsidRPr="00686EDC">
        <w:rPr>
          <w:rFonts w:eastAsia="Calibri" w:cs="Times New Roman"/>
          <w:szCs w:val="24"/>
          <w:lang w:eastAsia="en-GB"/>
        </w:rPr>
        <w:t xml:space="preserve">common age group was the 30 to 39-year age group (109(37.1%)). While for the rural respondents, the most common age group </w:t>
      </w:r>
      <w:r>
        <w:rPr>
          <w:rFonts w:eastAsia="Calibri" w:cs="Times New Roman"/>
          <w:szCs w:val="24"/>
          <w:lang w:eastAsia="en-GB"/>
        </w:rPr>
        <w:t>wa</w:t>
      </w:r>
      <w:r w:rsidRPr="00686EDC">
        <w:rPr>
          <w:rFonts w:eastAsia="Calibri" w:cs="Times New Roman"/>
          <w:szCs w:val="24"/>
          <w:lang w:eastAsia="en-GB"/>
        </w:rPr>
        <w:t xml:space="preserve">s the 20 to 29-year age group (113;38.4%). The mean age of the respondents was 31.88±10.1 years. The mean ages for the urban and rural respondents were 31.3± 9.4 years and 32.4± 10.8 years respectively. Most of the respondents were Igbos (534; 90.8%) and Christians (512;87.1%). This </w:t>
      </w:r>
      <w:r>
        <w:rPr>
          <w:rFonts w:eastAsia="Calibri" w:cs="Times New Roman"/>
          <w:szCs w:val="24"/>
          <w:lang w:eastAsia="en-GB"/>
        </w:rPr>
        <w:t>was</w:t>
      </w:r>
      <w:r w:rsidRPr="00686EDC">
        <w:rPr>
          <w:rFonts w:eastAsia="Calibri" w:cs="Times New Roman"/>
          <w:szCs w:val="24"/>
          <w:lang w:eastAsia="en-GB"/>
        </w:rPr>
        <w:t xml:space="preserve"> s</w:t>
      </w:r>
      <w:r>
        <w:rPr>
          <w:rFonts w:eastAsia="Calibri" w:cs="Times New Roman"/>
          <w:szCs w:val="24"/>
          <w:lang w:eastAsia="en-GB"/>
        </w:rPr>
        <w:t>imilar</w:t>
      </w:r>
      <w:r w:rsidRPr="00686EDC">
        <w:rPr>
          <w:rFonts w:eastAsia="Calibri" w:cs="Times New Roman"/>
          <w:szCs w:val="24"/>
          <w:lang w:eastAsia="en-GB"/>
        </w:rPr>
        <w:t xml:space="preserve"> for the urban and rural </w:t>
      </w:r>
      <w:r w:rsidRPr="00686EDC">
        <w:rPr>
          <w:rFonts w:eastAsia="Calibri" w:cs="Times New Roman"/>
          <w:szCs w:val="24"/>
          <w:lang w:eastAsia="en-GB"/>
        </w:rPr>
        <w:lastRenderedPageBreak/>
        <w:t>groups. Most of the respondents were married or cohabiting (394; 67.0%)</w:t>
      </w:r>
      <w:r>
        <w:rPr>
          <w:rFonts w:eastAsia="Calibri" w:cs="Times New Roman"/>
          <w:szCs w:val="24"/>
          <w:lang w:eastAsia="en-GB"/>
        </w:rPr>
        <w:t xml:space="preserve"> and this reflects in</w:t>
      </w:r>
      <w:r w:rsidRPr="00686EDC">
        <w:rPr>
          <w:rFonts w:eastAsia="Calibri" w:cs="Times New Roman"/>
          <w:szCs w:val="24"/>
          <w:lang w:eastAsia="en-GB"/>
        </w:rPr>
        <w:t xml:space="preserve"> the urban and rural groups (180;61.2% and 214;72.8% respectively).</w:t>
      </w:r>
      <w:r>
        <w:rPr>
          <w:rFonts w:eastAsia="Calibri" w:cs="Times New Roman"/>
          <w:szCs w:val="24"/>
          <w:lang w:eastAsia="en-GB"/>
        </w:rPr>
        <w:t xml:space="preserve"> See table 1</w:t>
      </w:r>
      <w:r w:rsidR="00AD6810">
        <w:rPr>
          <w:rFonts w:eastAsia="Calibri" w:cs="Times New Roman"/>
          <w:szCs w:val="24"/>
          <w:lang w:eastAsia="en-GB"/>
        </w:rPr>
        <w:t xml:space="preserve">. </w:t>
      </w:r>
      <w:bookmarkStart w:id="16" w:name="_Hlk209628309"/>
    </w:p>
    <w:p w14:paraId="5355608E" w14:textId="77777777" w:rsidR="007D06CC" w:rsidRPr="00BD151A" w:rsidRDefault="007D06CC" w:rsidP="007D06CC">
      <w:pPr>
        <w:rPr>
          <w:b/>
        </w:rPr>
      </w:pPr>
      <w:r w:rsidRPr="00686EDC">
        <w:rPr>
          <w:b/>
        </w:rPr>
        <w:t xml:space="preserve">Table 1: Socio-demographic characteristics of respondents </w:t>
      </w:r>
    </w:p>
    <w:tbl>
      <w:tblPr>
        <w:tblStyle w:val="TableGrid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629"/>
        <w:gridCol w:w="1497"/>
        <w:gridCol w:w="1629"/>
        <w:gridCol w:w="1399"/>
        <w:gridCol w:w="1046"/>
      </w:tblGrid>
      <w:tr w:rsidR="007D06CC" w:rsidRPr="00686EDC" w14:paraId="5CC374B4" w14:textId="77777777" w:rsidTr="007A46AF">
        <w:tc>
          <w:tcPr>
            <w:tcW w:w="1816" w:type="dxa"/>
          </w:tcPr>
          <w:p w14:paraId="0D65FDE8" w14:textId="77777777" w:rsidR="007D06CC" w:rsidRPr="00686EDC" w:rsidRDefault="007D06CC" w:rsidP="007A46AF">
            <w:pPr>
              <w:spacing w:before="120"/>
              <w:rPr>
                <w:rFonts w:cs="Times New Roman"/>
                <w:b/>
                <w:sz w:val="22"/>
              </w:rPr>
            </w:pPr>
            <w:r w:rsidRPr="00686EDC">
              <w:rPr>
                <w:rFonts w:cs="Times New Roman"/>
                <w:b/>
                <w:sz w:val="22"/>
              </w:rPr>
              <w:t>Variable</w:t>
            </w:r>
          </w:p>
        </w:tc>
        <w:tc>
          <w:tcPr>
            <w:tcW w:w="1629" w:type="dxa"/>
          </w:tcPr>
          <w:p w14:paraId="1CCA6A5A" w14:textId="77777777" w:rsidR="007D06CC" w:rsidRPr="00686EDC" w:rsidRDefault="007D06CC" w:rsidP="007A46AF">
            <w:pPr>
              <w:spacing w:before="120"/>
              <w:rPr>
                <w:rFonts w:cs="Times New Roman"/>
                <w:b/>
                <w:sz w:val="22"/>
              </w:rPr>
            </w:pPr>
            <w:r w:rsidRPr="00686EDC">
              <w:rPr>
                <w:rFonts w:cs="Times New Roman"/>
                <w:b/>
                <w:sz w:val="22"/>
              </w:rPr>
              <w:t>Urban (294)</w:t>
            </w:r>
          </w:p>
        </w:tc>
        <w:tc>
          <w:tcPr>
            <w:tcW w:w="1497" w:type="dxa"/>
          </w:tcPr>
          <w:p w14:paraId="1C5EB399" w14:textId="77777777" w:rsidR="007D06CC" w:rsidRPr="00686EDC" w:rsidRDefault="007D06CC" w:rsidP="007A46AF">
            <w:pPr>
              <w:spacing w:before="120"/>
              <w:rPr>
                <w:rFonts w:cs="Times New Roman"/>
                <w:b/>
                <w:sz w:val="22"/>
              </w:rPr>
            </w:pPr>
            <w:r w:rsidRPr="00686EDC">
              <w:rPr>
                <w:rFonts w:cs="Times New Roman"/>
                <w:b/>
                <w:sz w:val="22"/>
              </w:rPr>
              <w:t>Rural (294)</w:t>
            </w:r>
          </w:p>
        </w:tc>
        <w:tc>
          <w:tcPr>
            <w:tcW w:w="1629" w:type="dxa"/>
          </w:tcPr>
          <w:p w14:paraId="781CB132" w14:textId="77777777" w:rsidR="007D06CC" w:rsidRPr="00686EDC" w:rsidRDefault="007D06CC" w:rsidP="007A46AF">
            <w:pPr>
              <w:spacing w:before="120"/>
              <w:rPr>
                <w:rFonts w:cs="Times New Roman"/>
                <w:b/>
                <w:sz w:val="22"/>
              </w:rPr>
            </w:pPr>
            <w:r w:rsidRPr="00686EDC">
              <w:rPr>
                <w:rFonts w:cs="Times New Roman"/>
                <w:b/>
                <w:sz w:val="22"/>
              </w:rPr>
              <w:t>Total (588)</w:t>
            </w:r>
          </w:p>
        </w:tc>
        <w:tc>
          <w:tcPr>
            <w:tcW w:w="1399" w:type="dxa"/>
          </w:tcPr>
          <w:p w14:paraId="7FC6C957" w14:textId="77777777" w:rsidR="007D06CC" w:rsidRPr="00686EDC" w:rsidRDefault="007D06CC" w:rsidP="007A46AF">
            <w:pPr>
              <w:spacing w:before="120"/>
              <w:rPr>
                <w:rFonts w:cs="Times New Roman"/>
                <w:b/>
                <w:sz w:val="22"/>
              </w:rPr>
            </w:pPr>
            <w:r w:rsidRPr="00686EDC">
              <w:rPr>
                <w:rFonts w:cs="Times New Roman"/>
                <w:b/>
                <w:sz w:val="22"/>
              </w:rPr>
              <w:t xml:space="preserve">Test statistics </w:t>
            </w:r>
          </w:p>
        </w:tc>
        <w:tc>
          <w:tcPr>
            <w:tcW w:w="1046" w:type="dxa"/>
          </w:tcPr>
          <w:p w14:paraId="08270A51" w14:textId="77777777" w:rsidR="007D06CC" w:rsidRPr="00686EDC" w:rsidRDefault="007D06CC" w:rsidP="007A46AF">
            <w:pPr>
              <w:spacing w:before="120"/>
              <w:rPr>
                <w:rFonts w:cs="Times New Roman"/>
                <w:b/>
                <w:sz w:val="22"/>
              </w:rPr>
            </w:pPr>
            <w:r w:rsidRPr="00686EDC">
              <w:rPr>
                <w:rFonts w:cs="Times New Roman"/>
                <w:b/>
                <w:sz w:val="22"/>
              </w:rPr>
              <w:t xml:space="preserve">P-value </w:t>
            </w:r>
          </w:p>
        </w:tc>
      </w:tr>
      <w:tr w:rsidR="007D06CC" w:rsidRPr="00686EDC" w14:paraId="4F5A8DA9" w14:textId="77777777" w:rsidTr="007A46AF">
        <w:tc>
          <w:tcPr>
            <w:tcW w:w="1816" w:type="dxa"/>
            <w:tcBorders>
              <w:bottom w:val="single" w:sz="4" w:space="0" w:color="auto"/>
            </w:tcBorders>
          </w:tcPr>
          <w:p w14:paraId="51610ED5" w14:textId="77777777" w:rsidR="007D06CC" w:rsidRPr="00686EDC" w:rsidRDefault="007D06CC" w:rsidP="007A46AF">
            <w:pPr>
              <w:spacing w:before="120"/>
              <w:rPr>
                <w:rFonts w:cs="Times New Roman"/>
                <w:sz w:val="22"/>
              </w:rPr>
            </w:pPr>
          </w:p>
        </w:tc>
        <w:tc>
          <w:tcPr>
            <w:tcW w:w="1629" w:type="dxa"/>
            <w:tcBorders>
              <w:bottom w:val="single" w:sz="4" w:space="0" w:color="auto"/>
            </w:tcBorders>
          </w:tcPr>
          <w:p w14:paraId="1382DB5F" w14:textId="77777777" w:rsidR="007D06CC" w:rsidRPr="00686EDC" w:rsidRDefault="007D06CC" w:rsidP="007A46AF">
            <w:pPr>
              <w:spacing w:before="120"/>
              <w:rPr>
                <w:rFonts w:cs="Times New Roman"/>
                <w:b/>
                <w:sz w:val="22"/>
              </w:rPr>
            </w:pPr>
            <w:r w:rsidRPr="00686EDC">
              <w:rPr>
                <w:rFonts w:cs="Times New Roman"/>
                <w:b/>
                <w:sz w:val="22"/>
              </w:rPr>
              <w:t>Frequency (%)</w:t>
            </w:r>
          </w:p>
        </w:tc>
        <w:tc>
          <w:tcPr>
            <w:tcW w:w="1497" w:type="dxa"/>
            <w:tcBorders>
              <w:bottom w:val="single" w:sz="4" w:space="0" w:color="auto"/>
            </w:tcBorders>
          </w:tcPr>
          <w:p w14:paraId="1E2684C2" w14:textId="77777777" w:rsidR="007D06CC" w:rsidRPr="00686EDC" w:rsidRDefault="007D06CC" w:rsidP="007A46AF">
            <w:pPr>
              <w:spacing w:before="120"/>
              <w:rPr>
                <w:rFonts w:cs="Times New Roman"/>
                <w:b/>
                <w:sz w:val="22"/>
              </w:rPr>
            </w:pPr>
            <w:r w:rsidRPr="00686EDC">
              <w:rPr>
                <w:rFonts w:cs="Times New Roman"/>
                <w:b/>
                <w:sz w:val="22"/>
              </w:rPr>
              <w:t>Frequency (%)</w:t>
            </w:r>
          </w:p>
        </w:tc>
        <w:tc>
          <w:tcPr>
            <w:tcW w:w="1629" w:type="dxa"/>
            <w:tcBorders>
              <w:bottom w:val="single" w:sz="4" w:space="0" w:color="auto"/>
            </w:tcBorders>
          </w:tcPr>
          <w:p w14:paraId="46BFD7A0" w14:textId="77777777" w:rsidR="007D06CC" w:rsidRPr="00686EDC" w:rsidRDefault="007D06CC" w:rsidP="007A46AF">
            <w:pPr>
              <w:spacing w:before="120"/>
              <w:rPr>
                <w:rFonts w:cs="Times New Roman"/>
                <w:b/>
                <w:sz w:val="22"/>
              </w:rPr>
            </w:pPr>
            <w:r w:rsidRPr="00686EDC">
              <w:rPr>
                <w:rFonts w:cs="Times New Roman"/>
                <w:b/>
                <w:sz w:val="22"/>
              </w:rPr>
              <w:t>Frequency (%)</w:t>
            </w:r>
          </w:p>
        </w:tc>
        <w:tc>
          <w:tcPr>
            <w:tcW w:w="1399" w:type="dxa"/>
            <w:tcBorders>
              <w:bottom w:val="single" w:sz="4" w:space="0" w:color="auto"/>
            </w:tcBorders>
          </w:tcPr>
          <w:p w14:paraId="48BFE419" w14:textId="77777777" w:rsidR="007D06CC" w:rsidRPr="00686EDC" w:rsidRDefault="007D06CC" w:rsidP="007A46AF">
            <w:pPr>
              <w:spacing w:before="120"/>
              <w:rPr>
                <w:rFonts w:cs="Times New Roman"/>
                <w:sz w:val="22"/>
              </w:rPr>
            </w:pPr>
          </w:p>
        </w:tc>
        <w:tc>
          <w:tcPr>
            <w:tcW w:w="1046" w:type="dxa"/>
            <w:tcBorders>
              <w:bottom w:val="single" w:sz="4" w:space="0" w:color="auto"/>
            </w:tcBorders>
          </w:tcPr>
          <w:p w14:paraId="049E7E29" w14:textId="77777777" w:rsidR="007D06CC" w:rsidRPr="00686EDC" w:rsidRDefault="007D06CC" w:rsidP="007A46AF">
            <w:pPr>
              <w:spacing w:before="120"/>
              <w:rPr>
                <w:rFonts w:cs="Times New Roman"/>
                <w:sz w:val="22"/>
              </w:rPr>
            </w:pPr>
          </w:p>
        </w:tc>
      </w:tr>
      <w:tr w:rsidR="007D06CC" w:rsidRPr="00686EDC" w14:paraId="5A632A8C" w14:textId="77777777" w:rsidTr="007A46AF">
        <w:tc>
          <w:tcPr>
            <w:tcW w:w="1816" w:type="dxa"/>
            <w:tcBorders>
              <w:top w:val="single" w:sz="4" w:space="0" w:color="auto"/>
            </w:tcBorders>
          </w:tcPr>
          <w:p w14:paraId="5FF97106" w14:textId="77777777" w:rsidR="007D06CC" w:rsidRPr="00686EDC" w:rsidRDefault="007D06CC" w:rsidP="007A46AF">
            <w:pPr>
              <w:spacing w:before="120"/>
              <w:rPr>
                <w:rFonts w:cs="Times New Roman"/>
                <w:b/>
                <w:sz w:val="22"/>
              </w:rPr>
            </w:pPr>
            <w:r w:rsidRPr="00686EDC">
              <w:rPr>
                <w:rFonts w:cs="Times New Roman"/>
                <w:b/>
                <w:sz w:val="22"/>
              </w:rPr>
              <w:t>Age (years)</w:t>
            </w:r>
          </w:p>
        </w:tc>
        <w:tc>
          <w:tcPr>
            <w:tcW w:w="1629" w:type="dxa"/>
            <w:tcBorders>
              <w:top w:val="single" w:sz="4" w:space="0" w:color="auto"/>
            </w:tcBorders>
          </w:tcPr>
          <w:p w14:paraId="7F71CAD8" w14:textId="77777777" w:rsidR="007D06CC" w:rsidRPr="00686EDC" w:rsidRDefault="007D06CC" w:rsidP="007A46AF">
            <w:pPr>
              <w:spacing w:before="120"/>
              <w:rPr>
                <w:rFonts w:cs="Times New Roman"/>
                <w:sz w:val="22"/>
              </w:rPr>
            </w:pPr>
          </w:p>
        </w:tc>
        <w:tc>
          <w:tcPr>
            <w:tcW w:w="1497" w:type="dxa"/>
            <w:tcBorders>
              <w:top w:val="single" w:sz="4" w:space="0" w:color="auto"/>
            </w:tcBorders>
          </w:tcPr>
          <w:p w14:paraId="4B7FAE3D" w14:textId="77777777" w:rsidR="007D06CC" w:rsidRPr="00686EDC" w:rsidRDefault="007D06CC" w:rsidP="007A46AF">
            <w:pPr>
              <w:spacing w:before="120"/>
              <w:rPr>
                <w:rFonts w:cs="Times New Roman"/>
                <w:sz w:val="22"/>
              </w:rPr>
            </w:pPr>
          </w:p>
        </w:tc>
        <w:tc>
          <w:tcPr>
            <w:tcW w:w="1629" w:type="dxa"/>
            <w:tcBorders>
              <w:top w:val="single" w:sz="4" w:space="0" w:color="auto"/>
            </w:tcBorders>
          </w:tcPr>
          <w:p w14:paraId="7C4C380B" w14:textId="77777777" w:rsidR="007D06CC" w:rsidRPr="00686EDC" w:rsidRDefault="007D06CC" w:rsidP="007A46AF">
            <w:pPr>
              <w:spacing w:before="120"/>
              <w:rPr>
                <w:rFonts w:cs="Times New Roman"/>
                <w:sz w:val="22"/>
              </w:rPr>
            </w:pPr>
          </w:p>
        </w:tc>
        <w:tc>
          <w:tcPr>
            <w:tcW w:w="1399" w:type="dxa"/>
            <w:tcBorders>
              <w:top w:val="single" w:sz="4" w:space="0" w:color="auto"/>
            </w:tcBorders>
          </w:tcPr>
          <w:p w14:paraId="130EEEB1" w14:textId="77777777" w:rsidR="007D06CC" w:rsidRPr="00686EDC" w:rsidRDefault="007D06CC" w:rsidP="007A46AF">
            <w:pPr>
              <w:spacing w:before="120"/>
              <w:jc w:val="center"/>
              <w:rPr>
                <w:rFonts w:cs="Times New Roman"/>
                <w:sz w:val="22"/>
              </w:rPr>
            </w:pPr>
            <w:r w:rsidRPr="00686EDC">
              <w:rPr>
                <w:rFonts w:cs="Times New Roman"/>
                <w:sz w:val="22"/>
              </w:rPr>
              <w:t>8.80</w:t>
            </w:r>
          </w:p>
        </w:tc>
        <w:tc>
          <w:tcPr>
            <w:tcW w:w="1046" w:type="dxa"/>
            <w:tcBorders>
              <w:top w:val="single" w:sz="4" w:space="0" w:color="auto"/>
            </w:tcBorders>
          </w:tcPr>
          <w:p w14:paraId="3EE7B6F8" w14:textId="77777777" w:rsidR="007D06CC" w:rsidRPr="00686EDC" w:rsidRDefault="007D06CC" w:rsidP="007A46AF">
            <w:pPr>
              <w:spacing w:before="120"/>
              <w:jc w:val="center"/>
              <w:rPr>
                <w:rFonts w:cs="Times New Roman"/>
                <w:sz w:val="22"/>
              </w:rPr>
            </w:pPr>
            <w:r w:rsidRPr="00686EDC">
              <w:rPr>
                <w:rFonts w:cs="Times New Roman"/>
                <w:sz w:val="22"/>
              </w:rPr>
              <w:t>0.066</w:t>
            </w:r>
          </w:p>
        </w:tc>
      </w:tr>
      <w:tr w:rsidR="007D06CC" w:rsidRPr="00686EDC" w14:paraId="5215652B" w14:textId="77777777" w:rsidTr="007A46AF">
        <w:tc>
          <w:tcPr>
            <w:tcW w:w="1816" w:type="dxa"/>
          </w:tcPr>
          <w:p w14:paraId="296430A0" w14:textId="77777777" w:rsidR="007D06CC" w:rsidRPr="00686EDC" w:rsidRDefault="007D06CC" w:rsidP="007A46AF">
            <w:pPr>
              <w:spacing w:before="120"/>
              <w:rPr>
                <w:rFonts w:cs="Times New Roman"/>
                <w:sz w:val="22"/>
              </w:rPr>
            </w:pPr>
            <w:r w:rsidRPr="00686EDC">
              <w:rPr>
                <w:rFonts w:cs="Times New Roman"/>
                <w:sz w:val="22"/>
              </w:rPr>
              <w:t>&lt;19</w:t>
            </w:r>
          </w:p>
        </w:tc>
        <w:tc>
          <w:tcPr>
            <w:tcW w:w="1629" w:type="dxa"/>
          </w:tcPr>
          <w:p w14:paraId="03AA35F5" w14:textId="77777777" w:rsidR="007D06CC" w:rsidRPr="00686EDC" w:rsidRDefault="007D06CC" w:rsidP="007A46AF">
            <w:pPr>
              <w:spacing w:before="120"/>
              <w:jc w:val="center"/>
              <w:rPr>
                <w:rFonts w:cs="Times New Roman"/>
                <w:sz w:val="22"/>
              </w:rPr>
            </w:pPr>
            <w:r w:rsidRPr="00686EDC">
              <w:rPr>
                <w:rFonts w:cs="Times New Roman"/>
                <w:sz w:val="22"/>
              </w:rPr>
              <w:t>28(9.5)</w:t>
            </w:r>
          </w:p>
        </w:tc>
        <w:tc>
          <w:tcPr>
            <w:tcW w:w="1497" w:type="dxa"/>
          </w:tcPr>
          <w:p w14:paraId="33E4A496" w14:textId="77777777" w:rsidR="007D06CC" w:rsidRPr="00686EDC" w:rsidRDefault="007D06CC" w:rsidP="007A46AF">
            <w:pPr>
              <w:spacing w:before="120"/>
              <w:jc w:val="center"/>
              <w:rPr>
                <w:rFonts w:cs="Times New Roman"/>
                <w:sz w:val="22"/>
              </w:rPr>
            </w:pPr>
            <w:r w:rsidRPr="00686EDC">
              <w:rPr>
                <w:rFonts w:cs="Times New Roman"/>
                <w:sz w:val="22"/>
              </w:rPr>
              <w:t>22(7.5)</w:t>
            </w:r>
          </w:p>
        </w:tc>
        <w:tc>
          <w:tcPr>
            <w:tcW w:w="1629" w:type="dxa"/>
          </w:tcPr>
          <w:p w14:paraId="658AEB40" w14:textId="77777777" w:rsidR="007D06CC" w:rsidRPr="00686EDC" w:rsidRDefault="007D06CC" w:rsidP="007A46AF">
            <w:pPr>
              <w:spacing w:before="120"/>
              <w:jc w:val="center"/>
              <w:rPr>
                <w:rFonts w:cs="Times New Roman"/>
                <w:sz w:val="22"/>
              </w:rPr>
            </w:pPr>
            <w:r w:rsidRPr="00686EDC">
              <w:rPr>
                <w:rFonts w:cs="Times New Roman"/>
                <w:sz w:val="22"/>
              </w:rPr>
              <w:t>50(8.5)</w:t>
            </w:r>
          </w:p>
        </w:tc>
        <w:tc>
          <w:tcPr>
            <w:tcW w:w="1399" w:type="dxa"/>
          </w:tcPr>
          <w:p w14:paraId="1D6FF182" w14:textId="77777777" w:rsidR="007D06CC" w:rsidRPr="00686EDC" w:rsidRDefault="007D06CC" w:rsidP="007A46AF">
            <w:pPr>
              <w:spacing w:before="120"/>
              <w:jc w:val="center"/>
              <w:rPr>
                <w:rFonts w:cs="Times New Roman"/>
                <w:sz w:val="22"/>
              </w:rPr>
            </w:pPr>
          </w:p>
        </w:tc>
        <w:tc>
          <w:tcPr>
            <w:tcW w:w="1046" w:type="dxa"/>
          </w:tcPr>
          <w:p w14:paraId="6A90DA58" w14:textId="77777777" w:rsidR="007D06CC" w:rsidRPr="00686EDC" w:rsidRDefault="007D06CC" w:rsidP="007A46AF">
            <w:pPr>
              <w:spacing w:before="120"/>
              <w:jc w:val="center"/>
              <w:rPr>
                <w:rFonts w:cs="Times New Roman"/>
                <w:sz w:val="22"/>
              </w:rPr>
            </w:pPr>
          </w:p>
        </w:tc>
      </w:tr>
      <w:tr w:rsidR="007D06CC" w:rsidRPr="00686EDC" w14:paraId="0B6FD3F1" w14:textId="77777777" w:rsidTr="007A46AF">
        <w:tc>
          <w:tcPr>
            <w:tcW w:w="1816" w:type="dxa"/>
          </w:tcPr>
          <w:p w14:paraId="19D6FE7C" w14:textId="77777777" w:rsidR="007D06CC" w:rsidRPr="00686EDC" w:rsidRDefault="007D06CC" w:rsidP="007A46AF">
            <w:pPr>
              <w:spacing w:before="120"/>
              <w:rPr>
                <w:rFonts w:cs="Times New Roman"/>
                <w:sz w:val="22"/>
              </w:rPr>
            </w:pPr>
            <w:r w:rsidRPr="00686EDC">
              <w:rPr>
                <w:rFonts w:cs="Times New Roman"/>
                <w:sz w:val="22"/>
              </w:rPr>
              <w:t>20-29</w:t>
            </w:r>
          </w:p>
        </w:tc>
        <w:tc>
          <w:tcPr>
            <w:tcW w:w="1629" w:type="dxa"/>
          </w:tcPr>
          <w:p w14:paraId="67EDA90C" w14:textId="77777777" w:rsidR="007D06CC" w:rsidRPr="00686EDC" w:rsidRDefault="007D06CC" w:rsidP="007A46AF">
            <w:pPr>
              <w:spacing w:before="120"/>
              <w:jc w:val="center"/>
              <w:rPr>
                <w:rFonts w:cs="Times New Roman"/>
                <w:sz w:val="22"/>
              </w:rPr>
            </w:pPr>
            <w:bookmarkStart w:id="17" w:name="_Hlk199409026"/>
            <w:r w:rsidRPr="00686EDC">
              <w:rPr>
                <w:rFonts w:cs="Times New Roman"/>
                <w:sz w:val="22"/>
              </w:rPr>
              <w:t>95(32.3)</w:t>
            </w:r>
            <w:bookmarkEnd w:id="17"/>
          </w:p>
        </w:tc>
        <w:tc>
          <w:tcPr>
            <w:tcW w:w="1497" w:type="dxa"/>
          </w:tcPr>
          <w:p w14:paraId="237B0E92" w14:textId="77777777" w:rsidR="007D06CC" w:rsidRPr="00686EDC" w:rsidRDefault="007D06CC" w:rsidP="007A46AF">
            <w:pPr>
              <w:spacing w:before="120"/>
              <w:jc w:val="center"/>
              <w:rPr>
                <w:rFonts w:cs="Times New Roman"/>
                <w:sz w:val="22"/>
              </w:rPr>
            </w:pPr>
            <w:r w:rsidRPr="00686EDC">
              <w:rPr>
                <w:rFonts w:cs="Times New Roman"/>
                <w:sz w:val="22"/>
              </w:rPr>
              <w:t>113(38.4)</w:t>
            </w:r>
          </w:p>
        </w:tc>
        <w:tc>
          <w:tcPr>
            <w:tcW w:w="1629" w:type="dxa"/>
          </w:tcPr>
          <w:p w14:paraId="42EACF61" w14:textId="77777777" w:rsidR="007D06CC" w:rsidRPr="00686EDC" w:rsidRDefault="007D06CC" w:rsidP="007A46AF">
            <w:pPr>
              <w:spacing w:before="120"/>
              <w:jc w:val="center"/>
              <w:rPr>
                <w:rFonts w:cs="Times New Roman"/>
                <w:sz w:val="22"/>
              </w:rPr>
            </w:pPr>
            <w:r w:rsidRPr="00686EDC">
              <w:rPr>
                <w:rFonts w:cs="Times New Roman"/>
                <w:sz w:val="22"/>
              </w:rPr>
              <w:t>208(35.4)</w:t>
            </w:r>
          </w:p>
        </w:tc>
        <w:tc>
          <w:tcPr>
            <w:tcW w:w="1399" w:type="dxa"/>
          </w:tcPr>
          <w:p w14:paraId="45229BFF" w14:textId="77777777" w:rsidR="007D06CC" w:rsidRPr="00686EDC" w:rsidRDefault="007D06CC" w:rsidP="007A46AF">
            <w:pPr>
              <w:spacing w:before="120"/>
              <w:jc w:val="center"/>
              <w:rPr>
                <w:rFonts w:cs="Times New Roman"/>
                <w:sz w:val="22"/>
              </w:rPr>
            </w:pPr>
          </w:p>
        </w:tc>
        <w:tc>
          <w:tcPr>
            <w:tcW w:w="1046" w:type="dxa"/>
          </w:tcPr>
          <w:p w14:paraId="5BC764B8" w14:textId="77777777" w:rsidR="007D06CC" w:rsidRPr="00686EDC" w:rsidRDefault="007D06CC" w:rsidP="007A46AF">
            <w:pPr>
              <w:spacing w:before="120"/>
              <w:jc w:val="center"/>
              <w:rPr>
                <w:rFonts w:cs="Times New Roman"/>
                <w:sz w:val="22"/>
              </w:rPr>
            </w:pPr>
          </w:p>
        </w:tc>
      </w:tr>
      <w:tr w:rsidR="007D06CC" w:rsidRPr="00686EDC" w14:paraId="7FCD95FF" w14:textId="77777777" w:rsidTr="007A46AF">
        <w:tc>
          <w:tcPr>
            <w:tcW w:w="1816" w:type="dxa"/>
          </w:tcPr>
          <w:p w14:paraId="5C228A02" w14:textId="77777777" w:rsidR="007D06CC" w:rsidRPr="00686EDC" w:rsidRDefault="007D06CC" w:rsidP="007A46AF">
            <w:pPr>
              <w:spacing w:before="120"/>
              <w:rPr>
                <w:rFonts w:cs="Times New Roman"/>
                <w:sz w:val="22"/>
              </w:rPr>
            </w:pPr>
            <w:r w:rsidRPr="00686EDC">
              <w:rPr>
                <w:rFonts w:cs="Times New Roman"/>
                <w:sz w:val="22"/>
              </w:rPr>
              <w:t>30-39</w:t>
            </w:r>
          </w:p>
        </w:tc>
        <w:tc>
          <w:tcPr>
            <w:tcW w:w="1629" w:type="dxa"/>
          </w:tcPr>
          <w:p w14:paraId="3415572D" w14:textId="77777777" w:rsidR="007D06CC" w:rsidRPr="00686EDC" w:rsidRDefault="007D06CC" w:rsidP="007A46AF">
            <w:pPr>
              <w:spacing w:before="120"/>
              <w:jc w:val="center"/>
              <w:rPr>
                <w:rFonts w:cs="Times New Roman"/>
                <w:sz w:val="22"/>
              </w:rPr>
            </w:pPr>
            <w:r w:rsidRPr="00686EDC">
              <w:rPr>
                <w:rFonts w:cs="Times New Roman"/>
                <w:sz w:val="22"/>
              </w:rPr>
              <w:t>109(37.1)</w:t>
            </w:r>
          </w:p>
        </w:tc>
        <w:tc>
          <w:tcPr>
            <w:tcW w:w="1497" w:type="dxa"/>
          </w:tcPr>
          <w:p w14:paraId="31BE3B21" w14:textId="77777777" w:rsidR="007D06CC" w:rsidRPr="00686EDC" w:rsidRDefault="007D06CC" w:rsidP="007A46AF">
            <w:pPr>
              <w:spacing w:before="120"/>
              <w:jc w:val="center"/>
              <w:rPr>
                <w:rFonts w:cs="Times New Roman"/>
                <w:sz w:val="22"/>
              </w:rPr>
            </w:pPr>
            <w:r w:rsidRPr="00686EDC">
              <w:rPr>
                <w:rFonts w:cs="Times New Roman"/>
                <w:sz w:val="22"/>
              </w:rPr>
              <w:t>95(32.3)</w:t>
            </w:r>
          </w:p>
        </w:tc>
        <w:tc>
          <w:tcPr>
            <w:tcW w:w="1629" w:type="dxa"/>
          </w:tcPr>
          <w:p w14:paraId="69EF3C66" w14:textId="77777777" w:rsidR="007D06CC" w:rsidRPr="00686EDC" w:rsidRDefault="007D06CC" w:rsidP="007A46AF">
            <w:pPr>
              <w:spacing w:before="120"/>
              <w:jc w:val="center"/>
              <w:rPr>
                <w:rFonts w:cs="Times New Roman"/>
                <w:sz w:val="22"/>
              </w:rPr>
            </w:pPr>
            <w:bookmarkStart w:id="18" w:name="_Hlk199408412"/>
            <w:r w:rsidRPr="00686EDC">
              <w:rPr>
                <w:rFonts w:cs="Times New Roman"/>
                <w:sz w:val="22"/>
              </w:rPr>
              <w:t>204(34.7)</w:t>
            </w:r>
            <w:bookmarkEnd w:id="18"/>
          </w:p>
        </w:tc>
        <w:tc>
          <w:tcPr>
            <w:tcW w:w="1399" w:type="dxa"/>
          </w:tcPr>
          <w:p w14:paraId="19ED05F9" w14:textId="77777777" w:rsidR="007D06CC" w:rsidRPr="00686EDC" w:rsidRDefault="007D06CC" w:rsidP="007A46AF">
            <w:pPr>
              <w:spacing w:before="120"/>
              <w:jc w:val="center"/>
              <w:rPr>
                <w:rFonts w:cs="Times New Roman"/>
                <w:sz w:val="22"/>
              </w:rPr>
            </w:pPr>
          </w:p>
        </w:tc>
        <w:tc>
          <w:tcPr>
            <w:tcW w:w="1046" w:type="dxa"/>
          </w:tcPr>
          <w:p w14:paraId="350AF108" w14:textId="77777777" w:rsidR="007D06CC" w:rsidRPr="00686EDC" w:rsidRDefault="007D06CC" w:rsidP="007A46AF">
            <w:pPr>
              <w:spacing w:before="120"/>
              <w:jc w:val="center"/>
              <w:rPr>
                <w:rFonts w:cs="Times New Roman"/>
                <w:sz w:val="22"/>
              </w:rPr>
            </w:pPr>
          </w:p>
        </w:tc>
      </w:tr>
      <w:tr w:rsidR="007D06CC" w:rsidRPr="00686EDC" w14:paraId="03F65ED0" w14:textId="77777777" w:rsidTr="007A46AF">
        <w:tc>
          <w:tcPr>
            <w:tcW w:w="1816" w:type="dxa"/>
          </w:tcPr>
          <w:p w14:paraId="0D004C87" w14:textId="77777777" w:rsidR="007D06CC" w:rsidRPr="00686EDC" w:rsidRDefault="007D06CC" w:rsidP="007A46AF">
            <w:pPr>
              <w:spacing w:before="120"/>
              <w:rPr>
                <w:rFonts w:cs="Times New Roman"/>
                <w:sz w:val="22"/>
              </w:rPr>
            </w:pPr>
            <w:r w:rsidRPr="00686EDC">
              <w:rPr>
                <w:rFonts w:cs="Times New Roman"/>
                <w:sz w:val="22"/>
              </w:rPr>
              <w:t>40-49</w:t>
            </w:r>
          </w:p>
        </w:tc>
        <w:tc>
          <w:tcPr>
            <w:tcW w:w="1629" w:type="dxa"/>
          </w:tcPr>
          <w:p w14:paraId="5F84984E" w14:textId="77777777" w:rsidR="007D06CC" w:rsidRPr="00686EDC" w:rsidRDefault="007D06CC" w:rsidP="007A46AF">
            <w:pPr>
              <w:spacing w:before="120"/>
              <w:jc w:val="center"/>
              <w:rPr>
                <w:rFonts w:cs="Times New Roman"/>
                <w:sz w:val="22"/>
              </w:rPr>
            </w:pPr>
            <w:r w:rsidRPr="00686EDC">
              <w:rPr>
                <w:rFonts w:cs="Times New Roman"/>
                <w:sz w:val="22"/>
              </w:rPr>
              <w:t>52(17.7)</w:t>
            </w:r>
          </w:p>
        </w:tc>
        <w:tc>
          <w:tcPr>
            <w:tcW w:w="1497" w:type="dxa"/>
          </w:tcPr>
          <w:p w14:paraId="7CD3CA30" w14:textId="77777777" w:rsidR="007D06CC" w:rsidRPr="00686EDC" w:rsidRDefault="007D06CC" w:rsidP="007A46AF">
            <w:pPr>
              <w:spacing w:before="120"/>
              <w:jc w:val="center"/>
              <w:rPr>
                <w:rFonts w:cs="Times New Roman"/>
                <w:sz w:val="22"/>
              </w:rPr>
            </w:pPr>
            <w:r w:rsidRPr="00686EDC">
              <w:rPr>
                <w:rFonts w:cs="Times New Roman"/>
                <w:sz w:val="22"/>
              </w:rPr>
              <w:t>42(14.3)</w:t>
            </w:r>
          </w:p>
        </w:tc>
        <w:tc>
          <w:tcPr>
            <w:tcW w:w="1629" w:type="dxa"/>
          </w:tcPr>
          <w:p w14:paraId="64009C2E" w14:textId="77777777" w:rsidR="007D06CC" w:rsidRPr="00686EDC" w:rsidRDefault="007D06CC" w:rsidP="007A46AF">
            <w:pPr>
              <w:spacing w:before="120"/>
              <w:jc w:val="center"/>
              <w:rPr>
                <w:rFonts w:cs="Times New Roman"/>
                <w:sz w:val="22"/>
              </w:rPr>
            </w:pPr>
            <w:r w:rsidRPr="00686EDC">
              <w:rPr>
                <w:rFonts w:cs="Times New Roman"/>
                <w:sz w:val="22"/>
              </w:rPr>
              <w:t>94(16.0)</w:t>
            </w:r>
          </w:p>
        </w:tc>
        <w:tc>
          <w:tcPr>
            <w:tcW w:w="1399" w:type="dxa"/>
          </w:tcPr>
          <w:p w14:paraId="06747D96" w14:textId="77777777" w:rsidR="007D06CC" w:rsidRPr="00686EDC" w:rsidRDefault="007D06CC" w:rsidP="007A46AF">
            <w:pPr>
              <w:spacing w:before="120"/>
              <w:jc w:val="center"/>
              <w:rPr>
                <w:rFonts w:cs="Times New Roman"/>
                <w:sz w:val="22"/>
              </w:rPr>
            </w:pPr>
          </w:p>
        </w:tc>
        <w:tc>
          <w:tcPr>
            <w:tcW w:w="1046" w:type="dxa"/>
          </w:tcPr>
          <w:p w14:paraId="3E02940C" w14:textId="77777777" w:rsidR="007D06CC" w:rsidRPr="00686EDC" w:rsidRDefault="007D06CC" w:rsidP="007A46AF">
            <w:pPr>
              <w:spacing w:before="120"/>
              <w:jc w:val="center"/>
              <w:rPr>
                <w:rFonts w:cs="Times New Roman"/>
                <w:sz w:val="22"/>
              </w:rPr>
            </w:pPr>
          </w:p>
        </w:tc>
      </w:tr>
      <w:tr w:rsidR="007D06CC" w:rsidRPr="00686EDC" w14:paraId="6B1DF447" w14:textId="77777777" w:rsidTr="007A46AF">
        <w:tc>
          <w:tcPr>
            <w:tcW w:w="1816" w:type="dxa"/>
          </w:tcPr>
          <w:p w14:paraId="1DA00BDC" w14:textId="77777777" w:rsidR="007D06CC" w:rsidRPr="00686EDC" w:rsidRDefault="007D06CC" w:rsidP="007A46AF">
            <w:pPr>
              <w:spacing w:before="120"/>
              <w:rPr>
                <w:rFonts w:cs="Times New Roman"/>
                <w:sz w:val="22"/>
              </w:rPr>
            </w:pPr>
            <w:r w:rsidRPr="00686EDC">
              <w:rPr>
                <w:rFonts w:cs="Times New Roman"/>
                <w:sz w:val="22"/>
              </w:rPr>
              <w:t>&gt;50</w:t>
            </w:r>
          </w:p>
        </w:tc>
        <w:tc>
          <w:tcPr>
            <w:tcW w:w="1629" w:type="dxa"/>
          </w:tcPr>
          <w:p w14:paraId="1FF3B68A" w14:textId="77777777" w:rsidR="007D06CC" w:rsidRPr="00686EDC" w:rsidRDefault="007D06CC" w:rsidP="007A46AF">
            <w:pPr>
              <w:spacing w:before="120"/>
              <w:jc w:val="center"/>
              <w:rPr>
                <w:rFonts w:cs="Times New Roman"/>
                <w:sz w:val="22"/>
              </w:rPr>
            </w:pPr>
            <w:r w:rsidRPr="00686EDC">
              <w:rPr>
                <w:rFonts w:cs="Times New Roman"/>
                <w:sz w:val="22"/>
              </w:rPr>
              <w:t>10(3.4)</w:t>
            </w:r>
          </w:p>
        </w:tc>
        <w:tc>
          <w:tcPr>
            <w:tcW w:w="1497" w:type="dxa"/>
          </w:tcPr>
          <w:p w14:paraId="63AE87C6" w14:textId="77777777" w:rsidR="007D06CC" w:rsidRPr="00686EDC" w:rsidRDefault="007D06CC" w:rsidP="007A46AF">
            <w:pPr>
              <w:spacing w:before="120"/>
              <w:jc w:val="center"/>
              <w:rPr>
                <w:rFonts w:cs="Times New Roman"/>
                <w:sz w:val="22"/>
              </w:rPr>
            </w:pPr>
            <w:r w:rsidRPr="00686EDC">
              <w:rPr>
                <w:rFonts w:cs="Times New Roman"/>
                <w:sz w:val="22"/>
              </w:rPr>
              <w:t>22(7.5)</w:t>
            </w:r>
          </w:p>
        </w:tc>
        <w:tc>
          <w:tcPr>
            <w:tcW w:w="1629" w:type="dxa"/>
          </w:tcPr>
          <w:p w14:paraId="399BA73F" w14:textId="77777777" w:rsidR="007D06CC" w:rsidRPr="00686EDC" w:rsidRDefault="007D06CC" w:rsidP="007A46AF">
            <w:pPr>
              <w:spacing w:before="120"/>
              <w:jc w:val="center"/>
              <w:rPr>
                <w:rFonts w:cs="Times New Roman"/>
                <w:sz w:val="22"/>
              </w:rPr>
            </w:pPr>
            <w:r w:rsidRPr="00686EDC">
              <w:rPr>
                <w:rFonts w:cs="Times New Roman"/>
                <w:sz w:val="22"/>
              </w:rPr>
              <w:t>32(5.4)</w:t>
            </w:r>
          </w:p>
        </w:tc>
        <w:tc>
          <w:tcPr>
            <w:tcW w:w="1399" w:type="dxa"/>
          </w:tcPr>
          <w:p w14:paraId="236C0071" w14:textId="77777777" w:rsidR="007D06CC" w:rsidRPr="00686EDC" w:rsidRDefault="007D06CC" w:rsidP="007A46AF">
            <w:pPr>
              <w:spacing w:before="120"/>
              <w:jc w:val="center"/>
              <w:rPr>
                <w:rFonts w:cs="Times New Roman"/>
                <w:sz w:val="22"/>
              </w:rPr>
            </w:pPr>
          </w:p>
        </w:tc>
        <w:tc>
          <w:tcPr>
            <w:tcW w:w="1046" w:type="dxa"/>
          </w:tcPr>
          <w:p w14:paraId="0159BFC1" w14:textId="77777777" w:rsidR="007D06CC" w:rsidRPr="00686EDC" w:rsidRDefault="007D06CC" w:rsidP="007A46AF">
            <w:pPr>
              <w:spacing w:before="120"/>
              <w:jc w:val="center"/>
              <w:rPr>
                <w:rFonts w:cs="Times New Roman"/>
                <w:sz w:val="22"/>
              </w:rPr>
            </w:pPr>
          </w:p>
        </w:tc>
      </w:tr>
      <w:tr w:rsidR="007D06CC" w:rsidRPr="00686EDC" w14:paraId="3C8C5259" w14:textId="77777777" w:rsidTr="007A46AF">
        <w:tc>
          <w:tcPr>
            <w:tcW w:w="1816" w:type="dxa"/>
          </w:tcPr>
          <w:p w14:paraId="7731253A" w14:textId="77777777" w:rsidR="007D06CC" w:rsidRPr="00686EDC" w:rsidRDefault="007D06CC" w:rsidP="007A46AF">
            <w:pPr>
              <w:spacing w:before="120"/>
              <w:rPr>
                <w:rFonts w:cs="Times New Roman"/>
                <w:b/>
                <w:sz w:val="22"/>
              </w:rPr>
            </w:pPr>
            <w:r w:rsidRPr="00686EDC">
              <w:rPr>
                <w:rFonts w:cs="Times New Roman"/>
                <w:b/>
                <w:sz w:val="22"/>
              </w:rPr>
              <w:t>Mean ±SD</w:t>
            </w:r>
          </w:p>
        </w:tc>
        <w:tc>
          <w:tcPr>
            <w:tcW w:w="1629" w:type="dxa"/>
          </w:tcPr>
          <w:p w14:paraId="336E1AEE" w14:textId="77777777" w:rsidR="007D06CC" w:rsidRPr="00686EDC" w:rsidRDefault="007D06CC" w:rsidP="007A46AF">
            <w:pPr>
              <w:spacing w:before="120"/>
              <w:jc w:val="center"/>
              <w:rPr>
                <w:rFonts w:cs="Times New Roman"/>
                <w:sz w:val="22"/>
              </w:rPr>
            </w:pPr>
            <w:r w:rsidRPr="00686EDC">
              <w:rPr>
                <w:rFonts w:cs="Times New Roman"/>
                <w:sz w:val="22"/>
              </w:rPr>
              <w:t>31.3±9.4</w:t>
            </w:r>
          </w:p>
        </w:tc>
        <w:tc>
          <w:tcPr>
            <w:tcW w:w="1497" w:type="dxa"/>
          </w:tcPr>
          <w:p w14:paraId="220BF5DA" w14:textId="77777777" w:rsidR="007D06CC" w:rsidRPr="00686EDC" w:rsidRDefault="007D06CC" w:rsidP="007A46AF">
            <w:pPr>
              <w:spacing w:before="120"/>
              <w:jc w:val="center"/>
              <w:rPr>
                <w:rFonts w:cs="Times New Roman"/>
                <w:sz w:val="22"/>
              </w:rPr>
            </w:pPr>
            <w:r w:rsidRPr="00686EDC">
              <w:rPr>
                <w:rFonts w:cs="Times New Roman"/>
                <w:sz w:val="22"/>
              </w:rPr>
              <w:t>32.4±10.8</w:t>
            </w:r>
          </w:p>
        </w:tc>
        <w:tc>
          <w:tcPr>
            <w:tcW w:w="1629" w:type="dxa"/>
          </w:tcPr>
          <w:p w14:paraId="3FE37A6C" w14:textId="77777777" w:rsidR="007D06CC" w:rsidRPr="00686EDC" w:rsidRDefault="007D06CC" w:rsidP="007A46AF">
            <w:pPr>
              <w:spacing w:before="120"/>
              <w:jc w:val="center"/>
              <w:rPr>
                <w:rFonts w:cs="Times New Roman"/>
                <w:sz w:val="22"/>
              </w:rPr>
            </w:pPr>
            <w:r w:rsidRPr="00686EDC">
              <w:rPr>
                <w:rFonts w:cs="Times New Roman"/>
                <w:sz w:val="22"/>
              </w:rPr>
              <w:t>31.9±10.1</w:t>
            </w:r>
          </w:p>
        </w:tc>
        <w:tc>
          <w:tcPr>
            <w:tcW w:w="1399" w:type="dxa"/>
          </w:tcPr>
          <w:p w14:paraId="14DC4CFD" w14:textId="77777777" w:rsidR="007D06CC" w:rsidRPr="00686EDC" w:rsidRDefault="007D06CC" w:rsidP="007A46AF">
            <w:pPr>
              <w:spacing w:before="120"/>
              <w:jc w:val="center"/>
              <w:rPr>
                <w:rFonts w:cs="Times New Roman"/>
                <w:sz w:val="22"/>
              </w:rPr>
            </w:pPr>
          </w:p>
        </w:tc>
        <w:tc>
          <w:tcPr>
            <w:tcW w:w="1046" w:type="dxa"/>
          </w:tcPr>
          <w:p w14:paraId="628251E3" w14:textId="77777777" w:rsidR="007D06CC" w:rsidRPr="00686EDC" w:rsidRDefault="007D06CC" w:rsidP="007A46AF">
            <w:pPr>
              <w:spacing w:before="120"/>
              <w:jc w:val="center"/>
              <w:rPr>
                <w:rFonts w:cs="Times New Roman"/>
                <w:sz w:val="22"/>
              </w:rPr>
            </w:pPr>
          </w:p>
        </w:tc>
      </w:tr>
      <w:tr w:rsidR="007D06CC" w:rsidRPr="00686EDC" w14:paraId="5811C2F2" w14:textId="77777777" w:rsidTr="007A46AF">
        <w:tc>
          <w:tcPr>
            <w:tcW w:w="1816" w:type="dxa"/>
          </w:tcPr>
          <w:p w14:paraId="6E3FF4D9" w14:textId="77777777" w:rsidR="007D06CC" w:rsidRPr="00686EDC" w:rsidRDefault="007D06CC" w:rsidP="007A46AF">
            <w:pPr>
              <w:spacing w:before="120"/>
              <w:rPr>
                <w:rFonts w:cs="Times New Roman"/>
                <w:b/>
                <w:sz w:val="22"/>
              </w:rPr>
            </w:pPr>
            <w:r w:rsidRPr="00686EDC">
              <w:rPr>
                <w:rFonts w:cs="Times New Roman"/>
                <w:b/>
                <w:sz w:val="22"/>
              </w:rPr>
              <w:t xml:space="preserve">Ethnicity </w:t>
            </w:r>
          </w:p>
        </w:tc>
        <w:tc>
          <w:tcPr>
            <w:tcW w:w="1629" w:type="dxa"/>
          </w:tcPr>
          <w:p w14:paraId="26A124D7" w14:textId="77777777" w:rsidR="007D06CC" w:rsidRPr="00686EDC" w:rsidRDefault="007D06CC" w:rsidP="007A46AF">
            <w:pPr>
              <w:spacing w:before="120"/>
              <w:jc w:val="center"/>
              <w:rPr>
                <w:rFonts w:cs="Times New Roman"/>
                <w:sz w:val="22"/>
              </w:rPr>
            </w:pPr>
          </w:p>
        </w:tc>
        <w:tc>
          <w:tcPr>
            <w:tcW w:w="1497" w:type="dxa"/>
          </w:tcPr>
          <w:p w14:paraId="0F0F1743" w14:textId="77777777" w:rsidR="007D06CC" w:rsidRPr="00686EDC" w:rsidRDefault="007D06CC" w:rsidP="007A46AF">
            <w:pPr>
              <w:spacing w:before="120"/>
              <w:jc w:val="center"/>
              <w:rPr>
                <w:rFonts w:cs="Times New Roman"/>
                <w:sz w:val="22"/>
              </w:rPr>
            </w:pPr>
          </w:p>
        </w:tc>
        <w:tc>
          <w:tcPr>
            <w:tcW w:w="1629" w:type="dxa"/>
          </w:tcPr>
          <w:p w14:paraId="50FC1FEF" w14:textId="77777777" w:rsidR="007D06CC" w:rsidRPr="00686EDC" w:rsidRDefault="007D06CC" w:rsidP="007A46AF">
            <w:pPr>
              <w:spacing w:before="120"/>
              <w:jc w:val="center"/>
              <w:rPr>
                <w:rFonts w:cs="Times New Roman"/>
                <w:sz w:val="22"/>
              </w:rPr>
            </w:pPr>
          </w:p>
        </w:tc>
        <w:tc>
          <w:tcPr>
            <w:tcW w:w="1399" w:type="dxa"/>
          </w:tcPr>
          <w:p w14:paraId="7361EF4F" w14:textId="77777777" w:rsidR="007D06CC" w:rsidRPr="00686EDC" w:rsidRDefault="007D06CC" w:rsidP="007A46AF">
            <w:pPr>
              <w:spacing w:before="120"/>
              <w:jc w:val="center"/>
              <w:rPr>
                <w:rFonts w:cs="Times New Roman"/>
                <w:sz w:val="22"/>
              </w:rPr>
            </w:pPr>
            <w:r w:rsidRPr="00686EDC">
              <w:rPr>
                <w:rFonts w:cs="Times New Roman"/>
                <w:sz w:val="22"/>
              </w:rPr>
              <w:t>1.10</w:t>
            </w:r>
          </w:p>
        </w:tc>
        <w:tc>
          <w:tcPr>
            <w:tcW w:w="1046" w:type="dxa"/>
          </w:tcPr>
          <w:p w14:paraId="0F26A196" w14:textId="77777777" w:rsidR="007D06CC" w:rsidRPr="00686EDC" w:rsidRDefault="007D06CC" w:rsidP="007A46AF">
            <w:pPr>
              <w:spacing w:before="120"/>
              <w:jc w:val="center"/>
              <w:rPr>
                <w:rFonts w:cs="Times New Roman"/>
                <w:sz w:val="22"/>
              </w:rPr>
            </w:pPr>
            <w:r w:rsidRPr="00686EDC">
              <w:rPr>
                <w:rFonts w:cs="Times New Roman"/>
                <w:sz w:val="22"/>
              </w:rPr>
              <w:t>0.578</w:t>
            </w:r>
          </w:p>
        </w:tc>
      </w:tr>
      <w:tr w:rsidR="007D06CC" w:rsidRPr="00686EDC" w14:paraId="0EBDE325" w14:textId="77777777" w:rsidTr="007A46AF">
        <w:tc>
          <w:tcPr>
            <w:tcW w:w="1816" w:type="dxa"/>
          </w:tcPr>
          <w:p w14:paraId="3C709462" w14:textId="77777777" w:rsidR="007D06CC" w:rsidRPr="00686EDC" w:rsidRDefault="007D06CC" w:rsidP="007A46AF">
            <w:pPr>
              <w:spacing w:before="120"/>
              <w:rPr>
                <w:rFonts w:cs="Times New Roman"/>
                <w:b/>
                <w:sz w:val="22"/>
              </w:rPr>
            </w:pPr>
            <w:r w:rsidRPr="00686EDC">
              <w:rPr>
                <w:rFonts w:eastAsia="DengXian" w:cs="Times New Roman"/>
                <w:lang w:eastAsia="en-GB"/>
              </w:rPr>
              <w:t>Igbo</w:t>
            </w:r>
          </w:p>
        </w:tc>
        <w:tc>
          <w:tcPr>
            <w:tcW w:w="1629" w:type="dxa"/>
          </w:tcPr>
          <w:p w14:paraId="45F93E9B" w14:textId="77777777" w:rsidR="007D06CC" w:rsidRPr="00686EDC" w:rsidRDefault="007D06CC" w:rsidP="007A46AF">
            <w:pPr>
              <w:spacing w:before="120"/>
              <w:jc w:val="center"/>
              <w:rPr>
                <w:rFonts w:cs="Times New Roman"/>
                <w:sz w:val="22"/>
              </w:rPr>
            </w:pPr>
            <w:r w:rsidRPr="00686EDC">
              <w:rPr>
                <w:rFonts w:eastAsia="DengXian" w:cs="Times New Roman"/>
                <w:lang w:eastAsia="en-GB"/>
              </w:rPr>
              <w:t>270(91.8)</w:t>
            </w:r>
          </w:p>
        </w:tc>
        <w:tc>
          <w:tcPr>
            <w:tcW w:w="1497" w:type="dxa"/>
          </w:tcPr>
          <w:p w14:paraId="05E39355" w14:textId="77777777" w:rsidR="007D06CC" w:rsidRPr="00686EDC" w:rsidRDefault="007D06CC" w:rsidP="007A46AF">
            <w:pPr>
              <w:spacing w:before="120"/>
              <w:jc w:val="center"/>
              <w:rPr>
                <w:rFonts w:cs="Times New Roman"/>
                <w:sz w:val="22"/>
              </w:rPr>
            </w:pPr>
            <w:r w:rsidRPr="00686EDC">
              <w:rPr>
                <w:rFonts w:eastAsia="DengXian" w:cs="Times New Roman"/>
                <w:lang w:eastAsia="en-GB"/>
              </w:rPr>
              <w:t>264(89.8)</w:t>
            </w:r>
          </w:p>
        </w:tc>
        <w:tc>
          <w:tcPr>
            <w:tcW w:w="1629" w:type="dxa"/>
          </w:tcPr>
          <w:p w14:paraId="0697E140" w14:textId="77777777" w:rsidR="007D06CC" w:rsidRPr="00686EDC" w:rsidRDefault="007D06CC" w:rsidP="007A46AF">
            <w:pPr>
              <w:spacing w:before="120"/>
              <w:jc w:val="center"/>
              <w:rPr>
                <w:rFonts w:cs="Times New Roman"/>
                <w:sz w:val="22"/>
              </w:rPr>
            </w:pPr>
            <w:r w:rsidRPr="00686EDC">
              <w:rPr>
                <w:rFonts w:eastAsia="DengXian" w:cs="Times New Roman"/>
                <w:lang w:eastAsia="en-GB"/>
              </w:rPr>
              <w:t>534(90.8)</w:t>
            </w:r>
          </w:p>
        </w:tc>
        <w:tc>
          <w:tcPr>
            <w:tcW w:w="1399" w:type="dxa"/>
          </w:tcPr>
          <w:p w14:paraId="0BA8FEAA" w14:textId="77777777" w:rsidR="007D06CC" w:rsidRPr="00686EDC" w:rsidRDefault="007D06CC" w:rsidP="007A46AF">
            <w:pPr>
              <w:spacing w:before="120"/>
              <w:jc w:val="center"/>
              <w:rPr>
                <w:rFonts w:cs="Times New Roman"/>
                <w:sz w:val="22"/>
              </w:rPr>
            </w:pPr>
          </w:p>
        </w:tc>
        <w:tc>
          <w:tcPr>
            <w:tcW w:w="1046" w:type="dxa"/>
          </w:tcPr>
          <w:p w14:paraId="6D3E6BE3" w14:textId="77777777" w:rsidR="007D06CC" w:rsidRPr="00686EDC" w:rsidRDefault="007D06CC" w:rsidP="007A46AF">
            <w:pPr>
              <w:spacing w:before="120"/>
              <w:jc w:val="center"/>
              <w:rPr>
                <w:rFonts w:cs="Times New Roman"/>
                <w:sz w:val="22"/>
              </w:rPr>
            </w:pPr>
          </w:p>
        </w:tc>
      </w:tr>
      <w:tr w:rsidR="007D06CC" w:rsidRPr="00686EDC" w14:paraId="53D7E4F8" w14:textId="77777777" w:rsidTr="007A46AF">
        <w:tc>
          <w:tcPr>
            <w:tcW w:w="1816" w:type="dxa"/>
          </w:tcPr>
          <w:p w14:paraId="25BFC9B3" w14:textId="77777777" w:rsidR="007D06CC" w:rsidRPr="00686EDC" w:rsidRDefault="007D06CC" w:rsidP="007A46AF">
            <w:pPr>
              <w:spacing w:before="120"/>
              <w:rPr>
                <w:rFonts w:cs="Times New Roman"/>
                <w:sz w:val="22"/>
              </w:rPr>
            </w:pPr>
            <w:r w:rsidRPr="00686EDC">
              <w:rPr>
                <w:rFonts w:eastAsia="DengXian" w:cs="Times New Roman"/>
                <w:lang w:eastAsia="en-GB"/>
              </w:rPr>
              <w:t>Yoruba</w:t>
            </w:r>
          </w:p>
        </w:tc>
        <w:tc>
          <w:tcPr>
            <w:tcW w:w="1629" w:type="dxa"/>
          </w:tcPr>
          <w:p w14:paraId="49A9A7E7" w14:textId="77777777" w:rsidR="007D06CC" w:rsidRPr="00686EDC" w:rsidRDefault="007D06CC" w:rsidP="007A46AF">
            <w:pPr>
              <w:spacing w:before="120"/>
              <w:jc w:val="center"/>
              <w:rPr>
                <w:rFonts w:cs="Times New Roman"/>
                <w:sz w:val="22"/>
              </w:rPr>
            </w:pPr>
            <w:r w:rsidRPr="00686EDC">
              <w:rPr>
                <w:rFonts w:eastAsia="DengXian" w:cs="Times New Roman"/>
                <w:lang w:eastAsia="en-GB"/>
              </w:rPr>
              <w:t>20(6.8)</w:t>
            </w:r>
          </w:p>
        </w:tc>
        <w:tc>
          <w:tcPr>
            <w:tcW w:w="1497" w:type="dxa"/>
          </w:tcPr>
          <w:p w14:paraId="0C9B1486" w14:textId="77777777" w:rsidR="007D06CC" w:rsidRPr="00686EDC" w:rsidRDefault="007D06CC" w:rsidP="007A46AF">
            <w:pPr>
              <w:spacing w:before="120"/>
              <w:jc w:val="center"/>
              <w:rPr>
                <w:rFonts w:cs="Times New Roman"/>
                <w:sz w:val="22"/>
              </w:rPr>
            </w:pPr>
            <w:r w:rsidRPr="00686EDC">
              <w:rPr>
                <w:rFonts w:eastAsia="DengXian" w:cs="Times New Roman"/>
                <w:lang w:eastAsia="en-GB"/>
              </w:rPr>
              <w:t>23(7.8)</w:t>
            </w:r>
          </w:p>
        </w:tc>
        <w:tc>
          <w:tcPr>
            <w:tcW w:w="1629" w:type="dxa"/>
          </w:tcPr>
          <w:p w14:paraId="346F16B9" w14:textId="77777777" w:rsidR="007D06CC" w:rsidRPr="00686EDC" w:rsidRDefault="007D06CC" w:rsidP="007A46AF">
            <w:pPr>
              <w:spacing w:before="120"/>
              <w:jc w:val="center"/>
              <w:rPr>
                <w:rFonts w:cs="Times New Roman"/>
                <w:sz w:val="22"/>
              </w:rPr>
            </w:pPr>
            <w:r w:rsidRPr="00686EDC">
              <w:rPr>
                <w:rFonts w:eastAsia="DengXian" w:cs="Times New Roman"/>
                <w:lang w:eastAsia="en-GB"/>
              </w:rPr>
              <w:t>43(7.3)</w:t>
            </w:r>
          </w:p>
        </w:tc>
        <w:tc>
          <w:tcPr>
            <w:tcW w:w="1399" w:type="dxa"/>
          </w:tcPr>
          <w:p w14:paraId="24C779F8" w14:textId="77777777" w:rsidR="007D06CC" w:rsidRPr="00686EDC" w:rsidRDefault="007D06CC" w:rsidP="007A46AF">
            <w:pPr>
              <w:spacing w:before="120"/>
              <w:jc w:val="center"/>
              <w:rPr>
                <w:rFonts w:cs="Times New Roman"/>
                <w:sz w:val="22"/>
              </w:rPr>
            </w:pPr>
          </w:p>
        </w:tc>
        <w:tc>
          <w:tcPr>
            <w:tcW w:w="1046" w:type="dxa"/>
          </w:tcPr>
          <w:p w14:paraId="139EF2DE" w14:textId="77777777" w:rsidR="007D06CC" w:rsidRPr="00686EDC" w:rsidRDefault="007D06CC" w:rsidP="007A46AF">
            <w:pPr>
              <w:spacing w:before="120"/>
              <w:jc w:val="center"/>
              <w:rPr>
                <w:rFonts w:cs="Times New Roman"/>
                <w:sz w:val="22"/>
              </w:rPr>
            </w:pPr>
          </w:p>
        </w:tc>
      </w:tr>
      <w:tr w:rsidR="007D06CC" w:rsidRPr="00686EDC" w14:paraId="1C07AF00" w14:textId="77777777" w:rsidTr="007A46AF">
        <w:tc>
          <w:tcPr>
            <w:tcW w:w="1816" w:type="dxa"/>
          </w:tcPr>
          <w:p w14:paraId="1C77F263" w14:textId="77777777" w:rsidR="007D06CC" w:rsidRPr="00686EDC" w:rsidRDefault="007D06CC" w:rsidP="007A46AF">
            <w:pPr>
              <w:spacing w:before="120"/>
              <w:rPr>
                <w:rFonts w:cs="Times New Roman"/>
                <w:sz w:val="22"/>
              </w:rPr>
            </w:pPr>
            <w:r w:rsidRPr="00686EDC">
              <w:rPr>
                <w:rFonts w:eastAsia="DengXian" w:cs="Times New Roman"/>
                <w:lang w:eastAsia="en-GB"/>
              </w:rPr>
              <w:t>Hausa/Fulani</w:t>
            </w:r>
          </w:p>
        </w:tc>
        <w:tc>
          <w:tcPr>
            <w:tcW w:w="1629" w:type="dxa"/>
          </w:tcPr>
          <w:p w14:paraId="409A6FD8" w14:textId="77777777" w:rsidR="007D06CC" w:rsidRPr="00686EDC" w:rsidRDefault="007D06CC" w:rsidP="007A46AF">
            <w:pPr>
              <w:spacing w:before="120"/>
              <w:jc w:val="center"/>
              <w:rPr>
                <w:rFonts w:cs="Times New Roman"/>
                <w:sz w:val="22"/>
              </w:rPr>
            </w:pPr>
            <w:r w:rsidRPr="00686EDC">
              <w:rPr>
                <w:rFonts w:eastAsia="DengXian" w:cs="Times New Roman"/>
                <w:lang w:eastAsia="en-GB"/>
              </w:rPr>
              <w:t>4(1.4)</w:t>
            </w:r>
          </w:p>
        </w:tc>
        <w:tc>
          <w:tcPr>
            <w:tcW w:w="1497" w:type="dxa"/>
          </w:tcPr>
          <w:p w14:paraId="7FC18DED" w14:textId="77777777" w:rsidR="007D06CC" w:rsidRPr="00686EDC" w:rsidRDefault="007D06CC" w:rsidP="007A46AF">
            <w:pPr>
              <w:spacing w:before="120"/>
              <w:jc w:val="center"/>
              <w:rPr>
                <w:rFonts w:cs="Times New Roman"/>
                <w:sz w:val="22"/>
              </w:rPr>
            </w:pPr>
            <w:r w:rsidRPr="00686EDC">
              <w:rPr>
                <w:rFonts w:eastAsia="DengXian" w:cs="Times New Roman"/>
                <w:lang w:eastAsia="en-GB"/>
              </w:rPr>
              <w:t>7(2.4)</w:t>
            </w:r>
          </w:p>
        </w:tc>
        <w:tc>
          <w:tcPr>
            <w:tcW w:w="1629" w:type="dxa"/>
          </w:tcPr>
          <w:p w14:paraId="3F6EC2D8" w14:textId="77777777" w:rsidR="007D06CC" w:rsidRPr="00686EDC" w:rsidRDefault="007D06CC" w:rsidP="007A46AF">
            <w:pPr>
              <w:spacing w:before="120"/>
              <w:jc w:val="center"/>
              <w:rPr>
                <w:rFonts w:cs="Times New Roman"/>
                <w:sz w:val="22"/>
              </w:rPr>
            </w:pPr>
            <w:r w:rsidRPr="00686EDC">
              <w:rPr>
                <w:rFonts w:eastAsia="DengXian" w:cs="Times New Roman"/>
                <w:lang w:eastAsia="en-GB"/>
              </w:rPr>
              <w:t>11(1.9)</w:t>
            </w:r>
          </w:p>
        </w:tc>
        <w:tc>
          <w:tcPr>
            <w:tcW w:w="1399" w:type="dxa"/>
          </w:tcPr>
          <w:p w14:paraId="1735BB27" w14:textId="77777777" w:rsidR="007D06CC" w:rsidRPr="00686EDC" w:rsidRDefault="007D06CC" w:rsidP="007A46AF">
            <w:pPr>
              <w:spacing w:before="120"/>
              <w:jc w:val="center"/>
              <w:rPr>
                <w:rFonts w:cs="Times New Roman"/>
                <w:sz w:val="22"/>
              </w:rPr>
            </w:pPr>
          </w:p>
        </w:tc>
        <w:tc>
          <w:tcPr>
            <w:tcW w:w="1046" w:type="dxa"/>
          </w:tcPr>
          <w:p w14:paraId="0359831D" w14:textId="77777777" w:rsidR="007D06CC" w:rsidRPr="00686EDC" w:rsidRDefault="007D06CC" w:rsidP="007A46AF">
            <w:pPr>
              <w:spacing w:before="120"/>
              <w:jc w:val="center"/>
              <w:rPr>
                <w:rFonts w:cs="Times New Roman"/>
                <w:sz w:val="22"/>
              </w:rPr>
            </w:pPr>
          </w:p>
        </w:tc>
      </w:tr>
      <w:tr w:rsidR="007D06CC" w:rsidRPr="00686EDC" w14:paraId="6ECB64B7" w14:textId="77777777" w:rsidTr="007A46AF">
        <w:tc>
          <w:tcPr>
            <w:tcW w:w="1816" w:type="dxa"/>
          </w:tcPr>
          <w:p w14:paraId="6DD16711" w14:textId="77777777" w:rsidR="007D06CC" w:rsidRPr="00686EDC" w:rsidRDefault="007D06CC" w:rsidP="007A46AF">
            <w:pPr>
              <w:spacing w:before="120"/>
              <w:rPr>
                <w:rFonts w:cs="Times New Roman"/>
                <w:b/>
                <w:sz w:val="22"/>
              </w:rPr>
            </w:pPr>
            <w:r w:rsidRPr="00686EDC">
              <w:rPr>
                <w:rFonts w:cs="Times New Roman"/>
                <w:b/>
                <w:sz w:val="22"/>
              </w:rPr>
              <w:t xml:space="preserve">Religion </w:t>
            </w:r>
          </w:p>
        </w:tc>
        <w:tc>
          <w:tcPr>
            <w:tcW w:w="1629" w:type="dxa"/>
          </w:tcPr>
          <w:p w14:paraId="156BEFBD" w14:textId="77777777" w:rsidR="007D06CC" w:rsidRPr="00686EDC" w:rsidRDefault="007D06CC" w:rsidP="007A46AF">
            <w:pPr>
              <w:spacing w:before="120"/>
              <w:jc w:val="center"/>
              <w:rPr>
                <w:rFonts w:cs="Times New Roman"/>
                <w:sz w:val="22"/>
              </w:rPr>
            </w:pPr>
          </w:p>
        </w:tc>
        <w:tc>
          <w:tcPr>
            <w:tcW w:w="1497" w:type="dxa"/>
          </w:tcPr>
          <w:p w14:paraId="68D8E32D" w14:textId="77777777" w:rsidR="007D06CC" w:rsidRPr="00686EDC" w:rsidRDefault="007D06CC" w:rsidP="007A46AF">
            <w:pPr>
              <w:spacing w:before="120"/>
              <w:jc w:val="center"/>
              <w:rPr>
                <w:rFonts w:cs="Times New Roman"/>
                <w:sz w:val="22"/>
              </w:rPr>
            </w:pPr>
          </w:p>
        </w:tc>
        <w:tc>
          <w:tcPr>
            <w:tcW w:w="1629" w:type="dxa"/>
          </w:tcPr>
          <w:p w14:paraId="6390140E" w14:textId="77777777" w:rsidR="007D06CC" w:rsidRPr="00686EDC" w:rsidRDefault="007D06CC" w:rsidP="007A46AF">
            <w:pPr>
              <w:spacing w:before="120"/>
              <w:jc w:val="center"/>
              <w:rPr>
                <w:rFonts w:cs="Times New Roman"/>
                <w:sz w:val="22"/>
              </w:rPr>
            </w:pPr>
          </w:p>
        </w:tc>
        <w:tc>
          <w:tcPr>
            <w:tcW w:w="1399" w:type="dxa"/>
          </w:tcPr>
          <w:p w14:paraId="295E4DB4" w14:textId="77777777" w:rsidR="007D06CC" w:rsidRPr="00686EDC" w:rsidRDefault="007D06CC" w:rsidP="007A46AF">
            <w:pPr>
              <w:spacing w:before="120"/>
              <w:jc w:val="center"/>
              <w:rPr>
                <w:rFonts w:cs="Times New Roman"/>
                <w:sz w:val="22"/>
              </w:rPr>
            </w:pPr>
            <w:r w:rsidRPr="00686EDC">
              <w:rPr>
                <w:rFonts w:cs="Times New Roman"/>
                <w:sz w:val="22"/>
              </w:rPr>
              <w:t>1.39</w:t>
            </w:r>
          </w:p>
        </w:tc>
        <w:tc>
          <w:tcPr>
            <w:tcW w:w="1046" w:type="dxa"/>
          </w:tcPr>
          <w:p w14:paraId="21D7CC75" w14:textId="77777777" w:rsidR="007D06CC" w:rsidRPr="00686EDC" w:rsidRDefault="007D06CC" w:rsidP="007A46AF">
            <w:pPr>
              <w:spacing w:before="120"/>
              <w:jc w:val="center"/>
              <w:rPr>
                <w:rFonts w:cs="Times New Roman"/>
                <w:sz w:val="22"/>
              </w:rPr>
            </w:pPr>
            <w:r w:rsidRPr="00686EDC">
              <w:rPr>
                <w:rFonts w:cs="Times New Roman"/>
                <w:sz w:val="22"/>
              </w:rPr>
              <w:t>0.499</w:t>
            </w:r>
          </w:p>
        </w:tc>
      </w:tr>
      <w:tr w:rsidR="007D06CC" w:rsidRPr="00686EDC" w14:paraId="39ADAEED" w14:textId="77777777" w:rsidTr="007A46AF">
        <w:tc>
          <w:tcPr>
            <w:tcW w:w="1816" w:type="dxa"/>
          </w:tcPr>
          <w:p w14:paraId="0BE3B3E0" w14:textId="77777777" w:rsidR="007D06CC" w:rsidRPr="00686EDC" w:rsidRDefault="007D06CC" w:rsidP="007A46AF">
            <w:pPr>
              <w:spacing w:before="120"/>
              <w:rPr>
                <w:rFonts w:cs="Times New Roman"/>
                <w:sz w:val="22"/>
              </w:rPr>
            </w:pPr>
            <w:r w:rsidRPr="00686EDC">
              <w:rPr>
                <w:rFonts w:cs="Times New Roman"/>
                <w:sz w:val="22"/>
              </w:rPr>
              <w:t>Christianity</w:t>
            </w:r>
          </w:p>
        </w:tc>
        <w:tc>
          <w:tcPr>
            <w:tcW w:w="1629" w:type="dxa"/>
          </w:tcPr>
          <w:p w14:paraId="3978415D" w14:textId="77777777" w:rsidR="007D06CC" w:rsidRPr="00686EDC" w:rsidRDefault="007D06CC" w:rsidP="007A46AF">
            <w:pPr>
              <w:spacing w:before="120"/>
              <w:jc w:val="center"/>
              <w:rPr>
                <w:rFonts w:cs="Times New Roman"/>
                <w:sz w:val="22"/>
              </w:rPr>
            </w:pPr>
            <w:r w:rsidRPr="00686EDC">
              <w:rPr>
                <w:rFonts w:cs="Times New Roman"/>
                <w:sz w:val="22"/>
              </w:rPr>
              <w:t>260(88.4)</w:t>
            </w:r>
          </w:p>
        </w:tc>
        <w:tc>
          <w:tcPr>
            <w:tcW w:w="1497" w:type="dxa"/>
          </w:tcPr>
          <w:p w14:paraId="55704DF9" w14:textId="77777777" w:rsidR="007D06CC" w:rsidRPr="00686EDC" w:rsidRDefault="007D06CC" w:rsidP="007A46AF">
            <w:pPr>
              <w:spacing w:before="120"/>
              <w:jc w:val="center"/>
              <w:rPr>
                <w:rFonts w:cs="Times New Roman"/>
                <w:sz w:val="22"/>
              </w:rPr>
            </w:pPr>
            <w:r w:rsidRPr="00686EDC">
              <w:rPr>
                <w:rFonts w:cs="Times New Roman"/>
                <w:sz w:val="22"/>
              </w:rPr>
              <w:t>252(85.7)</w:t>
            </w:r>
          </w:p>
        </w:tc>
        <w:tc>
          <w:tcPr>
            <w:tcW w:w="1629" w:type="dxa"/>
          </w:tcPr>
          <w:p w14:paraId="506C2458" w14:textId="77777777" w:rsidR="007D06CC" w:rsidRPr="00686EDC" w:rsidRDefault="007D06CC" w:rsidP="007A46AF">
            <w:pPr>
              <w:spacing w:before="120"/>
              <w:jc w:val="center"/>
              <w:rPr>
                <w:rFonts w:cs="Times New Roman"/>
                <w:sz w:val="22"/>
              </w:rPr>
            </w:pPr>
            <w:r w:rsidRPr="00686EDC">
              <w:rPr>
                <w:rFonts w:cs="Times New Roman"/>
                <w:sz w:val="22"/>
              </w:rPr>
              <w:t>512(87.1)</w:t>
            </w:r>
          </w:p>
        </w:tc>
        <w:tc>
          <w:tcPr>
            <w:tcW w:w="1399" w:type="dxa"/>
          </w:tcPr>
          <w:p w14:paraId="5FBB2A78" w14:textId="77777777" w:rsidR="007D06CC" w:rsidRPr="00686EDC" w:rsidRDefault="007D06CC" w:rsidP="007A46AF">
            <w:pPr>
              <w:spacing w:before="120"/>
              <w:jc w:val="center"/>
              <w:rPr>
                <w:rFonts w:cs="Times New Roman"/>
                <w:sz w:val="22"/>
              </w:rPr>
            </w:pPr>
          </w:p>
        </w:tc>
        <w:tc>
          <w:tcPr>
            <w:tcW w:w="1046" w:type="dxa"/>
          </w:tcPr>
          <w:p w14:paraId="2A592A04" w14:textId="77777777" w:rsidR="007D06CC" w:rsidRPr="00686EDC" w:rsidRDefault="007D06CC" w:rsidP="007A46AF">
            <w:pPr>
              <w:spacing w:before="120"/>
              <w:jc w:val="center"/>
              <w:rPr>
                <w:rFonts w:cs="Times New Roman"/>
                <w:sz w:val="22"/>
              </w:rPr>
            </w:pPr>
          </w:p>
        </w:tc>
      </w:tr>
      <w:tr w:rsidR="007D06CC" w:rsidRPr="00686EDC" w14:paraId="6FBA174B" w14:textId="77777777" w:rsidTr="007A46AF">
        <w:tc>
          <w:tcPr>
            <w:tcW w:w="1816" w:type="dxa"/>
          </w:tcPr>
          <w:p w14:paraId="571C7AE9" w14:textId="77777777" w:rsidR="007D06CC" w:rsidRPr="00686EDC" w:rsidRDefault="007D06CC" w:rsidP="007A46AF">
            <w:pPr>
              <w:spacing w:before="120"/>
              <w:rPr>
                <w:rFonts w:cs="Times New Roman"/>
                <w:sz w:val="22"/>
              </w:rPr>
            </w:pPr>
            <w:r w:rsidRPr="00686EDC">
              <w:rPr>
                <w:rFonts w:eastAsia="DengXian" w:cs="Times New Roman"/>
                <w:sz w:val="22"/>
                <w:lang w:eastAsia="en-GB"/>
              </w:rPr>
              <w:t xml:space="preserve">Traditional </w:t>
            </w:r>
          </w:p>
        </w:tc>
        <w:tc>
          <w:tcPr>
            <w:tcW w:w="1629" w:type="dxa"/>
          </w:tcPr>
          <w:p w14:paraId="7AA41B0D" w14:textId="77777777" w:rsidR="007D06CC" w:rsidRPr="00686EDC" w:rsidRDefault="007D06CC" w:rsidP="007A46AF">
            <w:pPr>
              <w:spacing w:before="120"/>
              <w:jc w:val="center"/>
              <w:rPr>
                <w:rFonts w:cs="Times New Roman"/>
                <w:sz w:val="22"/>
              </w:rPr>
            </w:pPr>
            <w:r w:rsidRPr="00686EDC">
              <w:rPr>
                <w:rFonts w:eastAsia="DengXian" w:cs="Times New Roman"/>
                <w:sz w:val="22"/>
                <w:lang w:eastAsia="en-GB"/>
              </w:rPr>
              <w:t>28(9.5)</w:t>
            </w:r>
          </w:p>
        </w:tc>
        <w:tc>
          <w:tcPr>
            <w:tcW w:w="1497" w:type="dxa"/>
          </w:tcPr>
          <w:p w14:paraId="04AEBCD5" w14:textId="77777777" w:rsidR="007D06CC" w:rsidRPr="00686EDC" w:rsidRDefault="007D06CC" w:rsidP="007A46AF">
            <w:pPr>
              <w:spacing w:before="120"/>
              <w:jc w:val="center"/>
              <w:rPr>
                <w:rFonts w:cs="Times New Roman"/>
                <w:sz w:val="22"/>
              </w:rPr>
            </w:pPr>
            <w:r w:rsidRPr="00686EDC">
              <w:rPr>
                <w:rFonts w:eastAsia="DengXian" w:cs="Times New Roman"/>
                <w:sz w:val="22"/>
                <w:lang w:eastAsia="en-GB"/>
              </w:rPr>
              <w:t>32(10.9)</w:t>
            </w:r>
          </w:p>
        </w:tc>
        <w:tc>
          <w:tcPr>
            <w:tcW w:w="1629" w:type="dxa"/>
          </w:tcPr>
          <w:p w14:paraId="3E8EFBA4" w14:textId="77777777" w:rsidR="007D06CC" w:rsidRPr="00686EDC" w:rsidRDefault="007D06CC" w:rsidP="007A46AF">
            <w:pPr>
              <w:spacing w:before="120"/>
              <w:jc w:val="center"/>
              <w:rPr>
                <w:rFonts w:cs="Times New Roman"/>
                <w:sz w:val="22"/>
              </w:rPr>
            </w:pPr>
            <w:r w:rsidRPr="00686EDC">
              <w:rPr>
                <w:rFonts w:eastAsia="DengXian" w:cs="Times New Roman"/>
                <w:sz w:val="22"/>
                <w:lang w:eastAsia="en-GB"/>
              </w:rPr>
              <w:t>60(10.2)</w:t>
            </w:r>
          </w:p>
        </w:tc>
        <w:tc>
          <w:tcPr>
            <w:tcW w:w="1399" w:type="dxa"/>
          </w:tcPr>
          <w:p w14:paraId="0E588844" w14:textId="77777777" w:rsidR="007D06CC" w:rsidRPr="00686EDC" w:rsidRDefault="007D06CC" w:rsidP="007A46AF">
            <w:pPr>
              <w:spacing w:before="120"/>
              <w:jc w:val="center"/>
              <w:rPr>
                <w:rFonts w:cs="Times New Roman"/>
                <w:sz w:val="22"/>
              </w:rPr>
            </w:pPr>
          </w:p>
        </w:tc>
        <w:tc>
          <w:tcPr>
            <w:tcW w:w="1046" w:type="dxa"/>
          </w:tcPr>
          <w:p w14:paraId="75704954" w14:textId="77777777" w:rsidR="007D06CC" w:rsidRPr="00686EDC" w:rsidRDefault="007D06CC" w:rsidP="007A46AF">
            <w:pPr>
              <w:spacing w:before="120"/>
              <w:jc w:val="center"/>
              <w:rPr>
                <w:rFonts w:cs="Times New Roman"/>
                <w:sz w:val="22"/>
              </w:rPr>
            </w:pPr>
          </w:p>
        </w:tc>
      </w:tr>
      <w:tr w:rsidR="007D06CC" w:rsidRPr="00686EDC" w14:paraId="428BA3F1" w14:textId="77777777" w:rsidTr="007A46AF">
        <w:tc>
          <w:tcPr>
            <w:tcW w:w="1816" w:type="dxa"/>
          </w:tcPr>
          <w:p w14:paraId="511C9B25" w14:textId="77777777" w:rsidR="007D06CC" w:rsidRPr="00686EDC" w:rsidRDefault="007D06CC" w:rsidP="007A46AF">
            <w:pPr>
              <w:spacing w:before="120"/>
              <w:rPr>
                <w:rFonts w:eastAsia="DengXian" w:cs="Times New Roman"/>
                <w:sz w:val="22"/>
                <w:lang w:eastAsia="en-GB"/>
              </w:rPr>
            </w:pPr>
            <w:r w:rsidRPr="00686EDC">
              <w:rPr>
                <w:rFonts w:eastAsia="DengXian" w:cs="Times New Roman"/>
                <w:lang w:eastAsia="en-GB"/>
              </w:rPr>
              <w:t>Islam</w:t>
            </w:r>
          </w:p>
        </w:tc>
        <w:tc>
          <w:tcPr>
            <w:tcW w:w="1629" w:type="dxa"/>
          </w:tcPr>
          <w:p w14:paraId="5178C0DE" w14:textId="77777777" w:rsidR="007D06CC" w:rsidRPr="00686EDC" w:rsidRDefault="007D06CC" w:rsidP="007A46AF">
            <w:pPr>
              <w:spacing w:before="120"/>
              <w:jc w:val="center"/>
              <w:rPr>
                <w:rFonts w:eastAsia="DengXian" w:cs="Times New Roman"/>
                <w:sz w:val="22"/>
                <w:lang w:eastAsia="en-GB"/>
              </w:rPr>
            </w:pPr>
            <w:r w:rsidRPr="00686EDC">
              <w:rPr>
                <w:rFonts w:eastAsia="DengXian" w:cs="Times New Roman"/>
                <w:lang w:eastAsia="en-GB"/>
              </w:rPr>
              <w:t>6(2.0)</w:t>
            </w:r>
          </w:p>
        </w:tc>
        <w:tc>
          <w:tcPr>
            <w:tcW w:w="1497" w:type="dxa"/>
          </w:tcPr>
          <w:p w14:paraId="208BEA1B" w14:textId="77777777" w:rsidR="007D06CC" w:rsidRPr="00686EDC" w:rsidRDefault="007D06CC" w:rsidP="007A46AF">
            <w:pPr>
              <w:spacing w:before="120"/>
              <w:jc w:val="center"/>
              <w:rPr>
                <w:rFonts w:eastAsia="DengXian" w:cs="Times New Roman"/>
                <w:sz w:val="22"/>
                <w:lang w:eastAsia="en-GB"/>
              </w:rPr>
            </w:pPr>
            <w:r w:rsidRPr="00686EDC">
              <w:rPr>
                <w:rFonts w:eastAsia="DengXian" w:cs="Times New Roman"/>
                <w:lang w:eastAsia="en-GB"/>
              </w:rPr>
              <w:t>10(3.4)</w:t>
            </w:r>
          </w:p>
        </w:tc>
        <w:tc>
          <w:tcPr>
            <w:tcW w:w="1629" w:type="dxa"/>
          </w:tcPr>
          <w:p w14:paraId="32A0BF0A" w14:textId="77777777" w:rsidR="007D06CC" w:rsidRPr="00686EDC" w:rsidRDefault="007D06CC" w:rsidP="007A46AF">
            <w:pPr>
              <w:spacing w:before="120"/>
              <w:jc w:val="center"/>
              <w:rPr>
                <w:rFonts w:eastAsia="DengXian" w:cs="Times New Roman"/>
                <w:sz w:val="22"/>
                <w:lang w:eastAsia="en-GB"/>
              </w:rPr>
            </w:pPr>
            <w:r w:rsidRPr="00686EDC">
              <w:rPr>
                <w:rFonts w:eastAsia="DengXian" w:cs="Times New Roman"/>
                <w:lang w:eastAsia="en-GB"/>
              </w:rPr>
              <w:t>16(2.7)</w:t>
            </w:r>
          </w:p>
        </w:tc>
        <w:tc>
          <w:tcPr>
            <w:tcW w:w="1399" w:type="dxa"/>
          </w:tcPr>
          <w:p w14:paraId="5BCDA312" w14:textId="77777777" w:rsidR="007D06CC" w:rsidRPr="00686EDC" w:rsidRDefault="007D06CC" w:rsidP="007A46AF">
            <w:pPr>
              <w:spacing w:before="120"/>
              <w:jc w:val="center"/>
              <w:rPr>
                <w:rFonts w:cs="Times New Roman"/>
                <w:sz w:val="22"/>
              </w:rPr>
            </w:pPr>
          </w:p>
        </w:tc>
        <w:tc>
          <w:tcPr>
            <w:tcW w:w="1046" w:type="dxa"/>
          </w:tcPr>
          <w:p w14:paraId="7AF5CB78" w14:textId="77777777" w:rsidR="007D06CC" w:rsidRPr="00686EDC" w:rsidRDefault="007D06CC" w:rsidP="007A46AF">
            <w:pPr>
              <w:spacing w:before="120"/>
              <w:jc w:val="center"/>
              <w:rPr>
                <w:rFonts w:cs="Times New Roman"/>
                <w:sz w:val="22"/>
              </w:rPr>
            </w:pPr>
          </w:p>
        </w:tc>
      </w:tr>
      <w:tr w:rsidR="007D06CC" w:rsidRPr="00686EDC" w14:paraId="7D0C1D26" w14:textId="77777777" w:rsidTr="007A46AF">
        <w:tc>
          <w:tcPr>
            <w:tcW w:w="1816" w:type="dxa"/>
          </w:tcPr>
          <w:p w14:paraId="021D3D61" w14:textId="77777777" w:rsidR="007D06CC" w:rsidRPr="00686EDC" w:rsidRDefault="007D06CC" w:rsidP="007A46AF">
            <w:pPr>
              <w:spacing w:before="120"/>
              <w:rPr>
                <w:rFonts w:cs="Times New Roman"/>
                <w:b/>
                <w:sz w:val="22"/>
              </w:rPr>
            </w:pPr>
            <w:r w:rsidRPr="00686EDC">
              <w:rPr>
                <w:rFonts w:cs="Times New Roman"/>
                <w:b/>
                <w:sz w:val="22"/>
              </w:rPr>
              <w:t>Marital status</w:t>
            </w:r>
          </w:p>
        </w:tc>
        <w:tc>
          <w:tcPr>
            <w:tcW w:w="1629" w:type="dxa"/>
          </w:tcPr>
          <w:p w14:paraId="36C86A23" w14:textId="77777777" w:rsidR="007D06CC" w:rsidRPr="00686EDC" w:rsidRDefault="007D06CC" w:rsidP="007A46AF">
            <w:pPr>
              <w:spacing w:before="120"/>
              <w:jc w:val="center"/>
              <w:rPr>
                <w:rFonts w:cs="Times New Roman"/>
                <w:sz w:val="22"/>
              </w:rPr>
            </w:pPr>
          </w:p>
        </w:tc>
        <w:tc>
          <w:tcPr>
            <w:tcW w:w="1497" w:type="dxa"/>
          </w:tcPr>
          <w:p w14:paraId="419C8786" w14:textId="77777777" w:rsidR="007D06CC" w:rsidRPr="00686EDC" w:rsidRDefault="007D06CC" w:rsidP="007A46AF">
            <w:pPr>
              <w:spacing w:before="120"/>
              <w:jc w:val="center"/>
              <w:rPr>
                <w:rFonts w:cs="Times New Roman"/>
                <w:sz w:val="22"/>
              </w:rPr>
            </w:pPr>
          </w:p>
        </w:tc>
        <w:tc>
          <w:tcPr>
            <w:tcW w:w="1629" w:type="dxa"/>
          </w:tcPr>
          <w:p w14:paraId="2D08031C" w14:textId="77777777" w:rsidR="007D06CC" w:rsidRPr="00686EDC" w:rsidRDefault="007D06CC" w:rsidP="007A46AF">
            <w:pPr>
              <w:spacing w:before="120"/>
              <w:jc w:val="center"/>
              <w:rPr>
                <w:rFonts w:cs="Times New Roman"/>
                <w:sz w:val="22"/>
              </w:rPr>
            </w:pPr>
          </w:p>
        </w:tc>
        <w:tc>
          <w:tcPr>
            <w:tcW w:w="1399" w:type="dxa"/>
          </w:tcPr>
          <w:p w14:paraId="276C2470" w14:textId="77777777" w:rsidR="007D06CC" w:rsidRPr="00686EDC" w:rsidRDefault="007D06CC" w:rsidP="007A46AF">
            <w:pPr>
              <w:spacing w:before="120"/>
              <w:jc w:val="center"/>
              <w:rPr>
                <w:rFonts w:cs="Times New Roman"/>
                <w:sz w:val="22"/>
              </w:rPr>
            </w:pPr>
            <w:r w:rsidRPr="00686EDC">
              <w:rPr>
                <w:rFonts w:eastAsia="DengXian" w:cs="Times New Roman"/>
                <w:sz w:val="22"/>
                <w:lang w:eastAsia="en-GB"/>
              </w:rPr>
              <w:t>10.27</w:t>
            </w:r>
          </w:p>
        </w:tc>
        <w:tc>
          <w:tcPr>
            <w:tcW w:w="1046" w:type="dxa"/>
          </w:tcPr>
          <w:p w14:paraId="7ABE994D" w14:textId="77777777" w:rsidR="007D06CC" w:rsidRPr="00686EDC" w:rsidRDefault="007D06CC" w:rsidP="007A46AF">
            <w:pPr>
              <w:spacing w:before="120"/>
              <w:jc w:val="center"/>
              <w:rPr>
                <w:rFonts w:cs="Times New Roman"/>
                <w:b/>
                <w:sz w:val="22"/>
              </w:rPr>
            </w:pPr>
            <w:r w:rsidRPr="00686EDC">
              <w:rPr>
                <w:rFonts w:eastAsia="DengXian" w:cs="Times New Roman"/>
                <w:b/>
                <w:sz w:val="22"/>
                <w:lang w:eastAsia="en-GB"/>
              </w:rPr>
              <w:t>0.016*</w:t>
            </w:r>
          </w:p>
        </w:tc>
      </w:tr>
      <w:tr w:rsidR="007D06CC" w:rsidRPr="00686EDC" w14:paraId="0965457D" w14:textId="77777777" w:rsidTr="007A46AF">
        <w:tc>
          <w:tcPr>
            <w:tcW w:w="1816" w:type="dxa"/>
          </w:tcPr>
          <w:p w14:paraId="54C73683" w14:textId="77777777" w:rsidR="007D06CC" w:rsidRPr="00686EDC" w:rsidRDefault="007D06CC" w:rsidP="007A46AF">
            <w:pPr>
              <w:spacing w:before="120"/>
              <w:rPr>
                <w:rFonts w:cs="Times New Roman"/>
                <w:b/>
                <w:sz w:val="22"/>
              </w:rPr>
            </w:pPr>
            <w:r w:rsidRPr="00686EDC">
              <w:rPr>
                <w:rFonts w:eastAsia="DengXian" w:cs="Times New Roman"/>
                <w:lang w:eastAsia="en-GB"/>
              </w:rPr>
              <w:t>Single</w:t>
            </w:r>
          </w:p>
        </w:tc>
        <w:tc>
          <w:tcPr>
            <w:tcW w:w="1629" w:type="dxa"/>
          </w:tcPr>
          <w:p w14:paraId="7983153B" w14:textId="77777777" w:rsidR="007D06CC" w:rsidRPr="00686EDC" w:rsidRDefault="007D06CC" w:rsidP="007A46AF">
            <w:pPr>
              <w:spacing w:before="120"/>
              <w:jc w:val="center"/>
              <w:rPr>
                <w:rFonts w:cs="Times New Roman"/>
                <w:sz w:val="22"/>
              </w:rPr>
            </w:pPr>
            <w:r w:rsidRPr="00686EDC">
              <w:rPr>
                <w:rFonts w:eastAsia="DengXian" w:cs="Times New Roman"/>
                <w:lang w:eastAsia="en-GB"/>
              </w:rPr>
              <w:t>71(24.1)</w:t>
            </w:r>
          </w:p>
        </w:tc>
        <w:tc>
          <w:tcPr>
            <w:tcW w:w="1497" w:type="dxa"/>
          </w:tcPr>
          <w:p w14:paraId="34D269E0" w14:textId="77777777" w:rsidR="007D06CC" w:rsidRPr="00686EDC" w:rsidRDefault="007D06CC" w:rsidP="007A46AF">
            <w:pPr>
              <w:spacing w:before="120"/>
              <w:jc w:val="center"/>
              <w:rPr>
                <w:rFonts w:cs="Times New Roman"/>
                <w:sz w:val="22"/>
              </w:rPr>
            </w:pPr>
            <w:r w:rsidRPr="00686EDC">
              <w:rPr>
                <w:rFonts w:eastAsia="DengXian" w:cs="Times New Roman"/>
                <w:lang w:eastAsia="en-GB"/>
              </w:rPr>
              <w:t>43(14.6)</w:t>
            </w:r>
          </w:p>
        </w:tc>
        <w:tc>
          <w:tcPr>
            <w:tcW w:w="1629" w:type="dxa"/>
          </w:tcPr>
          <w:p w14:paraId="07349084" w14:textId="77777777" w:rsidR="007D06CC" w:rsidRPr="00686EDC" w:rsidRDefault="007D06CC" w:rsidP="007A46AF">
            <w:pPr>
              <w:spacing w:before="120"/>
              <w:jc w:val="center"/>
              <w:rPr>
                <w:rFonts w:cs="Times New Roman"/>
                <w:sz w:val="22"/>
              </w:rPr>
            </w:pPr>
            <w:r w:rsidRPr="00686EDC">
              <w:rPr>
                <w:rFonts w:eastAsia="DengXian" w:cs="Times New Roman"/>
                <w:lang w:eastAsia="en-GB"/>
              </w:rPr>
              <w:t>114(19.4)</w:t>
            </w:r>
          </w:p>
        </w:tc>
        <w:tc>
          <w:tcPr>
            <w:tcW w:w="1399" w:type="dxa"/>
          </w:tcPr>
          <w:p w14:paraId="0698DF24" w14:textId="77777777" w:rsidR="007D06CC" w:rsidRPr="00686EDC" w:rsidRDefault="007D06CC" w:rsidP="007A46AF">
            <w:pPr>
              <w:spacing w:before="120"/>
              <w:jc w:val="center"/>
              <w:rPr>
                <w:rFonts w:eastAsia="DengXian" w:cs="Times New Roman"/>
                <w:sz w:val="22"/>
                <w:lang w:eastAsia="en-GB"/>
              </w:rPr>
            </w:pPr>
          </w:p>
        </w:tc>
        <w:tc>
          <w:tcPr>
            <w:tcW w:w="1046" w:type="dxa"/>
          </w:tcPr>
          <w:p w14:paraId="31B50A9F" w14:textId="77777777" w:rsidR="007D06CC" w:rsidRPr="00686EDC" w:rsidRDefault="007D06CC" w:rsidP="007A46AF">
            <w:pPr>
              <w:spacing w:before="120"/>
              <w:jc w:val="center"/>
              <w:rPr>
                <w:rFonts w:eastAsia="DengXian" w:cs="Times New Roman"/>
                <w:b/>
                <w:sz w:val="22"/>
                <w:lang w:eastAsia="en-GB"/>
              </w:rPr>
            </w:pPr>
          </w:p>
        </w:tc>
      </w:tr>
      <w:tr w:rsidR="007D06CC" w:rsidRPr="00686EDC" w14:paraId="448C0A92" w14:textId="77777777" w:rsidTr="007A46AF">
        <w:tc>
          <w:tcPr>
            <w:tcW w:w="1816" w:type="dxa"/>
          </w:tcPr>
          <w:p w14:paraId="0D278A14" w14:textId="77777777" w:rsidR="007D06CC" w:rsidRPr="00686EDC" w:rsidRDefault="007D06CC" w:rsidP="007A46AF">
            <w:pPr>
              <w:spacing w:before="120"/>
              <w:rPr>
                <w:rFonts w:cs="Times New Roman"/>
                <w:sz w:val="22"/>
              </w:rPr>
            </w:pPr>
            <w:r w:rsidRPr="00686EDC">
              <w:rPr>
                <w:rFonts w:cs="Times New Roman"/>
                <w:sz w:val="22"/>
              </w:rPr>
              <w:t>Married/Cohabit</w:t>
            </w:r>
          </w:p>
        </w:tc>
        <w:tc>
          <w:tcPr>
            <w:tcW w:w="1629" w:type="dxa"/>
          </w:tcPr>
          <w:p w14:paraId="40E8E78C" w14:textId="77777777" w:rsidR="007D06CC" w:rsidRPr="00686EDC" w:rsidRDefault="007D06CC" w:rsidP="007A46AF">
            <w:pPr>
              <w:spacing w:before="120"/>
              <w:jc w:val="center"/>
              <w:rPr>
                <w:rFonts w:cs="Times New Roman"/>
                <w:sz w:val="22"/>
              </w:rPr>
            </w:pPr>
            <w:r w:rsidRPr="00686EDC">
              <w:rPr>
                <w:rFonts w:cs="Times New Roman"/>
                <w:sz w:val="22"/>
              </w:rPr>
              <w:t>180(61.2)</w:t>
            </w:r>
          </w:p>
        </w:tc>
        <w:tc>
          <w:tcPr>
            <w:tcW w:w="1497" w:type="dxa"/>
          </w:tcPr>
          <w:p w14:paraId="4207CE3C" w14:textId="77777777" w:rsidR="007D06CC" w:rsidRPr="00686EDC" w:rsidRDefault="007D06CC" w:rsidP="007A46AF">
            <w:pPr>
              <w:spacing w:before="120"/>
              <w:jc w:val="center"/>
              <w:rPr>
                <w:rFonts w:cs="Times New Roman"/>
                <w:sz w:val="22"/>
              </w:rPr>
            </w:pPr>
            <w:r w:rsidRPr="00686EDC">
              <w:rPr>
                <w:rFonts w:cs="Times New Roman"/>
                <w:sz w:val="22"/>
              </w:rPr>
              <w:t>214(72.8)</w:t>
            </w:r>
          </w:p>
        </w:tc>
        <w:tc>
          <w:tcPr>
            <w:tcW w:w="1629" w:type="dxa"/>
          </w:tcPr>
          <w:p w14:paraId="407FAE9C" w14:textId="77777777" w:rsidR="007D06CC" w:rsidRPr="00686EDC" w:rsidRDefault="007D06CC" w:rsidP="007A46AF">
            <w:pPr>
              <w:spacing w:before="120"/>
              <w:jc w:val="center"/>
              <w:rPr>
                <w:rFonts w:cs="Times New Roman"/>
                <w:sz w:val="22"/>
              </w:rPr>
            </w:pPr>
            <w:r w:rsidRPr="00686EDC">
              <w:rPr>
                <w:rFonts w:cs="Times New Roman"/>
                <w:sz w:val="22"/>
              </w:rPr>
              <w:t>394(67.0)</w:t>
            </w:r>
          </w:p>
        </w:tc>
        <w:tc>
          <w:tcPr>
            <w:tcW w:w="1399" w:type="dxa"/>
          </w:tcPr>
          <w:p w14:paraId="7D5A7634" w14:textId="77777777" w:rsidR="007D06CC" w:rsidRPr="00686EDC" w:rsidRDefault="007D06CC" w:rsidP="007A46AF">
            <w:pPr>
              <w:spacing w:before="120"/>
              <w:jc w:val="center"/>
              <w:rPr>
                <w:rFonts w:cs="Times New Roman"/>
                <w:sz w:val="22"/>
              </w:rPr>
            </w:pPr>
          </w:p>
        </w:tc>
        <w:tc>
          <w:tcPr>
            <w:tcW w:w="1046" w:type="dxa"/>
          </w:tcPr>
          <w:p w14:paraId="12759970" w14:textId="77777777" w:rsidR="007D06CC" w:rsidRPr="00686EDC" w:rsidRDefault="007D06CC" w:rsidP="007A46AF">
            <w:pPr>
              <w:spacing w:before="120"/>
              <w:jc w:val="center"/>
              <w:rPr>
                <w:rFonts w:cs="Times New Roman"/>
                <w:sz w:val="22"/>
              </w:rPr>
            </w:pPr>
          </w:p>
        </w:tc>
      </w:tr>
      <w:tr w:rsidR="007D06CC" w:rsidRPr="00686EDC" w14:paraId="34561A9E" w14:textId="77777777" w:rsidTr="007A46AF">
        <w:tc>
          <w:tcPr>
            <w:tcW w:w="1816" w:type="dxa"/>
          </w:tcPr>
          <w:p w14:paraId="4B7E554F" w14:textId="77777777" w:rsidR="007D06CC" w:rsidRPr="00686EDC" w:rsidRDefault="007D06CC" w:rsidP="007A46AF">
            <w:pPr>
              <w:spacing w:before="120"/>
              <w:rPr>
                <w:rFonts w:cs="Times New Roman"/>
                <w:sz w:val="22"/>
              </w:rPr>
            </w:pPr>
            <w:r w:rsidRPr="00686EDC">
              <w:rPr>
                <w:rFonts w:eastAsia="DengXian" w:cs="Times New Roman"/>
                <w:lang w:eastAsia="en-GB"/>
              </w:rPr>
              <w:t>Divorced</w:t>
            </w:r>
          </w:p>
        </w:tc>
        <w:tc>
          <w:tcPr>
            <w:tcW w:w="1629" w:type="dxa"/>
          </w:tcPr>
          <w:p w14:paraId="489BA279" w14:textId="77777777" w:rsidR="007D06CC" w:rsidRPr="00686EDC" w:rsidRDefault="007D06CC" w:rsidP="007A46AF">
            <w:pPr>
              <w:spacing w:before="120"/>
              <w:jc w:val="center"/>
              <w:rPr>
                <w:rFonts w:cs="Times New Roman"/>
                <w:sz w:val="22"/>
              </w:rPr>
            </w:pPr>
            <w:r w:rsidRPr="00686EDC">
              <w:rPr>
                <w:rFonts w:eastAsia="DengXian" w:cs="Times New Roman"/>
                <w:lang w:eastAsia="en-GB"/>
              </w:rPr>
              <w:t>19(6.5)</w:t>
            </w:r>
          </w:p>
        </w:tc>
        <w:tc>
          <w:tcPr>
            <w:tcW w:w="1497" w:type="dxa"/>
          </w:tcPr>
          <w:p w14:paraId="15B4CF94" w14:textId="77777777" w:rsidR="007D06CC" w:rsidRPr="00686EDC" w:rsidRDefault="007D06CC" w:rsidP="007A46AF">
            <w:pPr>
              <w:spacing w:before="120"/>
              <w:jc w:val="center"/>
              <w:rPr>
                <w:rFonts w:cs="Times New Roman"/>
                <w:sz w:val="22"/>
              </w:rPr>
            </w:pPr>
            <w:r w:rsidRPr="00686EDC">
              <w:rPr>
                <w:rFonts w:eastAsia="DengXian" w:cs="Times New Roman"/>
                <w:lang w:eastAsia="en-GB"/>
              </w:rPr>
              <w:t>16(5.4)</w:t>
            </w:r>
          </w:p>
        </w:tc>
        <w:tc>
          <w:tcPr>
            <w:tcW w:w="1629" w:type="dxa"/>
          </w:tcPr>
          <w:p w14:paraId="548C2F84" w14:textId="77777777" w:rsidR="007D06CC" w:rsidRPr="00686EDC" w:rsidRDefault="007D06CC" w:rsidP="007A46AF">
            <w:pPr>
              <w:spacing w:before="120"/>
              <w:jc w:val="center"/>
              <w:rPr>
                <w:rFonts w:cs="Times New Roman"/>
                <w:sz w:val="22"/>
              </w:rPr>
            </w:pPr>
            <w:r w:rsidRPr="00686EDC">
              <w:rPr>
                <w:rFonts w:eastAsia="DengXian" w:cs="Times New Roman"/>
                <w:lang w:eastAsia="en-GB"/>
              </w:rPr>
              <w:t>35(6.0)</w:t>
            </w:r>
          </w:p>
        </w:tc>
        <w:tc>
          <w:tcPr>
            <w:tcW w:w="1399" w:type="dxa"/>
          </w:tcPr>
          <w:p w14:paraId="2107B11F" w14:textId="77777777" w:rsidR="007D06CC" w:rsidRPr="00686EDC" w:rsidRDefault="007D06CC" w:rsidP="007A46AF">
            <w:pPr>
              <w:spacing w:before="120"/>
              <w:jc w:val="center"/>
              <w:rPr>
                <w:rFonts w:cs="Times New Roman"/>
                <w:sz w:val="22"/>
              </w:rPr>
            </w:pPr>
          </w:p>
        </w:tc>
        <w:tc>
          <w:tcPr>
            <w:tcW w:w="1046" w:type="dxa"/>
          </w:tcPr>
          <w:p w14:paraId="3F22C7C1" w14:textId="77777777" w:rsidR="007D06CC" w:rsidRPr="00686EDC" w:rsidRDefault="007D06CC" w:rsidP="007A46AF">
            <w:pPr>
              <w:spacing w:before="120"/>
              <w:jc w:val="center"/>
              <w:rPr>
                <w:rFonts w:cs="Times New Roman"/>
                <w:sz w:val="22"/>
              </w:rPr>
            </w:pPr>
          </w:p>
        </w:tc>
      </w:tr>
      <w:tr w:rsidR="007D06CC" w:rsidRPr="00686EDC" w14:paraId="186D50C8" w14:textId="77777777" w:rsidTr="007A46AF">
        <w:tc>
          <w:tcPr>
            <w:tcW w:w="1816" w:type="dxa"/>
          </w:tcPr>
          <w:p w14:paraId="664801A1" w14:textId="77777777" w:rsidR="007D06CC" w:rsidRPr="00686EDC" w:rsidRDefault="007D06CC" w:rsidP="007A46AF">
            <w:pPr>
              <w:spacing w:before="120"/>
              <w:rPr>
                <w:rFonts w:cs="Times New Roman"/>
                <w:sz w:val="22"/>
              </w:rPr>
            </w:pPr>
            <w:r w:rsidRPr="00686EDC">
              <w:rPr>
                <w:rFonts w:cs="Times New Roman"/>
                <w:sz w:val="22"/>
              </w:rPr>
              <w:t>Widow</w:t>
            </w:r>
          </w:p>
        </w:tc>
        <w:tc>
          <w:tcPr>
            <w:tcW w:w="1629" w:type="dxa"/>
          </w:tcPr>
          <w:p w14:paraId="73735C58" w14:textId="77777777" w:rsidR="007D06CC" w:rsidRPr="00686EDC" w:rsidRDefault="007D06CC" w:rsidP="007A46AF">
            <w:pPr>
              <w:spacing w:before="120"/>
              <w:jc w:val="center"/>
              <w:rPr>
                <w:rFonts w:cs="Times New Roman"/>
                <w:sz w:val="22"/>
              </w:rPr>
            </w:pPr>
            <w:r w:rsidRPr="00686EDC">
              <w:rPr>
                <w:rFonts w:cs="Times New Roman"/>
                <w:sz w:val="22"/>
              </w:rPr>
              <w:t>24(8.2)</w:t>
            </w:r>
          </w:p>
        </w:tc>
        <w:tc>
          <w:tcPr>
            <w:tcW w:w="1497" w:type="dxa"/>
          </w:tcPr>
          <w:p w14:paraId="2BAA9A86" w14:textId="77777777" w:rsidR="007D06CC" w:rsidRPr="00686EDC" w:rsidRDefault="007D06CC" w:rsidP="007A46AF">
            <w:pPr>
              <w:spacing w:before="120"/>
              <w:jc w:val="center"/>
              <w:rPr>
                <w:rFonts w:cs="Times New Roman"/>
                <w:sz w:val="22"/>
              </w:rPr>
            </w:pPr>
            <w:r w:rsidRPr="00686EDC">
              <w:rPr>
                <w:rFonts w:cs="Times New Roman"/>
                <w:sz w:val="22"/>
              </w:rPr>
              <w:t>21(7.1)</w:t>
            </w:r>
          </w:p>
        </w:tc>
        <w:tc>
          <w:tcPr>
            <w:tcW w:w="1629" w:type="dxa"/>
          </w:tcPr>
          <w:p w14:paraId="4AF6D893" w14:textId="77777777" w:rsidR="007D06CC" w:rsidRPr="00686EDC" w:rsidRDefault="007D06CC" w:rsidP="007A46AF">
            <w:pPr>
              <w:spacing w:before="120"/>
              <w:jc w:val="center"/>
              <w:rPr>
                <w:rFonts w:cs="Times New Roman"/>
                <w:sz w:val="22"/>
              </w:rPr>
            </w:pPr>
            <w:r w:rsidRPr="00686EDC">
              <w:rPr>
                <w:rFonts w:cs="Times New Roman"/>
                <w:sz w:val="22"/>
              </w:rPr>
              <w:t>45(7.7)</w:t>
            </w:r>
          </w:p>
        </w:tc>
        <w:tc>
          <w:tcPr>
            <w:tcW w:w="1399" w:type="dxa"/>
          </w:tcPr>
          <w:p w14:paraId="7ADF6DB2" w14:textId="77777777" w:rsidR="007D06CC" w:rsidRPr="00686EDC" w:rsidRDefault="007D06CC" w:rsidP="007A46AF">
            <w:pPr>
              <w:spacing w:before="120"/>
              <w:jc w:val="center"/>
              <w:rPr>
                <w:rFonts w:cs="Times New Roman"/>
                <w:sz w:val="22"/>
              </w:rPr>
            </w:pPr>
          </w:p>
        </w:tc>
        <w:tc>
          <w:tcPr>
            <w:tcW w:w="1046" w:type="dxa"/>
          </w:tcPr>
          <w:p w14:paraId="68802DE3" w14:textId="77777777" w:rsidR="007D06CC" w:rsidRPr="00686EDC" w:rsidRDefault="007D06CC" w:rsidP="007A46AF">
            <w:pPr>
              <w:spacing w:before="120"/>
              <w:jc w:val="center"/>
              <w:rPr>
                <w:rFonts w:cs="Times New Roman"/>
                <w:sz w:val="22"/>
              </w:rPr>
            </w:pPr>
          </w:p>
        </w:tc>
      </w:tr>
    </w:tbl>
    <w:p w14:paraId="743E01D1" w14:textId="77777777" w:rsidR="007D06CC" w:rsidRDefault="007D06CC" w:rsidP="00492574">
      <w:pPr>
        <w:spacing w:line="360" w:lineRule="auto"/>
        <w:jc w:val="both"/>
        <w:rPr>
          <w:rFonts w:eastAsia="Calibri" w:cs="Times New Roman"/>
          <w:szCs w:val="24"/>
          <w:lang w:eastAsia="en-GB"/>
        </w:rPr>
      </w:pPr>
    </w:p>
    <w:p w14:paraId="642031F1" w14:textId="77777777" w:rsidR="007D06CC" w:rsidRDefault="00AD6810" w:rsidP="00492574">
      <w:pPr>
        <w:spacing w:line="360" w:lineRule="auto"/>
        <w:jc w:val="both"/>
        <w:rPr>
          <w:rFonts w:cs="Times New Roman"/>
          <w:szCs w:val="24"/>
        </w:rPr>
      </w:pPr>
      <w:r>
        <w:rPr>
          <w:rFonts w:cs="Times New Roman"/>
          <w:szCs w:val="24"/>
        </w:rPr>
        <w:t>T</w:t>
      </w:r>
      <w:r w:rsidRPr="001D694C">
        <w:rPr>
          <w:rFonts w:cs="Times New Roman"/>
          <w:szCs w:val="24"/>
        </w:rPr>
        <w:t>he predictors of domestic violence for the urban and rural respondents were alcohol and substance abuse (P: 0.034, aOR:1.45; 95%CR:1.028-2.035) with a higher likelihood in the urban setting, economic hardship (P: 0.014, aOR:0.66; 95%CR:0.473-0.921) with a higher likelihood among the rural respondents than the rural respondents, and educational disparity  (P: 0.006, aOR:1.75; 95%CR:1.177-2.615) with a higher likelihood among the urban respondents than the rural respondents</w:t>
      </w:r>
      <w:r>
        <w:rPr>
          <w:rFonts w:cs="Times New Roman"/>
          <w:szCs w:val="24"/>
        </w:rPr>
        <w:t xml:space="preserve"> (See table 2</w:t>
      </w:r>
      <w:bookmarkEnd w:id="16"/>
      <w:r>
        <w:rPr>
          <w:rFonts w:cs="Times New Roman"/>
          <w:szCs w:val="24"/>
        </w:rPr>
        <w:t xml:space="preserve">). </w:t>
      </w:r>
      <w:bookmarkStart w:id="19" w:name="_Hlk209628727"/>
    </w:p>
    <w:p w14:paraId="6F6393B0" w14:textId="77777777" w:rsidR="007D06CC" w:rsidRPr="001D694C" w:rsidRDefault="007D06CC" w:rsidP="007D06CC">
      <w:pPr>
        <w:spacing w:before="120"/>
        <w:rPr>
          <w:b/>
        </w:rPr>
      </w:pPr>
      <w:r w:rsidRPr="001D694C">
        <w:rPr>
          <w:b/>
        </w:rPr>
        <w:t xml:space="preserve">Table </w:t>
      </w:r>
      <w:r>
        <w:rPr>
          <w:b/>
        </w:rPr>
        <w:t>2</w:t>
      </w:r>
      <w:r w:rsidRPr="001D694C">
        <w:rPr>
          <w:b/>
        </w:rPr>
        <w:t>: Predictors of domestic violence</w:t>
      </w:r>
    </w:p>
    <w:tbl>
      <w:tblPr>
        <w:tblStyle w:val="TableGrid21"/>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76"/>
        <w:gridCol w:w="1418"/>
        <w:gridCol w:w="1134"/>
        <w:gridCol w:w="1134"/>
        <w:gridCol w:w="992"/>
        <w:gridCol w:w="1559"/>
      </w:tblGrid>
      <w:tr w:rsidR="007D06CC" w:rsidRPr="001D694C" w14:paraId="60F42D74" w14:textId="77777777" w:rsidTr="007A46AF">
        <w:tc>
          <w:tcPr>
            <w:tcW w:w="1696" w:type="dxa"/>
            <w:tcBorders>
              <w:bottom w:val="single" w:sz="4" w:space="0" w:color="auto"/>
            </w:tcBorders>
          </w:tcPr>
          <w:p w14:paraId="5A25B4DB" w14:textId="77777777" w:rsidR="007D06CC" w:rsidRPr="001D694C" w:rsidRDefault="007D06CC" w:rsidP="007A46AF">
            <w:pPr>
              <w:spacing w:before="120"/>
              <w:jc w:val="center"/>
              <w:rPr>
                <w:b/>
                <w:sz w:val="22"/>
              </w:rPr>
            </w:pPr>
            <w:r w:rsidRPr="001D694C">
              <w:rPr>
                <w:b/>
                <w:sz w:val="22"/>
              </w:rPr>
              <w:lastRenderedPageBreak/>
              <w:t>Variable</w:t>
            </w:r>
          </w:p>
        </w:tc>
        <w:tc>
          <w:tcPr>
            <w:tcW w:w="1276" w:type="dxa"/>
            <w:tcBorders>
              <w:bottom w:val="single" w:sz="4" w:space="0" w:color="auto"/>
            </w:tcBorders>
          </w:tcPr>
          <w:p w14:paraId="73982161" w14:textId="77777777" w:rsidR="007D06CC" w:rsidRPr="001D694C" w:rsidRDefault="007D06CC" w:rsidP="007A46AF">
            <w:pPr>
              <w:spacing w:before="120"/>
              <w:jc w:val="center"/>
              <w:rPr>
                <w:b/>
                <w:sz w:val="22"/>
              </w:rPr>
            </w:pPr>
            <w:r w:rsidRPr="001D694C">
              <w:rPr>
                <w:b/>
                <w:sz w:val="22"/>
              </w:rPr>
              <w:t>Urban</w:t>
            </w:r>
          </w:p>
          <w:p w14:paraId="2E456EB1" w14:textId="77777777" w:rsidR="007D06CC" w:rsidRPr="001D694C" w:rsidRDefault="007D06CC" w:rsidP="007A46AF">
            <w:pPr>
              <w:spacing w:before="120"/>
              <w:jc w:val="center"/>
              <w:rPr>
                <w:b/>
                <w:sz w:val="22"/>
              </w:rPr>
            </w:pPr>
            <w:r w:rsidRPr="001D694C">
              <w:rPr>
                <w:b/>
                <w:sz w:val="22"/>
              </w:rPr>
              <w:t>(n, %)</w:t>
            </w:r>
          </w:p>
        </w:tc>
        <w:tc>
          <w:tcPr>
            <w:tcW w:w="1418" w:type="dxa"/>
            <w:tcBorders>
              <w:bottom w:val="single" w:sz="4" w:space="0" w:color="auto"/>
            </w:tcBorders>
          </w:tcPr>
          <w:p w14:paraId="38B437DF" w14:textId="77777777" w:rsidR="007D06CC" w:rsidRPr="001D694C" w:rsidRDefault="007D06CC" w:rsidP="007A46AF">
            <w:pPr>
              <w:spacing w:before="120"/>
              <w:jc w:val="center"/>
              <w:rPr>
                <w:b/>
                <w:sz w:val="22"/>
              </w:rPr>
            </w:pPr>
            <w:r w:rsidRPr="001D694C">
              <w:rPr>
                <w:b/>
                <w:sz w:val="22"/>
              </w:rPr>
              <w:t>Rural</w:t>
            </w:r>
          </w:p>
          <w:p w14:paraId="74D028FF" w14:textId="77777777" w:rsidR="007D06CC" w:rsidRPr="001D694C" w:rsidRDefault="007D06CC" w:rsidP="007A46AF">
            <w:pPr>
              <w:spacing w:before="120"/>
              <w:jc w:val="center"/>
              <w:rPr>
                <w:b/>
                <w:sz w:val="22"/>
              </w:rPr>
            </w:pPr>
            <w:r w:rsidRPr="001D694C">
              <w:rPr>
                <w:b/>
                <w:sz w:val="22"/>
              </w:rPr>
              <w:t>(n, %)</w:t>
            </w:r>
          </w:p>
        </w:tc>
        <w:tc>
          <w:tcPr>
            <w:tcW w:w="1134" w:type="dxa"/>
            <w:tcBorders>
              <w:bottom w:val="single" w:sz="4" w:space="0" w:color="auto"/>
            </w:tcBorders>
          </w:tcPr>
          <w:p w14:paraId="70C1A74F" w14:textId="77777777" w:rsidR="007D06CC" w:rsidRPr="001D694C" w:rsidRDefault="007D06CC" w:rsidP="007A46AF">
            <w:pPr>
              <w:spacing w:before="120"/>
              <w:jc w:val="center"/>
              <w:rPr>
                <w:b/>
                <w:sz w:val="22"/>
              </w:rPr>
            </w:pPr>
            <w:r w:rsidRPr="001D694C">
              <w:rPr>
                <w:b/>
                <w:sz w:val="22"/>
              </w:rPr>
              <w:t>Test statistics</w:t>
            </w:r>
          </w:p>
        </w:tc>
        <w:tc>
          <w:tcPr>
            <w:tcW w:w="1134" w:type="dxa"/>
            <w:tcBorders>
              <w:bottom w:val="single" w:sz="4" w:space="0" w:color="auto"/>
            </w:tcBorders>
          </w:tcPr>
          <w:p w14:paraId="503C7876" w14:textId="77777777" w:rsidR="007D06CC" w:rsidRPr="001D694C" w:rsidRDefault="007D06CC" w:rsidP="007A46AF">
            <w:pPr>
              <w:spacing w:before="120"/>
              <w:jc w:val="center"/>
              <w:rPr>
                <w:b/>
                <w:sz w:val="22"/>
              </w:rPr>
            </w:pPr>
            <w:r w:rsidRPr="001D694C">
              <w:rPr>
                <w:b/>
                <w:sz w:val="22"/>
              </w:rPr>
              <w:t>P-value</w:t>
            </w:r>
          </w:p>
        </w:tc>
        <w:tc>
          <w:tcPr>
            <w:tcW w:w="992" w:type="dxa"/>
            <w:tcBorders>
              <w:bottom w:val="single" w:sz="4" w:space="0" w:color="auto"/>
            </w:tcBorders>
          </w:tcPr>
          <w:p w14:paraId="3AE61CF6" w14:textId="77777777" w:rsidR="007D06CC" w:rsidRPr="001D694C" w:rsidRDefault="007D06CC" w:rsidP="007A46AF">
            <w:pPr>
              <w:spacing w:before="120"/>
              <w:jc w:val="center"/>
              <w:rPr>
                <w:b/>
                <w:sz w:val="22"/>
              </w:rPr>
            </w:pPr>
            <w:r w:rsidRPr="001D694C">
              <w:rPr>
                <w:b/>
                <w:sz w:val="22"/>
              </w:rPr>
              <w:t>aOR</w:t>
            </w:r>
          </w:p>
        </w:tc>
        <w:tc>
          <w:tcPr>
            <w:tcW w:w="1559" w:type="dxa"/>
            <w:tcBorders>
              <w:bottom w:val="single" w:sz="4" w:space="0" w:color="auto"/>
            </w:tcBorders>
          </w:tcPr>
          <w:p w14:paraId="28F1D7E5" w14:textId="77777777" w:rsidR="007D06CC" w:rsidRPr="001D694C" w:rsidRDefault="007D06CC" w:rsidP="007A46AF">
            <w:pPr>
              <w:spacing w:before="120"/>
              <w:jc w:val="center"/>
              <w:rPr>
                <w:b/>
                <w:sz w:val="22"/>
              </w:rPr>
            </w:pPr>
            <w:r w:rsidRPr="001D694C">
              <w:rPr>
                <w:b/>
                <w:sz w:val="22"/>
              </w:rPr>
              <w:t>95%CI</w:t>
            </w:r>
          </w:p>
        </w:tc>
      </w:tr>
      <w:tr w:rsidR="007D06CC" w:rsidRPr="001D694C" w14:paraId="1FCF71F9" w14:textId="77777777" w:rsidTr="007A46AF">
        <w:tc>
          <w:tcPr>
            <w:tcW w:w="1696" w:type="dxa"/>
            <w:tcBorders>
              <w:top w:val="single" w:sz="4" w:space="0" w:color="auto"/>
            </w:tcBorders>
          </w:tcPr>
          <w:p w14:paraId="12809D00" w14:textId="77777777" w:rsidR="007D06CC" w:rsidRPr="001D694C" w:rsidRDefault="007D06CC" w:rsidP="007A46AF">
            <w:pPr>
              <w:spacing w:before="120"/>
              <w:rPr>
                <w:sz w:val="22"/>
              </w:rPr>
            </w:pPr>
            <w:r w:rsidRPr="001D694C">
              <w:rPr>
                <w:sz w:val="22"/>
              </w:rPr>
              <w:t>Alcohol and substance abuse</w:t>
            </w:r>
          </w:p>
        </w:tc>
        <w:tc>
          <w:tcPr>
            <w:tcW w:w="1276" w:type="dxa"/>
            <w:tcBorders>
              <w:top w:val="single" w:sz="4" w:space="0" w:color="auto"/>
            </w:tcBorders>
          </w:tcPr>
          <w:p w14:paraId="6B13C504" w14:textId="77777777" w:rsidR="007D06CC" w:rsidRPr="001D694C" w:rsidRDefault="007D06CC" w:rsidP="007A46AF">
            <w:pPr>
              <w:spacing w:before="120"/>
              <w:jc w:val="center"/>
              <w:rPr>
                <w:sz w:val="22"/>
              </w:rPr>
            </w:pPr>
            <w:r w:rsidRPr="001D694C">
              <w:rPr>
                <w:sz w:val="22"/>
              </w:rPr>
              <w:t>191(65.0)</w:t>
            </w:r>
          </w:p>
        </w:tc>
        <w:tc>
          <w:tcPr>
            <w:tcW w:w="1418" w:type="dxa"/>
            <w:tcBorders>
              <w:top w:val="single" w:sz="4" w:space="0" w:color="auto"/>
            </w:tcBorders>
          </w:tcPr>
          <w:p w14:paraId="707A173F" w14:textId="77777777" w:rsidR="007D06CC" w:rsidRPr="001D694C" w:rsidRDefault="007D06CC" w:rsidP="007A46AF">
            <w:pPr>
              <w:spacing w:before="120"/>
              <w:jc w:val="center"/>
              <w:rPr>
                <w:sz w:val="22"/>
              </w:rPr>
            </w:pPr>
            <w:r w:rsidRPr="001D694C">
              <w:rPr>
                <w:sz w:val="22"/>
              </w:rPr>
              <w:t>163(55.4)</w:t>
            </w:r>
          </w:p>
        </w:tc>
        <w:tc>
          <w:tcPr>
            <w:tcW w:w="1134" w:type="dxa"/>
            <w:tcBorders>
              <w:top w:val="single" w:sz="4" w:space="0" w:color="auto"/>
            </w:tcBorders>
          </w:tcPr>
          <w:p w14:paraId="16DAC234" w14:textId="77777777" w:rsidR="007D06CC" w:rsidRPr="001D694C" w:rsidRDefault="007D06CC" w:rsidP="007A46AF">
            <w:pPr>
              <w:spacing w:before="120"/>
              <w:jc w:val="center"/>
              <w:rPr>
                <w:sz w:val="22"/>
              </w:rPr>
            </w:pPr>
            <w:r w:rsidRPr="001D694C">
              <w:rPr>
                <w:sz w:val="22"/>
              </w:rPr>
              <w:t>4.50</w:t>
            </w:r>
          </w:p>
        </w:tc>
        <w:tc>
          <w:tcPr>
            <w:tcW w:w="1134" w:type="dxa"/>
            <w:tcBorders>
              <w:top w:val="single" w:sz="4" w:space="0" w:color="auto"/>
            </w:tcBorders>
          </w:tcPr>
          <w:p w14:paraId="6158F12C" w14:textId="77777777" w:rsidR="007D06CC" w:rsidRPr="001D694C" w:rsidRDefault="007D06CC" w:rsidP="007A46AF">
            <w:pPr>
              <w:spacing w:before="120"/>
              <w:jc w:val="center"/>
              <w:rPr>
                <w:sz w:val="22"/>
              </w:rPr>
            </w:pPr>
            <w:r w:rsidRPr="001D694C">
              <w:rPr>
                <w:sz w:val="22"/>
              </w:rPr>
              <w:t>0.034</w:t>
            </w:r>
          </w:p>
        </w:tc>
        <w:tc>
          <w:tcPr>
            <w:tcW w:w="992" w:type="dxa"/>
            <w:tcBorders>
              <w:top w:val="single" w:sz="4" w:space="0" w:color="auto"/>
            </w:tcBorders>
          </w:tcPr>
          <w:p w14:paraId="2C290C3D" w14:textId="77777777" w:rsidR="007D06CC" w:rsidRPr="001D694C" w:rsidRDefault="007D06CC" w:rsidP="007A46AF">
            <w:pPr>
              <w:spacing w:before="120"/>
              <w:jc w:val="center"/>
              <w:rPr>
                <w:sz w:val="22"/>
              </w:rPr>
            </w:pPr>
            <w:r w:rsidRPr="001D694C">
              <w:rPr>
                <w:sz w:val="22"/>
              </w:rPr>
              <w:t>1.45</w:t>
            </w:r>
          </w:p>
        </w:tc>
        <w:tc>
          <w:tcPr>
            <w:tcW w:w="1559" w:type="dxa"/>
            <w:tcBorders>
              <w:top w:val="single" w:sz="4" w:space="0" w:color="auto"/>
            </w:tcBorders>
          </w:tcPr>
          <w:p w14:paraId="3DC73F2D" w14:textId="77777777" w:rsidR="007D06CC" w:rsidRPr="001D694C" w:rsidRDefault="007D06CC" w:rsidP="007A46AF">
            <w:pPr>
              <w:spacing w:before="120"/>
              <w:jc w:val="center"/>
              <w:rPr>
                <w:b/>
                <w:sz w:val="22"/>
              </w:rPr>
            </w:pPr>
            <w:r w:rsidRPr="001D694C">
              <w:rPr>
                <w:b/>
                <w:sz w:val="22"/>
              </w:rPr>
              <w:t>1.028-2.035*</w:t>
            </w:r>
          </w:p>
        </w:tc>
      </w:tr>
      <w:tr w:rsidR="007D06CC" w:rsidRPr="001D694C" w14:paraId="7F51DA5D" w14:textId="77777777" w:rsidTr="007A46AF">
        <w:tc>
          <w:tcPr>
            <w:tcW w:w="1696" w:type="dxa"/>
          </w:tcPr>
          <w:p w14:paraId="74542203" w14:textId="77777777" w:rsidR="007D06CC" w:rsidRPr="001D694C" w:rsidRDefault="007D06CC" w:rsidP="007A46AF">
            <w:pPr>
              <w:spacing w:before="120"/>
              <w:rPr>
                <w:sz w:val="22"/>
              </w:rPr>
            </w:pPr>
            <w:r w:rsidRPr="001D694C">
              <w:rPr>
                <w:sz w:val="22"/>
              </w:rPr>
              <w:t>Religion</w:t>
            </w:r>
          </w:p>
        </w:tc>
        <w:tc>
          <w:tcPr>
            <w:tcW w:w="1276" w:type="dxa"/>
          </w:tcPr>
          <w:p w14:paraId="5AA9D502" w14:textId="77777777" w:rsidR="007D06CC" w:rsidRPr="001D694C" w:rsidRDefault="007D06CC" w:rsidP="007A46AF">
            <w:pPr>
              <w:spacing w:before="120"/>
              <w:jc w:val="center"/>
              <w:rPr>
                <w:sz w:val="22"/>
              </w:rPr>
            </w:pPr>
            <w:r w:rsidRPr="001D694C">
              <w:rPr>
                <w:sz w:val="22"/>
              </w:rPr>
              <w:t>129(43.9)</w:t>
            </w:r>
          </w:p>
        </w:tc>
        <w:tc>
          <w:tcPr>
            <w:tcW w:w="1418" w:type="dxa"/>
          </w:tcPr>
          <w:p w14:paraId="405D9ABF" w14:textId="77777777" w:rsidR="007D06CC" w:rsidRPr="001D694C" w:rsidRDefault="007D06CC" w:rsidP="007A46AF">
            <w:pPr>
              <w:spacing w:before="120"/>
              <w:jc w:val="center"/>
              <w:rPr>
                <w:sz w:val="22"/>
              </w:rPr>
            </w:pPr>
            <w:r w:rsidRPr="001D694C">
              <w:rPr>
                <w:sz w:val="22"/>
              </w:rPr>
              <w:t>95(32.3)</w:t>
            </w:r>
          </w:p>
        </w:tc>
        <w:tc>
          <w:tcPr>
            <w:tcW w:w="1134" w:type="dxa"/>
          </w:tcPr>
          <w:p w14:paraId="6206763D" w14:textId="77777777" w:rsidR="007D06CC" w:rsidRPr="001D694C" w:rsidRDefault="007D06CC" w:rsidP="007A46AF">
            <w:pPr>
              <w:spacing w:before="120"/>
              <w:jc w:val="center"/>
              <w:rPr>
                <w:sz w:val="22"/>
              </w:rPr>
            </w:pPr>
            <w:r w:rsidRPr="001D694C">
              <w:rPr>
                <w:sz w:val="22"/>
              </w:rPr>
              <w:t>0.53</w:t>
            </w:r>
          </w:p>
        </w:tc>
        <w:tc>
          <w:tcPr>
            <w:tcW w:w="1134" w:type="dxa"/>
          </w:tcPr>
          <w:p w14:paraId="2CF2EEBC" w14:textId="77777777" w:rsidR="007D06CC" w:rsidRPr="001D694C" w:rsidRDefault="007D06CC" w:rsidP="007A46AF">
            <w:pPr>
              <w:spacing w:before="120"/>
              <w:jc w:val="center"/>
              <w:rPr>
                <w:sz w:val="22"/>
              </w:rPr>
            </w:pPr>
            <w:r w:rsidRPr="001D694C">
              <w:rPr>
                <w:sz w:val="22"/>
              </w:rPr>
              <w:t>0.469</w:t>
            </w:r>
          </w:p>
        </w:tc>
        <w:tc>
          <w:tcPr>
            <w:tcW w:w="992" w:type="dxa"/>
          </w:tcPr>
          <w:p w14:paraId="7EBD5D56" w14:textId="77777777" w:rsidR="007D06CC" w:rsidRPr="001D694C" w:rsidRDefault="007D06CC" w:rsidP="007A46AF">
            <w:pPr>
              <w:spacing w:before="120"/>
              <w:jc w:val="center"/>
              <w:rPr>
                <w:sz w:val="22"/>
              </w:rPr>
            </w:pPr>
            <w:r w:rsidRPr="001D694C">
              <w:rPr>
                <w:sz w:val="22"/>
              </w:rPr>
              <w:t>0.68</w:t>
            </w:r>
          </w:p>
        </w:tc>
        <w:tc>
          <w:tcPr>
            <w:tcW w:w="1559" w:type="dxa"/>
          </w:tcPr>
          <w:p w14:paraId="41B2B18A" w14:textId="77777777" w:rsidR="007D06CC" w:rsidRPr="001D694C" w:rsidRDefault="007D06CC" w:rsidP="007A46AF">
            <w:pPr>
              <w:spacing w:before="120"/>
              <w:jc w:val="center"/>
              <w:rPr>
                <w:sz w:val="22"/>
              </w:rPr>
            </w:pPr>
            <w:r w:rsidRPr="001D694C">
              <w:rPr>
                <w:sz w:val="22"/>
              </w:rPr>
              <w:t>0.238-1.938</w:t>
            </w:r>
          </w:p>
        </w:tc>
      </w:tr>
      <w:tr w:rsidR="007D06CC" w:rsidRPr="001D694C" w14:paraId="07920C6E" w14:textId="77777777" w:rsidTr="007A46AF">
        <w:tc>
          <w:tcPr>
            <w:tcW w:w="1696" w:type="dxa"/>
          </w:tcPr>
          <w:p w14:paraId="02331CD2" w14:textId="77777777" w:rsidR="007D06CC" w:rsidRPr="001D694C" w:rsidRDefault="007D06CC" w:rsidP="007A46AF">
            <w:pPr>
              <w:spacing w:before="120"/>
              <w:rPr>
                <w:sz w:val="22"/>
              </w:rPr>
            </w:pPr>
            <w:r w:rsidRPr="001D694C">
              <w:rPr>
                <w:sz w:val="22"/>
              </w:rPr>
              <w:t>Economic hardship</w:t>
            </w:r>
          </w:p>
        </w:tc>
        <w:tc>
          <w:tcPr>
            <w:tcW w:w="1276" w:type="dxa"/>
          </w:tcPr>
          <w:p w14:paraId="7DE561A7" w14:textId="77777777" w:rsidR="007D06CC" w:rsidRPr="001D694C" w:rsidRDefault="007D06CC" w:rsidP="007A46AF">
            <w:pPr>
              <w:spacing w:before="120"/>
              <w:jc w:val="center"/>
              <w:rPr>
                <w:sz w:val="22"/>
              </w:rPr>
            </w:pPr>
            <w:r w:rsidRPr="001D694C">
              <w:rPr>
                <w:sz w:val="22"/>
              </w:rPr>
              <w:t>124(42.2)</w:t>
            </w:r>
          </w:p>
        </w:tc>
        <w:tc>
          <w:tcPr>
            <w:tcW w:w="1418" w:type="dxa"/>
          </w:tcPr>
          <w:p w14:paraId="63E03ACE" w14:textId="77777777" w:rsidR="007D06CC" w:rsidRPr="001D694C" w:rsidRDefault="007D06CC" w:rsidP="007A46AF">
            <w:pPr>
              <w:spacing w:before="120"/>
              <w:jc w:val="center"/>
              <w:rPr>
                <w:sz w:val="22"/>
              </w:rPr>
            </w:pPr>
            <w:r w:rsidRPr="001D694C">
              <w:rPr>
                <w:sz w:val="22"/>
              </w:rPr>
              <w:t>155(52.7)</w:t>
            </w:r>
          </w:p>
        </w:tc>
        <w:tc>
          <w:tcPr>
            <w:tcW w:w="1134" w:type="dxa"/>
          </w:tcPr>
          <w:p w14:paraId="2C3CDA69" w14:textId="77777777" w:rsidR="007D06CC" w:rsidRPr="001D694C" w:rsidRDefault="007D06CC" w:rsidP="007A46AF">
            <w:pPr>
              <w:spacing w:before="120"/>
              <w:jc w:val="center"/>
              <w:rPr>
                <w:sz w:val="22"/>
              </w:rPr>
            </w:pPr>
            <w:r w:rsidRPr="001D694C">
              <w:rPr>
                <w:sz w:val="22"/>
              </w:rPr>
              <w:t>5.98</w:t>
            </w:r>
          </w:p>
        </w:tc>
        <w:tc>
          <w:tcPr>
            <w:tcW w:w="1134" w:type="dxa"/>
          </w:tcPr>
          <w:p w14:paraId="3593C55D" w14:textId="77777777" w:rsidR="007D06CC" w:rsidRPr="001D694C" w:rsidRDefault="007D06CC" w:rsidP="007A46AF">
            <w:pPr>
              <w:spacing w:before="120"/>
              <w:jc w:val="center"/>
              <w:rPr>
                <w:sz w:val="22"/>
              </w:rPr>
            </w:pPr>
            <w:r w:rsidRPr="001D694C">
              <w:rPr>
                <w:sz w:val="22"/>
              </w:rPr>
              <w:t>0.014</w:t>
            </w:r>
          </w:p>
        </w:tc>
        <w:tc>
          <w:tcPr>
            <w:tcW w:w="992" w:type="dxa"/>
          </w:tcPr>
          <w:p w14:paraId="010744C0" w14:textId="77777777" w:rsidR="007D06CC" w:rsidRPr="001D694C" w:rsidRDefault="007D06CC" w:rsidP="007A46AF">
            <w:pPr>
              <w:spacing w:before="120"/>
              <w:jc w:val="center"/>
              <w:rPr>
                <w:sz w:val="22"/>
              </w:rPr>
            </w:pPr>
            <w:r w:rsidRPr="001D694C">
              <w:rPr>
                <w:sz w:val="22"/>
              </w:rPr>
              <w:t>0.66</w:t>
            </w:r>
          </w:p>
        </w:tc>
        <w:tc>
          <w:tcPr>
            <w:tcW w:w="1559" w:type="dxa"/>
          </w:tcPr>
          <w:p w14:paraId="0EE52390" w14:textId="77777777" w:rsidR="007D06CC" w:rsidRPr="001D694C" w:rsidRDefault="007D06CC" w:rsidP="007A46AF">
            <w:pPr>
              <w:spacing w:before="120"/>
              <w:jc w:val="center"/>
              <w:rPr>
                <w:b/>
                <w:sz w:val="22"/>
              </w:rPr>
            </w:pPr>
            <w:r w:rsidRPr="001D694C">
              <w:rPr>
                <w:b/>
                <w:sz w:val="22"/>
              </w:rPr>
              <w:t>0.473-0.921*</w:t>
            </w:r>
          </w:p>
        </w:tc>
      </w:tr>
      <w:tr w:rsidR="007D06CC" w:rsidRPr="001D694C" w14:paraId="342C645A" w14:textId="77777777" w:rsidTr="007A46AF">
        <w:tc>
          <w:tcPr>
            <w:tcW w:w="1696" w:type="dxa"/>
          </w:tcPr>
          <w:p w14:paraId="08F39106" w14:textId="77777777" w:rsidR="007D06CC" w:rsidRPr="001D694C" w:rsidRDefault="007D06CC" w:rsidP="007A46AF">
            <w:pPr>
              <w:spacing w:before="120"/>
              <w:rPr>
                <w:sz w:val="22"/>
              </w:rPr>
            </w:pPr>
            <w:r w:rsidRPr="001D694C">
              <w:rPr>
                <w:sz w:val="22"/>
              </w:rPr>
              <w:t>Educational disparity</w:t>
            </w:r>
          </w:p>
        </w:tc>
        <w:tc>
          <w:tcPr>
            <w:tcW w:w="1276" w:type="dxa"/>
          </w:tcPr>
          <w:p w14:paraId="030F3FBB" w14:textId="77777777" w:rsidR="007D06CC" w:rsidRPr="001D694C" w:rsidRDefault="007D06CC" w:rsidP="007A46AF">
            <w:pPr>
              <w:spacing w:before="120"/>
              <w:jc w:val="center"/>
              <w:rPr>
                <w:sz w:val="22"/>
              </w:rPr>
            </w:pPr>
            <w:r w:rsidRPr="001D694C">
              <w:rPr>
                <w:sz w:val="22"/>
              </w:rPr>
              <w:t>79(26.9)</w:t>
            </w:r>
          </w:p>
        </w:tc>
        <w:tc>
          <w:tcPr>
            <w:tcW w:w="1418" w:type="dxa"/>
          </w:tcPr>
          <w:p w14:paraId="7B0C88AA" w14:textId="77777777" w:rsidR="007D06CC" w:rsidRPr="001D694C" w:rsidRDefault="007D06CC" w:rsidP="007A46AF">
            <w:pPr>
              <w:spacing w:before="120"/>
              <w:jc w:val="center"/>
              <w:rPr>
                <w:sz w:val="22"/>
              </w:rPr>
            </w:pPr>
            <w:r w:rsidRPr="001D694C">
              <w:rPr>
                <w:sz w:val="22"/>
              </w:rPr>
              <w:t>54(18.6)</w:t>
            </w:r>
          </w:p>
        </w:tc>
        <w:tc>
          <w:tcPr>
            <w:tcW w:w="1134" w:type="dxa"/>
          </w:tcPr>
          <w:p w14:paraId="2AE3CBE6" w14:textId="77777777" w:rsidR="007D06CC" w:rsidRPr="001D694C" w:rsidRDefault="007D06CC" w:rsidP="007A46AF">
            <w:pPr>
              <w:spacing w:before="120"/>
              <w:jc w:val="center"/>
              <w:rPr>
                <w:sz w:val="22"/>
              </w:rPr>
            </w:pPr>
            <w:r w:rsidRPr="001D694C">
              <w:rPr>
                <w:sz w:val="22"/>
              </w:rPr>
              <w:t>7.62</w:t>
            </w:r>
          </w:p>
        </w:tc>
        <w:tc>
          <w:tcPr>
            <w:tcW w:w="1134" w:type="dxa"/>
          </w:tcPr>
          <w:p w14:paraId="0011F92C" w14:textId="77777777" w:rsidR="007D06CC" w:rsidRPr="001D694C" w:rsidRDefault="007D06CC" w:rsidP="007A46AF">
            <w:pPr>
              <w:spacing w:before="120"/>
              <w:jc w:val="center"/>
              <w:rPr>
                <w:sz w:val="22"/>
              </w:rPr>
            </w:pPr>
            <w:r w:rsidRPr="001D694C">
              <w:rPr>
                <w:sz w:val="22"/>
              </w:rPr>
              <w:t>0.006</w:t>
            </w:r>
          </w:p>
        </w:tc>
        <w:tc>
          <w:tcPr>
            <w:tcW w:w="992" w:type="dxa"/>
          </w:tcPr>
          <w:p w14:paraId="4C90AC74" w14:textId="77777777" w:rsidR="007D06CC" w:rsidRPr="001D694C" w:rsidRDefault="007D06CC" w:rsidP="007A46AF">
            <w:pPr>
              <w:spacing w:before="120"/>
              <w:jc w:val="center"/>
              <w:rPr>
                <w:sz w:val="22"/>
              </w:rPr>
            </w:pPr>
            <w:r w:rsidRPr="001D694C">
              <w:rPr>
                <w:sz w:val="22"/>
              </w:rPr>
              <w:t>1.75</w:t>
            </w:r>
          </w:p>
        </w:tc>
        <w:tc>
          <w:tcPr>
            <w:tcW w:w="1559" w:type="dxa"/>
          </w:tcPr>
          <w:p w14:paraId="6534C312" w14:textId="77777777" w:rsidR="007D06CC" w:rsidRPr="001D694C" w:rsidRDefault="007D06CC" w:rsidP="007A46AF">
            <w:pPr>
              <w:spacing w:before="120"/>
              <w:jc w:val="center"/>
              <w:rPr>
                <w:b/>
                <w:sz w:val="22"/>
              </w:rPr>
            </w:pPr>
            <w:r w:rsidRPr="001D694C">
              <w:rPr>
                <w:b/>
                <w:sz w:val="22"/>
              </w:rPr>
              <w:t>1.177-2.615*</w:t>
            </w:r>
          </w:p>
        </w:tc>
      </w:tr>
    </w:tbl>
    <w:p w14:paraId="311CE0D6" w14:textId="35FF919D" w:rsidR="007D06CC" w:rsidRDefault="007D06CC" w:rsidP="007D06CC">
      <w:pPr>
        <w:spacing w:line="360" w:lineRule="auto"/>
        <w:rPr>
          <w:rFonts w:cs="Times New Roman"/>
          <w:szCs w:val="24"/>
        </w:rPr>
      </w:pPr>
      <w:r w:rsidRPr="001D694C">
        <w:rPr>
          <w:rFonts w:cs="Times New Roman"/>
          <w:szCs w:val="24"/>
        </w:rPr>
        <w:t>n: number, %: Percentage, aOR: adjusted Odds Ratio, CI: Confidence Interval, *: significant C</w:t>
      </w:r>
      <w:r>
        <w:rPr>
          <w:rFonts w:cs="Times New Roman"/>
          <w:szCs w:val="24"/>
        </w:rPr>
        <w:t>I</w:t>
      </w:r>
    </w:p>
    <w:p w14:paraId="1F5867B0" w14:textId="77777777" w:rsidR="007D06CC" w:rsidRDefault="00AD6810" w:rsidP="00492574">
      <w:pPr>
        <w:spacing w:line="360" w:lineRule="auto"/>
        <w:jc w:val="both"/>
        <w:rPr>
          <w:rFonts w:cs="Times New Roman"/>
          <w:szCs w:val="24"/>
        </w:rPr>
      </w:pPr>
      <w:r w:rsidRPr="001D694C">
        <w:rPr>
          <w:rFonts w:cs="Times New Roman"/>
          <w:szCs w:val="24"/>
        </w:rPr>
        <w:t xml:space="preserve">Disclosure of domestic violence was below 50%. The pattern of disclosure was similar in </w:t>
      </w:r>
      <w:r>
        <w:rPr>
          <w:rFonts w:cs="Times New Roman"/>
          <w:szCs w:val="24"/>
        </w:rPr>
        <w:t>both urban and rural survivors</w:t>
      </w:r>
      <w:r w:rsidRPr="001D694C">
        <w:rPr>
          <w:rFonts w:cs="Times New Roman"/>
          <w:szCs w:val="24"/>
        </w:rPr>
        <w:t xml:space="preserve">. The majority of the reporting was to their parents or siblings in all the groups (216;28.4%, 84;28.6%, and 83;28.2% </w:t>
      </w:r>
      <w:bookmarkStart w:id="20" w:name="_Hlk198748071"/>
      <w:r w:rsidRPr="001D694C">
        <w:rPr>
          <w:rFonts w:cs="Times New Roman"/>
          <w:szCs w:val="24"/>
        </w:rPr>
        <w:t>for the total, urban and rural groups respectively</w:t>
      </w:r>
      <w:bookmarkEnd w:id="20"/>
      <w:r w:rsidRPr="001D694C">
        <w:rPr>
          <w:rFonts w:cs="Times New Roman"/>
          <w:szCs w:val="24"/>
        </w:rPr>
        <w:t>). The next highest of the disclosure was to the in-laws in all the groups (105;17.9%, 48;16.3% and 57;19.4% for the total, urban and rural groups respectively). The lowest percentage of disclosure was to friends and social groups. There was significant difference in the reporting to healthcare workers between urban and rural(P:0.001), the rural survivors report more to healthcare worker than the urban survivors of DV</w:t>
      </w:r>
      <w:bookmarkEnd w:id="19"/>
      <w:r>
        <w:rPr>
          <w:rFonts w:cs="Times New Roman"/>
          <w:szCs w:val="24"/>
        </w:rPr>
        <w:t xml:space="preserve"> (See table 3).</w:t>
      </w:r>
    </w:p>
    <w:p w14:paraId="495BCA10" w14:textId="77777777" w:rsidR="007D06CC" w:rsidRPr="001D694C" w:rsidRDefault="007D06CC" w:rsidP="007D06CC">
      <w:pPr>
        <w:spacing w:before="120"/>
        <w:rPr>
          <w:b/>
        </w:rPr>
      </w:pPr>
      <w:bookmarkStart w:id="21" w:name="_Toc210766503"/>
      <w:r w:rsidRPr="001D694C">
        <w:rPr>
          <w:b/>
        </w:rPr>
        <w:t>Table</w:t>
      </w:r>
      <w:r>
        <w:rPr>
          <w:b/>
        </w:rPr>
        <w:t xml:space="preserve"> 3</w:t>
      </w:r>
      <w:r w:rsidRPr="001D694C">
        <w:rPr>
          <w:b/>
        </w:rPr>
        <w:t>:  Disclosure and pattern of disclosure of domestic violence</w:t>
      </w:r>
      <w:bookmarkEnd w:id="21"/>
    </w:p>
    <w:tbl>
      <w:tblPr>
        <w:tblStyle w:val="TableGrid15"/>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834"/>
        <w:gridCol w:w="1875"/>
        <w:gridCol w:w="1811"/>
        <w:gridCol w:w="1134"/>
        <w:gridCol w:w="992"/>
      </w:tblGrid>
      <w:tr w:rsidR="007D06CC" w:rsidRPr="001D694C" w14:paraId="59DEA072" w14:textId="77777777" w:rsidTr="007A46AF">
        <w:tc>
          <w:tcPr>
            <w:tcW w:w="1563" w:type="dxa"/>
          </w:tcPr>
          <w:p w14:paraId="6163B0A3" w14:textId="77777777" w:rsidR="007D06CC" w:rsidRPr="001D694C" w:rsidRDefault="007D06CC" w:rsidP="007A46AF">
            <w:pPr>
              <w:spacing w:before="120"/>
              <w:rPr>
                <w:b/>
                <w:sz w:val="22"/>
              </w:rPr>
            </w:pPr>
            <w:r w:rsidRPr="001D694C">
              <w:rPr>
                <w:b/>
                <w:sz w:val="22"/>
              </w:rPr>
              <w:t>Variable</w:t>
            </w:r>
          </w:p>
        </w:tc>
        <w:tc>
          <w:tcPr>
            <w:tcW w:w="1834" w:type="dxa"/>
          </w:tcPr>
          <w:p w14:paraId="487C3B79" w14:textId="77777777" w:rsidR="007D06CC" w:rsidRPr="001D694C" w:rsidRDefault="007D06CC" w:rsidP="007A46AF">
            <w:pPr>
              <w:spacing w:before="120"/>
              <w:rPr>
                <w:b/>
                <w:sz w:val="22"/>
              </w:rPr>
            </w:pPr>
            <w:r w:rsidRPr="001D694C">
              <w:rPr>
                <w:b/>
                <w:sz w:val="22"/>
              </w:rPr>
              <w:t xml:space="preserve">Urban </w:t>
            </w:r>
          </w:p>
        </w:tc>
        <w:tc>
          <w:tcPr>
            <w:tcW w:w="1875" w:type="dxa"/>
          </w:tcPr>
          <w:p w14:paraId="61027E20" w14:textId="77777777" w:rsidR="007D06CC" w:rsidRPr="001D694C" w:rsidRDefault="007D06CC" w:rsidP="007A46AF">
            <w:pPr>
              <w:spacing w:before="120"/>
              <w:rPr>
                <w:b/>
                <w:sz w:val="22"/>
              </w:rPr>
            </w:pPr>
            <w:r w:rsidRPr="001D694C">
              <w:rPr>
                <w:b/>
                <w:sz w:val="22"/>
              </w:rPr>
              <w:t xml:space="preserve">Rural </w:t>
            </w:r>
          </w:p>
        </w:tc>
        <w:tc>
          <w:tcPr>
            <w:tcW w:w="1811" w:type="dxa"/>
          </w:tcPr>
          <w:p w14:paraId="37AD846A" w14:textId="77777777" w:rsidR="007D06CC" w:rsidRPr="001D694C" w:rsidRDefault="007D06CC" w:rsidP="007A46AF">
            <w:pPr>
              <w:spacing w:before="120"/>
              <w:rPr>
                <w:b/>
                <w:sz w:val="22"/>
              </w:rPr>
            </w:pPr>
            <w:r w:rsidRPr="001D694C">
              <w:rPr>
                <w:b/>
                <w:sz w:val="22"/>
              </w:rPr>
              <w:t>Total</w:t>
            </w:r>
          </w:p>
        </w:tc>
        <w:tc>
          <w:tcPr>
            <w:tcW w:w="1134" w:type="dxa"/>
          </w:tcPr>
          <w:p w14:paraId="16BDBAD7" w14:textId="77777777" w:rsidR="007D06CC" w:rsidRPr="001D694C" w:rsidRDefault="007D06CC" w:rsidP="007A46AF">
            <w:pPr>
              <w:spacing w:before="120"/>
              <w:rPr>
                <w:b/>
                <w:sz w:val="22"/>
              </w:rPr>
            </w:pPr>
            <w:r w:rsidRPr="001D694C">
              <w:rPr>
                <w:b/>
                <w:sz w:val="22"/>
              </w:rPr>
              <w:t xml:space="preserve">Test statistics </w:t>
            </w:r>
          </w:p>
        </w:tc>
        <w:tc>
          <w:tcPr>
            <w:tcW w:w="992" w:type="dxa"/>
          </w:tcPr>
          <w:p w14:paraId="07B585E7" w14:textId="77777777" w:rsidR="007D06CC" w:rsidRPr="001D694C" w:rsidRDefault="007D06CC" w:rsidP="007A46AF">
            <w:pPr>
              <w:spacing w:before="120"/>
              <w:rPr>
                <w:b/>
                <w:sz w:val="22"/>
              </w:rPr>
            </w:pPr>
            <w:r w:rsidRPr="001D694C">
              <w:rPr>
                <w:b/>
                <w:sz w:val="22"/>
              </w:rPr>
              <w:t xml:space="preserve">P-value </w:t>
            </w:r>
          </w:p>
        </w:tc>
      </w:tr>
      <w:tr w:rsidR="007D06CC" w:rsidRPr="001D694C" w14:paraId="2D391AB1" w14:textId="77777777" w:rsidTr="007A46AF">
        <w:tc>
          <w:tcPr>
            <w:tcW w:w="1563" w:type="dxa"/>
          </w:tcPr>
          <w:p w14:paraId="4CBE11BA" w14:textId="77777777" w:rsidR="007D06CC" w:rsidRPr="001D694C" w:rsidRDefault="007D06CC" w:rsidP="007A46AF">
            <w:pPr>
              <w:spacing w:before="120"/>
              <w:rPr>
                <w:sz w:val="22"/>
              </w:rPr>
            </w:pPr>
          </w:p>
        </w:tc>
        <w:tc>
          <w:tcPr>
            <w:tcW w:w="1834" w:type="dxa"/>
          </w:tcPr>
          <w:p w14:paraId="32BADE05" w14:textId="77777777" w:rsidR="007D06CC" w:rsidRPr="001D694C" w:rsidRDefault="007D06CC" w:rsidP="007A46AF">
            <w:pPr>
              <w:spacing w:before="120"/>
              <w:rPr>
                <w:b/>
                <w:sz w:val="22"/>
              </w:rPr>
            </w:pPr>
            <w:r w:rsidRPr="001D694C">
              <w:rPr>
                <w:b/>
                <w:sz w:val="22"/>
              </w:rPr>
              <w:t>(n, %)</w:t>
            </w:r>
          </w:p>
        </w:tc>
        <w:tc>
          <w:tcPr>
            <w:tcW w:w="1875" w:type="dxa"/>
          </w:tcPr>
          <w:p w14:paraId="45E42A4D" w14:textId="77777777" w:rsidR="007D06CC" w:rsidRPr="001D694C" w:rsidRDefault="007D06CC" w:rsidP="007A46AF">
            <w:pPr>
              <w:spacing w:before="120"/>
              <w:rPr>
                <w:b/>
                <w:sz w:val="22"/>
              </w:rPr>
            </w:pPr>
            <w:r w:rsidRPr="001D694C">
              <w:rPr>
                <w:b/>
                <w:sz w:val="22"/>
              </w:rPr>
              <w:t>(n, %)</w:t>
            </w:r>
          </w:p>
        </w:tc>
        <w:tc>
          <w:tcPr>
            <w:tcW w:w="1811" w:type="dxa"/>
          </w:tcPr>
          <w:p w14:paraId="5D37A68F" w14:textId="77777777" w:rsidR="007D06CC" w:rsidRPr="001D694C" w:rsidRDefault="007D06CC" w:rsidP="007A46AF">
            <w:pPr>
              <w:spacing w:before="120"/>
              <w:rPr>
                <w:b/>
                <w:sz w:val="22"/>
              </w:rPr>
            </w:pPr>
            <w:r w:rsidRPr="001D694C">
              <w:rPr>
                <w:b/>
                <w:sz w:val="22"/>
              </w:rPr>
              <w:t>(n, %)</w:t>
            </w:r>
          </w:p>
        </w:tc>
        <w:tc>
          <w:tcPr>
            <w:tcW w:w="1134" w:type="dxa"/>
          </w:tcPr>
          <w:p w14:paraId="3AFDACF1" w14:textId="77777777" w:rsidR="007D06CC" w:rsidRPr="001D694C" w:rsidRDefault="007D06CC" w:rsidP="007A46AF">
            <w:pPr>
              <w:spacing w:before="120"/>
              <w:rPr>
                <w:sz w:val="22"/>
              </w:rPr>
            </w:pPr>
          </w:p>
        </w:tc>
        <w:tc>
          <w:tcPr>
            <w:tcW w:w="992" w:type="dxa"/>
          </w:tcPr>
          <w:p w14:paraId="30E07018" w14:textId="77777777" w:rsidR="007D06CC" w:rsidRPr="001D694C" w:rsidRDefault="007D06CC" w:rsidP="007A46AF">
            <w:pPr>
              <w:spacing w:before="120"/>
              <w:rPr>
                <w:sz w:val="22"/>
              </w:rPr>
            </w:pPr>
          </w:p>
        </w:tc>
      </w:tr>
      <w:tr w:rsidR="007D06CC" w:rsidRPr="001D694C" w14:paraId="0AE06577" w14:textId="77777777" w:rsidTr="007A46AF">
        <w:tc>
          <w:tcPr>
            <w:tcW w:w="1563" w:type="dxa"/>
            <w:tcBorders>
              <w:top w:val="single" w:sz="4" w:space="0" w:color="auto"/>
            </w:tcBorders>
          </w:tcPr>
          <w:p w14:paraId="02C1C734" w14:textId="77777777" w:rsidR="007D06CC" w:rsidRPr="001D694C" w:rsidRDefault="007D06CC" w:rsidP="007A46AF">
            <w:pPr>
              <w:spacing w:before="120"/>
              <w:rPr>
                <w:sz w:val="22"/>
              </w:rPr>
            </w:pPr>
            <w:r w:rsidRPr="001D694C">
              <w:rPr>
                <w:sz w:val="22"/>
              </w:rPr>
              <w:t>Disclosure of DV</w:t>
            </w:r>
          </w:p>
        </w:tc>
        <w:tc>
          <w:tcPr>
            <w:tcW w:w="1834" w:type="dxa"/>
            <w:tcBorders>
              <w:top w:val="single" w:sz="4" w:space="0" w:color="auto"/>
            </w:tcBorders>
          </w:tcPr>
          <w:p w14:paraId="5F03D3A1" w14:textId="77777777" w:rsidR="007D06CC" w:rsidRPr="001D694C" w:rsidRDefault="007D06CC" w:rsidP="007A46AF">
            <w:pPr>
              <w:spacing w:before="120"/>
              <w:jc w:val="center"/>
              <w:rPr>
                <w:sz w:val="22"/>
              </w:rPr>
            </w:pPr>
            <w:r w:rsidRPr="001D694C">
              <w:rPr>
                <w:sz w:val="22"/>
              </w:rPr>
              <w:t>106(36.1)</w:t>
            </w:r>
          </w:p>
        </w:tc>
        <w:tc>
          <w:tcPr>
            <w:tcW w:w="1875" w:type="dxa"/>
            <w:tcBorders>
              <w:top w:val="single" w:sz="4" w:space="0" w:color="auto"/>
            </w:tcBorders>
          </w:tcPr>
          <w:p w14:paraId="30DABB1B" w14:textId="77777777" w:rsidR="007D06CC" w:rsidRPr="001D694C" w:rsidRDefault="007D06CC" w:rsidP="007A46AF">
            <w:pPr>
              <w:spacing w:before="120"/>
              <w:jc w:val="center"/>
              <w:rPr>
                <w:sz w:val="22"/>
              </w:rPr>
            </w:pPr>
            <w:r w:rsidRPr="001D694C">
              <w:rPr>
                <w:sz w:val="22"/>
              </w:rPr>
              <w:t>110(37.4)</w:t>
            </w:r>
          </w:p>
        </w:tc>
        <w:tc>
          <w:tcPr>
            <w:tcW w:w="1811" w:type="dxa"/>
            <w:tcBorders>
              <w:top w:val="single" w:sz="4" w:space="0" w:color="auto"/>
            </w:tcBorders>
          </w:tcPr>
          <w:p w14:paraId="5248CFB4" w14:textId="77777777" w:rsidR="007D06CC" w:rsidRPr="001D694C" w:rsidRDefault="007D06CC" w:rsidP="007A46AF">
            <w:pPr>
              <w:spacing w:before="120"/>
              <w:jc w:val="center"/>
              <w:rPr>
                <w:sz w:val="22"/>
              </w:rPr>
            </w:pPr>
            <w:r w:rsidRPr="001D694C">
              <w:rPr>
                <w:sz w:val="22"/>
              </w:rPr>
              <w:t>216(36.7)</w:t>
            </w:r>
          </w:p>
        </w:tc>
        <w:tc>
          <w:tcPr>
            <w:tcW w:w="1134" w:type="dxa"/>
            <w:tcBorders>
              <w:top w:val="single" w:sz="4" w:space="0" w:color="auto"/>
            </w:tcBorders>
          </w:tcPr>
          <w:p w14:paraId="4E54FE83" w14:textId="77777777" w:rsidR="007D06CC" w:rsidRPr="001D694C" w:rsidRDefault="007D06CC" w:rsidP="007A46AF">
            <w:pPr>
              <w:spacing w:before="120"/>
              <w:jc w:val="center"/>
              <w:rPr>
                <w:sz w:val="22"/>
              </w:rPr>
            </w:pPr>
            <w:r w:rsidRPr="001D694C">
              <w:rPr>
                <w:sz w:val="22"/>
              </w:rPr>
              <w:t>0.12</w:t>
            </w:r>
          </w:p>
        </w:tc>
        <w:tc>
          <w:tcPr>
            <w:tcW w:w="992" w:type="dxa"/>
            <w:tcBorders>
              <w:top w:val="single" w:sz="4" w:space="0" w:color="auto"/>
            </w:tcBorders>
          </w:tcPr>
          <w:p w14:paraId="2DB4C46D" w14:textId="77777777" w:rsidR="007D06CC" w:rsidRPr="001D694C" w:rsidRDefault="007D06CC" w:rsidP="007A46AF">
            <w:pPr>
              <w:spacing w:before="120"/>
              <w:jc w:val="center"/>
              <w:rPr>
                <w:sz w:val="22"/>
              </w:rPr>
            </w:pPr>
            <w:r w:rsidRPr="001D694C">
              <w:rPr>
                <w:sz w:val="22"/>
              </w:rPr>
              <w:t>0.732</w:t>
            </w:r>
          </w:p>
        </w:tc>
      </w:tr>
      <w:tr w:rsidR="007D06CC" w:rsidRPr="001D694C" w14:paraId="0FAF2285" w14:textId="77777777" w:rsidTr="007A46AF">
        <w:tc>
          <w:tcPr>
            <w:tcW w:w="1563" w:type="dxa"/>
          </w:tcPr>
          <w:p w14:paraId="5DA12DDE" w14:textId="77777777" w:rsidR="007D06CC" w:rsidRPr="001D694C" w:rsidRDefault="007D06CC" w:rsidP="007A46AF">
            <w:pPr>
              <w:spacing w:before="120"/>
              <w:rPr>
                <w:sz w:val="22"/>
              </w:rPr>
            </w:pPr>
            <w:r w:rsidRPr="001D694C">
              <w:rPr>
                <w:sz w:val="22"/>
              </w:rPr>
              <w:t>Parents and siblings</w:t>
            </w:r>
          </w:p>
        </w:tc>
        <w:tc>
          <w:tcPr>
            <w:tcW w:w="1834" w:type="dxa"/>
          </w:tcPr>
          <w:p w14:paraId="0B697ADD" w14:textId="77777777" w:rsidR="007D06CC" w:rsidRPr="001D694C" w:rsidRDefault="007D06CC" w:rsidP="007A46AF">
            <w:pPr>
              <w:spacing w:before="120"/>
              <w:jc w:val="center"/>
              <w:rPr>
                <w:sz w:val="22"/>
              </w:rPr>
            </w:pPr>
            <w:r w:rsidRPr="001D694C">
              <w:rPr>
                <w:sz w:val="22"/>
              </w:rPr>
              <w:t>84(28.6)</w:t>
            </w:r>
          </w:p>
        </w:tc>
        <w:tc>
          <w:tcPr>
            <w:tcW w:w="1875" w:type="dxa"/>
          </w:tcPr>
          <w:p w14:paraId="689B2243" w14:textId="77777777" w:rsidR="007D06CC" w:rsidRPr="001D694C" w:rsidRDefault="007D06CC" w:rsidP="007A46AF">
            <w:pPr>
              <w:spacing w:before="120"/>
              <w:jc w:val="center"/>
              <w:rPr>
                <w:sz w:val="22"/>
              </w:rPr>
            </w:pPr>
            <w:r w:rsidRPr="001D694C">
              <w:rPr>
                <w:sz w:val="22"/>
              </w:rPr>
              <w:t>83(28.2)</w:t>
            </w:r>
          </w:p>
        </w:tc>
        <w:tc>
          <w:tcPr>
            <w:tcW w:w="1811" w:type="dxa"/>
          </w:tcPr>
          <w:p w14:paraId="227E441A" w14:textId="77777777" w:rsidR="007D06CC" w:rsidRPr="001D694C" w:rsidRDefault="007D06CC" w:rsidP="007A46AF">
            <w:pPr>
              <w:spacing w:before="120"/>
              <w:jc w:val="center"/>
              <w:rPr>
                <w:sz w:val="22"/>
              </w:rPr>
            </w:pPr>
            <w:r w:rsidRPr="001D694C">
              <w:rPr>
                <w:sz w:val="22"/>
              </w:rPr>
              <w:t>167(28.4)</w:t>
            </w:r>
          </w:p>
        </w:tc>
        <w:tc>
          <w:tcPr>
            <w:tcW w:w="1134" w:type="dxa"/>
          </w:tcPr>
          <w:p w14:paraId="6107522A" w14:textId="77777777" w:rsidR="007D06CC" w:rsidRPr="001D694C" w:rsidRDefault="007D06CC" w:rsidP="007A46AF">
            <w:pPr>
              <w:spacing w:before="120"/>
              <w:jc w:val="center"/>
              <w:rPr>
                <w:sz w:val="22"/>
              </w:rPr>
            </w:pPr>
            <w:r w:rsidRPr="001D694C">
              <w:rPr>
                <w:sz w:val="22"/>
              </w:rPr>
              <w:t>0.56</w:t>
            </w:r>
          </w:p>
        </w:tc>
        <w:tc>
          <w:tcPr>
            <w:tcW w:w="992" w:type="dxa"/>
          </w:tcPr>
          <w:p w14:paraId="70E8025A" w14:textId="77777777" w:rsidR="007D06CC" w:rsidRPr="001D694C" w:rsidRDefault="007D06CC" w:rsidP="007A46AF">
            <w:pPr>
              <w:spacing w:before="120"/>
              <w:jc w:val="center"/>
              <w:rPr>
                <w:sz w:val="22"/>
              </w:rPr>
            </w:pPr>
            <w:r w:rsidRPr="001D694C">
              <w:rPr>
                <w:sz w:val="22"/>
              </w:rPr>
              <w:t>0.756</w:t>
            </w:r>
          </w:p>
        </w:tc>
      </w:tr>
      <w:tr w:rsidR="007D06CC" w:rsidRPr="001D694C" w14:paraId="38ADAD58" w14:textId="77777777" w:rsidTr="007A46AF">
        <w:tc>
          <w:tcPr>
            <w:tcW w:w="1563" w:type="dxa"/>
          </w:tcPr>
          <w:p w14:paraId="4CCC0A7A" w14:textId="77777777" w:rsidR="007D06CC" w:rsidRPr="001D694C" w:rsidRDefault="007D06CC" w:rsidP="007A46AF">
            <w:pPr>
              <w:spacing w:before="120"/>
              <w:rPr>
                <w:sz w:val="22"/>
              </w:rPr>
            </w:pPr>
            <w:r w:rsidRPr="001D694C">
              <w:rPr>
                <w:sz w:val="22"/>
              </w:rPr>
              <w:t>In-laws</w:t>
            </w:r>
          </w:p>
        </w:tc>
        <w:tc>
          <w:tcPr>
            <w:tcW w:w="1834" w:type="dxa"/>
          </w:tcPr>
          <w:p w14:paraId="4ABAD312" w14:textId="77777777" w:rsidR="007D06CC" w:rsidRPr="001D694C" w:rsidRDefault="007D06CC" w:rsidP="007A46AF">
            <w:pPr>
              <w:spacing w:before="120"/>
              <w:jc w:val="center"/>
              <w:rPr>
                <w:sz w:val="22"/>
              </w:rPr>
            </w:pPr>
            <w:r w:rsidRPr="001D694C">
              <w:rPr>
                <w:sz w:val="22"/>
              </w:rPr>
              <w:t>48(16.3)</w:t>
            </w:r>
          </w:p>
        </w:tc>
        <w:tc>
          <w:tcPr>
            <w:tcW w:w="1875" w:type="dxa"/>
          </w:tcPr>
          <w:p w14:paraId="7C4030D4" w14:textId="77777777" w:rsidR="007D06CC" w:rsidRPr="001D694C" w:rsidRDefault="007D06CC" w:rsidP="007A46AF">
            <w:pPr>
              <w:spacing w:before="120"/>
              <w:jc w:val="center"/>
              <w:rPr>
                <w:sz w:val="22"/>
              </w:rPr>
            </w:pPr>
            <w:r w:rsidRPr="001D694C">
              <w:rPr>
                <w:sz w:val="22"/>
              </w:rPr>
              <w:t>57(19.4)</w:t>
            </w:r>
          </w:p>
        </w:tc>
        <w:tc>
          <w:tcPr>
            <w:tcW w:w="1811" w:type="dxa"/>
          </w:tcPr>
          <w:p w14:paraId="459E264F" w14:textId="77777777" w:rsidR="007D06CC" w:rsidRPr="001D694C" w:rsidRDefault="007D06CC" w:rsidP="007A46AF">
            <w:pPr>
              <w:spacing w:before="120"/>
              <w:jc w:val="center"/>
              <w:rPr>
                <w:sz w:val="22"/>
              </w:rPr>
            </w:pPr>
            <w:r w:rsidRPr="001D694C">
              <w:rPr>
                <w:sz w:val="22"/>
              </w:rPr>
              <w:t>105(17.9)</w:t>
            </w:r>
          </w:p>
        </w:tc>
        <w:tc>
          <w:tcPr>
            <w:tcW w:w="1134" w:type="dxa"/>
          </w:tcPr>
          <w:p w14:paraId="5F3070C0" w14:textId="77777777" w:rsidR="007D06CC" w:rsidRPr="001D694C" w:rsidRDefault="007D06CC" w:rsidP="007A46AF">
            <w:pPr>
              <w:spacing w:before="120"/>
              <w:jc w:val="center"/>
              <w:rPr>
                <w:sz w:val="22"/>
              </w:rPr>
            </w:pPr>
            <w:r w:rsidRPr="001D694C">
              <w:rPr>
                <w:sz w:val="22"/>
              </w:rPr>
              <w:t>1.04</w:t>
            </w:r>
          </w:p>
        </w:tc>
        <w:tc>
          <w:tcPr>
            <w:tcW w:w="992" w:type="dxa"/>
          </w:tcPr>
          <w:p w14:paraId="60625D99" w14:textId="77777777" w:rsidR="007D06CC" w:rsidRPr="001D694C" w:rsidRDefault="007D06CC" w:rsidP="007A46AF">
            <w:pPr>
              <w:spacing w:before="120"/>
              <w:jc w:val="center"/>
              <w:rPr>
                <w:sz w:val="22"/>
              </w:rPr>
            </w:pPr>
            <w:r w:rsidRPr="001D694C">
              <w:rPr>
                <w:sz w:val="22"/>
              </w:rPr>
              <w:t>0.595</w:t>
            </w:r>
          </w:p>
        </w:tc>
      </w:tr>
      <w:tr w:rsidR="007D06CC" w:rsidRPr="001D694C" w14:paraId="4601EDF4" w14:textId="77777777" w:rsidTr="007A46AF">
        <w:tc>
          <w:tcPr>
            <w:tcW w:w="1563" w:type="dxa"/>
          </w:tcPr>
          <w:p w14:paraId="79DFDEFC" w14:textId="77777777" w:rsidR="007D06CC" w:rsidRPr="001D694C" w:rsidRDefault="007D06CC" w:rsidP="007A46AF">
            <w:pPr>
              <w:spacing w:before="120"/>
              <w:rPr>
                <w:sz w:val="22"/>
              </w:rPr>
            </w:pPr>
          </w:p>
        </w:tc>
        <w:tc>
          <w:tcPr>
            <w:tcW w:w="1834" w:type="dxa"/>
          </w:tcPr>
          <w:p w14:paraId="1C7A5778" w14:textId="77777777" w:rsidR="007D06CC" w:rsidRPr="001D694C" w:rsidRDefault="007D06CC" w:rsidP="007A46AF">
            <w:pPr>
              <w:spacing w:before="120"/>
              <w:jc w:val="center"/>
              <w:rPr>
                <w:sz w:val="22"/>
              </w:rPr>
            </w:pPr>
          </w:p>
        </w:tc>
        <w:tc>
          <w:tcPr>
            <w:tcW w:w="1875" w:type="dxa"/>
          </w:tcPr>
          <w:p w14:paraId="1C7A5C0E" w14:textId="77777777" w:rsidR="007D06CC" w:rsidRPr="001D694C" w:rsidRDefault="007D06CC" w:rsidP="007A46AF">
            <w:pPr>
              <w:spacing w:before="120"/>
              <w:jc w:val="center"/>
              <w:rPr>
                <w:sz w:val="22"/>
              </w:rPr>
            </w:pPr>
          </w:p>
        </w:tc>
        <w:tc>
          <w:tcPr>
            <w:tcW w:w="1811" w:type="dxa"/>
          </w:tcPr>
          <w:p w14:paraId="1D2A472D" w14:textId="77777777" w:rsidR="007D06CC" w:rsidRPr="001D694C" w:rsidRDefault="007D06CC" w:rsidP="007A46AF">
            <w:pPr>
              <w:spacing w:before="120"/>
              <w:jc w:val="center"/>
              <w:rPr>
                <w:sz w:val="22"/>
              </w:rPr>
            </w:pPr>
          </w:p>
        </w:tc>
        <w:tc>
          <w:tcPr>
            <w:tcW w:w="1134" w:type="dxa"/>
          </w:tcPr>
          <w:p w14:paraId="79F944C3" w14:textId="77777777" w:rsidR="007D06CC" w:rsidRPr="001D694C" w:rsidRDefault="007D06CC" w:rsidP="007A46AF">
            <w:pPr>
              <w:spacing w:before="120"/>
              <w:jc w:val="center"/>
              <w:rPr>
                <w:sz w:val="22"/>
              </w:rPr>
            </w:pPr>
          </w:p>
        </w:tc>
        <w:tc>
          <w:tcPr>
            <w:tcW w:w="992" w:type="dxa"/>
          </w:tcPr>
          <w:p w14:paraId="6ACFEE9D" w14:textId="77777777" w:rsidR="007D06CC" w:rsidRPr="001D694C" w:rsidRDefault="007D06CC" w:rsidP="007A46AF">
            <w:pPr>
              <w:spacing w:before="120"/>
              <w:jc w:val="center"/>
              <w:rPr>
                <w:sz w:val="22"/>
              </w:rPr>
            </w:pPr>
          </w:p>
        </w:tc>
      </w:tr>
      <w:tr w:rsidR="007D06CC" w:rsidRPr="001D694C" w14:paraId="4356BA40" w14:textId="77777777" w:rsidTr="007A46AF">
        <w:tc>
          <w:tcPr>
            <w:tcW w:w="1563" w:type="dxa"/>
          </w:tcPr>
          <w:p w14:paraId="5312794A" w14:textId="77777777" w:rsidR="007D06CC" w:rsidRPr="001D694C" w:rsidRDefault="007D06CC" w:rsidP="007A46AF">
            <w:pPr>
              <w:spacing w:before="120"/>
              <w:rPr>
                <w:sz w:val="22"/>
              </w:rPr>
            </w:pPr>
            <w:r w:rsidRPr="001D694C">
              <w:rPr>
                <w:sz w:val="22"/>
              </w:rPr>
              <w:t>Friends/social group</w:t>
            </w:r>
          </w:p>
        </w:tc>
        <w:tc>
          <w:tcPr>
            <w:tcW w:w="1834" w:type="dxa"/>
          </w:tcPr>
          <w:p w14:paraId="06C3E8F3" w14:textId="77777777" w:rsidR="007D06CC" w:rsidRPr="001D694C" w:rsidRDefault="007D06CC" w:rsidP="007A46AF">
            <w:pPr>
              <w:spacing w:before="120"/>
              <w:jc w:val="center"/>
              <w:rPr>
                <w:sz w:val="22"/>
              </w:rPr>
            </w:pPr>
            <w:r w:rsidRPr="001D694C">
              <w:rPr>
                <w:sz w:val="22"/>
              </w:rPr>
              <w:t>14(4.8)</w:t>
            </w:r>
          </w:p>
        </w:tc>
        <w:tc>
          <w:tcPr>
            <w:tcW w:w="1875" w:type="dxa"/>
          </w:tcPr>
          <w:p w14:paraId="24CC5652" w14:textId="77777777" w:rsidR="007D06CC" w:rsidRPr="001D694C" w:rsidRDefault="007D06CC" w:rsidP="007A46AF">
            <w:pPr>
              <w:spacing w:before="120"/>
              <w:jc w:val="center"/>
              <w:rPr>
                <w:sz w:val="22"/>
              </w:rPr>
            </w:pPr>
            <w:r w:rsidRPr="001D694C">
              <w:rPr>
                <w:sz w:val="22"/>
              </w:rPr>
              <w:t>17(5.8)</w:t>
            </w:r>
          </w:p>
        </w:tc>
        <w:tc>
          <w:tcPr>
            <w:tcW w:w="1811" w:type="dxa"/>
          </w:tcPr>
          <w:p w14:paraId="4E18496D" w14:textId="77777777" w:rsidR="007D06CC" w:rsidRPr="001D694C" w:rsidRDefault="007D06CC" w:rsidP="007A46AF">
            <w:pPr>
              <w:spacing w:before="120"/>
              <w:jc w:val="center"/>
              <w:rPr>
                <w:sz w:val="22"/>
              </w:rPr>
            </w:pPr>
            <w:r w:rsidRPr="001D694C">
              <w:rPr>
                <w:sz w:val="22"/>
              </w:rPr>
              <w:t>31(5.3)</w:t>
            </w:r>
          </w:p>
        </w:tc>
        <w:tc>
          <w:tcPr>
            <w:tcW w:w="1134" w:type="dxa"/>
          </w:tcPr>
          <w:p w14:paraId="14C5B8EF" w14:textId="77777777" w:rsidR="007D06CC" w:rsidRPr="001D694C" w:rsidRDefault="007D06CC" w:rsidP="007A46AF">
            <w:pPr>
              <w:spacing w:before="120"/>
              <w:jc w:val="center"/>
              <w:rPr>
                <w:sz w:val="22"/>
              </w:rPr>
            </w:pPr>
            <w:r w:rsidRPr="001D694C">
              <w:rPr>
                <w:sz w:val="22"/>
              </w:rPr>
              <w:t>0.34</w:t>
            </w:r>
          </w:p>
        </w:tc>
        <w:tc>
          <w:tcPr>
            <w:tcW w:w="992" w:type="dxa"/>
          </w:tcPr>
          <w:p w14:paraId="0054769B" w14:textId="77777777" w:rsidR="007D06CC" w:rsidRPr="001D694C" w:rsidRDefault="007D06CC" w:rsidP="007A46AF">
            <w:pPr>
              <w:spacing w:before="120"/>
              <w:jc w:val="center"/>
              <w:rPr>
                <w:sz w:val="22"/>
              </w:rPr>
            </w:pPr>
            <w:r w:rsidRPr="001D694C">
              <w:rPr>
                <w:sz w:val="22"/>
              </w:rPr>
              <w:t>0.844</w:t>
            </w:r>
          </w:p>
        </w:tc>
      </w:tr>
      <w:tr w:rsidR="007D06CC" w:rsidRPr="001D694C" w14:paraId="78BD317E" w14:textId="77777777" w:rsidTr="007A46AF">
        <w:tc>
          <w:tcPr>
            <w:tcW w:w="1563" w:type="dxa"/>
          </w:tcPr>
          <w:p w14:paraId="71340DF4" w14:textId="77777777" w:rsidR="007D06CC" w:rsidRPr="001D694C" w:rsidRDefault="007D06CC" w:rsidP="007A46AF">
            <w:pPr>
              <w:spacing w:before="120"/>
              <w:rPr>
                <w:sz w:val="22"/>
              </w:rPr>
            </w:pPr>
            <w:r w:rsidRPr="001D694C">
              <w:rPr>
                <w:sz w:val="22"/>
              </w:rPr>
              <w:t>Healthcare worker</w:t>
            </w:r>
          </w:p>
        </w:tc>
        <w:tc>
          <w:tcPr>
            <w:tcW w:w="1834" w:type="dxa"/>
          </w:tcPr>
          <w:p w14:paraId="750836A9" w14:textId="77777777" w:rsidR="007D06CC" w:rsidRPr="001D694C" w:rsidRDefault="007D06CC" w:rsidP="007A46AF">
            <w:pPr>
              <w:spacing w:before="120"/>
              <w:jc w:val="center"/>
              <w:rPr>
                <w:sz w:val="22"/>
              </w:rPr>
            </w:pPr>
            <w:r w:rsidRPr="001D694C">
              <w:rPr>
                <w:sz w:val="22"/>
              </w:rPr>
              <w:t>7(2.4)</w:t>
            </w:r>
          </w:p>
        </w:tc>
        <w:tc>
          <w:tcPr>
            <w:tcW w:w="1875" w:type="dxa"/>
          </w:tcPr>
          <w:p w14:paraId="5725D652" w14:textId="77777777" w:rsidR="007D06CC" w:rsidRPr="001D694C" w:rsidRDefault="007D06CC" w:rsidP="007A46AF">
            <w:pPr>
              <w:spacing w:before="120"/>
              <w:jc w:val="center"/>
              <w:rPr>
                <w:sz w:val="22"/>
              </w:rPr>
            </w:pPr>
            <w:r w:rsidRPr="001D694C">
              <w:rPr>
                <w:sz w:val="22"/>
              </w:rPr>
              <w:t>29(9.9)</w:t>
            </w:r>
          </w:p>
        </w:tc>
        <w:tc>
          <w:tcPr>
            <w:tcW w:w="1811" w:type="dxa"/>
          </w:tcPr>
          <w:p w14:paraId="619BFB67" w14:textId="77777777" w:rsidR="007D06CC" w:rsidRPr="001D694C" w:rsidRDefault="007D06CC" w:rsidP="007A46AF">
            <w:pPr>
              <w:spacing w:before="120"/>
              <w:jc w:val="center"/>
              <w:rPr>
                <w:sz w:val="22"/>
              </w:rPr>
            </w:pPr>
            <w:r w:rsidRPr="001D694C">
              <w:rPr>
                <w:sz w:val="22"/>
              </w:rPr>
              <w:t>36(6.1)</w:t>
            </w:r>
          </w:p>
        </w:tc>
        <w:tc>
          <w:tcPr>
            <w:tcW w:w="1134" w:type="dxa"/>
          </w:tcPr>
          <w:p w14:paraId="380882AC" w14:textId="77777777" w:rsidR="007D06CC" w:rsidRPr="001D694C" w:rsidRDefault="007D06CC" w:rsidP="007A46AF">
            <w:pPr>
              <w:spacing w:before="120"/>
              <w:jc w:val="center"/>
              <w:rPr>
                <w:sz w:val="22"/>
              </w:rPr>
            </w:pPr>
            <w:r w:rsidRPr="001D694C">
              <w:rPr>
                <w:sz w:val="22"/>
              </w:rPr>
              <w:t>15.29</w:t>
            </w:r>
          </w:p>
        </w:tc>
        <w:tc>
          <w:tcPr>
            <w:tcW w:w="992" w:type="dxa"/>
          </w:tcPr>
          <w:p w14:paraId="3989DBAC" w14:textId="77777777" w:rsidR="007D06CC" w:rsidRPr="001D694C" w:rsidRDefault="007D06CC" w:rsidP="007A46AF">
            <w:pPr>
              <w:spacing w:before="120"/>
              <w:jc w:val="center"/>
              <w:rPr>
                <w:b/>
                <w:sz w:val="22"/>
              </w:rPr>
            </w:pPr>
            <w:r w:rsidRPr="001D694C">
              <w:rPr>
                <w:b/>
                <w:sz w:val="22"/>
              </w:rPr>
              <w:t>0.001*</w:t>
            </w:r>
          </w:p>
        </w:tc>
      </w:tr>
      <w:tr w:rsidR="007D06CC" w:rsidRPr="001D694C" w14:paraId="60BC85E4" w14:textId="77777777" w:rsidTr="007A46AF">
        <w:tc>
          <w:tcPr>
            <w:tcW w:w="1563" w:type="dxa"/>
          </w:tcPr>
          <w:p w14:paraId="0D20B114" w14:textId="77777777" w:rsidR="007D06CC" w:rsidRPr="001D694C" w:rsidRDefault="007D06CC" w:rsidP="007A46AF">
            <w:pPr>
              <w:spacing w:before="120"/>
              <w:rPr>
                <w:sz w:val="22"/>
              </w:rPr>
            </w:pPr>
            <w:r w:rsidRPr="001D694C">
              <w:rPr>
                <w:sz w:val="22"/>
              </w:rPr>
              <w:t>Religious leader</w:t>
            </w:r>
          </w:p>
        </w:tc>
        <w:tc>
          <w:tcPr>
            <w:tcW w:w="1834" w:type="dxa"/>
          </w:tcPr>
          <w:p w14:paraId="3A35FAF2" w14:textId="77777777" w:rsidR="007D06CC" w:rsidRPr="001D694C" w:rsidRDefault="007D06CC" w:rsidP="007A46AF">
            <w:pPr>
              <w:spacing w:before="120"/>
              <w:jc w:val="center"/>
              <w:rPr>
                <w:sz w:val="22"/>
              </w:rPr>
            </w:pPr>
            <w:r w:rsidRPr="001D694C">
              <w:rPr>
                <w:sz w:val="22"/>
              </w:rPr>
              <w:t>18(6.1)</w:t>
            </w:r>
          </w:p>
        </w:tc>
        <w:tc>
          <w:tcPr>
            <w:tcW w:w="1875" w:type="dxa"/>
          </w:tcPr>
          <w:p w14:paraId="43E8F5F9" w14:textId="77777777" w:rsidR="007D06CC" w:rsidRPr="001D694C" w:rsidRDefault="007D06CC" w:rsidP="007A46AF">
            <w:pPr>
              <w:spacing w:before="120"/>
              <w:jc w:val="center"/>
              <w:rPr>
                <w:sz w:val="22"/>
              </w:rPr>
            </w:pPr>
            <w:r w:rsidRPr="001D694C">
              <w:rPr>
                <w:sz w:val="22"/>
              </w:rPr>
              <w:t>23(7.8)</w:t>
            </w:r>
          </w:p>
        </w:tc>
        <w:tc>
          <w:tcPr>
            <w:tcW w:w="1811" w:type="dxa"/>
          </w:tcPr>
          <w:p w14:paraId="5B31260D" w14:textId="77777777" w:rsidR="007D06CC" w:rsidRPr="001D694C" w:rsidRDefault="007D06CC" w:rsidP="007A46AF">
            <w:pPr>
              <w:spacing w:before="120"/>
              <w:jc w:val="center"/>
              <w:rPr>
                <w:sz w:val="22"/>
              </w:rPr>
            </w:pPr>
            <w:r w:rsidRPr="001D694C">
              <w:rPr>
                <w:sz w:val="22"/>
              </w:rPr>
              <w:t>41(7.0)</w:t>
            </w:r>
          </w:p>
        </w:tc>
        <w:tc>
          <w:tcPr>
            <w:tcW w:w="1134" w:type="dxa"/>
          </w:tcPr>
          <w:p w14:paraId="078D9D56" w14:textId="77777777" w:rsidR="007D06CC" w:rsidRPr="001D694C" w:rsidRDefault="007D06CC" w:rsidP="007A46AF">
            <w:pPr>
              <w:spacing w:before="120"/>
              <w:jc w:val="center"/>
              <w:rPr>
                <w:sz w:val="22"/>
              </w:rPr>
            </w:pPr>
            <w:r w:rsidRPr="001D694C">
              <w:rPr>
                <w:sz w:val="22"/>
              </w:rPr>
              <w:t>0.66</w:t>
            </w:r>
          </w:p>
        </w:tc>
        <w:tc>
          <w:tcPr>
            <w:tcW w:w="992" w:type="dxa"/>
          </w:tcPr>
          <w:p w14:paraId="5ED9B333" w14:textId="77777777" w:rsidR="007D06CC" w:rsidRPr="001D694C" w:rsidRDefault="007D06CC" w:rsidP="007A46AF">
            <w:pPr>
              <w:spacing w:before="120"/>
              <w:jc w:val="center"/>
              <w:rPr>
                <w:sz w:val="22"/>
              </w:rPr>
            </w:pPr>
            <w:r w:rsidRPr="001D694C">
              <w:rPr>
                <w:sz w:val="22"/>
              </w:rPr>
              <w:t>0.719</w:t>
            </w:r>
          </w:p>
        </w:tc>
      </w:tr>
      <w:tr w:rsidR="007D06CC" w:rsidRPr="001D694C" w14:paraId="1D89AE5D" w14:textId="77777777" w:rsidTr="007A46AF">
        <w:tc>
          <w:tcPr>
            <w:tcW w:w="1563" w:type="dxa"/>
          </w:tcPr>
          <w:p w14:paraId="3B6957EA" w14:textId="77777777" w:rsidR="007D06CC" w:rsidRPr="001D694C" w:rsidRDefault="007D06CC" w:rsidP="007A46AF">
            <w:pPr>
              <w:spacing w:before="120"/>
              <w:rPr>
                <w:sz w:val="22"/>
              </w:rPr>
            </w:pPr>
            <w:r w:rsidRPr="001D694C">
              <w:rPr>
                <w:sz w:val="22"/>
              </w:rPr>
              <w:t>Law enforcement agent</w:t>
            </w:r>
          </w:p>
        </w:tc>
        <w:tc>
          <w:tcPr>
            <w:tcW w:w="1834" w:type="dxa"/>
          </w:tcPr>
          <w:p w14:paraId="535E8EEA" w14:textId="77777777" w:rsidR="007D06CC" w:rsidRPr="001D694C" w:rsidRDefault="007D06CC" w:rsidP="007A46AF">
            <w:pPr>
              <w:spacing w:before="120"/>
              <w:jc w:val="center"/>
              <w:rPr>
                <w:sz w:val="22"/>
              </w:rPr>
            </w:pPr>
            <w:r w:rsidRPr="001D694C">
              <w:rPr>
                <w:sz w:val="22"/>
              </w:rPr>
              <w:t>44(15.0)</w:t>
            </w:r>
          </w:p>
        </w:tc>
        <w:tc>
          <w:tcPr>
            <w:tcW w:w="1875" w:type="dxa"/>
          </w:tcPr>
          <w:p w14:paraId="6D9D77DA" w14:textId="77777777" w:rsidR="007D06CC" w:rsidRPr="001D694C" w:rsidRDefault="007D06CC" w:rsidP="007A46AF">
            <w:pPr>
              <w:spacing w:before="120"/>
              <w:jc w:val="center"/>
              <w:rPr>
                <w:sz w:val="22"/>
              </w:rPr>
            </w:pPr>
            <w:r w:rsidRPr="001D694C">
              <w:rPr>
                <w:sz w:val="22"/>
              </w:rPr>
              <w:t>37(12.6)</w:t>
            </w:r>
          </w:p>
        </w:tc>
        <w:tc>
          <w:tcPr>
            <w:tcW w:w="1811" w:type="dxa"/>
          </w:tcPr>
          <w:p w14:paraId="4D0BE606" w14:textId="77777777" w:rsidR="007D06CC" w:rsidRPr="001D694C" w:rsidRDefault="007D06CC" w:rsidP="007A46AF">
            <w:pPr>
              <w:spacing w:before="120"/>
              <w:jc w:val="center"/>
              <w:rPr>
                <w:sz w:val="22"/>
              </w:rPr>
            </w:pPr>
            <w:r w:rsidRPr="001D694C">
              <w:rPr>
                <w:sz w:val="22"/>
              </w:rPr>
              <w:t>81(13.8)</w:t>
            </w:r>
          </w:p>
        </w:tc>
        <w:tc>
          <w:tcPr>
            <w:tcW w:w="1134" w:type="dxa"/>
          </w:tcPr>
          <w:p w14:paraId="5C844986" w14:textId="77777777" w:rsidR="007D06CC" w:rsidRPr="001D694C" w:rsidRDefault="007D06CC" w:rsidP="007A46AF">
            <w:pPr>
              <w:spacing w:before="120"/>
              <w:jc w:val="center"/>
              <w:rPr>
                <w:sz w:val="22"/>
              </w:rPr>
            </w:pPr>
            <w:r w:rsidRPr="001D694C">
              <w:rPr>
                <w:sz w:val="22"/>
              </w:rPr>
              <w:t>1.54</w:t>
            </w:r>
          </w:p>
        </w:tc>
        <w:tc>
          <w:tcPr>
            <w:tcW w:w="992" w:type="dxa"/>
          </w:tcPr>
          <w:p w14:paraId="5A056F3F" w14:textId="77777777" w:rsidR="007D06CC" w:rsidRPr="001D694C" w:rsidRDefault="007D06CC" w:rsidP="007A46AF">
            <w:pPr>
              <w:spacing w:before="120"/>
              <w:jc w:val="center"/>
              <w:rPr>
                <w:sz w:val="22"/>
              </w:rPr>
            </w:pPr>
            <w:r w:rsidRPr="001D694C">
              <w:rPr>
                <w:sz w:val="22"/>
              </w:rPr>
              <w:t>0.462</w:t>
            </w:r>
          </w:p>
        </w:tc>
      </w:tr>
    </w:tbl>
    <w:p w14:paraId="3A3FC7CE" w14:textId="112989A5" w:rsidR="007D06CC" w:rsidRDefault="007D06CC" w:rsidP="007D06CC">
      <w:pPr>
        <w:spacing w:line="360" w:lineRule="auto"/>
        <w:rPr>
          <w:rFonts w:cs="Times New Roman"/>
          <w:szCs w:val="24"/>
        </w:rPr>
      </w:pPr>
      <w:r w:rsidRPr="001D694C">
        <w:rPr>
          <w:rFonts w:cs="Times New Roman"/>
          <w:szCs w:val="24"/>
        </w:rPr>
        <w:lastRenderedPageBreak/>
        <w:t>DV: Domestic violence, *: Significant P-value: number</w:t>
      </w:r>
    </w:p>
    <w:p w14:paraId="7B4C130B" w14:textId="3C607E07" w:rsidR="00AD6810" w:rsidRPr="00AE5629" w:rsidRDefault="006E5DB1" w:rsidP="00AE5629">
      <w:pPr>
        <w:spacing w:line="360" w:lineRule="auto"/>
        <w:jc w:val="both"/>
        <w:rPr>
          <w:rFonts w:cs="Times New Roman"/>
          <w:szCs w:val="24"/>
        </w:rPr>
      </w:pPr>
      <w:r>
        <w:rPr>
          <w:rFonts w:cs="Times New Roman"/>
          <w:szCs w:val="24"/>
        </w:rPr>
        <w:t xml:space="preserve"> </w:t>
      </w:r>
      <w:bookmarkStart w:id="22" w:name="_Hlk209629001"/>
      <w:r>
        <w:rPr>
          <w:rFonts w:cs="Times New Roman"/>
          <w:szCs w:val="24"/>
        </w:rPr>
        <w:t>M</w:t>
      </w:r>
      <w:r w:rsidRPr="00B12A83">
        <w:rPr>
          <w:rFonts w:cs="Times New Roman"/>
          <w:szCs w:val="24"/>
        </w:rPr>
        <w:t xml:space="preserve">ost </w:t>
      </w:r>
      <w:r>
        <w:rPr>
          <w:rFonts w:cs="Times New Roman"/>
          <w:szCs w:val="24"/>
        </w:rPr>
        <w:t xml:space="preserve">of the </w:t>
      </w:r>
      <w:r w:rsidRPr="00B12A83">
        <w:rPr>
          <w:rFonts w:cs="Times New Roman"/>
          <w:szCs w:val="24"/>
        </w:rPr>
        <w:t>rural survivors of domestic violence seek for help more than the urban counterpart (124;42.2% and 112; 38.1% respectively). This difference was however not significant. Emotional support was the most common form of support received across the groups with more rural women receiving emotional support than the urban women (82;27.9% and to 64;21.8% respectively). While more urban respondents received financial support more the rural women (54;18.4% and 51; 17.3% respectively). There is no significant difference in help-seeking patterns between the urban and rural survivors of domestic violence</w:t>
      </w:r>
      <w:bookmarkEnd w:id="22"/>
      <w:r>
        <w:rPr>
          <w:rFonts w:cs="Times New Roman"/>
          <w:szCs w:val="24"/>
        </w:rPr>
        <w:t xml:space="preserve"> (</w:t>
      </w:r>
      <w:r w:rsidR="00306735">
        <w:rPr>
          <w:rFonts w:cs="Times New Roman"/>
          <w:szCs w:val="24"/>
        </w:rPr>
        <w:t>s</w:t>
      </w:r>
      <w:r>
        <w:rPr>
          <w:rFonts w:cs="Times New Roman"/>
          <w:szCs w:val="24"/>
        </w:rPr>
        <w:t>ee table 4).</w:t>
      </w:r>
      <w:bookmarkStart w:id="23" w:name="_Toc210766502"/>
      <w:bookmarkStart w:id="24" w:name="_Hlk199617686"/>
    </w:p>
    <w:p w14:paraId="2DB4CA96" w14:textId="1528F41C" w:rsidR="00B12A83" w:rsidRPr="00B12A83" w:rsidRDefault="00B12A83" w:rsidP="00B12A83">
      <w:pPr>
        <w:rPr>
          <w:rFonts w:eastAsia="DengXian" w:cs="Times New Roman"/>
          <w:szCs w:val="24"/>
          <w:lang w:eastAsia="en-GB"/>
        </w:rPr>
      </w:pPr>
      <w:bookmarkStart w:id="25" w:name="_Toc210766504"/>
      <w:bookmarkStart w:id="26" w:name="_Hlk199638689"/>
      <w:bookmarkEnd w:id="23"/>
      <w:bookmarkEnd w:id="24"/>
      <w:r w:rsidRPr="00B12A83">
        <w:rPr>
          <w:rFonts w:eastAsia="DengXian" w:cs="Times New Roman"/>
          <w:lang w:eastAsia="en-GB"/>
        </w:rPr>
        <w:t>Table 4: Help-seeking behaviour and support received following domestic violence</w:t>
      </w:r>
      <w:bookmarkEnd w:id="25"/>
    </w:p>
    <w:tbl>
      <w:tblPr>
        <w:tblStyle w:val="TableGrid16"/>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808"/>
        <w:gridCol w:w="1843"/>
        <w:gridCol w:w="1843"/>
        <w:gridCol w:w="1134"/>
        <w:gridCol w:w="992"/>
      </w:tblGrid>
      <w:tr w:rsidR="00B12A83" w:rsidRPr="00B12A83" w14:paraId="0E41A312" w14:textId="77777777" w:rsidTr="007C2B6A">
        <w:tc>
          <w:tcPr>
            <w:tcW w:w="1731" w:type="dxa"/>
          </w:tcPr>
          <w:bookmarkEnd w:id="26"/>
          <w:p w14:paraId="0BCCB49D" w14:textId="77777777" w:rsidR="00B12A83" w:rsidRPr="00B12A83" w:rsidRDefault="00B12A83" w:rsidP="00B12A83">
            <w:pPr>
              <w:spacing w:before="120"/>
              <w:rPr>
                <w:b/>
                <w:sz w:val="22"/>
              </w:rPr>
            </w:pPr>
            <w:r w:rsidRPr="00B12A83">
              <w:rPr>
                <w:b/>
                <w:sz w:val="22"/>
              </w:rPr>
              <w:t>Variable</w:t>
            </w:r>
          </w:p>
        </w:tc>
        <w:tc>
          <w:tcPr>
            <w:tcW w:w="1808" w:type="dxa"/>
          </w:tcPr>
          <w:p w14:paraId="47398F86" w14:textId="77777777" w:rsidR="00B12A83" w:rsidRPr="00B12A83" w:rsidRDefault="00B12A83" w:rsidP="00B12A83">
            <w:pPr>
              <w:spacing w:before="120"/>
              <w:rPr>
                <w:b/>
                <w:sz w:val="22"/>
              </w:rPr>
            </w:pPr>
            <w:r w:rsidRPr="00B12A83">
              <w:rPr>
                <w:b/>
                <w:sz w:val="22"/>
              </w:rPr>
              <w:t xml:space="preserve">Urban </w:t>
            </w:r>
          </w:p>
        </w:tc>
        <w:tc>
          <w:tcPr>
            <w:tcW w:w="1843" w:type="dxa"/>
          </w:tcPr>
          <w:p w14:paraId="0643F321" w14:textId="77777777" w:rsidR="00B12A83" w:rsidRPr="00B12A83" w:rsidRDefault="00B12A83" w:rsidP="00B12A83">
            <w:pPr>
              <w:spacing w:before="120"/>
              <w:rPr>
                <w:b/>
                <w:sz w:val="22"/>
              </w:rPr>
            </w:pPr>
            <w:r w:rsidRPr="00B12A83">
              <w:rPr>
                <w:b/>
                <w:sz w:val="22"/>
              </w:rPr>
              <w:t xml:space="preserve">Rural </w:t>
            </w:r>
          </w:p>
        </w:tc>
        <w:tc>
          <w:tcPr>
            <w:tcW w:w="1843" w:type="dxa"/>
          </w:tcPr>
          <w:p w14:paraId="77D2FE98" w14:textId="77777777" w:rsidR="00B12A83" w:rsidRPr="00B12A83" w:rsidRDefault="00B12A83" w:rsidP="00B12A83">
            <w:pPr>
              <w:spacing w:before="120"/>
              <w:rPr>
                <w:b/>
                <w:sz w:val="22"/>
              </w:rPr>
            </w:pPr>
            <w:r w:rsidRPr="00B12A83">
              <w:rPr>
                <w:b/>
                <w:sz w:val="22"/>
              </w:rPr>
              <w:t xml:space="preserve">Total </w:t>
            </w:r>
          </w:p>
        </w:tc>
        <w:tc>
          <w:tcPr>
            <w:tcW w:w="1134" w:type="dxa"/>
          </w:tcPr>
          <w:p w14:paraId="747E039A" w14:textId="77777777" w:rsidR="00B12A83" w:rsidRPr="00B12A83" w:rsidRDefault="00B12A83" w:rsidP="00B12A83">
            <w:pPr>
              <w:spacing w:before="120"/>
              <w:rPr>
                <w:b/>
                <w:sz w:val="22"/>
              </w:rPr>
            </w:pPr>
            <w:r w:rsidRPr="00B12A83">
              <w:rPr>
                <w:b/>
                <w:sz w:val="22"/>
              </w:rPr>
              <w:t xml:space="preserve">Test statistics </w:t>
            </w:r>
          </w:p>
        </w:tc>
        <w:tc>
          <w:tcPr>
            <w:tcW w:w="992" w:type="dxa"/>
          </w:tcPr>
          <w:p w14:paraId="215D2ADA" w14:textId="77777777" w:rsidR="00B12A83" w:rsidRPr="00B12A83" w:rsidRDefault="00B12A83" w:rsidP="00B12A83">
            <w:pPr>
              <w:spacing w:before="120"/>
              <w:rPr>
                <w:b/>
                <w:sz w:val="22"/>
              </w:rPr>
            </w:pPr>
            <w:r w:rsidRPr="00B12A83">
              <w:rPr>
                <w:b/>
                <w:sz w:val="22"/>
              </w:rPr>
              <w:t xml:space="preserve">P-value </w:t>
            </w:r>
          </w:p>
        </w:tc>
      </w:tr>
      <w:tr w:rsidR="00B12A83" w:rsidRPr="00B12A83" w14:paraId="3EAC7810" w14:textId="77777777" w:rsidTr="007C2B6A">
        <w:tc>
          <w:tcPr>
            <w:tcW w:w="1731" w:type="dxa"/>
            <w:tcBorders>
              <w:bottom w:val="single" w:sz="4" w:space="0" w:color="auto"/>
            </w:tcBorders>
          </w:tcPr>
          <w:p w14:paraId="0719B406" w14:textId="77777777" w:rsidR="00B12A83" w:rsidRPr="00B12A83" w:rsidRDefault="00B12A83" w:rsidP="00B12A83">
            <w:pPr>
              <w:spacing w:before="120"/>
              <w:rPr>
                <w:sz w:val="22"/>
              </w:rPr>
            </w:pPr>
          </w:p>
        </w:tc>
        <w:tc>
          <w:tcPr>
            <w:tcW w:w="1808" w:type="dxa"/>
            <w:tcBorders>
              <w:bottom w:val="single" w:sz="4" w:space="0" w:color="auto"/>
            </w:tcBorders>
          </w:tcPr>
          <w:p w14:paraId="001BEC6D" w14:textId="77777777" w:rsidR="00B12A83" w:rsidRPr="00B12A83" w:rsidRDefault="00B12A83" w:rsidP="00B12A83">
            <w:pPr>
              <w:spacing w:before="120"/>
              <w:rPr>
                <w:b/>
                <w:sz w:val="22"/>
              </w:rPr>
            </w:pPr>
            <w:r w:rsidRPr="00B12A83">
              <w:rPr>
                <w:b/>
                <w:sz w:val="22"/>
              </w:rPr>
              <w:t>(n, %)</w:t>
            </w:r>
          </w:p>
        </w:tc>
        <w:tc>
          <w:tcPr>
            <w:tcW w:w="1843" w:type="dxa"/>
            <w:tcBorders>
              <w:bottom w:val="single" w:sz="4" w:space="0" w:color="auto"/>
            </w:tcBorders>
          </w:tcPr>
          <w:p w14:paraId="4A49C573" w14:textId="77777777" w:rsidR="00B12A83" w:rsidRPr="00B12A83" w:rsidRDefault="00B12A83" w:rsidP="00B12A83">
            <w:pPr>
              <w:spacing w:before="120"/>
              <w:rPr>
                <w:b/>
                <w:sz w:val="22"/>
              </w:rPr>
            </w:pPr>
            <w:r w:rsidRPr="00B12A83">
              <w:rPr>
                <w:b/>
                <w:sz w:val="22"/>
              </w:rPr>
              <w:t>(n, %)</w:t>
            </w:r>
          </w:p>
        </w:tc>
        <w:tc>
          <w:tcPr>
            <w:tcW w:w="1843" w:type="dxa"/>
            <w:tcBorders>
              <w:bottom w:val="single" w:sz="4" w:space="0" w:color="auto"/>
            </w:tcBorders>
          </w:tcPr>
          <w:p w14:paraId="0B289AEF" w14:textId="77777777" w:rsidR="00B12A83" w:rsidRPr="00B12A83" w:rsidRDefault="00B12A83" w:rsidP="00B12A83">
            <w:pPr>
              <w:spacing w:before="120"/>
              <w:rPr>
                <w:b/>
                <w:sz w:val="22"/>
              </w:rPr>
            </w:pPr>
            <w:r w:rsidRPr="00B12A83">
              <w:rPr>
                <w:b/>
                <w:sz w:val="22"/>
              </w:rPr>
              <w:t>(n, %)</w:t>
            </w:r>
          </w:p>
        </w:tc>
        <w:tc>
          <w:tcPr>
            <w:tcW w:w="1134" w:type="dxa"/>
            <w:tcBorders>
              <w:bottom w:val="single" w:sz="4" w:space="0" w:color="auto"/>
            </w:tcBorders>
          </w:tcPr>
          <w:p w14:paraId="2FCC6FA2" w14:textId="77777777" w:rsidR="00B12A83" w:rsidRPr="00B12A83" w:rsidRDefault="00B12A83" w:rsidP="00B12A83">
            <w:pPr>
              <w:spacing w:before="120"/>
              <w:rPr>
                <w:sz w:val="22"/>
              </w:rPr>
            </w:pPr>
          </w:p>
        </w:tc>
        <w:tc>
          <w:tcPr>
            <w:tcW w:w="992" w:type="dxa"/>
            <w:tcBorders>
              <w:bottom w:val="single" w:sz="4" w:space="0" w:color="auto"/>
            </w:tcBorders>
          </w:tcPr>
          <w:p w14:paraId="50E36527" w14:textId="77777777" w:rsidR="00B12A83" w:rsidRPr="00B12A83" w:rsidRDefault="00B12A83" w:rsidP="00B12A83">
            <w:pPr>
              <w:spacing w:before="120"/>
              <w:rPr>
                <w:sz w:val="22"/>
              </w:rPr>
            </w:pPr>
          </w:p>
        </w:tc>
      </w:tr>
      <w:tr w:rsidR="00B12A83" w:rsidRPr="00B12A83" w14:paraId="751B4891" w14:textId="77777777" w:rsidTr="007C2B6A">
        <w:tc>
          <w:tcPr>
            <w:tcW w:w="1731" w:type="dxa"/>
            <w:tcBorders>
              <w:top w:val="single" w:sz="4" w:space="0" w:color="auto"/>
            </w:tcBorders>
          </w:tcPr>
          <w:p w14:paraId="7986D10E" w14:textId="77777777" w:rsidR="00B12A83" w:rsidRPr="00B12A83" w:rsidRDefault="00B12A83" w:rsidP="00B12A83">
            <w:pPr>
              <w:spacing w:before="120"/>
              <w:rPr>
                <w:sz w:val="22"/>
              </w:rPr>
            </w:pPr>
            <w:r w:rsidRPr="00B12A83">
              <w:rPr>
                <w:sz w:val="22"/>
              </w:rPr>
              <w:t xml:space="preserve">Seek for help </w:t>
            </w:r>
          </w:p>
        </w:tc>
        <w:tc>
          <w:tcPr>
            <w:tcW w:w="1808" w:type="dxa"/>
            <w:tcBorders>
              <w:top w:val="single" w:sz="4" w:space="0" w:color="auto"/>
            </w:tcBorders>
          </w:tcPr>
          <w:p w14:paraId="440EFEB8" w14:textId="77777777" w:rsidR="00B12A83" w:rsidRPr="00B12A83" w:rsidRDefault="00B12A83" w:rsidP="00B12A83">
            <w:pPr>
              <w:spacing w:before="120"/>
              <w:jc w:val="center"/>
              <w:rPr>
                <w:sz w:val="22"/>
              </w:rPr>
            </w:pPr>
            <w:r w:rsidRPr="00B12A83">
              <w:rPr>
                <w:sz w:val="22"/>
              </w:rPr>
              <w:t>112(38.1)</w:t>
            </w:r>
          </w:p>
        </w:tc>
        <w:tc>
          <w:tcPr>
            <w:tcW w:w="1843" w:type="dxa"/>
            <w:tcBorders>
              <w:top w:val="single" w:sz="4" w:space="0" w:color="auto"/>
            </w:tcBorders>
          </w:tcPr>
          <w:p w14:paraId="0E4EC3C5" w14:textId="77777777" w:rsidR="00B12A83" w:rsidRPr="00B12A83" w:rsidRDefault="00B12A83" w:rsidP="00B12A83">
            <w:pPr>
              <w:spacing w:before="120"/>
              <w:jc w:val="center"/>
              <w:rPr>
                <w:sz w:val="22"/>
              </w:rPr>
            </w:pPr>
            <w:r w:rsidRPr="00B12A83">
              <w:rPr>
                <w:sz w:val="22"/>
              </w:rPr>
              <w:t>124(42.2)</w:t>
            </w:r>
          </w:p>
        </w:tc>
        <w:tc>
          <w:tcPr>
            <w:tcW w:w="1843" w:type="dxa"/>
            <w:tcBorders>
              <w:top w:val="single" w:sz="4" w:space="0" w:color="auto"/>
            </w:tcBorders>
          </w:tcPr>
          <w:p w14:paraId="7EB917C2" w14:textId="77777777" w:rsidR="00B12A83" w:rsidRPr="00B12A83" w:rsidRDefault="00B12A83" w:rsidP="00B12A83">
            <w:pPr>
              <w:spacing w:before="120"/>
              <w:jc w:val="center"/>
              <w:rPr>
                <w:sz w:val="22"/>
              </w:rPr>
            </w:pPr>
            <w:r w:rsidRPr="00B12A83">
              <w:rPr>
                <w:sz w:val="22"/>
              </w:rPr>
              <w:t>236(40.1)</w:t>
            </w:r>
          </w:p>
        </w:tc>
        <w:tc>
          <w:tcPr>
            <w:tcW w:w="1134" w:type="dxa"/>
            <w:tcBorders>
              <w:top w:val="single" w:sz="4" w:space="0" w:color="auto"/>
            </w:tcBorders>
          </w:tcPr>
          <w:p w14:paraId="1DD15A5A" w14:textId="77777777" w:rsidR="00B12A83" w:rsidRPr="00B12A83" w:rsidRDefault="00B12A83" w:rsidP="00B12A83">
            <w:pPr>
              <w:spacing w:before="120"/>
              <w:jc w:val="center"/>
              <w:rPr>
                <w:sz w:val="22"/>
              </w:rPr>
            </w:pPr>
            <w:r w:rsidRPr="00B12A83">
              <w:rPr>
                <w:sz w:val="22"/>
              </w:rPr>
              <w:t>1.02</w:t>
            </w:r>
          </w:p>
        </w:tc>
        <w:tc>
          <w:tcPr>
            <w:tcW w:w="992" w:type="dxa"/>
            <w:tcBorders>
              <w:top w:val="single" w:sz="4" w:space="0" w:color="auto"/>
            </w:tcBorders>
          </w:tcPr>
          <w:p w14:paraId="0383DF54" w14:textId="77777777" w:rsidR="00B12A83" w:rsidRPr="00B12A83" w:rsidRDefault="00B12A83" w:rsidP="00B12A83">
            <w:pPr>
              <w:spacing w:before="120"/>
              <w:jc w:val="center"/>
              <w:rPr>
                <w:sz w:val="22"/>
              </w:rPr>
            </w:pPr>
            <w:r w:rsidRPr="00B12A83">
              <w:rPr>
                <w:sz w:val="22"/>
              </w:rPr>
              <w:t>0.313</w:t>
            </w:r>
          </w:p>
        </w:tc>
      </w:tr>
      <w:tr w:rsidR="00B12A83" w:rsidRPr="00B12A83" w14:paraId="1151E92B" w14:textId="77777777" w:rsidTr="007C2B6A">
        <w:tc>
          <w:tcPr>
            <w:tcW w:w="1731" w:type="dxa"/>
          </w:tcPr>
          <w:p w14:paraId="32BBE594" w14:textId="77777777" w:rsidR="00B12A83" w:rsidRPr="00B12A83" w:rsidRDefault="00B12A83" w:rsidP="00B12A83">
            <w:pPr>
              <w:spacing w:before="120"/>
              <w:rPr>
                <w:sz w:val="22"/>
              </w:rPr>
            </w:pPr>
            <w:r w:rsidRPr="00B12A83">
              <w:rPr>
                <w:sz w:val="22"/>
              </w:rPr>
              <w:t xml:space="preserve">Emotional counselling </w:t>
            </w:r>
          </w:p>
        </w:tc>
        <w:tc>
          <w:tcPr>
            <w:tcW w:w="1808" w:type="dxa"/>
          </w:tcPr>
          <w:p w14:paraId="6D631ED4" w14:textId="77777777" w:rsidR="00B12A83" w:rsidRPr="00B12A83" w:rsidRDefault="00B12A83" w:rsidP="00B12A83">
            <w:pPr>
              <w:spacing w:before="120"/>
              <w:jc w:val="center"/>
              <w:rPr>
                <w:sz w:val="22"/>
              </w:rPr>
            </w:pPr>
            <w:r w:rsidRPr="00B12A83">
              <w:rPr>
                <w:sz w:val="22"/>
              </w:rPr>
              <w:t>64(21.8)</w:t>
            </w:r>
          </w:p>
        </w:tc>
        <w:tc>
          <w:tcPr>
            <w:tcW w:w="1843" w:type="dxa"/>
          </w:tcPr>
          <w:p w14:paraId="0EA29079" w14:textId="77777777" w:rsidR="00B12A83" w:rsidRPr="00B12A83" w:rsidRDefault="00B12A83" w:rsidP="00B12A83">
            <w:pPr>
              <w:spacing w:before="120"/>
              <w:jc w:val="center"/>
              <w:rPr>
                <w:sz w:val="22"/>
              </w:rPr>
            </w:pPr>
            <w:r w:rsidRPr="00B12A83">
              <w:rPr>
                <w:sz w:val="22"/>
              </w:rPr>
              <w:t>82(27.9)</w:t>
            </w:r>
          </w:p>
        </w:tc>
        <w:tc>
          <w:tcPr>
            <w:tcW w:w="1843" w:type="dxa"/>
          </w:tcPr>
          <w:p w14:paraId="0D8D2357" w14:textId="77777777" w:rsidR="00B12A83" w:rsidRPr="00B12A83" w:rsidRDefault="00B12A83" w:rsidP="00B12A83">
            <w:pPr>
              <w:spacing w:before="120"/>
              <w:jc w:val="center"/>
              <w:rPr>
                <w:sz w:val="22"/>
              </w:rPr>
            </w:pPr>
            <w:r w:rsidRPr="00B12A83">
              <w:rPr>
                <w:sz w:val="22"/>
              </w:rPr>
              <w:t>146(24.8)</w:t>
            </w:r>
          </w:p>
        </w:tc>
        <w:tc>
          <w:tcPr>
            <w:tcW w:w="1134" w:type="dxa"/>
          </w:tcPr>
          <w:p w14:paraId="7A91689D" w14:textId="77777777" w:rsidR="00B12A83" w:rsidRPr="00B12A83" w:rsidRDefault="00B12A83" w:rsidP="00B12A83">
            <w:pPr>
              <w:spacing w:before="120"/>
              <w:jc w:val="center"/>
              <w:rPr>
                <w:sz w:val="22"/>
              </w:rPr>
            </w:pPr>
            <w:r w:rsidRPr="00B12A83">
              <w:rPr>
                <w:sz w:val="22"/>
              </w:rPr>
              <w:t>3.03</w:t>
            </w:r>
          </w:p>
        </w:tc>
        <w:tc>
          <w:tcPr>
            <w:tcW w:w="992" w:type="dxa"/>
          </w:tcPr>
          <w:p w14:paraId="37674F17" w14:textId="77777777" w:rsidR="00B12A83" w:rsidRPr="00B12A83" w:rsidRDefault="00B12A83" w:rsidP="00B12A83">
            <w:pPr>
              <w:spacing w:before="120"/>
              <w:jc w:val="center"/>
              <w:rPr>
                <w:sz w:val="22"/>
              </w:rPr>
            </w:pPr>
            <w:r w:rsidRPr="00B12A83">
              <w:rPr>
                <w:sz w:val="22"/>
              </w:rPr>
              <w:t>0.220</w:t>
            </w:r>
          </w:p>
        </w:tc>
      </w:tr>
      <w:tr w:rsidR="00B12A83" w:rsidRPr="00B12A83" w14:paraId="7A69F31D" w14:textId="77777777" w:rsidTr="007C2B6A">
        <w:tc>
          <w:tcPr>
            <w:tcW w:w="1731" w:type="dxa"/>
          </w:tcPr>
          <w:p w14:paraId="0E6AD8DC" w14:textId="77777777" w:rsidR="00B12A83" w:rsidRPr="00B12A83" w:rsidRDefault="00B12A83" w:rsidP="00B12A83">
            <w:pPr>
              <w:spacing w:before="120"/>
              <w:rPr>
                <w:sz w:val="22"/>
              </w:rPr>
            </w:pPr>
            <w:r w:rsidRPr="00B12A83">
              <w:rPr>
                <w:sz w:val="22"/>
              </w:rPr>
              <w:t xml:space="preserve">Shelter </w:t>
            </w:r>
          </w:p>
        </w:tc>
        <w:tc>
          <w:tcPr>
            <w:tcW w:w="1808" w:type="dxa"/>
          </w:tcPr>
          <w:p w14:paraId="340E3947" w14:textId="77777777" w:rsidR="00B12A83" w:rsidRPr="00B12A83" w:rsidRDefault="00B12A83" w:rsidP="00B12A83">
            <w:pPr>
              <w:spacing w:before="120"/>
              <w:jc w:val="center"/>
              <w:rPr>
                <w:sz w:val="22"/>
              </w:rPr>
            </w:pPr>
            <w:r w:rsidRPr="00B12A83">
              <w:rPr>
                <w:sz w:val="22"/>
              </w:rPr>
              <w:t>34(11.6)</w:t>
            </w:r>
          </w:p>
        </w:tc>
        <w:tc>
          <w:tcPr>
            <w:tcW w:w="1843" w:type="dxa"/>
          </w:tcPr>
          <w:p w14:paraId="20B82BF7" w14:textId="77777777" w:rsidR="00B12A83" w:rsidRPr="00B12A83" w:rsidRDefault="00B12A83" w:rsidP="00B12A83">
            <w:pPr>
              <w:spacing w:before="120"/>
              <w:jc w:val="center"/>
              <w:rPr>
                <w:sz w:val="22"/>
              </w:rPr>
            </w:pPr>
            <w:r w:rsidRPr="00B12A83">
              <w:rPr>
                <w:sz w:val="22"/>
              </w:rPr>
              <w:t>35(11.9)</w:t>
            </w:r>
          </w:p>
        </w:tc>
        <w:tc>
          <w:tcPr>
            <w:tcW w:w="1843" w:type="dxa"/>
          </w:tcPr>
          <w:p w14:paraId="547B6E08" w14:textId="77777777" w:rsidR="00B12A83" w:rsidRPr="00B12A83" w:rsidRDefault="00B12A83" w:rsidP="00B12A83">
            <w:pPr>
              <w:spacing w:before="120"/>
              <w:jc w:val="center"/>
              <w:rPr>
                <w:sz w:val="22"/>
              </w:rPr>
            </w:pPr>
            <w:r w:rsidRPr="00B12A83">
              <w:rPr>
                <w:sz w:val="22"/>
              </w:rPr>
              <w:t>69(11.7)</w:t>
            </w:r>
          </w:p>
        </w:tc>
        <w:tc>
          <w:tcPr>
            <w:tcW w:w="1134" w:type="dxa"/>
          </w:tcPr>
          <w:p w14:paraId="1E3917CD" w14:textId="77777777" w:rsidR="00B12A83" w:rsidRPr="00B12A83" w:rsidRDefault="00B12A83" w:rsidP="00B12A83">
            <w:pPr>
              <w:spacing w:before="120"/>
              <w:jc w:val="center"/>
              <w:rPr>
                <w:sz w:val="22"/>
              </w:rPr>
            </w:pPr>
            <w:r w:rsidRPr="00B12A83">
              <w:rPr>
                <w:sz w:val="22"/>
              </w:rPr>
              <w:t>1.15</w:t>
            </w:r>
          </w:p>
        </w:tc>
        <w:tc>
          <w:tcPr>
            <w:tcW w:w="992" w:type="dxa"/>
          </w:tcPr>
          <w:p w14:paraId="0F52E6B9" w14:textId="77777777" w:rsidR="00B12A83" w:rsidRPr="00B12A83" w:rsidRDefault="00B12A83" w:rsidP="00B12A83">
            <w:pPr>
              <w:spacing w:before="120"/>
              <w:jc w:val="center"/>
              <w:rPr>
                <w:sz w:val="22"/>
              </w:rPr>
            </w:pPr>
            <w:r w:rsidRPr="00B12A83">
              <w:rPr>
                <w:sz w:val="22"/>
              </w:rPr>
              <w:t>0.563</w:t>
            </w:r>
          </w:p>
        </w:tc>
      </w:tr>
      <w:tr w:rsidR="00B12A83" w:rsidRPr="00B12A83" w14:paraId="22B4C870" w14:textId="77777777" w:rsidTr="007C2B6A">
        <w:tc>
          <w:tcPr>
            <w:tcW w:w="1731" w:type="dxa"/>
          </w:tcPr>
          <w:p w14:paraId="4DA08A4F" w14:textId="77777777" w:rsidR="00B12A83" w:rsidRPr="00B12A83" w:rsidRDefault="00B12A83" w:rsidP="00B12A83">
            <w:pPr>
              <w:spacing w:before="120"/>
              <w:rPr>
                <w:sz w:val="22"/>
              </w:rPr>
            </w:pPr>
            <w:r w:rsidRPr="00B12A83">
              <w:rPr>
                <w:sz w:val="22"/>
              </w:rPr>
              <w:t>Legal support</w:t>
            </w:r>
          </w:p>
        </w:tc>
        <w:tc>
          <w:tcPr>
            <w:tcW w:w="1808" w:type="dxa"/>
          </w:tcPr>
          <w:p w14:paraId="22E6CC65" w14:textId="77777777" w:rsidR="00B12A83" w:rsidRPr="00B12A83" w:rsidRDefault="00B12A83" w:rsidP="00B12A83">
            <w:pPr>
              <w:spacing w:before="120"/>
              <w:jc w:val="center"/>
              <w:rPr>
                <w:sz w:val="22"/>
              </w:rPr>
            </w:pPr>
            <w:r w:rsidRPr="00B12A83">
              <w:rPr>
                <w:sz w:val="22"/>
              </w:rPr>
              <w:t>7(2.4)</w:t>
            </w:r>
          </w:p>
        </w:tc>
        <w:tc>
          <w:tcPr>
            <w:tcW w:w="1843" w:type="dxa"/>
          </w:tcPr>
          <w:p w14:paraId="0B3C146A" w14:textId="77777777" w:rsidR="00B12A83" w:rsidRPr="00B12A83" w:rsidRDefault="00B12A83" w:rsidP="00B12A83">
            <w:pPr>
              <w:spacing w:before="120"/>
              <w:jc w:val="center"/>
              <w:rPr>
                <w:sz w:val="22"/>
              </w:rPr>
            </w:pPr>
            <w:r w:rsidRPr="00B12A83">
              <w:rPr>
                <w:sz w:val="22"/>
              </w:rPr>
              <w:t>9(3.1)</w:t>
            </w:r>
          </w:p>
        </w:tc>
        <w:tc>
          <w:tcPr>
            <w:tcW w:w="1843" w:type="dxa"/>
          </w:tcPr>
          <w:p w14:paraId="1AE7D232" w14:textId="77777777" w:rsidR="00B12A83" w:rsidRPr="00B12A83" w:rsidRDefault="00B12A83" w:rsidP="00B12A83">
            <w:pPr>
              <w:spacing w:before="120"/>
              <w:jc w:val="center"/>
              <w:rPr>
                <w:sz w:val="22"/>
              </w:rPr>
            </w:pPr>
            <w:r w:rsidRPr="00B12A83">
              <w:rPr>
                <w:sz w:val="22"/>
              </w:rPr>
              <w:t>16(2.7)</w:t>
            </w:r>
          </w:p>
        </w:tc>
        <w:tc>
          <w:tcPr>
            <w:tcW w:w="1134" w:type="dxa"/>
          </w:tcPr>
          <w:p w14:paraId="4A7777AB" w14:textId="77777777" w:rsidR="00B12A83" w:rsidRPr="00B12A83" w:rsidRDefault="00B12A83" w:rsidP="00B12A83">
            <w:pPr>
              <w:spacing w:before="120"/>
              <w:jc w:val="center"/>
              <w:rPr>
                <w:sz w:val="22"/>
              </w:rPr>
            </w:pPr>
            <w:r w:rsidRPr="00B12A83">
              <w:rPr>
                <w:sz w:val="22"/>
              </w:rPr>
              <w:t>1.11</w:t>
            </w:r>
          </w:p>
        </w:tc>
        <w:tc>
          <w:tcPr>
            <w:tcW w:w="992" w:type="dxa"/>
          </w:tcPr>
          <w:p w14:paraId="6436BB1A" w14:textId="77777777" w:rsidR="00B12A83" w:rsidRPr="00B12A83" w:rsidRDefault="00B12A83" w:rsidP="00B12A83">
            <w:pPr>
              <w:spacing w:before="120"/>
              <w:jc w:val="center"/>
              <w:rPr>
                <w:sz w:val="22"/>
              </w:rPr>
            </w:pPr>
            <w:r w:rsidRPr="00B12A83">
              <w:rPr>
                <w:sz w:val="22"/>
              </w:rPr>
              <w:t>0.573</w:t>
            </w:r>
          </w:p>
        </w:tc>
      </w:tr>
      <w:tr w:rsidR="00B12A83" w:rsidRPr="00B12A83" w14:paraId="1E6C9E6E" w14:textId="77777777" w:rsidTr="007C2B6A">
        <w:tc>
          <w:tcPr>
            <w:tcW w:w="1731" w:type="dxa"/>
          </w:tcPr>
          <w:p w14:paraId="0C7A2B0F" w14:textId="77777777" w:rsidR="00B12A83" w:rsidRPr="00B12A83" w:rsidRDefault="00B12A83" w:rsidP="00B12A83">
            <w:pPr>
              <w:spacing w:before="120"/>
              <w:rPr>
                <w:sz w:val="22"/>
              </w:rPr>
            </w:pPr>
            <w:r w:rsidRPr="00B12A83">
              <w:rPr>
                <w:sz w:val="22"/>
              </w:rPr>
              <w:t>Financial support</w:t>
            </w:r>
          </w:p>
        </w:tc>
        <w:tc>
          <w:tcPr>
            <w:tcW w:w="1808" w:type="dxa"/>
          </w:tcPr>
          <w:p w14:paraId="45D2A508" w14:textId="77777777" w:rsidR="00B12A83" w:rsidRPr="00B12A83" w:rsidRDefault="00B12A83" w:rsidP="00B12A83">
            <w:pPr>
              <w:spacing w:before="120"/>
              <w:jc w:val="center"/>
              <w:rPr>
                <w:sz w:val="22"/>
              </w:rPr>
            </w:pPr>
            <w:r w:rsidRPr="00B12A83">
              <w:rPr>
                <w:sz w:val="22"/>
              </w:rPr>
              <w:t>54(18.4)</w:t>
            </w:r>
          </w:p>
        </w:tc>
        <w:tc>
          <w:tcPr>
            <w:tcW w:w="1843" w:type="dxa"/>
          </w:tcPr>
          <w:p w14:paraId="3D1201CB" w14:textId="77777777" w:rsidR="00B12A83" w:rsidRPr="00B12A83" w:rsidRDefault="00B12A83" w:rsidP="00B12A83">
            <w:pPr>
              <w:spacing w:before="120"/>
              <w:jc w:val="center"/>
              <w:rPr>
                <w:sz w:val="22"/>
              </w:rPr>
            </w:pPr>
            <w:r w:rsidRPr="00B12A83">
              <w:rPr>
                <w:sz w:val="22"/>
              </w:rPr>
              <w:t>51(17.3)</w:t>
            </w:r>
          </w:p>
        </w:tc>
        <w:tc>
          <w:tcPr>
            <w:tcW w:w="1843" w:type="dxa"/>
          </w:tcPr>
          <w:p w14:paraId="76DB9312" w14:textId="77777777" w:rsidR="00B12A83" w:rsidRPr="00B12A83" w:rsidRDefault="00B12A83" w:rsidP="00B12A83">
            <w:pPr>
              <w:spacing w:before="120"/>
              <w:jc w:val="center"/>
              <w:rPr>
                <w:sz w:val="22"/>
              </w:rPr>
            </w:pPr>
            <w:r w:rsidRPr="00B12A83">
              <w:rPr>
                <w:sz w:val="22"/>
              </w:rPr>
              <w:t>105(17.9)</w:t>
            </w:r>
          </w:p>
        </w:tc>
        <w:tc>
          <w:tcPr>
            <w:tcW w:w="1134" w:type="dxa"/>
          </w:tcPr>
          <w:p w14:paraId="60A620EF" w14:textId="77777777" w:rsidR="00B12A83" w:rsidRPr="00B12A83" w:rsidRDefault="00B12A83" w:rsidP="00B12A83">
            <w:pPr>
              <w:spacing w:before="120"/>
              <w:jc w:val="center"/>
              <w:rPr>
                <w:sz w:val="22"/>
              </w:rPr>
            </w:pPr>
            <w:r w:rsidRPr="00B12A83">
              <w:rPr>
                <w:sz w:val="22"/>
              </w:rPr>
              <w:t>2.21</w:t>
            </w:r>
          </w:p>
        </w:tc>
        <w:tc>
          <w:tcPr>
            <w:tcW w:w="992" w:type="dxa"/>
          </w:tcPr>
          <w:p w14:paraId="604A535A" w14:textId="77777777" w:rsidR="00B12A83" w:rsidRPr="00B12A83" w:rsidRDefault="00B12A83" w:rsidP="00B12A83">
            <w:pPr>
              <w:spacing w:before="120"/>
              <w:jc w:val="center"/>
              <w:rPr>
                <w:sz w:val="22"/>
              </w:rPr>
            </w:pPr>
            <w:r w:rsidRPr="00B12A83">
              <w:rPr>
                <w:sz w:val="22"/>
              </w:rPr>
              <w:t>0.331</w:t>
            </w:r>
          </w:p>
        </w:tc>
      </w:tr>
    </w:tbl>
    <w:p w14:paraId="438A38E4" w14:textId="77777777" w:rsidR="0026545F" w:rsidRDefault="0026545F" w:rsidP="00FC5C89"/>
    <w:p w14:paraId="36A99FCB" w14:textId="4D225864" w:rsidR="00051043" w:rsidRPr="005E058B" w:rsidRDefault="00051043" w:rsidP="005E058B">
      <w:pPr>
        <w:spacing w:line="360" w:lineRule="auto"/>
        <w:jc w:val="both"/>
        <w:rPr>
          <w:rFonts w:cs="Times New Roman"/>
          <w:b/>
          <w:szCs w:val="24"/>
        </w:rPr>
      </w:pPr>
      <w:r w:rsidRPr="005E058B">
        <w:rPr>
          <w:rFonts w:cs="Times New Roman"/>
          <w:b/>
          <w:szCs w:val="24"/>
        </w:rPr>
        <w:t xml:space="preserve">Qualitative results </w:t>
      </w:r>
    </w:p>
    <w:p w14:paraId="74FAD393" w14:textId="28AAAC88" w:rsidR="00051043" w:rsidRPr="005E058B" w:rsidRDefault="00051043" w:rsidP="005E058B">
      <w:pPr>
        <w:spacing w:line="360" w:lineRule="auto"/>
        <w:jc w:val="both"/>
        <w:rPr>
          <w:rFonts w:cs="Times New Roman"/>
          <w:i/>
          <w:szCs w:val="24"/>
        </w:rPr>
      </w:pPr>
      <w:r w:rsidRPr="005E058B">
        <w:rPr>
          <w:rFonts w:cs="Times New Roman"/>
          <w:i/>
          <w:szCs w:val="24"/>
        </w:rPr>
        <w:t>Disclosure of intimate partner violence</w:t>
      </w:r>
    </w:p>
    <w:p w14:paraId="2CC547CF" w14:textId="241FF20D" w:rsidR="00051043" w:rsidRPr="009B5FAC" w:rsidRDefault="00051043" w:rsidP="005E058B">
      <w:pPr>
        <w:pStyle w:val="NoSpacing"/>
        <w:spacing w:line="360" w:lineRule="auto"/>
        <w:jc w:val="both"/>
        <w:rPr>
          <w:rFonts w:ascii="Times New Roman" w:hAnsi="Times New Roman" w:cs="Times New Roman"/>
          <w:sz w:val="24"/>
          <w:szCs w:val="24"/>
          <w:shd w:val="clear" w:color="auto" w:fill="FFFFFF"/>
        </w:rPr>
      </w:pPr>
      <w:r w:rsidRPr="005E058B">
        <w:rPr>
          <w:rFonts w:ascii="Times New Roman" w:hAnsi="Times New Roman" w:cs="Times New Roman"/>
          <w:sz w:val="24"/>
          <w:szCs w:val="24"/>
          <w:shd w:val="clear" w:color="auto" w:fill="FFFFFF"/>
          <w:lang w:eastAsia="en-GB"/>
        </w:rPr>
        <w:t xml:space="preserve">In the </w:t>
      </w:r>
      <w:r w:rsidR="005E058B" w:rsidRPr="005E058B">
        <w:rPr>
          <w:rFonts w:ascii="Times New Roman" w:hAnsi="Times New Roman" w:cs="Times New Roman"/>
          <w:sz w:val="24"/>
          <w:szCs w:val="24"/>
          <w:shd w:val="clear" w:color="auto" w:fill="FFFFFF"/>
          <w:lang w:eastAsia="en-GB"/>
        </w:rPr>
        <w:t>in-depth interviews (</w:t>
      </w:r>
      <w:r w:rsidRPr="005E058B">
        <w:rPr>
          <w:rFonts w:ascii="Times New Roman" w:hAnsi="Times New Roman" w:cs="Times New Roman"/>
          <w:sz w:val="24"/>
          <w:szCs w:val="24"/>
          <w:shd w:val="clear" w:color="auto" w:fill="FFFFFF"/>
          <w:lang w:eastAsia="en-GB"/>
        </w:rPr>
        <w:t>IDIs</w:t>
      </w:r>
      <w:r w:rsidR="005E058B" w:rsidRPr="005E058B">
        <w:rPr>
          <w:rFonts w:ascii="Times New Roman" w:hAnsi="Times New Roman" w:cs="Times New Roman"/>
          <w:sz w:val="24"/>
          <w:szCs w:val="24"/>
          <w:shd w:val="clear" w:color="auto" w:fill="FFFFFF"/>
          <w:lang w:eastAsia="en-GB"/>
        </w:rPr>
        <w:t>)</w:t>
      </w:r>
      <w:r w:rsidRPr="005E058B">
        <w:rPr>
          <w:rFonts w:ascii="Times New Roman" w:hAnsi="Times New Roman" w:cs="Times New Roman"/>
          <w:sz w:val="24"/>
          <w:szCs w:val="24"/>
          <w:shd w:val="clear" w:color="auto" w:fill="FFFFFF"/>
          <w:lang w:eastAsia="en-GB"/>
        </w:rPr>
        <w:t xml:space="preserve"> most of the participants reported informally, that is to their immediate families, in-laws and religious leaders A </w:t>
      </w:r>
      <w:r w:rsidR="009B5FAC">
        <w:rPr>
          <w:rFonts w:ascii="Times New Roman" w:hAnsi="Times New Roman" w:cs="Times New Roman"/>
          <w:sz w:val="24"/>
          <w:szCs w:val="24"/>
          <w:shd w:val="clear" w:color="auto" w:fill="FFFFFF"/>
          <w:lang w:eastAsia="en-GB"/>
        </w:rPr>
        <w:t xml:space="preserve">rural </w:t>
      </w:r>
      <w:r w:rsidRPr="005E058B">
        <w:rPr>
          <w:rFonts w:ascii="Times New Roman" w:hAnsi="Times New Roman" w:cs="Times New Roman"/>
          <w:sz w:val="24"/>
          <w:szCs w:val="24"/>
          <w:shd w:val="clear" w:color="auto" w:fill="FFFFFF"/>
          <w:lang w:eastAsia="en-GB"/>
        </w:rPr>
        <w:t>participant who was slapped by her husband called her parents who encouraged her to come back to the family house</w:t>
      </w:r>
      <w:r w:rsidR="009B5FAC">
        <w:rPr>
          <w:rFonts w:ascii="Times New Roman" w:hAnsi="Times New Roman" w:cs="Times New Roman"/>
          <w:sz w:val="24"/>
          <w:szCs w:val="24"/>
          <w:shd w:val="clear" w:color="auto" w:fill="FFFFFF"/>
          <w:lang w:eastAsia="en-GB"/>
        </w:rPr>
        <w:t>.</w:t>
      </w:r>
      <w:r w:rsidRPr="005E058B">
        <w:rPr>
          <w:rFonts w:ascii="Times New Roman" w:hAnsi="Times New Roman" w:cs="Times New Roman"/>
          <w:sz w:val="24"/>
          <w:szCs w:val="24"/>
          <w:shd w:val="clear" w:color="auto" w:fill="FFFFFF"/>
          <w:lang w:eastAsia="en-GB"/>
        </w:rPr>
        <w:t xml:space="preserve"> </w:t>
      </w:r>
      <w:r w:rsidR="009B5FAC" w:rsidRPr="009B5FAC">
        <w:rPr>
          <w:rFonts w:ascii="Times New Roman" w:hAnsi="Times New Roman" w:cs="Times New Roman"/>
          <w:sz w:val="24"/>
          <w:szCs w:val="24"/>
          <w:shd w:val="clear" w:color="auto" w:fill="FFFFFF"/>
          <w:lang w:eastAsia="en-GB"/>
        </w:rPr>
        <w:t xml:space="preserve">Her </w:t>
      </w:r>
      <w:r w:rsidRPr="009B5FAC">
        <w:rPr>
          <w:rFonts w:ascii="Times New Roman" w:hAnsi="Times New Roman" w:cs="Times New Roman"/>
          <w:sz w:val="24"/>
          <w:szCs w:val="24"/>
          <w:shd w:val="clear" w:color="auto" w:fill="FFFFFF"/>
        </w:rPr>
        <w:t xml:space="preserve">partner </w:t>
      </w:r>
      <w:r w:rsidR="009B5FAC">
        <w:rPr>
          <w:rFonts w:ascii="Times New Roman" w:hAnsi="Times New Roman" w:cs="Times New Roman"/>
          <w:sz w:val="24"/>
          <w:szCs w:val="24"/>
          <w:shd w:val="clear" w:color="auto" w:fill="FFFFFF"/>
        </w:rPr>
        <w:t>was</w:t>
      </w:r>
      <w:r w:rsidR="009B5FAC" w:rsidRPr="009B5FAC">
        <w:rPr>
          <w:rFonts w:ascii="Times New Roman" w:hAnsi="Times New Roman" w:cs="Times New Roman"/>
          <w:sz w:val="24"/>
          <w:szCs w:val="24"/>
          <w:shd w:val="clear" w:color="auto" w:fill="FFFFFF"/>
        </w:rPr>
        <w:t xml:space="preserve"> a 27</w:t>
      </w:r>
      <w:r w:rsidRPr="009B5FAC">
        <w:rPr>
          <w:rFonts w:ascii="Times New Roman" w:hAnsi="Times New Roman" w:cs="Times New Roman"/>
          <w:sz w:val="24"/>
          <w:szCs w:val="24"/>
          <w:shd w:val="clear" w:color="auto" w:fill="FFFFFF"/>
        </w:rPr>
        <w:t xml:space="preserve"> years old carpenter. She </w:t>
      </w:r>
      <w:r w:rsidR="009B5FAC">
        <w:rPr>
          <w:rFonts w:ascii="Times New Roman" w:hAnsi="Times New Roman" w:cs="Times New Roman"/>
          <w:sz w:val="24"/>
          <w:szCs w:val="24"/>
          <w:shd w:val="clear" w:color="auto" w:fill="FFFFFF"/>
        </w:rPr>
        <w:t>wa</w:t>
      </w:r>
      <w:r w:rsidRPr="009B5FAC">
        <w:rPr>
          <w:rFonts w:ascii="Times New Roman" w:hAnsi="Times New Roman" w:cs="Times New Roman"/>
          <w:sz w:val="24"/>
          <w:szCs w:val="24"/>
          <w:shd w:val="clear" w:color="auto" w:fill="FFFFFF"/>
        </w:rPr>
        <w:t xml:space="preserve">s a 22-year-old house wife, married for 2 years, lost her trading business a year ago, she has completed secondary school education. During the interview, she felt helpless though hopeful that the situation will improve when she gets money to start her trade She pathetically said </w:t>
      </w:r>
      <w:r w:rsidRPr="009B5FAC">
        <w:rPr>
          <w:rFonts w:ascii="Times New Roman" w:hAnsi="Times New Roman" w:cs="Times New Roman"/>
          <w:i/>
          <w:sz w:val="24"/>
          <w:szCs w:val="24"/>
          <w:shd w:val="clear" w:color="auto" w:fill="FFFFFF"/>
        </w:rPr>
        <w:t>''my husband is a carpenter and came home angry and frustrated one day…… he asked for food, immediately I said food is not ready, I received very painful slap on my face and he walked out immediately''</w:t>
      </w:r>
      <w:r w:rsidRPr="009B5FAC">
        <w:rPr>
          <w:rFonts w:ascii="Times New Roman" w:hAnsi="Times New Roman" w:cs="Times New Roman"/>
          <w:sz w:val="24"/>
          <w:szCs w:val="24"/>
          <w:shd w:val="clear" w:color="auto" w:fill="FFFFFF"/>
        </w:rPr>
        <w:t>.</w:t>
      </w:r>
    </w:p>
    <w:p w14:paraId="5593998C" w14:textId="511BA63D" w:rsidR="00051043" w:rsidRPr="00051043" w:rsidRDefault="00051043" w:rsidP="005E058B">
      <w:pPr>
        <w:spacing w:after="0" w:line="360" w:lineRule="auto"/>
        <w:jc w:val="both"/>
        <w:rPr>
          <w:rFonts w:eastAsia="DengXian" w:cs="Times New Roman"/>
          <w:szCs w:val="24"/>
          <w:shd w:val="clear" w:color="auto" w:fill="FFFFFF"/>
          <w:lang w:eastAsia="en-GB"/>
        </w:rPr>
      </w:pPr>
    </w:p>
    <w:p w14:paraId="1A768679" w14:textId="7CEEA173" w:rsidR="00051043" w:rsidRPr="00051043" w:rsidRDefault="009B5FAC" w:rsidP="005E058B">
      <w:pPr>
        <w:spacing w:after="0" w:line="360" w:lineRule="auto"/>
        <w:jc w:val="both"/>
        <w:rPr>
          <w:rFonts w:eastAsia="DengXian" w:cs="Times New Roman"/>
          <w:i/>
          <w:szCs w:val="24"/>
          <w:shd w:val="clear" w:color="auto" w:fill="FFFFFF"/>
          <w:lang w:eastAsia="en-GB"/>
        </w:rPr>
      </w:pPr>
      <w:r>
        <w:rPr>
          <w:rFonts w:eastAsia="DengXian" w:cs="Times New Roman"/>
          <w:szCs w:val="24"/>
          <w:shd w:val="clear" w:color="auto" w:fill="FFFFFF"/>
          <w:lang w:eastAsia="en-GB"/>
        </w:rPr>
        <w:lastRenderedPageBreak/>
        <w:t>An urban respondents</w:t>
      </w:r>
      <w:r w:rsidR="00051043" w:rsidRPr="00051043">
        <w:rPr>
          <w:rFonts w:eastAsia="DengXian" w:cs="Times New Roman"/>
          <w:szCs w:val="24"/>
          <w:shd w:val="clear" w:color="auto" w:fill="FFFFFF"/>
          <w:lang w:eastAsia="en-GB"/>
        </w:rPr>
        <w:t xml:space="preserve"> said </w:t>
      </w:r>
      <w:proofErr w:type="gramStart"/>
      <w:r w:rsidR="00051043" w:rsidRPr="00051043">
        <w:rPr>
          <w:rFonts w:eastAsia="DengXian" w:cs="Times New Roman"/>
          <w:i/>
          <w:szCs w:val="24"/>
          <w:shd w:val="clear" w:color="auto" w:fill="FFFFFF"/>
          <w:lang w:eastAsia="en-GB"/>
        </w:rPr>
        <w:t>“ my</w:t>
      </w:r>
      <w:proofErr w:type="gramEnd"/>
      <w:r w:rsidR="00051043" w:rsidRPr="00051043">
        <w:rPr>
          <w:rFonts w:eastAsia="DengXian" w:cs="Times New Roman"/>
          <w:i/>
          <w:szCs w:val="24"/>
          <w:shd w:val="clear" w:color="auto" w:fill="FFFFFF"/>
          <w:lang w:eastAsia="en-GB"/>
        </w:rPr>
        <w:t xml:space="preserve"> oga and I go to the same </w:t>
      </w:r>
      <w:proofErr w:type="gramStart"/>
      <w:r w:rsidR="00051043" w:rsidRPr="00051043">
        <w:rPr>
          <w:rFonts w:eastAsia="DengXian" w:cs="Times New Roman"/>
          <w:i/>
          <w:szCs w:val="24"/>
          <w:shd w:val="clear" w:color="auto" w:fill="FFFFFF"/>
          <w:lang w:eastAsia="en-GB"/>
        </w:rPr>
        <w:t>church,</w:t>
      </w:r>
      <w:proofErr w:type="gramEnd"/>
      <w:r w:rsidR="00051043" w:rsidRPr="00051043">
        <w:rPr>
          <w:rFonts w:eastAsia="DengXian" w:cs="Times New Roman"/>
          <w:i/>
          <w:szCs w:val="24"/>
          <w:shd w:val="clear" w:color="auto" w:fill="FFFFFF"/>
          <w:lang w:eastAsia="en-GB"/>
        </w:rPr>
        <w:t xml:space="preserve"> I have reported to our pastor who has always advice my husband to trust me and concentrate on other important things in life…”</w:t>
      </w:r>
    </w:p>
    <w:p w14:paraId="5011980A" w14:textId="5C949B43" w:rsidR="00051043" w:rsidRPr="009B5FAC" w:rsidRDefault="00051043" w:rsidP="005E058B">
      <w:pPr>
        <w:spacing w:after="0" w:line="360" w:lineRule="auto"/>
        <w:jc w:val="both"/>
        <w:rPr>
          <w:rFonts w:eastAsia="DengXian" w:cs="Times New Roman"/>
          <w:szCs w:val="24"/>
          <w:shd w:val="clear" w:color="auto" w:fill="FFFFFF"/>
          <w:lang w:eastAsia="en-GB"/>
        </w:rPr>
      </w:pPr>
      <w:proofErr w:type="gramStart"/>
      <w:r w:rsidRPr="00051043">
        <w:rPr>
          <w:rFonts w:eastAsia="DengXian" w:cs="Times New Roman"/>
          <w:i/>
          <w:szCs w:val="24"/>
          <w:shd w:val="clear" w:color="auto" w:fill="FFFFFF"/>
          <w:lang w:eastAsia="en-GB"/>
        </w:rPr>
        <w:t>“ I</w:t>
      </w:r>
      <w:proofErr w:type="gramEnd"/>
      <w:r w:rsidRPr="00051043">
        <w:rPr>
          <w:rFonts w:eastAsia="DengXian" w:cs="Times New Roman"/>
          <w:i/>
          <w:szCs w:val="24"/>
          <w:shd w:val="clear" w:color="auto" w:fill="FFFFFF"/>
          <w:lang w:eastAsia="en-GB"/>
        </w:rPr>
        <w:t xml:space="preserve"> have complained to my siblings and they do not like his attitude though </w:t>
      </w:r>
      <w:proofErr w:type="gramStart"/>
      <w:r w:rsidRPr="00051043">
        <w:rPr>
          <w:rFonts w:eastAsia="DengXian" w:cs="Times New Roman"/>
          <w:i/>
          <w:szCs w:val="24"/>
          <w:shd w:val="clear" w:color="auto" w:fill="FFFFFF"/>
          <w:lang w:eastAsia="en-GB"/>
        </w:rPr>
        <w:t>the</w:t>
      </w:r>
      <w:proofErr w:type="gramEnd"/>
      <w:r w:rsidRPr="00051043">
        <w:rPr>
          <w:rFonts w:eastAsia="DengXian" w:cs="Times New Roman"/>
          <w:i/>
          <w:szCs w:val="24"/>
          <w:shd w:val="clear" w:color="auto" w:fill="FFFFFF"/>
          <w:lang w:eastAsia="en-GB"/>
        </w:rPr>
        <w:t xml:space="preserve"> cannot talk to </w:t>
      </w:r>
      <w:proofErr w:type="gramStart"/>
      <w:r w:rsidRPr="00051043">
        <w:rPr>
          <w:rFonts w:eastAsia="DengXian" w:cs="Times New Roman"/>
          <w:i/>
          <w:szCs w:val="24"/>
          <w:shd w:val="clear" w:color="auto" w:fill="FFFFFF"/>
          <w:lang w:eastAsia="en-GB"/>
        </w:rPr>
        <w:t>him..</w:t>
      </w:r>
      <w:proofErr w:type="gramEnd"/>
      <w:r w:rsidRPr="00051043">
        <w:rPr>
          <w:rFonts w:eastAsia="DengXian" w:cs="Times New Roman"/>
          <w:i/>
          <w:szCs w:val="24"/>
          <w:shd w:val="clear" w:color="auto" w:fill="FFFFFF"/>
          <w:lang w:eastAsia="en-GB"/>
        </w:rPr>
        <w:t>”</w:t>
      </w:r>
      <w:r w:rsidR="009B5FAC">
        <w:rPr>
          <w:rFonts w:eastAsia="DengXian" w:cs="Times New Roman"/>
          <w:i/>
          <w:szCs w:val="24"/>
          <w:shd w:val="clear" w:color="auto" w:fill="FFFFFF"/>
          <w:lang w:eastAsia="en-GB"/>
        </w:rPr>
        <w:t xml:space="preserve">. </w:t>
      </w:r>
      <w:r w:rsidR="009B5FAC">
        <w:rPr>
          <w:rFonts w:eastAsia="DengXian" w:cs="Times New Roman"/>
          <w:szCs w:val="24"/>
          <w:shd w:val="clear" w:color="auto" w:fill="FFFFFF"/>
          <w:lang w:eastAsia="en-GB"/>
        </w:rPr>
        <w:t>This is a response from a rural survivor.</w:t>
      </w:r>
    </w:p>
    <w:p w14:paraId="129DCD9F" w14:textId="6BB99EE6" w:rsidR="0026545F" w:rsidRPr="00140FDA" w:rsidRDefault="00140FDA" w:rsidP="00140FDA">
      <w:pPr>
        <w:spacing w:after="0" w:line="360" w:lineRule="auto"/>
        <w:jc w:val="both"/>
        <w:rPr>
          <w:rFonts w:eastAsia="DengXian" w:cs="Times New Roman"/>
          <w:i/>
          <w:szCs w:val="24"/>
          <w:shd w:val="clear" w:color="auto" w:fill="FFFFFF"/>
          <w:lang w:eastAsia="en-GB"/>
        </w:rPr>
      </w:pPr>
      <w:r>
        <w:rPr>
          <w:rFonts w:eastAsia="DengXian" w:cs="Times New Roman"/>
          <w:szCs w:val="24"/>
          <w:shd w:val="clear" w:color="auto" w:fill="FFFFFF"/>
          <w:lang w:eastAsia="en-GB"/>
        </w:rPr>
        <w:t>An urban survivor</w:t>
      </w:r>
      <w:r w:rsidR="00051043" w:rsidRPr="00051043">
        <w:rPr>
          <w:rFonts w:eastAsia="DengXian" w:cs="Times New Roman"/>
          <w:szCs w:val="24"/>
          <w:shd w:val="clear" w:color="auto" w:fill="FFFFFF"/>
          <w:lang w:eastAsia="en-GB"/>
        </w:rPr>
        <w:t xml:space="preserve"> who sells plastics in their living compound said </w:t>
      </w:r>
      <w:proofErr w:type="gramStart"/>
      <w:r w:rsidR="00051043" w:rsidRPr="00051043">
        <w:rPr>
          <w:rFonts w:eastAsia="DengXian" w:cs="Times New Roman"/>
          <w:i/>
          <w:szCs w:val="24"/>
          <w:shd w:val="clear" w:color="auto" w:fill="FFFFFF"/>
          <w:lang w:eastAsia="en-GB"/>
        </w:rPr>
        <w:t>“ I</w:t>
      </w:r>
      <w:proofErr w:type="gramEnd"/>
      <w:r w:rsidR="00051043" w:rsidRPr="00051043">
        <w:rPr>
          <w:rFonts w:eastAsia="DengXian" w:cs="Times New Roman"/>
          <w:i/>
          <w:szCs w:val="24"/>
          <w:shd w:val="clear" w:color="auto" w:fill="FFFFFF"/>
          <w:lang w:eastAsia="en-GB"/>
        </w:rPr>
        <w:t xml:space="preserve"> reported my husband to his elder sister who has appealed to him to take it easy on me…”</w:t>
      </w:r>
    </w:p>
    <w:p w14:paraId="6CBC337B" w14:textId="34E89FDD" w:rsidR="00FC5C89" w:rsidRPr="00085CE0" w:rsidRDefault="00085CE0" w:rsidP="00FC5C89">
      <w:pPr>
        <w:rPr>
          <w:b/>
          <w:sz w:val="28"/>
          <w:szCs w:val="28"/>
        </w:rPr>
      </w:pPr>
      <w:r w:rsidRPr="00085CE0">
        <w:rPr>
          <w:b/>
          <w:sz w:val="28"/>
          <w:szCs w:val="28"/>
        </w:rPr>
        <w:t>DISCUSSION</w:t>
      </w:r>
    </w:p>
    <w:p w14:paraId="66283127" w14:textId="4B11D97C" w:rsidR="00FC5C89" w:rsidRPr="00FC5C89" w:rsidRDefault="00FC5C89" w:rsidP="002B6618">
      <w:pPr>
        <w:spacing w:line="360" w:lineRule="auto"/>
        <w:jc w:val="both"/>
      </w:pPr>
      <w:r w:rsidRPr="00FC5C89">
        <w:t xml:space="preserve">This study examined the determinants, disclosure patterns, and help-seeking behaviours related to domestic violence (DV) among women in rural and urban settings of Anambra State, Nigeria, using a comparative mixed-methods approach. </w:t>
      </w:r>
    </w:p>
    <w:p w14:paraId="28CA70D1" w14:textId="7E04EDDE" w:rsidR="00FC5C89" w:rsidRPr="00FC5C89" w:rsidRDefault="00FC5C89" w:rsidP="002B6618">
      <w:pPr>
        <w:spacing w:line="360" w:lineRule="auto"/>
        <w:jc w:val="both"/>
      </w:pPr>
      <w:r w:rsidRPr="00FC5C89">
        <w:t>The study identified alcohol and substance abuse, economic hardship, and educational disparity between partners as significant determinants of domestic violence. These findings are consistent with global evidence demonstrating that substance use by intimate partners increases the likelihood of violent behaviour through impaired judgment, aggression, and conflict escalation (Sardinha et al., 2022; Devries et al., 2021). Similar associations have been reported in studies from South Asia, Latin America, and sub-Saharan Africa, underscoring the robustness of this relationship across diverse sociocultural contexts (Ahinkorah et al., 2021; Peterman et al., 2021).</w:t>
      </w:r>
      <w:r w:rsidR="00FB2FD2">
        <w:t xml:space="preserve"> </w:t>
      </w:r>
      <w:r w:rsidRPr="00FC5C89">
        <w:t xml:space="preserve">The observed rural–urban variation, with alcohol and substance abuse more prominent among urban respondents and economic hardship more significant among rural women, aligns with findings from other African settings. Urban environments often have higher availability and consumption of alcohol and drugs, while rural settings are more vulnerable to chronic poverty, livelihood insecurity, and financial dependence on male partners (Aboagye et al., 2022; Alio et al., 2024). Studies from Ethiopia, Ghana, and Kenya similarly report that economic stress is a stronger predictor of DV in rural households, whereas </w:t>
      </w:r>
      <w:r w:rsidR="00ED3DFD" w:rsidRPr="00FC5C89">
        <w:t>behavioural</w:t>
      </w:r>
      <w:r w:rsidRPr="00FC5C89">
        <w:t xml:space="preserve"> risk factors dominate in urban contexts (Seidu et al., 2021; Muluneh et al., 2022).</w:t>
      </w:r>
    </w:p>
    <w:p w14:paraId="58C87651" w14:textId="3DC0AA6A" w:rsidR="00FC5C89" w:rsidRPr="00FC5C89" w:rsidRDefault="00FC5C89" w:rsidP="002B6618">
      <w:pPr>
        <w:spacing w:line="360" w:lineRule="auto"/>
        <w:jc w:val="both"/>
      </w:pPr>
      <w:r w:rsidRPr="00FC5C89">
        <w:t>Educational disparity between partners emerged as a strong determinant of DV in this study, reflecting power imbalances within intimate relationships. This finding mirrors evidence from Nigeria and other sub-Saharan African countries showing that women who are less educated than their partners—or, conversely, more educated in highly patriarchal settings</w:t>
      </w:r>
      <w:r w:rsidR="00ED3DFD">
        <w:t xml:space="preserve"> </w:t>
      </w:r>
      <w:r w:rsidRPr="00FC5C89">
        <w:t>may face increased risk of violence due to threatened male authority (Benebo et al., 2022; Umeh et al., 2023). Such dynamics highlight the complex role of education as both a protective and risk factor, depending on relational and cultural contexts.</w:t>
      </w:r>
    </w:p>
    <w:p w14:paraId="1F5984D5" w14:textId="107AFE2D" w:rsidR="00FC5C89" w:rsidRPr="00FC5C89" w:rsidRDefault="00FC5C89" w:rsidP="000F58D4">
      <w:pPr>
        <w:spacing w:line="360" w:lineRule="auto"/>
        <w:jc w:val="both"/>
      </w:pPr>
      <w:r w:rsidRPr="00D10F3B">
        <w:lastRenderedPageBreak/>
        <w:t xml:space="preserve">Disclosure rates in this study were below 50%, reinforcing the </w:t>
      </w:r>
      <w:r w:rsidR="00D10F3B" w:rsidRPr="00D10F3B">
        <w:t>fact</w:t>
      </w:r>
      <w:r w:rsidRPr="00D10F3B">
        <w:t xml:space="preserve"> that domestic violence remains largely hidden. This pattern is consistent with global estimates indicating that fewer than half of survivors disclose their experiences to anyone, and far fewer disclose to formal institutions (WHO, 2021; Sardinha et al., 2022). Studies from Asia and Latin America similarly report low disclosure, driven by fear of stigma, normalization of violence, and lack of confidence in support systems (García-Moreno et al., 2020).</w:t>
      </w:r>
      <w:r w:rsidR="00FB2FD2" w:rsidRPr="00D10F3B">
        <w:t xml:space="preserve"> </w:t>
      </w:r>
      <w:r w:rsidRPr="00D10F3B">
        <w:t>In line with findings from other African and West African studies, survivors in this study most commonly disclosed abuse to parents, siblings, or in-laws, while disclosure to friends, social groups, and especially healthcare providers was rare (Owoaje et al., 2021; Aihie &amp; Ojo, 2022). Research from Ghana, Sierra Leone, and Burkina Faso has documented similar reliance on family-based disclosure pathways, reflecting strong kinship systems and the perception of DV as a private family matter (Dickson et al., 2021; Ahinkorah et al., 2022).</w:t>
      </w:r>
      <w:r w:rsidR="00D10F3B">
        <w:t xml:space="preserve"> </w:t>
      </w:r>
      <w:r w:rsidRPr="00FC5C89">
        <w:t>Notably, disclosure to healthcare providers was particularly low among urban women in this study. This contrasts with some high-income country settings, where urban residence is associated with greater service utilization (Alio et al., 2024), but aligns with Nigerian and sub-Saharan African evidence suggesting that health systems often fail to provide safe, confidential, and survivor-</w:t>
      </w:r>
      <w:r w:rsidR="00595D9B" w:rsidRPr="00FC5C89">
        <w:t>centred</w:t>
      </w:r>
      <w:r w:rsidRPr="00FC5C89">
        <w:t xml:space="preserve"> environments that encourage disclosure (Onyemelukwe et al., 2023). Fear of judgment, lack of routine screening, and limited provider training have been consistently identified as barriers to disclosure within healthcare settings in Nigeria and beyond (</w:t>
      </w:r>
      <w:proofErr w:type="spellStart"/>
      <w:r w:rsidRPr="00FC5C89">
        <w:t>Olowookere</w:t>
      </w:r>
      <w:proofErr w:type="spellEnd"/>
      <w:r w:rsidRPr="00FC5C89">
        <w:t xml:space="preserve"> et al., 2020; Muluneh et al., 2022).</w:t>
      </w:r>
    </w:p>
    <w:p w14:paraId="2931F40E" w14:textId="77777777" w:rsidR="00D10F3B" w:rsidRDefault="00FC5C89" w:rsidP="000F58D4">
      <w:pPr>
        <w:spacing w:line="360" w:lineRule="auto"/>
        <w:jc w:val="both"/>
      </w:pPr>
      <w:r w:rsidRPr="00FC5C89">
        <w:t>Help-seeking behaviour following disclosure was generally low in both rural and urban settings, with no statistically significant difference between the two groups. The overall help-seeking prevalence observed in this study is comparable to reports from other parts of Nigeria and West Africa, where less than half of women experiencing DV seek any form of assistance (Benebo et al., 2022; Owoaje et al., 2021). Globally, similar patterns have been observed in low-resource settings, where structural and sociocultural barriers limit access to formal support (Sardinha et al., 2022).</w:t>
      </w:r>
      <w:r w:rsidR="00D10F3B">
        <w:t xml:space="preserve"> </w:t>
      </w:r>
    </w:p>
    <w:p w14:paraId="2E4B1D60" w14:textId="1AA46592" w:rsidR="00FC5C89" w:rsidRPr="00FC5C89" w:rsidRDefault="00FC5C89" w:rsidP="000F58D4">
      <w:pPr>
        <w:spacing w:line="360" w:lineRule="auto"/>
        <w:jc w:val="both"/>
      </w:pPr>
      <w:r w:rsidRPr="00FC5C89">
        <w:t>Emotional support emerged as the most commonly received form of help, followed by financial assistance, while legal support was the least accessed. This hierarchy mirrors findings from studies across sub-Saharan Africa and South Asia, where informal support dominates and engagement with legal systems is minimal (Ahinkorah et al., 2021; Seidu et al., 2021). In Nigeria, weak enforcement of domestic violence laws, fear of retaliation, lengthy legal processes, and mistrust of law enforcement agencies have been widely documented as deterrents to seeking legal redress (Onyemelukwe et al., 2023; Umeh et al., 2023).</w:t>
      </w:r>
      <w:r w:rsidR="00D10F3B">
        <w:t xml:space="preserve"> </w:t>
      </w:r>
      <w:r w:rsidRPr="00FC5C89">
        <w:t xml:space="preserve">The low </w:t>
      </w:r>
      <w:r w:rsidRPr="00FC5C89">
        <w:lastRenderedPageBreak/>
        <w:t>utilization of legal and formal support services observed in this study underscores missed opportunities for protection and long-term recovery. Evidence from countries that have invested in integrated referral systems and survivor-friendly legal frameworks demonstrates improved help-seeking and outcomes (García-Moreno et al., 2020). The contrast highlights the need for systemic reforms in Nigeria to strengthen institutional responses and build trust among survivors.</w:t>
      </w:r>
    </w:p>
    <w:p w14:paraId="1C872E5E" w14:textId="24B3249D" w:rsidR="00FC5C89" w:rsidRPr="00085CE0" w:rsidRDefault="00085CE0" w:rsidP="00FC5C89">
      <w:pPr>
        <w:rPr>
          <w:b/>
          <w:sz w:val="28"/>
          <w:szCs w:val="28"/>
        </w:rPr>
      </w:pPr>
      <w:r w:rsidRPr="00085CE0">
        <w:rPr>
          <w:b/>
          <w:sz w:val="28"/>
          <w:szCs w:val="28"/>
        </w:rPr>
        <w:t>CONCLUSION</w:t>
      </w:r>
    </w:p>
    <w:p w14:paraId="3E1507BB" w14:textId="4D470D22" w:rsidR="00FC5C89" w:rsidRDefault="00FC5C89" w:rsidP="001044A3">
      <w:pPr>
        <w:spacing w:line="360" w:lineRule="auto"/>
        <w:jc w:val="both"/>
      </w:pPr>
      <w:r>
        <w:t>This study provides compelling evidence that domestic violence against women remains a pervasive and largely hidden problem in both rural and urban settings of Anambra State, Nigeria, with persistently low levels of disclosure and limited help-seeking despite substantial exposure to violence. The findings demonstrate that key determinants</w:t>
      </w:r>
      <w:r w:rsidR="001044A3">
        <w:t xml:space="preserve"> </w:t>
      </w:r>
      <w:r>
        <w:t>namely alcohol and substance abuse, economic hardship, and educational disparity between partners</w:t>
      </w:r>
      <w:r w:rsidR="001044A3">
        <w:t xml:space="preserve"> </w:t>
      </w:r>
      <w:r>
        <w:t>continue to drive the occurrence of domestic violence, while contextual differences between rural and urban environments shape the prominence of these risk factors.</w:t>
      </w:r>
      <w:r w:rsidR="00D10F3B">
        <w:t xml:space="preserve"> </w:t>
      </w:r>
      <w:r>
        <w:t>Critically, the study highlights disclosure as a major bottleneck in the pathway to safety and support. Fewer than half of survivors disclosed their experiences, and when disclosure occurred, it was predominantly to informal family networks rather than to formal institutions. Engagement with healthcare providers, legal services, and law enforcement was minimal, underscoring missed opportunities for early identification, protection, and intervention. Even among women who disclosed abuse, help-seeking was modest, with support largely confined to emotional reassurance and limited financial assistance, while legal and structured psychosocial support were rarely accessed.</w:t>
      </w:r>
    </w:p>
    <w:p w14:paraId="0F8BBE05" w14:textId="568A0B8C" w:rsidR="00FC5C89" w:rsidRPr="00085CE0" w:rsidRDefault="00085CE0" w:rsidP="001044A3">
      <w:pPr>
        <w:spacing w:line="360" w:lineRule="auto"/>
        <w:jc w:val="both"/>
        <w:rPr>
          <w:b/>
          <w:sz w:val="28"/>
          <w:szCs w:val="28"/>
        </w:rPr>
      </w:pPr>
      <w:r w:rsidRPr="00085CE0">
        <w:rPr>
          <w:b/>
          <w:sz w:val="28"/>
          <w:szCs w:val="28"/>
        </w:rPr>
        <w:t>RECOMMENDATIONS</w:t>
      </w:r>
    </w:p>
    <w:p w14:paraId="5D18E4E5" w14:textId="50875C73" w:rsidR="00FC5C89" w:rsidRPr="00595D9B" w:rsidRDefault="00D10F3B" w:rsidP="001044A3">
      <w:pPr>
        <w:spacing w:line="360" w:lineRule="auto"/>
        <w:jc w:val="both"/>
      </w:pPr>
      <w:r>
        <w:t>The</w:t>
      </w:r>
      <w:r w:rsidR="00FC5C89">
        <w:t xml:space="preserve"> recommendations </w:t>
      </w:r>
      <w:r>
        <w:t xml:space="preserve">made </w:t>
      </w:r>
      <w:r w:rsidR="00FC5C89">
        <w:t>emphasize strengthening disclosure pathways, improving access to formal support services, and addressing key structural and contextual determinants of domestic violence.</w:t>
      </w:r>
      <w:r>
        <w:t xml:space="preserve"> The</w:t>
      </w:r>
      <w:r w:rsidR="00595D9B">
        <w:t xml:space="preserve"> recommendations</w:t>
      </w:r>
      <w:r>
        <w:t xml:space="preserve"> include</w:t>
      </w:r>
      <w:r w:rsidR="00595D9B">
        <w:t xml:space="preserve"> s</w:t>
      </w:r>
      <w:r w:rsidR="00FC5C89">
        <w:t xml:space="preserve">tate and local </w:t>
      </w:r>
      <w:proofErr w:type="spellStart"/>
      <w:r w:rsidR="00FC5C89">
        <w:t>governmentsfull</w:t>
      </w:r>
      <w:proofErr w:type="spellEnd"/>
      <w:r w:rsidR="00FC5C89">
        <w:t xml:space="preserve"> domestication, implementation, and enforcement of the Violence Against Persons (Prohibition) Act (VAPP Act) in Anambra State. Clear operational guidelines, survivor-friendly reporting procedures, and accountability mechanisms for law enforcement agencies are essential to increase trust and utilization of legal support services.</w:t>
      </w:r>
      <w:r>
        <w:t xml:space="preserve">  Specialized</w:t>
      </w:r>
      <w:r w:rsidR="00FC5C89">
        <w:t xml:space="preserve"> domestic violence desks within police stations and family courts should be strengthened, with trained personnel, </w:t>
      </w:r>
      <w:r w:rsidR="00FC5C89">
        <w:lastRenderedPageBreak/>
        <w:t>confidentiality safeguards, and referral linkages to health and social services. Legal aid services should be expanded and made accessible, particularly for economically dependent women.</w:t>
      </w:r>
    </w:p>
    <w:p w14:paraId="18A836AB" w14:textId="3A4ABD14" w:rsidR="00FC5C89" w:rsidRPr="004339B7" w:rsidRDefault="00D10F3B" w:rsidP="001044A3">
      <w:pPr>
        <w:spacing w:line="360" w:lineRule="auto"/>
        <w:jc w:val="both"/>
        <w:rPr>
          <w:i/>
        </w:rPr>
      </w:pPr>
      <w:r>
        <w:t>The p</w:t>
      </w:r>
      <w:r w:rsidR="00FC5C89">
        <w:t>rimary, secondary, and tertiary healthcare facilities should incorporate standardized screening for domestic violence into maternal, reproductive, and general health services. This will facilitate early identification and safe disclosure, especially for women who may not seek help elsewhere.</w:t>
      </w:r>
      <w:r>
        <w:t xml:space="preserve"> </w:t>
      </w:r>
      <w:r w:rsidR="00FC5C89">
        <w:t>Continuous training of healthcare workers on trauma-informed care, confidentiality, non-judgmental communication, and referral pathways is critical to creating safe environments that encourage disclosure and sustained help-seeking.</w:t>
      </w:r>
      <w:r>
        <w:t xml:space="preserve"> </w:t>
      </w:r>
      <w:r w:rsidR="00FC5C89">
        <w:t xml:space="preserve">Targeted community sensitization campaigns involving traditional leaders, religious institutions, women’s groups, and men’s associations should challenge norms that normalize violence and discourage disclosure. </w:t>
      </w:r>
      <w:r w:rsidR="004339B7">
        <w:t xml:space="preserve"> </w:t>
      </w:r>
      <w:r w:rsidR="00FC5C89">
        <w:t>Economic hardship and dependence were key drivers of domestic violence and barriers to help-seeking. Skills acquisition programs, access to microcredit, and employment opportunities should be expanded, particularly in rural areas, to strengthen women’s financial autonomy and bargaining power.</w:t>
      </w:r>
      <w:r>
        <w:t xml:space="preserve"> </w:t>
      </w:r>
      <w:r w:rsidR="00FC5C89">
        <w:t>Public health interventions targeting harmful alcohol and substance use</w:t>
      </w:r>
      <w:r>
        <w:t xml:space="preserve"> </w:t>
      </w:r>
      <w:r w:rsidR="00FC5C89">
        <w:t>especially in urban settings</w:t>
      </w:r>
      <w:r>
        <w:t xml:space="preserve"> </w:t>
      </w:r>
      <w:r w:rsidR="00FC5C89">
        <w:t xml:space="preserve">should be strengthened. These may include regulation of alcohol sales, community-based rehabilitation services, and </w:t>
      </w:r>
      <w:r>
        <w:t>behavioural</w:t>
      </w:r>
      <w:r w:rsidR="00FC5C89">
        <w:t xml:space="preserve"> change programs for men.</w:t>
      </w:r>
    </w:p>
    <w:p w14:paraId="7ADE6926" w14:textId="2DC9FFD6" w:rsidR="00FC5C89" w:rsidRPr="00085CE0" w:rsidRDefault="00085CE0" w:rsidP="001044A3">
      <w:pPr>
        <w:spacing w:line="360" w:lineRule="auto"/>
        <w:jc w:val="both"/>
        <w:rPr>
          <w:b/>
          <w:iCs/>
          <w:sz w:val="28"/>
          <w:szCs w:val="28"/>
        </w:rPr>
      </w:pPr>
      <w:r w:rsidRPr="00085CE0">
        <w:rPr>
          <w:b/>
          <w:iCs/>
          <w:sz w:val="28"/>
          <w:szCs w:val="28"/>
        </w:rPr>
        <w:t>STRENGTHS AND LIMITATIONS</w:t>
      </w:r>
    </w:p>
    <w:p w14:paraId="2F329B6F" w14:textId="63FFAE5E" w:rsidR="00FC5C89" w:rsidRPr="004339B7" w:rsidRDefault="00FC5C89" w:rsidP="001044A3">
      <w:pPr>
        <w:spacing w:line="360" w:lineRule="auto"/>
        <w:jc w:val="both"/>
        <w:rPr>
          <w:i/>
        </w:rPr>
      </w:pPr>
      <w:r w:rsidRPr="00FC5C89">
        <w:t xml:space="preserve">This study has several notable strengths that enhance the robustness, relevance, and contribution of its findings. </w:t>
      </w:r>
      <w:r w:rsidR="004339B7">
        <w:t>T</w:t>
      </w:r>
      <w:r w:rsidRPr="00FC5C89">
        <w:t xml:space="preserve">he comparative rural–urban design allowed for a nuanced examination of contextual differences and similarities in the determinants, disclosure patterns, and help-seeking behaviours related to domestic violence within the same sociocultural setting. </w:t>
      </w:r>
    </w:p>
    <w:p w14:paraId="2BCA3414" w14:textId="356485BE" w:rsidR="00FC5C89" w:rsidRPr="004339B7" w:rsidRDefault="00D10F3B" w:rsidP="001044A3">
      <w:pPr>
        <w:spacing w:line="360" w:lineRule="auto"/>
        <w:jc w:val="both"/>
      </w:pPr>
      <w:r>
        <w:t>T</w:t>
      </w:r>
      <w:r w:rsidR="00FC5C89" w:rsidRPr="00FC5C89">
        <w:t>he use of a mixed-methods approach is a major strength. The quantitative component enabled the identification of statistically significant determinants of domestic violence and patterns of disclosure and help-seeking, while the qualitative in-depth interviews enriched these findings by capturing survivors’ lived experiences, motivations, and barriers surrounding disclosure and support-seeking. This methodological triangulation strengthens the validity and interpretability of the results.</w:t>
      </w:r>
      <w:r>
        <w:t xml:space="preserve"> </w:t>
      </w:r>
      <w:r w:rsidR="00FC5C89" w:rsidRPr="00FC5C89">
        <w:t>Th</w:t>
      </w:r>
      <w:r>
        <w:t>is</w:t>
      </w:r>
      <w:r w:rsidR="00FC5C89" w:rsidRPr="00FC5C89">
        <w:t xml:space="preserve"> study employed a large sample size (n = 588) and a multi-stage sampling technique, enhancing the representativeness and generalizability of the quantitative findings within the study areas.</w:t>
      </w:r>
      <w:r w:rsidR="00E00867">
        <w:t xml:space="preserve"> T</w:t>
      </w:r>
      <w:r w:rsidR="00FC5C89" w:rsidRPr="00FC5C89">
        <w:t xml:space="preserve">he study places a specific and explicit focus on disclosure and help-seeking behaviours, which are often underexplored in domestic violence research in Nigeria and sub-Saharan Africa. By disaggregating disclosure pathways and types of support accessed, </w:t>
      </w:r>
      <w:r w:rsidR="00FC5C89" w:rsidRPr="00FC5C89">
        <w:lastRenderedPageBreak/>
        <w:t>the study addresses a critical evidence gap and provides actionable insights for policy and programmatic interventions.</w:t>
      </w:r>
    </w:p>
    <w:p w14:paraId="39540341" w14:textId="1C45C91C" w:rsidR="002341DD" w:rsidRPr="00594541" w:rsidRDefault="00805B2F" w:rsidP="001044A3">
      <w:pPr>
        <w:spacing w:line="360" w:lineRule="auto"/>
        <w:jc w:val="both"/>
      </w:pPr>
      <w:r>
        <w:t>T</w:t>
      </w:r>
      <w:r w:rsidR="00FC5C89" w:rsidRPr="00FC5C89">
        <w:t xml:space="preserve">he study has some limitations that should be considered when interpreting the findings. </w:t>
      </w:r>
      <w:r w:rsidR="00E00867">
        <w:t>T</w:t>
      </w:r>
      <w:r w:rsidR="00FC5C89" w:rsidRPr="00FC5C89">
        <w:t>he cross-sectional design limits the ability to establish causal relationships between identified determinants and domestic violence outcomes, as well as between disclosure and help-seeking behaviours.</w:t>
      </w:r>
      <w:r w:rsidR="00E00867">
        <w:t xml:space="preserve"> T</w:t>
      </w:r>
      <w:r w:rsidR="00FC5C89" w:rsidRPr="00FC5C89">
        <w:t>he study relied on self-reported data, which are subject to recall bias and social desirability bias. Given the sensitive nature of domestic violence, disclosure, and help-seeking, some participants may have underreported their experiences or provided socially acceptable responses, potentially leading to underestimation of prevalence and service utilization.</w:t>
      </w:r>
      <w:r>
        <w:t xml:space="preserve"> The</w:t>
      </w:r>
      <w:r w:rsidR="00FC5C89" w:rsidRPr="00FC5C89">
        <w:t xml:space="preserve"> qualitative sample was relatively small and limited to women who disclosed violence during the survey. This may have excluded the perspectives of women who experienced violence but chose not to disclose at all, potentially underrepresenting the most marginalized or constrained survivors.</w:t>
      </w:r>
      <w:r w:rsidR="00846C52">
        <w:t xml:space="preserve"> T</w:t>
      </w:r>
      <w:r w:rsidR="00FC5C89" w:rsidRPr="00FC5C89">
        <w:t xml:space="preserve">he study did not include men or perpetrators, nor did it directly assess community, institutional, or service-provider perspectives. As a result, insights into perpetrator </w:t>
      </w:r>
      <w:r w:rsidR="00846C52" w:rsidRPr="00FC5C89">
        <w:t>behaviours</w:t>
      </w:r>
      <w:r w:rsidR="00FC5C89" w:rsidRPr="00FC5C89">
        <w:t>, institutional readiness, and systemic barriers are inferred from survivors’ accounts rather than directly examined.</w:t>
      </w:r>
      <w:r w:rsidR="00594541">
        <w:t xml:space="preserve"> </w:t>
      </w:r>
      <w:r w:rsidR="00FC5C89" w:rsidRPr="00FC5C89">
        <w:t>Finally, while the findings are highly relevant to Anambra State and similar sociocultural contexts, generalizability beyond Southeast Nigeria should be made with caution, given regional variations in norms, service availability, and legal frameworks across Nigeria and sub-Saharan Africa.</w:t>
      </w:r>
    </w:p>
    <w:p w14:paraId="711B87AE" w14:textId="77777777" w:rsidR="00594541" w:rsidRDefault="00DE25D6" w:rsidP="001044A3">
      <w:pPr>
        <w:spacing w:line="360" w:lineRule="auto"/>
        <w:jc w:val="both"/>
        <w:rPr>
          <w:b/>
        </w:rPr>
      </w:pPr>
      <w:r w:rsidRPr="00594541">
        <w:rPr>
          <w:b/>
        </w:rPr>
        <w:t>Future Research</w:t>
      </w:r>
    </w:p>
    <w:p w14:paraId="1CAC531F" w14:textId="08E0A499" w:rsidR="00DE25D6" w:rsidRPr="00E23913" w:rsidRDefault="00594541" w:rsidP="001044A3">
      <w:pPr>
        <w:spacing w:line="360" w:lineRule="auto"/>
        <w:jc w:val="both"/>
        <w:rPr>
          <w:b/>
        </w:rPr>
      </w:pPr>
      <w:r>
        <w:t xml:space="preserve">There are </w:t>
      </w:r>
      <w:r w:rsidR="00DE25D6">
        <w:t>a</w:t>
      </w:r>
      <w:r>
        <w:t>spects</w:t>
      </w:r>
      <w:r w:rsidR="00DE25D6">
        <w:t xml:space="preserve"> for future research </w:t>
      </w:r>
      <w:r>
        <w:t>which include</w:t>
      </w:r>
      <w:r w:rsidR="00DE25D6">
        <w:t xml:space="preserve"> longitudinal designs to examine causal pathways between key determinants</w:t>
      </w:r>
      <w:r>
        <w:t xml:space="preserve"> </w:t>
      </w:r>
      <w:r w:rsidR="00DE25D6">
        <w:t>and experiences of domestic violence over time. There is a need for studies that evaluate the effectiveness of survivor-</w:t>
      </w:r>
      <w:r>
        <w:t>centred</w:t>
      </w:r>
      <w:r w:rsidR="00DE25D6">
        <w:t xml:space="preserve"> interventions aimed at improving disclosure, facilitating help-seeking, and enhancing access to formal support systems. Randomized controlled trials or quasi-experimental designs could test interventions such as community-based awareness programs, health facility-based screening and referral systems, and economic empowerment initiatives for women.</w:t>
      </w:r>
      <w:r>
        <w:rPr>
          <w:b/>
        </w:rPr>
        <w:t xml:space="preserve"> </w:t>
      </w:r>
      <w:r w:rsidRPr="00594541">
        <w:t>The</w:t>
      </w:r>
      <w:r>
        <w:rPr>
          <w:b/>
        </w:rPr>
        <w:t xml:space="preserve"> </w:t>
      </w:r>
      <w:r>
        <w:t>i</w:t>
      </w:r>
      <w:r w:rsidR="00DE25D6">
        <w:t>nclusion of male perspectives and perpetrators</w:t>
      </w:r>
      <w:r>
        <w:t xml:space="preserve"> is critical for u</w:t>
      </w:r>
      <w:r w:rsidR="00DE25D6">
        <w:t xml:space="preserve">nderstanding the motivations, attitudes, and behaviours of male partners </w:t>
      </w:r>
      <w:r w:rsidR="00BB2EFE">
        <w:t>to</w:t>
      </w:r>
      <w:r w:rsidR="00DE25D6">
        <w:t xml:space="preserve"> comprehensive violence prevention. Future studies should incorporate male partners and perpetrators to identify risk factors for violence, social norms, and potential entry points for behavioural interventions.</w:t>
      </w:r>
      <w:r w:rsidR="00BB2EFE">
        <w:rPr>
          <w:b/>
        </w:rPr>
        <w:t xml:space="preserve"> </w:t>
      </w:r>
      <w:r w:rsidR="00DE25D6">
        <w:t xml:space="preserve">Further research should assess the readiness, capacity, and responsiveness of health, legal, and social welfare systems in </w:t>
      </w:r>
      <w:r w:rsidR="00DE25D6">
        <w:lastRenderedPageBreak/>
        <w:t>addressing domestic violence. Mixed-methods studies that include service providers and institutional audits can identify gaps in policy implementation, confidentiality, accessibility, and effectiveness of support services.</w:t>
      </w:r>
      <w:r w:rsidR="00E23913">
        <w:rPr>
          <w:b/>
        </w:rPr>
        <w:t xml:space="preserve"> </w:t>
      </w:r>
      <w:r w:rsidR="00DE25D6">
        <w:t>Future research should investigate DV, disclosure, and help-seeking among particularly vulnerable subgroups, such as adolescent girls, women with disabilities, migrant women, and those living in informal settlements. Understanding unique barriers and facilitators for these populations will inform inclusive and equitable interventions.</w:t>
      </w:r>
      <w:r w:rsidR="00E23913">
        <w:rPr>
          <w:b/>
        </w:rPr>
        <w:t xml:space="preserve"> </w:t>
      </w:r>
      <w:r w:rsidR="00DE25D6">
        <w:t>Comparative studies across different Nigerian regions and West African countries could explore how sociocultural norms, traditions, and community structures shape domestic violence, disclosure, and help-seeking patterns. This will help tailor interventions to local realities and inform culturally sensitive policy frameworks.</w:t>
      </w:r>
      <w:r w:rsidR="00E23913">
        <w:rPr>
          <w:b/>
        </w:rPr>
        <w:t xml:space="preserve"> </w:t>
      </w:r>
    </w:p>
    <w:p w14:paraId="6FD0B26B" w14:textId="77777777" w:rsidR="00782CD4" w:rsidRPr="00782CD4" w:rsidRDefault="00782CD4" w:rsidP="00782CD4">
      <w:pPr>
        <w:spacing w:before="100" w:beforeAutospacing="1" w:line="360" w:lineRule="auto"/>
        <w:contextualSpacing/>
        <w:jc w:val="both"/>
        <w:rPr>
          <w:rFonts w:eastAsia="DengXian" w:cs="Times New Roman"/>
          <w:szCs w:val="24"/>
          <w:lang w:eastAsia="en-GB"/>
        </w:rPr>
      </w:pPr>
      <w:r w:rsidRPr="00782CD4">
        <w:rPr>
          <w:rFonts w:eastAsia="DengXian" w:cs="Times New Roman"/>
          <w:b/>
          <w:szCs w:val="24"/>
          <w:lang w:eastAsia="en-GB"/>
        </w:rPr>
        <w:t>Conflicts of Interest</w:t>
      </w:r>
      <w:r w:rsidRPr="00782CD4">
        <w:rPr>
          <w:rFonts w:eastAsia="DengXian" w:cs="Times New Roman"/>
          <w:szCs w:val="24"/>
          <w:lang w:eastAsia="en-GB"/>
        </w:rPr>
        <w:t>: The authors declared that they have no conflict of interest.</w:t>
      </w:r>
    </w:p>
    <w:p w14:paraId="586294E6" w14:textId="6E660699" w:rsidR="002341DD" w:rsidRPr="00782CD4" w:rsidRDefault="00782CD4" w:rsidP="00782CD4">
      <w:pPr>
        <w:spacing w:before="100" w:beforeAutospacing="1" w:line="360" w:lineRule="auto"/>
        <w:contextualSpacing/>
        <w:jc w:val="both"/>
        <w:rPr>
          <w:rFonts w:eastAsia="DengXian" w:cs="Times New Roman"/>
          <w:szCs w:val="24"/>
          <w:lang w:eastAsia="en-GB"/>
        </w:rPr>
      </w:pPr>
      <w:r w:rsidRPr="00782CD4">
        <w:rPr>
          <w:rFonts w:eastAsia="DengXian" w:cs="Times New Roman"/>
          <w:b/>
          <w:szCs w:val="24"/>
          <w:lang w:eastAsia="en-GB"/>
        </w:rPr>
        <w:t>Funding and Sponsorship</w:t>
      </w:r>
      <w:r w:rsidRPr="00782CD4">
        <w:rPr>
          <w:rFonts w:eastAsia="DengXian" w:cs="Times New Roman"/>
          <w:szCs w:val="24"/>
          <w:lang w:eastAsia="en-GB"/>
        </w:rPr>
        <w:t>: None</w:t>
      </w:r>
    </w:p>
    <w:p w14:paraId="29E6BD4B" w14:textId="34B9E047" w:rsidR="002D1874" w:rsidRPr="00085CE0" w:rsidRDefault="00085CE0" w:rsidP="002D1874">
      <w:pPr>
        <w:rPr>
          <w:b/>
          <w:sz w:val="28"/>
          <w:szCs w:val="28"/>
        </w:rPr>
      </w:pPr>
      <w:r w:rsidRPr="00085CE0">
        <w:rPr>
          <w:b/>
          <w:sz w:val="28"/>
          <w:szCs w:val="28"/>
        </w:rPr>
        <w:t>REFERENCES</w:t>
      </w:r>
      <w:r w:rsidR="002D1874" w:rsidRPr="00085CE0">
        <w:rPr>
          <w:b/>
          <w:sz w:val="28"/>
          <w:szCs w:val="28"/>
        </w:rPr>
        <w:t xml:space="preserve"> </w:t>
      </w:r>
    </w:p>
    <w:p w14:paraId="4669FAA2" w14:textId="7174AE6D" w:rsidR="002D1874" w:rsidRPr="00B10671" w:rsidRDefault="002D1874" w:rsidP="002F4EA1">
      <w:pPr>
        <w:pStyle w:val="ListParagraph"/>
        <w:numPr>
          <w:ilvl w:val="0"/>
          <w:numId w:val="2"/>
        </w:numPr>
        <w:ind w:left="360"/>
        <w:jc w:val="both"/>
      </w:pPr>
      <w:r w:rsidRPr="00B10671">
        <w:t>Aboagye, R. G., Okyere, J., Seidu, A.-A., Ahinkorah, B. O., &amp; Yaya, S. (2022). Experience of intimate partner violence among women in rural and urban areas of sub-Saharan Africa: A multilevel analysis. BMC Women’s Health, 22(1), 1–12. https://doi.org/10.1186/s12905-022-01643-9</w:t>
      </w:r>
    </w:p>
    <w:p w14:paraId="6AC0F4A3" w14:textId="4AB17BCA" w:rsidR="002D1874" w:rsidRPr="00B10671" w:rsidRDefault="002D1874" w:rsidP="002F4EA1">
      <w:pPr>
        <w:pStyle w:val="ListParagraph"/>
        <w:numPr>
          <w:ilvl w:val="0"/>
          <w:numId w:val="2"/>
        </w:numPr>
        <w:ind w:left="360"/>
        <w:jc w:val="both"/>
      </w:pPr>
      <w:r w:rsidRPr="00B10671">
        <w:t xml:space="preserve">Ahinkorah, B. O., Dickson, K. S., Seidu, A.-A., &amp; Schack, T. (2021). Women’s exposure to intimate partner violence and its association with socio-economic factors in sub-Saharan Africa. Journal of Interpersonal Violence, 36(15–16), NP8480–NP8503. </w:t>
      </w:r>
      <w:hyperlink r:id="rId8" w:history="1">
        <w:r w:rsidR="00D508D5" w:rsidRPr="00B10671">
          <w:rPr>
            <w:rStyle w:val="Hyperlink"/>
            <w:color w:val="auto"/>
            <w:u w:val="none"/>
          </w:rPr>
          <w:t>https://doi.org/10.1177/0886260519842850</w:t>
        </w:r>
      </w:hyperlink>
    </w:p>
    <w:p w14:paraId="0775FE9D" w14:textId="588D8C11" w:rsidR="002D1874" w:rsidRPr="00B10671" w:rsidRDefault="00D508D5" w:rsidP="002F4EA1">
      <w:pPr>
        <w:pStyle w:val="ListParagraph"/>
        <w:numPr>
          <w:ilvl w:val="0"/>
          <w:numId w:val="2"/>
        </w:numPr>
        <w:ind w:left="360"/>
        <w:jc w:val="both"/>
      </w:pPr>
      <w:r w:rsidRPr="00B10671">
        <w:t xml:space="preserve">Ahinkorah, B. O., Seidu, A.-A., </w:t>
      </w:r>
      <w:proofErr w:type="spellStart"/>
      <w:r w:rsidRPr="00B10671">
        <w:t>Budu</w:t>
      </w:r>
      <w:proofErr w:type="spellEnd"/>
      <w:r w:rsidRPr="00B10671">
        <w:t>, E., &amp; Yaya, S. (2022). Help-seeking behaviour among women experiencing intimate partner violence in West Africa. Journal of Interpersonal Violence, 37(21–22), NP20355–NP20375. https://doi.org/10.1177/08862605211031306</w:t>
      </w:r>
    </w:p>
    <w:p w14:paraId="54B58801" w14:textId="77777777" w:rsidR="002D1874" w:rsidRPr="00B10671" w:rsidRDefault="002D1874" w:rsidP="002F4EA1">
      <w:pPr>
        <w:pStyle w:val="ListParagraph"/>
        <w:numPr>
          <w:ilvl w:val="0"/>
          <w:numId w:val="2"/>
        </w:numPr>
        <w:ind w:left="360"/>
        <w:jc w:val="both"/>
      </w:pPr>
      <w:r w:rsidRPr="00B10671">
        <w:t>Aihie, O. N. (2020). Prevalence of domestic violence in Nigeria: Implications for counselling. Edo Journal of Counselling, 13(1), 1–11.</w:t>
      </w:r>
    </w:p>
    <w:p w14:paraId="5C7587CB" w14:textId="46E6C2C9" w:rsidR="002D1874" w:rsidRPr="00B10671" w:rsidRDefault="002D1874" w:rsidP="002F4EA1">
      <w:pPr>
        <w:pStyle w:val="ListParagraph"/>
        <w:numPr>
          <w:ilvl w:val="0"/>
          <w:numId w:val="2"/>
        </w:numPr>
        <w:ind w:left="360"/>
        <w:jc w:val="both"/>
      </w:pPr>
      <w:r w:rsidRPr="00B10671">
        <w:t xml:space="preserve">Alio, A. P., Salihu, H. M., Clayton, H. B., Mbah, A. K., &amp; Marty, P. J. (2024). Intimate partner violence and help-seeking </w:t>
      </w:r>
      <w:proofErr w:type="spellStart"/>
      <w:r w:rsidRPr="00B10671">
        <w:t>behaviors</w:t>
      </w:r>
      <w:proofErr w:type="spellEnd"/>
      <w:r w:rsidRPr="00B10671">
        <w:t xml:space="preserve"> among women: Urban–rural differentials. Journal of Women’s Health, 33(2), 145–154. </w:t>
      </w:r>
      <w:hyperlink r:id="rId9" w:history="1">
        <w:r w:rsidR="006E5907" w:rsidRPr="00B10671">
          <w:rPr>
            <w:rStyle w:val="Hyperlink"/>
            <w:color w:val="auto"/>
            <w:u w:val="none"/>
          </w:rPr>
          <w:t>https://doi.org/10.1089/jwh.2023.0198</w:t>
        </w:r>
      </w:hyperlink>
    </w:p>
    <w:p w14:paraId="24050D52" w14:textId="439940D1" w:rsidR="006E5907" w:rsidRPr="00B10671" w:rsidRDefault="006E5907" w:rsidP="002F4EA1">
      <w:pPr>
        <w:pStyle w:val="ListParagraph"/>
        <w:numPr>
          <w:ilvl w:val="0"/>
          <w:numId w:val="2"/>
        </w:numPr>
        <w:ind w:left="360"/>
        <w:jc w:val="both"/>
      </w:pPr>
      <w:r w:rsidRPr="00B10671">
        <w:t>Anambra 2025. (2025). Available at: https://www.premiumtimesng.com/news/top-news/833507-anambra-2025-19-things-you-need-to-know-about-anambra-state.html#:~:text=2.,Nigeria's%20smallest%20states%20by%20landmass</w:t>
      </w:r>
    </w:p>
    <w:p w14:paraId="77C044EC" w14:textId="300B01E0" w:rsidR="002D1874" w:rsidRPr="00B10671" w:rsidRDefault="002D1874" w:rsidP="002F4EA1">
      <w:pPr>
        <w:pStyle w:val="ListParagraph"/>
        <w:numPr>
          <w:ilvl w:val="0"/>
          <w:numId w:val="2"/>
        </w:numPr>
        <w:ind w:left="360"/>
        <w:jc w:val="both"/>
      </w:pPr>
      <w:r w:rsidRPr="00B10671">
        <w:t xml:space="preserve">Benebo, F. O., Schumann, B., &amp; Vaezghasemi, M. (2022). Intimate partner violence against women in Nigeria: A multilevel study investigating individual and contextual factors. BMC Women’s Health, 22(1), 1–14. </w:t>
      </w:r>
      <w:hyperlink r:id="rId10" w:history="1">
        <w:r w:rsidR="001C3A34" w:rsidRPr="00B10671">
          <w:rPr>
            <w:rStyle w:val="Hyperlink"/>
            <w:color w:val="auto"/>
            <w:u w:val="none"/>
          </w:rPr>
          <w:t>https://doi.org/10.1186/s12905-022-01601-5</w:t>
        </w:r>
      </w:hyperlink>
    </w:p>
    <w:p w14:paraId="0185B298" w14:textId="4A1572A4" w:rsidR="00D2725C" w:rsidRPr="00B10671" w:rsidRDefault="00D2725C" w:rsidP="002F4EA1">
      <w:pPr>
        <w:pStyle w:val="ListParagraph"/>
        <w:numPr>
          <w:ilvl w:val="0"/>
          <w:numId w:val="2"/>
        </w:numPr>
        <w:ind w:left="360"/>
        <w:jc w:val="both"/>
      </w:pPr>
      <w:r w:rsidRPr="00B10671">
        <w:t xml:space="preserve">Charan, J., Kaur, R., Bhardwaj, P., Singh, K., </w:t>
      </w:r>
      <w:proofErr w:type="spellStart"/>
      <w:r w:rsidRPr="00B10671">
        <w:t>Ambwani</w:t>
      </w:r>
      <w:proofErr w:type="spellEnd"/>
      <w:r w:rsidRPr="00B10671">
        <w:t>, S. R., &amp; Misra, S. (2021). Sample size calculation in medical research: a primer. Annals of the National Academy of Medical Sciences (India), 57(02), 074-080.</w:t>
      </w:r>
    </w:p>
    <w:p w14:paraId="1896FE2D" w14:textId="7CC08A47" w:rsidR="001C3A34" w:rsidRPr="00B10671" w:rsidRDefault="001C3A34" w:rsidP="002F4EA1">
      <w:pPr>
        <w:pStyle w:val="ListParagraph"/>
        <w:numPr>
          <w:ilvl w:val="0"/>
          <w:numId w:val="2"/>
        </w:numPr>
        <w:ind w:left="360"/>
        <w:jc w:val="both"/>
      </w:pPr>
      <w:r w:rsidRPr="00B10671">
        <w:lastRenderedPageBreak/>
        <w:t>City population (2025). Anambra State, Nigeria. Available at: https://www.citypopulation.de/en/nigeria/admin/NGA004__anambra/. Accessed July 20th, 2025</w:t>
      </w:r>
    </w:p>
    <w:p w14:paraId="5E217147" w14:textId="20AA76C7" w:rsidR="002D1874" w:rsidRPr="00B10671" w:rsidRDefault="002D1874" w:rsidP="002F4EA1">
      <w:pPr>
        <w:pStyle w:val="ListParagraph"/>
        <w:numPr>
          <w:ilvl w:val="0"/>
          <w:numId w:val="2"/>
        </w:numPr>
        <w:ind w:left="360"/>
        <w:jc w:val="both"/>
      </w:pPr>
      <w:r w:rsidRPr="00B10671">
        <w:t xml:space="preserve">Devries, K. M., Mak, J. Y. T., García-Moreno, C., Petzold, M., Child, J. C., Falder, G., Lim, S., Bacchus, L. J., Engell, R. E., Rosenfeld, L., Pallitto, C., Vos, T., Abrahams, N., &amp; Watts, C. H. (2021). The global prevalence of intimate partner violence against women. The Lancet, 397(10289), 1982–1999. </w:t>
      </w:r>
      <w:hyperlink r:id="rId11" w:history="1">
        <w:r w:rsidR="0061115B" w:rsidRPr="00B10671">
          <w:rPr>
            <w:rStyle w:val="Hyperlink"/>
            <w:color w:val="auto"/>
            <w:u w:val="none"/>
          </w:rPr>
          <w:t>https://doi.org/10.1016/S0140-6736(21)00364-6</w:t>
        </w:r>
      </w:hyperlink>
    </w:p>
    <w:p w14:paraId="45543546" w14:textId="3A98FFC5" w:rsidR="0061115B" w:rsidRPr="00B10671" w:rsidRDefault="0061115B" w:rsidP="002F4EA1">
      <w:pPr>
        <w:pStyle w:val="ListParagraph"/>
        <w:numPr>
          <w:ilvl w:val="0"/>
          <w:numId w:val="2"/>
        </w:numPr>
        <w:ind w:left="360"/>
        <w:jc w:val="both"/>
      </w:pPr>
      <w:r w:rsidRPr="00B10671">
        <w:t xml:space="preserve">Dickson, K. S., Ahinkorah, B. O., &amp; Seidu, A.-A. (2021). Disclosure and help-seeking behaviour of women experiencing intimate partner violence in sub-Saharan Africa. Journal of Biosocial Science, 53(4), 593–609. </w:t>
      </w:r>
      <w:hyperlink r:id="rId12" w:history="1">
        <w:r w:rsidRPr="00B10671">
          <w:rPr>
            <w:rStyle w:val="Hyperlink"/>
            <w:color w:val="auto"/>
            <w:u w:val="none"/>
          </w:rPr>
          <w:t>https://doi.org/10.1017/S002193202000050X</w:t>
        </w:r>
      </w:hyperlink>
    </w:p>
    <w:p w14:paraId="53955281" w14:textId="1880CBFF" w:rsidR="0061115B" w:rsidRPr="00B10671" w:rsidRDefault="0061115B" w:rsidP="002F4EA1">
      <w:pPr>
        <w:pStyle w:val="ListParagraph"/>
        <w:numPr>
          <w:ilvl w:val="0"/>
          <w:numId w:val="2"/>
        </w:numPr>
        <w:ind w:left="360"/>
        <w:jc w:val="both"/>
      </w:pPr>
      <w:r w:rsidRPr="00B10671">
        <w:t>García-Moreno, C., Zimmerman, C., Morris-Gehring, A., et al. (2020). Addressing violence against women: A call to action. The Lancet, 395(10234), 1153–1154. https://doi.org/10.1016/S0140-6736(20)30265-6</w:t>
      </w:r>
    </w:p>
    <w:p w14:paraId="58A7C67A" w14:textId="7D6ABAA7" w:rsidR="002D1874" w:rsidRPr="00B10671" w:rsidRDefault="002D1874" w:rsidP="002F4EA1">
      <w:pPr>
        <w:pStyle w:val="ListParagraph"/>
        <w:numPr>
          <w:ilvl w:val="0"/>
          <w:numId w:val="2"/>
        </w:numPr>
        <w:ind w:left="360"/>
        <w:jc w:val="both"/>
      </w:pPr>
      <w:r w:rsidRPr="00B10671">
        <w:t>National Population Commission (NPC) [Nigeria] &amp; ICF. (2019). Nigeria Demographic and Health Survey 2018. NPC and ICF. https://dhsprogram.com</w:t>
      </w:r>
    </w:p>
    <w:p w14:paraId="49481031" w14:textId="0287A3F7" w:rsidR="002D1874" w:rsidRPr="00B10671" w:rsidRDefault="002D1874" w:rsidP="002F4EA1">
      <w:pPr>
        <w:pStyle w:val="ListParagraph"/>
        <w:numPr>
          <w:ilvl w:val="0"/>
          <w:numId w:val="2"/>
        </w:numPr>
        <w:ind w:left="360"/>
        <w:jc w:val="both"/>
      </w:pPr>
      <w:r w:rsidRPr="00B10671">
        <w:t xml:space="preserve">Ojeahere, M. I., </w:t>
      </w:r>
      <w:proofErr w:type="spellStart"/>
      <w:r w:rsidRPr="00B10671">
        <w:t>Kumswa</w:t>
      </w:r>
      <w:proofErr w:type="spellEnd"/>
      <w:r w:rsidRPr="00B10671">
        <w:t xml:space="preserve">, S. K., </w:t>
      </w:r>
      <w:proofErr w:type="spellStart"/>
      <w:r w:rsidRPr="00B10671">
        <w:t>Adiukwu</w:t>
      </w:r>
      <w:proofErr w:type="spellEnd"/>
      <w:r w:rsidRPr="00B10671">
        <w:t xml:space="preserve">, F., </w:t>
      </w:r>
      <w:proofErr w:type="spellStart"/>
      <w:r w:rsidRPr="00B10671">
        <w:t>Plang</w:t>
      </w:r>
      <w:proofErr w:type="spellEnd"/>
      <w:r w:rsidRPr="00B10671">
        <w:t>, J. P., &amp; Taiwo, Y. F. (2022). Intimate partner violence and its mental health implications amid COVID-19 lockdown: Findings from Nigeria. Journal of Interpersonal Violence, 37(17–18), NP16599–NP16621. https://doi.org/10.1177/08862605211015213</w:t>
      </w:r>
    </w:p>
    <w:p w14:paraId="2078C77B" w14:textId="28A9E19F" w:rsidR="002D1874" w:rsidRPr="00B10671" w:rsidRDefault="002D1874" w:rsidP="002F4EA1">
      <w:pPr>
        <w:pStyle w:val="ListParagraph"/>
        <w:numPr>
          <w:ilvl w:val="0"/>
          <w:numId w:val="2"/>
        </w:numPr>
        <w:ind w:left="360"/>
        <w:jc w:val="both"/>
      </w:pPr>
      <w:proofErr w:type="spellStart"/>
      <w:r w:rsidRPr="00B10671">
        <w:t>Okemgbo</w:t>
      </w:r>
      <w:proofErr w:type="spellEnd"/>
      <w:r w:rsidRPr="00B10671">
        <w:t xml:space="preserve">, C. N., Omideyi, A. K., &amp; </w:t>
      </w:r>
      <w:proofErr w:type="spellStart"/>
      <w:r w:rsidRPr="00B10671">
        <w:t>Odimegwu</w:t>
      </w:r>
      <w:proofErr w:type="spellEnd"/>
      <w:r w:rsidRPr="00B10671">
        <w:t>, C. O. (2021). Prevalence, patterns, and correlates of domestic violence in selected Igbo communities of southeastern Nigeria. African Journal of Reproductive Health, 25(3), 69–81. https://doi.org/10.29063/ajrh2021/v25i3.6</w:t>
      </w:r>
    </w:p>
    <w:p w14:paraId="3B831DA6" w14:textId="1C734EDC" w:rsidR="002D1874" w:rsidRPr="00B10671" w:rsidRDefault="002D1874" w:rsidP="002F4EA1">
      <w:pPr>
        <w:pStyle w:val="ListParagraph"/>
        <w:numPr>
          <w:ilvl w:val="0"/>
          <w:numId w:val="2"/>
        </w:numPr>
        <w:ind w:left="360"/>
        <w:jc w:val="both"/>
      </w:pPr>
      <w:r w:rsidRPr="00B10671">
        <w:t xml:space="preserve">Onyemelukwe, C., Owoaje, E. T., &amp; </w:t>
      </w:r>
      <w:proofErr w:type="spellStart"/>
      <w:r w:rsidRPr="00B10671">
        <w:t>Ajuwon</w:t>
      </w:r>
      <w:proofErr w:type="spellEnd"/>
      <w:r w:rsidRPr="00B10671">
        <w:t xml:space="preserve">, A. J. (2023). Health-seeking </w:t>
      </w:r>
      <w:proofErr w:type="spellStart"/>
      <w:r w:rsidRPr="00B10671">
        <w:t>behavior</w:t>
      </w:r>
      <w:proofErr w:type="spellEnd"/>
      <w:r w:rsidRPr="00B10671">
        <w:t xml:space="preserve"> and barriers to care among women experiencing intimate partner violence in Nigeria. BMC Health Services Research, 23(1), 1–10. https://doi.org/10.1186/s12913-023-09145-</w:t>
      </w:r>
    </w:p>
    <w:p w14:paraId="380053AB" w14:textId="0EA520DF" w:rsidR="002D1874" w:rsidRPr="00B10671" w:rsidRDefault="002D1874" w:rsidP="002F4EA1">
      <w:pPr>
        <w:pStyle w:val="ListParagraph"/>
        <w:numPr>
          <w:ilvl w:val="0"/>
          <w:numId w:val="2"/>
        </w:numPr>
        <w:ind w:left="360"/>
        <w:jc w:val="both"/>
      </w:pPr>
      <w:r w:rsidRPr="00B10671">
        <w:t>Owoaje, E. T., Uchendu, O. C., Ajayi, T. O., &amp; Cadmus, E. O. (2021). A review of intimate partner violence in Nigeria: Implications for public health interventions. Pan African Medical Journal, 39, 1–9. https://doi.org/10.11604/pamj.2021.39.1.27333</w:t>
      </w:r>
    </w:p>
    <w:p w14:paraId="16B0936B" w14:textId="111939F6" w:rsidR="006E5907" w:rsidRPr="00B10671" w:rsidRDefault="002D1874" w:rsidP="002F4EA1">
      <w:pPr>
        <w:pStyle w:val="ListParagraph"/>
        <w:numPr>
          <w:ilvl w:val="0"/>
          <w:numId w:val="2"/>
        </w:numPr>
        <w:ind w:left="360"/>
        <w:jc w:val="both"/>
      </w:pPr>
      <w:r w:rsidRPr="00B10671">
        <w:t xml:space="preserve">Peterman, A., Potts, A., O’Donnell, M., Thompson, K., Shah, N., </w:t>
      </w:r>
      <w:proofErr w:type="spellStart"/>
      <w:r w:rsidRPr="00B10671">
        <w:t>Oertelt-Prigione</w:t>
      </w:r>
      <w:proofErr w:type="spellEnd"/>
      <w:r w:rsidRPr="00B10671">
        <w:t xml:space="preserve">, S., &amp; van Gelder, N. (2021). Pandemics and violence against women and children. </w:t>
      </w:r>
      <w:proofErr w:type="spellStart"/>
      <w:r w:rsidRPr="00B10671">
        <w:t>Center</w:t>
      </w:r>
      <w:proofErr w:type="spellEnd"/>
      <w:r w:rsidRPr="00B10671">
        <w:t xml:space="preserve"> for Global Development Working Paper, 528.</w:t>
      </w:r>
    </w:p>
    <w:p w14:paraId="05088517" w14:textId="1C0AAE0A" w:rsidR="002D1874" w:rsidRPr="00B10671" w:rsidRDefault="002D1874" w:rsidP="002F4EA1">
      <w:pPr>
        <w:pStyle w:val="ListParagraph"/>
        <w:numPr>
          <w:ilvl w:val="0"/>
          <w:numId w:val="2"/>
        </w:numPr>
        <w:ind w:left="360"/>
        <w:jc w:val="both"/>
      </w:pPr>
      <w:r w:rsidRPr="00B10671">
        <w:t>Sardinha, L., Maheu-Giroux, M., Stöckl, H., Meyer, S. R., &amp; García-Moreno, C. (2022). Global, regional, and national prevalence estimates of physical or sexual intimate partner violence against women in 2018. The Lancet, 399(10327), 803–813. https://doi.org/10.1016/S0140-6736(21)02664-1</w:t>
      </w:r>
    </w:p>
    <w:p w14:paraId="28855708" w14:textId="2118E27E" w:rsidR="00E23913" w:rsidRPr="00B10671" w:rsidRDefault="002D1874" w:rsidP="002F4EA1">
      <w:pPr>
        <w:pStyle w:val="ListParagraph"/>
        <w:numPr>
          <w:ilvl w:val="0"/>
          <w:numId w:val="2"/>
        </w:numPr>
        <w:ind w:left="360"/>
        <w:jc w:val="both"/>
      </w:pPr>
      <w:r w:rsidRPr="00B10671">
        <w:t xml:space="preserve">Sediri, S., </w:t>
      </w:r>
      <w:proofErr w:type="spellStart"/>
      <w:r w:rsidRPr="00B10671">
        <w:t>Zgueb</w:t>
      </w:r>
      <w:proofErr w:type="spellEnd"/>
      <w:r w:rsidRPr="00B10671">
        <w:t xml:space="preserve">, Y., Ouanes, S., Ouali, U., Bourgou, S., </w:t>
      </w:r>
      <w:proofErr w:type="spellStart"/>
      <w:r w:rsidRPr="00B10671">
        <w:t>Jomli</w:t>
      </w:r>
      <w:proofErr w:type="spellEnd"/>
      <w:r w:rsidRPr="00B10671">
        <w:t xml:space="preserve">, R., &amp; Nacef, F. (2020). Women’s mental health: Acute impact of COVID-19 pandemic on domestic violence. Archives of Women’s Mental Health, 23(6), 749–756. </w:t>
      </w:r>
      <w:hyperlink r:id="rId13" w:history="1">
        <w:r w:rsidR="00E23913" w:rsidRPr="00B10671">
          <w:rPr>
            <w:rStyle w:val="Hyperlink"/>
            <w:color w:val="auto"/>
            <w:u w:val="none"/>
          </w:rPr>
          <w:t>https://doi.org/10.1007/s00737-020-01082-4</w:t>
        </w:r>
      </w:hyperlink>
    </w:p>
    <w:p w14:paraId="163631BF" w14:textId="52B5D04B" w:rsidR="002D1874" w:rsidRPr="00B10671" w:rsidRDefault="002D1874" w:rsidP="002F4EA1">
      <w:pPr>
        <w:pStyle w:val="ListParagraph"/>
        <w:numPr>
          <w:ilvl w:val="0"/>
          <w:numId w:val="2"/>
        </w:numPr>
        <w:ind w:left="360"/>
        <w:jc w:val="both"/>
      </w:pPr>
      <w:r w:rsidRPr="00B10671">
        <w:t>Umeh, C. A., Adegboye, O. A., &amp; Nwosu, C. O. (2023). Socio-cultural determinants of intimate partner violence against women in Nigeria. Journal of Biosocial Science, 55(1), 109–125. https://doi.org/10.1017/S002193202200010X</w:t>
      </w:r>
    </w:p>
    <w:p w14:paraId="381F1E84" w14:textId="77777777" w:rsidR="002D1874" w:rsidRPr="00B10671" w:rsidRDefault="002D1874" w:rsidP="002F4EA1">
      <w:pPr>
        <w:pStyle w:val="ListParagraph"/>
        <w:numPr>
          <w:ilvl w:val="0"/>
          <w:numId w:val="2"/>
        </w:numPr>
        <w:ind w:left="360"/>
        <w:jc w:val="both"/>
      </w:pPr>
      <w:r w:rsidRPr="00B10671">
        <w:t xml:space="preserve">World Health Organization. (2021). Violence against women prevalence estimates, 2018: Global, regional and national prevalence estimates for intimate partner violence against </w:t>
      </w:r>
      <w:r w:rsidRPr="00B10671">
        <w:lastRenderedPageBreak/>
        <w:t>women and global and regional prevalence estimates for non-partner sexual violence against women. WHO. https://www.who.int</w:t>
      </w:r>
    </w:p>
    <w:p w14:paraId="0464BE72" w14:textId="77777777" w:rsidR="00FC5C89" w:rsidRDefault="00FC5C89" w:rsidP="00FC5C89"/>
    <w:p w14:paraId="6B80BD0D" w14:textId="3FFA31F1" w:rsidR="00362A42" w:rsidRDefault="00362A42" w:rsidP="00FC5C89"/>
    <w:sectPr w:rsidR="00362A4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6599" w14:textId="77777777" w:rsidR="005B33A2" w:rsidRDefault="005B33A2" w:rsidP="0066514A">
      <w:pPr>
        <w:spacing w:after="0" w:line="240" w:lineRule="auto"/>
      </w:pPr>
      <w:r>
        <w:separator/>
      </w:r>
    </w:p>
  </w:endnote>
  <w:endnote w:type="continuationSeparator" w:id="0">
    <w:p w14:paraId="22C7ABB3" w14:textId="77777777" w:rsidR="005B33A2" w:rsidRDefault="005B33A2" w:rsidP="0066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422338"/>
      <w:docPartObj>
        <w:docPartGallery w:val="Page Numbers (Bottom of Page)"/>
        <w:docPartUnique/>
      </w:docPartObj>
    </w:sdtPr>
    <w:sdtEndPr>
      <w:rPr>
        <w:noProof/>
      </w:rPr>
    </w:sdtEndPr>
    <w:sdtContent>
      <w:p w14:paraId="5B7729D4" w14:textId="16F10FFA" w:rsidR="0066514A" w:rsidRDefault="006651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45103" w14:textId="77777777" w:rsidR="0066514A" w:rsidRDefault="00665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3908" w14:textId="77777777" w:rsidR="005B33A2" w:rsidRDefault="005B33A2" w:rsidP="0066514A">
      <w:pPr>
        <w:spacing w:after="0" w:line="240" w:lineRule="auto"/>
      </w:pPr>
      <w:r>
        <w:separator/>
      </w:r>
    </w:p>
  </w:footnote>
  <w:footnote w:type="continuationSeparator" w:id="0">
    <w:p w14:paraId="07BA86C3" w14:textId="77777777" w:rsidR="005B33A2" w:rsidRDefault="005B33A2" w:rsidP="00665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3AB"/>
    <w:multiLevelType w:val="hybridMultilevel"/>
    <w:tmpl w:val="B450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741C6"/>
    <w:multiLevelType w:val="hybridMultilevel"/>
    <w:tmpl w:val="29A05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369178">
    <w:abstractNumId w:val="0"/>
  </w:num>
  <w:num w:numId="2" w16cid:durableId="146257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53"/>
    <w:rsid w:val="000109E9"/>
    <w:rsid w:val="00051043"/>
    <w:rsid w:val="00085CE0"/>
    <w:rsid w:val="000C01E9"/>
    <w:rsid w:val="000F3CE1"/>
    <w:rsid w:val="000F58D4"/>
    <w:rsid w:val="001044A3"/>
    <w:rsid w:val="00140FDA"/>
    <w:rsid w:val="0015572F"/>
    <w:rsid w:val="001C3A34"/>
    <w:rsid w:val="001D694C"/>
    <w:rsid w:val="002341DD"/>
    <w:rsid w:val="002563AC"/>
    <w:rsid w:val="0026545F"/>
    <w:rsid w:val="002A7BF1"/>
    <w:rsid w:val="002B6618"/>
    <w:rsid w:val="002D1874"/>
    <w:rsid w:val="002E2D4D"/>
    <w:rsid w:val="002F4EA1"/>
    <w:rsid w:val="003034D7"/>
    <w:rsid w:val="00306735"/>
    <w:rsid w:val="00362A42"/>
    <w:rsid w:val="00386C80"/>
    <w:rsid w:val="003B75ED"/>
    <w:rsid w:val="004339B7"/>
    <w:rsid w:val="00444546"/>
    <w:rsid w:val="00472090"/>
    <w:rsid w:val="00492574"/>
    <w:rsid w:val="00534314"/>
    <w:rsid w:val="00584DDE"/>
    <w:rsid w:val="00594541"/>
    <w:rsid w:val="00595D9B"/>
    <w:rsid w:val="005A6B4B"/>
    <w:rsid w:val="005B0DBF"/>
    <w:rsid w:val="005B1A1C"/>
    <w:rsid w:val="005B33A2"/>
    <w:rsid w:val="005E058B"/>
    <w:rsid w:val="0061115B"/>
    <w:rsid w:val="00611745"/>
    <w:rsid w:val="00642163"/>
    <w:rsid w:val="0066514A"/>
    <w:rsid w:val="006765A4"/>
    <w:rsid w:val="006D0DEF"/>
    <w:rsid w:val="006E5907"/>
    <w:rsid w:val="006E5DB1"/>
    <w:rsid w:val="007065E9"/>
    <w:rsid w:val="00761AEF"/>
    <w:rsid w:val="00782CD4"/>
    <w:rsid w:val="007C2B6A"/>
    <w:rsid w:val="007D06CC"/>
    <w:rsid w:val="00804B42"/>
    <w:rsid w:val="00805B2F"/>
    <w:rsid w:val="00846C52"/>
    <w:rsid w:val="00850F8E"/>
    <w:rsid w:val="00877C00"/>
    <w:rsid w:val="008B6CD5"/>
    <w:rsid w:val="008E7999"/>
    <w:rsid w:val="008F22C6"/>
    <w:rsid w:val="00937619"/>
    <w:rsid w:val="00972ECE"/>
    <w:rsid w:val="00974A0F"/>
    <w:rsid w:val="009A3074"/>
    <w:rsid w:val="009B43A0"/>
    <w:rsid w:val="009B5FAC"/>
    <w:rsid w:val="009D691F"/>
    <w:rsid w:val="009E365A"/>
    <w:rsid w:val="009F25CF"/>
    <w:rsid w:val="00A25837"/>
    <w:rsid w:val="00A368C9"/>
    <w:rsid w:val="00A425DB"/>
    <w:rsid w:val="00A66AFB"/>
    <w:rsid w:val="00A72842"/>
    <w:rsid w:val="00A73A4D"/>
    <w:rsid w:val="00A84441"/>
    <w:rsid w:val="00AA0E81"/>
    <w:rsid w:val="00AD6810"/>
    <w:rsid w:val="00AE5629"/>
    <w:rsid w:val="00B10671"/>
    <w:rsid w:val="00B12A83"/>
    <w:rsid w:val="00B27BD8"/>
    <w:rsid w:val="00B4031B"/>
    <w:rsid w:val="00BB2EFE"/>
    <w:rsid w:val="00BC3C38"/>
    <w:rsid w:val="00BC52E2"/>
    <w:rsid w:val="00BD151A"/>
    <w:rsid w:val="00C01F53"/>
    <w:rsid w:val="00C23E98"/>
    <w:rsid w:val="00CC3693"/>
    <w:rsid w:val="00D10F3B"/>
    <w:rsid w:val="00D2725C"/>
    <w:rsid w:val="00D508D5"/>
    <w:rsid w:val="00D509E3"/>
    <w:rsid w:val="00D53C52"/>
    <w:rsid w:val="00D710EC"/>
    <w:rsid w:val="00D947E8"/>
    <w:rsid w:val="00DE25D6"/>
    <w:rsid w:val="00E00867"/>
    <w:rsid w:val="00E110F2"/>
    <w:rsid w:val="00E23913"/>
    <w:rsid w:val="00E40A5C"/>
    <w:rsid w:val="00E47686"/>
    <w:rsid w:val="00E66319"/>
    <w:rsid w:val="00E81F6F"/>
    <w:rsid w:val="00ED3DFD"/>
    <w:rsid w:val="00F172E2"/>
    <w:rsid w:val="00F3779E"/>
    <w:rsid w:val="00F93C86"/>
    <w:rsid w:val="00FB2FD2"/>
    <w:rsid w:val="00FC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15BB"/>
  <w15:chartTrackingRefBased/>
  <w15:docId w15:val="{B7DF7C27-228F-4D87-B5A7-42B28C22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53"/>
    <w:rPr>
      <w:rFonts w:ascii="Times New Roman" w:hAnsi="Times New Roman"/>
      <w:sz w:val="24"/>
    </w:rPr>
  </w:style>
  <w:style w:type="paragraph" w:styleId="Heading1">
    <w:name w:val="heading 1"/>
    <w:basedOn w:val="Normal"/>
    <w:next w:val="Normal"/>
    <w:link w:val="Heading1Char"/>
    <w:qFormat/>
    <w:rsid w:val="00761AEF"/>
    <w:pPr>
      <w:keepNext/>
      <w:keepLines/>
      <w:widowControl w:val="0"/>
      <w:spacing w:before="240" w:after="0" w:line="360" w:lineRule="auto"/>
      <w:jc w:val="center"/>
      <w:outlineLvl w:val="0"/>
    </w:pPr>
    <w:rPr>
      <w:rFonts w:eastAsiaTheme="majorEastAsia" w:cstheme="majorBidi"/>
      <w:szCs w:val="3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AEF"/>
    <w:rPr>
      <w:rFonts w:ascii="Times New Roman" w:eastAsiaTheme="majorEastAsia" w:hAnsi="Times New Roman" w:cstheme="majorBidi"/>
      <w:sz w:val="24"/>
      <w:szCs w:val="32"/>
      <w:lang w:val="en-US" w:bidi="en-US"/>
    </w:rPr>
  </w:style>
  <w:style w:type="character" w:customStyle="1" w:styleId="Heading1Char1">
    <w:name w:val="Heading 1 Char1"/>
    <w:basedOn w:val="DefaultParagraphFont"/>
    <w:uiPriority w:val="9"/>
    <w:rsid w:val="00761AEF"/>
    <w:rPr>
      <w:rFonts w:eastAsiaTheme="majorEastAsia" w:cstheme="majorBidi"/>
      <w:sz w:val="24"/>
      <w:szCs w:val="32"/>
    </w:rPr>
  </w:style>
  <w:style w:type="paragraph" w:styleId="Caption">
    <w:name w:val="caption"/>
    <w:basedOn w:val="Normal"/>
    <w:next w:val="Normal"/>
    <w:autoRedefine/>
    <w:uiPriority w:val="35"/>
    <w:unhideWhenUsed/>
    <w:qFormat/>
    <w:rsid w:val="009B43A0"/>
    <w:pPr>
      <w:keepNext/>
      <w:spacing w:before="120" w:after="200" w:line="240" w:lineRule="auto"/>
    </w:pPr>
    <w:rPr>
      <w:rFonts w:eastAsia="SimSun" w:cs="Times New Roman"/>
      <w:b/>
      <w:iCs/>
      <w:szCs w:val="24"/>
      <w:lang w:eastAsia="en-GB"/>
    </w:rPr>
  </w:style>
  <w:style w:type="paragraph" w:styleId="ListParagraph">
    <w:name w:val="List Paragraph"/>
    <w:basedOn w:val="Normal"/>
    <w:uiPriority w:val="34"/>
    <w:qFormat/>
    <w:rsid w:val="00F172E2"/>
    <w:pPr>
      <w:ind w:left="720"/>
      <w:contextualSpacing/>
    </w:pPr>
  </w:style>
  <w:style w:type="table" w:customStyle="1" w:styleId="TableGrid7">
    <w:name w:val="Table Grid7"/>
    <w:basedOn w:val="TableNormal"/>
    <w:next w:val="TableGrid"/>
    <w:uiPriority w:val="39"/>
    <w:rsid w:val="001D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D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D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12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1043"/>
    <w:pPr>
      <w:spacing w:after="0" w:line="240" w:lineRule="auto"/>
    </w:pPr>
    <w:rPr>
      <w:rFonts w:eastAsia="DengXian"/>
      <w:lang w:val="en-US"/>
    </w:rPr>
  </w:style>
  <w:style w:type="character" w:styleId="Hyperlink">
    <w:name w:val="Hyperlink"/>
    <w:basedOn w:val="DefaultParagraphFont"/>
    <w:uiPriority w:val="99"/>
    <w:unhideWhenUsed/>
    <w:rsid w:val="00E23913"/>
    <w:rPr>
      <w:color w:val="0563C1" w:themeColor="hyperlink"/>
      <w:u w:val="single"/>
    </w:rPr>
  </w:style>
  <w:style w:type="character" w:styleId="UnresolvedMention">
    <w:name w:val="Unresolved Mention"/>
    <w:basedOn w:val="DefaultParagraphFont"/>
    <w:uiPriority w:val="99"/>
    <w:semiHidden/>
    <w:unhideWhenUsed/>
    <w:rsid w:val="00E23913"/>
    <w:rPr>
      <w:color w:val="605E5C"/>
      <w:shd w:val="clear" w:color="auto" w:fill="E1DFDD"/>
    </w:rPr>
  </w:style>
  <w:style w:type="paragraph" w:styleId="Header">
    <w:name w:val="header"/>
    <w:basedOn w:val="Normal"/>
    <w:link w:val="HeaderChar"/>
    <w:uiPriority w:val="99"/>
    <w:unhideWhenUsed/>
    <w:rsid w:val="00665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A"/>
    <w:rPr>
      <w:rFonts w:ascii="Times New Roman" w:hAnsi="Times New Roman"/>
      <w:sz w:val="24"/>
    </w:rPr>
  </w:style>
  <w:style w:type="paragraph" w:styleId="Footer">
    <w:name w:val="footer"/>
    <w:basedOn w:val="Normal"/>
    <w:link w:val="FooterChar"/>
    <w:uiPriority w:val="99"/>
    <w:unhideWhenUsed/>
    <w:rsid w:val="00665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86260519842850" TargetMode="External"/><Relationship Id="rId13" Type="http://schemas.openxmlformats.org/officeDocument/2006/relationships/hyperlink" Target="https://doi.org/10.1007/s00737-020-01082-4" TargetMode="External"/><Relationship Id="rId3" Type="http://schemas.openxmlformats.org/officeDocument/2006/relationships/settings" Target="settings.xml"/><Relationship Id="rId7" Type="http://schemas.openxmlformats.org/officeDocument/2006/relationships/hyperlink" Target="mailto:drgib2002@gmail.com" TargetMode="External"/><Relationship Id="rId12" Type="http://schemas.openxmlformats.org/officeDocument/2006/relationships/hyperlink" Target="https://doi.org/10.1017/S002193202000050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21)00364-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86/s12905-022-01601-5" TargetMode="External"/><Relationship Id="rId4" Type="http://schemas.openxmlformats.org/officeDocument/2006/relationships/webSettings" Target="webSettings.xml"/><Relationship Id="rId9" Type="http://schemas.openxmlformats.org/officeDocument/2006/relationships/hyperlink" Target="https://doi.org/10.1089/jwh.2023.019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24</Pages>
  <Words>7673</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Chiejine</dc:creator>
  <cp:keywords/>
  <dc:description/>
  <cp:lastModifiedBy>FiTech</cp:lastModifiedBy>
  <cp:revision>4</cp:revision>
  <dcterms:created xsi:type="dcterms:W3CDTF">2026-02-12T11:03:00Z</dcterms:created>
  <dcterms:modified xsi:type="dcterms:W3CDTF">2026-02-12T11:55:00Z</dcterms:modified>
</cp:coreProperties>
</file>