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551F" w14:textId="31B6116B" w:rsidR="006B438F" w:rsidRPr="00BD1816" w:rsidRDefault="006B438F" w:rsidP="00BD1816">
      <w:pPr>
        <w:spacing w:before="4" w:after="240" w:line="240" w:lineRule="auto"/>
        <w:ind w:left="238" w:right="238"/>
        <w:jc w:val="center"/>
        <w:rPr>
          <w:rFonts w:ascii="Times New Roman" w:hAnsi="Times New Roman" w:cs="Times New Roman"/>
          <w:b/>
          <w:bCs/>
          <w:sz w:val="24"/>
          <w:szCs w:val="24"/>
        </w:rPr>
      </w:pPr>
      <w:r w:rsidRPr="00BD1816">
        <w:rPr>
          <w:rFonts w:ascii="Times New Roman" w:hAnsi="Times New Roman" w:cs="Times New Roman"/>
          <w:b/>
          <w:bCs/>
          <w:sz w:val="24"/>
          <w:szCs w:val="24"/>
        </w:rPr>
        <w:t>HEALTHCARE OUTCOMES, INSTITUTIONAL QUALITY, POVERTY, INEQUALITY, CLIMATE CHANGE, AND THE ENVIRONMENT IN SUB-SAHARAN AFRICA: A SYSTEMATIC REVIEW AND THEORETICAL SYNTHESIS</w:t>
      </w:r>
    </w:p>
    <w:p w14:paraId="02D86B6B" w14:textId="50227921" w:rsidR="00471056" w:rsidRPr="00BD1816" w:rsidRDefault="00471056" w:rsidP="00BD1816">
      <w:pPr>
        <w:suppressAutoHyphens/>
        <w:spacing w:before="240" w:after="240" w:line="240" w:lineRule="auto"/>
        <w:ind w:right="238"/>
        <w:jc w:val="center"/>
        <w:rPr>
          <w:rFonts w:ascii="Times New Roman" w:hAnsi="Times New Roman" w:cs="Times New Roman"/>
          <w:sz w:val="24"/>
          <w:szCs w:val="24"/>
          <w:lang w:val="en-US"/>
        </w:rPr>
      </w:pPr>
      <w:r w:rsidRPr="00BD1816">
        <w:rPr>
          <w:rFonts w:ascii="Times New Roman" w:eastAsia="Calibri" w:hAnsi="Times New Roman" w:cs="Times New Roman"/>
          <w:sz w:val="24"/>
          <w:szCs w:val="24"/>
          <w:vertAlign w:val="superscript"/>
          <w:lang w:val="en-US"/>
        </w:rPr>
        <w:t/>
      </w:r>
      <w:r w:rsidRPr="00BD1816">
        <w:rPr>
          <w:rFonts w:ascii="Times New Roman" w:eastAsia="Calibri" w:hAnsi="Times New Roman" w:cs="Times New Roman"/>
          <w:sz w:val="24"/>
          <w:szCs w:val="24"/>
        </w:rPr>
        <w:t xml:space="preserve"/>
      </w:r>
      <w:r w:rsidRPr="00BD1816">
        <w:rPr>
          <w:rFonts w:ascii="Times New Roman" w:eastAsia="Calibri" w:hAnsi="Times New Roman" w:cs="Times New Roman"/>
          <w:sz w:val="24"/>
          <w:szCs w:val="24"/>
          <w:lang w:val="en-US"/>
        </w:rPr>
        <w:t xml:space="preserve"/>
      </w:r>
      <w:proofErr w:type="spellStart"/>
      <w:r w:rsidRPr="00BD1816">
        <w:rPr>
          <w:rFonts w:ascii="Times New Roman" w:eastAsia="Calibri" w:hAnsi="Times New Roman" w:cs="Times New Roman"/>
          <w:sz w:val="24"/>
          <w:szCs w:val="24"/>
        </w:rPr>
        <w:t/>
      </w:r>
      <w:proofErr w:type="spellEnd"/>
      <w:r w:rsidRPr="00BD1816">
        <w:rPr>
          <w:rFonts w:ascii="Times New Roman" w:eastAsia="Calibri" w:hAnsi="Times New Roman" w:cs="Times New Roman"/>
          <w:sz w:val="24"/>
          <w:szCs w:val="24"/>
          <w:lang w:val="en-US"/>
        </w:rPr>
        <w:t/>
      </w:r>
      <w:r w:rsidRPr="00BD1816">
        <w:rPr>
          <w:rFonts w:ascii="Times New Roman" w:eastAsia="Calibri" w:hAnsi="Times New Roman" w:cs="Times New Roman"/>
          <w:sz w:val="24"/>
          <w:szCs w:val="24"/>
          <w:vertAlign w:val="superscript"/>
          <w:lang w:val="en-US"/>
        </w:rPr>
        <w:t xml:space="preserve"/>
      </w:r>
      <w:r w:rsidRPr="00BD1816">
        <w:rPr>
          <w:rFonts w:ascii="Times New Roman" w:eastAsia="Calibri" w:hAnsi="Times New Roman" w:cs="Times New Roman"/>
          <w:sz w:val="24"/>
          <w:szCs w:val="24"/>
        </w:rPr>
        <w:t/>
      </w:r>
      <w:proofErr w:type="spellStart"/>
      <w:r w:rsidRPr="00BD1816">
        <w:rPr>
          <w:rFonts w:ascii="Times New Roman" w:eastAsia="Calibri" w:hAnsi="Times New Roman" w:cs="Times New Roman"/>
          <w:sz w:val="24"/>
          <w:szCs w:val="24"/>
        </w:rPr>
        <w:t/>
      </w:r>
      <w:proofErr w:type="spellEnd"/>
      <w:r w:rsidRPr="00BD1816">
        <w:rPr>
          <w:rFonts w:ascii="Times New Roman" w:eastAsia="Calibri" w:hAnsi="Times New Roman" w:cs="Times New Roman"/>
          <w:sz w:val="24"/>
          <w:szCs w:val="24"/>
          <w:lang w:val="en-US"/>
        </w:rPr>
        <w:t/>
      </w:r>
    </w:p>
    <w:p w14:paraId="439DAADB" w14:textId="77777777"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lang w:val="en-US"/>
        </w:rPr>
      </w:pPr>
      <w:r w:rsidRPr="00BD1816">
        <w:rPr>
          <w:rFonts w:ascii="Times New Roman" w:eastAsia="Calibri" w:hAnsi="Times New Roman" w:cs="Times New Roman"/>
          <w:sz w:val="24"/>
          <w:szCs w:val="24"/>
          <w:vertAlign w:val="superscript"/>
          <w:lang w:val="en-US"/>
        </w:rPr>
        <w:t/>
      </w:r>
      <w:r w:rsidRPr="00BD1816">
        <w:rPr>
          <w:rFonts w:ascii="Times New Roman" w:eastAsia="Calibri" w:hAnsi="Times New Roman" w:cs="Times New Roman"/>
          <w:sz w:val="24"/>
          <w:szCs w:val="24"/>
        </w:rPr>
        <w:t xml:space="preserve"/>
      </w:r>
      <w:r w:rsidRPr="00BD1816">
        <w:rPr>
          <w:rFonts w:ascii="Times New Roman" w:eastAsia="Calibri" w:hAnsi="Times New Roman" w:cs="Times New Roman"/>
          <w:sz w:val="24"/>
          <w:szCs w:val="24"/>
          <w:lang w:val="en-US"/>
        </w:rPr>
        <w:t/>
      </w:r>
    </w:p>
    <w:p w14:paraId="12B07C3D" w14:textId="77777777"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rPr>
      </w:pPr>
      <w:r w:rsidRPr="00BD1816">
        <w:rPr>
          <w:rFonts w:ascii="Times New Roman" w:eastAsia="Calibri" w:hAnsi="Times New Roman" w:cs="Times New Roman"/>
          <w:sz w:val="24"/>
          <w:szCs w:val="24"/>
          <w:vertAlign w:val="superscript"/>
          <w:lang w:val="en-US"/>
        </w:rPr>
        <w:t/>
      </w:r>
      <w:r w:rsidRPr="00BD1816">
        <w:rPr>
          <w:rFonts w:ascii="Times New Roman" w:eastAsia="Calibri" w:hAnsi="Times New Roman" w:cs="Times New Roman"/>
          <w:sz w:val="24"/>
          <w:szCs w:val="24"/>
        </w:rPr>
        <w:t xml:space="preserve"/>
      </w:r>
      <w:r w:rsidRPr="00BD1816">
        <w:rPr>
          <w:rFonts w:ascii="Times New Roman" w:eastAsia="Calibri" w:hAnsi="Times New Roman" w:cs="Times New Roman"/>
          <w:sz w:val="24"/>
          <w:szCs w:val="24"/>
          <w:lang w:val="en-US"/>
        </w:rPr>
        <w:t/>
      </w:r>
    </w:p>
    <w:p w14:paraId="3B3C2A84" w14:textId="3B3856EB"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lang w:val="en-US"/>
        </w:rPr>
      </w:pPr>
      <w:r w:rsidRPr="00BD1816">
        <w:rPr>
          <w:rFonts w:ascii="Times New Roman" w:eastAsia="Calibri" w:hAnsi="Times New Roman" w:cs="Times New Roman"/>
          <w:sz w:val="24"/>
          <w:szCs w:val="24"/>
          <w:vertAlign w:val="superscript"/>
          <w:lang w:val="en-US"/>
        </w:rPr>
        <w:t/>
      </w:r>
      <w:hyperlink r:id="rId7" w:history="1">
        <w:r w:rsidRPr="00BD1816">
          <w:rPr>
            <w:rStyle w:val="Hyperlink"/>
            <w:rFonts w:ascii="Times New Roman" w:eastAsia="Calibri" w:hAnsi="Times New Roman" w:cs="Times New Roman"/>
            <w:sz w:val="24"/>
            <w:szCs w:val="24"/>
            <w:lang w:val="en-US"/>
          </w:rPr>
          <w:t/>
        </w:r>
      </w:hyperlink>
    </w:p>
    <w:p w14:paraId="47A0132C" w14:textId="7B6B46AA"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lang w:val="en-US"/>
        </w:rPr>
      </w:pPr>
      <w:r w:rsidRPr="00BD1816">
        <w:rPr>
          <w:rFonts w:ascii="Times New Roman" w:eastAsia="Calibri" w:hAnsi="Times New Roman" w:cs="Times New Roman"/>
          <w:sz w:val="24"/>
          <w:szCs w:val="24"/>
          <w:vertAlign w:val="superscript"/>
          <w:lang w:val="en-US"/>
        </w:rPr>
        <w:t/>
      </w:r>
      <w:hyperlink r:id="rId8" w:history="1">
        <w:r w:rsidRPr="00BD1816">
          <w:rPr>
            <w:rStyle w:val="Hyperlink"/>
            <w:rFonts w:ascii="Times New Roman" w:eastAsia="Calibri" w:hAnsi="Times New Roman" w:cs="Times New Roman"/>
            <w:sz w:val="24"/>
            <w:szCs w:val="24"/>
            <w:lang w:val="en-US"/>
          </w:rPr>
          <w:t/>
        </w:r>
      </w:hyperlink>
    </w:p>
    <w:p w14:paraId="7E619A55" w14:textId="027F74BE"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lang w:val="en-US"/>
        </w:rPr>
      </w:pPr>
      <w:r w:rsidRPr="00BD1816">
        <w:rPr>
          <w:rFonts w:ascii="Times New Roman" w:eastAsia="Calibri" w:hAnsi="Times New Roman" w:cs="Times New Roman"/>
          <w:sz w:val="24"/>
          <w:szCs w:val="24"/>
          <w:lang w:val="en-US"/>
        </w:rPr>
        <w:t/>
      </w:r>
      <w:r w:rsidRPr="00BD1816">
        <w:rPr>
          <w:rFonts w:ascii="Times New Roman" w:eastAsia="Calibri" w:hAnsi="Times New Roman" w:cs="Times New Roman"/>
          <w:sz w:val="24"/>
          <w:szCs w:val="24"/>
        </w:rPr>
        <w:t xml:space="preserve"/>
      </w:r>
    </w:p>
    <w:p w14:paraId="6EAE4089" w14:textId="77777777" w:rsidR="00471056" w:rsidRPr="00BD1816" w:rsidRDefault="00471056" w:rsidP="00BD1816">
      <w:pPr>
        <w:suppressAutoHyphens/>
        <w:spacing w:before="240" w:after="240" w:line="240" w:lineRule="auto"/>
        <w:ind w:right="238"/>
        <w:jc w:val="center"/>
        <w:rPr>
          <w:rFonts w:ascii="Times New Roman" w:eastAsia="Calibri" w:hAnsi="Times New Roman" w:cs="Times New Roman"/>
          <w:sz w:val="24"/>
          <w:szCs w:val="24"/>
          <w:lang w:val="en-US"/>
        </w:rPr>
      </w:pPr>
    </w:p>
    <w:p w14:paraId="12F0917C" w14:textId="5E6907EB" w:rsidR="005F78D0" w:rsidRPr="00BD1816" w:rsidRDefault="005F78D0"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ABSTRACT</w:t>
      </w:r>
    </w:p>
    <w:p w14:paraId="7F8523A9" w14:textId="77777777" w:rsidR="001003A0" w:rsidRPr="00BD1816" w:rsidRDefault="005F78D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Sub-Saharan Africa (SSA) continues to experience a complex health crisis driven by weak institutional governance, widespread poverty, rising income inequality, climate change, and environmental degradation. While existing studies often examine these factors separately, there remains limited integrative evidence on their combined effects within the SSA context. This study conducts a systematic review and theoretical synthesis of peer-reviewed literature published between 2014 and 2024 to examine the independent and interactive effects of these determinants on health outcomes in SSA. Following the PRISMA 2020 guidelines, a systematic search of four major databases—PubMed/MEDLINE, Scopus, Web of Science, and </w:t>
      </w:r>
      <w:proofErr w:type="spellStart"/>
      <w:r w:rsidRPr="00BD1816">
        <w:rPr>
          <w:rFonts w:ascii="Times New Roman" w:hAnsi="Times New Roman" w:cs="Times New Roman"/>
          <w:sz w:val="24"/>
          <w:szCs w:val="24"/>
        </w:rPr>
        <w:t>EconLit</w:t>
      </w:r>
      <w:proofErr w:type="spellEnd"/>
      <w:r w:rsidRPr="00BD1816">
        <w:rPr>
          <w:rFonts w:ascii="Times New Roman" w:hAnsi="Times New Roman" w:cs="Times New Roman"/>
          <w:sz w:val="24"/>
          <w:szCs w:val="24"/>
        </w:rPr>
        <w:t>—identified 68 eligible studies after screening and quality appraisal.</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The review finds that institutional quality significantly shapes the effectiveness of health expenditure, with weak governance reducing the health returns of public spending. Poverty remains a major determinant of poor health through material deprivation and psychosocial stress, particularly by increasing child and maternal mortality risks. Income inequality independently worsens health outcomes beyond average income effects, supporting both psychosocial and neo-material explanations. Climate change intensifies health vulnerabilities through increased disease transmission, food insecurity, heat stress, and flooding, while environmental degradation</w:t>
      </w:r>
      <w:r w:rsidR="001003A0"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especially household and ambient air pollution</w:t>
      </w:r>
      <w:r w:rsidR="001003A0"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contributes substantially to premature mortality across the region.</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The findings suggest that these determinants operate through an interconnected Governance–Poverty–Climate Health Trap (GPCHT), reinforcing poor health outcomes in SSA. The study highlights the need for integrated policy responses focused on institutional reforms, pro-poor health financing, climate adaptation, and environmental regulation. It also identifies important research gaps, particularly in understanding governance–climate interactions and the long-term causal pathways linking inequality to health.</w:t>
      </w:r>
    </w:p>
    <w:p w14:paraId="0BC425E3" w14:textId="431108A3" w:rsidR="005F78D0" w:rsidRPr="00BD1816" w:rsidRDefault="005F78D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Keywords:</w:t>
      </w:r>
      <w:r w:rsidRPr="00BD1816">
        <w:rPr>
          <w:rFonts w:ascii="Times New Roman" w:hAnsi="Times New Roman" w:cs="Times New Roman"/>
          <w:sz w:val="24"/>
          <w:szCs w:val="24"/>
        </w:rPr>
        <w:t xml:space="preserve"> healthcare outcomes; institutional quality; poverty; income inequality; climate change</w:t>
      </w:r>
    </w:p>
    <w:p w14:paraId="6473FB62" w14:textId="286CC3CC" w:rsidR="00B2073A" w:rsidRPr="00BD1816" w:rsidRDefault="005F78D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 xml:space="preserve">JEL Classification: </w:t>
      </w:r>
      <w:r w:rsidRPr="00BD1816">
        <w:rPr>
          <w:rFonts w:ascii="Times New Roman" w:hAnsi="Times New Roman" w:cs="Times New Roman"/>
          <w:sz w:val="24"/>
          <w:szCs w:val="24"/>
        </w:rPr>
        <w:t>I10, I14, I15, O17, Q54, Q56, H51</w:t>
      </w:r>
    </w:p>
    <w:p w14:paraId="795F4A20" w14:textId="77777777" w:rsidR="00471056" w:rsidRPr="00BD1816" w:rsidRDefault="00471056" w:rsidP="00BD1816">
      <w:pPr>
        <w:spacing w:before="240" w:after="240" w:line="240" w:lineRule="auto"/>
        <w:ind w:left="238" w:right="238"/>
        <w:jc w:val="both"/>
        <w:rPr>
          <w:rFonts w:ascii="Times New Roman" w:hAnsi="Times New Roman" w:cs="Times New Roman"/>
          <w:sz w:val="24"/>
          <w:szCs w:val="24"/>
          <w:lang w:val="en-US"/>
        </w:rPr>
      </w:pPr>
    </w:p>
    <w:p w14:paraId="62B3A69A" w14:textId="6246C6D5" w:rsidR="005F56DB" w:rsidRPr="00BD1816" w:rsidRDefault="006B438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INTRODUCTION</w:t>
      </w:r>
    </w:p>
    <w:p w14:paraId="0FC20403" w14:textId="6A3AC729" w:rsidR="004B7BB4" w:rsidRPr="00BD1816" w:rsidRDefault="005F56DB" w:rsidP="00BD1816">
      <w:pPr>
        <w:spacing w:before="240" w:after="240" w:line="240" w:lineRule="auto"/>
        <w:ind w:left="238" w:right="238"/>
        <w:jc w:val="both"/>
        <w:rPr>
          <w:rFonts w:ascii="Times New Roman" w:hAnsi="Times New Roman" w:cs="Times New Roman"/>
          <w:sz w:val="24"/>
          <w:szCs w:val="24"/>
          <w:lang w:val="en-US"/>
        </w:rPr>
      </w:pPr>
      <w:r w:rsidRPr="00BD1816">
        <w:rPr>
          <w:rFonts w:ascii="Times New Roman" w:hAnsi="Times New Roman" w:cs="Times New Roman"/>
          <w:sz w:val="24"/>
          <w:szCs w:val="24"/>
        </w:rPr>
        <w:t>Sub-Saharan Africa (SSA) continues to bear a disproportionately large share of the global disease burden relative to its level of economic development and available resources. Despite accounting for only about 14% of the world's population, the region is responsible for approximately 57% of global maternal deaths, 52% of under-five deaths, and more than two-thirds of people living with HIV/AIDS worldwide (World Health Organization [WHO], 2023). Health outcomes remain significantly poorer than in many other regions. Average life expectancy in SSA is around 61 years</w:t>
      </w:r>
      <w:r w:rsidR="004B7BB4"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more than 16 years lower than the average observed in high-income countries. Moreover, progress toward achieving Sustainable Development Goal 3 (SDG 3: Good Health and Well-Being) has been slower in SSA than in any other part of the world (Sachs et al., 2024).</w:t>
      </w:r>
      <w:r w:rsidR="004B7BB4" w:rsidRPr="00BD1816">
        <w:rPr>
          <w:rFonts w:ascii="Times New Roman" w:hAnsi="Times New Roman" w:cs="Times New Roman"/>
          <w:sz w:val="24"/>
          <w:szCs w:val="24"/>
          <w:lang w:val="en-US"/>
        </w:rPr>
        <w:t xml:space="preserve"> </w:t>
      </w:r>
    </w:p>
    <w:p w14:paraId="7A929E5B" w14:textId="6BF754AC" w:rsidR="005F56DB" w:rsidRPr="00BD1816" w:rsidRDefault="005F56D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These persistent health challenges raise important questions. Why do poor health outcomes remain widespread despite decades of development assistance and increasing health expenditures? Why have investments in healthcare not translated into proportional improvements in population health? Answering these questions requires looking </w:t>
      </w:r>
      <w:r w:rsidRPr="00BD1816">
        <w:rPr>
          <w:rFonts w:ascii="Times New Roman" w:hAnsi="Times New Roman" w:cs="Times New Roman"/>
          <w:sz w:val="24"/>
          <w:szCs w:val="24"/>
        </w:rPr>
        <w:lastRenderedPageBreak/>
        <w:t>beyond traditional measures of health system performance and recognising the broader social, economic, institutional, and environmental factors that shape health outcomes.</w:t>
      </w:r>
    </w:p>
    <w:p w14:paraId="256C28D3" w14:textId="1306AA02" w:rsidR="005F56DB" w:rsidRPr="00BD1816" w:rsidRDefault="005F56D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The literature consistently identifies five key structural determinants that play a central role in influencing health outcomes across SSA. </w:t>
      </w:r>
      <w:r w:rsidR="001C0F8B" w:rsidRPr="00BD1816">
        <w:rPr>
          <w:rFonts w:ascii="Times New Roman" w:hAnsi="Times New Roman" w:cs="Times New Roman"/>
          <w:sz w:val="24"/>
          <w:szCs w:val="24"/>
          <w:lang w:val="en-US"/>
        </w:rPr>
        <w:t>Beginning with</w:t>
      </w:r>
      <w:r w:rsidRPr="00BD1816">
        <w:rPr>
          <w:rFonts w:ascii="Times New Roman" w:hAnsi="Times New Roman" w:cs="Times New Roman"/>
          <w:sz w:val="24"/>
          <w:szCs w:val="24"/>
        </w:rPr>
        <w:t xml:space="preserve"> institutional quality</w:t>
      </w:r>
      <w:r w:rsidR="001C0F8B" w:rsidRPr="00BD1816">
        <w:rPr>
          <w:rFonts w:ascii="Times New Roman" w:hAnsi="Times New Roman" w:cs="Times New Roman"/>
          <w:sz w:val="24"/>
          <w:szCs w:val="24"/>
          <w:lang w:val="en-US"/>
        </w:rPr>
        <w:t xml:space="preserve"> which is </w:t>
      </w:r>
      <w:r w:rsidRPr="00BD1816">
        <w:rPr>
          <w:rFonts w:ascii="Times New Roman" w:hAnsi="Times New Roman" w:cs="Times New Roman"/>
          <w:sz w:val="24"/>
          <w:szCs w:val="24"/>
        </w:rPr>
        <w:t>reflected in the effectiveness, transparency, and accountability of governance systems</w:t>
      </w:r>
      <w:r w:rsidR="001C0F8B" w:rsidRPr="00BD1816">
        <w:rPr>
          <w:rFonts w:ascii="Times New Roman" w:hAnsi="Times New Roman" w:cs="Times New Roman"/>
          <w:sz w:val="24"/>
          <w:szCs w:val="24"/>
          <w:lang w:val="en-US"/>
        </w:rPr>
        <w:t xml:space="preserve"> and is capable of </w:t>
      </w:r>
      <w:proofErr w:type="spellStart"/>
      <w:r w:rsidRPr="00BD1816">
        <w:rPr>
          <w:rFonts w:ascii="Times New Roman" w:hAnsi="Times New Roman" w:cs="Times New Roman"/>
          <w:sz w:val="24"/>
          <w:szCs w:val="24"/>
        </w:rPr>
        <w:t>shap</w:t>
      </w:r>
      <w:r w:rsidR="001C0F8B" w:rsidRPr="00BD1816">
        <w:rPr>
          <w:rFonts w:ascii="Times New Roman" w:hAnsi="Times New Roman" w:cs="Times New Roman"/>
          <w:sz w:val="24"/>
          <w:szCs w:val="24"/>
          <w:lang w:val="en-US"/>
        </w:rPr>
        <w:t>ing</w:t>
      </w:r>
      <w:proofErr w:type="spellEnd"/>
      <w:r w:rsidRPr="00BD1816">
        <w:rPr>
          <w:rFonts w:ascii="Times New Roman" w:hAnsi="Times New Roman" w:cs="Times New Roman"/>
          <w:sz w:val="24"/>
          <w:szCs w:val="24"/>
        </w:rPr>
        <w:t xml:space="preserve"> how efficiently health resources are allocated and utilised. Strong institutions help ensure that public spending reaches intended beneficiaries, public services are effectively delivered, and regulatory systems protect populations from health risks (Hadipour et al., 2023; </w:t>
      </w: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&amp;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2024).</w:t>
      </w:r>
      <w:r w:rsidR="001C0F8B" w:rsidRPr="00BD1816">
        <w:rPr>
          <w:rFonts w:ascii="Times New Roman" w:hAnsi="Times New Roman" w:cs="Times New Roman"/>
          <w:sz w:val="24"/>
          <w:szCs w:val="24"/>
          <w:lang w:val="en-US"/>
        </w:rPr>
        <w:t xml:space="preserve"> Another important structural determinant is </w:t>
      </w:r>
      <w:r w:rsidRPr="00BD1816">
        <w:rPr>
          <w:rFonts w:ascii="Times New Roman" w:hAnsi="Times New Roman" w:cs="Times New Roman"/>
          <w:sz w:val="24"/>
          <w:szCs w:val="24"/>
        </w:rPr>
        <w:t>poverty</w:t>
      </w:r>
      <w:r w:rsidR="001C0F8B" w:rsidRPr="00BD1816">
        <w:rPr>
          <w:rFonts w:ascii="Times New Roman" w:hAnsi="Times New Roman" w:cs="Times New Roman"/>
          <w:sz w:val="24"/>
          <w:szCs w:val="24"/>
          <w:lang w:val="en-US"/>
        </w:rPr>
        <w:t xml:space="preserve"> which</w:t>
      </w:r>
      <w:r w:rsidRPr="00BD1816">
        <w:rPr>
          <w:rFonts w:ascii="Times New Roman" w:hAnsi="Times New Roman" w:cs="Times New Roman"/>
          <w:sz w:val="24"/>
          <w:szCs w:val="24"/>
        </w:rPr>
        <w:t xml:space="preserve"> remains a fundamental driver of poor health outcomes. Both income poverty and multidimensional deprivation limit access to adequate nutrition, clean water, sanitation, preventive healthcare, and formal medical services. As a result, millions of people remain vulnerable to preventable diseases and premature mortality (</w:t>
      </w:r>
      <w:proofErr w:type="spellStart"/>
      <w:r w:rsidRPr="00BD1816">
        <w:rPr>
          <w:rFonts w:ascii="Times New Roman" w:hAnsi="Times New Roman" w:cs="Times New Roman"/>
          <w:sz w:val="24"/>
          <w:szCs w:val="24"/>
        </w:rPr>
        <w:t>Oke</w:t>
      </w:r>
      <w:proofErr w:type="spellEnd"/>
      <w:r w:rsidRPr="00BD1816">
        <w:rPr>
          <w:rFonts w:ascii="Times New Roman" w:hAnsi="Times New Roman" w:cs="Times New Roman"/>
          <w:sz w:val="24"/>
          <w:szCs w:val="24"/>
        </w:rPr>
        <w:t xml:space="preserve"> &amp; Sibomana, 2025; WHO, 2024).</w:t>
      </w:r>
    </w:p>
    <w:p w14:paraId="3252E41D" w14:textId="6FEEA8A9" w:rsidR="005F56DB" w:rsidRPr="00BD1816" w:rsidRDefault="001C0F8B" w:rsidP="00BD1816">
      <w:pPr>
        <w:spacing w:before="240" w:after="240" w:line="240" w:lineRule="auto"/>
        <w:ind w:left="238" w:right="238"/>
        <w:jc w:val="both"/>
        <w:rPr>
          <w:rFonts w:ascii="Times New Roman" w:hAnsi="Times New Roman" w:cs="Times New Roman"/>
          <w:sz w:val="24"/>
          <w:szCs w:val="24"/>
          <w:lang w:val="en-US"/>
        </w:rPr>
      </w:pPr>
      <w:r w:rsidRPr="00BD1816">
        <w:rPr>
          <w:rFonts w:ascii="Times New Roman" w:hAnsi="Times New Roman" w:cs="Times New Roman"/>
          <w:sz w:val="24"/>
          <w:szCs w:val="24"/>
          <w:lang w:val="en-US"/>
        </w:rPr>
        <w:t>Income</w:t>
      </w:r>
      <w:r w:rsidR="005F56DB" w:rsidRPr="00BD1816">
        <w:rPr>
          <w:rFonts w:ascii="Times New Roman" w:hAnsi="Times New Roman" w:cs="Times New Roman"/>
          <w:sz w:val="24"/>
          <w:szCs w:val="24"/>
        </w:rPr>
        <w:t xml:space="preserve"> inequality </w:t>
      </w:r>
      <w:r w:rsidRPr="00BD1816">
        <w:rPr>
          <w:rFonts w:ascii="Times New Roman" w:hAnsi="Times New Roman" w:cs="Times New Roman"/>
          <w:sz w:val="24"/>
          <w:szCs w:val="24"/>
          <w:lang w:val="en-US"/>
        </w:rPr>
        <w:t xml:space="preserve">also </w:t>
      </w:r>
      <w:r w:rsidR="005F56DB" w:rsidRPr="00BD1816">
        <w:rPr>
          <w:rFonts w:ascii="Times New Roman" w:hAnsi="Times New Roman" w:cs="Times New Roman"/>
          <w:sz w:val="24"/>
          <w:szCs w:val="24"/>
        </w:rPr>
        <w:t>affects health outcomes independent of overall income levels. Beyond material deprivation, unequal societies often experience higher levels of psychosocial stress, unequal access to resources and opportunities, and political systems that underinvest in public health and social protection. These mechanisms contribute to poorer health outcomes even in contexts where average income is rising (Bala et al., 2025; Pickett &amp; Wilkinson, 2015).</w:t>
      </w:r>
      <w:r w:rsidRPr="00BD1816">
        <w:rPr>
          <w:rFonts w:ascii="Times New Roman" w:hAnsi="Times New Roman" w:cs="Times New Roman"/>
          <w:sz w:val="24"/>
          <w:szCs w:val="24"/>
          <w:lang w:val="en-US"/>
        </w:rPr>
        <w:t xml:space="preserve"> Beyond deprivation is the issue of</w:t>
      </w:r>
      <w:r w:rsidR="005F56DB" w:rsidRPr="00BD1816">
        <w:rPr>
          <w:rFonts w:ascii="Times New Roman" w:hAnsi="Times New Roman" w:cs="Times New Roman"/>
          <w:sz w:val="24"/>
          <w:szCs w:val="24"/>
        </w:rPr>
        <w:t xml:space="preserve"> climate change </w:t>
      </w:r>
      <w:r w:rsidRPr="00BD1816">
        <w:rPr>
          <w:rFonts w:ascii="Times New Roman" w:hAnsi="Times New Roman" w:cs="Times New Roman"/>
          <w:sz w:val="24"/>
          <w:szCs w:val="24"/>
          <w:lang w:val="en-US"/>
        </w:rPr>
        <w:t xml:space="preserve">which has become </w:t>
      </w:r>
      <w:r w:rsidR="00654FF5" w:rsidRPr="00BD1816">
        <w:rPr>
          <w:rFonts w:ascii="Times New Roman" w:hAnsi="Times New Roman" w:cs="Times New Roman"/>
          <w:sz w:val="24"/>
          <w:szCs w:val="24"/>
          <w:lang w:val="en-US"/>
        </w:rPr>
        <w:t>an</w:t>
      </w:r>
      <w:r w:rsidR="005F56DB" w:rsidRPr="00BD1816">
        <w:rPr>
          <w:rFonts w:ascii="Times New Roman" w:hAnsi="Times New Roman" w:cs="Times New Roman"/>
          <w:sz w:val="24"/>
          <w:szCs w:val="24"/>
        </w:rPr>
        <w:t xml:space="preserve"> increasingly emerging </w:t>
      </w:r>
      <w:r w:rsidR="00654FF5" w:rsidRPr="00BD1816">
        <w:rPr>
          <w:rFonts w:ascii="Times New Roman" w:hAnsi="Times New Roman" w:cs="Times New Roman"/>
          <w:sz w:val="24"/>
          <w:szCs w:val="24"/>
          <w:lang w:val="en-US"/>
        </w:rPr>
        <w:t>and</w:t>
      </w:r>
      <w:r w:rsidR="005F56DB" w:rsidRPr="00BD1816">
        <w:rPr>
          <w:rFonts w:ascii="Times New Roman" w:hAnsi="Times New Roman" w:cs="Times New Roman"/>
          <w:sz w:val="24"/>
          <w:szCs w:val="24"/>
        </w:rPr>
        <w:t xml:space="preserve"> major public health threat across SSA. Rising temperatures, changing rainfall patterns, recurrent droughts and floods, worsening food insecurity, and the expansion of vector-borne diseases are intensifying existing health vulnerabilities. Although SSA contributes only a small fraction of global greenhouse gas emissions, it bears a disproportionate share of the resulting health consequences (Romanello et al., 2023; </w:t>
      </w:r>
      <w:proofErr w:type="spellStart"/>
      <w:r w:rsidR="005F56DB" w:rsidRPr="00BD1816">
        <w:rPr>
          <w:rFonts w:ascii="Times New Roman" w:hAnsi="Times New Roman" w:cs="Times New Roman"/>
          <w:sz w:val="24"/>
          <w:szCs w:val="24"/>
        </w:rPr>
        <w:t>Kilungo</w:t>
      </w:r>
      <w:proofErr w:type="spellEnd"/>
      <w:r w:rsidR="005F56DB" w:rsidRPr="00BD1816">
        <w:rPr>
          <w:rFonts w:ascii="Times New Roman" w:hAnsi="Times New Roman" w:cs="Times New Roman"/>
          <w:sz w:val="24"/>
          <w:szCs w:val="24"/>
        </w:rPr>
        <w:t xml:space="preserve"> et al., 2025).</w:t>
      </w:r>
      <w:r w:rsidR="00192566" w:rsidRPr="00BD1816">
        <w:rPr>
          <w:rFonts w:ascii="Times New Roman" w:hAnsi="Times New Roman" w:cs="Times New Roman"/>
          <w:sz w:val="24"/>
          <w:szCs w:val="24"/>
          <w:lang w:val="en-US"/>
        </w:rPr>
        <w:t xml:space="preserve"> </w:t>
      </w:r>
      <w:r w:rsidR="005F56DB" w:rsidRPr="00BD1816">
        <w:rPr>
          <w:rFonts w:ascii="Times New Roman" w:hAnsi="Times New Roman" w:cs="Times New Roman"/>
          <w:sz w:val="24"/>
          <w:szCs w:val="24"/>
        </w:rPr>
        <w:t>Finally, environmental degradation represents another critical but often overlooked determinant of health. Household and ambient air pollution, largely driven by biomass fuel use and increasing levels of particulate matter, are estimated to cause more than 1.1 million deaths annually across Africa. These environmental risks continue to undermine public health and contribute substantially to premature mortality across the continent (Fisher et al., 2021; Annals of Global Health, 2024).</w:t>
      </w:r>
    </w:p>
    <w:p w14:paraId="4D5517E3" w14:textId="612A6EB8" w:rsidR="005F56DB" w:rsidRPr="00BD1816" w:rsidRDefault="005F56D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Although extensive research exists on each of these determinants individually, they are rarely examined together within a single analytical framework. Most existing reviews focus on specific pathways, such as governance and child mortality (Sibanda et al., 2024), climate change and infectious diseases (</w:t>
      </w:r>
      <w:proofErr w:type="spellStart"/>
      <w:r w:rsidRPr="00BD1816">
        <w:rPr>
          <w:rFonts w:ascii="Times New Roman" w:hAnsi="Times New Roman" w:cs="Times New Roman"/>
          <w:sz w:val="24"/>
          <w:szCs w:val="24"/>
        </w:rPr>
        <w:t>Kilungo</w:t>
      </w:r>
      <w:proofErr w:type="spellEnd"/>
      <w:r w:rsidRPr="00BD1816">
        <w:rPr>
          <w:rFonts w:ascii="Times New Roman" w:hAnsi="Times New Roman" w:cs="Times New Roman"/>
          <w:sz w:val="24"/>
          <w:szCs w:val="24"/>
        </w:rPr>
        <w:t xml:space="preserve"> et al., 2025), or health system efficiency (</w:t>
      </w:r>
      <w:proofErr w:type="spellStart"/>
      <w:r w:rsidRPr="00BD1816">
        <w:rPr>
          <w:rFonts w:ascii="Times New Roman" w:hAnsi="Times New Roman" w:cs="Times New Roman"/>
          <w:sz w:val="24"/>
          <w:szCs w:val="24"/>
        </w:rPr>
        <w:t>Christmals</w:t>
      </w:r>
      <w:proofErr w:type="spellEnd"/>
      <w:r w:rsidRPr="00BD1816">
        <w:rPr>
          <w:rFonts w:ascii="Times New Roman" w:hAnsi="Times New Roman" w:cs="Times New Roman"/>
          <w:sz w:val="24"/>
          <w:szCs w:val="24"/>
        </w:rPr>
        <w:t xml:space="preserve"> &amp; </w:t>
      </w:r>
      <w:proofErr w:type="spellStart"/>
      <w:r w:rsidRPr="00BD1816">
        <w:rPr>
          <w:rFonts w:ascii="Times New Roman" w:hAnsi="Times New Roman" w:cs="Times New Roman"/>
          <w:sz w:val="24"/>
          <w:szCs w:val="24"/>
        </w:rPr>
        <w:t>Aidam</w:t>
      </w:r>
      <w:proofErr w:type="spellEnd"/>
      <w:r w:rsidRPr="00BD1816">
        <w:rPr>
          <w:rFonts w:ascii="Times New Roman" w:hAnsi="Times New Roman" w:cs="Times New Roman"/>
          <w:sz w:val="24"/>
          <w:szCs w:val="24"/>
        </w:rPr>
        <w:t>, 2023). Consequently, limited attention has been paid to how these factors interact, reinforce one another, and collectively shape health outcomes. This fragmented approach has constrained both theoretical understanding and the development of comprehensive policy responses capable of addressing the complex nature of health challenges in SSA.</w:t>
      </w:r>
    </w:p>
    <w:p w14:paraId="6AE562F6" w14:textId="146A286A" w:rsidR="006B438F" w:rsidRPr="00BD1816" w:rsidRDefault="005F56D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This systematic review seeks to address this gap through three primary objectives. First, it synthesises the empirical evidence on the independent effects of the five structural determinants on health outcomes in SSA. Second, it develops a theoretical explanation of the mechanisms through which these determinants interact and reinforce one another. Third, it identifies key research and policy gaps that emerge from adopting a more integrated perspective on health determinants in the region.</w:t>
      </w:r>
    </w:p>
    <w:p w14:paraId="7D1254B9" w14:textId="068AC311" w:rsidR="006B438F" w:rsidRPr="00BD1816" w:rsidRDefault="006B438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THEORETICAL FRAMEWORK</w:t>
      </w:r>
    </w:p>
    <w:p w14:paraId="434949FF" w14:textId="77777777"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review draws on four complementary theoretical traditions that, taken together, provide a multidimensional lens through which the intersection of institutional quality, poverty, inequality, climate, and health can be analysed in SSA contexts.</w:t>
      </w:r>
    </w:p>
    <w:p w14:paraId="1F4B8EB3" w14:textId="04B2E65E" w:rsidR="006924EB" w:rsidRPr="00BD1816" w:rsidRDefault="006924E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SOCIAL DETERMINANTS OF HEALTH FRAMEWORK</w:t>
      </w:r>
    </w:p>
    <w:p w14:paraId="22AAD0FC" w14:textId="57ABA390" w:rsidR="006924EB" w:rsidRPr="00BD1816" w:rsidRDefault="006924E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World Health Organization Commission on Social Determinants of Health (CSDH) framework (CSDH, 2008; Marmot, 2005) argues that health outcomes are largely shaped by the social conditions in which individuals are born, grow, live, work, and age. Within this framework, structural factors such as income, education, employment, and governance influence health inequalities by shaping access to key intermediary conditions, including material living standards, psychosocial experiences, and health-related behaviours.</w:t>
      </w:r>
    </w:p>
    <w:p w14:paraId="180BB77B" w14:textId="0E2021DA" w:rsidR="00BF0337" w:rsidRPr="00BD1816" w:rsidRDefault="006924EB" w:rsidP="00BD1816">
      <w:pPr>
        <w:spacing w:before="240" w:after="240" w:line="240" w:lineRule="auto"/>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 xml:space="preserve">This framework provides an important foundation for understanding poverty and inequality as central determinants of health, as both define individuals’ socioeconomic positions and their exposure to health risks. Marmot’s (2005) concept of the social gradient in health shows that health outcomes decline progressively across the socioeconomic </w:t>
      </w:r>
      <w:r w:rsidRPr="00BD1816">
        <w:rPr>
          <w:rFonts w:ascii="Times New Roman" w:hAnsi="Times New Roman" w:cs="Times New Roman"/>
          <w:sz w:val="24"/>
          <w:szCs w:val="24"/>
        </w:rPr>
        <w:lastRenderedPageBreak/>
        <w:t>spectrum, rather than only among those in extreme poverty. This perspective has been widely supported in sub-Saharan African contexts (</w:t>
      </w:r>
      <w:proofErr w:type="spellStart"/>
      <w:r w:rsidRPr="00BD1816">
        <w:rPr>
          <w:rFonts w:ascii="Times New Roman" w:hAnsi="Times New Roman" w:cs="Times New Roman"/>
          <w:sz w:val="24"/>
          <w:szCs w:val="24"/>
        </w:rPr>
        <w:t>Oke</w:t>
      </w:r>
      <w:proofErr w:type="spellEnd"/>
      <w:r w:rsidRPr="00BD1816">
        <w:rPr>
          <w:rFonts w:ascii="Times New Roman" w:hAnsi="Times New Roman" w:cs="Times New Roman"/>
          <w:sz w:val="24"/>
          <w:szCs w:val="24"/>
        </w:rPr>
        <w:t xml:space="preserve"> &amp; Sibomana, 2025) and offers a useful basis for examining the pathways through which inequality influences health outcomes in the reviewed literature.</w:t>
      </w:r>
    </w:p>
    <w:p w14:paraId="007B82C3" w14:textId="241B9372" w:rsidR="006B438F" w:rsidRPr="00BD1816" w:rsidRDefault="006924EB" w:rsidP="00BD1816">
      <w:pPr>
        <w:spacing w:before="240" w:after="240" w:line="240" w:lineRule="auto"/>
        <w:ind w:left="238" w:right="238"/>
        <w:jc w:val="both"/>
        <w:rPr>
          <w:rFonts w:ascii="Times New Roman" w:hAnsi="Times New Roman" w:cs="Times New Roman"/>
          <w:color w:val="FF0000"/>
          <w:sz w:val="24"/>
          <w:szCs w:val="24"/>
        </w:rPr>
      </w:pPr>
      <w:r w:rsidRPr="00BD1816">
        <w:rPr>
          <w:rFonts w:ascii="Times New Roman" w:hAnsi="Times New Roman" w:cs="Times New Roman"/>
          <w:b/>
          <w:bCs/>
          <w:sz w:val="24"/>
          <w:szCs w:val="24"/>
        </w:rPr>
        <w:t>INSTITUTIONAL ECONOMICS AND THE GOVERNANCE-HEALTH NEXUS</w:t>
      </w:r>
    </w:p>
    <w:p w14:paraId="1D54166F" w14:textId="0E865DEA"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North's (1990) institutional economics framework, as extended to health systems by Besley and Persson (2011) and operationalised in the African health context by Fosu and </w:t>
      </w:r>
      <w:proofErr w:type="spellStart"/>
      <w:r w:rsidRPr="00BD1816">
        <w:rPr>
          <w:rFonts w:ascii="Times New Roman" w:hAnsi="Times New Roman" w:cs="Times New Roman"/>
          <w:sz w:val="24"/>
          <w:szCs w:val="24"/>
        </w:rPr>
        <w:t>Gafa</w:t>
      </w:r>
      <w:proofErr w:type="spellEnd"/>
      <w:r w:rsidRPr="00BD1816">
        <w:rPr>
          <w:rFonts w:ascii="Times New Roman" w:hAnsi="Times New Roman" w:cs="Times New Roman"/>
          <w:sz w:val="24"/>
          <w:szCs w:val="24"/>
        </w:rPr>
        <w:t xml:space="preserve"> (2020), posits that governance institutions determine the efficiency with which economic and social resources translate into welfare outcomes. In health, this implies that public health expenditure's effectiveness in reducing mortality is mediated by the quality of the institutional environment through which resources are allocated, contracted, and delivered (Sibanda et al., 2024). Weak institutions generate misallocation, corruption, and service delivery failures that </w:t>
      </w:r>
      <w:r w:rsidR="00197E80" w:rsidRPr="00BD1816">
        <w:rPr>
          <w:rFonts w:ascii="Times New Roman" w:hAnsi="Times New Roman" w:cs="Times New Roman"/>
          <w:sz w:val="24"/>
          <w:szCs w:val="24"/>
          <w:lang w:val="en-US"/>
        </w:rPr>
        <w:t>constrains</w:t>
      </w:r>
      <w:r w:rsidRPr="00BD1816">
        <w:rPr>
          <w:rFonts w:ascii="Times New Roman" w:hAnsi="Times New Roman" w:cs="Times New Roman"/>
          <w:sz w:val="24"/>
          <w:szCs w:val="24"/>
        </w:rPr>
        <w:t xml:space="preserve"> the health dividends of fiscal investment (Kabongo &amp; </w:t>
      </w:r>
      <w:proofErr w:type="spellStart"/>
      <w:r w:rsidRPr="00BD1816">
        <w:rPr>
          <w:rFonts w:ascii="Times New Roman" w:hAnsi="Times New Roman" w:cs="Times New Roman"/>
          <w:sz w:val="24"/>
          <w:szCs w:val="24"/>
        </w:rPr>
        <w:t>Mbonigaba</w:t>
      </w:r>
      <w:proofErr w:type="spellEnd"/>
      <w:r w:rsidRPr="00BD1816">
        <w:rPr>
          <w:rFonts w:ascii="Times New Roman" w:hAnsi="Times New Roman" w:cs="Times New Roman"/>
          <w:sz w:val="24"/>
          <w:szCs w:val="24"/>
        </w:rPr>
        <w:t>, 2024). The governance-health nexus thus represents a conditional relationship in which health expenditure's marginal productivity is an increasing function of institutional quality</w:t>
      </w:r>
      <w:r w:rsidR="00197E80"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a prediction extensively tested in SSA panel data studies included this review </w:t>
      </w:r>
      <w:r w:rsidR="00197E80" w:rsidRPr="00BD1816">
        <w:rPr>
          <w:rFonts w:ascii="Times New Roman" w:hAnsi="Times New Roman" w:cs="Times New Roman"/>
          <w:sz w:val="24"/>
          <w:szCs w:val="24"/>
          <w:lang w:val="en-US"/>
        </w:rPr>
        <w:t xml:space="preserve">by </w:t>
      </w:r>
      <w:r w:rsidRPr="00BD1816">
        <w:rPr>
          <w:rFonts w:ascii="Times New Roman" w:hAnsi="Times New Roman" w:cs="Times New Roman"/>
          <w:sz w:val="24"/>
          <w:szCs w:val="24"/>
        </w:rPr>
        <w:t xml:space="preserve">(Kouadio, 2025; </w:t>
      </w: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&amp;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2024).</w:t>
      </w:r>
    </w:p>
    <w:p w14:paraId="3DED5E84" w14:textId="62843F07" w:rsidR="006B438F" w:rsidRPr="00BD1816" w:rsidRDefault="00197E80"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THE PSYCHOSOCIAL AND NEO-MATERIAL HYPOTHESES OF INEQUALITY</w:t>
      </w:r>
    </w:p>
    <w:p w14:paraId="253217D2" w14:textId="6EAEA18D" w:rsidR="00CB6DEB"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Two competing but empirically complementary mechanisms link income inequality to health. The psychosocial hypothesis (Wilkinson &amp; Marmot, 2003; Pickett &amp; Wilkinson, 2015) holds that inequality generates chronic stress through social comparison, status anxiety, and erosion of social cohesion, and that this stress translates into physiological dysregulation, immune suppression, and cardiovascular disease through neuro-endocrine pathways. </w:t>
      </w:r>
      <w:r w:rsidR="00CB6DEB" w:rsidRPr="00BD1816">
        <w:rPr>
          <w:rFonts w:ascii="Times New Roman" w:hAnsi="Times New Roman" w:cs="Times New Roman"/>
          <w:sz w:val="24"/>
          <w:szCs w:val="24"/>
        </w:rPr>
        <w:t>The neo-material hypothesis (Lynch et al., 2000) suggests that income inequality adversely affects health by creating disparities in access to fundamental material resources, including nutrition, housing, clean water, healthcare, and environmental quality. Additionally, it highlights the role of political economy mechanisms through which inequality shapes public investment decisions, often resulting in inadequate provision of health-enhancing infrastructure and social services.</w:t>
      </w:r>
      <w:r w:rsidRPr="00BD1816">
        <w:rPr>
          <w:rFonts w:ascii="Times New Roman" w:hAnsi="Times New Roman" w:cs="Times New Roman"/>
          <w:sz w:val="24"/>
          <w:szCs w:val="24"/>
        </w:rPr>
        <w:t xml:space="preserve"> In SSA, where both material deprivation and social stratification are extreme, both mechanisms are likely operative, and their relative contributions have important implications for whether redistribution or public investment is the higher-priority policy response.</w:t>
      </w:r>
    </w:p>
    <w:p w14:paraId="4E0B1462" w14:textId="620C11AF" w:rsidR="006B438F" w:rsidRPr="00BD1816" w:rsidRDefault="00CB6DE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THE PLANETARY HEALTH AND CLIMATE VULNERABILITY FRAMEWORK</w:t>
      </w:r>
    </w:p>
    <w:p w14:paraId="692ACDE5" w14:textId="6BBB7F9C" w:rsidR="006B438F" w:rsidRPr="00BD1816" w:rsidRDefault="00EF2FF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primary framework for understanding climate–health interactions is provided by the Lancet Countdown on Health and Climate Change (Romanello et al., 2023, 2024), which assesses 56 indicators across five interconnected domains</w:t>
      </w:r>
      <w:r w:rsidRPr="00BD1816">
        <w:rPr>
          <w:rFonts w:ascii="Times New Roman" w:hAnsi="Times New Roman" w:cs="Times New Roman"/>
          <w:sz w:val="24"/>
          <w:szCs w:val="24"/>
          <w:lang w:val="en-US"/>
        </w:rPr>
        <w:t>. These domains include</w:t>
      </w:r>
      <w:r w:rsidRPr="00BD1816">
        <w:rPr>
          <w:rFonts w:ascii="Times New Roman" w:hAnsi="Times New Roman" w:cs="Times New Roman"/>
          <w:sz w:val="24"/>
          <w:szCs w:val="24"/>
        </w:rPr>
        <w:t xml:space="preserve"> climate change impacts and vulnerabilities, adaptation and resilience, mitigation and health co-benefits, economics and finance, and political and societal engagement. In the context of Sub-Saharan Africa (SSA), this framework is complemented by the climate vulnerability framework developed by </w:t>
      </w:r>
      <w:proofErr w:type="spellStart"/>
      <w:r w:rsidRPr="00BD1816">
        <w:rPr>
          <w:rFonts w:ascii="Times New Roman" w:hAnsi="Times New Roman" w:cs="Times New Roman"/>
          <w:sz w:val="24"/>
          <w:szCs w:val="24"/>
        </w:rPr>
        <w:t>Trisos</w:t>
      </w:r>
      <w:proofErr w:type="spellEnd"/>
      <w:r w:rsidRPr="00BD1816">
        <w:rPr>
          <w:rFonts w:ascii="Times New Roman" w:hAnsi="Times New Roman" w:cs="Times New Roman"/>
          <w:sz w:val="24"/>
          <w:szCs w:val="24"/>
        </w:rPr>
        <w:t xml:space="preserve"> et al. (2022) in the IPCC Sixth Assessment Report. The report identifies SSA as both the region most vulnerable to climate-related health risks and the least equipped to adapt to them, creating a situation widely described as climate injustice, whereby populations that contribute least to global emissions bear the greatest health consequences. Environmental health impacts are further explained through the integrated exposure–response framework, which quantifies the relationship between air pollution exposure and cause-specific mortality outcomes (Fisher et al., 2021).</w:t>
      </w:r>
    </w:p>
    <w:p w14:paraId="2A29C0A8" w14:textId="5F46C505" w:rsidR="006B438F" w:rsidRPr="00BD1816" w:rsidRDefault="006B438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METHODOLOGY</w:t>
      </w:r>
    </w:p>
    <w:p w14:paraId="3FE25431" w14:textId="5C53F371" w:rsidR="00471056"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This study is a systematic review and theoretical synthesis conducted in accordance with the Preferred Reporting Items for Systematic Reviews and Meta-Analyses 2020 guidelines (Page et al., 2021). The review integrates systematic search and selection procedures from the health sciences tradition with the theoretical synthesis methodology developed for heterogeneous, multidisciplinary literatures (</w:t>
      </w:r>
      <w:proofErr w:type="spellStart"/>
      <w:r w:rsidRPr="00BD1816">
        <w:rPr>
          <w:rFonts w:ascii="Times New Roman" w:hAnsi="Times New Roman" w:cs="Times New Roman"/>
          <w:sz w:val="24"/>
          <w:szCs w:val="24"/>
        </w:rPr>
        <w:t>Tranfield</w:t>
      </w:r>
      <w:proofErr w:type="spellEnd"/>
      <w:r w:rsidRPr="00BD1816">
        <w:rPr>
          <w:rFonts w:ascii="Times New Roman" w:hAnsi="Times New Roman" w:cs="Times New Roman"/>
          <w:sz w:val="24"/>
          <w:szCs w:val="24"/>
        </w:rPr>
        <w:t xml:space="preserve"> et al., 2003). Given the multi-domain nature of the research question and the predominance of observational studies, panel econometric analyses, and narrative reviews in the relevant literature, a narrative synthesis approach with thematic coding was employed rather than meta-analysis, which would require methodological homogeneity </w:t>
      </w:r>
      <w:r w:rsidR="00325775" w:rsidRPr="00BD1816">
        <w:rPr>
          <w:rFonts w:ascii="Times New Roman" w:hAnsi="Times New Roman" w:cs="Times New Roman"/>
          <w:sz w:val="24"/>
          <w:szCs w:val="24"/>
          <w:lang w:val="en-US"/>
        </w:rPr>
        <w:t>which does not apply to this study</w:t>
      </w:r>
      <w:r w:rsidRPr="00BD1816">
        <w:rPr>
          <w:rFonts w:ascii="Times New Roman" w:hAnsi="Times New Roman" w:cs="Times New Roman"/>
          <w:sz w:val="24"/>
          <w:szCs w:val="24"/>
        </w:rPr>
        <w:t>.</w:t>
      </w:r>
    </w:p>
    <w:tbl>
      <w:tblPr>
        <w:tblStyle w:val="TableGrid"/>
        <w:tblpPr w:leftFromText="180" w:rightFromText="180" w:vertAnchor="text" w:horzAnchor="margin" w:tblpXSpec="center" w:tblpY="384"/>
        <w:tblW w:w="0" w:type="auto"/>
        <w:tblLook w:val="04A0" w:firstRow="1" w:lastRow="0" w:firstColumn="1" w:lastColumn="0" w:noHBand="0" w:noVBand="1"/>
      </w:tblPr>
      <w:tblGrid>
        <w:gridCol w:w="1108"/>
        <w:gridCol w:w="1719"/>
        <w:gridCol w:w="6753"/>
      </w:tblGrid>
      <w:tr w:rsidR="00BD1816" w:rsidRPr="00BD1816" w14:paraId="180D5563" w14:textId="77777777" w:rsidTr="00E75314">
        <w:tc>
          <w:tcPr>
            <w:tcW w:w="1102" w:type="dxa"/>
          </w:tcPr>
          <w:p w14:paraId="29B88F94" w14:textId="77777777" w:rsidR="00BD1816" w:rsidRPr="00BD1816" w:rsidRDefault="00BD1816" w:rsidP="00E75314">
            <w:pPr>
              <w:tabs>
                <w:tab w:val="center" w:pos="443"/>
              </w:tabs>
              <w:spacing w:before="240" w:after="240"/>
              <w:ind w:left="238" w:right="238"/>
              <w:rPr>
                <w:rFonts w:ascii="Times New Roman" w:hAnsi="Times New Roman" w:cs="Times New Roman"/>
                <w:b/>
                <w:bCs/>
              </w:rPr>
            </w:pPr>
            <w:r w:rsidRPr="00BD1816">
              <w:rPr>
                <w:rFonts w:ascii="Times New Roman" w:hAnsi="Times New Roman" w:cs="Times New Roman"/>
                <w:b/>
                <w:bCs/>
              </w:rPr>
              <w:lastRenderedPageBreak/>
              <w:tab/>
              <w:t>Step</w:t>
            </w:r>
          </w:p>
        </w:tc>
        <w:tc>
          <w:tcPr>
            <w:tcW w:w="1717" w:type="dxa"/>
          </w:tcPr>
          <w:p w14:paraId="2868E7A7" w14:textId="77777777" w:rsidR="00BD1816" w:rsidRPr="00BD1816" w:rsidRDefault="00BD1816" w:rsidP="00E75314">
            <w:pPr>
              <w:spacing w:before="240" w:after="240"/>
              <w:ind w:left="238" w:right="238"/>
              <w:jc w:val="center"/>
              <w:rPr>
                <w:rFonts w:ascii="Times New Roman" w:hAnsi="Times New Roman" w:cs="Times New Roman"/>
                <w:b/>
                <w:bCs/>
              </w:rPr>
            </w:pPr>
            <w:r w:rsidRPr="00BD1816">
              <w:rPr>
                <w:rFonts w:ascii="Times New Roman" w:hAnsi="Times New Roman" w:cs="Times New Roman"/>
                <w:b/>
                <w:bCs/>
              </w:rPr>
              <w:t>Eligibility Criterion</w:t>
            </w:r>
          </w:p>
        </w:tc>
        <w:tc>
          <w:tcPr>
            <w:tcW w:w="6753" w:type="dxa"/>
          </w:tcPr>
          <w:p w14:paraId="5B8BAA33" w14:textId="77777777" w:rsidR="00BD1816" w:rsidRPr="00BD1816" w:rsidRDefault="00BD1816" w:rsidP="00E75314">
            <w:pPr>
              <w:spacing w:before="240" w:after="240"/>
              <w:ind w:left="238" w:right="238"/>
              <w:jc w:val="center"/>
              <w:rPr>
                <w:rFonts w:ascii="Times New Roman" w:hAnsi="Times New Roman" w:cs="Times New Roman"/>
                <w:b/>
                <w:bCs/>
              </w:rPr>
            </w:pPr>
            <w:r w:rsidRPr="00BD1816">
              <w:rPr>
                <w:rFonts w:ascii="Times New Roman" w:hAnsi="Times New Roman" w:cs="Times New Roman"/>
                <w:b/>
                <w:bCs/>
              </w:rPr>
              <w:t>Description</w:t>
            </w:r>
          </w:p>
        </w:tc>
      </w:tr>
      <w:tr w:rsidR="00BD1816" w:rsidRPr="00BD1816" w14:paraId="24618058" w14:textId="77777777" w:rsidTr="00E75314">
        <w:tc>
          <w:tcPr>
            <w:tcW w:w="1102" w:type="dxa"/>
          </w:tcPr>
          <w:p w14:paraId="52917382" w14:textId="77777777" w:rsidR="00BD1816" w:rsidRPr="00BD1816" w:rsidRDefault="00BD1816" w:rsidP="00E75314">
            <w:pPr>
              <w:spacing w:before="240" w:after="240"/>
              <w:ind w:left="238" w:right="238"/>
              <w:jc w:val="both"/>
              <w:rPr>
                <w:rFonts w:ascii="Times New Roman" w:hAnsi="Times New Roman" w:cs="Times New Roman"/>
                <w:b/>
                <w:bCs/>
              </w:rPr>
            </w:pPr>
            <w:r w:rsidRPr="00BD1816">
              <w:rPr>
                <w:rFonts w:ascii="Times New Roman" w:hAnsi="Times New Roman" w:cs="Times New Roman"/>
                <w:b/>
                <w:bCs/>
              </w:rPr>
              <w:t>Step 1</w:t>
            </w:r>
          </w:p>
        </w:tc>
        <w:tc>
          <w:tcPr>
            <w:tcW w:w="1717" w:type="dxa"/>
          </w:tcPr>
          <w:p w14:paraId="31091313"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Database Eligibility</w:t>
            </w:r>
          </w:p>
        </w:tc>
        <w:tc>
          <w:tcPr>
            <w:tcW w:w="6753" w:type="dxa"/>
          </w:tcPr>
          <w:p w14:paraId="442D995E"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 xml:space="preserve">Studies were required to be published in journals indexed in at least one of the following databases: Scopus, Web of Science Social Sciences Citation Index (SSCI), Web of Science </w:t>
            </w:r>
            <w:proofErr w:type="spellStart"/>
            <w:r w:rsidRPr="00BD1816">
              <w:rPr>
                <w:rFonts w:ascii="Times New Roman" w:hAnsi="Times New Roman" w:cs="Times New Roman"/>
              </w:rPr>
              <w:t>Science</w:t>
            </w:r>
            <w:proofErr w:type="spellEnd"/>
            <w:r w:rsidRPr="00BD1816">
              <w:rPr>
                <w:rFonts w:ascii="Times New Roman" w:hAnsi="Times New Roman" w:cs="Times New Roman"/>
              </w:rPr>
              <w:t xml:space="preserve"> Citation Index Expanded (SCIE), or PubMed Central. Conference proceedings, working papers, book chapters, dissertations, and other forms of grey literature were excluded.</w:t>
            </w:r>
          </w:p>
        </w:tc>
      </w:tr>
      <w:tr w:rsidR="00BD1816" w:rsidRPr="00BD1816" w14:paraId="4B9F835F" w14:textId="77777777" w:rsidTr="00E75314">
        <w:tc>
          <w:tcPr>
            <w:tcW w:w="1102" w:type="dxa"/>
          </w:tcPr>
          <w:p w14:paraId="4B85779A" w14:textId="77777777" w:rsidR="00BD1816" w:rsidRPr="00BD1816" w:rsidRDefault="00BD1816" w:rsidP="00E75314">
            <w:pPr>
              <w:spacing w:before="240" w:after="240"/>
              <w:ind w:left="238" w:right="238"/>
              <w:jc w:val="both"/>
              <w:rPr>
                <w:rFonts w:ascii="Times New Roman" w:hAnsi="Times New Roman" w:cs="Times New Roman"/>
                <w:b/>
                <w:bCs/>
              </w:rPr>
            </w:pPr>
            <w:r w:rsidRPr="00BD1816">
              <w:rPr>
                <w:rFonts w:ascii="Times New Roman" w:hAnsi="Times New Roman" w:cs="Times New Roman"/>
                <w:b/>
                <w:bCs/>
              </w:rPr>
              <w:t>Step 2</w:t>
            </w:r>
          </w:p>
        </w:tc>
        <w:tc>
          <w:tcPr>
            <w:tcW w:w="1717" w:type="dxa"/>
          </w:tcPr>
          <w:p w14:paraId="5A4A1B4C"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Impact Factor Threshold</w:t>
            </w:r>
          </w:p>
        </w:tc>
        <w:tc>
          <w:tcPr>
            <w:tcW w:w="6753" w:type="dxa"/>
          </w:tcPr>
          <w:p w14:paraId="68060FF8"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 xml:space="preserve">For health and medical journals, eligibility required a Clarivate Journal Impact Factor (JIF) ≥ 2.0 or a Scopus </w:t>
            </w:r>
            <w:proofErr w:type="spellStart"/>
            <w:r w:rsidRPr="00BD1816">
              <w:rPr>
                <w:rFonts w:ascii="Times New Roman" w:hAnsi="Times New Roman" w:cs="Times New Roman"/>
              </w:rPr>
              <w:t>CiteScore</w:t>
            </w:r>
            <w:proofErr w:type="spellEnd"/>
            <w:r w:rsidRPr="00BD1816">
              <w:rPr>
                <w:rFonts w:ascii="Times New Roman" w:hAnsi="Times New Roman" w:cs="Times New Roman"/>
              </w:rPr>
              <w:t xml:space="preserve"> ≥ 2.5. For economics and social science journals, eligibility required a JIF ≥ 1.5 or inclusion in the SSCI. These thresholds were adopted to minimize the inclusion of low-quality or predatory journals while maintaining adequate disciplinary coverage.</w:t>
            </w:r>
          </w:p>
        </w:tc>
      </w:tr>
      <w:tr w:rsidR="00BD1816" w:rsidRPr="00BD1816" w14:paraId="100A3813" w14:textId="77777777" w:rsidTr="00E75314">
        <w:tc>
          <w:tcPr>
            <w:tcW w:w="1102" w:type="dxa"/>
          </w:tcPr>
          <w:p w14:paraId="417FAB07" w14:textId="77777777" w:rsidR="00BD1816" w:rsidRPr="00BD1816" w:rsidRDefault="00BD1816" w:rsidP="00E75314">
            <w:pPr>
              <w:spacing w:before="240" w:after="240"/>
              <w:ind w:left="238" w:right="238"/>
              <w:jc w:val="both"/>
              <w:rPr>
                <w:rFonts w:ascii="Times New Roman" w:hAnsi="Times New Roman" w:cs="Times New Roman"/>
                <w:b/>
                <w:bCs/>
              </w:rPr>
            </w:pPr>
            <w:r w:rsidRPr="00BD1816">
              <w:rPr>
                <w:rFonts w:ascii="Times New Roman" w:hAnsi="Times New Roman" w:cs="Times New Roman"/>
                <w:b/>
                <w:bCs/>
              </w:rPr>
              <w:t>Step 3</w:t>
            </w:r>
          </w:p>
        </w:tc>
        <w:tc>
          <w:tcPr>
            <w:tcW w:w="1717" w:type="dxa"/>
          </w:tcPr>
          <w:p w14:paraId="59D10B60"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Target Journal Selection</w:t>
            </w:r>
          </w:p>
        </w:tc>
        <w:tc>
          <w:tcPr>
            <w:tcW w:w="6753" w:type="dxa"/>
          </w:tcPr>
          <w:p w14:paraId="43AE47ED"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 xml:space="preserve">Priority was given to journals with established reputations in global health, environmental health, and development economics. These included The Lancet, The Lancet Planetary Health, Nature Medicine, BMJ Global Health, PLOS Medicine, PLOS ONE, Bulletin of the World Health Organization, Social Science &amp; Medicine, World Development, Journal of Development Economics, Global Environmental Change, Environmental Health Perspectives, International Journal of Environmental Research and Public Health, </w:t>
            </w:r>
            <w:proofErr w:type="spellStart"/>
            <w:r w:rsidRPr="00BD1816">
              <w:rPr>
                <w:rFonts w:ascii="Times New Roman" w:hAnsi="Times New Roman" w:cs="Times New Roman"/>
              </w:rPr>
              <w:t>Heliyon</w:t>
            </w:r>
            <w:proofErr w:type="spellEnd"/>
            <w:r w:rsidRPr="00BD1816">
              <w:rPr>
                <w:rFonts w:ascii="Times New Roman" w:hAnsi="Times New Roman" w:cs="Times New Roman"/>
              </w:rPr>
              <w:t>, BMC Public Health, Annals of Global Health, Sustainable Development, and Humanities and Social Sciences Communications. Journal selection was guided by relevance rather than strict exclusivity.</w:t>
            </w:r>
          </w:p>
        </w:tc>
      </w:tr>
      <w:tr w:rsidR="00BD1816" w:rsidRPr="00BD1816" w14:paraId="20051B0C" w14:textId="77777777" w:rsidTr="00E75314">
        <w:tc>
          <w:tcPr>
            <w:tcW w:w="1102" w:type="dxa"/>
          </w:tcPr>
          <w:p w14:paraId="7315F6BC" w14:textId="77777777" w:rsidR="00BD1816" w:rsidRPr="00BD1816" w:rsidRDefault="00BD1816" w:rsidP="00E75314">
            <w:pPr>
              <w:spacing w:before="240" w:after="240"/>
              <w:ind w:left="238" w:right="238"/>
              <w:jc w:val="both"/>
              <w:rPr>
                <w:rFonts w:ascii="Times New Roman" w:hAnsi="Times New Roman" w:cs="Times New Roman"/>
                <w:b/>
                <w:bCs/>
              </w:rPr>
            </w:pPr>
            <w:r w:rsidRPr="00BD1816">
              <w:rPr>
                <w:rFonts w:ascii="Times New Roman" w:hAnsi="Times New Roman" w:cs="Times New Roman"/>
                <w:b/>
                <w:bCs/>
              </w:rPr>
              <w:t>Step 4</w:t>
            </w:r>
          </w:p>
        </w:tc>
        <w:tc>
          <w:tcPr>
            <w:tcW w:w="1717" w:type="dxa"/>
          </w:tcPr>
          <w:p w14:paraId="2CA76F3A"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Language and Geographic Restriction</w:t>
            </w:r>
          </w:p>
        </w:tc>
        <w:tc>
          <w:tcPr>
            <w:tcW w:w="6753" w:type="dxa"/>
          </w:tcPr>
          <w:p w14:paraId="2E62D153" w14:textId="77777777" w:rsidR="00BD1816" w:rsidRPr="00BD1816" w:rsidRDefault="00BD1816" w:rsidP="00E75314">
            <w:pPr>
              <w:spacing w:before="240" w:after="240"/>
              <w:ind w:left="238" w:right="238"/>
              <w:jc w:val="both"/>
              <w:rPr>
                <w:rFonts w:ascii="Times New Roman" w:hAnsi="Times New Roman" w:cs="Times New Roman"/>
              </w:rPr>
            </w:pPr>
            <w:r w:rsidRPr="00BD1816">
              <w:rPr>
                <w:rFonts w:ascii="Times New Roman" w:hAnsi="Times New Roman" w:cs="Times New Roman"/>
              </w:rPr>
              <w:t>Only studies published in English and focusing on Sub-Saharan African (SSA) populations or SSA country-level data were included. Studies covering broader African samples were retained where SSA-specific findings were explicitly reported or could be reasonably inferred.</w:t>
            </w:r>
          </w:p>
        </w:tc>
      </w:tr>
    </w:tbl>
    <w:p w14:paraId="1BAF0DCB" w14:textId="77777777" w:rsidR="00471056" w:rsidRPr="00BD1816" w:rsidRDefault="00471056" w:rsidP="00BD1816">
      <w:pPr>
        <w:spacing w:before="240" w:after="240" w:line="240" w:lineRule="auto"/>
        <w:ind w:left="238" w:right="238"/>
        <w:jc w:val="both"/>
        <w:rPr>
          <w:rFonts w:ascii="Times New Roman" w:hAnsi="Times New Roman" w:cs="Times New Roman"/>
          <w:sz w:val="24"/>
          <w:szCs w:val="24"/>
        </w:rPr>
      </w:pPr>
    </w:p>
    <w:p w14:paraId="4B8042F5"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06EF5F3"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75667A5C" w14:textId="77777777" w:rsidR="00BD1816" w:rsidRDefault="00BD1816" w:rsidP="00BD1816">
      <w:pPr>
        <w:spacing w:before="240" w:after="240" w:line="240" w:lineRule="auto"/>
        <w:ind w:left="238" w:right="238"/>
        <w:jc w:val="both"/>
        <w:rPr>
          <w:rFonts w:ascii="Times New Roman" w:hAnsi="Times New Roman" w:cs="Times New Roman"/>
          <w:sz w:val="24"/>
          <w:szCs w:val="24"/>
        </w:rPr>
      </w:pPr>
    </w:p>
    <w:p w14:paraId="4ACD633A"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58457530"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4CA34930"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1BC73DB5"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4F765127"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64AE591F"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3585739E"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3AAEDBDE"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651391A6"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0EE3C715"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1E88A8F3"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7B0DB582"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0D2335A5"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61CE17D7"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4896126B"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75E2ED31"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00BE9075" w14:textId="7777777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0ADC55B0" w14:textId="356F0FD1" w:rsidR="00BD1816" w:rsidRPr="00BD1816" w:rsidRDefault="00BD1816" w:rsidP="00BD1816">
      <w:pPr>
        <w:spacing w:before="240" w:after="240" w:line="240" w:lineRule="auto"/>
        <w:ind w:left="238" w:right="238"/>
        <w:jc w:val="both"/>
        <w:rPr>
          <w:rFonts w:ascii="Times New Roman" w:hAnsi="Times New Roman" w:cs="Times New Roman"/>
          <w:sz w:val="24"/>
          <w:szCs w:val="24"/>
        </w:rPr>
      </w:pPr>
      <w:r>
        <w:rPr>
          <w:rFonts w:ascii="Times New Roman" w:hAnsi="Times New Roman" w:cs="Times New Roman"/>
          <w:sz w:val="24"/>
          <w:szCs w:val="24"/>
          <w:lang w:val="en-US"/>
        </w:rPr>
        <w:t xml:space="preserve">A </w:t>
      </w:r>
      <w:r w:rsidR="006B438F" w:rsidRPr="00BD1816">
        <w:rPr>
          <w:rFonts w:ascii="Times New Roman" w:hAnsi="Times New Roman" w:cs="Times New Roman"/>
          <w:sz w:val="24"/>
          <w:szCs w:val="24"/>
        </w:rPr>
        <w:t xml:space="preserve">systematic search was conducted across four electronic bibliographic databases: PubMed/MEDLINE (life sciences and biomedical), Scopus (multidisciplinary scientific), Web of Science (science and social science citations), and </w:t>
      </w:r>
      <w:proofErr w:type="spellStart"/>
      <w:r w:rsidR="006B438F" w:rsidRPr="00BD1816">
        <w:rPr>
          <w:rFonts w:ascii="Times New Roman" w:hAnsi="Times New Roman" w:cs="Times New Roman"/>
          <w:sz w:val="24"/>
          <w:szCs w:val="24"/>
        </w:rPr>
        <w:t>EconLit</w:t>
      </w:r>
      <w:proofErr w:type="spellEnd"/>
      <w:r w:rsidR="006B438F" w:rsidRPr="00BD1816">
        <w:rPr>
          <w:rFonts w:ascii="Times New Roman" w:hAnsi="Times New Roman" w:cs="Times New Roman"/>
          <w:sz w:val="24"/>
          <w:szCs w:val="24"/>
        </w:rPr>
        <w:t xml:space="preserve"> (economics). Databases were searched from January 2014 to December 2024, a period chosen to capture the post-2015 SDG era while ensuring sufficient depth of publication record. Boolean search strings were constructed for each of five thematic domains and combined using OR logic within domains and </w:t>
      </w:r>
      <w:proofErr w:type="spellStart"/>
      <w:r w:rsidR="006B438F" w:rsidRPr="00BD1816">
        <w:rPr>
          <w:rFonts w:ascii="Times New Roman" w:hAnsi="Times New Roman" w:cs="Times New Roman"/>
          <w:sz w:val="24"/>
          <w:szCs w:val="24"/>
        </w:rPr>
        <w:t>AND</w:t>
      </w:r>
      <w:proofErr w:type="spellEnd"/>
      <w:r w:rsidR="006B438F" w:rsidRPr="00BD1816">
        <w:rPr>
          <w:rFonts w:ascii="Times New Roman" w:hAnsi="Times New Roman" w:cs="Times New Roman"/>
          <w:sz w:val="24"/>
          <w:szCs w:val="24"/>
        </w:rPr>
        <w:t xml:space="preserve"> logic across domains. The primary search string was:</w:t>
      </w:r>
      <w:r>
        <w:rPr>
          <w:rFonts w:ascii="Times New Roman" w:hAnsi="Times New Roman" w:cs="Times New Roman"/>
          <w:sz w:val="24"/>
          <w:szCs w:val="24"/>
          <w:lang w:val="en-US"/>
        </w:rPr>
        <w:t xml:space="preserve"> </w:t>
      </w:r>
      <w:r w:rsidRPr="00BD1816">
        <w:rPr>
          <w:rFonts w:ascii="Times New Roman" w:hAnsi="Times New Roman" w:cs="Times New Roman"/>
          <w:sz w:val="24"/>
          <w:szCs w:val="24"/>
        </w:rPr>
        <w:t>("health outcomes" OR "life expectancy" OR "child mortality" OR "maternal mortality" OR "DALYs" OR "morbidity" OR "mortality") AND ("sub-Saharan Africa" OR "SSA" OR "Africa south of Sahara") AND ("institutional quality" OR "governance" OR "corruption" OR "rule of law" OR "poverty" OR "income inequality" OR "Gini" OR "climate change" OR "global warming" OR "environmental degradation" OR "air pollution" OR "PM2.5")</w:t>
      </w:r>
    </w:p>
    <w:p w14:paraId="086686AD" w14:textId="7EEB502E" w:rsidR="006B438F" w:rsidRPr="00BD1816" w:rsidRDefault="00BD1816"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Reference lists of all included studies and relevant systematic reviews identified during screening were hand-searched for additional eligible records.</w:t>
      </w:r>
    </w:p>
    <w:p w14:paraId="47138AD5" w14:textId="53C1F3E2"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14946E66" w14:textId="1D5BF707" w:rsidR="00BD1816" w:rsidRDefault="00BD1816" w:rsidP="00BD1816">
      <w:pPr>
        <w:spacing w:before="240" w:after="240" w:line="240" w:lineRule="auto"/>
        <w:ind w:left="238" w:right="238"/>
        <w:jc w:val="both"/>
        <w:rPr>
          <w:rFonts w:ascii="Times New Roman" w:hAnsi="Times New Roman" w:cs="Times New Roman"/>
          <w:sz w:val="24"/>
          <w:szCs w:val="24"/>
          <w:lang w:val="en-US"/>
        </w:rPr>
      </w:pPr>
    </w:p>
    <w:p w14:paraId="765D22AF" w14:textId="6B527817" w:rsidR="006B438F" w:rsidRPr="00BD1816" w:rsidRDefault="00471056"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 </w:t>
      </w:r>
    </w:p>
    <w:p w14:paraId="6E089439" w14:textId="043C5ADC" w:rsidR="006B438F" w:rsidRPr="00BD1816" w:rsidRDefault="00325775"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lastRenderedPageBreak/>
        <w:t>JOURNAL SELECTION PROCEDURE AND CREDIBILITY CRITERIA</w:t>
      </w:r>
    </w:p>
    <w:p w14:paraId="5A2B4A43" w14:textId="77777777"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A critical methodological decision in this review concerns the explicit prioritisation of high-impact, peer-reviewed journals to ensure evidential credibility. This procedure is documented transparently below, consistent with the recommendation of Page et al. (2021) that journal-level source selection criteria be pre-specified and reported.</w:t>
      </w:r>
    </w:p>
    <w:p w14:paraId="20607A28" w14:textId="67AD3D81" w:rsidR="0072610B" w:rsidRPr="00BD1816" w:rsidRDefault="0072610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 xml:space="preserve">Table 1. </w:t>
      </w:r>
      <w:r w:rsidRPr="00BD1816">
        <w:rPr>
          <w:rFonts w:ascii="Times New Roman" w:hAnsi="Times New Roman" w:cs="Times New Roman"/>
          <w:sz w:val="24"/>
          <w:szCs w:val="24"/>
        </w:rPr>
        <w:t>Eligibility criteria and journal selection procedures used in the systematic review.</w:t>
      </w:r>
    </w:p>
    <w:p w14:paraId="789FEA57" w14:textId="62C9FE84" w:rsidR="0072610B" w:rsidRPr="00BD1816" w:rsidRDefault="0072610B" w:rsidP="00BD1816">
      <w:pPr>
        <w:spacing w:before="240" w:after="240" w:line="240" w:lineRule="auto"/>
        <w:ind w:left="238" w:right="238"/>
        <w:jc w:val="both"/>
        <w:rPr>
          <w:rFonts w:ascii="Times New Roman" w:hAnsi="Times New Roman" w:cs="Times New Roman"/>
          <w:sz w:val="24"/>
          <w:szCs w:val="24"/>
          <w:lang w:val="en-US"/>
        </w:rPr>
      </w:pPr>
      <w:r w:rsidRPr="00BD1816">
        <w:rPr>
          <w:rFonts w:ascii="Times New Roman" w:hAnsi="Times New Roman" w:cs="Times New Roman"/>
          <w:b/>
          <w:bCs/>
          <w:sz w:val="24"/>
          <w:szCs w:val="24"/>
          <w:lang w:val="en-US"/>
        </w:rPr>
        <w:t>Source:</w:t>
      </w:r>
      <w:r w:rsidRPr="00BD1816">
        <w:rPr>
          <w:rFonts w:ascii="Times New Roman" w:hAnsi="Times New Roman" w:cs="Times New Roman"/>
          <w:sz w:val="24"/>
          <w:szCs w:val="24"/>
          <w:lang w:val="en-US"/>
        </w:rPr>
        <w:t xml:space="preserve"> Authors compilation</w:t>
      </w:r>
    </w:p>
    <w:p w14:paraId="6EA1C1E1" w14:textId="101EAA56" w:rsidR="006B438F" w:rsidRPr="00BD1816" w:rsidRDefault="00E61B0C"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INCLUSION AND EXCLUSION CRITERIA</w:t>
      </w:r>
    </w:p>
    <w:tbl>
      <w:tblPr>
        <w:tblStyle w:val="TableGrid"/>
        <w:tblpPr w:leftFromText="180" w:rightFromText="180" w:vertAnchor="text" w:horzAnchor="margin" w:tblpXSpec="center" w:tblpY="259"/>
        <w:tblW w:w="0" w:type="auto"/>
        <w:tblLook w:val="04A0" w:firstRow="1" w:lastRow="0" w:firstColumn="1" w:lastColumn="0" w:noHBand="0" w:noVBand="1"/>
      </w:tblPr>
      <w:tblGrid>
        <w:gridCol w:w="4508"/>
        <w:gridCol w:w="4508"/>
      </w:tblGrid>
      <w:tr w:rsidR="00264DC8" w:rsidRPr="00BD1816" w14:paraId="3AF9B2F0" w14:textId="77777777" w:rsidTr="00E75314">
        <w:tc>
          <w:tcPr>
            <w:tcW w:w="4508" w:type="dxa"/>
          </w:tcPr>
          <w:p w14:paraId="05D40119" w14:textId="77777777" w:rsidR="00264DC8" w:rsidRPr="00BD1816" w:rsidRDefault="00264DC8" w:rsidP="00E75314">
            <w:pPr>
              <w:spacing w:before="240" w:after="240"/>
              <w:ind w:left="238" w:right="238"/>
              <w:jc w:val="center"/>
              <w:rPr>
                <w:rFonts w:ascii="Times New Roman" w:hAnsi="Times New Roman" w:cs="Times New Roman"/>
                <w:b/>
                <w:bCs/>
                <w:color w:val="FF0000"/>
                <w:sz w:val="24"/>
                <w:szCs w:val="24"/>
              </w:rPr>
            </w:pPr>
            <w:r w:rsidRPr="00BD1816">
              <w:rPr>
                <w:rFonts w:ascii="Times New Roman" w:hAnsi="Times New Roman" w:cs="Times New Roman"/>
                <w:b/>
                <w:bCs/>
                <w:sz w:val="24"/>
                <w:szCs w:val="24"/>
              </w:rPr>
              <w:t>Stage</w:t>
            </w:r>
          </w:p>
        </w:tc>
        <w:tc>
          <w:tcPr>
            <w:tcW w:w="4508" w:type="dxa"/>
          </w:tcPr>
          <w:p w14:paraId="313AE1EB" w14:textId="77777777" w:rsidR="00264DC8" w:rsidRPr="00BD1816" w:rsidRDefault="00264DC8" w:rsidP="00E75314">
            <w:pPr>
              <w:spacing w:before="240" w:after="240"/>
              <w:ind w:left="238" w:right="238"/>
              <w:jc w:val="center"/>
              <w:rPr>
                <w:rFonts w:ascii="Times New Roman" w:hAnsi="Times New Roman" w:cs="Times New Roman"/>
                <w:b/>
                <w:bCs/>
                <w:color w:val="FF0000"/>
                <w:sz w:val="24"/>
                <w:szCs w:val="24"/>
              </w:rPr>
            </w:pPr>
            <w:r w:rsidRPr="00BD1816">
              <w:rPr>
                <w:rFonts w:ascii="Times New Roman" w:hAnsi="Times New Roman" w:cs="Times New Roman"/>
                <w:b/>
                <w:bCs/>
                <w:sz w:val="24"/>
                <w:szCs w:val="24"/>
              </w:rPr>
              <w:t>Records (n)</w:t>
            </w:r>
          </w:p>
        </w:tc>
      </w:tr>
      <w:tr w:rsidR="00264DC8" w:rsidRPr="00BD1816" w14:paraId="742868D8" w14:textId="77777777" w:rsidTr="00E75314">
        <w:tc>
          <w:tcPr>
            <w:tcW w:w="4508" w:type="dxa"/>
          </w:tcPr>
          <w:p w14:paraId="18526E5E" w14:textId="77777777" w:rsidR="00264DC8" w:rsidRPr="00BD1816" w:rsidRDefault="00264DC8" w:rsidP="00E75314">
            <w:pPr>
              <w:spacing w:before="240" w:after="240"/>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Records screened (title/abstract)</w:t>
            </w:r>
          </w:p>
        </w:tc>
        <w:tc>
          <w:tcPr>
            <w:tcW w:w="4508" w:type="dxa"/>
          </w:tcPr>
          <w:p w14:paraId="2D60C313" w14:textId="77777777" w:rsidR="00264DC8" w:rsidRPr="00BD1816" w:rsidRDefault="00264DC8" w:rsidP="00E75314">
            <w:pPr>
              <w:spacing w:before="240" w:after="240"/>
              <w:ind w:left="238" w:right="238"/>
              <w:jc w:val="center"/>
              <w:rPr>
                <w:rFonts w:ascii="Times New Roman" w:hAnsi="Times New Roman" w:cs="Times New Roman"/>
                <w:color w:val="FF0000"/>
                <w:sz w:val="24"/>
                <w:szCs w:val="24"/>
              </w:rPr>
            </w:pPr>
            <w:r w:rsidRPr="00BD1816">
              <w:rPr>
                <w:rFonts w:ascii="Times New Roman" w:hAnsi="Times New Roman" w:cs="Times New Roman"/>
                <w:sz w:val="24"/>
                <w:szCs w:val="24"/>
              </w:rPr>
              <w:t>5,565</w:t>
            </w:r>
          </w:p>
        </w:tc>
      </w:tr>
      <w:tr w:rsidR="00264DC8" w:rsidRPr="00BD1816" w14:paraId="0E53B32C" w14:textId="77777777" w:rsidTr="00E75314">
        <w:tc>
          <w:tcPr>
            <w:tcW w:w="4508" w:type="dxa"/>
          </w:tcPr>
          <w:p w14:paraId="4D4B2878" w14:textId="77777777" w:rsidR="00264DC8" w:rsidRPr="00BD1816" w:rsidRDefault="00264DC8" w:rsidP="00E75314">
            <w:pPr>
              <w:spacing w:before="240" w:after="240"/>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Records excluded at title/abstract stage</w:t>
            </w:r>
          </w:p>
        </w:tc>
        <w:tc>
          <w:tcPr>
            <w:tcW w:w="4508" w:type="dxa"/>
          </w:tcPr>
          <w:p w14:paraId="575C6320" w14:textId="77777777" w:rsidR="00264DC8" w:rsidRPr="00BD1816" w:rsidRDefault="00264DC8" w:rsidP="00E75314">
            <w:pPr>
              <w:spacing w:before="240" w:after="240"/>
              <w:ind w:left="238" w:right="238"/>
              <w:jc w:val="center"/>
              <w:rPr>
                <w:rFonts w:ascii="Times New Roman" w:hAnsi="Times New Roman" w:cs="Times New Roman"/>
                <w:color w:val="FF0000"/>
                <w:sz w:val="24"/>
                <w:szCs w:val="24"/>
              </w:rPr>
            </w:pPr>
            <w:r w:rsidRPr="00BD1816">
              <w:rPr>
                <w:rFonts w:ascii="Times New Roman" w:hAnsi="Times New Roman" w:cs="Times New Roman"/>
                <w:sz w:val="24"/>
                <w:szCs w:val="24"/>
              </w:rPr>
              <w:t>4,301</w:t>
            </w:r>
          </w:p>
        </w:tc>
      </w:tr>
      <w:tr w:rsidR="00264DC8" w:rsidRPr="00BD1816" w14:paraId="61742F5C" w14:textId="77777777" w:rsidTr="00E75314">
        <w:tc>
          <w:tcPr>
            <w:tcW w:w="4508" w:type="dxa"/>
          </w:tcPr>
          <w:p w14:paraId="3C0D4BB8" w14:textId="77777777" w:rsidR="00264DC8" w:rsidRPr="00BD1816" w:rsidRDefault="00264DC8" w:rsidP="00E75314">
            <w:pPr>
              <w:spacing w:before="240" w:after="240"/>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Full-text articles assessed for eligibility</w:t>
            </w:r>
          </w:p>
        </w:tc>
        <w:tc>
          <w:tcPr>
            <w:tcW w:w="4508" w:type="dxa"/>
          </w:tcPr>
          <w:p w14:paraId="651E962D" w14:textId="77777777" w:rsidR="00264DC8" w:rsidRPr="00BD1816" w:rsidRDefault="00264DC8" w:rsidP="00E75314">
            <w:pPr>
              <w:spacing w:before="240" w:after="240"/>
              <w:ind w:left="238" w:right="238"/>
              <w:jc w:val="center"/>
              <w:rPr>
                <w:rFonts w:ascii="Times New Roman" w:hAnsi="Times New Roman" w:cs="Times New Roman"/>
                <w:color w:val="FF0000"/>
                <w:sz w:val="24"/>
                <w:szCs w:val="24"/>
              </w:rPr>
            </w:pPr>
            <w:r w:rsidRPr="00BD1816">
              <w:rPr>
                <w:rFonts w:ascii="Times New Roman" w:hAnsi="Times New Roman" w:cs="Times New Roman"/>
                <w:sz w:val="24"/>
                <w:szCs w:val="24"/>
              </w:rPr>
              <w:t>1,264</w:t>
            </w:r>
          </w:p>
        </w:tc>
      </w:tr>
      <w:tr w:rsidR="00264DC8" w:rsidRPr="00BD1816" w14:paraId="4C806EAB" w14:textId="77777777" w:rsidTr="00E75314">
        <w:tc>
          <w:tcPr>
            <w:tcW w:w="4508" w:type="dxa"/>
          </w:tcPr>
          <w:p w14:paraId="4149D5A8" w14:textId="77777777" w:rsidR="00264DC8" w:rsidRPr="00BD1816" w:rsidRDefault="00264DC8" w:rsidP="00E75314">
            <w:pPr>
              <w:spacing w:before="240" w:after="240"/>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Full-text articles excluded (with reasons): wrong geography (n=487); wrong outcomes (n=312); journal quality threshold not met (n=198); no empirical or theoretical content (n=199)</w:t>
            </w:r>
          </w:p>
        </w:tc>
        <w:tc>
          <w:tcPr>
            <w:tcW w:w="4508" w:type="dxa"/>
          </w:tcPr>
          <w:p w14:paraId="489663D3" w14:textId="77777777" w:rsidR="00264DC8" w:rsidRPr="00BD1816" w:rsidRDefault="00264DC8" w:rsidP="00E75314">
            <w:pPr>
              <w:spacing w:before="240" w:after="240"/>
              <w:ind w:left="238" w:right="238"/>
              <w:jc w:val="center"/>
              <w:rPr>
                <w:rFonts w:ascii="Times New Roman" w:hAnsi="Times New Roman" w:cs="Times New Roman"/>
                <w:color w:val="FF0000"/>
                <w:sz w:val="24"/>
                <w:szCs w:val="24"/>
              </w:rPr>
            </w:pPr>
            <w:r w:rsidRPr="00BD1816">
              <w:rPr>
                <w:rFonts w:ascii="Times New Roman" w:hAnsi="Times New Roman" w:cs="Times New Roman"/>
                <w:sz w:val="24"/>
                <w:szCs w:val="24"/>
              </w:rPr>
              <w:t>1,196</w:t>
            </w:r>
          </w:p>
        </w:tc>
      </w:tr>
      <w:tr w:rsidR="00264DC8" w:rsidRPr="00BD1816" w14:paraId="545C66FB" w14:textId="77777777" w:rsidTr="00E75314">
        <w:tc>
          <w:tcPr>
            <w:tcW w:w="4508" w:type="dxa"/>
          </w:tcPr>
          <w:p w14:paraId="762267DD" w14:textId="77777777" w:rsidR="00264DC8" w:rsidRPr="00BD1816" w:rsidRDefault="00264DC8" w:rsidP="00E75314">
            <w:pPr>
              <w:spacing w:before="240" w:after="240"/>
              <w:ind w:left="238" w:right="238"/>
              <w:jc w:val="both"/>
              <w:rPr>
                <w:rFonts w:ascii="Times New Roman" w:hAnsi="Times New Roman" w:cs="Times New Roman"/>
                <w:color w:val="FF0000"/>
                <w:sz w:val="24"/>
                <w:szCs w:val="24"/>
              </w:rPr>
            </w:pPr>
            <w:r w:rsidRPr="00BD1816">
              <w:rPr>
                <w:rFonts w:ascii="Times New Roman" w:hAnsi="Times New Roman" w:cs="Times New Roman"/>
                <w:sz w:val="24"/>
                <w:szCs w:val="24"/>
              </w:rPr>
              <w:t>Studies included in final synthesis</w:t>
            </w:r>
          </w:p>
        </w:tc>
        <w:tc>
          <w:tcPr>
            <w:tcW w:w="4508" w:type="dxa"/>
          </w:tcPr>
          <w:p w14:paraId="20F79002" w14:textId="77777777" w:rsidR="00264DC8" w:rsidRPr="00BD1816" w:rsidRDefault="00264DC8" w:rsidP="00E75314">
            <w:pPr>
              <w:spacing w:before="240" w:after="240"/>
              <w:ind w:left="238" w:right="238"/>
              <w:jc w:val="center"/>
              <w:rPr>
                <w:rFonts w:ascii="Times New Roman" w:hAnsi="Times New Roman" w:cs="Times New Roman"/>
                <w:color w:val="FF0000"/>
                <w:sz w:val="24"/>
                <w:szCs w:val="24"/>
              </w:rPr>
            </w:pPr>
            <w:r w:rsidRPr="00BD1816">
              <w:rPr>
                <w:rFonts w:ascii="Times New Roman" w:hAnsi="Times New Roman" w:cs="Times New Roman"/>
                <w:sz w:val="24"/>
                <w:szCs w:val="24"/>
              </w:rPr>
              <w:t>68</w:t>
            </w:r>
          </w:p>
        </w:tc>
      </w:tr>
    </w:tbl>
    <w:p w14:paraId="16F4966A" w14:textId="77777777" w:rsidR="00264DC8" w:rsidRDefault="00264DC8" w:rsidP="00BD1816">
      <w:pPr>
        <w:spacing w:before="240" w:after="240" w:line="240" w:lineRule="auto"/>
        <w:ind w:left="238" w:right="238"/>
        <w:jc w:val="both"/>
        <w:rPr>
          <w:rFonts w:ascii="Times New Roman" w:hAnsi="Times New Roman" w:cs="Times New Roman"/>
          <w:i/>
          <w:iCs/>
          <w:sz w:val="24"/>
          <w:szCs w:val="24"/>
        </w:rPr>
      </w:pPr>
    </w:p>
    <w:p w14:paraId="366071E0" w14:textId="77777777" w:rsidR="00264DC8" w:rsidRDefault="00264DC8" w:rsidP="00BD1816">
      <w:pPr>
        <w:spacing w:before="240" w:after="240" w:line="240" w:lineRule="auto"/>
        <w:ind w:left="238" w:right="238"/>
        <w:jc w:val="both"/>
        <w:rPr>
          <w:rFonts w:ascii="Times New Roman" w:hAnsi="Times New Roman" w:cs="Times New Roman"/>
          <w:i/>
          <w:iCs/>
          <w:sz w:val="24"/>
          <w:szCs w:val="24"/>
        </w:rPr>
      </w:pPr>
    </w:p>
    <w:p w14:paraId="0F7E8FBF" w14:textId="77777777" w:rsidR="00264DC8" w:rsidRDefault="00264DC8" w:rsidP="00BD1816">
      <w:pPr>
        <w:spacing w:before="240" w:after="240" w:line="240" w:lineRule="auto"/>
        <w:ind w:left="238" w:right="238"/>
        <w:jc w:val="both"/>
        <w:rPr>
          <w:rFonts w:ascii="Times New Roman" w:hAnsi="Times New Roman" w:cs="Times New Roman"/>
          <w:i/>
          <w:iCs/>
          <w:sz w:val="24"/>
          <w:szCs w:val="24"/>
        </w:rPr>
      </w:pPr>
    </w:p>
    <w:p w14:paraId="49CA2D74"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365C6493"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22D73099"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4AE0B765"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588E9370"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519A5B07"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6A1A1460"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2C20AF5F" w14:textId="60C64298"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30F59C7C"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0BAA632D" w14:textId="12FDC2A3" w:rsidR="006B438F" w:rsidRPr="00BD1816" w:rsidRDefault="00264DC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Table 1.</w:t>
      </w:r>
      <w:r w:rsidRPr="00BD1816">
        <w:rPr>
          <w:rFonts w:ascii="Times New Roman" w:hAnsi="Times New Roman" w:cs="Times New Roman"/>
          <w:sz w:val="24"/>
          <w:szCs w:val="24"/>
        </w:rPr>
        <w:t xml:space="preserve"> </w:t>
      </w:r>
      <w:r w:rsidRPr="00BD1816">
        <w:rPr>
          <w:rFonts w:ascii="Times New Roman" w:hAnsi="Times New Roman" w:cs="Times New Roman"/>
          <w:i/>
          <w:iCs/>
          <w:sz w:val="24"/>
          <w:szCs w:val="24"/>
        </w:rPr>
        <w:t xml:space="preserve">PICOS </w:t>
      </w:r>
      <w:r w:rsidR="006B438F" w:rsidRPr="00BD1816">
        <w:rPr>
          <w:rFonts w:ascii="Times New Roman" w:hAnsi="Times New Roman" w:cs="Times New Roman"/>
          <w:i/>
          <w:iCs/>
          <w:sz w:val="24"/>
          <w:szCs w:val="24"/>
        </w:rPr>
        <w:t>inclusion and exclusion criteria for the systematic review. U5MR = under-five mortality rate; MMR = maternal mortality ratio; DALYs = disability-adjusted life years; JIF = Journal Impact Factor.</w:t>
      </w:r>
    </w:p>
    <w:p w14:paraId="22AB75B7" w14:textId="6DB5E42F" w:rsidR="006B438F" w:rsidRPr="00BD1816" w:rsidRDefault="00203AA1"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STUDY SELECTION AND PRISMA FLOW</w:t>
      </w:r>
    </w:p>
    <w:p w14:paraId="26CFA215" w14:textId="1B677056"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Two reviewers independently screened titles and abstracts, and full-text articles were retrieved for all potentially eligible records. Disagreements were resolved by discussion and, where necessary, consultation with a third reviewer. The inter-rater reliability of the full-text eligibility assessment was Cohen's κ = 0.81, indicating strong agreement. Quality appraisal of included studies was conducted using the Mixed Methods Appraisal Tool (MMAT) for quantitative, qualitative, and mixed-methods studies.</w:t>
      </w:r>
    </w:p>
    <w:p w14:paraId="6A4D5E05" w14:textId="48DF094B" w:rsidR="00C91023" w:rsidRDefault="00C91023"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Table 2</w:t>
      </w:r>
      <w:r w:rsidRPr="00BD1816">
        <w:rPr>
          <w:rFonts w:ascii="Times New Roman" w:hAnsi="Times New Roman" w:cs="Times New Roman"/>
          <w:sz w:val="24"/>
          <w:szCs w:val="24"/>
        </w:rPr>
        <w:t xml:space="preserve">. PRISMA 2020 flow diagram summary. </w:t>
      </w:r>
    </w:p>
    <w:p w14:paraId="2F744FE0" w14:textId="1C28FEBF" w:rsidR="00264DC8" w:rsidRDefault="00264DC8" w:rsidP="00BD1816">
      <w:pPr>
        <w:spacing w:before="240" w:after="240" w:line="240" w:lineRule="auto"/>
        <w:ind w:left="238" w:right="238"/>
        <w:jc w:val="both"/>
        <w:rPr>
          <w:rFonts w:ascii="Times New Roman" w:hAnsi="Times New Roman" w:cs="Times New Roman"/>
          <w:sz w:val="24"/>
          <w:szCs w:val="24"/>
        </w:rPr>
      </w:pPr>
    </w:p>
    <w:p w14:paraId="6BC1ABF8" w14:textId="7FEF26FA" w:rsidR="00264DC8" w:rsidRDefault="00264DC8" w:rsidP="00BD1816">
      <w:pPr>
        <w:spacing w:before="240" w:after="240" w:line="240" w:lineRule="auto"/>
        <w:ind w:left="238" w:right="238"/>
        <w:jc w:val="both"/>
        <w:rPr>
          <w:rFonts w:ascii="Times New Roman" w:hAnsi="Times New Roman" w:cs="Times New Roman"/>
          <w:sz w:val="24"/>
          <w:szCs w:val="24"/>
        </w:rPr>
      </w:pPr>
    </w:p>
    <w:p w14:paraId="14B73597" w14:textId="77777777" w:rsidR="00264DC8" w:rsidRPr="00BD1816" w:rsidRDefault="00264DC8" w:rsidP="00BD1816">
      <w:pPr>
        <w:spacing w:before="240" w:after="240" w:line="240" w:lineRule="auto"/>
        <w:ind w:left="238" w:right="238"/>
        <w:jc w:val="both"/>
        <w:rPr>
          <w:rFonts w:ascii="Times New Roman" w:hAnsi="Times New Roman" w:cs="Times New Roman"/>
          <w:sz w:val="24"/>
          <w:szCs w:val="24"/>
        </w:rPr>
      </w:pPr>
    </w:p>
    <w:tbl>
      <w:tblPr>
        <w:tblStyle w:val="TableGrid"/>
        <w:tblpPr w:leftFromText="180" w:rightFromText="180" w:vertAnchor="text" w:horzAnchor="margin" w:tblpXSpec="center" w:tblpY="894"/>
        <w:tblW w:w="0" w:type="auto"/>
        <w:tblLook w:val="04A0" w:firstRow="1" w:lastRow="0" w:firstColumn="1" w:lastColumn="0" w:noHBand="0" w:noVBand="1"/>
      </w:tblPr>
      <w:tblGrid>
        <w:gridCol w:w="1813"/>
        <w:gridCol w:w="4455"/>
        <w:gridCol w:w="3006"/>
      </w:tblGrid>
      <w:tr w:rsidR="00264DC8" w:rsidRPr="00BD1816" w14:paraId="291CBF6D" w14:textId="77777777" w:rsidTr="00E75314">
        <w:tc>
          <w:tcPr>
            <w:tcW w:w="1693" w:type="dxa"/>
          </w:tcPr>
          <w:p w14:paraId="2CFBEEA1" w14:textId="77777777" w:rsidR="00264DC8" w:rsidRPr="00BD1816" w:rsidRDefault="00264DC8" w:rsidP="00E75314">
            <w:pPr>
              <w:spacing w:before="240" w:after="240"/>
              <w:ind w:left="238" w:right="238"/>
              <w:jc w:val="center"/>
              <w:rPr>
                <w:rFonts w:ascii="Times New Roman" w:hAnsi="Times New Roman" w:cs="Times New Roman"/>
                <w:b/>
                <w:bCs/>
                <w:sz w:val="24"/>
                <w:szCs w:val="24"/>
              </w:rPr>
            </w:pPr>
            <w:r w:rsidRPr="00BD1816">
              <w:rPr>
                <w:rFonts w:ascii="Times New Roman" w:hAnsi="Times New Roman" w:cs="Times New Roman"/>
                <w:b/>
                <w:bCs/>
                <w:sz w:val="24"/>
                <w:szCs w:val="24"/>
              </w:rPr>
              <w:lastRenderedPageBreak/>
              <w:t>Criterion</w:t>
            </w:r>
          </w:p>
        </w:tc>
        <w:tc>
          <w:tcPr>
            <w:tcW w:w="4455" w:type="dxa"/>
          </w:tcPr>
          <w:p w14:paraId="57FE55E0" w14:textId="77777777" w:rsidR="00264DC8" w:rsidRPr="00BD1816" w:rsidRDefault="00264DC8" w:rsidP="00E75314">
            <w:pPr>
              <w:spacing w:before="240" w:after="240"/>
              <w:ind w:left="238" w:right="238"/>
              <w:jc w:val="center"/>
              <w:rPr>
                <w:rFonts w:ascii="Times New Roman" w:hAnsi="Times New Roman" w:cs="Times New Roman"/>
                <w:b/>
                <w:bCs/>
                <w:sz w:val="24"/>
                <w:szCs w:val="24"/>
              </w:rPr>
            </w:pPr>
            <w:r w:rsidRPr="00BD1816">
              <w:rPr>
                <w:rFonts w:ascii="Times New Roman" w:hAnsi="Times New Roman" w:cs="Times New Roman"/>
                <w:b/>
                <w:bCs/>
                <w:sz w:val="24"/>
                <w:szCs w:val="24"/>
              </w:rPr>
              <w:t>Inclusion</w:t>
            </w:r>
          </w:p>
        </w:tc>
        <w:tc>
          <w:tcPr>
            <w:tcW w:w="3006" w:type="dxa"/>
          </w:tcPr>
          <w:p w14:paraId="533165D7" w14:textId="77777777" w:rsidR="00264DC8" w:rsidRPr="00BD1816" w:rsidRDefault="00264DC8" w:rsidP="00E75314">
            <w:pPr>
              <w:spacing w:before="240" w:after="240"/>
              <w:ind w:left="238" w:right="238"/>
              <w:jc w:val="center"/>
              <w:rPr>
                <w:rFonts w:ascii="Times New Roman" w:hAnsi="Times New Roman" w:cs="Times New Roman"/>
                <w:b/>
                <w:bCs/>
                <w:sz w:val="24"/>
                <w:szCs w:val="24"/>
              </w:rPr>
            </w:pPr>
            <w:r w:rsidRPr="00BD1816">
              <w:rPr>
                <w:rFonts w:ascii="Times New Roman" w:hAnsi="Times New Roman" w:cs="Times New Roman"/>
                <w:b/>
                <w:bCs/>
                <w:sz w:val="24"/>
                <w:szCs w:val="24"/>
              </w:rPr>
              <w:t>Exclusion</w:t>
            </w:r>
          </w:p>
        </w:tc>
      </w:tr>
      <w:tr w:rsidR="00264DC8" w:rsidRPr="00BD1816" w14:paraId="12F749EE" w14:textId="77777777" w:rsidTr="00E75314">
        <w:tc>
          <w:tcPr>
            <w:tcW w:w="1693" w:type="dxa"/>
          </w:tcPr>
          <w:p w14:paraId="4EE875AA"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Population</w:t>
            </w:r>
          </w:p>
        </w:tc>
        <w:tc>
          <w:tcPr>
            <w:tcW w:w="4455" w:type="dxa"/>
          </w:tcPr>
          <w:p w14:paraId="46F6D605"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SSA countries or populations; national/subnational health data</w:t>
            </w:r>
          </w:p>
        </w:tc>
        <w:tc>
          <w:tcPr>
            <w:tcW w:w="3006" w:type="dxa"/>
          </w:tcPr>
          <w:p w14:paraId="067D60CD"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Studies focused exclusively on non-SSA regions</w:t>
            </w:r>
          </w:p>
        </w:tc>
      </w:tr>
      <w:tr w:rsidR="00264DC8" w:rsidRPr="00BD1816" w14:paraId="28B15E20" w14:textId="77777777" w:rsidTr="00E75314">
        <w:tc>
          <w:tcPr>
            <w:tcW w:w="1693" w:type="dxa"/>
          </w:tcPr>
          <w:p w14:paraId="33DBDE71"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Study design</w:t>
            </w:r>
          </w:p>
        </w:tc>
        <w:tc>
          <w:tcPr>
            <w:tcW w:w="4455" w:type="dxa"/>
          </w:tcPr>
          <w:p w14:paraId="14F16A9F"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Empirical (panel data, cross-sectional, quasi-experimental), systematic reviews, meta-analyses, theoretical frameworks</w:t>
            </w:r>
          </w:p>
        </w:tc>
        <w:tc>
          <w:tcPr>
            <w:tcW w:w="3006" w:type="dxa"/>
          </w:tcPr>
          <w:p w14:paraId="0C9419E0"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Commentaries, editorials, conference abstracts, unpublished dissertations</w:t>
            </w:r>
          </w:p>
        </w:tc>
      </w:tr>
      <w:tr w:rsidR="00264DC8" w:rsidRPr="00BD1816" w14:paraId="465553B5" w14:textId="77777777" w:rsidTr="00E75314">
        <w:tc>
          <w:tcPr>
            <w:tcW w:w="1693" w:type="dxa"/>
          </w:tcPr>
          <w:p w14:paraId="3774AA7F"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Outcomes</w:t>
            </w:r>
          </w:p>
        </w:tc>
        <w:tc>
          <w:tcPr>
            <w:tcW w:w="4455" w:type="dxa"/>
          </w:tcPr>
          <w:p w14:paraId="11BD9ECF"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Life expectancy, U5MR, MMR, DALYs, infant mortality, self-reported health, healthcare access measures</w:t>
            </w:r>
          </w:p>
        </w:tc>
        <w:tc>
          <w:tcPr>
            <w:tcW w:w="3006" w:type="dxa"/>
          </w:tcPr>
          <w:p w14:paraId="3282286B"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Studies reporting exclusively economic outcomes without health measures</w:t>
            </w:r>
          </w:p>
        </w:tc>
      </w:tr>
      <w:tr w:rsidR="00264DC8" w:rsidRPr="00BD1816" w14:paraId="38DD6101" w14:textId="77777777" w:rsidTr="00E75314">
        <w:tc>
          <w:tcPr>
            <w:tcW w:w="1693" w:type="dxa"/>
          </w:tcPr>
          <w:p w14:paraId="5279217E"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Time period</w:t>
            </w:r>
          </w:p>
        </w:tc>
        <w:tc>
          <w:tcPr>
            <w:tcW w:w="4455" w:type="dxa"/>
          </w:tcPr>
          <w:p w14:paraId="0C06B758"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January 2014 – December 2024</w:t>
            </w:r>
          </w:p>
        </w:tc>
        <w:tc>
          <w:tcPr>
            <w:tcW w:w="3006" w:type="dxa"/>
          </w:tcPr>
          <w:p w14:paraId="78B452E7"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Studies published before 2014</w:t>
            </w:r>
          </w:p>
        </w:tc>
      </w:tr>
      <w:tr w:rsidR="00264DC8" w:rsidRPr="00BD1816" w14:paraId="27AADCF4" w14:textId="77777777" w:rsidTr="00E75314">
        <w:tc>
          <w:tcPr>
            <w:tcW w:w="1693" w:type="dxa"/>
          </w:tcPr>
          <w:p w14:paraId="1FDF2B39"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Language</w:t>
            </w:r>
          </w:p>
        </w:tc>
        <w:tc>
          <w:tcPr>
            <w:tcW w:w="4455" w:type="dxa"/>
          </w:tcPr>
          <w:p w14:paraId="4F89E49A"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English</w:t>
            </w:r>
          </w:p>
        </w:tc>
        <w:tc>
          <w:tcPr>
            <w:tcW w:w="3006" w:type="dxa"/>
          </w:tcPr>
          <w:p w14:paraId="7813B8F1"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Non-English publications</w:t>
            </w:r>
          </w:p>
        </w:tc>
      </w:tr>
      <w:tr w:rsidR="00264DC8" w:rsidRPr="00BD1816" w14:paraId="6A712120" w14:textId="77777777" w:rsidTr="00E75314">
        <w:tc>
          <w:tcPr>
            <w:tcW w:w="1693" w:type="dxa"/>
          </w:tcPr>
          <w:p w14:paraId="60EB4997" w14:textId="77777777" w:rsidR="00264DC8" w:rsidRPr="00BD1816" w:rsidRDefault="00264DC8" w:rsidP="00E75314">
            <w:pPr>
              <w:spacing w:before="240" w:after="240"/>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Journal quality</w:t>
            </w:r>
          </w:p>
        </w:tc>
        <w:tc>
          <w:tcPr>
            <w:tcW w:w="4455" w:type="dxa"/>
          </w:tcPr>
          <w:p w14:paraId="3D73149A"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Scopus-indexed or SSCI/SCIE-listed; JIF ≥ 2.0 or </w:t>
            </w:r>
            <w:proofErr w:type="spellStart"/>
            <w:r w:rsidRPr="00BD1816">
              <w:rPr>
                <w:rFonts w:ascii="Times New Roman" w:hAnsi="Times New Roman" w:cs="Times New Roman"/>
                <w:sz w:val="24"/>
                <w:szCs w:val="24"/>
              </w:rPr>
              <w:t>CiteScore</w:t>
            </w:r>
            <w:proofErr w:type="spellEnd"/>
            <w:r w:rsidRPr="00BD1816">
              <w:rPr>
                <w:rFonts w:ascii="Times New Roman" w:hAnsi="Times New Roman" w:cs="Times New Roman"/>
                <w:sz w:val="24"/>
                <w:szCs w:val="24"/>
              </w:rPr>
              <w:t xml:space="preserve"> ≥ 2.5</w:t>
            </w:r>
          </w:p>
        </w:tc>
        <w:tc>
          <w:tcPr>
            <w:tcW w:w="3006" w:type="dxa"/>
          </w:tcPr>
          <w:p w14:paraId="02EA1D42" w14:textId="77777777" w:rsidR="00264DC8" w:rsidRPr="00BD1816" w:rsidRDefault="00264DC8" w:rsidP="00E75314">
            <w:pPr>
              <w:spacing w:before="240" w:after="240"/>
              <w:ind w:left="238" w:right="238"/>
              <w:jc w:val="both"/>
              <w:rPr>
                <w:rFonts w:ascii="Times New Roman" w:hAnsi="Times New Roman" w:cs="Times New Roman"/>
                <w:sz w:val="24"/>
                <w:szCs w:val="24"/>
              </w:rPr>
            </w:pPr>
            <w:r w:rsidRPr="00BD1816">
              <w:rPr>
                <w:rFonts w:ascii="Times New Roman" w:hAnsi="Times New Roman" w:cs="Times New Roman"/>
                <w:sz w:val="24"/>
                <w:szCs w:val="24"/>
              </w:rPr>
              <w:t>Predatory journals, conference papers, grey literature</w:t>
            </w:r>
          </w:p>
        </w:tc>
      </w:tr>
    </w:tbl>
    <w:p w14:paraId="44903A93" w14:textId="77777777" w:rsidR="00264DC8" w:rsidRDefault="00264DC8" w:rsidP="00BD1816">
      <w:pPr>
        <w:spacing w:before="240" w:after="240" w:line="240" w:lineRule="auto"/>
        <w:ind w:left="238" w:right="238"/>
        <w:jc w:val="both"/>
        <w:rPr>
          <w:rFonts w:ascii="Times New Roman" w:hAnsi="Times New Roman" w:cs="Times New Roman"/>
          <w:sz w:val="24"/>
          <w:szCs w:val="24"/>
        </w:rPr>
      </w:pPr>
    </w:p>
    <w:p w14:paraId="5923D592" w14:textId="5980FDAA"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Source: Authors' systematic search.</w:t>
      </w:r>
    </w:p>
    <w:p w14:paraId="4882D6FB"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285814CA"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7B9F48EB"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4EC52684" w14:textId="56224433" w:rsidR="006B438F" w:rsidRPr="00BD1816" w:rsidRDefault="006B438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EVIDENCE SYNTHESIS BY THEMATIC DOMAIN</w:t>
      </w:r>
    </w:p>
    <w:p w14:paraId="111A4A03" w14:textId="57507080" w:rsidR="006B438F" w:rsidRPr="00BD1816" w:rsidRDefault="00203AA1"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INSTITUTIONAL QUALITY AND HEALTHCARE OUTCOMES</w:t>
      </w:r>
      <w:r w:rsidRPr="00BD1816">
        <w:rPr>
          <w:rFonts w:ascii="Times New Roman" w:hAnsi="Times New Roman" w:cs="Times New Roman"/>
          <w:b/>
          <w:bCs/>
          <w:sz w:val="24"/>
          <w:szCs w:val="24"/>
          <w:lang w:val="en-US"/>
        </w:rPr>
        <w:t xml:space="preserve">: </w:t>
      </w:r>
      <w:r w:rsidRPr="00BD1816">
        <w:rPr>
          <w:rFonts w:ascii="Times New Roman" w:hAnsi="Times New Roman" w:cs="Times New Roman"/>
          <w:b/>
          <w:bCs/>
          <w:sz w:val="24"/>
          <w:szCs w:val="24"/>
        </w:rPr>
        <w:t>GOVERNANCE AS A STRUCTURAL MULTIPLIER OF HEALTH INVESTMENT</w:t>
      </w:r>
    </w:p>
    <w:p w14:paraId="38960BDD" w14:textId="1AD9B1DB"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most consistent finding across 23 studies in this domain is that institutional quality</w:t>
      </w:r>
      <w:r w:rsidR="00203AA1"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operationalised primarily through the World Bank's Worldwide Governance Indicators (WGI), particularly government effectiveness, rule of law, and control of corruption</w:t>
      </w:r>
      <w:r w:rsidR="00203AA1"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functions not merely as a direct predictor of health outcomes but as a structural moderator of the relationship between public health expenditure and health outcomes (Sibanda et al., 2024; Kabongo &amp; </w:t>
      </w:r>
      <w:proofErr w:type="spellStart"/>
      <w:r w:rsidRPr="00BD1816">
        <w:rPr>
          <w:rFonts w:ascii="Times New Roman" w:hAnsi="Times New Roman" w:cs="Times New Roman"/>
          <w:sz w:val="24"/>
          <w:szCs w:val="24"/>
        </w:rPr>
        <w:t>Mbonigaba</w:t>
      </w:r>
      <w:proofErr w:type="spellEnd"/>
      <w:r w:rsidRPr="00BD1816">
        <w:rPr>
          <w:rFonts w:ascii="Times New Roman" w:hAnsi="Times New Roman" w:cs="Times New Roman"/>
          <w:sz w:val="24"/>
          <w:szCs w:val="24"/>
        </w:rPr>
        <w:t xml:space="preserve">, 2024; </w:t>
      </w: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&amp;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2024; Kouadio, 2025).</w:t>
      </w:r>
    </w:p>
    <w:p w14:paraId="6F51EEA8" w14:textId="77777777"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Sibanda et al. (2024) employed a system GMM model on a panel of 46 SSA countries (2000–2021) and find that institutional quality significantly mediates the relationship between public health expenditure and under-five mortality rates. Critically, they demonstrate that the elasticity of under-five mortality with respect to public health expenditure increases substantially, by a factor of approximately 2.1 in countries with above-median governance scores compared to those with below-median scores. This finding is consistent with </w:t>
      </w:r>
      <w:proofErr w:type="spellStart"/>
      <w:r w:rsidRPr="00BD1816">
        <w:rPr>
          <w:rFonts w:ascii="Times New Roman" w:hAnsi="Times New Roman" w:cs="Times New Roman"/>
          <w:sz w:val="24"/>
          <w:szCs w:val="24"/>
        </w:rPr>
        <w:t>Dhrifi</w:t>
      </w:r>
      <w:proofErr w:type="spellEnd"/>
      <w:r w:rsidRPr="00BD1816">
        <w:rPr>
          <w:rFonts w:ascii="Times New Roman" w:hAnsi="Times New Roman" w:cs="Times New Roman"/>
          <w:sz w:val="24"/>
          <w:szCs w:val="24"/>
        </w:rPr>
        <w:t xml:space="preserve"> (2018), who found that across 39 SSA countries, the mortality-reducing effect of public health expenditure is nearly twice as large in countries with strong institutions. Hadipour et al. (2023), in a 158-country panel spanning 2001–2020 published in </w:t>
      </w:r>
      <w:proofErr w:type="spellStart"/>
      <w:r w:rsidRPr="00BD1816">
        <w:rPr>
          <w:rFonts w:ascii="Times New Roman" w:hAnsi="Times New Roman" w:cs="Times New Roman"/>
          <w:sz w:val="24"/>
          <w:szCs w:val="24"/>
        </w:rPr>
        <w:t>Heliyon</w:t>
      </w:r>
      <w:proofErr w:type="spellEnd"/>
      <w:r w:rsidRPr="00BD1816">
        <w:rPr>
          <w:rFonts w:ascii="Times New Roman" w:hAnsi="Times New Roman" w:cs="Times New Roman"/>
          <w:sz w:val="24"/>
          <w:szCs w:val="24"/>
        </w:rPr>
        <w:t>, confirm this conditional relationship, reporting that in countries with weak governance, the health impact of public spending is substantially weakened, a pattern particularly pronounced in SSA.</w:t>
      </w:r>
    </w:p>
    <w:p w14:paraId="353D86E9" w14:textId="6A42C3D1"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Kabongo and </w:t>
      </w:r>
      <w:proofErr w:type="spellStart"/>
      <w:r w:rsidRPr="00BD1816">
        <w:rPr>
          <w:rFonts w:ascii="Times New Roman" w:hAnsi="Times New Roman" w:cs="Times New Roman"/>
          <w:sz w:val="24"/>
          <w:szCs w:val="24"/>
        </w:rPr>
        <w:t>Mbonigaba</w:t>
      </w:r>
      <w:proofErr w:type="spellEnd"/>
      <w:r w:rsidRPr="00BD1816">
        <w:rPr>
          <w:rFonts w:ascii="Times New Roman" w:hAnsi="Times New Roman" w:cs="Times New Roman"/>
          <w:sz w:val="24"/>
          <w:szCs w:val="24"/>
        </w:rPr>
        <w:t xml:space="preserve"> (2024) take a structural equation modelling approach (PLS-SEM) across 44 SSA countries and find a significant negative moderation effect</w:t>
      </w:r>
      <w:r w:rsidR="00203AA1" w:rsidRPr="00BD1816">
        <w:rPr>
          <w:rFonts w:ascii="Times New Roman" w:hAnsi="Times New Roman" w:cs="Times New Roman"/>
          <w:sz w:val="24"/>
          <w:szCs w:val="24"/>
          <w:lang w:val="en-US"/>
        </w:rPr>
        <w:t xml:space="preserve"> indicating that </w:t>
      </w:r>
      <w:r w:rsidRPr="00BD1816">
        <w:rPr>
          <w:rFonts w:ascii="Times New Roman" w:hAnsi="Times New Roman" w:cs="Times New Roman"/>
          <w:sz w:val="24"/>
          <w:szCs w:val="24"/>
        </w:rPr>
        <w:t xml:space="preserve">governance quality amplifies the negative association between domestic government health expenditure (DGGHE) and disability-adjusted life years </w:t>
      </w:r>
      <w:r w:rsidRPr="00BD1816">
        <w:rPr>
          <w:rFonts w:ascii="Times New Roman" w:hAnsi="Times New Roman" w:cs="Times New Roman"/>
          <w:sz w:val="24"/>
          <w:szCs w:val="24"/>
        </w:rPr>
        <w:lastRenderedPageBreak/>
        <w:t>(DALYs), indicating that better governance translates health spending into larger reductions in the disease burden. The effect size of the moderation is large (β = −0.42, p &lt; 0.001), suggesting that governance quality is not merely a marginal efficiency factor but a primary determinant of health investment productivity. Kouadio (2025), investigating West Africa specifically, confirms that improving the composite governance index enhances health outcomes across life expectancy, infant mortality, and under-five mortality channels, with the interaction term between health expenditure and governance achieving statistical significance at the 1% level across all health outcome specifications.</w:t>
      </w:r>
    </w:p>
    <w:p w14:paraId="146D776F" w14:textId="1E025DEC" w:rsidR="006B438F" w:rsidRPr="00BD1816" w:rsidRDefault="00203AA1"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CORRUPTION AS A DIRECT HEALTH HAZARD</w:t>
      </w:r>
    </w:p>
    <w:p w14:paraId="5FCE3C54" w14:textId="4A00F964" w:rsidR="005C4338" w:rsidRPr="00BD1816" w:rsidRDefault="005C433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Beyond weakening the effectiveness of health expenditure, corruption directly undermines access to healthcare in SSA. Using </w:t>
      </w:r>
      <w:proofErr w:type="spellStart"/>
      <w:r w:rsidRPr="00BD1816">
        <w:rPr>
          <w:rFonts w:ascii="Times New Roman" w:hAnsi="Times New Roman" w:cs="Times New Roman"/>
          <w:sz w:val="24"/>
          <w:szCs w:val="24"/>
        </w:rPr>
        <w:t>Afrobarometer</w:t>
      </w:r>
      <w:proofErr w:type="spellEnd"/>
      <w:r w:rsidRPr="00BD1816">
        <w:rPr>
          <w:rFonts w:ascii="Times New Roman" w:hAnsi="Times New Roman" w:cs="Times New Roman"/>
          <w:sz w:val="24"/>
          <w:szCs w:val="24"/>
        </w:rPr>
        <w:t xml:space="preserve"> and Demographic and Health Survey data from 29 SSA countries, </w:t>
      </w:r>
      <w:r w:rsidR="0026168B" w:rsidRPr="00BD1816">
        <w:rPr>
          <w:rFonts w:ascii="Times New Roman" w:hAnsi="Times New Roman" w:cs="Times New Roman"/>
          <w:sz w:val="24"/>
          <w:szCs w:val="24"/>
          <w:lang w:val="en-US"/>
        </w:rPr>
        <w:t xml:space="preserve">the publication of </w:t>
      </w:r>
      <w:proofErr w:type="spellStart"/>
      <w:r w:rsidRPr="00BD1816">
        <w:rPr>
          <w:rFonts w:ascii="Times New Roman" w:hAnsi="Times New Roman" w:cs="Times New Roman"/>
          <w:sz w:val="24"/>
          <w:szCs w:val="24"/>
        </w:rPr>
        <w:t>Bukari</w:t>
      </w:r>
      <w:proofErr w:type="spellEnd"/>
      <w:r w:rsidRPr="00BD1816">
        <w:rPr>
          <w:rFonts w:ascii="Times New Roman" w:hAnsi="Times New Roman" w:cs="Times New Roman"/>
          <w:sz w:val="24"/>
          <w:szCs w:val="24"/>
        </w:rPr>
        <w:t xml:space="preserve"> et al. (2024), in World Development, show that higher levels of perceived corruption within healthcare systems are associated with significantly greater healthcare deprivation among low-income households. Their findings indicate that bribery during healthcare consultations affects between 12% and 35% of patients across SSA countries, effectively imposing a regressive "health tax" that disproportionately burdens the poor.</w:t>
      </w:r>
    </w:p>
    <w:p w14:paraId="71F44904" w14:textId="1D28FBC7" w:rsidR="006B438F" w:rsidRPr="00BD1816" w:rsidRDefault="005C433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Similarly, </w:t>
      </w: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and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xml:space="preserve"> (2024), in PLOS ONE, </w:t>
      </w:r>
      <w:r w:rsidR="0026168B" w:rsidRPr="00BD1816">
        <w:rPr>
          <w:rFonts w:ascii="Times New Roman" w:hAnsi="Times New Roman" w:cs="Times New Roman"/>
          <w:sz w:val="24"/>
          <w:szCs w:val="24"/>
          <w:lang w:val="en-US"/>
        </w:rPr>
        <w:t>found</w:t>
      </w:r>
      <w:r w:rsidRPr="00BD1816">
        <w:rPr>
          <w:rFonts w:ascii="Times New Roman" w:hAnsi="Times New Roman" w:cs="Times New Roman"/>
          <w:sz w:val="24"/>
          <w:szCs w:val="24"/>
        </w:rPr>
        <w:t xml:space="preserve"> that countries with stronger governance institutions are significantly less likely to belong to "bad health outcome clubs" in a club convergence analysis of 54 African countries covering the period 2000–2019, even after controlling for health expenditure, urbanisation, and education.</w:t>
      </w:r>
      <w:r w:rsidR="0026168B"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 xml:space="preserve">The detrimental effects of corruption extend beyond healthcare access. Drawing on data from 145 countries over a 50-year period, </w:t>
      </w:r>
      <w:proofErr w:type="spellStart"/>
      <w:r w:rsidRPr="00BD1816">
        <w:rPr>
          <w:rFonts w:ascii="Times New Roman" w:hAnsi="Times New Roman" w:cs="Times New Roman"/>
          <w:sz w:val="24"/>
          <w:szCs w:val="24"/>
        </w:rPr>
        <w:t>Dincer</w:t>
      </w:r>
      <w:proofErr w:type="spellEnd"/>
      <w:r w:rsidRPr="00BD1816">
        <w:rPr>
          <w:rFonts w:ascii="Times New Roman" w:hAnsi="Times New Roman" w:cs="Times New Roman"/>
          <w:sz w:val="24"/>
          <w:szCs w:val="24"/>
        </w:rPr>
        <w:t xml:space="preserve"> and Teoman (2019) demonstrate that corruption increases infant mortality through two principal channels</w:t>
      </w:r>
      <w:r w:rsidR="0026168B" w:rsidRPr="00BD1816">
        <w:rPr>
          <w:rFonts w:ascii="Times New Roman" w:hAnsi="Times New Roman" w:cs="Times New Roman"/>
          <w:sz w:val="24"/>
          <w:szCs w:val="24"/>
          <w:lang w:val="en-US"/>
        </w:rPr>
        <w:t xml:space="preserve"> which begins with</w:t>
      </w:r>
      <w:r w:rsidRPr="00BD1816">
        <w:rPr>
          <w:rFonts w:ascii="Times New Roman" w:hAnsi="Times New Roman" w:cs="Times New Roman"/>
          <w:sz w:val="24"/>
          <w:szCs w:val="24"/>
        </w:rPr>
        <w:t xml:space="preserve"> reducing government revenues available for health spending, </w:t>
      </w:r>
      <w:r w:rsidR="0026168B" w:rsidRPr="00BD1816">
        <w:rPr>
          <w:rFonts w:ascii="Times New Roman" w:hAnsi="Times New Roman" w:cs="Times New Roman"/>
          <w:sz w:val="24"/>
          <w:szCs w:val="24"/>
          <w:lang w:val="en-US"/>
        </w:rPr>
        <w:t>and become worsened</w:t>
      </w:r>
      <w:r w:rsidRPr="00BD1816">
        <w:rPr>
          <w:rFonts w:ascii="Times New Roman" w:hAnsi="Times New Roman" w:cs="Times New Roman"/>
          <w:sz w:val="24"/>
          <w:szCs w:val="24"/>
        </w:rPr>
        <w:t xml:space="preserve"> </w:t>
      </w:r>
      <w:r w:rsidR="0026168B" w:rsidRPr="00BD1816">
        <w:rPr>
          <w:rFonts w:ascii="Times New Roman" w:hAnsi="Times New Roman" w:cs="Times New Roman"/>
          <w:sz w:val="24"/>
          <w:szCs w:val="24"/>
          <w:lang w:val="en-US"/>
        </w:rPr>
        <w:t xml:space="preserve">through </w:t>
      </w:r>
      <w:r w:rsidRPr="00BD1816">
        <w:rPr>
          <w:rFonts w:ascii="Times New Roman" w:hAnsi="Times New Roman" w:cs="Times New Roman"/>
          <w:sz w:val="24"/>
          <w:szCs w:val="24"/>
        </w:rPr>
        <w:t>divert</w:t>
      </w:r>
      <w:r w:rsidR="0026168B" w:rsidRPr="00BD1816">
        <w:rPr>
          <w:rFonts w:ascii="Times New Roman" w:hAnsi="Times New Roman" w:cs="Times New Roman"/>
          <w:sz w:val="24"/>
          <w:szCs w:val="24"/>
          <w:lang w:val="en-US"/>
        </w:rPr>
        <w:t>ion</w:t>
      </w:r>
      <w:r w:rsidR="00B50B54" w:rsidRPr="00BD1816">
        <w:rPr>
          <w:rFonts w:ascii="Times New Roman" w:hAnsi="Times New Roman" w:cs="Times New Roman"/>
          <w:sz w:val="24"/>
          <w:szCs w:val="24"/>
          <w:lang w:val="en-US"/>
        </w:rPr>
        <w:t xml:space="preserve"> of</w:t>
      </w:r>
      <w:r w:rsidRPr="00BD1816">
        <w:rPr>
          <w:rFonts w:ascii="Times New Roman" w:hAnsi="Times New Roman" w:cs="Times New Roman"/>
          <w:sz w:val="24"/>
          <w:szCs w:val="24"/>
        </w:rPr>
        <w:t xml:space="preserve"> public expenditure away from social sectors towards projects that offer greater opportunities for rent extraction. These effects are particularly pronounced in SSA, where public health expenditure averages only 2.5% of GDP and remains far below the Abuja Declaration target of allocating 15% of government expenditure to health. Consequently, corruption not only limits available health resources but also exacerbates the chronic underfunding of the region's health sector.</w:t>
      </w:r>
    </w:p>
    <w:p w14:paraId="43A20568" w14:textId="728DDDF2" w:rsidR="006B438F" w:rsidRPr="00BD1816" w:rsidRDefault="00B50B54"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HETEROGENEITY AND COMPLEXITY OF GOVERNANCE EFFECTS</w:t>
      </w:r>
    </w:p>
    <w:p w14:paraId="440FF11F" w14:textId="550C0E2C" w:rsidR="00B50B54" w:rsidRPr="00BD1816" w:rsidRDefault="00B50B54"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Further evidence of the importance of governance </w:t>
      </w:r>
      <w:r w:rsidRPr="00BD1816">
        <w:rPr>
          <w:rFonts w:ascii="Times New Roman" w:hAnsi="Times New Roman" w:cs="Times New Roman"/>
          <w:sz w:val="24"/>
          <w:szCs w:val="24"/>
          <w:lang w:val="en-US"/>
        </w:rPr>
        <w:t>stems</w:t>
      </w:r>
      <w:r w:rsidRPr="00BD1816">
        <w:rPr>
          <w:rFonts w:ascii="Times New Roman" w:hAnsi="Times New Roman" w:cs="Times New Roman"/>
          <w:sz w:val="24"/>
          <w:szCs w:val="24"/>
        </w:rPr>
        <w:t xml:space="preserve"> from </w:t>
      </w:r>
      <w:r w:rsidRPr="00BD1816">
        <w:rPr>
          <w:rFonts w:ascii="Times New Roman" w:hAnsi="Times New Roman" w:cs="Times New Roman"/>
          <w:sz w:val="24"/>
          <w:szCs w:val="24"/>
          <w:lang w:val="en-US"/>
        </w:rPr>
        <w:t xml:space="preserve">the research of </w:t>
      </w:r>
      <w:proofErr w:type="spellStart"/>
      <w:r w:rsidRPr="00BD1816">
        <w:rPr>
          <w:rFonts w:ascii="Times New Roman" w:hAnsi="Times New Roman" w:cs="Times New Roman"/>
          <w:sz w:val="24"/>
          <w:szCs w:val="24"/>
        </w:rPr>
        <w:t>Christmals</w:t>
      </w:r>
      <w:proofErr w:type="spellEnd"/>
      <w:r w:rsidRPr="00BD1816">
        <w:rPr>
          <w:rFonts w:ascii="Times New Roman" w:hAnsi="Times New Roman" w:cs="Times New Roman"/>
          <w:sz w:val="24"/>
          <w:szCs w:val="24"/>
        </w:rPr>
        <w:t xml:space="preserve"> and </w:t>
      </w:r>
      <w:proofErr w:type="spellStart"/>
      <w:r w:rsidRPr="00BD1816">
        <w:rPr>
          <w:rFonts w:ascii="Times New Roman" w:hAnsi="Times New Roman" w:cs="Times New Roman"/>
          <w:sz w:val="24"/>
          <w:szCs w:val="24"/>
        </w:rPr>
        <w:t>Aidam</w:t>
      </w:r>
      <w:proofErr w:type="spellEnd"/>
      <w:r w:rsidRPr="00BD1816">
        <w:rPr>
          <w:rFonts w:ascii="Times New Roman" w:hAnsi="Times New Roman" w:cs="Times New Roman"/>
          <w:sz w:val="24"/>
          <w:szCs w:val="24"/>
        </w:rPr>
        <w:t xml:space="preserve"> (2023), whose systematic review and meta-analysis of healthcare system efficiency in SSA, reveals substantial variation in health system performance across sub-regions. The study finds that East African countries, particularly Rwanda, Ethiopia, and Uganda, consistently achieve higher levels of health system efficiency than their counterparts in West and Central Africa, despite operating under similar income and health expenditure constraints. The authors attribute much of this divergence to differences in governance quality, especially the effectiveness of public financial management and health sector administration.</w:t>
      </w:r>
    </w:p>
    <w:p w14:paraId="763C33E0" w14:textId="77777777" w:rsidR="004D5507" w:rsidRPr="00BD1816" w:rsidRDefault="00B50B54"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Rwanda provides a particularly compelling illustration of this relationship. Following extensive post-genocide institutional reforms, the country's government effectiveness score improved from the 6th to the 55th percentile globally between 1998 and 2020. Over the same period, under-five mortality declined dramatically from 230 to 45 deaths per 1,000 live births. This experience offers strong case-based evidence that improvements in governance can translate into substantial gains in population health outcomes.</w:t>
      </w:r>
    </w:p>
    <w:p w14:paraId="79DA5454" w14:textId="6B601CEB" w:rsidR="006B438F" w:rsidRPr="00BD1816" w:rsidRDefault="004D5507"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POVERTY AND HEALTHCARE OUTCOMES</w:t>
      </w:r>
      <w:r w:rsidRPr="00BD1816">
        <w:rPr>
          <w:rFonts w:ascii="Times New Roman" w:hAnsi="Times New Roman" w:cs="Times New Roman"/>
          <w:b/>
          <w:bCs/>
          <w:sz w:val="24"/>
          <w:szCs w:val="24"/>
          <w:lang w:val="en-US"/>
        </w:rPr>
        <w:t>:</w:t>
      </w:r>
      <w:r w:rsidRPr="00BD1816">
        <w:rPr>
          <w:rFonts w:ascii="Times New Roman" w:hAnsi="Times New Roman" w:cs="Times New Roman"/>
          <w:b/>
          <w:bCs/>
          <w:sz w:val="24"/>
          <w:szCs w:val="24"/>
        </w:rPr>
        <w:t xml:space="preserve"> MATERIAL DEPRIVATION AND CHILD HEALTH</w:t>
      </w:r>
    </w:p>
    <w:p w14:paraId="47E20AE8" w14:textId="4E3818E0"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Poverty in SSA operates through multiple, compounding pathways to health outcomes. Across 21 reviewed studies, material deprivation </w:t>
      </w:r>
      <w:r w:rsidR="004D5507" w:rsidRPr="00BD1816">
        <w:rPr>
          <w:rFonts w:ascii="Times New Roman" w:hAnsi="Times New Roman" w:cs="Times New Roman"/>
          <w:sz w:val="24"/>
          <w:szCs w:val="24"/>
          <w:lang w:val="en-US"/>
        </w:rPr>
        <w:t>which is</w:t>
      </w:r>
      <w:r w:rsidRPr="00BD1816">
        <w:rPr>
          <w:rFonts w:ascii="Times New Roman" w:hAnsi="Times New Roman" w:cs="Times New Roman"/>
          <w:sz w:val="24"/>
          <w:szCs w:val="24"/>
        </w:rPr>
        <w:t xml:space="preserve"> measured by the multidimensional poverty index, household asset quintiles, or income below national poverty lines consistently predicts adverse child and maternal health outcomes. </w:t>
      </w:r>
      <w:proofErr w:type="spellStart"/>
      <w:r w:rsidRPr="00BD1816">
        <w:rPr>
          <w:rFonts w:ascii="Times New Roman" w:hAnsi="Times New Roman" w:cs="Times New Roman"/>
          <w:sz w:val="24"/>
          <w:szCs w:val="24"/>
        </w:rPr>
        <w:t>Oke</w:t>
      </w:r>
      <w:proofErr w:type="spellEnd"/>
      <w:r w:rsidRPr="00BD1816">
        <w:rPr>
          <w:rFonts w:ascii="Times New Roman" w:hAnsi="Times New Roman" w:cs="Times New Roman"/>
          <w:sz w:val="24"/>
          <w:szCs w:val="24"/>
        </w:rPr>
        <w:t xml:space="preserve"> and Sibomana (2025), in a review of 67 studies across Africa, identify poverty as the single most frequently cited root cause of health inequality, disparity, and inequity, operating through restricted access to adequate nutrition, clean water and sanitation, formal health services, and preventive interventions. Using WHO household survey data, they find that in SSA countries where over 40% of the population lives below $2.15 per day, under-five mortality rates are on average 2.7 times higher than in SSA countries with poverty headcount ratios below 20%.</w:t>
      </w:r>
    </w:p>
    <w:p w14:paraId="45C951CE" w14:textId="16361DB4" w:rsidR="006B438F" w:rsidRPr="00BD1816" w:rsidRDefault="00CD53C5"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Bala et al. (2025), using panel data from 48 SSA countries spanning 1990–2023, provide strong evidence that poverty remains a significant determinant of adverse health outcomes. Controlling for factors such as the Human Development Index, access to electricity, and public health expenditure, the authors find that higher poverty levels </w:t>
      </w:r>
      <w:r w:rsidRPr="00BD1816">
        <w:rPr>
          <w:rFonts w:ascii="Times New Roman" w:hAnsi="Times New Roman" w:cs="Times New Roman"/>
          <w:sz w:val="24"/>
          <w:szCs w:val="24"/>
        </w:rPr>
        <w:lastRenderedPageBreak/>
        <w:t>are associated with lower life expectancy and higher child mortality. Specifically, a 10-percentage-point increase in the poverty headcount is linked to a 1.8-year decline in life expectancy (β = −0.18, p &lt; 0.001) and an increase of 4.3 under-five deaths per 1,000 live births (β = 4.33, p &lt; 0.001) in the long run. These findings provide strong support for the material deprivation pathway through which poverty undermines health outcomes. Importantly, the results remain robust under instrumental variable estimation using lagged poverty rates and colonial-era institutional characteristics as instruments, reducing concerns about reverse causality between health and poverty.</w:t>
      </w:r>
    </w:p>
    <w:p w14:paraId="57541869" w14:textId="0883F146" w:rsidR="006B438F" w:rsidRPr="00BD1816" w:rsidRDefault="00804A7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POVERTY, OUT-OF-POCKET HEALTH EXPENDITURE, AND FINANCIAL CATASTROPHE</w:t>
      </w:r>
    </w:p>
    <w:p w14:paraId="0C00E7C9" w14:textId="7C886918" w:rsidR="00763659" w:rsidRPr="00BD1816" w:rsidRDefault="00763659"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One of the most harmful ways poverty and poor health reinforce each other in SSA is through high out-of-pocket healthcare spending. According to WHO (2024), an estimated 2.1 billion people worldwide experienced financial hardship due to health expenses in 2022, with SSA accounting for a disproportionately large share of this burden. The WHO and World Bank Tracking Universal Health Coverage Report (2023) further shows that the Universal Health Coverage (UHC) Service Coverage Index in the WHO African Region stood at only 46 out of 100 in 2019, reflecting significant gaps in access to essential health services. At the same time, the number of households facing catastrophic health expenditure</w:t>
      </w:r>
      <w:r w:rsidRPr="00BD1816">
        <w:rPr>
          <w:rFonts w:ascii="Times New Roman" w:hAnsi="Times New Roman" w:cs="Times New Roman"/>
          <w:sz w:val="24"/>
          <w:szCs w:val="24"/>
          <w:lang w:val="en-US"/>
        </w:rPr>
        <w:t xml:space="preserve"> classified</w:t>
      </w:r>
      <w:r w:rsidRPr="00BD1816">
        <w:rPr>
          <w:rFonts w:ascii="Times New Roman" w:hAnsi="Times New Roman" w:cs="Times New Roman"/>
          <w:sz w:val="24"/>
          <w:szCs w:val="24"/>
        </w:rPr>
        <w:t xml:space="preserve"> as spending more than 10% of household consumption on healthcare</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rose sharply from 51 million to 87 million between 2000 and 2019. This trend highlights how population growth has far outpaced improvements in financial protection, deepening the cycle of poverty and poor health across the region.</w:t>
      </w:r>
    </w:p>
    <w:p w14:paraId="6ED68856" w14:textId="7198CBA7" w:rsidR="005A545B" w:rsidRPr="00BD1816" w:rsidRDefault="005A545B"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Nwosu and </w:t>
      </w:r>
      <w:proofErr w:type="spellStart"/>
      <w:r w:rsidRPr="00BD1816">
        <w:rPr>
          <w:rFonts w:ascii="Times New Roman" w:hAnsi="Times New Roman" w:cs="Times New Roman"/>
          <w:sz w:val="24"/>
          <w:szCs w:val="24"/>
        </w:rPr>
        <w:t>Oyenubi</w:t>
      </w:r>
      <w:proofErr w:type="spellEnd"/>
      <w:r w:rsidRPr="00BD1816">
        <w:rPr>
          <w:rFonts w:ascii="Times New Roman" w:hAnsi="Times New Roman" w:cs="Times New Roman"/>
          <w:sz w:val="24"/>
          <w:szCs w:val="24"/>
        </w:rPr>
        <w:t xml:space="preserve"> (2021), using South African household panel data, show that poverty and income-related health inequalities worsened considerably during the COVID-19 period, while social protection grants offered only limited protection against the health effects of income shocks. Their concentration curve analysis indicates that pro-rich inequality in healthcare utilisation widened significantly, with the concentration index increasing from CI = −0.08 in 2017 to CI = −0.14 in 2021. This suggests that access to effective healthcare became increasingly skewed in favour of wealthier households, even after accounting for differences in healthcare needs.</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 xml:space="preserve">This trend reflects a broader pattern across SSA. </w:t>
      </w:r>
      <w:proofErr w:type="spellStart"/>
      <w:r w:rsidRPr="00BD1816">
        <w:rPr>
          <w:rFonts w:ascii="Times New Roman" w:hAnsi="Times New Roman" w:cs="Times New Roman"/>
          <w:sz w:val="24"/>
          <w:szCs w:val="24"/>
        </w:rPr>
        <w:t>Gwatkin</w:t>
      </w:r>
      <w:proofErr w:type="spellEnd"/>
      <w:r w:rsidRPr="00BD1816">
        <w:rPr>
          <w:rFonts w:ascii="Times New Roman" w:hAnsi="Times New Roman" w:cs="Times New Roman"/>
          <w:sz w:val="24"/>
          <w:szCs w:val="24"/>
        </w:rPr>
        <w:t xml:space="preserve"> and Ergo (2011) argue that expansions in Universal Health Coverage (UHC), unless deliberately structured to prioritise low-income populations, have historically tended to benefit wealthier groups first. As a result, such reforms often reproduce existing health inequalities rather than reducing them.</w:t>
      </w:r>
    </w:p>
    <w:p w14:paraId="2A14AC17" w14:textId="3F3E69AC" w:rsidR="006B438F" w:rsidRPr="00BD1816" w:rsidRDefault="005A545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INCOME INEQUALITY AND HEALTHCARE OUTCOMES</w:t>
      </w:r>
    </w:p>
    <w:p w14:paraId="761AC39F" w14:textId="43D49071" w:rsidR="006B438F" w:rsidRPr="00BD1816" w:rsidRDefault="005A545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THE INEQUALITY–HEALTH RELATIONSHIP: MECHANISMS AND EVIDENCE</w:t>
      </w:r>
    </w:p>
    <w:p w14:paraId="7BCF9FB9" w14:textId="604B2E18" w:rsidR="006B438F" w:rsidRPr="00BD1816" w:rsidRDefault="006B438F" w:rsidP="00BD1816">
      <w:pPr>
        <w:spacing w:before="240" w:after="240" w:line="240" w:lineRule="auto"/>
        <w:ind w:left="238" w:right="238"/>
        <w:jc w:val="both"/>
        <w:rPr>
          <w:rFonts w:ascii="Times New Roman" w:hAnsi="Times New Roman" w:cs="Times New Roman"/>
          <w:sz w:val="24"/>
          <w:szCs w:val="24"/>
          <w:lang w:val="en-US"/>
        </w:rPr>
      </w:pPr>
      <w:r w:rsidRPr="00BD1816">
        <w:rPr>
          <w:rFonts w:ascii="Times New Roman" w:hAnsi="Times New Roman" w:cs="Times New Roman"/>
          <w:sz w:val="24"/>
          <w:szCs w:val="24"/>
        </w:rPr>
        <w:t>Income inequality, distinct from poverty, is hypothesised to worsen population health outcomes through multiple mechanisms. In the psychosocial pathway, greater inequality generates social comparisons, status competition, and erosion of social trust that produce chronic stress and associated physiological consequences (Pickett &amp; Wilkinson, 2015; Marmot, 2005). In the neo-material pathway, inequality restricts public investment in health-protective good</w:t>
      </w:r>
      <w:r w:rsidR="00695FC2" w:rsidRPr="00BD1816">
        <w:rPr>
          <w:rFonts w:ascii="Times New Roman" w:hAnsi="Times New Roman" w:cs="Times New Roman"/>
          <w:sz w:val="24"/>
          <w:szCs w:val="24"/>
          <w:lang w:val="en-US"/>
        </w:rPr>
        <w:t xml:space="preserve"> including</w:t>
      </w:r>
      <w:r w:rsidRPr="00BD1816">
        <w:rPr>
          <w:rFonts w:ascii="Times New Roman" w:hAnsi="Times New Roman" w:cs="Times New Roman"/>
          <w:sz w:val="24"/>
          <w:szCs w:val="24"/>
        </w:rPr>
        <w:t xml:space="preserve"> sanitation infrastructure, primary health care networks</w:t>
      </w:r>
      <w:r w:rsidR="00695FC2" w:rsidRPr="00BD1816">
        <w:rPr>
          <w:rFonts w:ascii="Times New Roman" w:hAnsi="Times New Roman" w:cs="Times New Roman"/>
          <w:sz w:val="24"/>
          <w:szCs w:val="24"/>
          <w:lang w:val="en-US"/>
        </w:rPr>
        <w:t xml:space="preserve"> and </w:t>
      </w:r>
      <w:r w:rsidRPr="00BD1816">
        <w:rPr>
          <w:rFonts w:ascii="Times New Roman" w:hAnsi="Times New Roman" w:cs="Times New Roman"/>
          <w:sz w:val="24"/>
          <w:szCs w:val="24"/>
        </w:rPr>
        <w:t>preventive services</w:t>
      </w:r>
      <w:r w:rsidR="00695FC2"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by concentrating political power among elites who substitute private provision for public goods (Lynch et al., 2000). In SSA, where the Gini coefficient averages approximately 0.44 </w:t>
      </w:r>
      <w:r w:rsidR="00695FC2" w:rsidRPr="00BD1816">
        <w:rPr>
          <w:rFonts w:ascii="Times New Roman" w:hAnsi="Times New Roman" w:cs="Times New Roman"/>
          <w:sz w:val="24"/>
          <w:szCs w:val="24"/>
          <w:lang w:val="en-US"/>
        </w:rPr>
        <w:t xml:space="preserve">which is </w:t>
      </w:r>
      <w:r w:rsidRPr="00BD1816">
        <w:rPr>
          <w:rFonts w:ascii="Times New Roman" w:hAnsi="Times New Roman" w:cs="Times New Roman"/>
          <w:sz w:val="24"/>
          <w:szCs w:val="24"/>
        </w:rPr>
        <w:t>among the highest globally</w:t>
      </w:r>
      <w:r w:rsidR="00695FC2"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both pathways are likely</w:t>
      </w:r>
      <w:r w:rsidR="00695FC2" w:rsidRPr="00BD1816">
        <w:rPr>
          <w:rFonts w:ascii="Times New Roman" w:hAnsi="Times New Roman" w:cs="Times New Roman"/>
          <w:sz w:val="24"/>
          <w:szCs w:val="24"/>
          <w:lang w:val="en-US"/>
        </w:rPr>
        <w:t xml:space="preserve"> operational.</w:t>
      </w:r>
    </w:p>
    <w:p w14:paraId="53C20D10" w14:textId="09E4334F" w:rsidR="00834CA0" w:rsidRPr="00BD1816" w:rsidRDefault="00330AF4" w:rsidP="00BD1816">
      <w:pPr>
        <w:spacing w:before="240" w:after="240" w:line="240" w:lineRule="auto"/>
        <w:ind w:left="238" w:right="238"/>
        <w:jc w:val="both"/>
        <w:rPr>
          <w:rFonts w:ascii="Times New Roman" w:hAnsi="Times New Roman" w:cs="Times New Roman"/>
          <w:sz w:val="24"/>
          <w:szCs w:val="24"/>
          <w:lang w:val="en-US"/>
        </w:rPr>
      </w:pPr>
      <w:r w:rsidRPr="00BD1816">
        <w:rPr>
          <w:rFonts w:ascii="Times New Roman" w:hAnsi="Times New Roman" w:cs="Times New Roman"/>
          <w:sz w:val="24"/>
          <w:szCs w:val="24"/>
        </w:rPr>
        <w:t>Bala et al.,</w:t>
      </w:r>
      <w:r w:rsidRPr="00BD1816">
        <w:rPr>
          <w:rFonts w:ascii="Times New Roman" w:hAnsi="Times New Roman" w:cs="Times New Roman"/>
          <w:sz w:val="24"/>
          <w:szCs w:val="24"/>
          <w:lang w:val="en-US"/>
        </w:rPr>
        <w:t xml:space="preserve"> (2025)</w:t>
      </w:r>
      <w:r w:rsidRPr="00BD1816">
        <w:rPr>
          <w:rFonts w:ascii="Times New Roman" w:hAnsi="Times New Roman" w:cs="Times New Roman"/>
          <w:sz w:val="24"/>
          <w:szCs w:val="24"/>
        </w:rPr>
        <w:t xml:space="preserve"> using a 48-country panel for Sub-Saharan Africa, found that income inequality</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proxied by the Gini coefficient</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has significant adverse long-run effects on health outcomes. Specifically, their results show that higher inequality significantly reduces life expectancy (θ = −0.21, p &lt; 0.01) while increasing under-five mortality (θ = 3.87, p &lt; 0.05), even after controlling for poverty headcount, per-capita GDP, and public health expenditure</w:t>
      </w:r>
      <w:r w:rsidR="00834CA0" w:rsidRPr="00BD1816">
        <w:rPr>
          <w:rFonts w:ascii="Times New Roman" w:hAnsi="Times New Roman" w:cs="Times New Roman"/>
          <w:sz w:val="24"/>
          <w:szCs w:val="24"/>
          <w:lang w:val="en-US"/>
        </w:rPr>
        <w:t xml:space="preserve"> </w:t>
      </w:r>
      <w:r w:rsidR="00834CA0" w:rsidRPr="00BD1816">
        <w:rPr>
          <w:rFonts w:ascii="Times New Roman" w:hAnsi="Times New Roman" w:cs="Times New Roman"/>
          <w:sz w:val="24"/>
          <w:szCs w:val="24"/>
        </w:rPr>
        <w:t>Importantly, their findings show that natural resource dependence</w:t>
      </w:r>
      <w:r w:rsidR="00834CA0" w:rsidRPr="00BD1816">
        <w:rPr>
          <w:rFonts w:ascii="Times New Roman" w:hAnsi="Times New Roman" w:cs="Times New Roman"/>
          <w:sz w:val="24"/>
          <w:szCs w:val="24"/>
          <w:lang w:val="en-US"/>
        </w:rPr>
        <w:t xml:space="preserve">, </w:t>
      </w:r>
      <w:r w:rsidR="00834CA0" w:rsidRPr="00BD1816">
        <w:rPr>
          <w:rFonts w:ascii="Times New Roman" w:hAnsi="Times New Roman" w:cs="Times New Roman"/>
          <w:sz w:val="24"/>
          <w:szCs w:val="24"/>
        </w:rPr>
        <w:t>measured by resource rents as a share of GDP</w:t>
      </w:r>
      <w:r w:rsidR="00834CA0" w:rsidRPr="00BD1816">
        <w:rPr>
          <w:rFonts w:ascii="Times New Roman" w:hAnsi="Times New Roman" w:cs="Times New Roman"/>
          <w:sz w:val="24"/>
          <w:szCs w:val="24"/>
          <w:lang w:val="en-US"/>
        </w:rPr>
        <w:t xml:space="preserve"> </w:t>
      </w:r>
      <w:r w:rsidR="00834CA0" w:rsidRPr="00BD1816">
        <w:rPr>
          <w:rFonts w:ascii="Times New Roman" w:hAnsi="Times New Roman" w:cs="Times New Roman"/>
          <w:sz w:val="24"/>
          <w:szCs w:val="24"/>
        </w:rPr>
        <w:t>intensifies the inequality–health relationship</w:t>
      </w:r>
      <w:r w:rsidR="00F809A2" w:rsidRPr="00BD1816">
        <w:rPr>
          <w:rFonts w:ascii="Times New Roman" w:hAnsi="Times New Roman" w:cs="Times New Roman"/>
          <w:sz w:val="24"/>
          <w:szCs w:val="24"/>
          <w:lang w:val="en-US"/>
        </w:rPr>
        <w:t>.</w:t>
      </w:r>
      <w:r w:rsidR="00834CA0" w:rsidRPr="00BD1816">
        <w:rPr>
          <w:rFonts w:ascii="Times New Roman" w:hAnsi="Times New Roman" w:cs="Times New Roman"/>
          <w:sz w:val="24"/>
          <w:szCs w:val="24"/>
        </w:rPr>
        <w:t xml:space="preserve"> </w:t>
      </w:r>
      <w:r w:rsidR="00F809A2" w:rsidRPr="00BD1816">
        <w:rPr>
          <w:rFonts w:ascii="Times New Roman" w:hAnsi="Times New Roman" w:cs="Times New Roman"/>
          <w:sz w:val="24"/>
          <w:szCs w:val="24"/>
          <w:lang w:val="en-US"/>
        </w:rPr>
        <w:t>The study emphasizes that</w:t>
      </w:r>
      <w:r w:rsidR="00834CA0" w:rsidRPr="00BD1816">
        <w:rPr>
          <w:rFonts w:ascii="Times New Roman" w:hAnsi="Times New Roman" w:cs="Times New Roman"/>
          <w:sz w:val="24"/>
          <w:szCs w:val="24"/>
        </w:rPr>
        <w:t xml:space="preserve"> resource revenues tend to be concentrated among elites rather than channelled into broad-based public service provision, reinforcing the arguments of the resource curse literature. Similarly, Chatterjee and </w:t>
      </w:r>
      <w:proofErr w:type="spellStart"/>
      <w:r w:rsidR="00834CA0" w:rsidRPr="00BD1816">
        <w:rPr>
          <w:rFonts w:ascii="Times New Roman" w:hAnsi="Times New Roman" w:cs="Times New Roman"/>
          <w:sz w:val="24"/>
          <w:szCs w:val="24"/>
        </w:rPr>
        <w:t>Teame</w:t>
      </w:r>
      <w:proofErr w:type="spellEnd"/>
      <w:r w:rsidR="00834CA0" w:rsidRPr="00BD1816">
        <w:rPr>
          <w:rFonts w:ascii="Times New Roman" w:hAnsi="Times New Roman" w:cs="Times New Roman"/>
          <w:sz w:val="24"/>
          <w:szCs w:val="24"/>
        </w:rPr>
        <w:t>,</w:t>
      </w:r>
      <w:r w:rsidR="00F809A2" w:rsidRPr="00BD1816">
        <w:rPr>
          <w:rFonts w:ascii="Times New Roman" w:hAnsi="Times New Roman" w:cs="Times New Roman"/>
          <w:sz w:val="24"/>
          <w:szCs w:val="24"/>
          <w:lang w:val="en-US"/>
        </w:rPr>
        <w:t xml:space="preserve"> (2024)</w:t>
      </w:r>
      <w:r w:rsidR="00834CA0" w:rsidRPr="00BD1816">
        <w:rPr>
          <w:rFonts w:ascii="Times New Roman" w:hAnsi="Times New Roman" w:cs="Times New Roman"/>
          <w:sz w:val="24"/>
          <w:szCs w:val="24"/>
        </w:rPr>
        <w:t xml:space="preserve"> in a dynamic panel analysis report</w:t>
      </w:r>
      <w:r w:rsidR="00F809A2" w:rsidRPr="00BD1816">
        <w:rPr>
          <w:rFonts w:ascii="Times New Roman" w:hAnsi="Times New Roman" w:cs="Times New Roman"/>
          <w:sz w:val="24"/>
          <w:szCs w:val="24"/>
          <w:lang w:val="en-US"/>
        </w:rPr>
        <w:t>ed</w:t>
      </w:r>
      <w:r w:rsidR="00834CA0" w:rsidRPr="00BD1816">
        <w:rPr>
          <w:rFonts w:ascii="Times New Roman" w:hAnsi="Times New Roman" w:cs="Times New Roman"/>
          <w:sz w:val="24"/>
          <w:szCs w:val="24"/>
        </w:rPr>
        <w:t xml:space="preserve"> that income inequality has persistent long-run detrimental effects on both health and education outcomes across Africa. Their study further highlights that public social spending serves as a mitigating factor, partially offsetting</w:t>
      </w:r>
      <w:r w:rsidR="00560BCE" w:rsidRPr="00BD1816">
        <w:rPr>
          <w:rFonts w:ascii="Times New Roman" w:hAnsi="Times New Roman" w:cs="Times New Roman"/>
          <w:sz w:val="24"/>
          <w:szCs w:val="24"/>
          <w:lang w:val="en-US"/>
        </w:rPr>
        <w:t xml:space="preserve"> </w:t>
      </w:r>
      <w:r w:rsidR="00834CA0" w:rsidRPr="00BD1816">
        <w:rPr>
          <w:rFonts w:ascii="Times New Roman" w:hAnsi="Times New Roman" w:cs="Times New Roman"/>
          <w:sz w:val="24"/>
          <w:szCs w:val="24"/>
        </w:rPr>
        <w:t>but not fully eliminating</w:t>
      </w:r>
      <w:r w:rsidR="00560BCE" w:rsidRPr="00BD1816">
        <w:rPr>
          <w:rFonts w:ascii="Times New Roman" w:hAnsi="Times New Roman" w:cs="Times New Roman"/>
          <w:sz w:val="24"/>
          <w:szCs w:val="24"/>
          <w:lang w:val="en-US"/>
        </w:rPr>
        <w:t xml:space="preserve"> </w:t>
      </w:r>
      <w:r w:rsidR="00834CA0" w:rsidRPr="00BD1816">
        <w:rPr>
          <w:rFonts w:ascii="Times New Roman" w:hAnsi="Times New Roman" w:cs="Times New Roman"/>
          <w:sz w:val="24"/>
          <w:szCs w:val="24"/>
        </w:rPr>
        <w:t>the negative consequences of inequality</w:t>
      </w:r>
      <w:r w:rsidR="00560BCE" w:rsidRPr="00BD1816">
        <w:rPr>
          <w:rFonts w:ascii="Times New Roman" w:hAnsi="Times New Roman" w:cs="Times New Roman"/>
          <w:sz w:val="24"/>
          <w:szCs w:val="24"/>
          <w:lang w:val="en-US"/>
        </w:rPr>
        <w:t>.</w:t>
      </w:r>
    </w:p>
    <w:p w14:paraId="2123F828" w14:textId="70785782" w:rsidR="006B438F" w:rsidRPr="00BD1816" w:rsidRDefault="005A545B"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HEALTH SYSTEM INEQUALITY AND UTILISATION GAPS</w:t>
      </w:r>
    </w:p>
    <w:p w14:paraId="426CBA56" w14:textId="77777777" w:rsidR="00962FD3" w:rsidRPr="00BD1816" w:rsidRDefault="006B438F" w:rsidP="00BD1816">
      <w:pPr>
        <w:spacing w:before="240" w:after="240" w:line="240" w:lineRule="auto"/>
        <w:ind w:left="238" w:right="238"/>
        <w:jc w:val="both"/>
        <w:rPr>
          <w:rFonts w:ascii="Times New Roman" w:hAnsi="Times New Roman" w:cs="Times New Roman"/>
          <w:sz w:val="24"/>
          <w:szCs w:val="24"/>
        </w:rPr>
      </w:pP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and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xml:space="preserve"> (2024), in their PLOS ONE study, </w:t>
      </w:r>
      <w:r w:rsidR="00F737EE" w:rsidRPr="00BD1816">
        <w:rPr>
          <w:rFonts w:ascii="Times New Roman" w:hAnsi="Times New Roman" w:cs="Times New Roman"/>
          <w:sz w:val="24"/>
          <w:szCs w:val="24"/>
          <w:lang w:val="en-US"/>
        </w:rPr>
        <w:t>found</w:t>
      </w:r>
      <w:r w:rsidRPr="00BD1816">
        <w:rPr>
          <w:rFonts w:ascii="Times New Roman" w:hAnsi="Times New Roman" w:cs="Times New Roman"/>
          <w:sz w:val="24"/>
          <w:szCs w:val="24"/>
        </w:rPr>
        <w:t xml:space="preserve"> that intra-country health outcome disparities in Africa declined in 30 of 54 countries between 2000 and 2019 but worsened in 24, with the worst deterioration concentrated in countries characterised by high income inequality and weak governance. Countries in </w:t>
      </w:r>
      <w:r w:rsidRPr="00BD1816">
        <w:rPr>
          <w:rFonts w:ascii="Times New Roman" w:hAnsi="Times New Roman" w:cs="Times New Roman"/>
          <w:sz w:val="24"/>
          <w:szCs w:val="24"/>
        </w:rPr>
        <w:lastRenderedPageBreak/>
        <w:t>the highest quintile of governance quality achieved both faster average health outcome improvements and greater intra-country convergence in health outcomes, suggesting that governance quality is a double dividend</w:t>
      </w:r>
      <w:r w:rsidR="00F737EE"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w:t>
      </w:r>
      <w:r w:rsidR="00F737EE" w:rsidRPr="00BD1816">
        <w:rPr>
          <w:rFonts w:ascii="Times New Roman" w:hAnsi="Times New Roman" w:cs="Times New Roman"/>
          <w:sz w:val="24"/>
          <w:szCs w:val="24"/>
          <w:lang w:val="en-US"/>
        </w:rPr>
        <w:t xml:space="preserve">This is so because it specifically leads to </w:t>
      </w:r>
      <w:r w:rsidRPr="00BD1816">
        <w:rPr>
          <w:rFonts w:ascii="Times New Roman" w:hAnsi="Times New Roman" w:cs="Times New Roman"/>
          <w:sz w:val="24"/>
          <w:szCs w:val="24"/>
        </w:rPr>
        <w:t>improv</w:t>
      </w:r>
      <w:r w:rsidR="00F737EE" w:rsidRPr="00BD1816">
        <w:rPr>
          <w:rFonts w:ascii="Times New Roman" w:hAnsi="Times New Roman" w:cs="Times New Roman"/>
          <w:sz w:val="24"/>
          <w:szCs w:val="24"/>
          <w:lang w:val="en-US"/>
        </w:rPr>
        <w:t>ed</w:t>
      </w:r>
      <w:r w:rsidRPr="00BD1816">
        <w:rPr>
          <w:rFonts w:ascii="Times New Roman" w:hAnsi="Times New Roman" w:cs="Times New Roman"/>
          <w:sz w:val="24"/>
          <w:szCs w:val="24"/>
        </w:rPr>
        <w:t xml:space="preserve"> population averages while also reducing the within-country inequality of health. </w:t>
      </w:r>
      <w:r w:rsidR="00962FD3" w:rsidRPr="00BD1816">
        <w:rPr>
          <w:rFonts w:ascii="Times New Roman" w:hAnsi="Times New Roman" w:cs="Times New Roman"/>
          <w:sz w:val="24"/>
          <w:szCs w:val="24"/>
        </w:rPr>
        <w:t>This finding is theoretically significant as it indicates that governance reform constitutes a rare policy intervention in the health sector that simultaneously enhances efficiency while promoting equity.</w:t>
      </w:r>
    </w:p>
    <w:p w14:paraId="070E935B" w14:textId="43ACE253" w:rsidR="006B438F" w:rsidRPr="00BD1816" w:rsidRDefault="00962FD3"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CLIMATE CHANGE AND HEALTHCARE OUTCOMES IN SSA</w:t>
      </w:r>
      <w:r w:rsidRPr="00BD1816">
        <w:rPr>
          <w:rFonts w:ascii="Times New Roman" w:hAnsi="Times New Roman" w:cs="Times New Roman"/>
          <w:b/>
          <w:bCs/>
          <w:sz w:val="24"/>
          <w:szCs w:val="24"/>
          <w:lang w:val="en-US"/>
        </w:rPr>
        <w:t xml:space="preserve">: </w:t>
      </w:r>
      <w:r w:rsidRPr="00BD1816">
        <w:rPr>
          <w:rFonts w:ascii="Times New Roman" w:hAnsi="Times New Roman" w:cs="Times New Roman"/>
          <w:b/>
          <w:bCs/>
          <w:sz w:val="24"/>
          <w:szCs w:val="24"/>
        </w:rPr>
        <w:t>THE SCALE AND NATURE OF CLIMATE HEALTH IMPACTS</w:t>
      </w:r>
    </w:p>
    <w:p w14:paraId="5537CD58" w14:textId="6DFA62B5"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The Lancet Countdown on Health and Climate Change constitutes the authoritative global monitoring framework for climate-health linkages. Romanello et al. (2023), in the 2023 Annual Report published in The Lancet, </w:t>
      </w:r>
      <w:r w:rsidR="00962FD3" w:rsidRPr="00BD1816">
        <w:rPr>
          <w:rFonts w:ascii="Times New Roman" w:hAnsi="Times New Roman" w:cs="Times New Roman"/>
          <w:sz w:val="24"/>
          <w:szCs w:val="24"/>
          <w:lang w:val="en-US"/>
        </w:rPr>
        <w:t>indicates</w:t>
      </w:r>
      <w:r w:rsidRPr="00BD1816">
        <w:rPr>
          <w:rFonts w:ascii="Times New Roman" w:hAnsi="Times New Roman" w:cs="Times New Roman"/>
          <w:sz w:val="24"/>
          <w:szCs w:val="24"/>
        </w:rPr>
        <w:t xml:space="preserve"> that 2022 was the hottest year on record in SSA and that heat-related mortality among adults over 65 increased by 68% relative to the 1990–2014 baseline in the region. The 2024 report (Romanello et al., 2024) identifies a new record in 2023 of 13.8 heatwave days per person globally, driven disproportionately by outcomes in tropical SSA, and </w:t>
      </w:r>
      <w:r w:rsidR="00962FD3" w:rsidRPr="00BD1816">
        <w:rPr>
          <w:rFonts w:ascii="Times New Roman" w:hAnsi="Times New Roman" w:cs="Times New Roman"/>
          <w:sz w:val="24"/>
          <w:szCs w:val="24"/>
          <w:lang w:val="en-US"/>
        </w:rPr>
        <w:t>reports</w:t>
      </w:r>
      <w:r w:rsidRPr="00BD1816">
        <w:rPr>
          <w:rFonts w:ascii="Times New Roman" w:hAnsi="Times New Roman" w:cs="Times New Roman"/>
          <w:sz w:val="24"/>
          <w:szCs w:val="24"/>
        </w:rPr>
        <w:t xml:space="preserve"> that insufficient climate adaptation funding leaves SSA populations among the most exposed to the health consequences of climate extremes.</w:t>
      </w:r>
    </w:p>
    <w:p w14:paraId="46FB2F44" w14:textId="148E6B32" w:rsidR="00425CDC" w:rsidRPr="00BD1816" w:rsidRDefault="00425CDC" w:rsidP="00BD1816">
      <w:pPr>
        <w:spacing w:before="240" w:after="240" w:line="240" w:lineRule="auto"/>
        <w:ind w:left="238" w:right="238"/>
        <w:jc w:val="both"/>
        <w:rPr>
          <w:rFonts w:ascii="Times New Roman" w:hAnsi="Times New Roman" w:cs="Times New Roman"/>
          <w:sz w:val="24"/>
          <w:szCs w:val="24"/>
        </w:rPr>
      </w:pPr>
      <w:proofErr w:type="spellStart"/>
      <w:r w:rsidRPr="00BD1816">
        <w:rPr>
          <w:rFonts w:ascii="Times New Roman" w:hAnsi="Times New Roman" w:cs="Times New Roman"/>
          <w:sz w:val="24"/>
          <w:szCs w:val="24"/>
        </w:rPr>
        <w:t>Kilungo</w:t>
      </w:r>
      <w:proofErr w:type="spellEnd"/>
      <w:r w:rsidRPr="00BD1816">
        <w:rPr>
          <w:rFonts w:ascii="Times New Roman" w:hAnsi="Times New Roman" w:cs="Times New Roman"/>
          <w:sz w:val="24"/>
          <w:szCs w:val="24"/>
        </w:rPr>
        <w:t xml:space="preserve"> et al., in a scoping review published in PLOS ONE, analysed 7,851 identified records and synthesized evidence from 153 studies on climate change and health in Sub-Saharan Africa, highlighting the wide-ranging health consequences of climate variability and environmental shocks. Their review documented substantial evidence on extreme heat events (71 studies), droughts (45 studies), flooding (34 studies), extreme precipitation (52 studies), infectious diseases (24 studies), and water quality degradation (23 studies). The diversity of these impacts</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covering direct physiological stress, ecosystem-mediated disease transmission, food and water insecurity, and mental health outcomes</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emphasizes the systemic nature of climate change as a public health threat and reveals the limitations of fragmented, sector-specific policy responses</w:t>
      </w:r>
    </w:p>
    <w:p w14:paraId="5FC6C95E" w14:textId="0E506DA2" w:rsidR="006B438F" w:rsidRPr="00BD1816" w:rsidRDefault="00425CDC"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VECTOR-BORNE DISEASE AND MALARIA TRANSMISSION</w:t>
      </w:r>
    </w:p>
    <w:p w14:paraId="49C50738" w14:textId="4B1A8C9B" w:rsidR="000025EF" w:rsidRPr="00BD1816" w:rsidRDefault="000025E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link between climate change and vector-borne diseases</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especially malaria</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remains one of the most well-established pathways through which climate change affects health in Sub-Saharan Africa. Ryan et al.,</w:t>
      </w:r>
      <w:r w:rsidRPr="00BD1816">
        <w:rPr>
          <w:rFonts w:ascii="Times New Roman" w:hAnsi="Times New Roman" w:cs="Times New Roman"/>
          <w:sz w:val="24"/>
          <w:szCs w:val="24"/>
          <w:lang w:val="en-US"/>
        </w:rPr>
        <w:t xml:space="preserve"> (2020)</w:t>
      </w:r>
      <w:r w:rsidRPr="00BD1816">
        <w:rPr>
          <w:rFonts w:ascii="Times New Roman" w:hAnsi="Times New Roman" w:cs="Times New Roman"/>
          <w:sz w:val="24"/>
          <w:szCs w:val="24"/>
        </w:rPr>
        <w:t xml:space="preserve"> in a study modelled future warming scenarios and found that under a high-emission pathway (RCP 8.5), malaria transmission seasons could lengthen by more than 40 days annually across large parts of the region by 2060. This expansion could place an additional 200–300 million people at risk of malaria exposure. Of particular concern is the projected spread of malaria into highland areas of Kenya, Ethiopia, and Rwanda</w:t>
      </w:r>
      <w:r w:rsidRPr="00BD1816">
        <w:rPr>
          <w:rFonts w:ascii="Times New Roman" w:hAnsi="Times New Roman" w:cs="Times New Roman"/>
          <w:sz w:val="24"/>
          <w:szCs w:val="24"/>
          <w:lang w:val="en-US"/>
        </w:rPr>
        <w:t xml:space="preserve">. These </w:t>
      </w:r>
      <w:r w:rsidRPr="00BD1816">
        <w:rPr>
          <w:rFonts w:ascii="Times New Roman" w:hAnsi="Times New Roman" w:cs="Times New Roman"/>
          <w:sz w:val="24"/>
          <w:szCs w:val="24"/>
        </w:rPr>
        <w:t>regions have historically recorded lower malaria prevalence and often have weaker acquired immunity and less-prepared health systems.</w:t>
      </w:r>
    </w:p>
    <w:p w14:paraId="4F4CDA33" w14:textId="5C6A8CA5" w:rsidR="000025EF" w:rsidRPr="00BD1816" w:rsidRDefault="000025E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implications for child health are especially alarming. Findings from Ryan et al.</w:t>
      </w:r>
      <w:r w:rsidRPr="00BD1816">
        <w:rPr>
          <w:rFonts w:ascii="Times New Roman" w:hAnsi="Times New Roman" w:cs="Times New Roman"/>
          <w:sz w:val="24"/>
          <w:szCs w:val="24"/>
          <w:lang w:val="en-US"/>
        </w:rPr>
        <w:t xml:space="preserve"> (2020)</w:t>
      </w:r>
      <w:r w:rsidRPr="00BD1816">
        <w:rPr>
          <w:rFonts w:ascii="Times New Roman" w:hAnsi="Times New Roman" w:cs="Times New Roman"/>
          <w:sz w:val="24"/>
          <w:szCs w:val="24"/>
        </w:rPr>
        <w:t xml:space="preserve"> and Kipling et al.,</w:t>
      </w:r>
      <w:r w:rsidRPr="00BD1816">
        <w:rPr>
          <w:rFonts w:ascii="Times New Roman" w:hAnsi="Times New Roman" w:cs="Times New Roman"/>
          <w:sz w:val="24"/>
          <w:szCs w:val="24"/>
          <w:lang w:val="en-US"/>
        </w:rPr>
        <w:t xml:space="preserve"> (2017)</w:t>
      </w:r>
      <w:r w:rsidRPr="00BD1816">
        <w:rPr>
          <w:rFonts w:ascii="Times New Roman" w:hAnsi="Times New Roman" w:cs="Times New Roman"/>
          <w:sz w:val="24"/>
          <w:szCs w:val="24"/>
        </w:rPr>
        <w:t xml:space="preserve"> as cited by Romanello et al.,</w:t>
      </w:r>
      <w:r w:rsidRPr="00BD1816">
        <w:rPr>
          <w:rFonts w:ascii="Times New Roman" w:hAnsi="Times New Roman" w:cs="Times New Roman"/>
          <w:sz w:val="24"/>
          <w:szCs w:val="24"/>
          <w:lang w:val="en-US"/>
        </w:rPr>
        <w:t xml:space="preserve"> (2023)</w:t>
      </w:r>
      <w:r w:rsidRPr="00BD1816">
        <w:rPr>
          <w:rFonts w:ascii="Times New Roman" w:hAnsi="Times New Roman" w:cs="Times New Roman"/>
          <w:sz w:val="24"/>
          <w:szCs w:val="24"/>
        </w:rPr>
        <w:t xml:space="preserve"> suggest that without effective adaptation measures, climate change could increase malaria-related under-five mortality in the region by 10–15%. Such an increase threatens to erode much of the progress achieved over the last two decades through interventions such as insecticide-treated bed nets and artemisinin-based combination therapies. This concern </w:t>
      </w:r>
      <w:r w:rsidRPr="00BD1816">
        <w:rPr>
          <w:rFonts w:ascii="Times New Roman" w:hAnsi="Times New Roman" w:cs="Times New Roman"/>
          <w:sz w:val="24"/>
          <w:szCs w:val="24"/>
          <w:lang w:val="en-US"/>
        </w:rPr>
        <w:t>was further</w:t>
      </w:r>
      <w:r w:rsidRPr="00BD1816">
        <w:rPr>
          <w:rFonts w:ascii="Times New Roman" w:hAnsi="Times New Roman" w:cs="Times New Roman"/>
          <w:sz w:val="24"/>
          <w:szCs w:val="24"/>
        </w:rPr>
        <w:t xml:space="preserve"> reinforced by the child health framework developed by Sheffield and Landrigan,</w:t>
      </w:r>
      <w:r w:rsidRPr="00BD1816">
        <w:rPr>
          <w:rFonts w:ascii="Times New Roman" w:hAnsi="Times New Roman" w:cs="Times New Roman"/>
          <w:sz w:val="24"/>
          <w:szCs w:val="24"/>
          <w:lang w:val="en-US"/>
        </w:rPr>
        <w:t xml:space="preserve"> (2021)</w:t>
      </w:r>
      <w:r w:rsidRPr="00BD1816">
        <w:rPr>
          <w:rFonts w:ascii="Times New Roman" w:hAnsi="Times New Roman" w:cs="Times New Roman"/>
          <w:sz w:val="24"/>
          <w:szCs w:val="24"/>
        </w:rPr>
        <w:t xml:space="preserve"> which explains that children under five in SSA face overlapping climate-related risks</w:t>
      </w:r>
      <w:r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including heat stress, malnutrition, and infectious diseases</w:t>
      </w:r>
      <w:r w:rsidR="002A334D"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that interact to intensify both illness and mortality.</w:t>
      </w:r>
    </w:p>
    <w:p w14:paraId="798E2E18" w14:textId="322BA45A" w:rsidR="006B438F" w:rsidRPr="00BD1816" w:rsidRDefault="00042E40"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FOOD SECURITY, NUTRITION, AND CLIMATE</w:t>
      </w:r>
    </w:p>
    <w:p w14:paraId="5E8B3B37" w14:textId="08D9D08F"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Climate change interacts with </w:t>
      </w:r>
      <w:proofErr w:type="spellStart"/>
      <w:r w:rsidRPr="00BD1816">
        <w:rPr>
          <w:rFonts w:ascii="Times New Roman" w:hAnsi="Times New Roman" w:cs="Times New Roman"/>
          <w:sz w:val="24"/>
          <w:szCs w:val="24"/>
        </w:rPr>
        <w:t>SSA's</w:t>
      </w:r>
      <w:proofErr w:type="spellEnd"/>
      <w:r w:rsidRPr="00BD1816">
        <w:rPr>
          <w:rFonts w:ascii="Times New Roman" w:hAnsi="Times New Roman" w:cs="Times New Roman"/>
          <w:sz w:val="24"/>
          <w:szCs w:val="24"/>
        </w:rPr>
        <w:t xml:space="preserve"> food systems through drought, desertification, altered rainfall patterns, and extreme weather </w:t>
      </w:r>
      <w:r w:rsidR="002A334D" w:rsidRPr="00BD1816">
        <w:rPr>
          <w:rFonts w:ascii="Times New Roman" w:hAnsi="Times New Roman" w:cs="Times New Roman"/>
          <w:sz w:val="24"/>
          <w:szCs w:val="24"/>
          <w:lang w:val="en-US"/>
        </w:rPr>
        <w:t>occurrences</w:t>
      </w:r>
      <w:r w:rsidRPr="00BD1816">
        <w:rPr>
          <w:rFonts w:ascii="Times New Roman" w:hAnsi="Times New Roman" w:cs="Times New Roman"/>
          <w:sz w:val="24"/>
          <w:szCs w:val="24"/>
        </w:rPr>
        <w:t xml:space="preserve"> </w:t>
      </w:r>
      <w:r w:rsidR="002A334D" w:rsidRPr="00BD1816">
        <w:rPr>
          <w:rFonts w:ascii="Times New Roman" w:hAnsi="Times New Roman" w:cs="Times New Roman"/>
          <w:sz w:val="24"/>
          <w:szCs w:val="24"/>
          <w:lang w:val="en-US"/>
        </w:rPr>
        <w:t>leading to</w:t>
      </w:r>
      <w:r w:rsidRPr="00BD1816">
        <w:rPr>
          <w:rFonts w:ascii="Times New Roman" w:hAnsi="Times New Roman" w:cs="Times New Roman"/>
          <w:sz w:val="24"/>
          <w:szCs w:val="24"/>
        </w:rPr>
        <w:t xml:space="preserve"> nutritional deficits that </w:t>
      </w:r>
      <w:r w:rsidR="002A334D" w:rsidRPr="00BD1816">
        <w:rPr>
          <w:rFonts w:ascii="Times New Roman" w:hAnsi="Times New Roman" w:cs="Times New Roman"/>
          <w:sz w:val="24"/>
          <w:szCs w:val="24"/>
          <w:lang w:val="en-US"/>
        </w:rPr>
        <w:t xml:space="preserve">constitutes </w:t>
      </w:r>
      <w:r w:rsidRPr="00BD1816">
        <w:rPr>
          <w:rFonts w:ascii="Times New Roman" w:hAnsi="Times New Roman" w:cs="Times New Roman"/>
          <w:sz w:val="24"/>
          <w:szCs w:val="24"/>
        </w:rPr>
        <w:t xml:space="preserve">a major driver of child mortality. </w:t>
      </w:r>
      <w:proofErr w:type="spellStart"/>
      <w:r w:rsidRPr="00BD1816">
        <w:rPr>
          <w:rFonts w:ascii="Times New Roman" w:hAnsi="Times New Roman" w:cs="Times New Roman"/>
          <w:sz w:val="24"/>
          <w:szCs w:val="24"/>
        </w:rPr>
        <w:t>Lokonon</w:t>
      </w:r>
      <w:proofErr w:type="spellEnd"/>
      <w:r w:rsidRPr="00BD1816">
        <w:rPr>
          <w:rFonts w:ascii="Times New Roman" w:hAnsi="Times New Roman" w:cs="Times New Roman"/>
          <w:sz w:val="24"/>
          <w:szCs w:val="24"/>
        </w:rPr>
        <w:t xml:space="preserve"> et al. (2025), in a panel study of 46 African nations </w:t>
      </w:r>
      <w:r w:rsidR="002A334D" w:rsidRPr="00BD1816">
        <w:rPr>
          <w:rFonts w:ascii="Times New Roman" w:hAnsi="Times New Roman" w:cs="Times New Roman"/>
          <w:sz w:val="24"/>
          <w:szCs w:val="24"/>
          <w:lang w:val="en-US"/>
        </w:rPr>
        <w:t>reported</w:t>
      </w:r>
      <w:r w:rsidRPr="00BD1816">
        <w:rPr>
          <w:rFonts w:ascii="Times New Roman" w:hAnsi="Times New Roman" w:cs="Times New Roman"/>
          <w:sz w:val="24"/>
          <w:szCs w:val="24"/>
        </w:rPr>
        <w:t xml:space="preserve"> that the moderating effect of climate change on food security deteriorates health outcomes across SSA sub-regions</w:t>
      </w:r>
      <w:r w:rsidR="002A334D" w:rsidRPr="00BD1816">
        <w:rPr>
          <w:rFonts w:ascii="Times New Roman" w:hAnsi="Times New Roman" w:cs="Times New Roman"/>
          <w:sz w:val="24"/>
          <w:szCs w:val="24"/>
          <w:lang w:val="en-US"/>
        </w:rPr>
        <w:t xml:space="preserve">. The study emphasized that </w:t>
      </w:r>
      <w:r w:rsidRPr="00BD1816">
        <w:rPr>
          <w:rFonts w:ascii="Times New Roman" w:hAnsi="Times New Roman" w:cs="Times New Roman"/>
          <w:sz w:val="24"/>
          <w:szCs w:val="24"/>
        </w:rPr>
        <w:t xml:space="preserve">the strongest effects </w:t>
      </w:r>
      <w:r w:rsidR="002A334D" w:rsidRPr="00BD1816">
        <w:rPr>
          <w:rFonts w:ascii="Times New Roman" w:hAnsi="Times New Roman" w:cs="Times New Roman"/>
          <w:sz w:val="24"/>
          <w:szCs w:val="24"/>
          <w:lang w:val="en-US"/>
        </w:rPr>
        <w:t xml:space="preserve">occur </w:t>
      </w:r>
      <w:r w:rsidRPr="00BD1816">
        <w:rPr>
          <w:rFonts w:ascii="Times New Roman" w:hAnsi="Times New Roman" w:cs="Times New Roman"/>
          <w:sz w:val="24"/>
          <w:szCs w:val="24"/>
        </w:rPr>
        <w:t>in the Sahel and Horn of Africa where rainfall variability is highest. Th</w:t>
      </w:r>
      <w:r w:rsidR="002A334D" w:rsidRPr="00BD1816">
        <w:rPr>
          <w:rFonts w:ascii="Times New Roman" w:hAnsi="Times New Roman" w:cs="Times New Roman"/>
          <w:sz w:val="24"/>
          <w:szCs w:val="24"/>
          <w:lang w:val="en-US"/>
        </w:rPr>
        <w:t>e study’s</w:t>
      </w:r>
      <w:r w:rsidRPr="00BD1816">
        <w:rPr>
          <w:rFonts w:ascii="Times New Roman" w:hAnsi="Times New Roman" w:cs="Times New Roman"/>
          <w:sz w:val="24"/>
          <w:szCs w:val="24"/>
        </w:rPr>
        <w:t xml:space="preserve"> findings confirm that the food-health pathway is a critical transmission mechanism through which climate change </w:t>
      </w:r>
      <w:r w:rsidR="002A334D" w:rsidRPr="00BD1816">
        <w:rPr>
          <w:rFonts w:ascii="Times New Roman" w:hAnsi="Times New Roman" w:cs="Times New Roman"/>
          <w:sz w:val="24"/>
          <w:szCs w:val="24"/>
          <w:lang w:val="en-US"/>
        </w:rPr>
        <w:t>worsens</w:t>
      </w:r>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SSA's</w:t>
      </w:r>
      <w:proofErr w:type="spellEnd"/>
      <w:r w:rsidRPr="00BD1816">
        <w:rPr>
          <w:rFonts w:ascii="Times New Roman" w:hAnsi="Times New Roman" w:cs="Times New Roman"/>
          <w:sz w:val="24"/>
          <w:szCs w:val="24"/>
        </w:rPr>
        <w:t xml:space="preserve"> already substantial </w:t>
      </w:r>
      <w:r w:rsidR="002A334D" w:rsidRPr="00BD1816">
        <w:rPr>
          <w:rFonts w:ascii="Times New Roman" w:hAnsi="Times New Roman" w:cs="Times New Roman"/>
          <w:sz w:val="24"/>
          <w:szCs w:val="24"/>
          <w:lang w:val="en-US"/>
        </w:rPr>
        <w:t xml:space="preserve">undernutrition </w:t>
      </w:r>
      <w:r w:rsidRPr="00BD1816">
        <w:rPr>
          <w:rFonts w:ascii="Times New Roman" w:hAnsi="Times New Roman" w:cs="Times New Roman"/>
          <w:sz w:val="24"/>
          <w:szCs w:val="24"/>
        </w:rPr>
        <w:t>burden which contributes to 45% of under-five deaths globally (UNICEF, 2023).</w:t>
      </w:r>
    </w:p>
    <w:p w14:paraId="00EEFFD9"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1EB3E367"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69E5A53D" w14:textId="77777777" w:rsidR="00264DC8" w:rsidRDefault="00264DC8" w:rsidP="00BD1816">
      <w:pPr>
        <w:spacing w:before="240" w:after="240" w:line="240" w:lineRule="auto"/>
        <w:ind w:left="238" w:right="238"/>
        <w:jc w:val="both"/>
        <w:rPr>
          <w:rFonts w:ascii="Times New Roman" w:hAnsi="Times New Roman" w:cs="Times New Roman"/>
          <w:b/>
          <w:bCs/>
          <w:sz w:val="24"/>
          <w:szCs w:val="24"/>
        </w:rPr>
      </w:pPr>
    </w:p>
    <w:p w14:paraId="2263B7CF" w14:textId="7627A4AE" w:rsidR="0005588A" w:rsidRPr="00BD1816" w:rsidRDefault="0005588A"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lastRenderedPageBreak/>
        <w:t>ENVIRONMENTAL DEGRADATION AND HEALTHCARE OUTCOMES</w:t>
      </w:r>
    </w:p>
    <w:p w14:paraId="1E36F6EE" w14:textId="625268E7" w:rsidR="006B438F" w:rsidRPr="00BD1816" w:rsidRDefault="0005588A"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AIR POLLUTION: THE SILENT EPIDEMIC</w:t>
      </w:r>
    </w:p>
    <w:p w14:paraId="10D401D8" w14:textId="72FFB624" w:rsidR="00EB7705" w:rsidRPr="00BD1816" w:rsidRDefault="00EB7705"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In sub-Saharan Africa (SSA), environmental degradation is most </w:t>
      </w:r>
      <w:r w:rsidRPr="00BD1816">
        <w:rPr>
          <w:rFonts w:ascii="Times New Roman" w:hAnsi="Times New Roman" w:cs="Times New Roman"/>
          <w:sz w:val="24"/>
          <w:szCs w:val="24"/>
          <w:lang w:val="en-US"/>
        </w:rPr>
        <w:t>evidently</w:t>
      </w:r>
      <w:r w:rsidRPr="00BD1816">
        <w:rPr>
          <w:rFonts w:ascii="Times New Roman" w:hAnsi="Times New Roman" w:cs="Times New Roman"/>
          <w:sz w:val="24"/>
          <w:szCs w:val="24"/>
        </w:rPr>
        <w:t xml:space="preserve"> reflected in worsening air pollution, both within households and in the wider outdoor environment, with profound but often underestimated effects on public health. A landmark </w:t>
      </w:r>
      <w:proofErr w:type="spellStart"/>
      <w:r w:rsidRPr="00BD1816">
        <w:rPr>
          <w:rFonts w:ascii="Times New Roman" w:hAnsi="Times New Roman" w:cs="Times New Roman"/>
          <w:sz w:val="24"/>
          <w:szCs w:val="24"/>
        </w:rPr>
        <w:t>stu</w:t>
      </w:r>
      <w:r w:rsidRPr="00BD1816">
        <w:rPr>
          <w:rFonts w:ascii="Times New Roman" w:hAnsi="Times New Roman" w:cs="Times New Roman"/>
          <w:sz w:val="24"/>
          <w:szCs w:val="24"/>
          <w:lang w:val="en-US"/>
        </w:rPr>
        <w:t>dy</w:t>
      </w:r>
      <w:proofErr w:type="spellEnd"/>
      <w:r w:rsidRPr="00BD1816">
        <w:rPr>
          <w:rFonts w:ascii="Times New Roman" w:hAnsi="Times New Roman" w:cs="Times New Roman"/>
          <w:sz w:val="24"/>
          <w:szCs w:val="24"/>
        </w:rPr>
        <w:t xml:space="preserve"> by Fisher et al. (2021), provides one of the most comprehensive assessments of this burden, examining the health, human capital, and economic implications of air pollution across the continent. </w:t>
      </w:r>
      <w:r w:rsidRPr="00BD1816">
        <w:rPr>
          <w:rFonts w:ascii="Times New Roman" w:hAnsi="Times New Roman" w:cs="Times New Roman"/>
          <w:sz w:val="24"/>
          <w:szCs w:val="24"/>
          <w:lang w:val="en-US"/>
        </w:rPr>
        <w:t>Using</w:t>
      </w:r>
      <w:r w:rsidRPr="00BD1816">
        <w:rPr>
          <w:rFonts w:ascii="Times New Roman" w:hAnsi="Times New Roman" w:cs="Times New Roman"/>
          <w:sz w:val="24"/>
          <w:szCs w:val="24"/>
        </w:rPr>
        <w:t xml:space="preserve"> evidence from the 2019 Global Burden of Disease Study and the World Health Organization Global Health Observatory, the study estimate</w:t>
      </w:r>
      <w:r w:rsidRPr="00BD1816">
        <w:rPr>
          <w:rFonts w:ascii="Times New Roman" w:hAnsi="Times New Roman" w:cs="Times New Roman"/>
          <w:sz w:val="24"/>
          <w:szCs w:val="24"/>
          <w:lang w:val="en-US"/>
        </w:rPr>
        <w:t>d</w:t>
      </w:r>
      <w:r w:rsidRPr="00BD1816">
        <w:rPr>
          <w:rFonts w:ascii="Times New Roman" w:hAnsi="Times New Roman" w:cs="Times New Roman"/>
          <w:sz w:val="24"/>
          <w:szCs w:val="24"/>
        </w:rPr>
        <w:t xml:space="preserve"> that air pollution contributes to approximately 1.1 million deaths annually in Africa. </w:t>
      </w:r>
      <w:r w:rsidRPr="00BD1816">
        <w:rPr>
          <w:rFonts w:ascii="Times New Roman" w:hAnsi="Times New Roman" w:cs="Times New Roman"/>
          <w:sz w:val="24"/>
          <w:szCs w:val="24"/>
          <w:lang w:val="en-US"/>
        </w:rPr>
        <w:t>It found that a</w:t>
      </w:r>
      <w:r w:rsidRPr="00BD1816">
        <w:rPr>
          <w:rFonts w:ascii="Times New Roman" w:hAnsi="Times New Roman" w:cs="Times New Roman"/>
          <w:sz w:val="24"/>
          <w:szCs w:val="24"/>
        </w:rPr>
        <w:t xml:space="preserve"> substantial proportion of these deaths </w:t>
      </w:r>
      <w:r w:rsidRPr="00BD1816">
        <w:rPr>
          <w:rFonts w:ascii="Times New Roman" w:hAnsi="Times New Roman" w:cs="Times New Roman"/>
          <w:sz w:val="24"/>
          <w:szCs w:val="24"/>
          <w:lang w:val="en-US"/>
        </w:rPr>
        <w:t>were</w:t>
      </w:r>
      <w:r w:rsidRPr="00BD1816">
        <w:rPr>
          <w:rFonts w:ascii="Times New Roman" w:hAnsi="Times New Roman" w:cs="Times New Roman"/>
          <w:sz w:val="24"/>
          <w:szCs w:val="24"/>
        </w:rPr>
        <w:t xml:space="preserve"> driven by household air pollution, largely resulting from the widespread use of biomass fuels such as firewood and charcoal for cooking. This remains particularly acute in SSA, where nearly 80% of rural households still depend on solid fuels for daily energy needs. Recent estimates from the World Health Organization (2023) further indicate that levels of household air pollution in many parts of the region exceed recommended safety thresholds by five to ten times, underscoring the scale of environmental risk embedded in everyday living conditions.</w:t>
      </w:r>
    </w:p>
    <w:p w14:paraId="01136F54" w14:textId="5457F91B"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health consequences are distributed across multiple organ systems and life stages. Among children under five, household air pollution is the leading environmental cause of acute lower respiratory infections (ALRI)</w:t>
      </w:r>
      <w:r w:rsidR="00EB7705" w:rsidRPr="00BD1816">
        <w:rPr>
          <w:rFonts w:ascii="Times New Roman" w:hAnsi="Times New Roman" w:cs="Times New Roman"/>
          <w:sz w:val="24"/>
          <w:szCs w:val="24"/>
          <w:lang w:val="en-US"/>
        </w:rPr>
        <w:t xml:space="preserve"> which is </w:t>
      </w:r>
      <w:r w:rsidRPr="00BD1816">
        <w:rPr>
          <w:rFonts w:ascii="Times New Roman" w:hAnsi="Times New Roman" w:cs="Times New Roman"/>
          <w:sz w:val="24"/>
          <w:szCs w:val="24"/>
        </w:rPr>
        <w:t xml:space="preserve">the second-leading cause of under-five mortality globally. Among adults, ambient particulate matter (PM2.5) exposure drives </w:t>
      </w:r>
      <w:r w:rsidR="00EB7705" w:rsidRPr="00BD1816">
        <w:rPr>
          <w:rFonts w:ascii="Times New Roman" w:hAnsi="Times New Roman" w:cs="Times New Roman"/>
          <w:sz w:val="24"/>
          <w:szCs w:val="24"/>
          <w:lang w:val="en-US"/>
        </w:rPr>
        <w:t xml:space="preserve">the </w:t>
      </w:r>
      <w:r w:rsidRPr="00BD1816">
        <w:rPr>
          <w:rFonts w:ascii="Times New Roman" w:hAnsi="Times New Roman" w:cs="Times New Roman"/>
          <w:sz w:val="24"/>
          <w:szCs w:val="24"/>
        </w:rPr>
        <w:t xml:space="preserve">increases in cardiovascular disease, stroke, chronic obstructive pulmonary disease, and lung cancer. Bender et al. (2024), </w:t>
      </w:r>
      <w:r w:rsidR="00EB7705" w:rsidRPr="00BD1816">
        <w:rPr>
          <w:rFonts w:ascii="Times New Roman" w:hAnsi="Times New Roman" w:cs="Times New Roman"/>
          <w:sz w:val="24"/>
          <w:szCs w:val="24"/>
          <w:lang w:val="en-US"/>
        </w:rPr>
        <w:t>reported</w:t>
      </w:r>
      <w:r w:rsidRPr="00BD1816">
        <w:rPr>
          <w:rFonts w:ascii="Times New Roman" w:hAnsi="Times New Roman" w:cs="Times New Roman"/>
          <w:sz w:val="24"/>
          <w:szCs w:val="24"/>
        </w:rPr>
        <w:t xml:space="preserve"> that in 2021, 3.5 million deaths were attributable to lower respiratory infections globally, with a disproportionate share occurring in SSA where exposure levels are highest and healthcare access for respiratory complications is most limited.</w:t>
      </w:r>
    </w:p>
    <w:p w14:paraId="61A29918" w14:textId="561B93DE" w:rsidR="006B438F" w:rsidRPr="00BD1816" w:rsidRDefault="00EB7705"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WATER POLLUTION, SANITATION, AND WATERBORNE DISEASE</w:t>
      </w:r>
    </w:p>
    <w:p w14:paraId="35D814AC" w14:textId="69E5D07D"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Water pollution and inadequate sanitation constitute the second major environmental health hazard in SSA. Diarrheal disease</w:t>
      </w:r>
      <w:r w:rsidR="00EB7705" w:rsidRPr="00BD1816">
        <w:rPr>
          <w:rFonts w:ascii="Times New Roman" w:hAnsi="Times New Roman" w:cs="Times New Roman"/>
          <w:sz w:val="24"/>
          <w:szCs w:val="24"/>
          <w:lang w:val="en-US"/>
        </w:rPr>
        <w:t xml:space="preserve"> which is</w:t>
      </w:r>
      <w:r w:rsidRPr="00BD1816">
        <w:rPr>
          <w:rFonts w:ascii="Times New Roman" w:hAnsi="Times New Roman" w:cs="Times New Roman"/>
          <w:sz w:val="24"/>
          <w:szCs w:val="24"/>
        </w:rPr>
        <w:t xml:space="preserve"> primarily driven by contaminated water and poor sanitation remains among the top five causes of under-five mortality in SSA, accounting for approximately 500,000 deaths annually in children under five (WHO, 2023). </w:t>
      </w:r>
      <w:proofErr w:type="spellStart"/>
      <w:r w:rsidRPr="00BD1816">
        <w:rPr>
          <w:rFonts w:ascii="Times New Roman" w:hAnsi="Times New Roman" w:cs="Times New Roman"/>
          <w:sz w:val="24"/>
          <w:szCs w:val="24"/>
        </w:rPr>
        <w:t>Kapwata</w:t>
      </w:r>
      <w:proofErr w:type="spellEnd"/>
      <w:r w:rsidRPr="00BD1816">
        <w:rPr>
          <w:rFonts w:ascii="Times New Roman" w:hAnsi="Times New Roman" w:cs="Times New Roman"/>
          <w:sz w:val="24"/>
          <w:szCs w:val="24"/>
        </w:rPr>
        <w:t xml:space="preserve"> et al. (2022), in a climate-WASH interaction study from South Africa </w:t>
      </w:r>
      <w:r w:rsidR="00EB7705" w:rsidRPr="00BD1816">
        <w:rPr>
          <w:rFonts w:ascii="Times New Roman" w:hAnsi="Times New Roman" w:cs="Times New Roman"/>
          <w:sz w:val="24"/>
          <w:szCs w:val="24"/>
          <w:lang w:val="en-US"/>
        </w:rPr>
        <w:t>discovered</w:t>
      </w:r>
      <w:r w:rsidRPr="00BD1816">
        <w:rPr>
          <w:rFonts w:ascii="Times New Roman" w:hAnsi="Times New Roman" w:cs="Times New Roman"/>
          <w:sz w:val="24"/>
          <w:szCs w:val="24"/>
        </w:rPr>
        <w:t xml:space="preserve"> that flooding events</w:t>
      </w:r>
      <w:r w:rsidR="00EB7705"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 xml:space="preserve">whose frequency and severity are </w:t>
      </w:r>
      <w:r w:rsidR="00EB7705" w:rsidRPr="00BD1816">
        <w:rPr>
          <w:rFonts w:ascii="Times New Roman" w:hAnsi="Times New Roman" w:cs="Times New Roman"/>
          <w:sz w:val="24"/>
          <w:szCs w:val="24"/>
          <w:lang w:val="en-US"/>
        </w:rPr>
        <w:t>exacerbated</w:t>
      </w:r>
      <w:r w:rsidRPr="00BD1816">
        <w:rPr>
          <w:rFonts w:ascii="Times New Roman" w:hAnsi="Times New Roman" w:cs="Times New Roman"/>
          <w:sz w:val="24"/>
          <w:szCs w:val="24"/>
        </w:rPr>
        <w:t xml:space="preserve"> by climate </w:t>
      </w:r>
      <w:r w:rsidR="00EB7705" w:rsidRPr="00BD1816">
        <w:rPr>
          <w:rFonts w:ascii="Times New Roman" w:hAnsi="Times New Roman" w:cs="Times New Roman"/>
          <w:sz w:val="24"/>
          <w:szCs w:val="24"/>
        </w:rPr>
        <w:t>chang</w:t>
      </w:r>
      <w:r w:rsidR="00EB7705" w:rsidRPr="00BD1816">
        <w:rPr>
          <w:rFonts w:ascii="Times New Roman" w:hAnsi="Times New Roman" w:cs="Times New Roman"/>
          <w:sz w:val="24"/>
          <w:szCs w:val="24"/>
          <w:lang w:val="en-US"/>
        </w:rPr>
        <w:t xml:space="preserve">e </w:t>
      </w:r>
      <w:r w:rsidRPr="00BD1816">
        <w:rPr>
          <w:rFonts w:ascii="Times New Roman" w:hAnsi="Times New Roman" w:cs="Times New Roman"/>
          <w:sz w:val="24"/>
          <w:szCs w:val="24"/>
        </w:rPr>
        <w:t xml:space="preserve">significantly increase contamination of water sources and diarrheal disease incidence, particularly in informal settlements where sanitation infrastructure is inadequate. This finding </w:t>
      </w:r>
      <w:r w:rsidR="00EB7705" w:rsidRPr="00BD1816">
        <w:rPr>
          <w:rFonts w:ascii="Times New Roman" w:hAnsi="Times New Roman" w:cs="Times New Roman"/>
          <w:sz w:val="24"/>
          <w:szCs w:val="24"/>
          <w:lang w:val="en-US"/>
        </w:rPr>
        <w:t>of the study established</w:t>
      </w:r>
      <w:r w:rsidRPr="00BD1816">
        <w:rPr>
          <w:rFonts w:ascii="Times New Roman" w:hAnsi="Times New Roman" w:cs="Times New Roman"/>
          <w:sz w:val="24"/>
          <w:szCs w:val="24"/>
        </w:rPr>
        <w:t xml:space="preserve"> a critical interaction between environmental degradation and climate change</w:t>
      </w:r>
      <w:r w:rsidR="00EB7705" w:rsidRPr="00BD1816">
        <w:rPr>
          <w:rFonts w:ascii="Times New Roman" w:hAnsi="Times New Roman" w:cs="Times New Roman"/>
          <w:sz w:val="24"/>
          <w:szCs w:val="24"/>
          <w:lang w:val="en-US"/>
        </w:rPr>
        <w:t xml:space="preserve"> stressing that</w:t>
      </w:r>
      <w:r w:rsidRPr="00BD1816">
        <w:rPr>
          <w:rFonts w:ascii="Times New Roman" w:hAnsi="Times New Roman" w:cs="Times New Roman"/>
          <w:sz w:val="24"/>
          <w:szCs w:val="24"/>
        </w:rPr>
        <w:t xml:space="preserve"> extreme precipitation events drive short-term pollution spikes that compound the underlying chronic exposure generated by poor sanitation infrastructure.</w:t>
      </w:r>
    </w:p>
    <w:p w14:paraId="22AC2C0B" w14:textId="6C1BF728" w:rsidR="006B438F" w:rsidRPr="00BD1816" w:rsidRDefault="006B438F"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THEORETICAL SYNTHESIS: THE GOVERNANCE-POVERTY-CLIMATE HEALTH TRAP</w:t>
      </w:r>
    </w:p>
    <w:p w14:paraId="42226C7A" w14:textId="77777777"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five thematic domains reviewed above are not independent causal channels but constitute an interlocking system of mutually reinforcing constraints. This section synthesises the cross-domain evidence into a unified theoretical framework — the 'Governance-Poverty-Climate Health Trap' (GPCHT) — that identifies the mechanisms through which these determinants interact and compound one another in SSA.</w:t>
      </w:r>
    </w:p>
    <w:p w14:paraId="0AA3B0BC" w14:textId="44B7272A" w:rsidR="00EB7705" w:rsidRPr="00BD1816" w:rsidRDefault="00EB7705"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GOVERNANCE AS A MODERATOR OF POVERTY–HEALTH OUTCOMES</w:t>
      </w:r>
    </w:p>
    <w:p w14:paraId="0F252A00" w14:textId="59CD6092" w:rsidR="00EB7705" w:rsidRPr="00BD1816" w:rsidRDefault="00EB7705"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Governance shapes how strongly poverty affects health by determining the effectiveness of social protection and healthcare delivery. In countries with stronger institutions, such as Rwanda and Botswana, the health impacts of poverty are often reduced through better public service provision. By contrast, in weaker governance settings like South Sudan and the Central African Republic, limited institutional capacity deepens poverty-related health risks through poor service delivery (Sibanda et al., 2024; </w:t>
      </w:r>
      <w:proofErr w:type="spellStart"/>
      <w:r w:rsidRPr="00BD1816">
        <w:rPr>
          <w:rFonts w:ascii="Times New Roman" w:hAnsi="Times New Roman" w:cs="Times New Roman"/>
          <w:sz w:val="24"/>
          <w:szCs w:val="24"/>
        </w:rPr>
        <w:t>Ndzignat</w:t>
      </w:r>
      <w:proofErr w:type="spellEnd"/>
      <w:r w:rsidRPr="00BD1816">
        <w:rPr>
          <w:rFonts w:ascii="Times New Roman" w:hAnsi="Times New Roman" w:cs="Times New Roman"/>
          <w:sz w:val="24"/>
          <w:szCs w:val="24"/>
        </w:rPr>
        <w:t xml:space="preserve"> </w:t>
      </w:r>
      <w:proofErr w:type="spellStart"/>
      <w:r w:rsidRPr="00BD1816">
        <w:rPr>
          <w:rFonts w:ascii="Times New Roman" w:hAnsi="Times New Roman" w:cs="Times New Roman"/>
          <w:sz w:val="24"/>
          <w:szCs w:val="24"/>
        </w:rPr>
        <w:t>Mouteyica</w:t>
      </w:r>
      <w:proofErr w:type="spellEnd"/>
      <w:r w:rsidRPr="00BD1816">
        <w:rPr>
          <w:rFonts w:ascii="Times New Roman" w:hAnsi="Times New Roman" w:cs="Times New Roman"/>
          <w:sz w:val="24"/>
          <w:szCs w:val="24"/>
        </w:rPr>
        <w:t xml:space="preserve"> &amp; </w:t>
      </w:r>
      <w:proofErr w:type="spellStart"/>
      <w:r w:rsidRPr="00BD1816">
        <w:rPr>
          <w:rFonts w:ascii="Times New Roman" w:hAnsi="Times New Roman" w:cs="Times New Roman"/>
          <w:sz w:val="24"/>
          <w:szCs w:val="24"/>
        </w:rPr>
        <w:t>Ngepah</w:t>
      </w:r>
      <w:proofErr w:type="spellEnd"/>
      <w:r w:rsidRPr="00BD1816">
        <w:rPr>
          <w:rFonts w:ascii="Times New Roman" w:hAnsi="Times New Roman" w:cs="Times New Roman"/>
          <w:sz w:val="24"/>
          <w:szCs w:val="24"/>
        </w:rPr>
        <w:t>, 2024).</w:t>
      </w:r>
    </w:p>
    <w:p w14:paraId="1FC90224" w14:textId="37DF9E25" w:rsidR="00EB7705" w:rsidRPr="00BD1816" w:rsidRDefault="00E33E5E"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CLIMATE CHANGE AS A POVERTY MULTIPLIER</w:t>
      </w:r>
    </w:p>
    <w:p w14:paraId="7C5A432E" w14:textId="18C2B34E" w:rsidR="00EB7705" w:rsidRPr="00BD1816" w:rsidRDefault="00EB7705"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Climate change intensifies the health burden of poverty by exposing vulnerable populations to heatwaves, droughts, floods, and the spread of vector-borne diseases. Evidence shows that poor households in SSA are disproportionately affected because they often </w:t>
      </w:r>
      <w:proofErr w:type="gramStart"/>
      <w:r w:rsidRPr="00BD1816">
        <w:rPr>
          <w:rFonts w:ascii="Times New Roman" w:hAnsi="Times New Roman" w:cs="Times New Roman"/>
          <w:sz w:val="24"/>
          <w:szCs w:val="24"/>
        </w:rPr>
        <w:t>live in</w:t>
      </w:r>
      <w:proofErr w:type="gramEnd"/>
      <w:r w:rsidRPr="00BD1816">
        <w:rPr>
          <w:rFonts w:ascii="Times New Roman" w:hAnsi="Times New Roman" w:cs="Times New Roman"/>
          <w:sz w:val="24"/>
          <w:szCs w:val="24"/>
        </w:rPr>
        <w:t xml:space="preserve"> high-risk areas, depend on climate-sensitive livelihoods, and have limited resources to cope with shocks. As a result, climate stressors frequently transform temporary setbacks into long-term health and human capital losses, reinforcing cycles of poverty (Romanello et al., 2023; </w:t>
      </w:r>
      <w:proofErr w:type="spellStart"/>
      <w:r w:rsidRPr="00BD1816">
        <w:rPr>
          <w:rFonts w:ascii="Times New Roman" w:hAnsi="Times New Roman" w:cs="Times New Roman"/>
          <w:sz w:val="24"/>
          <w:szCs w:val="24"/>
        </w:rPr>
        <w:t>Kilungo</w:t>
      </w:r>
      <w:proofErr w:type="spellEnd"/>
      <w:r w:rsidRPr="00BD1816">
        <w:rPr>
          <w:rFonts w:ascii="Times New Roman" w:hAnsi="Times New Roman" w:cs="Times New Roman"/>
          <w:sz w:val="24"/>
          <w:szCs w:val="24"/>
        </w:rPr>
        <w:t xml:space="preserve"> et al., 2025).</w:t>
      </w:r>
    </w:p>
    <w:p w14:paraId="76480D7C" w14:textId="7A6D64FA" w:rsidR="00E33E5E" w:rsidRPr="00BD1816" w:rsidRDefault="00E33E5E"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lastRenderedPageBreak/>
        <w:t>WEAK GOVERNANCE CONSTRAINS CLIMATE ADAPTATION:</w:t>
      </w:r>
    </w:p>
    <w:p w14:paraId="64B6EE96" w14:textId="2083B48B" w:rsidR="00E33E5E" w:rsidRPr="00BD1816" w:rsidRDefault="00E33E5E"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Institutional weakness also reduces the capacity of SSA countries to plan and implement climate adaptation measures that could protect public health. Evidence from the Lancet Countdown shows that many SSA countries rank lowest in adaptation preparedness, largely due to corruption, weak state capacity, and poor management of climate finance. This leaves poor populations facing a dual burden of high climate exposure and limited institutional support (Romanello et al., 2024).</w:t>
      </w:r>
    </w:p>
    <w:p w14:paraId="58EBE53B" w14:textId="77B203A5" w:rsidR="00E33E5E" w:rsidRPr="00BD1816" w:rsidRDefault="00E33E5E"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INEQUALITY AS A CROSS-CUTTING MULTIPLIER</w:t>
      </w:r>
    </w:p>
    <w:p w14:paraId="7DF6EC43" w14:textId="77777777" w:rsidR="00840052" w:rsidRPr="00BD1816" w:rsidRDefault="00E33E5E"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Income inequality intensifies the health impacts of poverty, weak governance, and climate change by widening disparities in access to resources, healthcare, and adaptive capacity. Recent studies show that in many SSA economies, dependence on natural resources worsens this problem by concentrating wealth among elites, while simultaneously driving environmental degradation and deepening health inequalities. This creates a reinforcing fiscal–institutional–environmental cycle that disproportionately harms vulnerable populations (Bala et al., 2025; Chatterjee &amp; </w:t>
      </w:r>
      <w:proofErr w:type="spellStart"/>
      <w:r w:rsidRPr="00BD1816">
        <w:rPr>
          <w:rFonts w:ascii="Times New Roman" w:hAnsi="Times New Roman" w:cs="Times New Roman"/>
          <w:sz w:val="24"/>
          <w:szCs w:val="24"/>
        </w:rPr>
        <w:t>Teame</w:t>
      </w:r>
      <w:proofErr w:type="spellEnd"/>
      <w:r w:rsidRPr="00BD1816">
        <w:rPr>
          <w:rFonts w:ascii="Times New Roman" w:hAnsi="Times New Roman" w:cs="Times New Roman"/>
          <w:sz w:val="24"/>
          <w:szCs w:val="24"/>
        </w:rPr>
        <w:t>, 2024).</w:t>
      </w:r>
    </w:p>
    <w:p w14:paraId="62A58A5F" w14:textId="4A6ACAE7" w:rsidR="006B438F" w:rsidRPr="00BD1816" w:rsidRDefault="00840052"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THE GPCHT TRAP: THEORETICAL IMPLICATIONS</w:t>
      </w:r>
    </w:p>
    <w:p w14:paraId="03BA3702" w14:textId="61726053"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The GPCHT framework identifies conditions under which the SSA health system may be in a 'low-level equilibrium trap' from which external shocks (climate events) or internal dynamics (increasing inequality) can push countries further from the SDG health targets. The trap operates as follows: weak governance reduces the health productivity of public expenditure → population health remains poor despite available fiscal resources → poor population health reduces human capital and labour productivity → reduced growth limits tax revenues available for public health → fiscal austerity reinforces weak governance and </w:t>
      </w:r>
      <w:r w:rsidR="00A8652E" w:rsidRPr="00BD1816">
        <w:rPr>
          <w:rFonts w:ascii="Times New Roman" w:hAnsi="Times New Roman" w:cs="Times New Roman"/>
          <w:sz w:val="24"/>
          <w:szCs w:val="24"/>
        </w:rPr>
        <w:t>limited</w:t>
      </w:r>
      <w:r w:rsidR="00A8652E" w:rsidRPr="00BD1816">
        <w:rPr>
          <w:rFonts w:ascii="Times New Roman" w:hAnsi="Times New Roman" w:cs="Times New Roman"/>
          <w:sz w:val="24"/>
          <w:szCs w:val="24"/>
          <w:lang w:val="en-US"/>
        </w:rPr>
        <w:t xml:space="preserve"> </w:t>
      </w:r>
      <w:r w:rsidR="00A8652E" w:rsidRPr="00BD1816">
        <w:rPr>
          <w:rFonts w:ascii="Times New Roman" w:hAnsi="Times New Roman" w:cs="Times New Roman"/>
          <w:sz w:val="24"/>
          <w:szCs w:val="24"/>
        </w:rPr>
        <w:t>service</w:t>
      </w:r>
      <w:r w:rsidR="00A8652E" w:rsidRPr="00BD1816">
        <w:rPr>
          <w:rFonts w:ascii="Times New Roman" w:hAnsi="Times New Roman" w:cs="Times New Roman"/>
          <w:sz w:val="24"/>
          <w:szCs w:val="24"/>
          <w:lang w:val="en-US"/>
        </w:rPr>
        <w:t>-</w:t>
      </w:r>
      <w:r w:rsidRPr="00BD1816">
        <w:rPr>
          <w:rFonts w:ascii="Times New Roman" w:hAnsi="Times New Roman" w:cs="Times New Roman"/>
          <w:sz w:val="24"/>
          <w:szCs w:val="24"/>
        </w:rPr>
        <w:t>delivery. Climate change amplifies this cycle by</w:t>
      </w:r>
      <w:r w:rsidR="00A8652E"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reducing agricultural productivity and increasing poverty</w:t>
      </w:r>
      <w:r w:rsidR="00A8652E"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expanding disease burdens that overwhelm health systems</w:t>
      </w:r>
      <w:r w:rsidR="00A8652E"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and</w:t>
      </w:r>
      <w:r w:rsidR="00A8652E"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creating fiscal pressures that divert budgetary resources from health to emergency relief.</w:t>
      </w:r>
    </w:p>
    <w:p w14:paraId="54749FA3" w14:textId="77777777" w:rsidR="00A8652E"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Breaking the GPCHT trap requires simultaneous interventions at multiple nodes: institutional reform to increase governance quality and public expenditure effectiveness; pro-poor social protection and UHC financing to reduce poverty's direct health effects; redistribution and public investment to address inequality; and climate adaptation investments to reduce climate vulnerability. The theoretical prediction is that these interventions generate positive feedback effects</w:t>
      </w:r>
      <w:r w:rsidR="00A8652E" w:rsidRPr="00BD1816">
        <w:rPr>
          <w:rFonts w:ascii="Times New Roman" w:hAnsi="Times New Roman" w:cs="Times New Roman"/>
          <w:sz w:val="24"/>
          <w:szCs w:val="24"/>
          <w:lang w:val="en-US"/>
        </w:rPr>
        <w:t xml:space="preserve">, </w:t>
      </w:r>
      <w:r w:rsidRPr="00BD1816">
        <w:rPr>
          <w:rFonts w:ascii="Times New Roman" w:hAnsi="Times New Roman" w:cs="Times New Roman"/>
          <w:sz w:val="24"/>
          <w:szCs w:val="24"/>
        </w:rPr>
        <w:t>governance improvement raises the returns to health investment, which reduces poverty-related disease burden</w:t>
      </w:r>
      <w:r w:rsidR="00A8652E"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w:t>
      </w:r>
      <w:r w:rsidR="00A8652E" w:rsidRPr="00BD1816">
        <w:rPr>
          <w:rFonts w:ascii="Times New Roman" w:hAnsi="Times New Roman" w:cs="Times New Roman"/>
          <w:sz w:val="24"/>
          <w:szCs w:val="24"/>
          <w:lang w:val="en-US"/>
        </w:rPr>
        <w:t>This</w:t>
      </w:r>
      <w:r w:rsidRPr="00BD1816">
        <w:rPr>
          <w:rFonts w:ascii="Times New Roman" w:hAnsi="Times New Roman" w:cs="Times New Roman"/>
          <w:sz w:val="24"/>
          <w:szCs w:val="24"/>
        </w:rPr>
        <w:t xml:space="preserve"> </w:t>
      </w:r>
      <w:r w:rsidR="00A8652E" w:rsidRPr="00BD1816">
        <w:rPr>
          <w:rFonts w:ascii="Times New Roman" w:hAnsi="Times New Roman" w:cs="Times New Roman"/>
          <w:sz w:val="24"/>
          <w:szCs w:val="24"/>
          <w:lang w:val="en-US"/>
        </w:rPr>
        <w:t xml:space="preserve">therefore, </w:t>
      </w:r>
      <w:r w:rsidRPr="00BD1816">
        <w:rPr>
          <w:rFonts w:ascii="Times New Roman" w:hAnsi="Times New Roman" w:cs="Times New Roman"/>
          <w:sz w:val="24"/>
          <w:szCs w:val="24"/>
        </w:rPr>
        <w:t>frees resources for further investment</w:t>
      </w:r>
      <w:r w:rsidR="00A8652E"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producing a virtuous cycle that counteracts the trap.</w:t>
      </w:r>
    </w:p>
    <w:p w14:paraId="48F96188" w14:textId="0A9D315F"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b/>
          <w:bCs/>
          <w:sz w:val="24"/>
          <w:szCs w:val="24"/>
        </w:rPr>
        <w:t>DISCUSSION</w:t>
      </w:r>
      <w:r w:rsidRPr="00BD1816">
        <w:rPr>
          <w:rFonts w:ascii="Times New Roman" w:hAnsi="Times New Roman" w:cs="Times New Roman"/>
          <w:sz w:val="24"/>
          <w:szCs w:val="24"/>
        </w:rPr>
        <w:t xml:space="preserve"> </w:t>
      </w:r>
      <w:r w:rsidR="00B10661" w:rsidRPr="00BD1816">
        <w:rPr>
          <w:rFonts w:ascii="Times New Roman" w:hAnsi="Times New Roman" w:cs="Times New Roman"/>
          <w:b/>
          <w:bCs/>
          <w:sz w:val="24"/>
          <w:szCs w:val="24"/>
        </w:rPr>
        <w:t>FINDINGS</w:t>
      </w:r>
      <w:r w:rsidR="00B10661" w:rsidRPr="00BD1816">
        <w:rPr>
          <w:rFonts w:ascii="Times New Roman" w:hAnsi="Times New Roman" w:cs="Times New Roman"/>
          <w:sz w:val="24"/>
          <w:szCs w:val="24"/>
        </w:rPr>
        <w:t xml:space="preserve"> </w:t>
      </w:r>
    </w:p>
    <w:p w14:paraId="221F8403" w14:textId="67F4623E"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This systematic review provides, </w:t>
      </w:r>
      <w:r w:rsidR="00B10661" w:rsidRPr="00BD1816">
        <w:rPr>
          <w:rFonts w:ascii="Times New Roman" w:hAnsi="Times New Roman" w:cs="Times New Roman"/>
          <w:sz w:val="24"/>
          <w:szCs w:val="24"/>
          <w:lang w:val="en-US"/>
        </w:rPr>
        <w:t>a rare</w:t>
      </w:r>
      <w:r w:rsidRPr="00BD1816">
        <w:rPr>
          <w:rFonts w:ascii="Times New Roman" w:hAnsi="Times New Roman" w:cs="Times New Roman"/>
          <w:sz w:val="24"/>
          <w:szCs w:val="24"/>
        </w:rPr>
        <w:t xml:space="preserve"> comprehensive synthesis of five structurally interconnected determinants of health outcomes in SSA within a unified theoretical framework. Three key findings merit particular emphasis.</w:t>
      </w:r>
    </w:p>
    <w:p w14:paraId="2E182641" w14:textId="300224BA" w:rsidR="006B438F" w:rsidRPr="00BD1816" w:rsidRDefault="006B438F"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First, the governance-health nexus is better characterised as a multiplicative relationship than an additive one. The evidence reviewed consistently shows that governance quality modifies the marginal productivity of health </w:t>
      </w:r>
      <w:r w:rsidR="00B10661" w:rsidRPr="00BD1816">
        <w:rPr>
          <w:rFonts w:ascii="Times New Roman" w:hAnsi="Times New Roman" w:cs="Times New Roman"/>
          <w:sz w:val="24"/>
          <w:szCs w:val="24"/>
          <w:lang w:val="en-US"/>
        </w:rPr>
        <w:t xml:space="preserve">expenditure, thereby </w:t>
      </w:r>
      <w:r w:rsidRPr="00BD1816">
        <w:rPr>
          <w:rFonts w:ascii="Times New Roman" w:hAnsi="Times New Roman" w:cs="Times New Roman"/>
          <w:sz w:val="24"/>
          <w:szCs w:val="24"/>
        </w:rPr>
        <w:t>doubling the health gains per dollar of public spending in high-governance compared to low-governance settings (Sibanda et al., 2024; Hadipour et al., 2023). This has fundamental implications for health financing strategy in low-governance SSA settings</w:t>
      </w:r>
      <w:r w:rsidR="00B10661" w:rsidRPr="00BD1816">
        <w:rPr>
          <w:rFonts w:ascii="Times New Roman" w:hAnsi="Times New Roman" w:cs="Times New Roman"/>
          <w:sz w:val="24"/>
          <w:szCs w:val="24"/>
          <w:lang w:val="en-US"/>
        </w:rPr>
        <w:t>.</w:t>
      </w:r>
      <w:r w:rsidRPr="00BD1816">
        <w:rPr>
          <w:rFonts w:ascii="Times New Roman" w:hAnsi="Times New Roman" w:cs="Times New Roman"/>
          <w:sz w:val="24"/>
          <w:szCs w:val="24"/>
        </w:rPr>
        <w:t xml:space="preserve"> </w:t>
      </w:r>
      <w:r w:rsidR="00B10661" w:rsidRPr="00BD1816">
        <w:rPr>
          <w:rFonts w:ascii="Times New Roman" w:hAnsi="Times New Roman" w:cs="Times New Roman"/>
          <w:sz w:val="24"/>
          <w:szCs w:val="24"/>
          <w:lang w:val="en-US"/>
        </w:rPr>
        <w:t>Increasing</w:t>
      </w:r>
      <w:r w:rsidRPr="00BD1816">
        <w:rPr>
          <w:rFonts w:ascii="Times New Roman" w:hAnsi="Times New Roman" w:cs="Times New Roman"/>
          <w:sz w:val="24"/>
          <w:szCs w:val="24"/>
        </w:rPr>
        <w:t xml:space="preserve"> health expenditure alone without accompanying governance reform</w:t>
      </w:r>
      <w:r w:rsidR="00B10661" w:rsidRPr="00BD1816">
        <w:rPr>
          <w:rFonts w:ascii="Times New Roman" w:hAnsi="Times New Roman" w:cs="Times New Roman"/>
          <w:sz w:val="24"/>
          <w:szCs w:val="24"/>
          <w:lang w:val="en-US"/>
        </w:rPr>
        <w:t xml:space="preserve">s </w:t>
      </w:r>
      <w:r w:rsidRPr="00BD1816">
        <w:rPr>
          <w:rFonts w:ascii="Times New Roman" w:hAnsi="Times New Roman" w:cs="Times New Roman"/>
          <w:sz w:val="24"/>
          <w:szCs w:val="24"/>
        </w:rPr>
        <w:t>will generate substantially smaller health outcome improvements than the same spending increase in higher-governance settings.</w:t>
      </w:r>
    </w:p>
    <w:p w14:paraId="6F806A2C" w14:textId="7A2F943A" w:rsidR="006B438F" w:rsidRPr="00BD1816" w:rsidRDefault="00B10661"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Secondly</w:t>
      </w:r>
      <w:r w:rsidR="006B438F" w:rsidRPr="00BD1816">
        <w:rPr>
          <w:rFonts w:ascii="Times New Roman" w:hAnsi="Times New Roman" w:cs="Times New Roman"/>
          <w:sz w:val="24"/>
          <w:szCs w:val="24"/>
        </w:rPr>
        <w:t>, climate change is not an independent health risk but an amplifier of existing vulnerabilities. The reviewed evidence shows that climate change's health consequences in SSA are concentrated among populations already most disadvantaged by poverty, inequality, and weak institutional protection. This interaction implies that climate change is accelerating health inequality within SSA, not merely worsening average health outcomes. The policy implication is that climate adaptation is simultaneously a health equity intervention, and that adaptation programmes designed without attention to equity will fail to reach those most at risk.</w:t>
      </w:r>
    </w:p>
    <w:p w14:paraId="27F325A6" w14:textId="77777777" w:rsidR="00137069" w:rsidRDefault="00AC33F8" w:rsidP="00137069">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Finally</w:t>
      </w:r>
      <w:r w:rsidR="006B438F" w:rsidRPr="00BD1816">
        <w:rPr>
          <w:rFonts w:ascii="Times New Roman" w:hAnsi="Times New Roman" w:cs="Times New Roman"/>
          <w:sz w:val="24"/>
          <w:szCs w:val="24"/>
        </w:rPr>
        <w:t>, environmental degradation</w:t>
      </w:r>
      <w:r w:rsidRPr="00BD1816">
        <w:rPr>
          <w:rFonts w:ascii="Times New Roman" w:hAnsi="Times New Roman" w:cs="Times New Roman"/>
          <w:sz w:val="24"/>
          <w:szCs w:val="24"/>
          <w:lang w:val="en-US"/>
        </w:rPr>
        <w:t xml:space="preserve">, </w:t>
      </w:r>
      <w:r w:rsidR="006B438F" w:rsidRPr="00BD1816">
        <w:rPr>
          <w:rFonts w:ascii="Times New Roman" w:hAnsi="Times New Roman" w:cs="Times New Roman"/>
          <w:sz w:val="24"/>
          <w:szCs w:val="24"/>
        </w:rPr>
        <w:t>particularly air pollution</w:t>
      </w:r>
      <w:r w:rsidRPr="00BD1816">
        <w:rPr>
          <w:rFonts w:ascii="Times New Roman" w:hAnsi="Times New Roman" w:cs="Times New Roman"/>
          <w:sz w:val="24"/>
          <w:szCs w:val="24"/>
          <w:lang w:val="en-US"/>
        </w:rPr>
        <w:t xml:space="preserve">, </w:t>
      </w:r>
      <w:r w:rsidR="006B438F" w:rsidRPr="00BD1816">
        <w:rPr>
          <w:rFonts w:ascii="Times New Roman" w:hAnsi="Times New Roman" w:cs="Times New Roman"/>
          <w:sz w:val="24"/>
          <w:szCs w:val="24"/>
        </w:rPr>
        <w:t xml:space="preserve">constitutes a severely under-addressed health priority in SSA. The reviewed evidence from Fisher et al. (2021) and Bender et al. (2024) indicates that air pollution is responsible for more deaths annually in Africa than malaria, tuberculosis, or HIV/AIDS individually, yet receives </w:t>
      </w:r>
      <w:r w:rsidR="006B438F" w:rsidRPr="00BD1816">
        <w:rPr>
          <w:rFonts w:ascii="Times New Roman" w:hAnsi="Times New Roman" w:cs="Times New Roman"/>
          <w:sz w:val="24"/>
          <w:szCs w:val="24"/>
        </w:rPr>
        <w:lastRenderedPageBreak/>
        <w:t xml:space="preserve">a fraction of the research attention and policy investment. This asymmetry between burden and response reflects a broader neglect of environmental health in </w:t>
      </w:r>
      <w:proofErr w:type="spellStart"/>
      <w:r w:rsidR="006B438F" w:rsidRPr="00BD1816">
        <w:rPr>
          <w:rFonts w:ascii="Times New Roman" w:hAnsi="Times New Roman" w:cs="Times New Roman"/>
          <w:sz w:val="24"/>
          <w:szCs w:val="24"/>
        </w:rPr>
        <w:t>SSA's</w:t>
      </w:r>
      <w:proofErr w:type="spellEnd"/>
      <w:r w:rsidR="006B438F" w:rsidRPr="00BD1816">
        <w:rPr>
          <w:rFonts w:ascii="Times New Roman" w:hAnsi="Times New Roman" w:cs="Times New Roman"/>
          <w:sz w:val="24"/>
          <w:szCs w:val="24"/>
        </w:rPr>
        <w:t xml:space="preserve"> health policy architecture.</w:t>
      </w:r>
    </w:p>
    <w:p w14:paraId="47773F76" w14:textId="4C605D96" w:rsidR="00491300" w:rsidRPr="00137069" w:rsidRDefault="00491300" w:rsidP="00137069">
      <w:pPr>
        <w:spacing w:before="240" w:after="240" w:line="240" w:lineRule="auto"/>
        <w:ind w:left="238" w:right="238"/>
        <w:jc w:val="both"/>
        <w:rPr>
          <w:rFonts w:ascii="Times New Roman" w:hAnsi="Times New Roman" w:cs="Times New Roman"/>
          <w:sz w:val="24"/>
          <w:szCs w:val="24"/>
        </w:rPr>
      </w:pPr>
      <w:r w:rsidRPr="00BD1816">
        <w:rPr>
          <w:rFonts w:ascii="Times New Roman" w:eastAsia="Times New Roman" w:hAnsi="Times New Roman" w:cs="Times New Roman"/>
          <w:b/>
          <w:bCs/>
          <w:sz w:val="24"/>
          <w:szCs w:val="24"/>
          <w:lang w:eastAsia="en-NG"/>
        </w:rPr>
        <w:t>Evidence Gaps and Future Research Priorities</w:t>
      </w:r>
    </w:p>
    <w:p w14:paraId="62725BD1" w14:textId="5D890E0E" w:rsidR="00491300" w:rsidRPr="00BD1816" w:rsidRDefault="0049130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This review highlights several important gaps in the existing literature. </w:t>
      </w:r>
      <w:r w:rsidR="00150B68" w:rsidRPr="00BD1816">
        <w:rPr>
          <w:rFonts w:ascii="Times New Roman" w:hAnsi="Times New Roman" w:cs="Times New Roman"/>
          <w:sz w:val="24"/>
          <w:szCs w:val="24"/>
          <w:lang w:val="en-US"/>
        </w:rPr>
        <w:t>To begin with</w:t>
      </w:r>
      <w:r w:rsidRPr="00BD1816">
        <w:rPr>
          <w:rFonts w:ascii="Times New Roman" w:hAnsi="Times New Roman" w:cs="Times New Roman"/>
          <w:sz w:val="24"/>
          <w:szCs w:val="24"/>
        </w:rPr>
        <w:t>, there is limited empirical evidence on how governance quality interacts with climate vulnerability to shape health outcomes in SSA. Although the GPCHT framework suggests that climate-related health burdens are likely to be more severe in weak governance settings, few panel studies have directly tested this relationship, making it a key area for future research.</w:t>
      </w:r>
    </w:p>
    <w:p w14:paraId="2AC91240" w14:textId="2A010315" w:rsidR="00491300" w:rsidRPr="00BD1816" w:rsidRDefault="00150B6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Furthermore</w:t>
      </w:r>
      <w:r w:rsidR="00491300" w:rsidRPr="00BD1816">
        <w:rPr>
          <w:rFonts w:ascii="Times New Roman" w:hAnsi="Times New Roman" w:cs="Times New Roman"/>
          <w:sz w:val="24"/>
          <w:szCs w:val="24"/>
        </w:rPr>
        <w:t>, the causal pathways linking income inequality to health remain underexplored. Much of the current evidence is correlational, with insufficient attention to distinguishing between psychosocial mechanisms and material deprivation pathways. Stronger identification strategies are needed to clarify these channels in SSA contexts.</w:t>
      </w:r>
    </w:p>
    <w:p w14:paraId="046E7776" w14:textId="01BF5AEA" w:rsidR="00491300" w:rsidRPr="00BD1816" w:rsidRDefault="00150B6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Finally</w:t>
      </w:r>
      <w:r w:rsidR="00491300" w:rsidRPr="00BD1816">
        <w:rPr>
          <w:rFonts w:ascii="Times New Roman" w:hAnsi="Times New Roman" w:cs="Times New Roman"/>
          <w:sz w:val="24"/>
          <w:szCs w:val="24"/>
        </w:rPr>
        <w:t xml:space="preserve">, micro-level evidence on the pathways through which climate shocks affect health is still sparse, particularly across </w:t>
      </w:r>
      <w:proofErr w:type="spellStart"/>
      <w:r w:rsidR="00491300" w:rsidRPr="00BD1816">
        <w:rPr>
          <w:rFonts w:ascii="Times New Roman" w:hAnsi="Times New Roman" w:cs="Times New Roman"/>
          <w:sz w:val="24"/>
          <w:szCs w:val="24"/>
        </w:rPr>
        <w:t>SSA’s</w:t>
      </w:r>
      <w:proofErr w:type="spellEnd"/>
      <w:r w:rsidR="00491300" w:rsidRPr="00BD1816">
        <w:rPr>
          <w:rFonts w:ascii="Times New Roman" w:hAnsi="Times New Roman" w:cs="Times New Roman"/>
          <w:sz w:val="24"/>
          <w:szCs w:val="24"/>
        </w:rPr>
        <w:t xml:space="preserve"> diverse </w:t>
      </w:r>
      <w:proofErr w:type="spellStart"/>
      <w:r w:rsidR="00491300" w:rsidRPr="00BD1816">
        <w:rPr>
          <w:rFonts w:ascii="Times New Roman" w:hAnsi="Times New Roman" w:cs="Times New Roman"/>
          <w:sz w:val="24"/>
          <w:szCs w:val="24"/>
        </w:rPr>
        <w:t>agro</w:t>
      </w:r>
      <w:proofErr w:type="spellEnd"/>
      <w:r w:rsidR="00491300" w:rsidRPr="00BD1816">
        <w:rPr>
          <w:rFonts w:ascii="Times New Roman" w:hAnsi="Times New Roman" w:cs="Times New Roman"/>
          <w:sz w:val="24"/>
          <w:szCs w:val="24"/>
        </w:rPr>
        <w:t>-climatic regions. More longitudinal household studies tracking climate exposure, nutrition, mental health, and healthcare utilisation would provide deeper insight into how environmental shocks translate into long-term health outcomes.</w:t>
      </w:r>
    </w:p>
    <w:p w14:paraId="752DB5A3" w14:textId="716BA5F4" w:rsidR="00A90490" w:rsidRPr="00BD1816" w:rsidRDefault="00A90490"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POLICY IMPLICATIONS</w:t>
      </w:r>
    </w:p>
    <w:p w14:paraId="504AD1E9" w14:textId="6C3F2D94" w:rsidR="00A90490"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The GPCHT framework provides clear policy directions for improving healthcare outcomes in SSA by addressing the interconnected roles of governance, poverty, and climate vulnerability. </w:t>
      </w:r>
      <w:r w:rsidRPr="00BD1816">
        <w:rPr>
          <w:rFonts w:ascii="Times New Roman" w:hAnsi="Times New Roman" w:cs="Times New Roman"/>
          <w:sz w:val="24"/>
          <w:szCs w:val="24"/>
          <w:lang w:val="en-US"/>
        </w:rPr>
        <w:t>To improve healthcare</w:t>
      </w:r>
      <w:r w:rsidRPr="00BD1816">
        <w:rPr>
          <w:rFonts w:ascii="Times New Roman" w:hAnsi="Times New Roman" w:cs="Times New Roman"/>
          <w:sz w:val="24"/>
          <w:szCs w:val="24"/>
        </w:rPr>
        <w:t>, governance reforms should prioritise stronger public financial management, particularly through Treasury Single Account (TSA) systems, transparent health procurement, and community-based accountability mechanisms. These measures can improve the efficiency of health spending and reduce losses associated with corruption.</w:t>
      </w:r>
    </w:p>
    <w:p w14:paraId="4A06E36C" w14:textId="15E30C19" w:rsidR="00A90490" w:rsidRPr="00BD1816" w:rsidRDefault="00267F0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Furthermore</w:t>
      </w:r>
      <w:r w:rsidR="00A90490" w:rsidRPr="00BD1816">
        <w:rPr>
          <w:rFonts w:ascii="Times New Roman" w:hAnsi="Times New Roman" w:cs="Times New Roman"/>
          <w:sz w:val="24"/>
          <w:szCs w:val="24"/>
        </w:rPr>
        <w:t>, poverty reduction strategies should focus on expanding social protection, especially cash transfer programmes and community health worker networks. The evidence suggests that these interventions are effective in reaching vulnerable populations by combining income support with access to preventive and primary healthcare services.</w:t>
      </w:r>
    </w:p>
    <w:p w14:paraId="588C0C92" w14:textId="2C790199" w:rsidR="00A90490" w:rsidRPr="00BD1816" w:rsidRDefault="00267F08"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lang w:val="en-US"/>
        </w:rPr>
        <w:t>Moreover</w:t>
      </w:r>
      <w:r w:rsidR="00A90490" w:rsidRPr="00BD1816">
        <w:rPr>
          <w:rFonts w:ascii="Times New Roman" w:hAnsi="Times New Roman" w:cs="Times New Roman"/>
          <w:sz w:val="24"/>
          <w:szCs w:val="24"/>
        </w:rPr>
        <w:t>, climate adaptation policies should strengthen health systems by investing in disease surveillance, vaccine and medicine cold-chain systems, and community-level early warning mechanisms for climate-sensitive diseases. Such interventions offer direct and measurable benefits for reducing climate-related health risks.</w:t>
      </w:r>
    </w:p>
    <w:p w14:paraId="7D9B4302" w14:textId="393F26E5" w:rsidR="00A90490"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A major policy concern remains the limited domestic financing for health across SSA. Despite the commitments made under the Abuja Declaration, most governments have yet to allocate 15% of their national budgets to health. Within the GPCHT framework, this persistent underinvestment reflects both institutional weaknesses and a key driver of the region’s health trap. External support through development assistance, climate finance, and multilateral health institutions remains important, but these resources should complement rather than replace domestic health spending. Equally important, such financing should be tied to governance improvements to ensure effective delivery to intended populations.</w:t>
      </w:r>
    </w:p>
    <w:p w14:paraId="269A1CF7" w14:textId="4AB7A867" w:rsidR="00A90490" w:rsidRPr="00BD1816" w:rsidRDefault="00267F08"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LIMITATIONS</w:t>
      </w:r>
    </w:p>
    <w:p w14:paraId="5AF6AC04" w14:textId="4524B6B1" w:rsidR="00A90490"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This review has several limitations. </w:t>
      </w:r>
      <w:r w:rsidR="00267F08" w:rsidRPr="00BD1816">
        <w:rPr>
          <w:rFonts w:ascii="Times New Roman" w:hAnsi="Times New Roman" w:cs="Times New Roman"/>
          <w:sz w:val="24"/>
          <w:szCs w:val="24"/>
          <w:lang w:val="en-US"/>
        </w:rPr>
        <w:t>Restricting</w:t>
      </w:r>
      <w:r w:rsidRPr="00BD1816">
        <w:rPr>
          <w:rFonts w:ascii="Times New Roman" w:hAnsi="Times New Roman" w:cs="Times New Roman"/>
          <w:sz w:val="24"/>
          <w:szCs w:val="24"/>
        </w:rPr>
        <w:t xml:space="preserve"> the analysis to English-language and high-impact journal publications may have introduced publication bias, potentially excluding relevant grey literature and studies from Francophone and Lusophone SSA. </w:t>
      </w:r>
      <w:r w:rsidR="00267F08" w:rsidRPr="00BD1816">
        <w:rPr>
          <w:rFonts w:ascii="Times New Roman" w:hAnsi="Times New Roman" w:cs="Times New Roman"/>
          <w:sz w:val="24"/>
          <w:szCs w:val="24"/>
          <w:lang w:val="en-US"/>
        </w:rPr>
        <w:t>Moreover</w:t>
      </w:r>
      <w:r w:rsidRPr="00BD1816">
        <w:rPr>
          <w:rFonts w:ascii="Times New Roman" w:hAnsi="Times New Roman" w:cs="Times New Roman"/>
          <w:sz w:val="24"/>
          <w:szCs w:val="24"/>
        </w:rPr>
        <w:t xml:space="preserve">, the narrative synthesis approach, while suitable for diverse studies, does not allow for statistical pooling of effect sizes or formal heterogeneity testing. </w:t>
      </w:r>
      <w:r w:rsidR="00267F08" w:rsidRPr="00BD1816">
        <w:rPr>
          <w:rFonts w:ascii="Times New Roman" w:hAnsi="Times New Roman" w:cs="Times New Roman"/>
          <w:sz w:val="24"/>
          <w:szCs w:val="24"/>
          <w:lang w:val="en-US"/>
        </w:rPr>
        <w:t>Furthermore</w:t>
      </w:r>
      <w:r w:rsidRPr="00BD1816">
        <w:rPr>
          <w:rFonts w:ascii="Times New Roman" w:hAnsi="Times New Roman" w:cs="Times New Roman"/>
          <w:sz w:val="24"/>
          <w:szCs w:val="24"/>
        </w:rPr>
        <w:t>, because the review reflects a cross-sectional body of literature, it may not fully capture recent developments after 2024 in this rapidly evolving field. Finally, although the GPCHT framework is grounded in the reviewed evidence, its explanatory and predictive validity requires further empirical testing.</w:t>
      </w:r>
    </w:p>
    <w:p w14:paraId="49DE5715" w14:textId="5F53AE92" w:rsidR="00A90490" w:rsidRPr="00BD1816" w:rsidRDefault="00267F08" w:rsidP="00BD1816">
      <w:pPr>
        <w:spacing w:before="240"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CONCLUSION</w:t>
      </w:r>
    </w:p>
    <w:p w14:paraId="5DA44A21" w14:textId="285CF394" w:rsidR="00A90490"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 xml:space="preserve">Healthcare outcomes in sub-Saharan Africa are shaped by a complex interaction of structural determinants that collectively form what this review conceptualises as the Governance–Poverty–Climate Health Trap (GPCHT). Weak institutional quality reduces the effectiveness of health expenditure, poverty limits access to essential health </w:t>
      </w:r>
      <w:r w:rsidRPr="00BD1816">
        <w:rPr>
          <w:rFonts w:ascii="Times New Roman" w:hAnsi="Times New Roman" w:cs="Times New Roman"/>
          <w:sz w:val="24"/>
          <w:szCs w:val="24"/>
        </w:rPr>
        <w:lastRenderedPageBreak/>
        <w:t>resources, inequality deepens disparities through both material and psychosocial pathways, and climate change intensifies disease burdens while disproportionately affecting the poor. Environmental degradation, particularly air pollution, adds a persistent and often overlooked layer to this health crisis.</w:t>
      </w:r>
    </w:p>
    <w:p w14:paraId="1B7C6EA8" w14:textId="10F94039" w:rsidR="00A90490"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The evidence reviewed confirms that governance quality acts as a critical multiplier of health system performance, poverty remains a strong predictor of child and maternal mortality, inequality independently worsens health outcomes, and climate change is accelerating the region’s exposure to infectious diseases, heat stress, and food insecurity. Together, these factors reinforce one another and sustain poor health outcomes across SSA.</w:t>
      </w:r>
    </w:p>
    <w:p w14:paraId="28170F25" w14:textId="0FADDB75" w:rsidR="006B438F" w:rsidRPr="00BD1816" w:rsidRDefault="00A90490" w:rsidP="00BD1816">
      <w:pPr>
        <w:spacing w:before="240" w:after="240" w:line="240" w:lineRule="auto"/>
        <w:ind w:left="238" w:right="238"/>
        <w:jc w:val="both"/>
        <w:rPr>
          <w:rFonts w:ascii="Times New Roman" w:hAnsi="Times New Roman" w:cs="Times New Roman"/>
          <w:sz w:val="24"/>
          <w:szCs w:val="24"/>
        </w:rPr>
      </w:pPr>
      <w:r w:rsidRPr="00BD1816">
        <w:rPr>
          <w:rFonts w:ascii="Times New Roman" w:hAnsi="Times New Roman" w:cs="Times New Roman"/>
          <w:sz w:val="24"/>
          <w:szCs w:val="24"/>
        </w:rPr>
        <w:t>Addressing these challenges requires integrated and cross-sectoral policy responses. Progress toward United Nations Sustainable Development Goal 3 on universal health coverage and reduced preventable mortality will remain limited unless health sector reforms are accompanied by stronger governance systems, broader social protection, climate adaptation measures, and environmental regulation. Future research should therefore prioritise the empirical testing of governance–climate interactions, clearer identification of inequality-health pathways, and the evaluation of integrated policy interventions capable of breaking multiple dimensions of the GPCHT simultaneously.</w:t>
      </w:r>
    </w:p>
    <w:p w14:paraId="17ACC95F" w14:textId="77777777" w:rsidR="006B438F" w:rsidRPr="00BD1816" w:rsidRDefault="006B438F" w:rsidP="00BD1816">
      <w:pPr>
        <w:spacing w:before="4" w:after="240" w:line="240" w:lineRule="auto"/>
        <w:ind w:left="238" w:right="238"/>
        <w:jc w:val="both"/>
        <w:rPr>
          <w:rFonts w:ascii="Times New Roman" w:hAnsi="Times New Roman" w:cs="Times New Roman"/>
          <w:b/>
          <w:bCs/>
          <w:sz w:val="24"/>
          <w:szCs w:val="24"/>
        </w:rPr>
      </w:pPr>
      <w:r w:rsidRPr="00BD1816">
        <w:rPr>
          <w:rFonts w:ascii="Times New Roman" w:hAnsi="Times New Roman" w:cs="Times New Roman"/>
          <w:b/>
          <w:bCs/>
          <w:sz w:val="24"/>
          <w:szCs w:val="24"/>
        </w:rPr>
        <w:t>REFERENCES</w:t>
      </w:r>
    </w:p>
    <w:p w14:paraId="5AB60D90"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Annals of Global Health. (2024). The health impacts of air pollution in the context of changing climate in Africa: A narrative review with recommendations for action. </w:t>
      </w:r>
      <w:r w:rsidRPr="00264DC8">
        <w:rPr>
          <w:rFonts w:ascii="Times New Roman" w:hAnsi="Times New Roman" w:cs="Times New Roman"/>
          <w:i/>
          <w:iCs/>
          <w:sz w:val="24"/>
          <w:szCs w:val="24"/>
        </w:rPr>
        <w:t>Annals of Global Health</w:t>
      </w:r>
      <w:r w:rsidRPr="00264DC8">
        <w:rPr>
          <w:rFonts w:ascii="Times New Roman" w:hAnsi="Times New Roman" w:cs="Times New Roman"/>
          <w:sz w:val="24"/>
          <w:szCs w:val="24"/>
        </w:rPr>
        <w:t>, 90(1), 1–18. https://doi.org/10.5334/aogh.4527</w:t>
      </w:r>
    </w:p>
    <w:p w14:paraId="1533352B"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Bala, M. M., &amp; Singh, S. (2025). Inequality, development, and the environment: Determinants of health outcomes in sub-Saharan Africa. </w:t>
      </w:r>
      <w:r w:rsidRPr="00264DC8">
        <w:rPr>
          <w:rFonts w:ascii="Times New Roman" w:hAnsi="Times New Roman" w:cs="Times New Roman"/>
          <w:i/>
          <w:iCs/>
          <w:sz w:val="24"/>
          <w:szCs w:val="24"/>
        </w:rPr>
        <w:t>Sustainable Development</w:t>
      </w:r>
      <w:r w:rsidRPr="00264DC8">
        <w:rPr>
          <w:rFonts w:ascii="Times New Roman" w:hAnsi="Times New Roman" w:cs="Times New Roman"/>
          <w:sz w:val="24"/>
          <w:szCs w:val="24"/>
        </w:rPr>
        <w:t>, 33(2), 1–19. https://doi.org/10.1002/sd.70666</w:t>
      </w:r>
    </w:p>
    <w:p w14:paraId="688B5CA7"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Bender, R. G., Sirota, S. B., </w:t>
      </w:r>
      <w:proofErr w:type="spellStart"/>
      <w:r w:rsidRPr="00264DC8">
        <w:rPr>
          <w:rFonts w:ascii="Times New Roman" w:hAnsi="Times New Roman" w:cs="Times New Roman"/>
          <w:sz w:val="24"/>
          <w:szCs w:val="24"/>
        </w:rPr>
        <w:t>Swetschinski</w:t>
      </w:r>
      <w:proofErr w:type="spellEnd"/>
      <w:r w:rsidRPr="00264DC8">
        <w:rPr>
          <w:rFonts w:ascii="Times New Roman" w:hAnsi="Times New Roman" w:cs="Times New Roman"/>
          <w:sz w:val="24"/>
          <w:szCs w:val="24"/>
        </w:rPr>
        <w:t xml:space="preserve">, L. R., &amp; collaborators. (2024). Global, regional, and national incidence and mortality burden of non-COVID-19 lower respiratory infections and aetiologies, 1990–2021: A systematic analysis from the Global Burden of Disease Study 2021. </w:t>
      </w:r>
      <w:r w:rsidRPr="00264DC8">
        <w:rPr>
          <w:rFonts w:ascii="Times New Roman" w:hAnsi="Times New Roman" w:cs="Times New Roman"/>
          <w:i/>
          <w:iCs/>
          <w:sz w:val="24"/>
          <w:szCs w:val="24"/>
        </w:rPr>
        <w:t>Lancet Infectious Diseases</w:t>
      </w:r>
      <w:r w:rsidRPr="00264DC8">
        <w:rPr>
          <w:rFonts w:ascii="Times New Roman" w:hAnsi="Times New Roman" w:cs="Times New Roman"/>
          <w:sz w:val="24"/>
          <w:szCs w:val="24"/>
        </w:rPr>
        <w:t>, 24(9), 974–1002. https://doi.org/10.1016/S1473-3099(24)00140-9</w:t>
      </w:r>
    </w:p>
    <w:p w14:paraId="456E6F0D"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Besley, T., &amp; Persson, T. (2011). Pillars of prosperity: The political economics of development clusters. Princeton University Press.</w:t>
      </w:r>
    </w:p>
    <w:p w14:paraId="38A70D48"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Bukari</w:t>
      </w:r>
      <w:proofErr w:type="spellEnd"/>
      <w:r w:rsidRPr="00264DC8">
        <w:rPr>
          <w:rFonts w:ascii="Times New Roman" w:hAnsi="Times New Roman" w:cs="Times New Roman"/>
          <w:sz w:val="24"/>
          <w:szCs w:val="24"/>
        </w:rPr>
        <w:t xml:space="preserve">, C., Seth, S., &amp; </w:t>
      </w:r>
      <w:proofErr w:type="spellStart"/>
      <w:r w:rsidRPr="00264DC8">
        <w:rPr>
          <w:rFonts w:ascii="Times New Roman" w:hAnsi="Times New Roman" w:cs="Times New Roman"/>
          <w:sz w:val="24"/>
          <w:szCs w:val="24"/>
        </w:rPr>
        <w:t>Yalonetkzy</w:t>
      </w:r>
      <w:proofErr w:type="spellEnd"/>
      <w:r w:rsidRPr="00264DC8">
        <w:rPr>
          <w:rFonts w:ascii="Times New Roman" w:hAnsi="Times New Roman" w:cs="Times New Roman"/>
          <w:sz w:val="24"/>
          <w:szCs w:val="24"/>
        </w:rPr>
        <w:t xml:space="preserve">, G. (2024). Corruption can cause healthcare deprivation: Evidence from 29 sub-Saharan African countries. </w:t>
      </w:r>
      <w:r w:rsidRPr="00264DC8">
        <w:rPr>
          <w:rFonts w:ascii="Times New Roman" w:hAnsi="Times New Roman" w:cs="Times New Roman"/>
          <w:i/>
          <w:iCs/>
          <w:sz w:val="24"/>
          <w:szCs w:val="24"/>
        </w:rPr>
        <w:t>World Development</w:t>
      </w:r>
      <w:r w:rsidRPr="00264DC8">
        <w:rPr>
          <w:rFonts w:ascii="Times New Roman" w:hAnsi="Times New Roman" w:cs="Times New Roman"/>
          <w:sz w:val="24"/>
          <w:szCs w:val="24"/>
        </w:rPr>
        <w:t>, 180, Article 106630. https://doi.org/10.1016/j.worlddev.2024.106630</w:t>
      </w:r>
    </w:p>
    <w:p w14:paraId="7BB54889"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Chatterjee, T., &amp; </w:t>
      </w:r>
      <w:proofErr w:type="spellStart"/>
      <w:r w:rsidRPr="00264DC8">
        <w:rPr>
          <w:rFonts w:ascii="Times New Roman" w:hAnsi="Times New Roman" w:cs="Times New Roman"/>
          <w:sz w:val="24"/>
          <w:szCs w:val="24"/>
        </w:rPr>
        <w:t>Teame</w:t>
      </w:r>
      <w:proofErr w:type="spellEnd"/>
      <w:r w:rsidRPr="00264DC8">
        <w:rPr>
          <w:rFonts w:ascii="Times New Roman" w:hAnsi="Times New Roman" w:cs="Times New Roman"/>
          <w:sz w:val="24"/>
          <w:szCs w:val="24"/>
        </w:rPr>
        <w:t xml:space="preserve">, G. T. (2024). Impact of income inequality on health and education in Africa: The long-run role of public spending with short-run dynamics. </w:t>
      </w:r>
      <w:r w:rsidRPr="00264DC8">
        <w:rPr>
          <w:rFonts w:ascii="Times New Roman" w:hAnsi="Times New Roman" w:cs="Times New Roman"/>
          <w:i/>
          <w:iCs/>
          <w:sz w:val="24"/>
          <w:szCs w:val="24"/>
        </w:rPr>
        <w:t>Journal of Computational Social Science,</w:t>
      </w:r>
      <w:r w:rsidRPr="00264DC8">
        <w:rPr>
          <w:rFonts w:ascii="Times New Roman" w:hAnsi="Times New Roman" w:cs="Times New Roman"/>
          <w:sz w:val="24"/>
          <w:szCs w:val="24"/>
        </w:rPr>
        <w:t xml:space="preserve"> 7, 259–304. https://doi.org/10.21203/rs.3.rs-1265490/v1</w:t>
      </w:r>
    </w:p>
    <w:p w14:paraId="74ACB79D"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Christmals</w:t>
      </w:r>
      <w:proofErr w:type="spellEnd"/>
      <w:r w:rsidRPr="00264DC8">
        <w:rPr>
          <w:rFonts w:ascii="Times New Roman" w:hAnsi="Times New Roman" w:cs="Times New Roman"/>
          <w:sz w:val="24"/>
          <w:szCs w:val="24"/>
        </w:rPr>
        <w:t xml:space="preserve">, C. D., &amp; </w:t>
      </w:r>
      <w:proofErr w:type="spellStart"/>
      <w:r w:rsidRPr="00264DC8">
        <w:rPr>
          <w:rFonts w:ascii="Times New Roman" w:hAnsi="Times New Roman" w:cs="Times New Roman"/>
          <w:sz w:val="24"/>
          <w:szCs w:val="24"/>
        </w:rPr>
        <w:t>Aidam</w:t>
      </w:r>
      <w:proofErr w:type="spellEnd"/>
      <w:r w:rsidRPr="00264DC8">
        <w:rPr>
          <w:rFonts w:ascii="Times New Roman" w:hAnsi="Times New Roman" w:cs="Times New Roman"/>
          <w:sz w:val="24"/>
          <w:szCs w:val="24"/>
        </w:rPr>
        <w:t xml:space="preserve">, K. (2023). The state and significant drivers of health systems efficiency in Africa: A systematic review and meta-analysis. </w:t>
      </w:r>
      <w:r w:rsidRPr="00264DC8">
        <w:rPr>
          <w:rFonts w:ascii="Times New Roman" w:hAnsi="Times New Roman" w:cs="Times New Roman"/>
          <w:i/>
          <w:iCs/>
          <w:sz w:val="24"/>
          <w:szCs w:val="24"/>
        </w:rPr>
        <w:t>Journal of Global Health</w:t>
      </w:r>
      <w:r w:rsidRPr="00264DC8">
        <w:rPr>
          <w:rFonts w:ascii="Times New Roman" w:hAnsi="Times New Roman" w:cs="Times New Roman"/>
          <w:sz w:val="24"/>
          <w:szCs w:val="24"/>
        </w:rPr>
        <w:t>, 13, Article 04131. https://doi.org/10.7189/jogh.13.04131</w:t>
      </w:r>
    </w:p>
    <w:p w14:paraId="210CE804"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Commission on Social Determinants of Health. (2008). Closing the gap in a generation: Health equity through action on the social determinants of health. World Health Organization.</w:t>
      </w:r>
    </w:p>
    <w:p w14:paraId="072D9D2D"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Dhrifi</w:t>
      </w:r>
      <w:proofErr w:type="spellEnd"/>
      <w:r w:rsidRPr="00264DC8">
        <w:rPr>
          <w:rFonts w:ascii="Times New Roman" w:hAnsi="Times New Roman" w:cs="Times New Roman"/>
          <w:sz w:val="24"/>
          <w:szCs w:val="24"/>
        </w:rPr>
        <w:t xml:space="preserve">, A. (2018). Public health expenditure and child mortality: Does institutional quality matter? </w:t>
      </w:r>
      <w:r w:rsidRPr="00264DC8">
        <w:rPr>
          <w:rFonts w:ascii="Times New Roman" w:hAnsi="Times New Roman" w:cs="Times New Roman"/>
          <w:i/>
          <w:iCs/>
          <w:sz w:val="24"/>
          <w:szCs w:val="24"/>
        </w:rPr>
        <w:t>Journal of the Knowledge Economy,</w:t>
      </w:r>
      <w:r w:rsidRPr="00264DC8">
        <w:rPr>
          <w:rFonts w:ascii="Times New Roman" w:hAnsi="Times New Roman" w:cs="Times New Roman"/>
          <w:sz w:val="24"/>
          <w:szCs w:val="24"/>
        </w:rPr>
        <w:t xml:space="preserve"> 11(2), 692–706. https://doi.org/10.1007/s13132-018-0558-8</w:t>
      </w:r>
    </w:p>
    <w:p w14:paraId="7BF371E7"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Dincer</w:t>
      </w:r>
      <w:proofErr w:type="spellEnd"/>
      <w:r w:rsidRPr="00264DC8">
        <w:rPr>
          <w:rFonts w:ascii="Times New Roman" w:hAnsi="Times New Roman" w:cs="Times New Roman"/>
          <w:sz w:val="24"/>
          <w:szCs w:val="24"/>
        </w:rPr>
        <w:t xml:space="preserve">, O., &amp; Teoman, O. (2019). Does corruption kill? Evidence from half a century of infant mortality data. </w:t>
      </w:r>
      <w:r w:rsidRPr="00264DC8">
        <w:rPr>
          <w:rFonts w:ascii="Times New Roman" w:hAnsi="Times New Roman" w:cs="Times New Roman"/>
          <w:i/>
          <w:iCs/>
          <w:sz w:val="24"/>
          <w:szCs w:val="24"/>
        </w:rPr>
        <w:t>Social Science &amp; Medicine,</w:t>
      </w:r>
      <w:r w:rsidRPr="00264DC8">
        <w:rPr>
          <w:rFonts w:ascii="Times New Roman" w:hAnsi="Times New Roman" w:cs="Times New Roman"/>
          <w:sz w:val="24"/>
          <w:szCs w:val="24"/>
        </w:rPr>
        <w:t xml:space="preserve"> 232, 332–339. https://doi.org/10.1016/j.socscimed.2019.05.023</w:t>
      </w:r>
    </w:p>
    <w:p w14:paraId="4565B1B7"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Fisher, S., Bellinger, D. C., Cropper, M. L., Kumar, P., </w:t>
      </w:r>
      <w:proofErr w:type="spellStart"/>
      <w:r w:rsidRPr="00264DC8">
        <w:rPr>
          <w:rFonts w:ascii="Times New Roman" w:hAnsi="Times New Roman" w:cs="Times New Roman"/>
          <w:sz w:val="24"/>
          <w:szCs w:val="24"/>
        </w:rPr>
        <w:t>Binagwaho</w:t>
      </w:r>
      <w:proofErr w:type="spellEnd"/>
      <w:r w:rsidRPr="00264DC8">
        <w:rPr>
          <w:rFonts w:ascii="Times New Roman" w:hAnsi="Times New Roman" w:cs="Times New Roman"/>
          <w:sz w:val="24"/>
          <w:szCs w:val="24"/>
        </w:rPr>
        <w:t xml:space="preserve">, A., Biao </w:t>
      </w:r>
      <w:proofErr w:type="spellStart"/>
      <w:r w:rsidRPr="00264DC8">
        <w:rPr>
          <w:rFonts w:ascii="Times New Roman" w:hAnsi="Times New Roman" w:cs="Times New Roman"/>
          <w:sz w:val="24"/>
          <w:szCs w:val="24"/>
        </w:rPr>
        <w:t>Koudenoukpo</w:t>
      </w:r>
      <w:proofErr w:type="spellEnd"/>
      <w:r w:rsidRPr="00264DC8">
        <w:rPr>
          <w:rFonts w:ascii="Times New Roman" w:hAnsi="Times New Roman" w:cs="Times New Roman"/>
          <w:sz w:val="24"/>
          <w:szCs w:val="24"/>
        </w:rPr>
        <w:t xml:space="preserve">, J., Park, Y., </w:t>
      </w:r>
      <w:proofErr w:type="spellStart"/>
      <w:r w:rsidRPr="00264DC8">
        <w:rPr>
          <w:rFonts w:ascii="Times New Roman" w:hAnsi="Times New Roman" w:cs="Times New Roman"/>
          <w:sz w:val="24"/>
          <w:szCs w:val="24"/>
        </w:rPr>
        <w:t>Taghian</w:t>
      </w:r>
      <w:proofErr w:type="spellEnd"/>
      <w:r w:rsidRPr="00264DC8">
        <w:rPr>
          <w:rFonts w:ascii="Times New Roman" w:hAnsi="Times New Roman" w:cs="Times New Roman"/>
          <w:sz w:val="24"/>
          <w:szCs w:val="24"/>
        </w:rPr>
        <w:t xml:space="preserve">, G., &amp; Landrigan, P. J. (2021). Air pollution and development in Africa: Impacts on health, the economy, and human capital. </w:t>
      </w:r>
      <w:r w:rsidRPr="00264DC8">
        <w:rPr>
          <w:rFonts w:ascii="Times New Roman" w:hAnsi="Times New Roman" w:cs="Times New Roman"/>
          <w:i/>
          <w:iCs/>
          <w:sz w:val="24"/>
          <w:szCs w:val="24"/>
        </w:rPr>
        <w:t>Lancet Planetary Health</w:t>
      </w:r>
      <w:r w:rsidRPr="00264DC8">
        <w:rPr>
          <w:rFonts w:ascii="Times New Roman" w:hAnsi="Times New Roman" w:cs="Times New Roman"/>
          <w:sz w:val="24"/>
          <w:szCs w:val="24"/>
        </w:rPr>
        <w:t>, 5(10), e681–e688. https://doi.org/10.1016/S2542-5196(21)00201-1</w:t>
      </w:r>
    </w:p>
    <w:p w14:paraId="695F8AA0"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Fosu, A. K., &amp; </w:t>
      </w:r>
      <w:proofErr w:type="spellStart"/>
      <w:r w:rsidRPr="00264DC8">
        <w:rPr>
          <w:rFonts w:ascii="Times New Roman" w:hAnsi="Times New Roman" w:cs="Times New Roman"/>
          <w:sz w:val="24"/>
          <w:szCs w:val="24"/>
        </w:rPr>
        <w:t>Gafa</w:t>
      </w:r>
      <w:proofErr w:type="spellEnd"/>
      <w:r w:rsidRPr="00264DC8">
        <w:rPr>
          <w:rFonts w:ascii="Times New Roman" w:hAnsi="Times New Roman" w:cs="Times New Roman"/>
          <w:sz w:val="24"/>
          <w:szCs w:val="24"/>
        </w:rPr>
        <w:t xml:space="preserve">, D. W. (2020). Governance and economic growth in Africa: New empirical frontiers. </w:t>
      </w:r>
      <w:r w:rsidRPr="00264DC8">
        <w:rPr>
          <w:rFonts w:ascii="Times New Roman" w:hAnsi="Times New Roman" w:cs="Times New Roman"/>
          <w:i/>
          <w:iCs/>
          <w:sz w:val="24"/>
          <w:szCs w:val="24"/>
        </w:rPr>
        <w:t>African Development Review</w:t>
      </w:r>
      <w:r w:rsidRPr="00264DC8">
        <w:rPr>
          <w:rFonts w:ascii="Times New Roman" w:hAnsi="Times New Roman" w:cs="Times New Roman"/>
          <w:sz w:val="24"/>
          <w:szCs w:val="24"/>
        </w:rPr>
        <w:t>, 32(S1), S3–S19. https://doi.org/10.1111/1467-8268.12464</w:t>
      </w:r>
    </w:p>
    <w:p w14:paraId="11561177"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Gwatkin</w:t>
      </w:r>
      <w:proofErr w:type="spellEnd"/>
      <w:r w:rsidRPr="00264DC8">
        <w:rPr>
          <w:rFonts w:ascii="Times New Roman" w:hAnsi="Times New Roman" w:cs="Times New Roman"/>
          <w:sz w:val="24"/>
          <w:szCs w:val="24"/>
        </w:rPr>
        <w:t xml:space="preserve">, D. R., &amp; Ergo, A. (2011). Universal health coverage: Friend or foe of health equity? </w:t>
      </w:r>
      <w:r w:rsidRPr="00264DC8">
        <w:rPr>
          <w:rFonts w:ascii="Times New Roman" w:hAnsi="Times New Roman" w:cs="Times New Roman"/>
          <w:i/>
          <w:iCs/>
          <w:sz w:val="24"/>
          <w:szCs w:val="24"/>
        </w:rPr>
        <w:t>Lancet</w:t>
      </w:r>
      <w:r w:rsidRPr="00264DC8">
        <w:rPr>
          <w:rFonts w:ascii="Times New Roman" w:hAnsi="Times New Roman" w:cs="Times New Roman"/>
          <w:sz w:val="24"/>
          <w:szCs w:val="24"/>
        </w:rPr>
        <w:t>, 377(9784), 2160–2161. https://doi.org/10.1016/S0140-6736(10)62058-2</w:t>
      </w:r>
    </w:p>
    <w:p w14:paraId="2DE8C6F1"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Hadipour, A., </w:t>
      </w:r>
      <w:proofErr w:type="spellStart"/>
      <w:r w:rsidRPr="00264DC8">
        <w:rPr>
          <w:rFonts w:ascii="Times New Roman" w:hAnsi="Times New Roman" w:cs="Times New Roman"/>
          <w:sz w:val="24"/>
          <w:szCs w:val="24"/>
        </w:rPr>
        <w:t>Delavari</w:t>
      </w:r>
      <w:proofErr w:type="spellEnd"/>
      <w:r w:rsidRPr="00264DC8">
        <w:rPr>
          <w:rFonts w:ascii="Times New Roman" w:hAnsi="Times New Roman" w:cs="Times New Roman"/>
          <w:sz w:val="24"/>
          <w:szCs w:val="24"/>
        </w:rPr>
        <w:t xml:space="preserve">, S., &amp; Bayati, M. (2023). What is the role of institutional quality in health outcomes? A panel data analysis on 158 countries from 2001–2020. </w:t>
      </w:r>
      <w:proofErr w:type="spellStart"/>
      <w:r w:rsidRPr="00264DC8">
        <w:rPr>
          <w:rFonts w:ascii="Times New Roman" w:hAnsi="Times New Roman" w:cs="Times New Roman"/>
          <w:sz w:val="24"/>
          <w:szCs w:val="24"/>
        </w:rPr>
        <w:t>Heliyon</w:t>
      </w:r>
      <w:proofErr w:type="spellEnd"/>
      <w:r w:rsidRPr="00264DC8">
        <w:rPr>
          <w:rFonts w:ascii="Times New Roman" w:hAnsi="Times New Roman" w:cs="Times New Roman"/>
          <w:sz w:val="24"/>
          <w:szCs w:val="24"/>
        </w:rPr>
        <w:t>, 9(9), Article e20251. https://doi.org/10.1016/j.heliyon.2023.e20251</w:t>
      </w:r>
    </w:p>
    <w:p w14:paraId="5624D4AE"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Kabongo, W. N. S., &amp; </w:t>
      </w:r>
      <w:proofErr w:type="spellStart"/>
      <w:r w:rsidRPr="00264DC8">
        <w:rPr>
          <w:rFonts w:ascii="Times New Roman" w:hAnsi="Times New Roman" w:cs="Times New Roman"/>
          <w:sz w:val="24"/>
          <w:szCs w:val="24"/>
        </w:rPr>
        <w:t>Mbonigaba</w:t>
      </w:r>
      <w:proofErr w:type="spellEnd"/>
      <w:r w:rsidRPr="00264DC8">
        <w:rPr>
          <w:rFonts w:ascii="Times New Roman" w:hAnsi="Times New Roman" w:cs="Times New Roman"/>
          <w:sz w:val="24"/>
          <w:szCs w:val="24"/>
        </w:rPr>
        <w:t xml:space="preserve">, J. (2024). Effectiveness of public health spending: Investigating the moderating role of governance using partial least squares structural equation modelling (PLS-SEM). </w:t>
      </w:r>
      <w:r w:rsidRPr="00264DC8">
        <w:rPr>
          <w:rFonts w:ascii="Times New Roman" w:hAnsi="Times New Roman" w:cs="Times New Roman"/>
          <w:i/>
          <w:iCs/>
          <w:sz w:val="24"/>
          <w:szCs w:val="24"/>
        </w:rPr>
        <w:t>Health Research Policy and Systems,</w:t>
      </w:r>
      <w:r w:rsidRPr="00264DC8">
        <w:rPr>
          <w:rFonts w:ascii="Times New Roman" w:hAnsi="Times New Roman" w:cs="Times New Roman"/>
          <w:sz w:val="24"/>
          <w:szCs w:val="24"/>
        </w:rPr>
        <w:t xml:space="preserve"> 22(1), Article 91. https://doi.org/10.1186/s12961-024-01159-x</w:t>
      </w:r>
    </w:p>
    <w:p w14:paraId="5DFFFBD7"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lastRenderedPageBreak/>
        <w:t>Kapwata</w:t>
      </w:r>
      <w:proofErr w:type="spellEnd"/>
      <w:r w:rsidRPr="00264DC8">
        <w:rPr>
          <w:rFonts w:ascii="Times New Roman" w:hAnsi="Times New Roman" w:cs="Times New Roman"/>
          <w:sz w:val="24"/>
          <w:szCs w:val="24"/>
        </w:rPr>
        <w:t xml:space="preserve">, T., Kunene, Z., Wernecke, B., Lange, S., Howard, G., Nijhawan, A., &amp; collaborators. (2022). Applying a WASH risk assessment tool in a rural South African setting to identify risks and opportunities for climate resilient communities. </w:t>
      </w:r>
      <w:r w:rsidRPr="00264DC8">
        <w:rPr>
          <w:rFonts w:ascii="Times New Roman" w:hAnsi="Times New Roman" w:cs="Times New Roman"/>
          <w:i/>
          <w:iCs/>
          <w:sz w:val="24"/>
          <w:szCs w:val="24"/>
        </w:rPr>
        <w:t>International Journal of Environmental Research and Public Health,</w:t>
      </w:r>
      <w:r w:rsidRPr="00264DC8">
        <w:rPr>
          <w:rFonts w:ascii="Times New Roman" w:hAnsi="Times New Roman" w:cs="Times New Roman"/>
          <w:sz w:val="24"/>
          <w:szCs w:val="24"/>
        </w:rPr>
        <w:t xml:space="preserve"> 19(5), Article 2664. https://doi.org/10.3390/ijerph19052664</w:t>
      </w:r>
    </w:p>
    <w:p w14:paraId="406D3EC6"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Kilungo</w:t>
      </w:r>
      <w:proofErr w:type="spellEnd"/>
      <w:r w:rsidRPr="00264DC8">
        <w:rPr>
          <w:rFonts w:ascii="Times New Roman" w:hAnsi="Times New Roman" w:cs="Times New Roman"/>
          <w:sz w:val="24"/>
          <w:szCs w:val="24"/>
        </w:rPr>
        <w:t xml:space="preserve">, A., </w:t>
      </w:r>
      <w:proofErr w:type="spellStart"/>
      <w:r w:rsidRPr="00264DC8">
        <w:rPr>
          <w:rFonts w:ascii="Times New Roman" w:hAnsi="Times New Roman" w:cs="Times New Roman"/>
          <w:sz w:val="24"/>
          <w:szCs w:val="24"/>
        </w:rPr>
        <w:t>Chukwuonye</w:t>
      </w:r>
      <w:proofErr w:type="spellEnd"/>
      <w:r w:rsidRPr="00264DC8">
        <w:rPr>
          <w:rFonts w:ascii="Times New Roman" w:hAnsi="Times New Roman" w:cs="Times New Roman"/>
          <w:sz w:val="24"/>
          <w:szCs w:val="24"/>
        </w:rPr>
        <w:t xml:space="preserve">, G., </w:t>
      </w:r>
      <w:proofErr w:type="spellStart"/>
      <w:r w:rsidRPr="00264DC8">
        <w:rPr>
          <w:rFonts w:ascii="Times New Roman" w:hAnsi="Times New Roman" w:cs="Times New Roman"/>
          <w:sz w:val="24"/>
          <w:szCs w:val="24"/>
        </w:rPr>
        <w:t>Okpanachi</w:t>
      </w:r>
      <w:proofErr w:type="spellEnd"/>
      <w:r w:rsidRPr="00264DC8">
        <w:rPr>
          <w:rFonts w:ascii="Times New Roman" w:hAnsi="Times New Roman" w:cs="Times New Roman"/>
          <w:sz w:val="24"/>
          <w:szCs w:val="24"/>
        </w:rPr>
        <w:t xml:space="preserve">, V., Mohamed, H., &amp; Colborn, J. (2025). Assessing sub-Saharan Africa's readiness to address the impact of climate change and health: A scoping review. </w:t>
      </w:r>
      <w:r w:rsidRPr="00264DC8">
        <w:rPr>
          <w:rFonts w:ascii="Times New Roman" w:hAnsi="Times New Roman" w:cs="Times New Roman"/>
          <w:i/>
          <w:iCs/>
          <w:sz w:val="24"/>
          <w:szCs w:val="24"/>
        </w:rPr>
        <w:t>PLOS ONE</w:t>
      </w:r>
      <w:r w:rsidRPr="00264DC8">
        <w:rPr>
          <w:rFonts w:ascii="Times New Roman" w:hAnsi="Times New Roman" w:cs="Times New Roman"/>
          <w:sz w:val="24"/>
          <w:szCs w:val="24"/>
        </w:rPr>
        <w:t>, 20(11), Article e0315482. https://doi.org/10.1371/journal.pone.0315482</w:t>
      </w:r>
    </w:p>
    <w:p w14:paraId="3A0DF956"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Kouadio, B. (2025). Health expenditure, governance quality, and health outcomes in West African countries. </w:t>
      </w:r>
      <w:r w:rsidRPr="00264DC8">
        <w:rPr>
          <w:rFonts w:ascii="Times New Roman" w:hAnsi="Times New Roman" w:cs="Times New Roman"/>
          <w:i/>
          <w:iCs/>
          <w:sz w:val="24"/>
          <w:szCs w:val="24"/>
        </w:rPr>
        <w:t>International Journal of Health Planning and Management,</w:t>
      </w:r>
      <w:r w:rsidRPr="00264DC8">
        <w:rPr>
          <w:rFonts w:ascii="Times New Roman" w:hAnsi="Times New Roman" w:cs="Times New Roman"/>
          <w:sz w:val="24"/>
          <w:szCs w:val="24"/>
        </w:rPr>
        <w:t xml:space="preserve"> 40(1), e1–e25. https://doi.org/10.1002/hpm.3887</w:t>
      </w:r>
    </w:p>
    <w:p w14:paraId="4523360D"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Lokonon</w:t>
      </w:r>
      <w:proofErr w:type="spellEnd"/>
      <w:r w:rsidRPr="00264DC8">
        <w:rPr>
          <w:rFonts w:ascii="Times New Roman" w:hAnsi="Times New Roman" w:cs="Times New Roman"/>
          <w:sz w:val="24"/>
          <w:szCs w:val="24"/>
        </w:rPr>
        <w:t>, B. O. K., &amp; colleagues. (2025). Climate change as a game changer: Rethinking Africa's food security–health outcome nexus through a multi-sectoral lens. Scientific Reports, 15, Article 16842. https://doi.org/10.1038/s41598-025-99276-2</w:t>
      </w:r>
    </w:p>
    <w:p w14:paraId="72DD7A72"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Lynch, J., Smith, G. D., Kaplan, G. A., &amp; House, J. S. (2000). Income inequality and mortality: Importance to health of individual income, psychosocial environment, or material conditions. </w:t>
      </w:r>
      <w:r w:rsidRPr="00264DC8">
        <w:rPr>
          <w:rFonts w:ascii="Times New Roman" w:hAnsi="Times New Roman" w:cs="Times New Roman"/>
          <w:i/>
          <w:iCs/>
          <w:sz w:val="24"/>
          <w:szCs w:val="24"/>
        </w:rPr>
        <w:t>BMJ,</w:t>
      </w:r>
      <w:r w:rsidRPr="00264DC8">
        <w:rPr>
          <w:rFonts w:ascii="Times New Roman" w:hAnsi="Times New Roman" w:cs="Times New Roman"/>
          <w:sz w:val="24"/>
          <w:szCs w:val="24"/>
        </w:rPr>
        <w:t xml:space="preserve"> 320(7243), 1200–1204. https://doi.org/10.1136/bmj.320.7243.1200</w:t>
      </w:r>
    </w:p>
    <w:p w14:paraId="35AF4C91"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Marmot, M. (2005). Social determinants of health inequalities. </w:t>
      </w:r>
      <w:r w:rsidRPr="00264DC8">
        <w:rPr>
          <w:rFonts w:ascii="Times New Roman" w:hAnsi="Times New Roman" w:cs="Times New Roman"/>
          <w:i/>
          <w:iCs/>
          <w:sz w:val="24"/>
          <w:szCs w:val="24"/>
        </w:rPr>
        <w:t>Lancet</w:t>
      </w:r>
      <w:r w:rsidRPr="00264DC8">
        <w:rPr>
          <w:rFonts w:ascii="Times New Roman" w:hAnsi="Times New Roman" w:cs="Times New Roman"/>
          <w:sz w:val="24"/>
          <w:szCs w:val="24"/>
        </w:rPr>
        <w:t>, 365(9464), 1099–1104. https://doi.org/10.1016/S0140-6736(05)71146-6</w:t>
      </w:r>
    </w:p>
    <w:p w14:paraId="211938E9"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Ndzignat</w:t>
      </w:r>
      <w:proofErr w:type="spellEnd"/>
      <w:r w:rsidRPr="00264DC8">
        <w:rPr>
          <w:rFonts w:ascii="Times New Roman" w:hAnsi="Times New Roman" w:cs="Times New Roman"/>
          <w:sz w:val="24"/>
          <w:szCs w:val="24"/>
        </w:rPr>
        <w:t xml:space="preserve"> </w:t>
      </w:r>
      <w:proofErr w:type="spellStart"/>
      <w:r w:rsidRPr="00264DC8">
        <w:rPr>
          <w:rFonts w:ascii="Times New Roman" w:hAnsi="Times New Roman" w:cs="Times New Roman"/>
          <w:sz w:val="24"/>
          <w:szCs w:val="24"/>
        </w:rPr>
        <w:t>Mouteyica</w:t>
      </w:r>
      <w:proofErr w:type="spellEnd"/>
      <w:r w:rsidRPr="00264DC8">
        <w:rPr>
          <w:rFonts w:ascii="Times New Roman" w:hAnsi="Times New Roman" w:cs="Times New Roman"/>
          <w:sz w:val="24"/>
          <w:szCs w:val="24"/>
        </w:rPr>
        <w:t xml:space="preserve">, A. E., &amp; </w:t>
      </w:r>
      <w:proofErr w:type="spellStart"/>
      <w:r w:rsidRPr="00264DC8">
        <w:rPr>
          <w:rFonts w:ascii="Times New Roman" w:hAnsi="Times New Roman" w:cs="Times New Roman"/>
          <w:sz w:val="24"/>
          <w:szCs w:val="24"/>
        </w:rPr>
        <w:t>Ngepah</w:t>
      </w:r>
      <w:proofErr w:type="spellEnd"/>
      <w:r w:rsidRPr="00264DC8">
        <w:rPr>
          <w:rFonts w:ascii="Times New Roman" w:hAnsi="Times New Roman" w:cs="Times New Roman"/>
          <w:sz w:val="24"/>
          <w:szCs w:val="24"/>
        </w:rPr>
        <w:t xml:space="preserve">, N. N. (2024). Health outcome convergence and the roles of public health financing and governance in Africa. </w:t>
      </w:r>
      <w:r w:rsidRPr="00264DC8">
        <w:rPr>
          <w:rFonts w:ascii="Times New Roman" w:hAnsi="Times New Roman" w:cs="Times New Roman"/>
          <w:i/>
          <w:iCs/>
          <w:sz w:val="24"/>
          <w:szCs w:val="24"/>
        </w:rPr>
        <w:t>PLOS ONE</w:t>
      </w:r>
      <w:r w:rsidRPr="00264DC8">
        <w:rPr>
          <w:rFonts w:ascii="Times New Roman" w:hAnsi="Times New Roman" w:cs="Times New Roman"/>
          <w:sz w:val="24"/>
          <w:szCs w:val="24"/>
        </w:rPr>
        <w:t>, 19(10), Article e0312089. https://doi.org/10.1371/journal.pone.0312089</w:t>
      </w:r>
    </w:p>
    <w:p w14:paraId="5FA8FB24"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North, D. C. (1990). Institutions, institutional change and economic performance. Cambridge University Press.</w:t>
      </w:r>
    </w:p>
    <w:p w14:paraId="70B76C44"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Nwosu, C. O., &amp; </w:t>
      </w:r>
      <w:proofErr w:type="spellStart"/>
      <w:r w:rsidRPr="00264DC8">
        <w:rPr>
          <w:rFonts w:ascii="Times New Roman" w:hAnsi="Times New Roman" w:cs="Times New Roman"/>
          <w:sz w:val="24"/>
          <w:szCs w:val="24"/>
        </w:rPr>
        <w:t>Oyenubi</w:t>
      </w:r>
      <w:proofErr w:type="spellEnd"/>
      <w:r w:rsidRPr="00264DC8">
        <w:rPr>
          <w:rFonts w:ascii="Times New Roman" w:hAnsi="Times New Roman" w:cs="Times New Roman"/>
          <w:sz w:val="24"/>
          <w:szCs w:val="24"/>
        </w:rPr>
        <w:t xml:space="preserve">, A. (2021). COVID-19 pandemic, poverty and health outcomes in South Africa: Do social protection programmes protect? </w:t>
      </w:r>
      <w:r w:rsidRPr="00264DC8">
        <w:rPr>
          <w:rFonts w:ascii="Times New Roman" w:hAnsi="Times New Roman" w:cs="Times New Roman"/>
          <w:i/>
          <w:iCs/>
          <w:sz w:val="24"/>
          <w:szCs w:val="24"/>
        </w:rPr>
        <w:t>Journal of African Economies</w:t>
      </w:r>
      <w:r w:rsidRPr="00264DC8">
        <w:rPr>
          <w:rFonts w:ascii="Times New Roman" w:hAnsi="Times New Roman" w:cs="Times New Roman"/>
          <w:sz w:val="24"/>
          <w:szCs w:val="24"/>
        </w:rPr>
        <w:t>, 33(S1), i9–i29. https://doi.org/10.1093/jae/ejac031</w:t>
      </w:r>
    </w:p>
    <w:p w14:paraId="47C164E3"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Oke</w:t>
      </w:r>
      <w:proofErr w:type="spellEnd"/>
      <w:r w:rsidRPr="00264DC8">
        <w:rPr>
          <w:rFonts w:ascii="Times New Roman" w:hAnsi="Times New Roman" w:cs="Times New Roman"/>
          <w:sz w:val="24"/>
          <w:szCs w:val="24"/>
        </w:rPr>
        <w:t>, G. I., &amp; Sibomana, O. (2025). Understanding health inequality, disparity and inequity in Africa: A rapid review of concepts, root causes, and strategic solutions. Public Health Challenges, 4(1), Article e70040. https://doi.org/10.1002/puh2.70040</w:t>
      </w:r>
    </w:p>
    <w:p w14:paraId="61483FCA"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Page, M. J., McKenzie, J. E., Bossuyt, P. M., </w:t>
      </w:r>
      <w:proofErr w:type="spellStart"/>
      <w:r w:rsidRPr="00264DC8">
        <w:rPr>
          <w:rFonts w:ascii="Times New Roman" w:hAnsi="Times New Roman" w:cs="Times New Roman"/>
          <w:sz w:val="24"/>
          <w:szCs w:val="24"/>
        </w:rPr>
        <w:t>Boutron</w:t>
      </w:r>
      <w:proofErr w:type="spellEnd"/>
      <w:r w:rsidRPr="00264DC8">
        <w:rPr>
          <w:rFonts w:ascii="Times New Roman" w:hAnsi="Times New Roman" w:cs="Times New Roman"/>
          <w:sz w:val="24"/>
          <w:szCs w:val="24"/>
        </w:rPr>
        <w:t xml:space="preserve">, I., Hoffmann, T. C., Mulrow, C. D., </w:t>
      </w:r>
      <w:proofErr w:type="spellStart"/>
      <w:r w:rsidRPr="00264DC8">
        <w:rPr>
          <w:rFonts w:ascii="Times New Roman" w:hAnsi="Times New Roman" w:cs="Times New Roman"/>
          <w:sz w:val="24"/>
          <w:szCs w:val="24"/>
        </w:rPr>
        <w:t>Shamseer</w:t>
      </w:r>
      <w:proofErr w:type="spellEnd"/>
      <w:r w:rsidRPr="00264DC8">
        <w:rPr>
          <w:rFonts w:ascii="Times New Roman" w:hAnsi="Times New Roman" w:cs="Times New Roman"/>
          <w:sz w:val="24"/>
          <w:szCs w:val="24"/>
        </w:rPr>
        <w:t xml:space="preserve">, L., Tetzlaff, J. M., Akl, E. A., Brennan, S. E., Chou, R., Glanville, J., Grimshaw, J. M., Hróbjartsson, A., Lalu, M. M., Li, T., Loder, E. W., Mayo-Wilson, E., McDonald, S., … Moher, D. (2021). The PRISMA 2020 statement: An updated guideline for reporting systematic reviews. </w:t>
      </w:r>
      <w:r w:rsidRPr="00264DC8">
        <w:rPr>
          <w:rFonts w:ascii="Times New Roman" w:hAnsi="Times New Roman" w:cs="Times New Roman"/>
          <w:i/>
          <w:iCs/>
          <w:sz w:val="24"/>
          <w:szCs w:val="24"/>
        </w:rPr>
        <w:t>BMJ</w:t>
      </w:r>
      <w:r w:rsidRPr="00264DC8">
        <w:rPr>
          <w:rFonts w:ascii="Times New Roman" w:hAnsi="Times New Roman" w:cs="Times New Roman"/>
          <w:sz w:val="24"/>
          <w:szCs w:val="24"/>
        </w:rPr>
        <w:t>, 372, Article n71. https://doi.org/10.1136/bmj.n71</w:t>
      </w:r>
    </w:p>
    <w:p w14:paraId="2BC414BB"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Pickett, K. E., &amp; Wilkinson, R. G. (2015). Income inequality and health: A causal review. </w:t>
      </w:r>
      <w:r w:rsidRPr="00264DC8">
        <w:rPr>
          <w:rFonts w:ascii="Times New Roman" w:hAnsi="Times New Roman" w:cs="Times New Roman"/>
          <w:i/>
          <w:iCs/>
          <w:sz w:val="24"/>
          <w:szCs w:val="24"/>
        </w:rPr>
        <w:t>Social Science &amp; Medicine</w:t>
      </w:r>
      <w:r w:rsidRPr="00264DC8">
        <w:rPr>
          <w:rFonts w:ascii="Times New Roman" w:hAnsi="Times New Roman" w:cs="Times New Roman"/>
          <w:sz w:val="24"/>
          <w:szCs w:val="24"/>
        </w:rPr>
        <w:t>, 128, 316–326. https://doi.org/10.1016/j.socscimed.2014.12.031</w:t>
      </w:r>
    </w:p>
    <w:p w14:paraId="1C5C1670"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Romanello, M., Di Napoli, C., Green, C., Kennard, H., Lampard, P., Scamman, D., Walawender, M., Ali, Z., Ameli, N., </w:t>
      </w:r>
      <w:proofErr w:type="spellStart"/>
      <w:r w:rsidRPr="00264DC8">
        <w:rPr>
          <w:rFonts w:ascii="Times New Roman" w:hAnsi="Times New Roman" w:cs="Times New Roman"/>
          <w:sz w:val="24"/>
          <w:szCs w:val="24"/>
        </w:rPr>
        <w:t>Ayeb</w:t>
      </w:r>
      <w:proofErr w:type="spellEnd"/>
      <w:r w:rsidRPr="00264DC8">
        <w:rPr>
          <w:rFonts w:ascii="Times New Roman" w:hAnsi="Times New Roman" w:cs="Times New Roman"/>
          <w:sz w:val="24"/>
          <w:szCs w:val="24"/>
        </w:rPr>
        <w:t xml:space="preserve">-Karlsson, S., Beggs, P. J., </w:t>
      </w:r>
      <w:proofErr w:type="spellStart"/>
      <w:r w:rsidRPr="00264DC8">
        <w:rPr>
          <w:rFonts w:ascii="Times New Roman" w:hAnsi="Times New Roman" w:cs="Times New Roman"/>
          <w:sz w:val="24"/>
          <w:szCs w:val="24"/>
        </w:rPr>
        <w:t>Belesova</w:t>
      </w:r>
      <w:proofErr w:type="spellEnd"/>
      <w:r w:rsidRPr="00264DC8">
        <w:rPr>
          <w:rFonts w:ascii="Times New Roman" w:hAnsi="Times New Roman" w:cs="Times New Roman"/>
          <w:sz w:val="24"/>
          <w:szCs w:val="24"/>
        </w:rPr>
        <w:t xml:space="preserve">, K., </w:t>
      </w:r>
      <w:proofErr w:type="spellStart"/>
      <w:r w:rsidRPr="00264DC8">
        <w:rPr>
          <w:rFonts w:ascii="Times New Roman" w:hAnsi="Times New Roman" w:cs="Times New Roman"/>
          <w:sz w:val="24"/>
          <w:szCs w:val="24"/>
        </w:rPr>
        <w:t>Berrang</w:t>
      </w:r>
      <w:proofErr w:type="spellEnd"/>
      <w:r w:rsidRPr="00264DC8">
        <w:rPr>
          <w:rFonts w:ascii="Times New Roman" w:hAnsi="Times New Roman" w:cs="Times New Roman"/>
          <w:sz w:val="24"/>
          <w:szCs w:val="24"/>
        </w:rPr>
        <w:t xml:space="preserve"> Ford, L., &amp; collaborators. (2023). The 2023 report of the Lancet Countdown on health and climate change: The imperative for a health-centred response in a world facing irreversible harms. </w:t>
      </w:r>
      <w:r w:rsidRPr="00264DC8">
        <w:rPr>
          <w:rFonts w:ascii="Times New Roman" w:hAnsi="Times New Roman" w:cs="Times New Roman"/>
          <w:i/>
          <w:iCs/>
          <w:sz w:val="24"/>
          <w:szCs w:val="24"/>
        </w:rPr>
        <w:t>Lancet</w:t>
      </w:r>
      <w:r w:rsidRPr="00264DC8">
        <w:rPr>
          <w:rFonts w:ascii="Times New Roman" w:hAnsi="Times New Roman" w:cs="Times New Roman"/>
          <w:sz w:val="24"/>
          <w:szCs w:val="24"/>
        </w:rPr>
        <w:t>, 402(10419), 2346–2394. https://doi.org/10.1016/S0140-6736(23)01859-7</w:t>
      </w:r>
    </w:p>
    <w:p w14:paraId="13D58BA0"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Romanello, M., Walawender, M., Hsu, S.-C., </w:t>
      </w:r>
      <w:proofErr w:type="spellStart"/>
      <w:r w:rsidRPr="00264DC8">
        <w:rPr>
          <w:rFonts w:ascii="Times New Roman" w:hAnsi="Times New Roman" w:cs="Times New Roman"/>
          <w:sz w:val="24"/>
          <w:szCs w:val="24"/>
        </w:rPr>
        <w:t>Moskeland</w:t>
      </w:r>
      <w:proofErr w:type="spellEnd"/>
      <w:r w:rsidRPr="00264DC8">
        <w:rPr>
          <w:rFonts w:ascii="Times New Roman" w:hAnsi="Times New Roman" w:cs="Times New Roman"/>
          <w:sz w:val="24"/>
          <w:szCs w:val="24"/>
        </w:rPr>
        <w:t xml:space="preserve">, A., Palmeiro-Silva, Y., Scamman, D., &amp; collaborators. (2024). The 2024 report of the Lancet Countdown on health and climate change: Facing record-breaking threats from delayed action. </w:t>
      </w:r>
      <w:r w:rsidRPr="00264DC8">
        <w:rPr>
          <w:rFonts w:ascii="Times New Roman" w:hAnsi="Times New Roman" w:cs="Times New Roman"/>
          <w:i/>
          <w:iCs/>
          <w:sz w:val="24"/>
          <w:szCs w:val="24"/>
        </w:rPr>
        <w:t>Lancet</w:t>
      </w:r>
      <w:r w:rsidRPr="00264DC8">
        <w:rPr>
          <w:rFonts w:ascii="Times New Roman" w:hAnsi="Times New Roman" w:cs="Times New Roman"/>
          <w:sz w:val="24"/>
          <w:szCs w:val="24"/>
        </w:rPr>
        <w:t>, 404(10469), 1847–1896. https://doi.org/10.1016/S0140-6736(24)01822-1</w:t>
      </w:r>
    </w:p>
    <w:p w14:paraId="025A30CD"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Ryan, S. J., Lippi, C. A., &amp; </w:t>
      </w:r>
      <w:proofErr w:type="spellStart"/>
      <w:r w:rsidRPr="00264DC8">
        <w:rPr>
          <w:rFonts w:ascii="Times New Roman" w:hAnsi="Times New Roman" w:cs="Times New Roman"/>
          <w:sz w:val="24"/>
          <w:szCs w:val="24"/>
        </w:rPr>
        <w:t>Zermoglio</w:t>
      </w:r>
      <w:proofErr w:type="spellEnd"/>
      <w:r w:rsidRPr="00264DC8">
        <w:rPr>
          <w:rFonts w:ascii="Times New Roman" w:hAnsi="Times New Roman" w:cs="Times New Roman"/>
          <w:sz w:val="24"/>
          <w:szCs w:val="24"/>
        </w:rPr>
        <w:t xml:space="preserve">, F. (2020). Shifting transmission risk for malaria in Africa with climate change: A framework for planning and intervention. </w:t>
      </w:r>
      <w:r w:rsidRPr="00264DC8">
        <w:rPr>
          <w:rFonts w:ascii="Times New Roman" w:hAnsi="Times New Roman" w:cs="Times New Roman"/>
          <w:i/>
          <w:iCs/>
          <w:sz w:val="24"/>
          <w:szCs w:val="24"/>
        </w:rPr>
        <w:t>Malaria Journal,</w:t>
      </w:r>
      <w:r w:rsidRPr="00264DC8">
        <w:rPr>
          <w:rFonts w:ascii="Times New Roman" w:hAnsi="Times New Roman" w:cs="Times New Roman"/>
          <w:sz w:val="24"/>
          <w:szCs w:val="24"/>
        </w:rPr>
        <w:t xml:space="preserve"> 19(1), Article 170. https://doi.org/10.1186/s12936-020-03252-6</w:t>
      </w:r>
    </w:p>
    <w:p w14:paraId="590EDA60"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Sachs, J. D., </w:t>
      </w:r>
      <w:proofErr w:type="spellStart"/>
      <w:r w:rsidRPr="00264DC8">
        <w:rPr>
          <w:rFonts w:ascii="Times New Roman" w:hAnsi="Times New Roman" w:cs="Times New Roman"/>
          <w:sz w:val="24"/>
          <w:szCs w:val="24"/>
        </w:rPr>
        <w:t>Lafortune</w:t>
      </w:r>
      <w:proofErr w:type="spellEnd"/>
      <w:r w:rsidRPr="00264DC8">
        <w:rPr>
          <w:rFonts w:ascii="Times New Roman" w:hAnsi="Times New Roman" w:cs="Times New Roman"/>
          <w:sz w:val="24"/>
          <w:szCs w:val="24"/>
        </w:rPr>
        <w:t xml:space="preserve">, G., </w:t>
      </w:r>
      <w:proofErr w:type="spellStart"/>
      <w:r w:rsidRPr="00264DC8">
        <w:rPr>
          <w:rFonts w:ascii="Times New Roman" w:hAnsi="Times New Roman" w:cs="Times New Roman"/>
          <w:sz w:val="24"/>
          <w:szCs w:val="24"/>
        </w:rPr>
        <w:t>Maennling</w:t>
      </w:r>
      <w:proofErr w:type="spellEnd"/>
      <w:r w:rsidRPr="00264DC8">
        <w:rPr>
          <w:rFonts w:ascii="Times New Roman" w:hAnsi="Times New Roman" w:cs="Times New Roman"/>
          <w:sz w:val="24"/>
          <w:szCs w:val="24"/>
        </w:rPr>
        <w:t xml:space="preserve">, N., Kroll, C., Fuller, G., &amp; Woelm, F. (2024). The SDGs and the UN Summit of the Future: </w:t>
      </w:r>
      <w:r w:rsidRPr="00264DC8">
        <w:rPr>
          <w:rFonts w:ascii="Times New Roman" w:hAnsi="Times New Roman" w:cs="Times New Roman"/>
          <w:i/>
          <w:iCs/>
          <w:sz w:val="24"/>
          <w:szCs w:val="24"/>
        </w:rPr>
        <w:t>Sustainable Development Report</w:t>
      </w:r>
      <w:r w:rsidRPr="00264DC8">
        <w:rPr>
          <w:rFonts w:ascii="Times New Roman" w:hAnsi="Times New Roman" w:cs="Times New Roman"/>
          <w:sz w:val="24"/>
          <w:szCs w:val="24"/>
        </w:rPr>
        <w:t xml:space="preserve"> 2024. Dublin University Press. https://doi.org/10.25546/108572</w:t>
      </w:r>
    </w:p>
    <w:p w14:paraId="29DC6DAB"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Sheffield, P. E., &amp; Landrigan, P. J. (2021). Climate change and child health: A scoping review and an expanded conceptual framework. </w:t>
      </w:r>
      <w:r w:rsidRPr="00264DC8">
        <w:rPr>
          <w:rFonts w:ascii="Times New Roman" w:hAnsi="Times New Roman" w:cs="Times New Roman"/>
          <w:i/>
          <w:iCs/>
          <w:sz w:val="24"/>
          <w:szCs w:val="24"/>
        </w:rPr>
        <w:t>Lancet Planetary Health</w:t>
      </w:r>
      <w:r w:rsidRPr="00264DC8">
        <w:rPr>
          <w:rFonts w:ascii="Times New Roman" w:hAnsi="Times New Roman" w:cs="Times New Roman"/>
          <w:sz w:val="24"/>
          <w:szCs w:val="24"/>
        </w:rPr>
        <w:t>, 5(3), e164–e175. https://doi.org/10.1016/S2542-5196(20)30274-6</w:t>
      </w:r>
    </w:p>
    <w:p w14:paraId="08680CF8"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 xml:space="preserve">Sibanda, K., </w:t>
      </w:r>
      <w:proofErr w:type="spellStart"/>
      <w:r w:rsidRPr="00264DC8">
        <w:rPr>
          <w:rFonts w:ascii="Times New Roman" w:hAnsi="Times New Roman" w:cs="Times New Roman"/>
          <w:sz w:val="24"/>
          <w:szCs w:val="24"/>
        </w:rPr>
        <w:t>Qoko</w:t>
      </w:r>
      <w:proofErr w:type="spellEnd"/>
      <w:r w:rsidRPr="00264DC8">
        <w:rPr>
          <w:rFonts w:ascii="Times New Roman" w:hAnsi="Times New Roman" w:cs="Times New Roman"/>
          <w:sz w:val="24"/>
          <w:szCs w:val="24"/>
        </w:rPr>
        <w:t xml:space="preserve">, A., &amp; Gonese, D. (2024). Health expenditure, institutional quality, and under-five mortality in sub-Saharan African countries. </w:t>
      </w:r>
      <w:r w:rsidRPr="00264DC8">
        <w:rPr>
          <w:rFonts w:ascii="Times New Roman" w:hAnsi="Times New Roman" w:cs="Times New Roman"/>
          <w:i/>
          <w:iCs/>
          <w:sz w:val="24"/>
          <w:szCs w:val="24"/>
        </w:rPr>
        <w:t>International Journal of Environmental Research and Public Health, 21(3)</w:t>
      </w:r>
      <w:r w:rsidRPr="00264DC8">
        <w:rPr>
          <w:rFonts w:ascii="Times New Roman" w:hAnsi="Times New Roman" w:cs="Times New Roman"/>
          <w:sz w:val="24"/>
          <w:szCs w:val="24"/>
        </w:rPr>
        <w:t>, Article 333. https://doi.org/10.3390/ijerph21030333</w:t>
      </w:r>
    </w:p>
    <w:p w14:paraId="1AC64363"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lastRenderedPageBreak/>
        <w:t>Tranfield</w:t>
      </w:r>
      <w:proofErr w:type="spellEnd"/>
      <w:r w:rsidRPr="00264DC8">
        <w:rPr>
          <w:rFonts w:ascii="Times New Roman" w:hAnsi="Times New Roman" w:cs="Times New Roman"/>
          <w:sz w:val="24"/>
          <w:szCs w:val="24"/>
        </w:rPr>
        <w:t xml:space="preserve">, D., Denyer, D., &amp; Smart, P. (2003). Towards a methodology for developing evidence-informed management knowledge by means of systematic review. </w:t>
      </w:r>
      <w:r w:rsidRPr="00264DC8">
        <w:rPr>
          <w:rFonts w:ascii="Times New Roman" w:hAnsi="Times New Roman" w:cs="Times New Roman"/>
          <w:i/>
          <w:iCs/>
          <w:sz w:val="24"/>
          <w:szCs w:val="24"/>
        </w:rPr>
        <w:t>British Journal of Management</w:t>
      </w:r>
      <w:r w:rsidRPr="00264DC8">
        <w:rPr>
          <w:rFonts w:ascii="Times New Roman" w:hAnsi="Times New Roman" w:cs="Times New Roman"/>
          <w:sz w:val="24"/>
          <w:szCs w:val="24"/>
        </w:rPr>
        <w:t>, 14(3), 207–222. https://doi.org/10.1111/1467-8551.00375</w:t>
      </w:r>
    </w:p>
    <w:p w14:paraId="4313F6C5"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proofErr w:type="spellStart"/>
      <w:r w:rsidRPr="00264DC8">
        <w:rPr>
          <w:rFonts w:ascii="Times New Roman" w:hAnsi="Times New Roman" w:cs="Times New Roman"/>
          <w:sz w:val="24"/>
          <w:szCs w:val="24"/>
        </w:rPr>
        <w:t>Trisos</w:t>
      </w:r>
      <w:proofErr w:type="spellEnd"/>
      <w:r w:rsidRPr="00264DC8">
        <w:rPr>
          <w:rFonts w:ascii="Times New Roman" w:hAnsi="Times New Roman" w:cs="Times New Roman"/>
          <w:sz w:val="24"/>
          <w:szCs w:val="24"/>
        </w:rPr>
        <w:t xml:space="preserve">, C. H., Adelekan, I. O., Totin, E., </w:t>
      </w:r>
      <w:proofErr w:type="spellStart"/>
      <w:r w:rsidRPr="00264DC8">
        <w:rPr>
          <w:rFonts w:ascii="Times New Roman" w:hAnsi="Times New Roman" w:cs="Times New Roman"/>
          <w:sz w:val="24"/>
          <w:szCs w:val="24"/>
        </w:rPr>
        <w:t>Ayanlade</w:t>
      </w:r>
      <w:proofErr w:type="spellEnd"/>
      <w:r w:rsidRPr="00264DC8">
        <w:rPr>
          <w:rFonts w:ascii="Times New Roman" w:hAnsi="Times New Roman" w:cs="Times New Roman"/>
          <w:sz w:val="24"/>
          <w:szCs w:val="24"/>
        </w:rPr>
        <w:t xml:space="preserve">, A., </w:t>
      </w:r>
      <w:proofErr w:type="spellStart"/>
      <w:r w:rsidRPr="00264DC8">
        <w:rPr>
          <w:rFonts w:ascii="Times New Roman" w:hAnsi="Times New Roman" w:cs="Times New Roman"/>
          <w:sz w:val="24"/>
          <w:szCs w:val="24"/>
        </w:rPr>
        <w:t>Efitre</w:t>
      </w:r>
      <w:proofErr w:type="spellEnd"/>
      <w:r w:rsidRPr="00264DC8">
        <w:rPr>
          <w:rFonts w:ascii="Times New Roman" w:hAnsi="Times New Roman" w:cs="Times New Roman"/>
          <w:sz w:val="24"/>
          <w:szCs w:val="24"/>
        </w:rPr>
        <w:t xml:space="preserve">, J., Gemeda, A., Kalaba, K., Lennard, C., Masao, C., </w:t>
      </w:r>
      <w:proofErr w:type="spellStart"/>
      <w:r w:rsidRPr="00264DC8">
        <w:rPr>
          <w:rFonts w:ascii="Times New Roman" w:hAnsi="Times New Roman" w:cs="Times New Roman"/>
          <w:sz w:val="24"/>
          <w:szCs w:val="24"/>
        </w:rPr>
        <w:t>Mgaya</w:t>
      </w:r>
      <w:proofErr w:type="spellEnd"/>
      <w:r w:rsidRPr="00264DC8">
        <w:rPr>
          <w:rFonts w:ascii="Times New Roman" w:hAnsi="Times New Roman" w:cs="Times New Roman"/>
          <w:sz w:val="24"/>
          <w:szCs w:val="24"/>
        </w:rPr>
        <w:t xml:space="preserve">, Y., Ngaruiya, G., </w:t>
      </w:r>
      <w:proofErr w:type="spellStart"/>
      <w:r w:rsidRPr="00264DC8">
        <w:rPr>
          <w:rFonts w:ascii="Times New Roman" w:hAnsi="Times New Roman" w:cs="Times New Roman"/>
          <w:sz w:val="24"/>
          <w:szCs w:val="24"/>
        </w:rPr>
        <w:t>Olago</w:t>
      </w:r>
      <w:proofErr w:type="spellEnd"/>
      <w:r w:rsidRPr="00264DC8">
        <w:rPr>
          <w:rFonts w:ascii="Times New Roman" w:hAnsi="Times New Roman" w:cs="Times New Roman"/>
          <w:sz w:val="24"/>
          <w:szCs w:val="24"/>
        </w:rPr>
        <w:t xml:space="preserve">, D., Simpson, N. P., &amp; </w:t>
      </w:r>
      <w:proofErr w:type="spellStart"/>
      <w:r w:rsidRPr="00264DC8">
        <w:rPr>
          <w:rFonts w:ascii="Times New Roman" w:hAnsi="Times New Roman" w:cs="Times New Roman"/>
          <w:sz w:val="24"/>
          <w:szCs w:val="24"/>
        </w:rPr>
        <w:t>Zakieldeen</w:t>
      </w:r>
      <w:proofErr w:type="spellEnd"/>
      <w:r w:rsidRPr="00264DC8">
        <w:rPr>
          <w:rFonts w:ascii="Times New Roman" w:hAnsi="Times New Roman" w:cs="Times New Roman"/>
          <w:sz w:val="24"/>
          <w:szCs w:val="24"/>
        </w:rPr>
        <w:t xml:space="preserve">, S. (2022). Africa. In H.-O. </w:t>
      </w:r>
      <w:proofErr w:type="spellStart"/>
      <w:r w:rsidRPr="00264DC8">
        <w:rPr>
          <w:rFonts w:ascii="Times New Roman" w:hAnsi="Times New Roman" w:cs="Times New Roman"/>
          <w:sz w:val="24"/>
          <w:szCs w:val="24"/>
        </w:rPr>
        <w:t>Pörtner</w:t>
      </w:r>
      <w:proofErr w:type="spellEnd"/>
      <w:r w:rsidRPr="00264DC8">
        <w:rPr>
          <w:rFonts w:ascii="Times New Roman" w:hAnsi="Times New Roman" w:cs="Times New Roman"/>
          <w:sz w:val="24"/>
          <w:szCs w:val="24"/>
        </w:rPr>
        <w:t xml:space="preserve"> et al. (Eds.), Climate change 2022: Impacts, adaptation and vulnerability. Contribution of Working Group II to the Sixth Assessment Report of the Intergovernmental Panel on Climate Change (pp. 1285–1455). Cambridge University Press. https://doi.org/10.1017/9781009325844.011</w:t>
      </w:r>
    </w:p>
    <w:p w14:paraId="6FEEBA2E"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UNICEF. (2023). Levels and trends in child mortality: Report 2023. United Nations Children's Fund.</w:t>
      </w:r>
    </w:p>
    <w:p w14:paraId="34697604"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Wilkinson, R. G., &amp; Marmot, M. (Eds.). (2003). Social determinants of health: The solid facts (2nd ed.). World Health Organization.</w:t>
      </w:r>
    </w:p>
    <w:p w14:paraId="4CE1424E"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World Health Organization. (2023). Household air pollution. WHO Fact Sheet. https://www.who.int/news-room/fact-sheets/detail/household-air-pollution-and-health</w:t>
      </w:r>
    </w:p>
    <w:p w14:paraId="78B995C8"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World Health Organization. (2024). Universal health coverage (UHC). WHO Fact Sheet. https://www.who.int/news-room/fact-sheets/detail/universal-health-coverage-(uhc)</w:t>
      </w:r>
    </w:p>
    <w:p w14:paraId="02B405A2" w14:textId="77777777" w:rsidR="006B438F"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World Health Organization &amp; World Bank. (2023). Tracking universal health coverage: 2023 global monitoring report. World Health Organization.</w:t>
      </w:r>
    </w:p>
    <w:p w14:paraId="77261342" w14:textId="4F48C196" w:rsidR="004E00F3" w:rsidRPr="00264DC8" w:rsidRDefault="006B438F" w:rsidP="00264DC8">
      <w:pPr>
        <w:pStyle w:val="ListParagraph"/>
        <w:numPr>
          <w:ilvl w:val="0"/>
          <w:numId w:val="1"/>
        </w:numPr>
        <w:spacing w:before="4" w:after="240" w:line="240" w:lineRule="auto"/>
        <w:ind w:right="238"/>
        <w:jc w:val="both"/>
        <w:rPr>
          <w:rFonts w:ascii="Times New Roman" w:hAnsi="Times New Roman" w:cs="Times New Roman"/>
          <w:sz w:val="24"/>
          <w:szCs w:val="24"/>
        </w:rPr>
      </w:pPr>
      <w:r w:rsidRPr="00264DC8">
        <w:rPr>
          <w:rFonts w:ascii="Times New Roman" w:hAnsi="Times New Roman" w:cs="Times New Roman"/>
          <w:sz w:val="24"/>
          <w:szCs w:val="24"/>
        </w:rPr>
        <w:t>World Health Organization. (2024). Social determinants of health. WHO Fact Sheet. https://www.who.int/news-room/fact-sheets/detail/social-determinants-of-health</w:t>
      </w:r>
    </w:p>
    <w:sectPr w:rsidR="004E00F3" w:rsidRPr="00264DC8" w:rsidSect="009011F2">
      <w:pgSz w:w="11906" w:h="16838" w:code="9"/>
      <w:pgMar w:top="431"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CBF3" w14:textId="77777777" w:rsidR="0014718D" w:rsidRDefault="0014718D" w:rsidP="006924EB">
      <w:pPr>
        <w:spacing w:after="0" w:line="240" w:lineRule="auto"/>
      </w:pPr>
      <w:r>
        <w:separator/>
      </w:r>
    </w:p>
  </w:endnote>
  <w:endnote w:type="continuationSeparator" w:id="0">
    <w:p w14:paraId="53387D3D" w14:textId="77777777" w:rsidR="0014718D" w:rsidRDefault="0014718D" w:rsidP="0069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CAD7" w14:textId="77777777" w:rsidR="0014718D" w:rsidRDefault="0014718D" w:rsidP="006924EB">
      <w:pPr>
        <w:spacing w:after="0" w:line="240" w:lineRule="auto"/>
      </w:pPr>
      <w:r>
        <w:separator/>
      </w:r>
    </w:p>
  </w:footnote>
  <w:footnote w:type="continuationSeparator" w:id="0">
    <w:p w14:paraId="44F5A7E5" w14:textId="77777777" w:rsidR="0014718D" w:rsidRDefault="0014718D" w:rsidP="00692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2374C"/>
    <w:multiLevelType w:val="hybridMultilevel"/>
    <w:tmpl w:val="3EC0CA80"/>
    <w:lvl w:ilvl="0" w:tplc="2000000F">
      <w:start w:val="1"/>
      <w:numFmt w:val="decimal"/>
      <w:lvlText w:val="%1."/>
      <w:lvlJc w:val="left"/>
      <w:pPr>
        <w:ind w:left="958" w:hanging="360"/>
      </w:pPr>
    </w:lvl>
    <w:lvl w:ilvl="1" w:tplc="20000019" w:tentative="1">
      <w:start w:val="1"/>
      <w:numFmt w:val="lowerLetter"/>
      <w:lvlText w:val="%2."/>
      <w:lvlJc w:val="left"/>
      <w:pPr>
        <w:ind w:left="1678" w:hanging="360"/>
      </w:pPr>
    </w:lvl>
    <w:lvl w:ilvl="2" w:tplc="2000001B" w:tentative="1">
      <w:start w:val="1"/>
      <w:numFmt w:val="lowerRoman"/>
      <w:lvlText w:val="%3."/>
      <w:lvlJc w:val="right"/>
      <w:pPr>
        <w:ind w:left="2398" w:hanging="180"/>
      </w:pPr>
    </w:lvl>
    <w:lvl w:ilvl="3" w:tplc="2000000F" w:tentative="1">
      <w:start w:val="1"/>
      <w:numFmt w:val="decimal"/>
      <w:lvlText w:val="%4."/>
      <w:lvlJc w:val="left"/>
      <w:pPr>
        <w:ind w:left="3118" w:hanging="360"/>
      </w:pPr>
    </w:lvl>
    <w:lvl w:ilvl="4" w:tplc="20000019" w:tentative="1">
      <w:start w:val="1"/>
      <w:numFmt w:val="lowerLetter"/>
      <w:lvlText w:val="%5."/>
      <w:lvlJc w:val="left"/>
      <w:pPr>
        <w:ind w:left="3838" w:hanging="360"/>
      </w:pPr>
    </w:lvl>
    <w:lvl w:ilvl="5" w:tplc="2000001B" w:tentative="1">
      <w:start w:val="1"/>
      <w:numFmt w:val="lowerRoman"/>
      <w:lvlText w:val="%6."/>
      <w:lvlJc w:val="right"/>
      <w:pPr>
        <w:ind w:left="4558" w:hanging="180"/>
      </w:pPr>
    </w:lvl>
    <w:lvl w:ilvl="6" w:tplc="2000000F" w:tentative="1">
      <w:start w:val="1"/>
      <w:numFmt w:val="decimal"/>
      <w:lvlText w:val="%7."/>
      <w:lvlJc w:val="left"/>
      <w:pPr>
        <w:ind w:left="5278" w:hanging="360"/>
      </w:pPr>
    </w:lvl>
    <w:lvl w:ilvl="7" w:tplc="20000019" w:tentative="1">
      <w:start w:val="1"/>
      <w:numFmt w:val="lowerLetter"/>
      <w:lvlText w:val="%8."/>
      <w:lvlJc w:val="left"/>
      <w:pPr>
        <w:ind w:left="5998" w:hanging="360"/>
      </w:pPr>
    </w:lvl>
    <w:lvl w:ilvl="8" w:tplc="2000001B" w:tentative="1">
      <w:start w:val="1"/>
      <w:numFmt w:val="lowerRoman"/>
      <w:lvlText w:val="%9."/>
      <w:lvlJc w:val="right"/>
      <w:pPr>
        <w:ind w:left="6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8F"/>
    <w:rsid w:val="000025EF"/>
    <w:rsid w:val="00042E40"/>
    <w:rsid w:val="0005588A"/>
    <w:rsid w:val="001003A0"/>
    <w:rsid w:val="00137069"/>
    <w:rsid w:val="0014718D"/>
    <w:rsid w:val="00150B68"/>
    <w:rsid w:val="00192566"/>
    <w:rsid w:val="00197E80"/>
    <w:rsid w:val="001C0F8B"/>
    <w:rsid w:val="00203AA1"/>
    <w:rsid w:val="0026168B"/>
    <w:rsid w:val="00264DC8"/>
    <w:rsid w:val="00267F08"/>
    <w:rsid w:val="002A334D"/>
    <w:rsid w:val="00325775"/>
    <w:rsid w:val="00330AF4"/>
    <w:rsid w:val="00362B5D"/>
    <w:rsid w:val="003C13FF"/>
    <w:rsid w:val="003C2E6C"/>
    <w:rsid w:val="003D6D54"/>
    <w:rsid w:val="00423909"/>
    <w:rsid w:val="00425CDC"/>
    <w:rsid w:val="00442DDF"/>
    <w:rsid w:val="00471056"/>
    <w:rsid w:val="00491300"/>
    <w:rsid w:val="004B5267"/>
    <w:rsid w:val="004B7BB4"/>
    <w:rsid w:val="004D5507"/>
    <w:rsid w:val="004E00F3"/>
    <w:rsid w:val="004E2D28"/>
    <w:rsid w:val="00560BCE"/>
    <w:rsid w:val="005A32A7"/>
    <w:rsid w:val="005A545B"/>
    <w:rsid w:val="005C4338"/>
    <w:rsid w:val="005F56DB"/>
    <w:rsid w:val="005F78D0"/>
    <w:rsid w:val="00654FF5"/>
    <w:rsid w:val="006924EB"/>
    <w:rsid w:val="00695FC2"/>
    <w:rsid w:val="006B438F"/>
    <w:rsid w:val="00722306"/>
    <w:rsid w:val="0072610B"/>
    <w:rsid w:val="00744D3D"/>
    <w:rsid w:val="00763659"/>
    <w:rsid w:val="00804A7F"/>
    <w:rsid w:val="008128FF"/>
    <w:rsid w:val="00834CA0"/>
    <w:rsid w:val="00840052"/>
    <w:rsid w:val="008F5218"/>
    <w:rsid w:val="009011F2"/>
    <w:rsid w:val="00962FD3"/>
    <w:rsid w:val="00972CB6"/>
    <w:rsid w:val="00A8652E"/>
    <w:rsid w:val="00A90490"/>
    <w:rsid w:val="00AC33F8"/>
    <w:rsid w:val="00B10661"/>
    <w:rsid w:val="00B2073A"/>
    <w:rsid w:val="00B50B54"/>
    <w:rsid w:val="00B63B31"/>
    <w:rsid w:val="00BD1816"/>
    <w:rsid w:val="00BF0337"/>
    <w:rsid w:val="00C91023"/>
    <w:rsid w:val="00CB6DEB"/>
    <w:rsid w:val="00CD53C5"/>
    <w:rsid w:val="00D45CD0"/>
    <w:rsid w:val="00E33E5E"/>
    <w:rsid w:val="00E61B0C"/>
    <w:rsid w:val="00EB7705"/>
    <w:rsid w:val="00EF2FFF"/>
    <w:rsid w:val="00F737EE"/>
    <w:rsid w:val="00F809A2"/>
    <w:rsid w:val="00F97AB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F87"/>
  <w15:docId w15:val="{0E221BEF-28C8-4C10-BFFA-7C33FDAB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1300"/>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91300"/>
    <w:rPr>
      <w:rFonts w:ascii="Times New Roman" w:eastAsia="Times New Roman" w:hAnsi="Times New Roman" w:cs="Times New Roman"/>
      <w:b/>
      <w:bCs/>
      <w:sz w:val="27"/>
      <w:szCs w:val="27"/>
      <w:lang w:val="en-NG" w:eastAsia="en-NG"/>
    </w:rPr>
  </w:style>
  <w:style w:type="paragraph" w:styleId="Header">
    <w:name w:val="header"/>
    <w:basedOn w:val="Normal"/>
    <w:link w:val="HeaderChar"/>
    <w:uiPriority w:val="99"/>
    <w:unhideWhenUsed/>
    <w:rsid w:val="00692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4EB"/>
  </w:style>
  <w:style w:type="paragraph" w:styleId="Footer">
    <w:name w:val="footer"/>
    <w:basedOn w:val="Normal"/>
    <w:link w:val="FooterChar"/>
    <w:uiPriority w:val="99"/>
    <w:unhideWhenUsed/>
    <w:rsid w:val="00692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4EB"/>
  </w:style>
  <w:style w:type="character" w:styleId="Hyperlink">
    <w:name w:val="Hyperlink"/>
    <w:basedOn w:val="DefaultParagraphFont"/>
    <w:uiPriority w:val="99"/>
    <w:unhideWhenUsed/>
    <w:rsid w:val="00471056"/>
    <w:rPr>
      <w:color w:val="0563C1" w:themeColor="hyperlink"/>
      <w:u w:val="single"/>
    </w:rPr>
  </w:style>
  <w:style w:type="character" w:styleId="UnresolvedMention">
    <w:name w:val="Unresolved Mention"/>
    <w:basedOn w:val="DefaultParagraphFont"/>
    <w:uiPriority w:val="99"/>
    <w:semiHidden/>
    <w:unhideWhenUsed/>
    <w:rsid w:val="00471056"/>
    <w:rPr>
      <w:color w:val="605E5C"/>
      <w:shd w:val="clear" w:color="auto" w:fill="E1DFDD"/>
    </w:rPr>
  </w:style>
  <w:style w:type="paragraph" w:styleId="ListParagraph">
    <w:name w:val="List Paragraph"/>
    <w:basedOn w:val="Normal"/>
    <w:uiPriority w:val="34"/>
    <w:qFormat/>
    <w:rsid w:val="0026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4223">
      <w:bodyDiv w:val="1"/>
      <w:marLeft w:val="0"/>
      <w:marRight w:val="0"/>
      <w:marTop w:val="0"/>
      <w:marBottom w:val="0"/>
      <w:divBdr>
        <w:top w:val="none" w:sz="0" w:space="0" w:color="auto"/>
        <w:left w:val="none" w:sz="0" w:space="0" w:color="auto"/>
        <w:bottom w:val="none" w:sz="0" w:space="0" w:color="auto"/>
        <w:right w:val="none" w:sz="0" w:space="0" w:color="auto"/>
      </w:divBdr>
    </w:div>
    <w:div w:id="209231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leodunaiyae@veritas.edu.ng" TargetMode="External"/><Relationship Id="rId3" Type="http://schemas.openxmlformats.org/officeDocument/2006/relationships/settings" Target="settings.xml"/><Relationship Id="rId7" Type="http://schemas.openxmlformats.org/officeDocument/2006/relationships/hyperlink" Target="mailto:toluhik@veritas.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4389</TotalTime>
  <Pages>15</Pages>
  <Words>9156</Words>
  <Characters>52194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2026-06-17T11:35:00Z</dcterms:created>
  <dcterms:modified xsi:type="dcterms:W3CDTF">2026-06-30T17:40:00Z</dcterms:modified>
</cp:coreProperties>
</file>