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AED82" w14:textId="77777777" w:rsidR="003B7C8C" w:rsidRPr="003524E6" w:rsidRDefault="003B7C8C" w:rsidP="00D93144">
      <w:pPr>
        <w:spacing w:after="0"/>
        <w:jc w:val="center"/>
        <w:rPr>
          <w:rFonts w:ascii="Calibri" w:hAnsi="Calibri" w:cs="Calibri"/>
          <w:b/>
          <w:bCs/>
          <w:sz w:val="32"/>
          <w:szCs w:val="32"/>
        </w:rPr>
      </w:pPr>
      <w:r w:rsidRPr="003524E6">
        <w:rPr>
          <w:rFonts w:ascii="Calibri" w:hAnsi="Calibri" w:cs="Calibri"/>
          <w:b/>
          <w:bCs/>
          <w:sz w:val="32"/>
          <w:szCs w:val="32"/>
        </w:rPr>
        <w:t xml:space="preserve">Determinants of Consumer </w:t>
      </w:r>
      <w:bookmarkStart w:id="0" w:name="_Hlk226374958"/>
      <w:r w:rsidRPr="003524E6">
        <w:rPr>
          <w:rFonts w:ascii="Calibri" w:hAnsi="Calibri" w:cs="Calibri"/>
          <w:b/>
          <w:bCs/>
          <w:sz w:val="32"/>
          <w:szCs w:val="32"/>
        </w:rPr>
        <w:t xml:space="preserve">Boycott Intention </w:t>
      </w:r>
      <w:bookmarkEnd w:id="0"/>
      <w:r w:rsidRPr="003524E6">
        <w:rPr>
          <w:rFonts w:ascii="Calibri" w:hAnsi="Calibri" w:cs="Calibri"/>
          <w:b/>
          <w:bCs/>
          <w:sz w:val="32"/>
          <w:szCs w:val="32"/>
        </w:rPr>
        <w:t>in Malaysia: An Application of the Theory of Planned Behaviour</w:t>
      </w:r>
    </w:p>
    <w:p w14:paraId="21792FD4" w14:textId="77777777" w:rsidR="007A4428" w:rsidRPr="003524E6" w:rsidRDefault="007A4428" w:rsidP="00D93144">
      <w:pPr>
        <w:spacing w:after="0"/>
        <w:jc w:val="center"/>
        <w:rPr>
          <w:rFonts w:cstheme="minorHAnsi"/>
          <w:b/>
          <w:bCs/>
        </w:rPr>
      </w:pPr>
    </w:p>
    <w:p w14:paraId="4E78FF71" w14:textId="30B27F4C" w:rsidR="007A4428" w:rsidRPr="003524E6" w:rsidRDefault="007A4428" w:rsidP="00D93144">
      <w:pPr>
        <w:spacing w:after="0"/>
        <w:jc w:val="center"/>
        <w:rPr>
          <w:rFonts w:ascii="Calibri" w:hAnsi="Calibri" w:cs="Calibri"/>
          <w:b/>
          <w:bCs/>
          <w:sz w:val="24"/>
          <w:szCs w:val="24"/>
        </w:rPr>
      </w:pPr>
      <w:bookmarkStart w:id="1" w:name="_Hlk231467360"/>
      <w:r w:rsidRPr="003524E6">
        <w:rPr>
          <w:rFonts w:ascii="Calibri" w:hAnsi="Calibri" w:cs="Calibri"/>
          <w:b/>
          <w:bCs/>
          <w:sz w:val="24"/>
          <w:szCs w:val="24"/>
        </w:rPr>
        <w:t/>
      </w:r>
    </w:p>
    <w:p w14:paraId="4669A6E3" w14:textId="5A8DEF1C" w:rsidR="007A4428" w:rsidRPr="003524E6" w:rsidRDefault="007A4428" w:rsidP="00D93144">
      <w:pPr>
        <w:spacing w:after="0"/>
        <w:jc w:val="center"/>
        <w:rPr>
          <w:rFonts w:ascii="Calibri" w:hAnsi="Calibri" w:cs="Calibri"/>
          <w:sz w:val="24"/>
          <w:szCs w:val="24"/>
        </w:rPr>
      </w:pPr>
      <w:r w:rsidRPr="003524E6">
        <w:rPr>
          <w:rFonts w:ascii="Calibri" w:hAnsi="Calibri" w:cs="Calibri"/>
          <w:sz w:val="24"/>
          <w:szCs w:val="24"/>
        </w:rPr>
        <w:t/>
      </w:r>
    </w:p>
    <w:bookmarkEnd w:id="1"/>
    <w:p w14:paraId="519EB072" w14:textId="77777777" w:rsidR="00FA3A98" w:rsidRPr="003524E6" w:rsidRDefault="00FA3A98" w:rsidP="00D93144">
      <w:pPr>
        <w:spacing w:after="0"/>
        <w:jc w:val="center"/>
        <w:rPr>
          <w:rFonts w:ascii="Calibri" w:hAnsi="Calibri" w:cs="Calibri"/>
          <w:b/>
          <w:bCs/>
          <w:sz w:val="24"/>
          <w:szCs w:val="24"/>
        </w:rPr>
      </w:pPr>
    </w:p>
    <w:p w14:paraId="79D077D1" w14:textId="412CAF28" w:rsidR="00FA3A98" w:rsidRPr="003524E6" w:rsidRDefault="00FA3A98" w:rsidP="00D93144">
      <w:pPr>
        <w:spacing w:after="0"/>
        <w:jc w:val="center"/>
        <w:rPr>
          <w:rFonts w:ascii="Calibri" w:hAnsi="Calibri" w:cs="Calibri"/>
          <w:b/>
          <w:bCs/>
          <w:sz w:val="24"/>
          <w:szCs w:val="24"/>
        </w:rPr>
      </w:pPr>
      <w:r w:rsidRPr="003524E6">
        <w:rPr>
          <w:rFonts w:ascii="Calibri" w:hAnsi="Calibri" w:cs="Calibri"/>
          <w:b/>
          <w:bCs/>
          <w:sz w:val="24"/>
          <w:szCs w:val="24"/>
        </w:rPr>
        <w:t/>
      </w:r>
    </w:p>
    <w:p w14:paraId="4D9190B9" w14:textId="31EFB6B8" w:rsidR="00FA3A98" w:rsidRPr="003524E6" w:rsidRDefault="00FA3A98" w:rsidP="00D93144">
      <w:pPr>
        <w:spacing w:after="0"/>
        <w:jc w:val="center"/>
        <w:rPr>
          <w:rFonts w:ascii="Calibri" w:hAnsi="Calibri" w:cs="Calibri"/>
          <w:sz w:val="24"/>
          <w:szCs w:val="24"/>
        </w:rPr>
      </w:pPr>
      <w:r w:rsidRPr="003524E6">
        <w:rPr>
          <w:rFonts w:ascii="Calibri" w:hAnsi="Calibri" w:cs="Calibri"/>
          <w:sz w:val="24"/>
          <w:szCs w:val="24"/>
        </w:rPr>
        <w:t xml:space="preserve"/>
      </w:r>
    </w:p>
    <w:p w14:paraId="74D867BB" w14:textId="77777777" w:rsidR="00D93144" w:rsidRPr="003524E6" w:rsidRDefault="00D93144" w:rsidP="00D93144">
      <w:pPr>
        <w:spacing w:after="0"/>
        <w:jc w:val="both"/>
        <w:rPr>
          <w:rFonts w:ascii="Calibri" w:hAnsi="Calibri" w:cs="Calibri"/>
          <w:sz w:val="24"/>
          <w:szCs w:val="24"/>
        </w:rPr>
      </w:pPr>
    </w:p>
    <w:p w14:paraId="63075948" w14:textId="73CDE405" w:rsidR="00400499" w:rsidRPr="003524E6" w:rsidRDefault="00400499" w:rsidP="00400499">
      <w:pPr>
        <w:spacing w:after="0"/>
        <w:jc w:val="center"/>
        <w:rPr>
          <w:rFonts w:ascii="Calibri" w:hAnsi="Calibri" w:cs="Calibri"/>
          <w:b/>
          <w:bCs/>
          <w:sz w:val="24"/>
          <w:szCs w:val="24"/>
        </w:rPr>
      </w:pPr>
      <w:r>
        <w:rPr>
          <w:rFonts w:ascii="Calibri" w:hAnsi="Calibri" w:cs="Calibri"/>
          <w:b/>
          <w:bCs/>
          <w:sz w:val="24"/>
          <w:szCs w:val="24"/>
        </w:rPr>
        <w:t/>
      </w:r>
    </w:p>
    <w:p w14:paraId="2BF90762" w14:textId="6E0B15AF" w:rsidR="00400499" w:rsidRPr="003524E6" w:rsidRDefault="00400499" w:rsidP="00400499">
      <w:pPr>
        <w:spacing w:after="0"/>
        <w:jc w:val="center"/>
        <w:rPr>
          <w:rFonts w:ascii="Calibri" w:hAnsi="Calibri" w:cs="Calibri"/>
          <w:sz w:val="24"/>
          <w:szCs w:val="24"/>
        </w:rPr>
      </w:pPr>
      <w:r w:rsidRPr="003524E6">
        <w:rPr>
          <w:rFonts w:ascii="Calibri" w:hAnsi="Calibri" w:cs="Calibri"/>
          <w:sz w:val="24"/>
          <w:szCs w:val="24"/>
        </w:rPr>
        <w:t/>
      </w:r>
    </w:p>
    <w:p w14:paraId="3EC010BC" w14:textId="77777777" w:rsidR="00400499" w:rsidRDefault="00400499" w:rsidP="00D93144">
      <w:pPr>
        <w:spacing w:after="0"/>
        <w:jc w:val="center"/>
        <w:rPr>
          <w:rFonts w:ascii="Calibri" w:hAnsi="Calibri" w:cs="Calibri"/>
          <w:b/>
          <w:bCs/>
          <w:sz w:val="24"/>
          <w:szCs w:val="24"/>
        </w:rPr>
      </w:pPr>
    </w:p>
    <w:p w14:paraId="42FEFEC3" w14:textId="512976D1" w:rsidR="003B7C8C" w:rsidRPr="003524E6" w:rsidRDefault="00D93144" w:rsidP="00D93144">
      <w:pPr>
        <w:spacing w:after="0"/>
        <w:jc w:val="center"/>
        <w:rPr>
          <w:rFonts w:ascii="Calibri" w:hAnsi="Calibri" w:cs="Calibri"/>
          <w:b/>
          <w:bCs/>
          <w:sz w:val="24"/>
          <w:szCs w:val="24"/>
        </w:rPr>
      </w:pPr>
      <w:bookmarkStart w:id="2" w:name="_Hlk231467506"/>
      <w:r w:rsidRPr="003524E6">
        <w:rPr>
          <w:rFonts w:ascii="Calibri" w:hAnsi="Calibri" w:cs="Calibri"/>
          <w:b/>
          <w:bCs/>
          <w:sz w:val="24"/>
          <w:szCs w:val="24"/>
        </w:rPr>
        <w:t/>
      </w:r>
    </w:p>
    <w:p w14:paraId="6672EFD8" w14:textId="2E5A7CAA" w:rsidR="00D93144" w:rsidRPr="003524E6" w:rsidRDefault="00D93144" w:rsidP="00D93144">
      <w:pPr>
        <w:spacing w:after="0"/>
        <w:jc w:val="center"/>
        <w:rPr>
          <w:rFonts w:ascii="Calibri" w:hAnsi="Calibri" w:cs="Calibri"/>
          <w:sz w:val="24"/>
          <w:szCs w:val="24"/>
        </w:rPr>
      </w:pPr>
      <w:r w:rsidRPr="003524E6">
        <w:rPr>
          <w:rFonts w:ascii="Calibri" w:hAnsi="Calibri" w:cs="Calibri"/>
          <w:sz w:val="24"/>
          <w:szCs w:val="24"/>
        </w:rPr>
        <w:t/>
      </w:r>
      <w:r w:rsidR="008E581C">
        <w:rPr>
          <w:rFonts w:ascii="Calibri" w:hAnsi="Calibri" w:cs="Calibri"/>
          <w:sz w:val="24"/>
          <w:szCs w:val="24"/>
        </w:rPr>
        <w:t xml:space="preserve"/>
      </w:r>
      <w:r w:rsidRPr="003524E6">
        <w:rPr>
          <w:rFonts w:ascii="Calibri" w:hAnsi="Calibri" w:cs="Calibri"/>
          <w:sz w:val="24"/>
          <w:szCs w:val="24"/>
        </w:rPr>
        <w:t xml:space="preserve"/>
      </w:r>
    </w:p>
    <w:bookmarkEnd w:id="2"/>
    <w:p w14:paraId="42B3541E" w14:textId="77777777" w:rsidR="00D93144" w:rsidRPr="003524E6" w:rsidRDefault="00D93144" w:rsidP="00D93144">
      <w:pPr>
        <w:spacing w:after="0"/>
        <w:jc w:val="both"/>
        <w:rPr>
          <w:rFonts w:ascii="Calibri" w:hAnsi="Calibri" w:cs="Calibri"/>
          <w:sz w:val="24"/>
          <w:szCs w:val="24"/>
        </w:rPr>
      </w:pPr>
    </w:p>
    <w:p w14:paraId="2160D84D" w14:textId="324EFB9F" w:rsidR="00252DEB" w:rsidRPr="003524E6" w:rsidRDefault="00252DEB" w:rsidP="00252DEB">
      <w:pPr>
        <w:spacing w:after="0"/>
        <w:jc w:val="center"/>
        <w:rPr>
          <w:rFonts w:ascii="Calibri" w:hAnsi="Calibri" w:cs="Calibri"/>
          <w:b/>
          <w:bCs/>
          <w:sz w:val="24"/>
          <w:szCs w:val="24"/>
        </w:rPr>
      </w:pPr>
      <w:r w:rsidRPr="003524E6">
        <w:rPr>
          <w:rFonts w:ascii="Calibri" w:hAnsi="Calibri" w:cs="Calibri"/>
          <w:b/>
          <w:bCs/>
          <w:sz w:val="24"/>
          <w:szCs w:val="24"/>
        </w:rPr>
        <w:t xml:space="preserve"/>
      </w:r>
      <w:r>
        <w:rPr>
          <w:rFonts w:ascii="Calibri" w:hAnsi="Calibri" w:cs="Calibri"/>
          <w:b/>
          <w:bCs/>
          <w:sz w:val="24"/>
          <w:szCs w:val="24"/>
        </w:rPr>
        <w:t/>
      </w:r>
      <w:r w:rsidRPr="003524E6">
        <w:rPr>
          <w:rFonts w:ascii="Calibri" w:hAnsi="Calibri" w:cs="Calibri"/>
          <w:b/>
          <w:bCs/>
          <w:sz w:val="24"/>
          <w:szCs w:val="24"/>
        </w:rPr>
        <w:t xml:space="preserve"/>
      </w:r>
    </w:p>
    <w:p w14:paraId="1B56BD18" w14:textId="370892A7" w:rsidR="00252DEB" w:rsidRPr="003524E6" w:rsidRDefault="00252DEB" w:rsidP="00252DEB">
      <w:pPr>
        <w:spacing w:after="0"/>
        <w:jc w:val="center"/>
        <w:rPr>
          <w:rFonts w:ascii="Calibri" w:hAnsi="Calibri" w:cs="Calibri"/>
          <w:sz w:val="24"/>
          <w:szCs w:val="24"/>
        </w:rPr>
      </w:pPr>
      <w:r w:rsidRPr="003524E6">
        <w:rPr>
          <w:rFonts w:ascii="Calibri" w:hAnsi="Calibri" w:cs="Calibri"/>
          <w:sz w:val="24"/>
          <w:szCs w:val="24"/>
        </w:rPr>
        <w:t xml:space="preserve"/>
      </w:r>
      <w:r w:rsidR="00925120">
        <w:rPr>
          <w:rFonts w:ascii="Calibri" w:hAnsi="Calibri" w:cs="Calibri"/>
          <w:sz w:val="24"/>
          <w:szCs w:val="24"/>
        </w:rPr>
        <w:t/>
      </w:r>
      <w:r w:rsidRPr="003524E6">
        <w:rPr>
          <w:rFonts w:ascii="Calibri" w:hAnsi="Calibri" w:cs="Calibri"/>
          <w:sz w:val="24"/>
          <w:szCs w:val="24"/>
        </w:rPr>
        <w:t xml:space="preserve"/>
      </w:r>
      <w:r w:rsidR="008E581C">
        <w:rPr>
          <w:rFonts w:ascii="Calibri" w:hAnsi="Calibri" w:cs="Calibri"/>
          <w:sz w:val="24"/>
          <w:szCs w:val="24"/>
        </w:rPr>
        <w:t/>
      </w:r>
      <w:r w:rsidR="00925120">
        <w:rPr>
          <w:rFonts w:ascii="Calibri" w:hAnsi="Calibri" w:cs="Calibri"/>
          <w:sz w:val="24"/>
          <w:szCs w:val="24"/>
        </w:rPr>
        <w:t xml:space="preserve"/>
      </w:r>
      <w:r w:rsidR="008E581C">
        <w:rPr>
          <w:rFonts w:ascii="Calibri" w:hAnsi="Calibri" w:cs="Calibri"/>
          <w:sz w:val="24"/>
          <w:szCs w:val="24"/>
        </w:rPr>
        <w:t xml:space="preserve"/>
      </w:r>
      <w:r w:rsidRPr="003524E6">
        <w:rPr>
          <w:rFonts w:ascii="Calibri" w:hAnsi="Calibri" w:cs="Calibri"/>
          <w:sz w:val="24"/>
          <w:szCs w:val="24"/>
        </w:rPr>
        <w:t xml:space="preserve"/>
      </w:r>
    </w:p>
    <w:p w14:paraId="7200FFB8" w14:textId="77777777" w:rsidR="00D93144" w:rsidRDefault="00D93144" w:rsidP="00D93144">
      <w:pPr>
        <w:spacing w:after="0"/>
        <w:jc w:val="both"/>
        <w:rPr>
          <w:rFonts w:ascii="Calibri" w:hAnsi="Calibri" w:cs="Calibri"/>
          <w:sz w:val="24"/>
          <w:szCs w:val="24"/>
        </w:rPr>
      </w:pPr>
    </w:p>
    <w:p w14:paraId="3660A40B" w14:textId="66B4D1E5" w:rsidR="00DC67E2" w:rsidRPr="003524E6" w:rsidRDefault="00DC67E2" w:rsidP="00DC67E2">
      <w:pPr>
        <w:spacing w:after="0"/>
        <w:jc w:val="center"/>
        <w:rPr>
          <w:rFonts w:ascii="Calibri" w:hAnsi="Calibri" w:cs="Calibri"/>
          <w:b/>
          <w:bCs/>
          <w:sz w:val="24"/>
          <w:szCs w:val="24"/>
        </w:rPr>
      </w:pPr>
      <w:r>
        <w:rPr>
          <w:rFonts w:ascii="Calibri" w:hAnsi="Calibri" w:cs="Calibri"/>
          <w:b/>
          <w:bCs/>
          <w:sz w:val="24"/>
          <w:szCs w:val="24"/>
        </w:rPr>
        <w:t/>
      </w:r>
    </w:p>
    <w:p w14:paraId="3481FC89" w14:textId="7AE2BCFD" w:rsidR="00DC67E2" w:rsidRPr="003524E6" w:rsidRDefault="00DC67E2" w:rsidP="00DC67E2">
      <w:pPr>
        <w:spacing w:after="0"/>
        <w:jc w:val="center"/>
        <w:rPr>
          <w:rFonts w:ascii="Calibri" w:hAnsi="Calibri" w:cs="Calibri"/>
          <w:sz w:val="24"/>
          <w:szCs w:val="24"/>
        </w:rPr>
      </w:pPr>
      <w:r w:rsidRPr="003524E6">
        <w:rPr>
          <w:rFonts w:ascii="Calibri" w:hAnsi="Calibri" w:cs="Calibri"/>
          <w:sz w:val="24"/>
          <w:szCs w:val="24"/>
        </w:rPr>
        <w:t xml:space="preserve"/>
      </w:r>
      <w:r w:rsidR="00811DB5">
        <w:rPr>
          <w:rFonts w:ascii="Calibri" w:hAnsi="Calibri" w:cs="Calibri"/>
          <w:sz w:val="24"/>
          <w:szCs w:val="24"/>
        </w:rPr>
        <w:t/>
      </w:r>
      <w:r w:rsidRPr="003524E6">
        <w:rPr>
          <w:rFonts w:ascii="Calibri" w:hAnsi="Calibri" w:cs="Calibri"/>
          <w:sz w:val="24"/>
          <w:szCs w:val="24"/>
        </w:rPr>
        <w:t xml:space="preserve"/>
      </w:r>
      <w:r>
        <w:rPr>
          <w:rFonts w:ascii="Calibri" w:hAnsi="Calibri" w:cs="Calibri"/>
          <w:sz w:val="24"/>
          <w:szCs w:val="24"/>
        </w:rPr>
        <w:t/>
      </w:r>
      <w:r w:rsidRPr="003524E6">
        <w:rPr>
          <w:rFonts w:ascii="Calibri" w:hAnsi="Calibri" w:cs="Calibri"/>
          <w:sz w:val="24"/>
          <w:szCs w:val="24"/>
        </w:rPr>
        <w:t xml:space="preserve"/>
      </w:r>
      <w:r>
        <w:rPr>
          <w:rFonts w:ascii="Calibri" w:hAnsi="Calibri" w:cs="Calibri"/>
          <w:sz w:val="24"/>
          <w:szCs w:val="24"/>
        </w:rPr>
        <w:t/>
      </w:r>
      <w:r w:rsidRPr="003524E6">
        <w:rPr>
          <w:rFonts w:ascii="Calibri" w:hAnsi="Calibri" w:cs="Calibri"/>
          <w:sz w:val="24"/>
          <w:szCs w:val="24"/>
        </w:rPr>
        <w:t xml:space="preserve"/>
      </w:r>
    </w:p>
    <w:p w14:paraId="79C1D2A2" w14:textId="716F9674" w:rsidR="00DC67E2" w:rsidRPr="003524E6" w:rsidRDefault="00DC67E2" w:rsidP="00811DB5">
      <w:pPr>
        <w:spacing w:after="0"/>
        <w:rPr>
          <w:rFonts w:ascii="Calibri" w:hAnsi="Calibri" w:cs="Calibri"/>
          <w:sz w:val="24"/>
          <w:szCs w:val="24"/>
        </w:rPr>
      </w:pPr>
    </w:p>
    <w:p w14:paraId="3DB515D5" w14:textId="77777777" w:rsidR="00252DEB" w:rsidRDefault="00252DEB" w:rsidP="00D93144">
      <w:pPr>
        <w:spacing w:after="0"/>
        <w:jc w:val="both"/>
        <w:rPr>
          <w:rFonts w:ascii="Calibri" w:hAnsi="Calibri" w:cs="Calibri"/>
          <w:sz w:val="24"/>
          <w:szCs w:val="24"/>
        </w:rPr>
      </w:pPr>
    </w:p>
    <w:p w14:paraId="6E39C488" w14:textId="77777777" w:rsidR="00252DEB" w:rsidRDefault="00252DEB" w:rsidP="00D93144">
      <w:pPr>
        <w:spacing w:after="0"/>
        <w:jc w:val="both"/>
        <w:rPr>
          <w:rFonts w:ascii="Calibri" w:hAnsi="Calibri" w:cs="Calibri"/>
          <w:sz w:val="24"/>
          <w:szCs w:val="24"/>
        </w:rPr>
      </w:pPr>
    </w:p>
    <w:p w14:paraId="2A5FFAB6" w14:textId="62070B77" w:rsidR="007A4428" w:rsidRPr="003524E6" w:rsidRDefault="007A4428" w:rsidP="00D93144">
      <w:pPr>
        <w:spacing w:after="0"/>
        <w:jc w:val="both"/>
        <w:rPr>
          <w:rFonts w:ascii="Calibri" w:hAnsi="Calibri" w:cs="Calibri"/>
          <w:b/>
          <w:bCs/>
          <w:sz w:val="24"/>
          <w:szCs w:val="24"/>
        </w:rPr>
      </w:pPr>
      <w:r w:rsidRPr="003524E6">
        <w:rPr>
          <w:rFonts w:ascii="Calibri" w:hAnsi="Calibri" w:cs="Calibri"/>
          <w:b/>
          <w:bCs/>
          <w:sz w:val="24"/>
          <w:szCs w:val="24"/>
        </w:rPr>
        <w:t>Abstract</w:t>
      </w:r>
    </w:p>
    <w:p w14:paraId="3AB3AE5D" w14:textId="77777777" w:rsidR="000C350B" w:rsidRPr="003524E6" w:rsidRDefault="000C350B" w:rsidP="000C350B">
      <w:pPr>
        <w:spacing w:line="278" w:lineRule="auto"/>
        <w:jc w:val="both"/>
        <w:rPr>
          <w:rFonts w:ascii="Calibri" w:hAnsi="Calibri" w:cs="Calibri"/>
          <w:sz w:val="24"/>
          <w:szCs w:val="24"/>
          <w:lang w:val="en-MY"/>
        </w:rPr>
      </w:pPr>
      <w:r w:rsidRPr="002B1862">
        <w:rPr>
          <w:rFonts w:ascii="Calibri" w:hAnsi="Calibri" w:cs="Calibri"/>
          <w:sz w:val="24"/>
          <w:szCs w:val="24"/>
          <w:lang w:val="en-MY"/>
        </w:rPr>
        <w:t>The growing trend of consumer boycotts reflects increasing awareness of ethical, humanitarian, and social issues among consumers, particularly in emerging markets such as Malaysia. This study aims to examine the factors influencing Malaysian consumers’ intention to engage in boycott behaviour by applying the Theory of Planned Behaviour (TPB). Specifically, the study investigates the effects of attitude, subjective norms, and perceived behavioural control on boycott intention. A quantitative research design was employed using a cross-sectional survey approach. Data were collected from Malaysian consumers aged 18 years and above through a structured questionnaire, with items adapted from established literature. A pilot study confirmed the reliability of the measurement scales, with Cronbach’s alpha values exceeding the recommended threshold of 0.70.</w:t>
      </w:r>
      <w:r w:rsidRPr="003524E6">
        <w:rPr>
          <w:rFonts w:ascii="Calibri" w:hAnsi="Calibri" w:cs="Calibri"/>
          <w:sz w:val="24"/>
          <w:szCs w:val="24"/>
          <w:lang w:val="en-MY"/>
        </w:rPr>
        <w:t xml:space="preserve"> </w:t>
      </w:r>
      <w:r w:rsidRPr="002B1862">
        <w:rPr>
          <w:rFonts w:ascii="Calibri" w:hAnsi="Calibri" w:cs="Calibri"/>
          <w:sz w:val="24"/>
          <w:szCs w:val="24"/>
          <w:lang w:val="en-MY"/>
        </w:rPr>
        <w:t>Multiple regression analysis revealed attitude, subjective norms, and perceived behavioural control</w:t>
      </w:r>
      <w:r w:rsidRPr="003524E6">
        <w:rPr>
          <w:rFonts w:ascii="Calibri" w:hAnsi="Calibri" w:cs="Calibri"/>
          <w:sz w:val="24"/>
          <w:szCs w:val="24"/>
          <w:lang w:val="en-MY"/>
        </w:rPr>
        <w:t xml:space="preserve"> </w:t>
      </w:r>
      <w:r w:rsidRPr="002B1862">
        <w:rPr>
          <w:rFonts w:ascii="Calibri" w:hAnsi="Calibri" w:cs="Calibri"/>
          <w:sz w:val="24"/>
          <w:szCs w:val="24"/>
          <w:lang w:val="en-MY"/>
        </w:rPr>
        <w:t xml:space="preserve">have significant positive effects on boycott intention. Among these, perceived behavioural control emerged as the strongest predictor, followed by subjective norms and attitude. The findings indicate that consumers are more likely to engage in boycott behaviour when they perceive greater ability </w:t>
      </w:r>
      <w:r w:rsidRPr="002B1862">
        <w:rPr>
          <w:rFonts w:ascii="Calibri" w:hAnsi="Calibri" w:cs="Calibri"/>
          <w:sz w:val="24"/>
          <w:szCs w:val="24"/>
          <w:lang w:val="en-MY"/>
        </w:rPr>
        <w:lastRenderedPageBreak/>
        <w:t>and resources to do so, alongside social support and favourable evaluations.</w:t>
      </w:r>
      <w:r w:rsidRPr="003524E6">
        <w:rPr>
          <w:rFonts w:ascii="Calibri" w:hAnsi="Calibri" w:cs="Calibri"/>
          <w:sz w:val="24"/>
          <w:szCs w:val="24"/>
          <w:lang w:val="en-MY"/>
        </w:rPr>
        <w:t xml:space="preserve"> </w:t>
      </w:r>
      <w:r w:rsidRPr="002B1862">
        <w:rPr>
          <w:rFonts w:ascii="Calibri" w:hAnsi="Calibri" w:cs="Calibri"/>
          <w:sz w:val="24"/>
          <w:szCs w:val="24"/>
          <w:lang w:val="en-MY"/>
        </w:rPr>
        <w:t>This study contributes to the literature by validating the applicability of TPB in explaining boycott behaviour in the Malaysian context. Practically, the results suggest that enhancing consumers’ perceived capability and leveraging social influence are crucial in encouraging boycott participation. Future research is recommended to incorporate additional variables and adopt longitudinal designs to further understand consumer boycott behaviour.</w:t>
      </w:r>
    </w:p>
    <w:p w14:paraId="62D2DA57" w14:textId="08AE7CE8" w:rsidR="007A4428" w:rsidRPr="003524E6" w:rsidRDefault="000C350B" w:rsidP="000C350B">
      <w:pPr>
        <w:spacing w:after="0"/>
        <w:jc w:val="both"/>
        <w:rPr>
          <w:lang w:val="en-MY"/>
        </w:rPr>
      </w:pPr>
      <w:r w:rsidRPr="003524E6">
        <w:rPr>
          <w:b/>
          <w:bCs/>
          <w:lang w:val="en-MY"/>
        </w:rPr>
        <w:t>Keywords:</w:t>
      </w:r>
      <w:r w:rsidRPr="003524E6">
        <w:rPr>
          <w:lang w:val="en-MY"/>
        </w:rPr>
        <w:t xml:space="preserve"> </w:t>
      </w:r>
      <w:r w:rsidRPr="002B1862">
        <w:rPr>
          <w:lang w:val="en-MY"/>
        </w:rPr>
        <w:t>Consumer Boycott Intention</w:t>
      </w:r>
      <w:r w:rsidRPr="003524E6">
        <w:rPr>
          <w:lang w:val="en-MY"/>
        </w:rPr>
        <w:t xml:space="preserve">, </w:t>
      </w:r>
      <w:r w:rsidRPr="002B1862">
        <w:rPr>
          <w:lang w:val="en-MY"/>
        </w:rPr>
        <w:t>Theory of Planned Behaviour (TPB)</w:t>
      </w:r>
      <w:r w:rsidRPr="003524E6">
        <w:rPr>
          <w:lang w:val="en-MY"/>
        </w:rPr>
        <w:t>, Perceived Behavioural Control.</w:t>
      </w:r>
    </w:p>
    <w:p w14:paraId="2FD6A18B" w14:textId="77777777" w:rsidR="000C350B" w:rsidRPr="003524E6" w:rsidRDefault="000C350B" w:rsidP="000C350B">
      <w:pPr>
        <w:spacing w:after="0"/>
        <w:jc w:val="both"/>
        <w:rPr>
          <w:lang w:val="en-MY"/>
        </w:rPr>
      </w:pPr>
    </w:p>
    <w:p w14:paraId="1818A2E4" w14:textId="05286888" w:rsidR="003B7C8C" w:rsidRPr="003524E6" w:rsidRDefault="000C350B" w:rsidP="000C350B">
      <w:pPr>
        <w:spacing w:after="0"/>
        <w:jc w:val="both"/>
        <w:rPr>
          <w:rFonts w:ascii="Calibri" w:hAnsi="Calibri" w:cs="Calibri"/>
          <w:b/>
          <w:bCs/>
          <w:sz w:val="24"/>
          <w:szCs w:val="24"/>
        </w:rPr>
      </w:pPr>
      <w:r w:rsidRPr="003524E6">
        <w:rPr>
          <w:rFonts w:ascii="Calibri" w:hAnsi="Calibri" w:cs="Calibri"/>
          <w:b/>
          <w:bCs/>
          <w:sz w:val="24"/>
          <w:szCs w:val="24"/>
        </w:rPr>
        <w:t>1.0</w:t>
      </w:r>
      <w:r w:rsidRPr="003524E6">
        <w:rPr>
          <w:rFonts w:ascii="Calibri" w:hAnsi="Calibri" w:cs="Calibri"/>
          <w:b/>
          <w:bCs/>
          <w:sz w:val="24"/>
          <w:szCs w:val="24"/>
        </w:rPr>
        <w:tab/>
      </w:r>
      <w:r w:rsidR="003B7C8C" w:rsidRPr="003524E6">
        <w:rPr>
          <w:rFonts w:ascii="Calibri" w:hAnsi="Calibri" w:cs="Calibri"/>
          <w:b/>
          <w:bCs/>
          <w:sz w:val="24"/>
          <w:szCs w:val="24"/>
        </w:rPr>
        <w:t>Introduction</w:t>
      </w:r>
    </w:p>
    <w:p w14:paraId="40ABA758" w14:textId="3628F6ED" w:rsidR="00FE2621" w:rsidRPr="003524E6" w:rsidRDefault="003B7C8C" w:rsidP="000C350B">
      <w:pPr>
        <w:spacing w:after="0"/>
        <w:jc w:val="both"/>
        <w:rPr>
          <w:rFonts w:ascii="Calibri" w:hAnsi="Calibri" w:cs="Calibri"/>
          <w:sz w:val="24"/>
          <w:szCs w:val="24"/>
        </w:rPr>
      </w:pPr>
      <w:r w:rsidRPr="003524E6">
        <w:rPr>
          <w:rFonts w:ascii="Calibri" w:hAnsi="Calibri" w:cs="Calibri"/>
          <w:sz w:val="24"/>
          <w:szCs w:val="24"/>
        </w:rPr>
        <w:t>The trend of consumer boycotts has increased significantly in recent years, reflecting a growing awareness of humanitarian issues and ethical responsibility among consumers</w:t>
      </w:r>
      <w:r w:rsidR="00DA4527" w:rsidRPr="003524E6">
        <w:rPr>
          <w:rFonts w:ascii="Calibri" w:hAnsi="Calibri" w:cs="Calibri"/>
          <w:sz w:val="24"/>
          <w:szCs w:val="24"/>
        </w:rPr>
        <w:t xml:space="preserve"> (Mady et al., 2025). </w:t>
      </w:r>
      <w:r w:rsidRPr="003524E6">
        <w:rPr>
          <w:rFonts w:ascii="Calibri" w:hAnsi="Calibri" w:cs="Calibri"/>
          <w:sz w:val="24"/>
          <w:szCs w:val="24"/>
        </w:rPr>
        <w:t>Humanitarian concerns have become a central priority, often surpassing other emerging issues in shaping consumer decisions.</w:t>
      </w:r>
      <w:r w:rsidR="00D12CB0">
        <w:rPr>
          <w:rFonts w:ascii="Calibri" w:hAnsi="Calibri" w:cs="Calibri"/>
          <w:sz w:val="24"/>
          <w:szCs w:val="24"/>
        </w:rPr>
        <w:t xml:space="preserve"> The sustainability of the firm in the market is largely</w:t>
      </w:r>
      <w:r w:rsidR="00D70CF2">
        <w:rPr>
          <w:rFonts w:ascii="Calibri" w:hAnsi="Calibri" w:cs="Calibri"/>
          <w:sz w:val="24"/>
          <w:szCs w:val="24"/>
        </w:rPr>
        <w:t xml:space="preserve"> </w:t>
      </w:r>
      <w:r w:rsidR="00D12CB0">
        <w:rPr>
          <w:rFonts w:ascii="Calibri" w:hAnsi="Calibri" w:cs="Calibri"/>
          <w:sz w:val="24"/>
          <w:szCs w:val="24"/>
        </w:rPr>
        <w:t>conti</w:t>
      </w:r>
      <w:r w:rsidR="00D70CF2">
        <w:rPr>
          <w:rFonts w:ascii="Calibri" w:hAnsi="Calibri" w:cs="Calibri"/>
          <w:sz w:val="24"/>
          <w:szCs w:val="24"/>
        </w:rPr>
        <w:t>n</w:t>
      </w:r>
      <w:r w:rsidR="00D12CB0">
        <w:rPr>
          <w:rFonts w:ascii="Calibri" w:hAnsi="Calibri" w:cs="Calibri"/>
          <w:sz w:val="24"/>
          <w:szCs w:val="24"/>
        </w:rPr>
        <w:t>gent upon the consumer (</w:t>
      </w:r>
      <w:r w:rsidR="00D70CF2">
        <w:rPr>
          <w:rFonts w:ascii="Calibri" w:hAnsi="Calibri" w:cs="Calibri"/>
          <w:sz w:val="24"/>
          <w:szCs w:val="24"/>
        </w:rPr>
        <w:t xml:space="preserve">Nasir et al., 2020). </w:t>
      </w:r>
      <w:r w:rsidRPr="003524E6">
        <w:rPr>
          <w:rFonts w:ascii="Calibri" w:hAnsi="Calibri" w:cs="Calibri"/>
          <w:sz w:val="24"/>
          <w:szCs w:val="24"/>
        </w:rPr>
        <w:t>Individuals are increasingly expressing solidarity across racial, cultural, religious, and national boundaries, demonstrating a collective moral response to global events.</w:t>
      </w:r>
      <w:r w:rsidR="00DA4527" w:rsidRPr="003524E6">
        <w:rPr>
          <w:rFonts w:ascii="Calibri" w:hAnsi="Calibri" w:cs="Calibri"/>
          <w:sz w:val="24"/>
          <w:szCs w:val="24"/>
        </w:rPr>
        <w:t xml:space="preserve"> </w:t>
      </w:r>
      <w:r w:rsidRPr="003524E6">
        <w:rPr>
          <w:rFonts w:ascii="Calibri" w:hAnsi="Calibri" w:cs="Calibri"/>
          <w:sz w:val="24"/>
          <w:szCs w:val="24"/>
        </w:rPr>
        <w:t xml:space="preserve">In 2026, the global boycott landscape continues to be strongly influenced by geopolitical and ethical movements, particularly in Southeast Asia and the Middle East. What initially began as temporary protest actions has gradually evolved into a structural shift in consumer </w:t>
      </w:r>
      <w:r w:rsidR="002F4E2C" w:rsidRPr="003524E6">
        <w:rPr>
          <w:rFonts w:ascii="Calibri" w:hAnsi="Calibri" w:cs="Calibri"/>
          <w:sz w:val="24"/>
          <w:szCs w:val="24"/>
        </w:rPr>
        <w:t>behaviour</w:t>
      </w:r>
      <w:r w:rsidRPr="003524E6">
        <w:rPr>
          <w:rFonts w:ascii="Calibri" w:hAnsi="Calibri" w:cs="Calibri"/>
          <w:sz w:val="24"/>
          <w:szCs w:val="24"/>
        </w:rPr>
        <w:t>. These sustained boycotts have contributed to long-term transformations in purchasing patterns, leading to the continuous growth of local and alternative brands</w:t>
      </w:r>
      <w:r w:rsidR="00FE2621" w:rsidRPr="003524E6">
        <w:rPr>
          <w:rFonts w:ascii="Calibri" w:hAnsi="Calibri" w:cs="Calibri"/>
          <w:sz w:val="24"/>
          <w:szCs w:val="24"/>
        </w:rPr>
        <w:t xml:space="preserve"> (Rahim et al., 2025). </w:t>
      </w:r>
    </w:p>
    <w:p w14:paraId="0BBD1F33" w14:textId="77777777" w:rsidR="00D93144" w:rsidRPr="003524E6" w:rsidRDefault="00D93144" w:rsidP="00D93144">
      <w:pPr>
        <w:spacing w:after="0"/>
        <w:jc w:val="both"/>
        <w:rPr>
          <w:rFonts w:ascii="Calibri" w:hAnsi="Calibri" w:cs="Calibri"/>
          <w:sz w:val="24"/>
          <w:szCs w:val="24"/>
        </w:rPr>
      </w:pPr>
    </w:p>
    <w:p w14:paraId="6D60C71E" w14:textId="467B857E" w:rsidR="003B7C8C" w:rsidRPr="003524E6" w:rsidRDefault="003B7C8C" w:rsidP="00D93144">
      <w:pPr>
        <w:spacing w:after="0"/>
        <w:jc w:val="both"/>
        <w:rPr>
          <w:rFonts w:ascii="Calibri" w:hAnsi="Calibri" w:cs="Calibri"/>
          <w:sz w:val="24"/>
          <w:szCs w:val="24"/>
        </w:rPr>
      </w:pPr>
      <w:r w:rsidRPr="003524E6">
        <w:rPr>
          <w:rFonts w:ascii="Calibri" w:hAnsi="Calibri" w:cs="Calibri"/>
          <w:sz w:val="24"/>
          <w:szCs w:val="24"/>
        </w:rPr>
        <w:t>Consumers generally possess significant power through boycott actions, which can directly affect a company’s revenue, reputation, and long-term sustainability</w:t>
      </w:r>
      <w:r w:rsidR="00FE2621" w:rsidRPr="003524E6">
        <w:rPr>
          <w:rFonts w:ascii="Calibri" w:hAnsi="Calibri" w:cs="Calibri"/>
          <w:sz w:val="24"/>
          <w:szCs w:val="24"/>
        </w:rPr>
        <w:t xml:space="preserve"> (Mulyono &amp; Rolando, 2025).</w:t>
      </w:r>
      <w:r w:rsidR="00362B6C" w:rsidRPr="003524E6">
        <w:rPr>
          <w:rFonts w:ascii="Calibri" w:hAnsi="Calibri" w:cs="Calibri"/>
          <w:sz w:val="24"/>
          <w:szCs w:val="24"/>
        </w:rPr>
        <w:t xml:space="preserve"> </w:t>
      </w:r>
      <w:r w:rsidRPr="003524E6">
        <w:rPr>
          <w:rFonts w:ascii="Calibri" w:hAnsi="Calibri" w:cs="Calibri"/>
          <w:sz w:val="24"/>
          <w:szCs w:val="24"/>
        </w:rPr>
        <w:t>When businesses face persistent local and nationwide boycotts, they are placed in a vulnerable position, as consumer sentiment can rapidly influence market performance. This phenomenon is particularly evident in Malaysia, where consumer activism has evolved beyond merely ceasing purchases.</w:t>
      </w:r>
      <w:r w:rsidR="00DA4527" w:rsidRPr="003524E6">
        <w:rPr>
          <w:rFonts w:ascii="Calibri" w:hAnsi="Calibri" w:cs="Calibri"/>
          <w:sz w:val="24"/>
          <w:szCs w:val="24"/>
        </w:rPr>
        <w:t xml:space="preserve"> </w:t>
      </w:r>
      <w:r w:rsidRPr="003524E6">
        <w:rPr>
          <w:rFonts w:ascii="Calibri" w:hAnsi="Calibri" w:cs="Calibri"/>
          <w:sz w:val="24"/>
          <w:szCs w:val="24"/>
        </w:rPr>
        <w:t xml:space="preserve">In recent years, one of the most notable trends in Malaysia is localization as a form of boycott </w:t>
      </w:r>
      <w:r w:rsidR="002F4E2C" w:rsidRPr="003524E6">
        <w:rPr>
          <w:rFonts w:ascii="Calibri" w:hAnsi="Calibri" w:cs="Calibri"/>
          <w:sz w:val="24"/>
          <w:szCs w:val="24"/>
        </w:rPr>
        <w:t>behaviour</w:t>
      </w:r>
      <w:r w:rsidR="00362B6C" w:rsidRPr="003524E6">
        <w:rPr>
          <w:rFonts w:ascii="Calibri" w:hAnsi="Calibri" w:cs="Calibri"/>
          <w:sz w:val="24"/>
          <w:szCs w:val="24"/>
        </w:rPr>
        <w:t xml:space="preserve"> (Sanusi et al., 2025). </w:t>
      </w:r>
      <w:r w:rsidRPr="003524E6">
        <w:rPr>
          <w:rFonts w:ascii="Calibri" w:hAnsi="Calibri" w:cs="Calibri"/>
          <w:sz w:val="24"/>
          <w:szCs w:val="24"/>
        </w:rPr>
        <w:t>Rather than simply refraining from consumption, many consumers are actively switching to domestic brands that better align with their national identity, cultural values, and social sentiments</w:t>
      </w:r>
      <w:r w:rsidR="00362B6C" w:rsidRPr="003524E6">
        <w:rPr>
          <w:rFonts w:ascii="Calibri" w:hAnsi="Calibri" w:cs="Calibri"/>
          <w:sz w:val="24"/>
          <w:szCs w:val="24"/>
        </w:rPr>
        <w:t xml:space="preserve"> (Ulfah et al., 2025). </w:t>
      </w:r>
      <w:r w:rsidRPr="003524E6">
        <w:rPr>
          <w:rFonts w:ascii="Calibri" w:hAnsi="Calibri" w:cs="Calibri"/>
          <w:sz w:val="24"/>
          <w:szCs w:val="24"/>
        </w:rPr>
        <w:t xml:space="preserve">This shift indicates that contemporary boycotts are not merely reactive but also transformative, reshaping purchasing </w:t>
      </w:r>
      <w:r w:rsidR="002F4E2C" w:rsidRPr="003524E6">
        <w:rPr>
          <w:rFonts w:ascii="Calibri" w:hAnsi="Calibri" w:cs="Calibri"/>
          <w:sz w:val="24"/>
          <w:szCs w:val="24"/>
        </w:rPr>
        <w:t>behaviour</w:t>
      </w:r>
      <w:r w:rsidRPr="003524E6">
        <w:rPr>
          <w:rFonts w:ascii="Calibri" w:hAnsi="Calibri" w:cs="Calibri"/>
          <w:sz w:val="24"/>
          <w:szCs w:val="24"/>
        </w:rPr>
        <w:t xml:space="preserve"> and overall market dynamics.</w:t>
      </w:r>
    </w:p>
    <w:p w14:paraId="275D6F17" w14:textId="77777777" w:rsidR="00D93144" w:rsidRPr="003524E6" w:rsidRDefault="00D93144" w:rsidP="00D93144">
      <w:pPr>
        <w:spacing w:after="0"/>
        <w:jc w:val="both"/>
        <w:rPr>
          <w:rFonts w:ascii="Calibri" w:hAnsi="Calibri" w:cs="Calibri"/>
          <w:sz w:val="24"/>
          <w:szCs w:val="24"/>
        </w:rPr>
      </w:pPr>
    </w:p>
    <w:p w14:paraId="54ABEA85" w14:textId="22E0DBD0" w:rsidR="003B7C8C" w:rsidRPr="003524E6" w:rsidRDefault="003B7C8C" w:rsidP="00D93144">
      <w:pPr>
        <w:spacing w:after="0"/>
        <w:jc w:val="both"/>
        <w:rPr>
          <w:rFonts w:ascii="Calibri" w:hAnsi="Calibri" w:cs="Calibri"/>
          <w:sz w:val="24"/>
          <w:szCs w:val="24"/>
        </w:rPr>
      </w:pPr>
      <w:r w:rsidRPr="003524E6">
        <w:rPr>
          <w:rFonts w:ascii="Calibri" w:hAnsi="Calibri" w:cs="Calibri"/>
          <w:sz w:val="24"/>
          <w:szCs w:val="24"/>
        </w:rPr>
        <w:t>As a result, domestic brands are experiencing substantial growth, significantly influencing Malaysian consumption patterns</w:t>
      </w:r>
      <w:r w:rsidR="00857117" w:rsidRPr="003524E6">
        <w:rPr>
          <w:rFonts w:ascii="Calibri" w:hAnsi="Calibri" w:cs="Calibri"/>
          <w:sz w:val="24"/>
          <w:szCs w:val="24"/>
        </w:rPr>
        <w:t xml:space="preserve"> (Alias et al., 2024). </w:t>
      </w:r>
      <w:r w:rsidRPr="003524E6">
        <w:rPr>
          <w:rFonts w:ascii="Calibri" w:hAnsi="Calibri" w:cs="Calibri"/>
          <w:sz w:val="24"/>
          <w:szCs w:val="24"/>
        </w:rPr>
        <w:t>One prominent example is ZUS Coffee, a rapidly expanding local coffee brand. Strong and sustained consumer confidence in local products has helped reinforce its market position. Serving as a competitive alternative to Starbucks in Malaysia, ZUS Coffee is increasingly securing a place in the preferences of Malaysian consumers. This reflects how consumer-driven localization trends can elevate domestic brands while reshaping competitive dynamics within the industry.</w:t>
      </w:r>
      <w:r w:rsidR="00DA4527" w:rsidRPr="003524E6">
        <w:rPr>
          <w:rFonts w:ascii="Calibri" w:hAnsi="Calibri" w:cs="Calibri"/>
          <w:sz w:val="24"/>
          <w:szCs w:val="24"/>
        </w:rPr>
        <w:t xml:space="preserve"> </w:t>
      </w:r>
      <w:r w:rsidRPr="003524E6">
        <w:rPr>
          <w:rFonts w:ascii="Calibri" w:hAnsi="Calibri" w:cs="Calibri"/>
          <w:sz w:val="24"/>
          <w:szCs w:val="24"/>
        </w:rPr>
        <w:t xml:space="preserve">In addition to ZUS Coffee, Ahmad’s Fried Chicken represents another rapidly growing local business. Positioned </w:t>
      </w:r>
      <w:r w:rsidRPr="003524E6">
        <w:rPr>
          <w:rFonts w:ascii="Calibri" w:hAnsi="Calibri" w:cs="Calibri"/>
          <w:sz w:val="24"/>
          <w:szCs w:val="24"/>
        </w:rPr>
        <w:lastRenderedPageBreak/>
        <w:t>as a domestic alternative to McDonald's, the brand has expanded aggressively across the country. Ahmad’s Fried Chicken opened more than 30 outlets in the first half of 2025 and aims to reach 66 outlets by the end of 2025, with a long-term target of 110 outlets by the end of 2026. This rapid expansion reflects increasing consumer support for local brands, particularly amid rising awareness of boycott movements in Malaysia.</w:t>
      </w:r>
    </w:p>
    <w:p w14:paraId="0BB7BD2B" w14:textId="77777777" w:rsidR="00D93144" w:rsidRPr="003524E6" w:rsidRDefault="00D93144" w:rsidP="00D93144">
      <w:pPr>
        <w:spacing w:after="0"/>
        <w:jc w:val="both"/>
        <w:rPr>
          <w:rFonts w:ascii="Calibri" w:hAnsi="Calibri" w:cs="Calibri"/>
          <w:sz w:val="24"/>
          <w:szCs w:val="24"/>
        </w:rPr>
      </w:pPr>
    </w:p>
    <w:p w14:paraId="6250DFCF" w14:textId="2A940605" w:rsidR="003B7C8C" w:rsidRPr="003524E6" w:rsidRDefault="003B7C8C" w:rsidP="00D93144">
      <w:pPr>
        <w:spacing w:after="0"/>
        <w:jc w:val="both"/>
        <w:rPr>
          <w:rFonts w:ascii="Calibri" w:hAnsi="Calibri" w:cs="Calibri"/>
          <w:sz w:val="24"/>
          <w:szCs w:val="24"/>
        </w:rPr>
      </w:pPr>
      <w:r w:rsidRPr="003524E6">
        <w:rPr>
          <w:rFonts w:ascii="Calibri" w:hAnsi="Calibri" w:cs="Calibri"/>
          <w:sz w:val="24"/>
          <w:szCs w:val="24"/>
        </w:rPr>
        <w:t xml:space="preserve">The growing boycott movement suggests that consumer awareness and participation in boycott </w:t>
      </w:r>
      <w:r w:rsidR="002F4E2C" w:rsidRPr="003524E6">
        <w:rPr>
          <w:rFonts w:ascii="Calibri" w:hAnsi="Calibri" w:cs="Calibri"/>
          <w:sz w:val="24"/>
          <w:szCs w:val="24"/>
        </w:rPr>
        <w:t>behaviour</w:t>
      </w:r>
      <w:r w:rsidRPr="003524E6">
        <w:rPr>
          <w:rFonts w:ascii="Calibri" w:hAnsi="Calibri" w:cs="Calibri"/>
          <w:sz w:val="24"/>
          <w:szCs w:val="24"/>
        </w:rPr>
        <w:t xml:space="preserve"> are likely to continue increasing. However, empirical research on consumer boycott </w:t>
      </w:r>
      <w:r w:rsidR="002F4E2C" w:rsidRPr="003524E6">
        <w:rPr>
          <w:rFonts w:ascii="Calibri" w:hAnsi="Calibri" w:cs="Calibri"/>
          <w:sz w:val="24"/>
          <w:szCs w:val="24"/>
        </w:rPr>
        <w:t>behaviour</w:t>
      </w:r>
      <w:r w:rsidRPr="003524E6">
        <w:rPr>
          <w:rFonts w:ascii="Calibri" w:hAnsi="Calibri" w:cs="Calibri"/>
          <w:sz w:val="24"/>
          <w:szCs w:val="24"/>
        </w:rPr>
        <w:t xml:space="preserve"> within the Malaysian context remains limited. According to Chiang </w:t>
      </w:r>
      <w:r w:rsidR="00A24279" w:rsidRPr="003524E6">
        <w:rPr>
          <w:rFonts w:ascii="Calibri" w:hAnsi="Calibri" w:cs="Calibri"/>
          <w:sz w:val="24"/>
          <w:szCs w:val="24"/>
        </w:rPr>
        <w:t>&amp;</w:t>
      </w:r>
      <w:r w:rsidRPr="003524E6">
        <w:rPr>
          <w:rFonts w:ascii="Calibri" w:hAnsi="Calibri" w:cs="Calibri"/>
          <w:sz w:val="24"/>
          <w:szCs w:val="24"/>
        </w:rPr>
        <w:t xml:space="preserve"> Arif (2024), there is a lack of comprehensive empirical studies examining boycott </w:t>
      </w:r>
      <w:r w:rsidR="002F4E2C" w:rsidRPr="003524E6">
        <w:rPr>
          <w:rFonts w:ascii="Calibri" w:hAnsi="Calibri" w:cs="Calibri"/>
          <w:sz w:val="24"/>
          <w:szCs w:val="24"/>
        </w:rPr>
        <w:t>behaviour</w:t>
      </w:r>
      <w:r w:rsidRPr="003524E6">
        <w:rPr>
          <w:rFonts w:ascii="Calibri" w:hAnsi="Calibri" w:cs="Calibri"/>
          <w:sz w:val="24"/>
          <w:szCs w:val="24"/>
        </w:rPr>
        <w:t xml:space="preserve">, particularly in emerging markets such as Malaysia. Furthermore, the specific factors influencing consumers’ intention to engage in boycott </w:t>
      </w:r>
      <w:r w:rsidR="002F4E2C" w:rsidRPr="003524E6">
        <w:rPr>
          <w:rFonts w:ascii="Calibri" w:hAnsi="Calibri" w:cs="Calibri"/>
          <w:sz w:val="24"/>
          <w:szCs w:val="24"/>
        </w:rPr>
        <w:t>behaviour</w:t>
      </w:r>
      <w:r w:rsidRPr="003524E6">
        <w:rPr>
          <w:rFonts w:ascii="Calibri" w:hAnsi="Calibri" w:cs="Calibri"/>
          <w:sz w:val="24"/>
          <w:szCs w:val="24"/>
        </w:rPr>
        <w:t xml:space="preserve"> remain unclear (Shim &amp; Cho, 2022). This research gap highlights the need for a robust theoretical framework to better understand the determinants of boycott intention.</w:t>
      </w:r>
    </w:p>
    <w:p w14:paraId="78CE006C" w14:textId="77777777" w:rsidR="00D27606" w:rsidRDefault="00D27606" w:rsidP="00D93144">
      <w:pPr>
        <w:spacing w:after="0"/>
        <w:jc w:val="both"/>
        <w:rPr>
          <w:rFonts w:ascii="Calibri" w:hAnsi="Calibri" w:cs="Calibri"/>
          <w:sz w:val="24"/>
          <w:szCs w:val="24"/>
        </w:rPr>
      </w:pPr>
    </w:p>
    <w:p w14:paraId="53A6ECD4" w14:textId="10A72F4B" w:rsidR="003B7C8C" w:rsidRPr="003524E6" w:rsidRDefault="003B7C8C" w:rsidP="00D93144">
      <w:pPr>
        <w:spacing w:after="0"/>
        <w:jc w:val="both"/>
        <w:rPr>
          <w:rFonts w:ascii="Calibri" w:hAnsi="Calibri" w:cs="Calibri"/>
          <w:sz w:val="24"/>
          <w:szCs w:val="24"/>
        </w:rPr>
      </w:pPr>
      <w:r w:rsidRPr="003524E6">
        <w:rPr>
          <w:rFonts w:ascii="Calibri" w:hAnsi="Calibri" w:cs="Calibri"/>
          <w:sz w:val="24"/>
          <w:szCs w:val="24"/>
        </w:rPr>
        <w:t xml:space="preserve">To address this issue, an established and comprehensive theoretical framework is required to examine the factors influencing consumers’ intention to boycott a brand. Previous studies have widely adopted the Theory of Planned Behaviour (TPB) to explain </w:t>
      </w:r>
      <w:r w:rsidR="002F4E2C" w:rsidRPr="003524E6">
        <w:rPr>
          <w:rFonts w:ascii="Calibri" w:hAnsi="Calibri" w:cs="Calibri"/>
          <w:sz w:val="24"/>
          <w:szCs w:val="24"/>
        </w:rPr>
        <w:t>behavioural</w:t>
      </w:r>
      <w:r w:rsidRPr="003524E6">
        <w:rPr>
          <w:rFonts w:ascii="Calibri" w:hAnsi="Calibri" w:cs="Calibri"/>
          <w:sz w:val="24"/>
          <w:szCs w:val="24"/>
        </w:rPr>
        <w:t xml:space="preserve"> intentions (Ibrahim &amp; Arshad, 2018). Developed by Icek Ajzen</w:t>
      </w:r>
      <w:r w:rsidR="002F4E2C" w:rsidRPr="003524E6">
        <w:rPr>
          <w:rFonts w:ascii="Calibri" w:hAnsi="Calibri" w:cs="Calibri"/>
          <w:sz w:val="24"/>
          <w:szCs w:val="24"/>
        </w:rPr>
        <w:t xml:space="preserve"> in 1991</w:t>
      </w:r>
      <w:r w:rsidRPr="003524E6">
        <w:rPr>
          <w:rFonts w:ascii="Calibri" w:hAnsi="Calibri" w:cs="Calibri"/>
          <w:sz w:val="24"/>
          <w:szCs w:val="24"/>
        </w:rPr>
        <w:t>, TPB posits that behavioral intention is determined by three key factors: attitude toward the behavior, subjective norms, and perceived behavioral control.</w:t>
      </w:r>
    </w:p>
    <w:p w14:paraId="09DAD117" w14:textId="77777777" w:rsidR="00D93144" w:rsidRPr="003524E6" w:rsidRDefault="00D93144" w:rsidP="00D93144">
      <w:pPr>
        <w:spacing w:after="0"/>
        <w:jc w:val="both"/>
        <w:rPr>
          <w:rFonts w:ascii="Calibri" w:hAnsi="Calibri" w:cs="Calibri"/>
          <w:sz w:val="24"/>
          <w:szCs w:val="24"/>
        </w:rPr>
      </w:pPr>
    </w:p>
    <w:p w14:paraId="45D858AF" w14:textId="10C5A86B" w:rsidR="003B7C8C" w:rsidRPr="003524E6" w:rsidRDefault="003B7C8C" w:rsidP="00D93144">
      <w:pPr>
        <w:spacing w:after="0"/>
        <w:jc w:val="both"/>
        <w:rPr>
          <w:rFonts w:ascii="Calibri" w:hAnsi="Calibri" w:cs="Calibri"/>
          <w:sz w:val="24"/>
          <w:szCs w:val="24"/>
        </w:rPr>
      </w:pPr>
      <w:r w:rsidRPr="003524E6">
        <w:rPr>
          <w:rFonts w:ascii="Calibri" w:hAnsi="Calibri" w:cs="Calibri"/>
          <w:sz w:val="24"/>
          <w:szCs w:val="24"/>
        </w:rPr>
        <w:t>For the purpose of this study, TPB is selected for several reasons. First, the theory demonstrates strong explanatory power in predicting various forms of consumer behavior, including ethical consumption and boycott actions. Second, TPB incorporates both volitional and non-volitional elements through perceived behavioral control, which captures consumers’ perceived ease or difficulty in performing a behavior. This aspect is particularly relevant in boycott contexts, where factors such as the availability of alternatives, price differences, and convenience may influence consumers’ ability to act on their intentions. Therefore, TPB provides a comprehensive and appropriate framework for examining the determinants of consumers’ intention to boycott brands in Malaysia.</w:t>
      </w:r>
    </w:p>
    <w:p w14:paraId="5F6E2E4A" w14:textId="77777777" w:rsidR="00E37DD8" w:rsidRPr="003524E6" w:rsidRDefault="00E37DD8" w:rsidP="00D93144">
      <w:pPr>
        <w:spacing w:after="0"/>
        <w:jc w:val="both"/>
        <w:rPr>
          <w:rFonts w:ascii="Calibri" w:hAnsi="Calibri" w:cs="Calibri"/>
          <w:b/>
          <w:bCs/>
          <w:sz w:val="24"/>
          <w:szCs w:val="24"/>
        </w:rPr>
      </w:pPr>
    </w:p>
    <w:p w14:paraId="6FC02D26" w14:textId="0BF5FC34" w:rsidR="00E37DD8" w:rsidRPr="003524E6" w:rsidRDefault="000C350B" w:rsidP="00D93144">
      <w:pPr>
        <w:spacing w:after="0"/>
        <w:jc w:val="both"/>
        <w:rPr>
          <w:rFonts w:ascii="Calibri" w:hAnsi="Calibri" w:cs="Calibri"/>
          <w:b/>
          <w:bCs/>
          <w:sz w:val="24"/>
          <w:szCs w:val="24"/>
        </w:rPr>
      </w:pPr>
      <w:r w:rsidRPr="003524E6">
        <w:rPr>
          <w:rFonts w:ascii="Calibri" w:hAnsi="Calibri" w:cs="Calibri"/>
          <w:b/>
          <w:bCs/>
          <w:sz w:val="24"/>
          <w:szCs w:val="24"/>
        </w:rPr>
        <w:t>2.0</w:t>
      </w:r>
      <w:r w:rsidRPr="003524E6">
        <w:rPr>
          <w:rFonts w:ascii="Calibri" w:hAnsi="Calibri" w:cs="Calibri"/>
          <w:b/>
          <w:bCs/>
          <w:sz w:val="24"/>
          <w:szCs w:val="24"/>
        </w:rPr>
        <w:tab/>
      </w:r>
      <w:r w:rsidR="00857117" w:rsidRPr="003524E6">
        <w:rPr>
          <w:rFonts w:ascii="Calibri" w:hAnsi="Calibri" w:cs="Calibri"/>
          <w:b/>
          <w:bCs/>
          <w:sz w:val="24"/>
          <w:szCs w:val="24"/>
        </w:rPr>
        <w:t>Literature Review</w:t>
      </w:r>
    </w:p>
    <w:p w14:paraId="5F24FB8F" w14:textId="64DAA387" w:rsidR="00E37DD8" w:rsidRPr="003524E6" w:rsidRDefault="000C350B" w:rsidP="00D93144">
      <w:pPr>
        <w:spacing w:after="0"/>
        <w:jc w:val="both"/>
        <w:rPr>
          <w:rFonts w:ascii="Calibri" w:hAnsi="Calibri" w:cs="Calibri"/>
          <w:b/>
          <w:bCs/>
          <w:sz w:val="24"/>
          <w:szCs w:val="24"/>
        </w:rPr>
      </w:pPr>
      <w:r w:rsidRPr="003524E6">
        <w:rPr>
          <w:rFonts w:ascii="Calibri" w:hAnsi="Calibri" w:cs="Calibri"/>
          <w:b/>
          <w:bCs/>
          <w:sz w:val="24"/>
          <w:szCs w:val="24"/>
        </w:rPr>
        <w:t>2.1</w:t>
      </w:r>
      <w:r w:rsidRPr="003524E6">
        <w:rPr>
          <w:rFonts w:ascii="Calibri" w:hAnsi="Calibri" w:cs="Calibri"/>
          <w:b/>
          <w:bCs/>
          <w:sz w:val="24"/>
          <w:szCs w:val="24"/>
        </w:rPr>
        <w:tab/>
      </w:r>
      <w:r w:rsidR="00E37DD8" w:rsidRPr="003524E6">
        <w:rPr>
          <w:rFonts w:ascii="Calibri" w:hAnsi="Calibri" w:cs="Calibri"/>
          <w:b/>
          <w:bCs/>
          <w:sz w:val="24"/>
          <w:szCs w:val="24"/>
        </w:rPr>
        <w:t>Consumer Boycott Behaviour</w:t>
      </w:r>
    </w:p>
    <w:p w14:paraId="56EDAD9C" w14:textId="166EEF0E" w:rsidR="00E37DD8" w:rsidRPr="003524E6" w:rsidRDefault="00E37DD8" w:rsidP="00D93144">
      <w:pPr>
        <w:spacing w:after="0"/>
        <w:jc w:val="both"/>
        <w:rPr>
          <w:rFonts w:ascii="Calibri" w:hAnsi="Calibri" w:cs="Calibri"/>
          <w:sz w:val="24"/>
          <w:szCs w:val="24"/>
        </w:rPr>
      </w:pPr>
      <w:r w:rsidRPr="003524E6">
        <w:rPr>
          <w:rFonts w:ascii="Calibri" w:hAnsi="Calibri" w:cs="Calibri"/>
          <w:sz w:val="24"/>
          <w:szCs w:val="24"/>
        </w:rPr>
        <w:t>Consumer boycott refers to the deliberate refusal to purchase products or services from a company in response to perceived unethical practices, political issues, or social concerns</w:t>
      </w:r>
      <w:r w:rsidR="002F4E2C" w:rsidRPr="003524E6">
        <w:rPr>
          <w:rFonts w:ascii="Calibri" w:hAnsi="Calibri" w:cs="Calibri"/>
          <w:sz w:val="24"/>
          <w:szCs w:val="24"/>
        </w:rPr>
        <w:t xml:space="preserve"> consumers (Mady et al., 2025).</w:t>
      </w:r>
      <w:r w:rsidR="00A24279" w:rsidRPr="003524E6">
        <w:rPr>
          <w:rFonts w:ascii="Calibri" w:hAnsi="Calibri" w:cs="Calibri"/>
          <w:sz w:val="24"/>
          <w:szCs w:val="24"/>
        </w:rPr>
        <w:t xml:space="preserve"> </w:t>
      </w:r>
      <w:r w:rsidRPr="003524E6">
        <w:rPr>
          <w:rFonts w:ascii="Calibri" w:hAnsi="Calibri" w:cs="Calibri"/>
          <w:sz w:val="24"/>
          <w:szCs w:val="24"/>
        </w:rPr>
        <w:t>According to previous studies, boycott behaviour has evolved from short-term protest actions into a more sustained and value-driven form of consumer activism. Modern consumers are increasingly motivated by ethical considerations, humanitarian awareness, and social responsibility, which significantly influence their purchasing decisions</w:t>
      </w:r>
      <w:r w:rsidR="00FF2534" w:rsidRPr="003524E6">
        <w:rPr>
          <w:rFonts w:ascii="Calibri" w:hAnsi="Calibri" w:cs="Calibri"/>
          <w:sz w:val="24"/>
          <w:szCs w:val="24"/>
        </w:rPr>
        <w:t xml:space="preserve"> (Yu, 2026). </w:t>
      </w:r>
      <w:r w:rsidR="00A24279" w:rsidRPr="003524E6">
        <w:rPr>
          <w:rFonts w:ascii="Calibri" w:hAnsi="Calibri" w:cs="Calibri"/>
          <w:sz w:val="24"/>
          <w:szCs w:val="24"/>
        </w:rPr>
        <w:t xml:space="preserve"> </w:t>
      </w:r>
      <w:r w:rsidRPr="003524E6">
        <w:rPr>
          <w:rFonts w:ascii="Calibri" w:hAnsi="Calibri" w:cs="Calibri"/>
          <w:sz w:val="24"/>
          <w:szCs w:val="24"/>
        </w:rPr>
        <w:t>In emerging markets, boycott behaviour has taken on a more transformative dimension. Consumers are not only rejecting certain brands but are also actively supporting local alternatives</w:t>
      </w:r>
      <w:r w:rsidR="00A24279" w:rsidRPr="003524E6">
        <w:rPr>
          <w:rFonts w:ascii="Calibri" w:hAnsi="Calibri" w:cs="Calibri"/>
          <w:sz w:val="24"/>
          <w:szCs w:val="24"/>
        </w:rPr>
        <w:t xml:space="preserve"> (Mulyono &amp; Rolando, 2025). </w:t>
      </w:r>
      <w:r w:rsidRPr="003524E6">
        <w:rPr>
          <w:rFonts w:ascii="Calibri" w:hAnsi="Calibri" w:cs="Calibri"/>
          <w:sz w:val="24"/>
          <w:szCs w:val="24"/>
        </w:rPr>
        <w:t xml:space="preserve">This shift reflects a deeper alignment between consumer values and consumption patterns, where purchasing decisions </w:t>
      </w:r>
      <w:r w:rsidRPr="003524E6">
        <w:rPr>
          <w:rFonts w:ascii="Calibri" w:hAnsi="Calibri" w:cs="Calibri"/>
          <w:sz w:val="24"/>
          <w:szCs w:val="24"/>
        </w:rPr>
        <w:lastRenderedPageBreak/>
        <w:t>are used as a tool to express moral and social positions. Despite its growing importance, empirical studies on boycott intention, particularly within the Malaysian context, remain limited</w:t>
      </w:r>
      <w:r w:rsidR="00A24279" w:rsidRPr="003524E6">
        <w:rPr>
          <w:rFonts w:ascii="Calibri" w:hAnsi="Calibri" w:cs="Calibri"/>
          <w:sz w:val="24"/>
          <w:szCs w:val="24"/>
        </w:rPr>
        <w:t xml:space="preserve"> (Chiang &amp; Arif, 2024</w:t>
      </w:r>
      <w:r w:rsidR="008268B6" w:rsidRPr="003524E6">
        <w:rPr>
          <w:rFonts w:ascii="Calibri" w:hAnsi="Calibri" w:cs="Calibri"/>
          <w:sz w:val="24"/>
          <w:szCs w:val="24"/>
        </w:rPr>
        <w:t>; Rahim et al., 2025</w:t>
      </w:r>
      <w:r w:rsidR="00A24279" w:rsidRPr="003524E6">
        <w:rPr>
          <w:rFonts w:ascii="Calibri" w:hAnsi="Calibri" w:cs="Calibri"/>
          <w:sz w:val="24"/>
          <w:szCs w:val="24"/>
        </w:rPr>
        <w:t>),</w:t>
      </w:r>
      <w:r w:rsidRPr="003524E6">
        <w:rPr>
          <w:rFonts w:ascii="Calibri" w:hAnsi="Calibri" w:cs="Calibri"/>
          <w:sz w:val="24"/>
          <w:szCs w:val="24"/>
        </w:rPr>
        <w:t xml:space="preserve"> thus requiring further investigation.</w:t>
      </w:r>
    </w:p>
    <w:p w14:paraId="78C40D0C" w14:textId="77777777" w:rsidR="008268B6" w:rsidRPr="003524E6" w:rsidRDefault="008268B6" w:rsidP="00D93144">
      <w:pPr>
        <w:spacing w:after="0"/>
        <w:jc w:val="both"/>
        <w:rPr>
          <w:rFonts w:ascii="Calibri" w:hAnsi="Calibri" w:cs="Calibri"/>
          <w:sz w:val="24"/>
          <w:szCs w:val="24"/>
        </w:rPr>
      </w:pPr>
    </w:p>
    <w:p w14:paraId="2D446379" w14:textId="38D5AFBF" w:rsidR="00A95F65" w:rsidRPr="003524E6" w:rsidRDefault="00A95F65" w:rsidP="00D93144">
      <w:pPr>
        <w:spacing w:after="0"/>
        <w:jc w:val="both"/>
        <w:rPr>
          <w:rFonts w:ascii="Calibri" w:hAnsi="Calibri" w:cs="Calibri"/>
          <w:b/>
          <w:bCs/>
          <w:sz w:val="24"/>
          <w:szCs w:val="24"/>
        </w:rPr>
      </w:pPr>
      <w:r w:rsidRPr="003524E6">
        <w:rPr>
          <w:rFonts w:ascii="Calibri" w:hAnsi="Calibri" w:cs="Calibri"/>
          <w:b/>
          <w:bCs/>
          <w:sz w:val="24"/>
          <w:szCs w:val="24"/>
        </w:rPr>
        <w:t>Theory of Planned Behaviour (TPB)</w:t>
      </w:r>
    </w:p>
    <w:p w14:paraId="606517CC" w14:textId="19AC6E6A" w:rsidR="00A95F65" w:rsidRPr="003524E6" w:rsidRDefault="00A95F65" w:rsidP="00D93144">
      <w:pPr>
        <w:spacing w:after="0"/>
        <w:jc w:val="both"/>
        <w:rPr>
          <w:rFonts w:ascii="Calibri" w:hAnsi="Calibri" w:cs="Calibri"/>
          <w:sz w:val="24"/>
          <w:szCs w:val="24"/>
        </w:rPr>
      </w:pPr>
      <w:r w:rsidRPr="003524E6">
        <w:rPr>
          <w:rFonts w:ascii="Calibri" w:hAnsi="Calibri" w:cs="Calibri"/>
          <w:sz w:val="24"/>
          <w:szCs w:val="24"/>
        </w:rPr>
        <w:t>The Theory of Planned Behaviour (TPB), developed by Ajzen (1991), is widely used to explain and predict human behaviour in various contexts, including ethical consumption and boycott actions. TPB posits that an individual’s behavioural intention is determined by three key constructs: attitude, subjective norm, and perceived behavioural control. This theory is particularly relevant in explaining boycott behaviour, as such actions often involve deliberate decision-making, social influence, and perceived constraints</w:t>
      </w:r>
      <w:r w:rsidR="009B6E81" w:rsidRPr="003524E6">
        <w:rPr>
          <w:rFonts w:ascii="Calibri" w:hAnsi="Calibri" w:cs="Calibri"/>
          <w:sz w:val="24"/>
          <w:szCs w:val="24"/>
        </w:rPr>
        <w:t xml:space="preserve"> (Nordin et al., 2024; Rahim et al., 2025).</w:t>
      </w:r>
      <w:r w:rsidRPr="003524E6">
        <w:rPr>
          <w:rFonts w:ascii="Calibri" w:hAnsi="Calibri" w:cs="Calibri"/>
          <w:sz w:val="24"/>
          <w:szCs w:val="24"/>
        </w:rPr>
        <w:t xml:space="preserve"> TPB has been extensively validated in prior studies examining pro-social and ethical consumer behaviour, making it an appropriate framework for this study as</w:t>
      </w:r>
      <w:r w:rsidR="00DC05E2" w:rsidRPr="003524E6">
        <w:rPr>
          <w:rFonts w:ascii="Calibri" w:hAnsi="Calibri" w:cs="Calibri"/>
          <w:sz w:val="24"/>
          <w:szCs w:val="24"/>
        </w:rPr>
        <w:t xml:space="preserve"> demonstrated in the Figure 1. </w:t>
      </w:r>
    </w:p>
    <w:p w14:paraId="62970F49" w14:textId="77777777" w:rsidR="00482CF9" w:rsidRPr="003524E6" w:rsidRDefault="00482CF9" w:rsidP="00D93144">
      <w:pPr>
        <w:spacing w:after="0"/>
        <w:jc w:val="both"/>
        <w:rPr>
          <w:rFonts w:ascii="Calibri" w:hAnsi="Calibri" w:cs="Calibri"/>
          <w:sz w:val="24"/>
          <w:szCs w:val="24"/>
        </w:rPr>
      </w:pPr>
    </w:p>
    <w:p w14:paraId="72BD4EEF" w14:textId="47249C90" w:rsidR="00482CF9" w:rsidRPr="003524E6" w:rsidRDefault="00482CF9" w:rsidP="00D93144">
      <w:pPr>
        <w:spacing w:after="0"/>
        <w:jc w:val="both"/>
        <w:rPr>
          <w:rFonts w:ascii="Calibri" w:hAnsi="Calibri" w:cs="Calibri"/>
          <w:b/>
          <w:bCs/>
          <w:sz w:val="24"/>
          <w:szCs w:val="24"/>
        </w:rPr>
      </w:pPr>
      <w:r w:rsidRPr="003524E6">
        <w:rPr>
          <w:rFonts w:ascii="Calibri" w:hAnsi="Calibri" w:cs="Calibri"/>
          <w:b/>
          <w:bCs/>
          <w:sz w:val="24"/>
          <w:szCs w:val="24"/>
        </w:rPr>
        <w:t>Attitude</w:t>
      </w:r>
    </w:p>
    <w:p w14:paraId="6DA6CD46" w14:textId="4928DE41" w:rsidR="00A95F65" w:rsidRPr="003524E6" w:rsidRDefault="00A95F65" w:rsidP="00D93144">
      <w:pPr>
        <w:spacing w:after="0"/>
        <w:jc w:val="both"/>
        <w:rPr>
          <w:rFonts w:ascii="Calibri" w:hAnsi="Calibri" w:cs="Calibri"/>
          <w:sz w:val="24"/>
          <w:szCs w:val="24"/>
        </w:rPr>
      </w:pPr>
      <w:r w:rsidRPr="003524E6">
        <w:rPr>
          <w:rFonts w:ascii="Calibri" w:hAnsi="Calibri" w:cs="Calibri"/>
          <w:sz w:val="24"/>
          <w:szCs w:val="24"/>
        </w:rPr>
        <w:t>Attitude refers to an individual’s overall evaluation of performing a particular behaviour, whether favourable or unfavourable</w:t>
      </w:r>
      <w:r w:rsidR="00E02D23">
        <w:rPr>
          <w:rFonts w:ascii="Calibri" w:hAnsi="Calibri" w:cs="Calibri"/>
          <w:sz w:val="24"/>
          <w:szCs w:val="24"/>
        </w:rPr>
        <w:t xml:space="preserve"> (Nasir et al., 2017)</w:t>
      </w:r>
      <w:r w:rsidRPr="003524E6">
        <w:rPr>
          <w:rFonts w:ascii="Calibri" w:hAnsi="Calibri" w:cs="Calibri"/>
          <w:sz w:val="24"/>
          <w:szCs w:val="24"/>
        </w:rPr>
        <w:t>. In the context of consumer boycotts, attitude reflects how positively or negatively consumers perceive boycott actions as a means of expressing ethical or humanitarian concerns. Previous studies have consistently found that individuals with a positive attitude toward ethical consumption are more likely to engage in boycott behaviour</w:t>
      </w:r>
      <w:r w:rsidR="00402580" w:rsidRPr="003524E6">
        <w:rPr>
          <w:rFonts w:ascii="Calibri" w:hAnsi="Calibri" w:cs="Calibri"/>
          <w:sz w:val="24"/>
          <w:szCs w:val="24"/>
        </w:rPr>
        <w:t xml:space="preserve"> (Jedicke et al., 2025).</w:t>
      </w:r>
      <w:r w:rsidRPr="003524E6">
        <w:rPr>
          <w:rFonts w:ascii="Calibri" w:hAnsi="Calibri" w:cs="Calibri"/>
          <w:sz w:val="24"/>
          <w:szCs w:val="24"/>
        </w:rPr>
        <w:t xml:space="preserve"> When consumers believe that boycotting a brand can contribute to social justice, support humanitarian causes, or influence corporate behaviour, they are more inclined to develop strong boycott intentions. Therefore, attitude is expected to play a significant role in shaping consumers’ intention to boycott.</w:t>
      </w:r>
    </w:p>
    <w:p w14:paraId="14ACE8F8" w14:textId="77777777" w:rsidR="00402580" w:rsidRPr="003524E6" w:rsidRDefault="00402580" w:rsidP="00D93144">
      <w:pPr>
        <w:spacing w:after="0"/>
        <w:jc w:val="both"/>
        <w:rPr>
          <w:rFonts w:ascii="Calibri" w:hAnsi="Calibri" w:cs="Calibri"/>
          <w:sz w:val="24"/>
          <w:szCs w:val="24"/>
        </w:rPr>
      </w:pPr>
    </w:p>
    <w:p w14:paraId="331DEC4B" w14:textId="23552659" w:rsidR="00A95F65" w:rsidRPr="003524E6" w:rsidRDefault="00A95F65" w:rsidP="00D93144">
      <w:pPr>
        <w:spacing w:after="0"/>
        <w:jc w:val="both"/>
        <w:rPr>
          <w:rFonts w:ascii="Calibri" w:hAnsi="Calibri" w:cs="Calibri"/>
          <w:sz w:val="24"/>
          <w:szCs w:val="24"/>
        </w:rPr>
      </w:pPr>
      <w:r w:rsidRPr="003524E6">
        <w:rPr>
          <w:rFonts w:ascii="Calibri" w:hAnsi="Calibri" w:cs="Calibri"/>
          <w:sz w:val="24"/>
          <w:szCs w:val="24"/>
        </w:rPr>
        <w:t>H1: Attitude has a significant positive influence on consumers’ intention to engage in boycott behaviour.</w:t>
      </w:r>
    </w:p>
    <w:p w14:paraId="438BE108" w14:textId="77777777" w:rsidR="00A95F65" w:rsidRPr="003524E6" w:rsidRDefault="00A95F65" w:rsidP="00D93144">
      <w:pPr>
        <w:spacing w:after="0"/>
        <w:jc w:val="both"/>
        <w:rPr>
          <w:rFonts w:ascii="Calibri" w:hAnsi="Calibri" w:cs="Calibri"/>
          <w:sz w:val="24"/>
          <w:szCs w:val="24"/>
        </w:rPr>
      </w:pPr>
    </w:p>
    <w:p w14:paraId="4609E9AD" w14:textId="600669C1" w:rsidR="00482CF9" w:rsidRPr="003524E6" w:rsidRDefault="00482CF9" w:rsidP="00D93144">
      <w:pPr>
        <w:spacing w:after="0"/>
        <w:jc w:val="both"/>
        <w:rPr>
          <w:rFonts w:ascii="Calibri" w:hAnsi="Calibri" w:cs="Calibri"/>
          <w:b/>
          <w:bCs/>
          <w:sz w:val="24"/>
          <w:szCs w:val="24"/>
        </w:rPr>
      </w:pPr>
      <w:r w:rsidRPr="003524E6">
        <w:rPr>
          <w:rFonts w:ascii="Calibri" w:hAnsi="Calibri" w:cs="Calibri"/>
          <w:b/>
          <w:bCs/>
          <w:sz w:val="24"/>
          <w:szCs w:val="24"/>
        </w:rPr>
        <w:t xml:space="preserve">Subjective Norm </w:t>
      </w:r>
    </w:p>
    <w:p w14:paraId="097B939F" w14:textId="6D268B5A" w:rsidR="00A95F65" w:rsidRPr="003524E6" w:rsidRDefault="00A95F65" w:rsidP="00D93144">
      <w:pPr>
        <w:spacing w:after="0"/>
        <w:jc w:val="both"/>
        <w:rPr>
          <w:rFonts w:ascii="Calibri" w:hAnsi="Calibri" w:cs="Calibri"/>
          <w:sz w:val="24"/>
          <w:szCs w:val="24"/>
        </w:rPr>
      </w:pPr>
      <w:r w:rsidRPr="003524E6">
        <w:rPr>
          <w:rFonts w:ascii="Calibri" w:hAnsi="Calibri" w:cs="Calibri"/>
          <w:sz w:val="24"/>
          <w:szCs w:val="24"/>
        </w:rPr>
        <w:t>Subjective norm refers to the perceived social pressure to perform or not perform a particular behaviour</w:t>
      </w:r>
      <w:r w:rsidR="004A7636">
        <w:rPr>
          <w:rFonts w:ascii="Calibri" w:hAnsi="Calibri" w:cs="Calibri"/>
          <w:sz w:val="24"/>
          <w:szCs w:val="24"/>
        </w:rPr>
        <w:t xml:space="preserve"> (Nasir et al., 2021)</w:t>
      </w:r>
      <w:r w:rsidRPr="003524E6">
        <w:rPr>
          <w:rFonts w:ascii="Calibri" w:hAnsi="Calibri" w:cs="Calibri"/>
          <w:sz w:val="24"/>
          <w:szCs w:val="24"/>
        </w:rPr>
        <w:t>. It reflects the influence of important referent groups such as family, friends, peers, and society</w:t>
      </w:r>
      <w:r w:rsidR="00976520">
        <w:rPr>
          <w:rFonts w:ascii="Calibri" w:hAnsi="Calibri" w:cs="Calibri"/>
          <w:sz w:val="24"/>
          <w:szCs w:val="24"/>
        </w:rPr>
        <w:t xml:space="preserve"> (</w:t>
      </w:r>
      <w:r w:rsidR="00832771">
        <w:rPr>
          <w:rFonts w:ascii="Calibri" w:hAnsi="Calibri" w:cs="Calibri"/>
          <w:sz w:val="24"/>
          <w:szCs w:val="24"/>
        </w:rPr>
        <w:t xml:space="preserve">Nasir et al., 2022; </w:t>
      </w:r>
      <w:r w:rsidR="00976520">
        <w:rPr>
          <w:rFonts w:ascii="Calibri" w:hAnsi="Calibri" w:cs="Calibri"/>
          <w:sz w:val="24"/>
          <w:szCs w:val="24"/>
        </w:rPr>
        <w:t>Nasir et al., 2020)</w:t>
      </w:r>
      <w:r w:rsidRPr="003524E6">
        <w:rPr>
          <w:rFonts w:ascii="Calibri" w:hAnsi="Calibri" w:cs="Calibri"/>
          <w:sz w:val="24"/>
          <w:szCs w:val="24"/>
        </w:rPr>
        <w:t>. In boycott contexts, subjective norms are particularly influential, as boycott movements are often driven by collective action and social influence. With the rise of social media, information about boycott campaigns spreads rapidly, increasing peer influence and social expectations</w:t>
      </w:r>
      <w:r w:rsidR="00402580" w:rsidRPr="003524E6">
        <w:rPr>
          <w:rFonts w:ascii="Calibri" w:hAnsi="Calibri" w:cs="Calibri"/>
          <w:sz w:val="24"/>
          <w:szCs w:val="24"/>
        </w:rPr>
        <w:t xml:space="preserve"> (Mady et al., 2025). </w:t>
      </w:r>
      <w:r w:rsidRPr="003524E6">
        <w:rPr>
          <w:rFonts w:ascii="Calibri" w:hAnsi="Calibri" w:cs="Calibri"/>
          <w:sz w:val="24"/>
          <w:szCs w:val="24"/>
        </w:rPr>
        <w:t>Consumers may feel encouraged or even obligated to participate in boycott actions when they perceive that significant others support such behaviour. Empirical studies suggest that social influence plays a crucial role in shaping ethical consumption and boycott participation, especially in collectivist societies like Malaysia.</w:t>
      </w:r>
    </w:p>
    <w:p w14:paraId="48192B3F" w14:textId="77777777" w:rsidR="00402580" w:rsidRPr="003524E6" w:rsidRDefault="00402580" w:rsidP="00D93144">
      <w:pPr>
        <w:spacing w:after="0"/>
        <w:jc w:val="both"/>
        <w:rPr>
          <w:rFonts w:ascii="Calibri" w:hAnsi="Calibri" w:cs="Calibri"/>
          <w:b/>
          <w:bCs/>
          <w:sz w:val="24"/>
          <w:szCs w:val="24"/>
        </w:rPr>
      </w:pPr>
    </w:p>
    <w:p w14:paraId="64DAE0E6" w14:textId="5BE05491" w:rsidR="00A95F65" w:rsidRPr="003524E6" w:rsidRDefault="00A95F65" w:rsidP="00D93144">
      <w:pPr>
        <w:spacing w:after="0"/>
        <w:jc w:val="both"/>
        <w:rPr>
          <w:rFonts w:ascii="Calibri" w:hAnsi="Calibri" w:cs="Calibri"/>
          <w:sz w:val="24"/>
          <w:szCs w:val="24"/>
        </w:rPr>
      </w:pPr>
      <w:r w:rsidRPr="003524E6">
        <w:rPr>
          <w:rFonts w:ascii="Calibri" w:hAnsi="Calibri" w:cs="Calibri"/>
          <w:sz w:val="24"/>
          <w:szCs w:val="24"/>
        </w:rPr>
        <w:t>H2: Subjective norm has a significant positive influence on consumers’ intention to engage in boycott behaviour.</w:t>
      </w:r>
    </w:p>
    <w:p w14:paraId="5608B042" w14:textId="77777777" w:rsidR="00E37DD8" w:rsidRPr="003524E6" w:rsidRDefault="00E37DD8" w:rsidP="00D93144">
      <w:pPr>
        <w:spacing w:after="0"/>
        <w:jc w:val="both"/>
        <w:rPr>
          <w:rFonts w:ascii="Calibri" w:hAnsi="Calibri" w:cs="Calibri"/>
          <w:sz w:val="24"/>
          <w:szCs w:val="24"/>
        </w:rPr>
      </w:pPr>
    </w:p>
    <w:p w14:paraId="1C35DA75" w14:textId="67C3F60C" w:rsidR="00E37DD8" w:rsidRPr="003524E6" w:rsidRDefault="00482CF9" w:rsidP="00D93144">
      <w:pPr>
        <w:spacing w:after="0"/>
        <w:jc w:val="both"/>
        <w:rPr>
          <w:rFonts w:ascii="Calibri" w:hAnsi="Calibri" w:cs="Calibri"/>
          <w:b/>
          <w:bCs/>
          <w:sz w:val="24"/>
          <w:szCs w:val="24"/>
        </w:rPr>
      </w:pPr>
      <w:r w:rsidRPr="003524E6">
        <w:rPr>
          <w:rFonts w:ascii="Calibri" w:hAnsi="Calibri" w:cs="Calibri"/>
          <w:b/>
          <w:bCs/>
          <w:sz w:val="24"/>
          <w:szCs w:val="24"/>
        </w:rPr>
        <w:lastRenderedPageBreak/>
        <w:t xml:space="preserve">Perceived </w:t>
      </w:r>
      <w:r w:rsidR="004937CB" w:rsidRPr="003524E6">
        <w:rPr>
          <w:rFonts w:ascii="Calibri" w:hAnsi="Calibri" w:cs="Calibri"/>
          <w:b/>
          <w:bCs/>
          <w:sz w:val="24"/>
          <w:szCs w:val="24"/>
        </w:rPr>
        <w:t xml:space="preserve">Behavioural Control </w:t>
      </w:r>
      <w:r w:rsidRPr="003524E6">
        <w:rPr>
          <w:rFonts w:ascii="Calibri" w:hAnsi="Calibri" w:cs="Calibri"/>
          <w:b/>
          <w:bCs/>
          <w:sz w:val="24"/>
          <w:szCs w:val="24"/>
        </w:rPr>
        <w:t>(PBC)</w:t>
      </w:r>
    </w:p>
    <w:p w14:paraId="55CCA3F0" w14:textId="6D85E522" w:rsidR="00482CF9" w:rsidRPr="003524E6" w:rsidRDefault="00482CF9" w:rsidP="00D93144">
      <w:pPr>
        <w:spacing w:after="0"/>
        <w:jc w:val="both"/>
        <w:rPr>
          <w:rFonts w:ascii="Calibri" w:hAnsi="Calibri" w:cs="Calibri"/>
          <w:sz w:val="24"/>
          <w:szCs w:val="24"/>
        </w:rPr>
      </w:pPr>
      <w:r w:rsidRPr="003524E6">
        <w:rPr>
          <w:rFonts w:ascii="Calibri" w:hAnsi="Calibri" w:cs="Calibri"/>
          <w:sz w:val="24"/>
          <w:szCs w:val="24"/>
        </w:rPr>
        <w:t>Perceived behavioural control (PBC) refers to an individual’s perception of their ability to perform a particular behaviour. It encompasses factors such as resources, opportunities, and perceived ease or difficulty of engaging in the behaviour. In the context of consumer boycotts, PBC is highly relevant because consumers may face practical constraints, such as limited availability of alternative products, higher prices of substitutes, or inconvenience. Even if consumers have a positive attitude and strong social support, they may not engage in boycott behaviour if they perceive it as difficult or impractical</w:t>
      </w:r>
      <w:r w:rsidR="00402580" w:rsidRPr="003524E6">
        <w:rPr>
          <w:rFonts w:ascii="Calibri" w:hAnsi="Calibri" w:cs="Calibri"/>
          <w:sz w:val="24"/>
          <w:szCs w:val="24"/>
        </w:rPr>
        <w:t xml:space="preserve"> (Lestari et al., 2025). </w:t>
      </w:r>
      <w:r w:rsidRPr="003524E6">
        <w:rPr>
          <w:rFonts w:ascii="Calibri" w:hAnsi="Calibri" w:cs="Calibri"/>
          <w:sz w:val="24"/>
          <w:szCs w:val="24"/>
        </w:rPr>
        <w:t>Prior research indicates that higher perceived behavioural control increases the likelihood of behavioural intention, as individuals are more confident in their ability to perform the action.</w:t>
      </w:r>
    </w:p>
    <w:p w14:paraId="6C07130A" w14:textId="77777777" w:rsidR="00DC05E2" w:rsidRPr="003524E6" w:rsidRDefault="00DC05E2" w:rsidP="00D93144">
      <w:pPr>
        <w:spacing w:after="0"/>
        <w:jc w:val="both"/>
        <w:rPr>
          <w:rFonts w:ascii="Calibri" w:hAnsi="Calibri" w:cs="Calibri"/>
          <w:b/>
          <w:bCs/>
          <w:sz w:val="24"/>
          <w:szCs w:val="24"/>
        </w:rPr>
      </w:pPr>
    </w:p>
    <w:p w14:paraId="26BA112B" w14:textId="26E9A260" w:rsidR="00482CF9" w:rsidRPr="003524E6" w:rsidRDefault="00482CF9" w:rsidP="00D93144">
      <w:pPr>
        <w:spacing w:after="0"/>
        <w:jc w:val="both"/>
        <w:rPr>
          <w:rFonts w:ascii="Calibri" w:hAnsi="Calibri" w:cs="Calibri"/>
          <w:sz w:val="24"/>
          <w:szCs w:val="24"/>
        </w:rPr>
      </w:pPr>
      <w:r w:rsidRPr="003524E6">
        <w:rPr>
          <w:rFonts w:ascii="Calibri" w:hAnsi="Calibri" w:cs="Calibri"/>
          <w:sz w:val="24"/>
          <w:szCs w:val="24"/>
        </w:rPr>
        <w:t>H3: Perceived behavioural control has a significant positive influence on consumers’ intention to engage in boycott behaviour.</w:t>
      </w:r>
    </w:p>
    <w:p w14:paraId="49786E8D" w14:textId="77777777" w:rsidR="008430B4" w:rsidRPr="003524E6" w:rsidRDefault="008430B4" w:rsidP="00D93144">
      <w:pPr>
        <w:spacing w:after="0"/>
        <w:jc w:val="both"/>
        <w:rPr>
          <w:rFonts w:ascii="Calibri" w:hAnsi="Calibri" w:cs="Calibri"/>
          <w:sz w:val="24"/>
          <w:szCs w:val="24"/>
        </w:rPr>
      </w:pPr>
    </w:p>
    <w:p w14:paraId="798718B9" w14:textId="77777777" w:rsidR="000C350B" w:rsidRPr="003524E6" w:rsidRDefault="000C350B" w:rsidP="00D93144">
      <w:pPr>
        <w:spacing w:after="0"/>
        <w:jc w:val="both"/>
        <w:rPr>
          <w:rFonts w:ascii="Calibri" w:hAnsi="Calibri" w:cs="Calibri"/>
          <w:sz w:val="24"/>
          <w:szCs w:val="24"/>
        </w:rPr>
      </w:pPr>
    </w:p>
    <w:p w14:paraId="4D3938FD" w14:textId="65147AD0" w:rsidR="00DC05E2" w:rsidRPr="003524E6" w:rsidRDefault="00FA3A98" w:rsidP="00D93144">
      <w:pPr>
        <w:spacing w:after="0"/>
        <w:jc w:val="center"/>
        <w:rPr>
          <w:rFonts w:ascii="Calibri" w:hAnsi="Calibri" w:cs="Calibri"/>
          <w:sz w:val="24"/>
          <w:szCs w:val="24"/>
        </w:rPr>
      </w:pPr>
      <w:r w:rsidRPr="003524E6">
        <w:rPr>
          <w:noProof/>
        </w:rPr>
        <w:drawing>
          <wp:inline distT="0" distB="0" distL="0" distR="0" wp14:anchorId="0DE368BB" wp14:editId="176A89FF">
            <wp:extent cx="5225415" cy="3634105"/>
            <wp:effectExtent l="19050" t="19050" r="13335" b="234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25415" cy="3634105"/>
                    </a:xfrm>
                    <a:prstGeom prst="rect">
                      <a:avLst/>
                    </a:prstGeom>
                    <a:noFill/>
                    <a:ln>
                      <a:solidFill>
                        <a:schemeClr val="tx1"/>
                      </a:solidFill>
                    </a:ln>
                  </pic:spPr>
                </pic:pic>
              </a:graphicData>
            </a:graphic>
          </wp:inline>
        </w:drawing>
      </w:r>
    </w:p>
    <w:p w14:paraId="0AFE5495" w14:textId="01FFA179" w:rsidR="00FA3A98" w:rsidRPr="003524E6" w:rsidRDefault="00F93F93" w:rsidP="00D93144">
      <w:pPr>
        <w:spacing w:after="0"/>
        <w:jc w:val="center"/>
        <w:rPr>
          <w:rFonts w:ascii="Calibri" w:hAnsi="Calibri" w:cs="Calibri"/>
          <w:sz w:val="24"/>
          <w:szCs w:val="24"/>
        </w:rPr>
      </w:pPr>
      <w:r w:rsidRPr="003524E6">
        <w:rPr>
          <w:rFonts w:ascii="Calibri" w:hAnsi="Calibri" w:cs="Calibri"/>
          <w:sz w:val="24"/>
          <w:szCs w:val="24"/>
        </w:rPr>
        <w:t>Figure</w:t>
      </w:r>
      <w:r w:rsidR="00FA3A98" w:rsidRPr="003524E6">
        <w:rPr>
          <w:rFonts w:ascii="Calibri" w:hAnsi="Calibri" w:cs="Calibri"/>
          <w:sz w:val="24"/>
          <w:szCs w:val="24"/>
        </w:rPr>
        <w:t xml:space="preserve"> 1: Conceptual Framework</w:t>
      </w:r>
    </w:p>
    <w:p w14:paraId="6DECF206" w14:textId="77777777" w:rsidR="00D93144" w:rsidRPr="003524E6" w:rsidRDefault="00D93144" w:rsidP="00D93144">
      <w:pPr>
        <w:spacing w:after="0"/>
        <w:jc w:val="both"/>
        <w:rPr>
          <w:rFonts w:ascii="Calibri" w:hAnsi="Calibri" w:cs="Calibri"/>
          <w:b/>
          <w:bCs/>
          <w:sz w:val="24"/>
          <w:szCs w:val="24"/>
        </w:rPr>
      </w:pPr>
    </w:p>
    <w:p w14:paraId="01743205" w14:textId="1F8FA589" w:rsidR="00482CF9" w:rsidRPr="003524E6" w:rsidRDefault="000C350B" w:rsidP="00D93144">
      <w:pPr>
        <w:spacing w:after="0"/>
        <w:jc w:val="both"/>
        <w:rPr>
          <w:rFonts w:ascii="Calibri" w:hAnsi="Calibri" w:cs="Calibri"/>
          <w:b/>
          <w:bCs/>
          <w:sz w:val="24"/>
          <w:szCs w:val="24"/>
        </w:rPr>
      </w:pPr>
      <w:r w:rsidRPr="003524E6">
        <w:rPr>
          <w:rFonts w:ascii="Calibri" w:hAnsi="Calibri" w:cs="Calibri"/>
          <w:b/>
          <w:bCs/>
          <w:sz w:val="24"/>
          <w:szCs w:val="24"/>
        </w:rPr>
        <w:t>3.0</w:t>
      </w:r>
      <w:r w:rsidRPr="003524E6">
        <w:rPr>
          <w:rFonts w:ascii="Calibri" w:hAnsi="Calibri" w:cs="Calibri"/>
          <w:b/>
          <w:bCs/>
          <w:sz w:val="24"/>
          <w:szCs w:val="24"/>
        </w:rPr>
        <w:tab/>
      </w:r>
      <w:r w:rsidR="00482CF9" w:rsidRPr="003524E6">
        <w:rPr>
          <w:rFonts w:ascii="Calibri" w:hAnsi="Calibri" w:cs="Calibri"/>
          <w:b/>
          <w:bCs/>
          <w:sz w:val="24"/>
          <w:szCs w:val="24"/>
        </w:rPr>
        <w:t>Methodology</w:t>
      </w:r>
    </w:p>
    <w:p w14:paraId="4BB24954" w14:textId="77777777" w:rsidR="00D93144" w:rsidRPr="003524E6" w:rsidRDefault="00482CF9" w:rsidP="00D93144">
      <w:pPr>
        <w:spacing w:after="0"/>
        <w:jc w:val="both"/>
        <w:rPr>
          <w:rFonts w:ascii="Calibri" w:hAnsi="Calibri" w:cs="Calibri"/>
          <w:sz w:val="24"/>
          <w:szCs w:val="24"/>
        </w:rPr>
      </w:pPr>
      <w:r w:rsidRPr="003524E6">
        <w:rPr>
          <w:rFonts w:ascii="Calibri" w:hAnsi="Calibri" w:cs="Calibri"/>
          <w:sz w:val="24"/>
          <w:szCs w:val="24"/>
        </w:rPr>
        <w:t xml:space="preserve">This study employs a quantitative research design to investigate the factors influencing Malaysian consumers’ intention to engage in boycott </w:t>
      </w:r>
      <w:r w:rsidR="006819AF" w:rsidRPr="003524E6">
        <w:rPr>
          <w:rFonts w:ascii="Calibri" w:hAnsi="Calibri" w:cs="Calibri"/>
          <w:sz w:val="24"/>
          <w:szCs w:val="24"/>
        </w:rPr>
        <w:t>behaviour</w:t>
      </w:r>
      <w:r w:rsidRPr="003524E6">
        <w:rPr>
          <w:rFonts w:ascii="Calibri" w:hAnsi="Calibri" w:cs="Calibri"/>
          <w:sz w:val="24"/>
          <w:szCs w:val="24"/>
        </w:rPr>
        <w:t xml:space="preserve">. Quantitative research allows for the measurement of relationships between variables and the testing of hypotheses in a structured and systematic manner. Specifically, the study adopts a cross-sectional survey approach, collecting data at a single point in time from Malaysian consumers to examine their attitudes, subjective norms, perceived </w:t>
      </w:r>
      <w:r w:rsidR="006819AF" w:rsidRPr="003524E6">
        <w:rPr>
          <w:rFonts w:ascii="Calibri" w:hAnsi="Calibri" w:cs="Calibri"/>
          <w:sz w:val="24"/>
          <w:szCs w:val="24"/>
        </w:rPr>
        <w:t>behavioural</w:t>
      </w:r>
      <w:r w:rsidRPr="003524E6">
        <w:rPr>
          <w:rFonts w:ascii="Calibri" w:hAnsi="Calibri" w:cs="Calibri"/>
          <w:sz w:val="24"/>
          <w:szCs w:val="24"/>
        </w:rPr>
        <w:t xml:space="preserve"> control</w:t>
      </w:r>
      <w:r w:rsidR="00FA3A98" w:rsidRPr="003524E6">
        <w:rPr>
          <w:rFonts w:ascii="Calibri" w:hAnsi="Calibri" w:cs="Calibri"/>
          <w:sz w:val="24"/>
          <w:szCs w:val="24"/>
        </w:rPr>
        <w:t xml:space="preserve"> </w:t>
      </w:r>
      <w:r w:rsidRPr="003524E6">
        <w:rPr>
          <w:rFonts w:ascii="Calibri" w:hAnsi="Calibri" w:cs="Calibri"/>
          <w:sz w:val="24"/>
          <w:szCs w:val="24"/>
        </w:rPr>
        <w:t>in relation to boycott intention.</w:t>
      </w:r>
      <w:r w:rsidR="00053F4C" w:rsidRPr="003524E6">
        <w:rPr>
          <w:rFonts w:ascii="Calibri" w:hAnsi="Calibri" w:cs="Calibri"/>
          <w:sz w:val="24"/>
          <w:szCs w:val="24"/>
        </w:rPr>
        <w:t xml:space="preserve"> </w:t>
      </w:r>
      <w:r w:rsidRPr="003524E6">
        <w:rPr>
          <w:rFonts w:ascii="Calibri" w:hAnsi="Calibri" w:cs="Calibri"/>
          <w:sz w:val="24"/>
          <w:szCs w:val="24"/>
        </w:rPr>
        <w:t xml:space="preserve">The target population for this study comprises Malaysian consumers aged 18 years and above, </w:t>
      </w:r>
      <w:r w:rsidRPr="003524E6">
        <w:rPr>
          <w:rFonts w:ascii="Calibri" w:hAnsi="Calibri" w:cs="Calibri"/>
          <w:sz w:val="24"/>
          <w:szCs w:val="24"/>
        </w:rPr>
        <w:lastRenderedPageBreak/>
        <w:t>representing a diverse demographic in terms of age, gender, income, and educational background.</w:t>
      </w:r>
      <w:r w:rsidR="00053F4C" w:rsidRPr="003524E6">
        <w:rPr>
          <w:rFonts w:ascii="Calibri" w:hAnsi="Calibri" w:cs="Calibri"/>
          <w:sz w:val="24"/>
          <w:szCs w:val="24"/>
        </w:rPr>
        <w:t xml:space="preserve"> </w:t>
      </w:r>
      <w:r w:rsidRPr="003524E6">
        <w:rPr>
          <w:rFonts w:ascii="Calibri" w:hAnsi="Calibri" w:cs="Calibri"/>
          <w:sz w:val="24"/>
          <w:szCs w:val="24"/>
        </w:rPr>
        <w:t xml:space="preserve">A purposive sampling method is employed to ensure that respondents have prior awareness or experience of consumer boycotts or ethical consumption </w:t>
      </w:r>
      <w:r w:rsidR="006819AF" w:rsidRPr="003524E6">
        <w:rPr>
          <w:rFonts w:ascii="Calibri" w:hAnsi="Calibri" w:cs="Calibri"/>
          <w:sz w:val="24"/>
          <w:szCs w:val="24"/>
        </w:rPr>
        <w:t>behaviour</w:t>
      </w:r>
      <w:r w:rsidRPr="003524E6">
        <w:rPr>
          <w:rFonts w:ascii="Calibri" w:hAnsi="Calibri" w:cs="Calibri"/>
          <w:sz w:val="24"/>
          <w:szCs w:val="24"/>
        </w:rPr>
        <w:t>. This approach ensures the relevance of collected data to the research objectives.</w:t>
      </w:r>
      <w:r w:rsidR="00053F4C" w:rsidRPr="003524E6">
        <w:rPr>
          <w:rFonts w:ascii="Calibri" w:hAnsi="Calibri" w:cs="Calibri"/>
          <w:sz w:val="24"/>
          <w:szCs w:val="24"/>
        </w:rPr>
        <w:t xml:space="preserve"> </w:t>
      </w:r>
      <w:r w:rsidRPr="003524E6">
        <w:rPr>
          <w:rFonts w:ascii="Calibri" w:hAnsi="Calibri" w:cs="Calibri"/>
          <w:sz w:val="24"/>
          <w:szCs w:val="24"/>
        </w:rPr>
        <w:t>Data is collected using a structured self-administered questionnaire distributed both online and offline to maximize accessibility and respondent diversity.</w:t>
      </w:r>
      <w:r w:rsidR="00FA3A98" w:rsidRPr="003524E6">
        <w:rPr>
          <w:rFonts w:ascii="Calibri" w:hAnsi="Calibri" w:cs="Calibri"/>
          <w:sz w:val="24"/>
          <w:szCs w:val="24"/>
        </w:rPr>
        <w:t xml:space="preserve"> </w:t>
      </w:r>
    </w:p>
    <w:p w14:paraId="42C6B3FA" w14:textId="77777777" w:rsidR="00D93144" w:rsidRPr="003524E6" w:rsidRDefault="00D93144" w:rsidP="00D93144">
      <w:pPr>
        <w:spacing w:after="0"/>
        <w:jc w:val="both"/>
        <w:rPr>
          <w:rFonts w:ascii="Calibri" w:hAnsi="Calibri" w:cs="Calibri"/>
          <w:sz w:val="24"/>
          <w:szCs w:val="24"/>
        </w:rPr>
      </w:pPr>
    </w:p>
    <w:p w14:paraId="268ED80D" w14:textId="56C5A2F1" w:rsidR="00047B6A" w:rsidRPr="003524E6" w:rsidRDefault="007A4428" w:rsidP="00D93144">
      <w:pPr>
        <w:spacing w:after="0"/>
        <w:jc w:val="both"/>
        <w:rPr>
          <w:rFonts w:ascii="Calibri" w:hAnsi="Calibri" w:cs="Calibri"/>
          <w:sz w:val="24"/>
          <w:szCs w:val="24"/>
        </w:rPr>
      </w:pPr>
      <w:r w:rsidRPr="003524E6">
        <w:rPr>
          <w:rFonts w:ascii="Calibri" w:hAnsi="Calibri" w:cs="Calibri"/>
          <w:sz w:val="24"/>
          <w:szCs w:val="24"/>
        </w:rPr>
        <w:t xml:space="preserve">The questionnaire items are adapted from validated scales in previous literature to ensure content validity. A pilot study with </w:t>
      </w:r>
      <w:r w:rsidR="009052E4" w:rsidRPr="003524E6">
        <w:rPr>
          <w:rFonts w:ascii="Calibri" w:hAnsi="Calibri" w:cs="Calibri"/>
          <w:sz w:val="24"/>
          <w:szCs w:val="24"/>
        </w:rPr>
        <w:t>2</w:t>
      </w:r>
      <w:r w:rsidRPr="003524E6">
        <w:rPr>
          <w:rFonts w:ascii="Calibri" w:hAnsi="Calibri" w:cs="Calibri"/>
          <w:sz w:val="24"/>
          <w:szCs w:val="24"/>
        </w:rPr>
        <w:t>0</w:t>
      </w:r>
      <w:r w:rsidR="00A860B0" w:rsidRPr="003524E6">
        <w:rPr>
          <w:rFonts w:ascii="Calibri" w:hAnsi="Calibri" w:cs="Calibri"/>
          <w:sz w:val="24"/>
          <w:szCs w:val="24"/>
        </w:rPr>
        <w:t>6</w:t>
      </w:r>
      <w:r w:rsidRPr="003524E6">
        <w:rPr>
          <w:rFonts w:ascii="Calibri" w:hAnsi="Calibri" w:cs="Calibri"/>
          <w:sz w:val="24"/>
          <w:szCs w:val="24"/>
        </w:rPr>
        <w:t xml:space="preserve"> respondents is conducted to assess reliability and clarity of the items. Cronbach’s alpha is calculated for each construct to test internal consistency, with a threshold of 0.70 considered acceptable for reliability (</w:t>
      </w:r>
      <w:r w:rsidR="006464D6" w:rsidRPr="003524E6">
        <w:rPr>
          <w:rFonts w:ascii="Calibri" w:hAnsi="Calibri" w:cs="Calibri"/>
          <w:sz w:val="24"/>
          <w:szCs w:val="24"/>
        </w:rPr>
        <w:t>Taber, 2018</w:t>
      </w:r>
      <w:r w:rsidRPr="003524E6">
        <w:rPr>
          <w:rFonts w:ascii="Calibri" w:hAnsi="Calibri" w:cs="Calibri"/>
          <w:sz w:val="24"/>
          <w:szCs w:val="24"/>
        </w:rPr>
        <w:t>).</w:t>
      </w:r>
      <w:r w:rsidR="006464D6" w:rsidRPr="003524E6">
        <w:rPr>
          <w:rFonts w:ascii="Calibri" w:hAnsi="Calibri" w:cs="Calibri"/>
          <w:sz w:val="24"/>
          <w:szCs w:val="24"/>
        </w:rPr>
        <w:t xml:space="preserve"> </w:t>
      </w:r>
      <w:r w:rsidRPr="003524E6">
        <w:rPr>
          <w:rFonts w:ascii="Calibri" w:hAnsi="Calibri" w:cs="Calibri"/>
          <w:sz w:val="24"/>
          <w:szCs w:val="24"/>
        </w:rPr>
        <w:t>In addition, multiple regression analysis was employed in this study to examine the relationships between the independent variables (Hasim et al., 2019). Regression analysis is particularly suitable because it allows researchers to determine the strength, direction, and significance of the effects of multiple predictors on a single outcome simultaneously</w:t>
      </w:r>
      <w:r w:rsidR="006464D6" w:rsidRPr="003524E6">
        <w:rPr>
          <w:rFonts w:ascii="Calibri" w:hAnsi="Calibri" w:cs="Calibri"/>
          <w:sz w:val="24"/>
          <w:szCs w:val="24"/>
        </w:rPr>
        <w:t xml:space="preserve"> (Hasim et al, 2026). A</w:t>
      </w:r>
      <w:r w:rsidRPr="003524E6">
        <w:rPr>
          <w:rFonts w:ascii="Calibri" w:hAnsi="Calibri" w:cs="Calibri"/>
          <w:sz w:val="24"/>
          <w:szCs w:val="24"/>
        </w:rPr>
        <w:t xml:space="preserve">ll items were measured using a seven-point Likert scale ranging from 1 (strongly disagree) to 7 (strongly agree). This study adheres to ethical research standards. Participation is voluntary, and respondents are provided with informed consent explaining the study’s purpose and ensuring confidentiality. No personally identifiable information is collected, and all data is stored securely to protect respondents’ privacy. Finally, </w:t>
      </w:r>
      <w:r w:rsidRPr="003524E6">
        <w:rPr>
          <w:rStyle w:val="Strong"/>
          <w:rFonts w:ascii="Calibri" w:hAnsi="Calibri" w:cs="Calibri"/>
          <w:b w:val="0"/>
          <w:bCs w:val="0"/>
          <w:sz w:val="24"/>
          <w:szCs w:val="24"/>
        </w:rPr>
        <w:t xml:space="preserve">the questionnaire items were adapted from </w:t>
      </w:r>
      <w:r w:rsidR="00047B6A" w:rsidRPr="003524E6">
        <w:rPr>
          <w:rStyle w:val="Strong"/>
          <w:rFonts w:ascii="Calibri" w:hAnsi="Calibri" w:cs="Calibri"/>
          <w:b w:val="0"/>
          <w:bCs w:val="0"/>
          <w:sz w:val="24"/>
          <w:szCs w:val="24"/>
        </w:rPr>
        <w:t>Hamzah &amp; Mustafa</w:t>
      </w:r>
      <w:r w:rsidRPr="003524E6">
        <w:rPr>
          <w:rStyle w:val="Strong"/>
          <w:rFonts w:ascii="Calibri" w:hAnsi="Calibri" w:cs="Calibri"/>
          <w:b w:val="0"/>
          <w:bCs w:val="0"/>
          <w:sz w:val="24"/>
          <w:szCs w:val="24"/>
        </w:rPr>
        <w:t xml:space="preserve"> (20</w:t>
      </w:r>
      <w:r w:rsidR="00047B6A" w:rsidRPr="003524E6">
        <w:rPr>
          <w:rStyle w:val="Strong"/>
          <w:rFonts w:ascii="Calibri" w:hAnsi="Calibri" w:cs="Calibri"/>
          <w:b w:val="0"/>
          <w:bCs w:val="0"/>
          <w:sz w:val="24"/>
          <w:szCs w:val="24"/>
        </w:rPr>
        <w:t>19</w:t>
      </w:r>
      <w:r w:rsidRPr="003524E6">
        <w:rPr>
          <w:rStyle w:val="Strong"/>
          <w:rFonts w:ascii="Calibri" w:hAnsi="Calibri" w:cs="Calibri"/>
          <w:b w:val="0"/>
          <w:bCs w:val="0"/>
          <w:sz w:val="24"/>
          <w:szCs w:val="24"/>
        </w:rPr>
        <w:t>) and modified to fit the context of boycott intention, while preserving consistency with the original TPB constructs,</w:t>
      </w:r>
      <w:r w:rsidRPr="003524E6">
        <w:rPr>
          <w:rStyle w:val="Strong"/>
          <w:rFonts w:ascii="Calibri" w:hAnsi="Calibri" w:cs="Calibri"/>
          <w:sz w:val="24"/>
          <w:szCs w:val="24"/>
        </w:rPr>
        <w:t xml:space="preserve"> </w:t>
      </w:r>
      <w:r w:rsidRPr="003524E6">
        <w:rPr>
          <w:rFonts w:ascii="Calibri" w:hAnsi="Calibri" w:cs="Calibri"/>
          <w:sz w:val="24"/>
          <w:szCs w:val="24"/>
        </w:rPr>
        <w:t xml:space="preserve">as demonstrated in Table 1. </w:t>
      </w:r>
    </w:p>
    <w:p w14:paraId="4D972931" w14:textId="77777777" w:rsidR="00047B6A" w:rsidRPr="003524E6" w:rsidRDefault="00047B6A" w:rsidP="00D93144">
      <w:pPr>
        <w:spacing w:after="0"/>
        <w:jc w:val="both"/>
        <w:rPr>
          <w:rFonts w:ascii="Calibri" w:hAnsi="Calibri" w:cs="Calibri"/>
          <w:sz w:val="24"/>
          <w:szCs w:val="24"/>
        </w:rPr>
      </w:pPr>
    </w:p>
    <w:p w14:paraId="0A24C47A" w14:textId="77777777" w:rsidR="007A4428" w:rsidRPr="003524E6" w:rsidRDefault="007A4428" w:rsidP="00D93144">
      <w:pPr>
        <w:spacing w:after="0"/>
        <w:jc w:val="both"/>
        <w:rPr>
          <w:rFonts w:ascii="Calibri" w:hAnsi="Calibri" w:cs="Calibri"/>
          <w:sz w:val="24"/>
          <w:szCs w:val="24"/>
        </w:rPr>
      </w:pPr>
      <w:r w:rsidRPr="003524E6">
        <w:rPr>
          <w:rFonts w:ascii="Calibri" w:hAnsi="Calibri" w:cs="Calibri"/>
          <w:sz w:val="24"/>
          <w:szCs w:val="24"/>
        </w:rPr>
        <w:t>Table 1: Questionnaire Items</w:t>
      </w:r>
    </w:p>
    <w:tbl>
      <w:tblPr>
        <w:tblStyle w:val="TableGrid"/>
        <w:tblW w:w="0" w:type="auto"/>
        <w:tblLook w:val="04A0" w:firstRow="1" w:lastRow="0" w:firstColumn="1" w:lastColumn="0" w:noHBand="0" w:noVBand="1"/>
      </w:tblPr>
      <w:tblGrid>
        <w:gridCol w:w="842"/>
        <w:gridCol w:w="8174"/>
      </w:tblGrid>
      <w:tr w:rsidR="006819AF" w:rsidRPr="003524E6" w14:paraId="7C08984F" w14:textId="77777777" w:rsidTr="006819AF">
        <w:trPr>
          <w:trHeight w:val="294"/>
        </w:trPr>
        <w:tc>
          <w:tcPr>
            <w:tcW w:w="842" w:type="dxa"/>
          </w:tcPr>
          <w:p w14:paraId="2A4BB52D" w14:textId="77777777" w:rsidR="006819AF" w:rsidRPr="003524E6" w:rsidRDefault="006819AF" w:rsidP="00D93144">
            <w:pPr>
              <w:jc w:val="both"/>
              <w:rPr>
                <w:rFonts w:ascii="Calibri" w:hAnsi="Calibri" w:cs="Calibri"/>
                <w:sz w:val="24"/>
                <w:szCs w:val="24"/>
              </w:rPr>
            </w:pPr>
            <w:r w:rsidRPr="003524E6">
              <w:rPr>
                <w:rFonts w:ascii="Calibri" w:hAnsi="Calibri" w:cs="Calibri"/>
                <w:sz w:val="24"/>
                <w:szCs w:val="24"/>
              </w:rPr>
              <w:t>Items</w:t>
            </w:r>
          </w:p>
        </w:tc>
        <w:tc>
          <w:tcPr>
            <w:tcW w:w="8174" w:type="dxa"/>
          </w:tcPr>
          <w:p w14:paraId="35724688" w14:textId="77777777" w:rsidR="006819AF" w:rsidRPr="003524E6" w:rsidRDefault="006819AF" w:rsidP="00D93144">
            <w:pPr>
              <w:jc w:val="both"/>
              <w:rPr>
                <w:rFonts w:ascii="Calibri" w:hAnsi="Calibri" w:cs="Calibri"/>
                <w:sz w:val="24"/>
                <w:szCs w:val="24"/>
              </w:rPr>
            </w:pPr>
            <w:r w:rsidRPr="003524E6">
              <w:rPr>
                <w:rFonts w:ascii="Calibri" w:hAnsi="Calibri" w:cs="Calibri"/>
                <w:sz w:val="24"/>
                <w:szCs w:val="24"/>
              </w:rPr>
              <w:t>Question</w:t>
            </w:r>
          </w:p>
        </w:tc>
      </w:tr>
      <w:tr w:rsidR="006819AF" w:rsidRPr="003524E6" w14:paraId="446C770D" w14:textId="77777777" w:rsidTr="006819AF">
        <w:trPr>
          <w:trHeight w:val="294"/>
        </w:trPr>
        <w:tc>
          <w:tcPr>
            <w:tcW w:w="9016" w:type="dxa"/>
            <w:gridSpan w:val="2"/>
          </w:tcPr>
          <w:p w14:paraId="70C804C9" w14:textId="340FA986" w:rsidR="006819AF" w:rsidRPr="003524E6" w:rsidRDefault="006819AF" w:rsidP="00D93144">
            <w:pPr>
              <w:jc w:val="both"/>
              <w:rPr>
                <w:rFonts w:ascii="Calibri" w:hAnsi="Calibri" w:cs="Calibri"/>
                <w:sz w:val="24"/>
                <w:szCs w:val="24"/>
              </w:rPr>
            </w:pPr>
            <w:r w:rsidRPr="003524E6">
              <w:rPr>
                <w:rFonts w:ascii="Calibri" w:hAnsi="Calibri" w:cs="Calibri"/>
                <w:sz w:val="24"/>
                <w:szCs w:val="24"/>
              </w:rPr>
              <w:t>Attitude (AT)</w:t>
            </w:r>
          </w:p>
        </w:tc>
      </w:tr>
      <w:tr w:rsidR="006819AF" w:rsidRPr="003524E6" w14:paraId="197C415E" w14:textId="77777777" w:rsidTr="006819AF">
        <w:trPr>
          <w:trHeight w:val="294"/>
        </w:trPr>
        <w:tc>
          <w:tcPr>
            <w:tcW w:w="842" w:type="dxa"/>
          </w:tcPr>
          <w:p w14:paraId="101FF415" w14:textId="73370F9C" w:rsidR="006819AF" w:rsidRPr="003524E6" w:rsidRDefault="006819AF" w:rsidP="00D93144">
            <w:pPr>
              <w:jc w:val="center"/>
              <w:rPr>
                <w:rFonts w:ascii="Calibri" w:hAnsi="Calibri" w:cs="Calibri"/>
                <w:sz w:val="24"/>
                <w:szCs w:val="24"/>
              </w:rPr>
            </w:pPr>
            <w:r w:rsidRPr="003524E6">
              <w:rPr>
                <w:rFonts w:ascii="Calibri" w:hAnsi="Calibri" w:cs="Calibri"/>
                <w:sz w:val="24"/>
                <w:szCs w:val="24"/>
              </w:rPr>
              <w:t>AT1</w:t>
            </w:r>
          </w:p>
        </w:tc>
        <w:tc>
          <w:tcPr>
            <w:tcW w:w="8174" w:type="dxa"/>
          </w:tcPr>
          <w:p w14:paraId="34E3929C" w14:textId="12633FA1" w:rsidR="006819AF" w:rsidRPr="003524E6" w:rsidRDefault="00047B6A" w:rsidP="00D93144">
            <w:pPr>
              <w:jc w:val="both"/>
              <w:rPr>
                <w:rFonts w:ascii="Calibri" w:hAnsi="Calibri" w:cs="Calibri"/>
                <w:sz w:val="24"/>
                <w:szCs w:val="24"/>
              </w:rPr>
            </w:pPr>
            <w:r w:rsidRPr="003524E6">
              <w:rPr>
                <w:rFonts w:ascii="Calibri" w:hAnsi="Calibri" w:cs="Calibri"/>
                <w:sz w:val="24"/>
                <w:szCs w:val="24"/>
                <w:lang w:val="en-MY"/>
              </w:rPr>
              <w:t>I believe that participating in a boycott against unethical companies is a good idea</w:t>
            </w:r>
          </w:p>
        </w:tc>
      </w:tr>
      <w:tr w:rsidR="006819AF" w:rsidRPr="003524E6" w14:paraId="7C94C1A4" w14:textId="77777777" w:rsidTr="006819AF">
        <w:trPr>
          <w:trHeight w:val="294"/>
        </w:trPr>
        <w:tc>
          <w:tcPr>
            <w:tcW w:w="842" w:type="dxa"/>
          </w:tcPr>
          <w:p w14:paraId="4EE46CB1" w14:textId="11AE9FD9" w:rsidR="006819AF" w:rsidRPr="003524E6" w:rsidRDefault="006819AF" w:rsidP="00D93144">
            <w:pPr>
              <w:jc w:val="center"/>
              <w:rPr>
                <w:rFonts w:ascii="Calibri" w:hAnsi="Calibri" w:cs="Calibri"/>
                <w:sz w:val="24"/>
                <w:szCs w:val="24"/>
              </w:rPr>
            </w:pPr>
            <w:r w:rsidRPr="003524E6">
              <w:rPr>
                <w:rFonts w:ascii="Calibri" w:hAnsi="Calibri" w:cs="Calibri"/>
                <w:sz w:val="24"/>
                <w:szCs w:val="24"/>
              </w:rPr>
              <w:t>AT2</w:t>
            </w:r>
          </w:p>
        </w:tc>
        <w:tc>
          <w:tcPr>
            <w:tcW w:w="8174" w:type="dxa"/>
          </w:tcPr>
          <w:p w14:paraId="2C2AAF53" w14:textId="35B3D202" w:rsidR="006819AF" w:rsidRPr="003524E6" w:rsidRDefault="00047B6A" w:rsidP="00D93144">
            <w:pPr>
              <w:jc w:val="both"/>
              <w:rPr>
                <w:rFonts w:ascii="Calibri" w:hAnsi="Calibri" w:cs="Calibri"/>
                <w:sz w:val="24"/>
                <w:szCs w:val="24"/>
              </w:rPr>
            </w:pPr>
            <w:r w:rsidRPr="003524E6">
              <w:rPr>
                <w:rFonts w:ascii="Calibri" w:hAnsi="Calibri" w:cs="Calibri"/>
                <w:sz w:val="24"/>
                <w:szCs w:val="24"/>
                <w:lang w:val="en-MY"/>
              </w:rPr>
              <w:t>I believe that boycotting products from irresponsible companies is beneficial for society</w:t>
            </w:r>
          </w:p>
        </w:tc>
      </w:tr>
      <w:tr w:rsidR="006819AF" w:rsidRPr="003524E6" w14:paraId="6B4A827F" w14:textId="77777777" w:rsidTr="006819AF">
        <w:trPr>
          <w:trHeight w:val="276"/>
        </w:trPr>
        <w:tc>
          <w:tcPr>
            <w:tcW w:w="842" w:type="dxa"/>
          </w:tcPr>
          <w:p w14:paraId="71D59D26" w14:textId="3CE3FEB1" w:rsidR="006819AF" w:rsidRPr="003524E6" w:rsidRDefault="006819AF" w:rsidP="00D93144">
            <w:pPr>
              <w:jc w:val="center"/>
              <w:rPr>
                <w:rFonts w:ascii="Calibri" w:hAnsi="Calibri" w:cs="Calibri"/>
                <w:sz w:val="24"/>
                <w:szCs w:val="24"/>
              </w:rPr>
            </w:pPr>
            <w:r w:rsidRPr="003524E6">
              <w:rPr>
                <w:rFonts w:ascii="Calibri" w:hAnsi="Calibri" w:cs="Calibri"/>
                <w:sz w:val="24"/>
                <w:szCs w:val="24"/>
              </w:rPr>
              <w:t>AT3</w:t>
            </w:r>
          </w:p>
        </w:tc>
        <w:tc>
          <w:tcPr>
            <w:tcW w:w="8174" w:type="dxa"/>
          </w:tcPr>
          <w:p w14:paraId="2AFA9C4A" w14:textId="502DEB0A" w:rsidR="006819AF" w:rsidRPr="003524E6" w:rsidRDefault="00047B6A" w:rsidP="00D93144">
            <w:pPr>
              <w:jc w:val="both"/>
              <w:rPr>
                <w:rFonts w:ascii="Calibri" w:hAnsi="Calibri" w:cs="Calibri"/>
                <w:sz w:val="24"/>
                <w:szCs w:val="24"/>
              </w:rPr>
            </w:pPr>
            <w:r w:rsidRPr="003524E6">
              <w:rPr>
                <w:rFonts w:ascii="Calibri" w:hAnsi="Calibri" w:cs="Calibri"/>
                <w:sz w:val="24"/>
                <w:szCs w:val="24"/>
                <w:lang w:val="en-MY"/>
              </w:rPr>
              <w:t>I believe that consumer boycotts are effective in influencing company behaviour</w:t>
            </w:r>
          </w:p>
        </w:tc>
      </w:tr>
      <w:tr w:rsidR="006819AF" w:rsidRPr="003524E6" w14:paraId="0F382C40" w14:textId="77777777" w:rsidTr="006819AF">
        <w:trPr>
          <w:trHeight w:val="294"/>
        </w:trPr>
        <w:tc>
          <w:tcPr>
            <w:tcW w:w="842" w:type="dxa"/>
          </w:tcPr>
          <w:p w14:paraId="247D2425" w14:textId="1E68FDF9" w:rsidR="006819AF" w:rsidRPr="003524E6" w:rsidRDefault="006819AF" w:rsidP="00D93144">
            <w:pPr>
              <w:jc w:val="center"/>
              <w:rPr>
                <w:rFonts w:ascii="Calibri" w:hAnsi="Calibri" w:cs="Calibri"/>
                <w:sz w:val="24"/>
                <w:szCs w:val="24"/>
              </w:rPr>
            </w:pPr>
            <w:r w:rsidRPr="003524E6">
              <w:rPr>
                <w:rFonts w:ascii="Calibri" w:hAnsi="Calibri" w:cs="Calibri"/>
                <w:sz w:val="24"/>
                <w:szCs w:val="24"/>
              </w:rPr>
              <w:t>AT4</w:t>
            </w:r>
          </w:p>
        </w:tc>
        <w:tc>
          <w:tcPr>
            <w:tcW w:w="8174" w:type="dxa"/>
          </w:tcPr>
          <w:p w14:paraId="6FE06965" w14:textId="7BFDBF53" w:rsidR="006819AF" w:rsidRPr="003524E6" w:rsidRDefault="00047B6A" w:rsidP="00D93144">
            <w:pPr>
              <w:jc w:val="both"/>
              <w:rPr>
                <w:rFonts w:ascii="Calibri" w:hAnsi="Calibri" w:cs="Calibri"/>
                <w:sz w:val="24"/>
                <w:szCs w:val="24"/>
              </w:rPr>
            </w:pPr>
            <w:r w:rsidRPr="003524E6">
              <w:rPr>
                <w:rFonts w:ascii="Calibri" w:hAnsi="Calibri" w:cs="Calibri"/>
                <w:sz w:val="24"/>
                <w:szCs w:val="24"/>
                <w:lang w:val="en-MY"/>
              </w:rPr>
              <w:t>I believe that participating in a boycott is a wise decision</w:t>
            </w:r>
          </w:p>
        </w:tc>
      </w:tr>
      <w:tr w:rsidR="006819AF" w:rsidRPr="003524E6" w14:paraId="33BDC42F" w14:textId="77777777" w:rsidTr="006819AF">
        <w:trPr>
          <w:trHeight w:val="294"/>
        </w:trPr>
        <w:tc>
          <w:tcPr>
            <w:tcW w:w="842" w:type="dxa"/>
          </w:tcPr>
          <w:p w14:paraId="79063DBB" w14:textId="3D0FB394" w:rsidR="006819AF" w:rsidRPr="003524E6" w:rsidRDefault="006819AF" w:rsidP="00D93144">
            <w:pPr>
              <w:jc w:val="center"/>
              <w:rPr>
                <w:rFonts w:ascii="Calibri" w:hAnsi="Calibri" w:cs="Calibri"/>
                <w:sz w:val="24"/>
                <w:szCs w:val="24"/>
              </w:rPr>
            </w:pPr>
            <w:r w:rsidRPr="003524E6">
              <w:rPr>
                <w:rFonts w:ascii="Calibri" w:hAnsi="Calibri" w:cs="Calibri"/>
                <w:sz w:val="24"/>
                <w:szCs w:val="24"/>
              </w:rPr>
              <w:t>AT5</w:t>
            </w:r>
          </w:p>
        </w:tc>
        <w:tc>
          <w:tcPr>
            <w:tcW w:w="8174" w:type="dxa"/>
          </w:tcPr>
          <w:p w14:paraId="7F7B2EC2" w14:textId="2D1970D9" w:rsidR="006819AF" w:rsidRPr="003524E6" w:rsidRDefault="00047B6A" w:rsidP="00D93144">
            <w:pPr>
              <w:rPr>
                <w:rFonts w:ascii="Calibri" w:hAnsi="Calibri" w:cs="Calibri"/>
                <w:sz w:val="24"/>
                <w:szCs w:val="24"/>
              </w:rPr>
            </w:pPr>
            <w:r w:rsidRPr="003524E6">
              <w:rPr>
                <w:rFonts w:ascii="Calibri" w:hAnsi="Calibri" w:cs="Calibri"/>
                <w:sz w:val="24"/>
                <w:szCs w:val="24"/>
                <w:lang w:val="en-MY"/>
              </w:rPr>
              <w:t>I feel that boycotting products is a positive action</w:t>
            </w:r>
          </w:p>
        </w:tc>
      </w:tr>
      <w:tr w:rsidR="006819AF" w:rsidRPr="003524E6" w14:paraId="5A53A1EC" w14:textId="77777777" w:rsidTr="006819AF">
        <w:trPr>
          <w:trHeight w:val="294"/>
        </w:trPr>
        <w:tc>
          <w:tcPr>
            <w:tcW w:w="9016" w:type="dxa"/>
            <w:gridSpan w:val="2"/>
          </w:tcPr>
          <w:p w14:paraId="121C14B8" w14:textId="01422EEA" w:rsidR="006819AF" w:rsidRPr="003524E6" w:rsidRDefault="006819AF" w:rsidP="00D93144">
            <w:pPr>
              <w:jc w:val="both"/>
              <w:rPr>
                <w:rFonts w:ascii="Calibri" w:hAnsi="Calibri" w:cs="Calibri"/>
                <w:sz w:val="24"/>
                <w:szCs w:val="24"/>
              </w:rPr>
            </w:pPr>
            <w:r w:rsidRPr="003524E6">
              <w:rPr>
                <w:rFonts w:ascii="Calibri" w:hAnsi="Calibri" w:cs="Calibri"/>
                <w:sz w:val="24"/>
                <w:szCs w:val="24"/>
              </w:rPr>
              <w:t>Subjective Norms</w:t>
            </w:r>
          </w:p>
        </w:tc>
      </w:tr>
      <w:tr w:rsidR="006819AF" w:rsidRPr="003524E6" w14:paraId="465BAF13" w14:textId="77777777" w:rsidTr="006819AF">
        <w:trPr>
          <w:trHeight w:val="294"/>
        </w:trPr>
        <w:tc>
          <w:tcPr>
            <w:tcW w:w="842" w:type="dxa"/>
          </w:tcPr>
          <w:p w14:paraId="5577B4B9" w14:textId="4E4286ED" w:rsidR="006819AF" w:rsidRPr="003524E6" w:rsidRDefault="006819AF" w:rsidP="00D93144">
            <w:pPr>
              <w:jc w:val="center"/>
              <w:rPr>
                <w:rFonts w:ascii="Calibri" w:hAnsi="Calibri" w:cs="Calibri"/>
                <w:sz w:val="24"/>
                <w:szCs w:val="24"/>
              </w:rPr>
            </w:pPr>
            <w:r w:rsidRPr="003524E6">
              <w:rPr>
                <w:rFonts w:ascii="Calibri" w:hAnsi="Calibri" w:cs="Calibri"/>
                <w:sz w:val="24"/>
                <w:szCs w:val="24"/>
              </w:rPr>
              <w:t>SN1</w:t>
            </w:r>
          </w:p>
        </w:tc>
        <w:tc>
          <w:tcPr>
            <w:tcW w:w="8174" w:type="dxa"/>
          </w:tcPr>
          <w:p w14:paraId="6C5CFCD0" w14:textId="5935EC6F" w:rsidR="006819AF" w:rsidRPr="003524E6" w:rsidRDefault="00047B6A" w:rsidP="00D93144">
            <w:pPr>
              <w:jc w:val="both"/>
              <w:rPr>
                <w:rFonts w:ascii="Calibri" w:hAnsi="Calibri" w:cs="Calibri"/>
                <w:sz w:val="24"/>
                <w:szCs w:val="24"/>
              </w:rPr>
            </w:pPr>
            <w:r w:rsidRPr="003524E6">
              <w:rPr>
                <w:rFonts w:ascii="Calibri" w:hAnsi="Calibri" w:cs="Calibri"/>
                <w:sz w:val="24"/>
                <w:szCs w:val="24"/>
                <w:lang w:val="en-MY"/>
              </w:rPr>
              <w:t>I feel that people who are important to me think that I should participate in consumer boycotts</w:t>
            </w:r>
          </w:p>
        </w:tc>
      </w:tr>
      <w:tr w:rsidR="006819AF" w:rsidRPr="003524E6" w14:paraId="73C704CC" w14:textId="77777777" w:rsidTr="006819AF">
        <w:trPr>
          <w:trHeight w:val="276"/>
        </w:trPr>
        <w:tc>
          <w:tcPr>
            <w:tcW w:w="842" w:type="dxa"/>
          </w:tcPr>
          <w:p w14:paraId="46583AF4" w14:textId="3938EDB3" w:rsidR="006819AF" w:rsidRPr="003524E6" w:rsidRDefault="006819AF" w:rsidP="00D93144">
            <w:pPr>
              <w:jc w:val="center"/>
              <w:rPr>
                <w:rFonts w:ascii="Calibri" w:hAnsi="Calibri" w:cs="Calibri"/>
                <w:sz w:val="24"/>
                <w:szCs w:val="24"/>
              </w:rPr>
            </w:pPr>
            <w:r w:rsidRPr="003524E6">
              <w:rPr>
                <w:rFonts w:ascii="Calibri" w:hAnsi="Calibri" w:cs="Calibri"/>
                <w:sz w:val="24"/>
                <w:szCs w:val="24"/>
              </w:rPr>
              <w:t>SN2</w:t>
            </w:r>
          </w:p>
        </w:tc>
        <w:tc>
          <w:tcPr>
            <w:tcW w:w="8174" w:type="dxa"/>
          </w:tcPr>
          <w:p w14:paraId="41DA6E52" w14:textId="337AD462" w:rsidR="006819AF" w:rsidRPr="003524E6" w:rsidRDefault="00047B6A" w:rsidP="00D93144">
            <w:pPr>
              <w:jc w:val="both"/>
              <w:rPr>
                <w:rFonts w:ascii="Calibri" w:hAnsi="Calibri" w:cs="Calibri"/>
                <w:sz w:val="24"/>
                <w:szCs w:val="24"/>
              </w:rPr>
            </w:pPr>
            <w:r w:rsidRPr="003524E6">
              <w:rPr>
                <w:rFonts w:ascii="Calibri" w:hAnsi="Calibri" w:cs="Calibri"/>
                <w:sz w:val="24"/>
                <w:szCs w:val="24"/>
                <w:lang w:val="en-MY"/>
              </w:rPr>
              <w:t>I feel that my family supports me in boycotting unethical companies</w:t>
            </w:r>
          </w:p>
        </w:tc>
      </w:tr>
      <w:tr w:rsidR="006819AF" w:rsidRPr="003524E6" w14:paraId="3BEA6B60" w14:textId="77777777" w:rsidTr="006819AF">
        <w:trPr>
          <w:trHeight w:val="276"/>
        </w:trPr>
        <w:tc>
          <w:tcPr>
            <w:tcW w:w="842" w:type="dxa"/>
          </w:tcPr>
          <w:p w14:paraId="350FEB1D" w14:textId="56776FFF" w:rsidR="006819AF" w:rsidRPr="003524E6" w:rsidRDefault="006819AF" w:rsidP="00D93144">
            <w:pPr>
              <w:jc w:val="center"/>
              <w:rPr>
                <w:rFonts w:ascii="Calibri" w:hAnsi="Calibri" w:cs="Calibri"/>
                <w:sz w:val="24"/>
                <w:szCs w:val="24"/>
              </w:rPr>
            </w:pPr>
            <w:r w:rsidRPr="003524E6">
              <w:rPr>
                <w:rFonts w:ascii="Calibri" w:hAnsi="Calibri" w:cs="Calibri"/>
                <w:sz w:val="24"/>
                <w:szCs w:val="24"/>
              </w:rPr>
              <w:t>SN3</w:t>
            </w:r>
          </w:p>
        </w:tc>
        <w:tc>
          <w:tcPr>
            <w:tcW w:w="8174" w:type="dxa"/>
          </w:tcPr>
          <w:p w14:paraId="3EBB8BAE" w14:textId="128E9C94" w:rsidR="006819AF" w:rsidRPr="003524E6" w:rsidRDefault="00047B6A" w:rsidP="00D93144">
            <w:pPr>
              <w:jc w:val="both"/>
              <w:rPr>
                <w:rFonts w:ascii="Calibri" w:hAnsi="Calibri" w:cs="Calibri"/>
                <w:sz w:val="24"/>
                <w:szCs w:val="24"/>
              </w:rPr>
            </w:pPr>
            <w:r w:rsidRPr="003524E6">
              <w:rPr>
                <w:rFonts w:ascii="Calibri" w:hAnsi="Calibri" w:cs="Calibri"/>
                <w:sz w:val="24"/>
                <w:szCs w:val="24"/>
                <w:lang w:val="en-MY"/>
              </w:rPr>
              <w:t>I feel that my friends encourage me to avoid products from irresponsible companies</w:t>
            </w:r>
          </w:p>
        </w:tc>
      </w:tr>
      <w:tr w:rsidR="006819AF" w:rsidRPr="003524E6" w14:paraId="3333AE08" w14:textId="77777777" w:rsidTr="006819AF">
        <w:trPr>
          <w:trHeight w:val="276"/>
        </w:trPr>
        <w:tc>
          <w:tcPr>
            <w:tcW w:w="842" w:type="dxa"/>
          </w:tcPr>
          <w:p w14:paraId="2B26218F" w14:textId="2CCF1DC1" w:rsidR="006819AF" w:rsidRPr="003524E6" w:rsidRDefault="006819AF" w:rsidP="00D93144">
            <w:pPr>
              <w:jc w:val="center"/>
              <w:rPr>
                <w:rFonts w:ascii="Calibri" w:hAnsi="Calibri" w:cs="Calibri"/>
                <w:sz w:val="24"/>
                <w:szCs w:val="24"/>
              </w:rPr>
            </w:pPr>
            <w:r w:rsidRPr="003524E6">
              <w:rPr>
                <w:rFonts w:ascii="Calibri" w:hAnsi="Calibri" w:cs="Calibri"/>
                <w:sz w:val="24"/>
                <w:szCs w:val="24"/>
              </w:rPr>
              <w:t>SN4</w:t>
            </w:r>
          </w:p>
        </w:tc>
        <w:tc>
          <w:tcPr>
            <w:tcW w:w="8174" w:type="dxa"/>
          </w:tcPr>
          <w:p w14:paraId="70E24310" w14:textId="41012FEE" w:rsidR="006819AF" w:rsidRPr="003524E6" w:rsidRDefault="00047B6A" w:rsidP="00D93144">
            <w:pPr>
              <w:jc w:val="both"/>
              <w:rPr>
                <w:rFonts w:ascii="Calibri" w:hAnsi="Calibri" w:cs="Calibri"/>
                <w:sz w:val="24"/>
                <w:szCs w:val="24"/>
              </w:rPr>
            </w:pPr>
            <w:r w:rsidRPr="003524E6">
              <w:rPr>
                <w:rFonts w:ascii="Calibri" w:hAnsi="Calibri" w:cs="Calibri"/>
                <w:sz w:val="24"/>
                <w:szCs w:val="24"/>
                <w:lang w:val="en-MY"/>
              </w:rPr>
              <w:t>I feel that most people around me approve of participating in boycotts</w:t>
            </w:r>
          </w:p>
        </w:tc>
      </w:tr>
      <w:tr w:rsidR="006819AF" w:rsidRPr="003524E6" w14:paraId="16CECE05" w14:textId="77777777" w:rsidTr="006819AF">
        <w:trPr>
          <w:trHeight w:val="276"/>
        </w:trPr>
        <w:tc>
          <w:tcPr>
            <w:tcW w:w="842" w:type="dxa"/>
          </w:tcPr>
          <w:p w14:paraId="60A82E10" w14:textId="6038B7C3" w:rsidR="006819AF" w:rsidRPr="003524E6" w:rsidRDefault="006819AF" w:rsidP="00D93144">
            <w:pPr>
              <w:jc w:val="center"/>
              <w:rPr>
                <w:rFonts w:ascii="Calibri" w:hAnsi="Calibri" w:cs="Calibri"/>
                <w:sz w:val="24"/>
                <w:szCs w:val="24"/>
              </w:rPr>
            </w:pPr>
            <w:r w:rsidRPr="003524E6">
              <w:rPr>
                <w:rFonts w:ascii="Calibri" w:hAnsi="Calibri" w:cs="Calibri"/>
                <w:sz w:val="24"/>
                <w:szCs w:val="24"/>
              </w:rPr>
              <w:t>SN5</w:t>
            </w:r>
          </w:p>
        </w:tc>
        <w:tc>
          <w:tcPr>
            <w:tcW w:w="8174" w:type="dxa"/>
          </w:tcPr>
          <w:p w14:paraId="2EFC0EC1" w14:textId="27B5BB67" w:rsidR="006819AF" w:rsidRPr="003524E6" w:rsidRDefault="00047B6A" w:rsidP="00D93144">
            <w:pPr>
              <w:jc w:val="both"/>
              <w:rPr>
                <w:rFonts w:ascii="Calibri" w:hAnsi="Calibri" w:cs="Calibri"/>
                <w:sz w:val="24"/>
                <w:szCs w:val="24"/>
              </w:rPr>
            </w:pPr>
            <w:r w:rsidRPr="003524E6">
              <w:rPr>
                <w:rFonts w:ascii="Calibri" w:hAnsi="Calibri" w:cs="Calibri"/>
                <w:sz w:val="24"/>
                <w:szCs w:val="24"/>
                <w:lang w:val="en-MY"/>
              </w:rPr>
              <w:t>I feel that there is social pressure on me to boycott companies that behave unethically</w:t>
            </w:r>
          </w:p>
        </w:tc>
      </w:tr>
      <w:tr w:rsidR="006819AF" w:rsidRPr="003524E6" w14:paraId="368573CA" w14:textId="77777777" w:rsidTr="006819AF">
        <w:trPr>
          <w:trHeight w:val="276"/>
        </w:trPr>
        <w:tc>
          <w:tcPr>
            <w:tcW w:w="9016" w:type="dxa"/>
            <w:gridSpan w:val="2"/>
          </w:tcPr>
          <w:p w14:paraId="16C2495F" w14:textId="2C9B130B" w:rsidR="006819AF" w:rsidRPr="003524E6" w:rsidRDefault="006819AF" w:rsidP="00D93144">
            <w:pPr>
              <w:jc w:val="both"/>
              <w:rPr>
                <w:rFonts w:ascii="Calibri" w:hAnsi="Calibri" w:cs="Calibri"/>
                <w:sz w:val="24"/>
                <w:szCs w:val="24"/>
              </w:rPr>
            </w:pPr>
            <w:r w:rsidRPr="003524E6">
              <w:rPr>
                <w:rFonts w:ascii="Calibri" w:hAnsi="Calibri" w:cs="Calibri"/>
                <w:sz w:val="24"/>
                <w:szCs w:val="24"/>
              </w:rPr>
              <w:t>Perceived Behaviour Control</w:t>
            </w:r>
          </w:p>
        </w:tc>
      </w:tr>
      <w:tr w:rsidR="006819AF" w:rsidRPr="003524E6" w14:paraId="3DF0294C" w14:textId="77777777" w:rsidTr="006819AF">
        <w:trPr>
          <w:trHeight w:val="276"/>
        </w:trPr>
        <w:tc>
          <w:tcPr>
            <w:tcW w:w="842" w:type="dxa"/>
          </w:tcPr>
          <w:p w14:paraId="38B7E1A7" w14:textId="5376FC2B" w:rsidR="006819AF" w:rsidRPr="003524E6" w:rsidRDefault="006819AF" w:rsidP="00D93144">
            <w:pPr>
              <w:jc w:val="center"/>
              <w:rPr>
                <w:rFonts w:ascii="Calibri" w:hAnsi="Calibri" w:cs="Calibri"/>
                <w:sz w:val="24"/>
                <w:szCs w:val="24"/>
              </w:rPr>
            </w:pPr>
            <w:r w:rsidRPr="003524E6">
              <w:rPr>
                <w:rFonts w:ascii="Calibri" w:hAnsi="Calibri" w:cs="Calibri"/>
                <w:sz w:val="24"/>
                <w:szCs w:val="24"/>
              </w:rPr>
              <w:t>PB1</w:t>
            </w:r>
          </w:p>
        </w:tc>
        <w:tc>
          <w:tcPr>
            <w:tcW w:w="8174" w:type="dxa"/>
          </w:tcPr>
          <w:p w14:paraId="01589246" w14:textId="5C28119C" w:rsidR="006819AF" w:rsidRPr="003524E6" w:rsidRDefault="00047B6A" w:rsidP="00D93144">
            <w:pPr>
              <w:jc w:val="both"/>
              <w:rPr>
                <w:rFonts w:ascii="Calibri" w:hAnsi="Calibri" w:cs="Calibri"/>
                <w:sz w:val="24"/>
                <w:szCs w:val="24"/>
              </w:rPr>
            </w:pPr>
            <w:r w:rsidRPr="003524E6">
              <w:rPr>
                <w:rFonts w:ascii="Calibri" w:hAnsi="Calibri" w:cs="Calibri"/>
                <w:sz w:val="24"/>
                <w:szCs w:val="24"/>
              </w:rPr>
              <w:t>I find it easy to identify products that I should boycott</w:t>
            </w:r>
          </w:p>
        </w:tc>
      </w:tr>
      <w:tr w:rsidR="006819AF" w:rsidRPr="003524E6" w14:paraId="21C5CEB2" w14:textId="77777777" w:rsidTr="006819AF">
        <w:trPr>
          <w:trHeight w:val="276"/>
        </w:trPr>
        <w:tc>
          <w:tcPr>
            <w:tcW w:w="842" w:type="dxa"/>
          </w:tcPr>
          <w:p w14:paraId="416D2659" w14:textId="207391E2" w:rsidR="006819AF" w:rsidRPr="003524E6" w:rsidRDefault="006819AF" w:rsidP="00D93144">
            <w:pPr>
              <w:jc w:val="center"/>
              <w:rPr>
                <w:rFonts w:ascii="Calibri" w:hAnsi="Calibri" w:cs="Calibri"/>
                <w:sz w:val="24"/>
                <w:szCs w:val="24"/>
              </w:rPr>
            </w:pPr>
            <w:r w:rsidRPr="003524E6">
              <w:rPr>
                <w:rFonts w:ascii="Calibri" w:hAnsi="Calibri" w:cs="Calibri"/>
                <w:sz w:val="24"/>
                <w:szCs w:val="24"/>
              </w:rPr>
              <w:t>PB2</w:t>
            </w:r>
          </w:p>
        </w:tc>
        <w:tc>
          <w:tcPr>
            <w:tcW w:w="8174" w:type="dxa"/>
          </w:tcPr>
          <w:p w14:paraId="1364EC31" w14:textId="1A5677A7" w:rsidR="006819AF" w:rsidRPr="003524E6" w:rsidRDefault="00047B6A" w:rsidP="00D93144">
            <w:pPr>
              <w:jc w:val="both"/>
              <w:rPr>
                <w:rFonts w:ascii="Calibri" w:hAnsi="Calibri" w:cs="Calibri"/>
                <w:sz w:val="24"/>
                <w:szCs w:val="24"/>
              </w:rPr>
            </w:pPr>
            <w:r w:rsidRPr="003524E6">
              <w:rPr>
                <w:rFonts w:ascii="Calibri" w:hAnsi="Calibri" w:cs="Calibri"/>
                <w:sz w:val="24"/>
                <w:szCs w:val="24"/>
              </w:rPr>
              <w:t>I believe that whether I boycott certain products is entirely up to me</w:t>
            </w:r>
          </w:p>
        </w:tc>
      </w:tr>
      <w:tr w:rsidR="006819AF" w:rsidRPr="003524E6" w14:paraId="5CC19C0F" w14:textId="77777777" w:rsidTr="006819AF">
        <w:trPr>
          <w:trHeight w:val="276"/>
        </w:trPr>
        <w:tc>
          <w:tcPr>
            <w:tcW w:w="842" w:type="dxa"/>
          </w:tcPr>
          <w:p w14:paraId="3C9753A9" w14:textId="3DA346D5" w:rsidR="006819AF" w:rsidRPr="003524E6" w:rsidRDefault="006819AF" w:rsidP="00D93144">
            <w:pPr>
              <w:jc w:val="center"/>
              <w:rPr>
                <w:rFonts w:ascii="Calibri" w:hAnsi="Calibri" w:cs="Calibri"/>
                <w:sz w:val="24"/>
                <w:szCs w:val="24"/>
              </w:rPr>
            </w:pPr>
            <w:r w:rsidRPr="003524E6">
              <w:rPr>
                <w:rFonts w:ascii="Calibri" w:hAnsi="Calibri" w:cs="Calibri"/>
                <w:sz w:val="24"/>
                <w:szCs w:val="24"/>
              </w:rPr>
              <w:t>PB3</w:t>
            </w:r>
          </w:p>
        </w:tc>
        <w:tc>
          <w:tcPr>
            <w:tcW w:w="8174" w:type="dxa"/>
          </w:tcPr>
          <w:p w14:paraId="147161CC" w14:textId="5952F7AE" w:rsidR="006819AF" w:rsidRPr="003524E6" w:rsidRDefault="00047B6A" w:rsidP="00D93144">
            <w:pPr>
              <w:jc w:val="both"/>
              <w:rPr>
                <w:rFonts w:ascii="Calibri" w:hAnsi="Calibri" w:cs="Calibri"/>
                <w:sz w:val="24"/>
                <w:szCs w:val="24"/>
              </w:rPr>
            </w:pPr>
            <w:r w:rsidRPr="003524E6">
              <w:rPr>
                <w:rFonts w:ascii="Calibri" w:hAnsi="Calibri" w:cs="Calibri"/>
                <w:sz w:val="24"/>
                <w:szCs w:val="24"/>
              </w:rPr>
              <w:t>I feel confident that I can consistently avoid products from targeted companies</w:t>
            </w:r>
          </w:p>
        </w:tc>
      </w:tr>
      <w:tr w:rsidR="006819AF" w:rsidRPr="003524E6" w14:paraId="5EF67D78" w14:textId="77777777" w:rsidTr="006819AF">
        <w:trPr>
          <w:trHeight w:val="276"/>
        </w:trPr>
        <w:tc>
          <w:tcPr>
            <w:tcW w:w="842" w:type="dxa"/>
          </w:tcPr>
          <w:p w14:paraId="0A8CDA32" w14:textId="53CFD98A" w:rsidR="006819AF" w:rsidRPr="003524E6" w:rsidRDefault="006819AF" w:rsidP="00D93144">
            <w:pPr>
              <w:jc w:val="center"/>
              <w:rPr>
                <w:rFonts w:ascii="Calibri" w:hAnsi="Calibri" w:cs="Calibri"/>
                <w:sz w:val="24"/>
                <w:szCs w:val="24"/>
              </w:rPr>
            </w:pPr>
            <w:r w:rsidRPr="003524E6">
              <w:rPr>
                <w:rFonts w:ascii="Calibri" w:hAnsi="Calibri" w:cs="Calibri"/>
                <w:sz w:val="24"/>
                <w:szCs w:val="24"/>
              </w:rPr>
              <w:lastRenderedPageBreak/>
              <w:t>PB4</w:t>
            </w:r>
          </w:p>
        </w:tc>
        <w:tc>
          <w:tcPr>
            <w:tcW w:w="8174" w:type="dxa"/>
          </w:tcPr>
          <w:p w14:paraId="589B7579" w14:textId="6D332CA9" w:rsidR="006819AF" w:rsidRPr="003524E6" w:rsidRDefault="00047B6A" w:rsidP="00D93144">
            <w:pPr>
              <w:jc w:val="both"/>
              <w:rPr>
                <w:rFonts w:ascii="Calibri" w:hAnsi="Calibri" w:cs="Calibri"/>
                <w:sz w:val="24"/>
                <w:szCs w:val="24"/>
              </w:rPr>
            </w:pPr>
            <w:r w:rsidRPr="003524E6">
              <w:rPr>
                <w:rFonts w:ascii="Calibri" w:hAnsi="Calibri" w:cs="Calibri"/>
                <w:sz w:val="24"/>
                <w:szCs w:val="24"/>
              </w:rPr>
              <w:t>I believe that I can still boycott products even if it is inconvenient</w:t>
            </w:r>
          </w:p>
        </w:tc>
      </w:tr>
      <w:tr w:rsidR="006819AF" w:rsidRPr="003524E6" w14:paraId="4C4FDD69" w14:textId="77777777" w:rsidTr="006819AF">
        <w:trPr>
          <w:trHeight w:val="276"/>
        </w:trPr>
        <w:tc>
          <w:tcPr>
            <w:tcW w:w="842" w:type="dxa"/>
          </w:tcPr>
          <w:p w14:paraId="31384E9E" w14:textId="73C788DB" w:rsidR="006819AF" w:rsidRPr="003524E6" w:rsidRDefault="006819AF" w:rsidP="00D93144">
            <w:pPr>
              <w:jc w:val="center"/>
              <w:rPr>
                <w:rFonts w:ascii="Calibri" w:hAnsi="Calibri" w:cs="Calibri"/>
                <w:sz w:val="24"/>
                <w:szCs w:val="24"/>
              </w:rPr>
            </w:pPr>
            <w:r w:rsidRPr="003524E6">
              <w:rPr>
                <w:rFonts w:ascii="Calibri" w:hAnsi="Calibri" w:cs="Calibri"/>
                <w:sz w:val="24"/>
                <w:szCs w:val="24"/>
              </w:rPr>
              <w:t>PB5</w:t>
            </w:r>
          </w:p>
        </w:tc>
        <w:tc>
          <w:tcPr>
            <w:tcW w:w="8174" w:type="dxa"/>
          </w:tcPr>
          <w:p w14:paraId="582CDE0F" w14:textId="7D2C96FC" w:rsidR="006819AF" w:rsidRPr="003524E6" w:rsidRDefault="00047B6A" w:rsidP="00D93144">
            <w:pPr>
              <w:jc w:val="both"/>
              <w:rPr>
                <w:rFonts w:ascii="Calibri" w:hAnsi="Calibri" w:cs="Calibri"/>
                <w:sz w:val="24"/>
                <w:szCs w:val="24"/>
              </w:rPr>
            </w:pPr>
            <w:r w:rsidRPr="003524E6">
              <w:rPr>
                <w:rFonts w:ascii="Calibri" w:hAnsi="Calibri" w:cs="Calibri"/>
                <w:sz w:val="24"/>
                <w:szCs w:val="24"/>
              </w:rPr>
              <w:t>I believe that I have the ability to avoid buying products from companies I disagree with</w:t>
            </w:r>
          </w:p>
        </w:tc>
      </w:tr>
      <w:tr w:rsidR="006819AF" w:rsidRPr="003524E6" w14:paraId="532458B5" w14:textId="77777777" w:rsidTr="006819AF">
        <w:trPr>
          <w:trHeight w:val="276"/>
        </w:trPr>
        <w:tc>
          <w:tcPr>
            <w:tcW w:w="9016" w:type="dxa"/>
            <w:gridSpan w:val="2"/>
          </w:tcPr>
          <w:p w14:paraId="54797903" w14:textId="2EC6E0DE" w:rsidR="006819AF" w:rsidRPr="003524E6" w:rsidRDefault="006819AF" w:rsidP="00D93144">
            <w:pPr>
              <w:jc w:val="both"/>
              <w:rPr>
                <w:rFonts w:ascii="Calibri" w:hAnsi="Calibri" w:cs="Calibri"/>
                <w:sz w:val="24"/>
                <w:szCs w:val="24"/>
              </w:rPr>
            </w:pPr>
            <w:r w:rsidRPr="003524E6">
              <w:rPr>
                <w:rFonts w:ascii="Calibri" w:hAnsi="Calibri" w:cs="Calibri"/>
                <w:sz w:val="24"/>
                <w:szCs w:val="24"/>
              </w:rPr>
              <w:t>Boycott Intention (BI)</w:t>
            </w:r>
          </w:p>
        </w:tc>
      </w:tr>
      <w:tr w:rsidR="006819AF" w:rsidRPr="003524E6" w14:paraId="332DB2E4" w14:textId="77777777" w:rsidTr="006819AF">
        <w:trPr>
          <w:trHeight w:val="276"/>
        </w:trPr>
        <w:tc>
          <w:tcPr>
            <w:tcW w:w="842" w:type="dxa"/>
          </w:tcPr>
          <w:p w14:paraId="346BF1D2" w14:textId="0880CEA9" w:rsidR="006819AF" w:rsidRPr="003524E6" w:rsidRDefault="006819AF" w:rsidP="00D93144">
            <w:pPr>
              <w:jc w:val="center"/>
              <w:rPr>
                <w:rFonts w:ascii="Calibri" w:hAnsi="Calibri" w:cs="Calibri"/>
                <w:sz w:val="24"/>
                <w:szCs w:val="24"/>
              </w:rPr>
            </w:pPr>
            <w:r w:rsidRPr="003524E6">
              <w:rPr>
                <w:rFonts w:ascii="Calibri" w:hAnsi="Calibri" w:cs="Calibri"/>
                <w:sz w:val="24"/>
                <w:szCs w:val="24"/>
              </w:rPr>
              <w:t>BI1</w:t>
            </w:r>
          </w:p>
        </w:tc>
        <w:tc>
          <w:tcPr>
            <w:tcW w:w="8174" w:type="dxa"/>
          </w:tcPr>
          <w:p w14:paraId="2C28C581" w14:textId="0078D511" w:rsidR="006819AF" w:rsidRPr="003524E6" w:rsidRDefault="006819AF" w:rsidP="00D93144">
            <w:pPr>
              <w:jc w:val="both"/>
              <w:rPr>
                <w:rFonts w:ascii="Calibri" w:hAnsi="Calibri" w:cs="Calibri"/>
                <w:sz w:val="24"/>
                <w:szCs w:val="24"/>
              </w:rPr>
            </w:pPr>
            <w:r w:rsidRPr="003524E6">
              <w:rPr>
                <w:rFonts w:ascii="Calibri" w:hAnsi="Calibri" w:cs="Calibri"/>
                <w:sz w:val="24"/>
                <w:szCs w:val="24"/>
                <w:lang w:val="en-MY"/>
              </w:rPr>
              <w:t>I intend to boycott products from companies that behave unethically</w:t>
            </w:r>
          </w:p>
        </w:tc>
      </w:tr>
      <w:tr w:rsidR="006819AF" w:rsidRPr="003524E6" w14:paraId="51390798" w14:textId="77777777" w:rsidTr="006819AF">
        <w:trPr>
          <w:trHeight w:val="276"/>
        </w:trPr>
        <w:tc>
          <w:tcPr>
            <w:tcW w:w="842" w:type="dxa"/>
          </w:tcPr>
          <w:p w14:paraId="7B34A42D" w14:textId="07FB7F16" w:rsidR="006819AF" w:rsidRPr="003524E6" w:rsidRDefault="006819AF" w:rsidP="00D93144">
            <w:pPr>
              <w:jc w:val="center"/>
              <w:rPr>
                <w:rFonts w:ascii="Calibri" w:hAnsi="Calibri" w:cs="Calibri"/>
                <w:sz w:val="24"/>
                <w:szCs w:val="24"/>
              </w:rPr>
            </w:pPr>
            <w:r w:rsidRPr="003524E6">
              <w:rPr>
                <w:rFonts w:ascii="Calibri" w:hAnsi="Calibri" w:cs="Calibri"/>
                <w:sz w:val="24"/>
                <w:szCs w:val="24"/>
              </w:rPr>
              <w:t>BI2</w:t>
            </w:r>
          </w:p>
        </w:tc>
        <w:tc>
          <w:tcPr>
            <w:tcW w:w="8174" w:type="dxa"/>
          </w:tcPr>
          <w:p w14:paraId="2D8B39E6" w14:textId="080DFCDD" w:rsidR="006819AF" w:rsidRPr="003524E6" w:rsidRDefault="006819AF" w:rsidP="00D93144">
            <w:pPr>
              <w:jc w:val="both"/>
              <w:rPr>
                <w:rFonts w:ascii="Calibri" w:hAnsi="Calibri" w:cs="Calibri"/>
                <w:sz w:val="24"/>
                <w:szCs w:val="24"/>
              </w:rPr>
            </w:pPr>
            <w:r w:rsidRPr="003524E6">
              <w:rPr>
                <w:rFonts w:ascii="Calibri" w:hAnsi="Calibri" w:cs="Calibri"/>
                <w:sz w:val="24"/>
                <w:szCs w:val="24"/>
                <w:lang w:val="en-MY"/>
              </w:rPr>
              <w:t>I plan to avoid purchasing products from such companies</w:t>
            </w:r>
          </w:p>
        </w:tc>
      </w:tr>
      <w:tr w:rsidR="006819AF" w:rsidRPr="003524E6" w14:paraId="2F4D46D2" w14:textId="77777777" w:rsidTr="006819AF">
        <w:trPr>
          <w:trHeight w:val="276"/>
        </w:trPr>
        <w:tc>
          <w:tcPr>
            <w:tcW w:w="842" w:type="dxa"/>
          </w:tcPr>
          <w:p w14:paraId="13E5204C" w14:textId="2FA21CAC" w:rsidR="006819AF" w:rsidRPr="003524E6" w:rsidRDefault="006819AF" w:rsidP="00D93144">
            <w:pPr>
              <w:jc w:val="center"/>
              <w:rPr>
                <w:rFonts w:ascii="Calibri" w:hAnsi="Calibri" w:cs="Calibri"/>
                <w:sz w:val="24"/>
                <w:szCs w:val="24"/>
              </w:rPr>
            </w:pPr>
            <w:r w:rsidRPr="003524E6">
              <w:rPr>
                <w:rFonts w:ascii="Calibri" w:hAnsi="Calibri" w:cs="Calibri"/>
                <w:sz w:val="24"/>
                <w:szCs w:val="24"/>
              </w:rPr>
              <w:t>BI3</w:t>
            </w:r>
          </w:p>
        </w:tc>
        <w:tc>
          <w:tcPr>
            <w:tcW w:w="8174" w:type="dxa"/>
          </w:tcPr>
          <w:p w14:paraId="5814C16D" w14:textId="2FF2BB18" w:rsidR="006819AF" w:rsidRPr="003524E6" w:rsidRDefault="006819AF" w:rsidP="00D93144">
            <w:pPr>
              <w:jc w:val="both"/>
              <w:rPr>
                <w:rFonts w:ascii="Calibri" w:hAnsi="Calibri" w:cs="Calibri"/>
                <w:sz w:val="24"/>
                <w:szCs w:val="24"/>
              </w:rPr>
            </w:pPr>
            <w:r w:rsidRPr="003524E6">
              <w:rPr>
                <w:rFonts w:ascii="Calibri" w:hAnsi="Calibri" w:cs="Calibri"/>
                <w:sz w:val="24"/>
                <w:szCs w:val="24"/>
                <w:lang w:val="en-MY"/>
              </w:rPr>
              <w:t>I am willing to participate in consumer boycotts in the future</w:t>
            </w:r>
          </w:p>
        </w:tc>
      </w:tr>
      <w:tr w:rsidR="006819AF" w:rsidRPr="003524E6" w14:paraId="6F5BBA94" w14:textId="77777777" w:rsidTr="006819AF">
        <w:trPr>
          <w:trHeight w:val="276"/>
        </w:trPr>
        <w:tc>
          <w:tcPr>
            <w:tcW w:w="842" w:type="dxa"/>
          </w:tcPr>
          <w:p w14:paraId="42A2A00F" w14:textId="7570E60E" w:rsidR="006819AF" w:rsidRPr="003524E6" w:rsidRDefault="006819AF" w:rsidP="00D93144">
            <w:pPr>
              <w:jc w:val="center"/>
              <w:rPr>
                <w:rFonts w:ascii="Calibri" w:hAnsi="Calibri" w:cs="Calibri"/>
                <w:sz w:val="24"/>
                <w:szCs w:val="24"/>
              </w:rPr>
            </w:pPr>
            <w:r w:rsidRPr="003524E6">
              <w:rPr>
                <w:rFonts w:ascii="Calibri" w:hAnsi="Calibri" w:cs="Calibri"/>
                <w:sz w:val="24"/>
                <w:szCs w:val="24"/>
              </w:rPr>
              <w:t>BI4</w:t>
            </w:r>
          </w:p>
        </w:tc>
        <w:tc>
          <w:tcPr>
            <w:tcW w:w="8174" w:type="dxa"/>
          </w:tcPr>
          <w:p w14:paraId="73E33B02" w14:textId="710C986A" w:rsidR="006819AF" w:rsidRPr="003524E6" w:rsidRDefault="006819AF" w:rsidP="00D93144">
            <w:pPr>
              <w:jc w:val="both"/>
              <w:rPr>
                <w:rFonts w:ascii="Calibri" w:hAnsi="Calibri" w:cs="Calibri"/>
                <w:sz w:val="24"/>
                <w:szCs w:val="24"/>
              </w:rPr>
            </w:pPr>
            <w:r w:rsidRPr="003524E6">
              <w:rPr>
                <w:rFonts w:ascii="Calibri" w:hAnsi="Calibri" w:cs="Calibri"/>
                <w:sz w:val="24"/>
                <w:szCs w:val="24"/>
                <w:lang w:val="en-MY"/>
              </w:rPr>
              <w:t>I am likely to stop buying from companies that violate ethical standards</w:t>
            </w:r>
          </w:p>
        </w:tc>
      </w:tr>
      <w:tr w:rsidR="006819AF" w:rsidRPr="003524E6" w14:paraId="6DDF7D5C" w14:textId="77777777" w:rsidTr="006819AF">
        <w:trPr>
          <w:trHeight w:val="276"/>
        </w:trPr>
        <w:tc>
          <w:tcPr>
            <w:tcW w:w="842" w:type="dxa"/>
          </w:tcPr>
          <w:p w14:paraId="2D11AD89" w14:textId="1A2FF531" w:rsidR="006819AF" w:rsidRPr="003524E6" w:rsidRDefault="006819AF" w:rsidP="00D93144">
            <w:pPr>
              <w:jc w:val="center"/>
              <w:rPr>
                <w:rFonts w:ascii="Calibri" w:hAnsi="Calibri" w:cs="Calibri"/>
                <w:sz w:val="24"/>
                <w:szCs w:val="24"/>
              </w:rPr>
            </w:pPr>
            <w:r w:rsidRPr="003524E6">
              <w:rPr>
                <w:rFonts w:ascii="Calibri" w:hAnsi="Calibri" w:cs="Calibri"/>
                <w:sz w:val="24"/>
                <w:szCs w:val="24"/>
              </w:rPr>
              <w:t>BI5</w:t>
            </w:r>
          </w:p>
        </w:tc>
        <w:tc>
          <w:tcPr>
            <w:tcW w:w="8174" w:type="dxa"/>
          </w:tcPr>
          <w:p w14:paraId="1A3B3EA8" w14:textId="68A71C68" w:rsidR="006819AF" w:rsidRPr="003524E6" w:rsidRDefault="006819AF" w:rsidP="00D93144">
            <w:pPr>
              <w:jc w:val="both"/>
              <w:rPr>
                <w:rFonts w:ascii="Calibri" w:hAnsi="Calibri" w:cs="Calibri"/>
                <w:sz w:val="24"/>
                <w:szCs w:val="24"/>
              </w:rPr>
            </w:pPr>
            <w:r w:rsidRPr="003524E6">
              <w:rPr>
                <w:rFonts w:ascii="Calibri" w:hAnsi="Calibri" w:cs="Calibri"/>
                <w:sz w:val="24"/>
                <w:szCs w:val="24"/>
                <w:lang w:val="en-MY"/>
              </w:rPr>
              <w:t>I intend to encourage others to join boycott actions</w:t>
            </w:r>
          </w:p>
        </w:tc>
      </w:tr>
    </w:tbl>
    <w:p w14:paraId="7A9075E5" w14:textId="77777777" w:rsidR="00FA3A98" w:rsidRPr="003524E6" w:rsidRDefault="00FA3A98" w:rsidP="00D93144">
      <w:pPr>
        <w:spacing w:after="0"/>
        <w:jc w:val="both"/>
        <w:rPr>
          <w:rFonts w:ascii="Calibri" w:hAnsi="Calibri" w:cs="Calibri"/>
          <w:sz w:val="24"/>
          <w:szCs w:val="24"/>
        </w:rPr>
      </w:pPr>
    </w:p>
    <w:p w14:paraId="10816500" w14:textId="77777777" w:rsidR="000C350B" w:rsidRPr="003524E6" w:rsidRDefault="000C350B" w:rsidP="00D93144">
      <w:pPr>
        <w:spacing w:after="0"/>
        <w:jc w:val="both"/>
        <w:rPr>
          <w:rFonts w:ascii="Calibri" w:hAnsi="Calibri" w:cs="Calibri"/>
          <w:b/>
          <w:bCs/>
          <w:sz w:val="24"/>
          <w:szCs w:val="24"/>
        </w:rPr>
      </w:pPr>
    </w:p>
    <w:p w14:paraId="15A6BA57" w14:textId="4ECC590F" w:rsidR="007A4428" w:rsidRPr="003524E6" w:rsidRDefault="004F72EB" w:rsidP="00D93144">
      <w:pPr>
        <w:spacing w:after="0"/>
        <w:jc w:val="both"/>
        <w:rPr>
          <w:rFonts w:ascii="Calibri" w:hAnsi="Calibri" w:cs="Calibri"/>
          <w:b/>
          <w:bCs/>
          <w:sz w:val="24"/>
          <w:szCs w:val="24"/>
        </w:rPr>
      </w:pPr>
      <w:r w:rsidRPr="003524E6">
        <w:rPr>
          <w:rFonts w:ascii="Calibri" w:hAnsi="Calibri" w:cs="Calibri"/>
          <w:b/>
          <w:bCs/>
          <w:sz w:val="24"/>
          <w:szCs w:val="24"/>
        </w:rPr>
        <w:t>4.0</w:t>
      </w:r>
      <w:r w:rsidRPr="003524E6">
        <w:rPr>
          <w:rFonts w:ascii="Calibri" w:hAnsi="Calibri" w:cs="Calibri"/>
          <w:b/>
          <w:bCs/>
          <w:sz w:val="24"/>
          <w:szCs w:val="24"/>
        </w:rPr>
        <w:tab/>
      </w:r>
      <w:r w:rsidR="009052E4" w:rsidRPr="003524E6">
        <w:rPr>
          <w:rFonts w:ascii="Calibri" w:hAnsi="Calibri" w:cs="Calibri"/>
          <w:b/>
          <w:bCs/>
          <w:sz w:val="24"/>
          <w:szCs w:val="24"/>
        </w:rPr>
        <w:t>Result</w:t>
      </w:r>
    </w:p>
    <w:p w14:paraId="0606790E" w14:textId="242E53BC" w:rsidR="00105B5C" w:rsidRPr="003524E6" w:rsidRDefault="00105B5C" w:rsidP="00D93144">
      <w:pPr>
        <w:spacing w:after="0"/>
        <w:jc w:val="both"/>
        <w:rPr>
          <w:rFonts w:ascii="Calibri" w:hAnsi="Calibri" w:cs="Calibri"/>
          <w:sz w:val="24"/>
          <w:szCs w:val="24"/>
        </w:rPr>
      </w:pPr>
      <w:r w:rsidRPr="003524E6">
        <w:rPr>
          <w:rFonts w:ascii="Calibri" w:hAnsi="Calibri" w:cs="Calibri"/>
          <w:sz w:val="24"/>
          <w:szCs w:val="24"/>
          <w:lang w:val="en-MY"/>
        </w:rPr>
        <w:t>In this study, the reliability analysis was performed to determine the alpha coefficients for each construct and the internal consistency of each item (Cronbach, 1951). In this study, most of the alpha coefficients of the constructs ranged from 0.8</w:t>
      </w:r>
      <w:r w:rsidR="004F72EB" w:rsidRPr="003524E6">
        <w:rPr>
          <w:rFonts w:ascii="Calibri" w:hAnsi="Calibri" w:cs="Calibri"/>
          <w:sz w:val="24"/>
          <w:szCs w:val="24"/>
          <w:lang w:val="en-MY"/>
        </w:rPr>
        <w:t>82</w:t>
      </w:r>
      <w:r w:rsidRPr="003524E6">
        <w:rPr>
          <w:rFonts w:ascii="Calibri" w:hAnsi="Calibri" w:cs="Calibri"/>
          <w:sz w:val="24"/>
          <w:szCs w:val="24"/>
          <w:lang w:val="en-MY"/>
        </w:rPr>
        <w:t xml:space="preserve"> to 0.</w:t>
      </w:r>
      <w:r w:rsidR="004F72EB" w:rsidRPr="003524E6">
        <w:rPr>
          <w:rFonts w:ascii="Calibri" w:hAnsi="Calibri" w:cs="Calibri"/>
          <w:sz w:val="24"/>
          <w:szCs w:val="24"/>
          <w:lang w:val="en-MY"/>
        </w:rPr>
        <w:t xml:space="preserve">899, as presented in Table 2. </w:t>
      </w:r>
      <w:r w:rsidRPr="003524E6">
        <w:rPr>
          <w:rFonts w:ascii="Calibri" w:hAnsi="Calibri" w:cs="Calibri"/>
          <w:sz w:val="24"/>
          <w:szCs w:val="24"/>
        </w:rPr>
        <w:t>According to commonly accepted thresholds, a Cronbach’s alpha value of 0.70 or higher indicates acceptable internal consistency, while values above 0.80 are considered good, and above 0.90 are excellent</w:t>
      </w:r>
      <w:r w:rsidR="004F72EB" w:rsidRPr="003524E6">
        <w:rPr>
          <w:rFonts w:ascii="Calibri" w:hAnsi="Calibri" w:cs="Calibri"/>
          <w:sz w:val="24"/>
          <w:szCs w:val="24"/>
        </w:rPr>
        <w:t xml:space="preserve"> (Taber, 2018, Hasim et al., 2022). T</w:t>
      </w:r>
      <w:r w:rsidRPr="003524E6">
        <w:rPr>
          <w:rFonts w:ascii="Calibri" w:hAnsi="Calibri" w:cs="Calibri"/>
          <w:sz w:val="24"/>
          <w:szCs w:val="24"/>
        </w:rPr>
        <w:t>he results show that all constructs demonstrate high reliability which exceed the recommended minimum threshold of 0.70, confirming that the measurement scales used in this study are reliable and suitable for further analysis. The consistently high values (above 0.88) suggest that the items within each construct are well-correlated and effectively capture their respective theoretical concepts.</w:t>
      </w:r>
    </w:p>
    <w:p w14:paraId="4F9F4D19" w14:textId="77777777" w:rsidR="00CB202A" w:rsidRPr="003524E6" w:rsidRDefault="00CB202A" w:rsidP="00D93144">
      <w:pPr>
        <w:spacing w:after="0"/>
        <w:jc w:val="both"/>
        <w:rPr>
          <w:rFonts w:ascii="Calibri" w:hAnsi="Calibri" w:cs="Calibri"/>
          <w:b/>
          <w:bCs/>
          <w:sz w:val="24"/>
          <w:szCs w:val="24"/>
        </w:rPr>
      </w:pPr>
    </w:p>
    <w:p w14:paraId="0E5822E4" w14:textId="77777777" w:rsidR="00105B5C" w:rsidRPr="003524E6" w:rsidRDefault="00105B5C" w:rsidP="00105B5C">
      <w:pPr>
        <w:rPr>
          <w:rFonts w:cstheme="minorHAnsi"/>
        </w:rPr>
      </w:pPr>
      <w:r w:rsidRPr="003524E6">
        <w:rPr>
          <w:rFonts w:cstheme="minorHAnsi"/>
        </w:rPr>
        <w:t>Table 2: Reliability Result</w:t>
      </w:r>
    </w:p>
    <w:tbl>
      <w:tblPr>
        <w:tblStyle w:val="TableGrid"/>
        <w:tblW w:w="8926" w:type="dxa"/>
        <w:tblLook w:val="04A0" w:firstRow="1" w:lastRow="0" w:firstColumn="1" w:lastColumn="0" w:noHBand="0" w:noVBand="1"/>
      </w:tblPr>
      <w:tblGrid>
        <w:gridCol w:w="775"/>
        <w:gridCol w:w="3593"/>
        <w:gridCol w:w="2148"/>
        <w:gridCol w:w="2410"/>
      </w:tblGrid>
      <w:tr w:rsidR="00105B5C" w:rsidRPr="003524E6" w14:paraId="2AAD8ECD" w14:textId="77777777" w:rsidTr="004F72EB">
        <w:trPr>
          <w:trHeight w:val="385"/>
        </w:trPr>
        <w:tc>
          <w:tcPr>
            <w:tcW w:w="775" w:type="dxa"/>
            <w:vAlign w:val="center"/>
          </w:tcPr>
          <w:p w14:paraId="663F34A1" w14:textId="77777777" w:rsidR="00105B5C" w:rsidRPr="003524E6" w:rsidRDefault="00105B5C" w:rsidP="006D6B4D">
            <w:pPr>
              <w:jc w:val="center"/>
              <w:rPr>
                <w:rFonts w:cstheme="minorHAnsi"/>
              </w:rPr>
            </w:pPr>
            <w:r w:rsidRPr="003524E6">
              <w:rPr>
                <w:rFonts w:cstheme="minorHAnsi"/>
              </w:rPr>
              <w:t>No</w:t>
            </w:r>
          </w:p>
        </w:tc>
        <w:tc>
          <w:tcPr>
            <w:tcW w:w="3593" w:type="dxa"/>
            <w:vAlign w:val="center"/>
          </w:tcPr>
          <w:p w14:paraId="21D30059" w14:textId="77777777" w:rsidR="00105B5C" w:rsidRPr="003524E6" w:rsidRDefault="00105B5C" w:rsidP="006D6B4D">
            <w:pPr>
              <w:jc w:val="center"/>
              <w:rPr>
                <w:rFonts w:cstheme="minorHAnsi"/>
              </w:rPr>
            </w:pPr>
            <w:r w:rsidRPr="003524E6">
              <w:rPr>
                <w:rFonts w:cstheme="minorHAnsi"/>
              </w:rPr>
              <w:t>Construct</w:t>
            </w:r>
          </w:p>
        </w:tc>
        <w:tc>
          <w:tcPr>
            <w:tcW w:w="2148" w:type="dxa"/>
            <w:vAlign w:val="center"/>
          </w:tcPr>
          <w:p w14:paraId="36C11379" w14:textId="77777777" w:rsidR="00105B5C" w:rsidRPr="003524E6" w:rsidRDefault="00105B5C" w:rsidP="006D6B4D">
            <w:pPr>
              <w:jc w:val="center"/>
              <w:rPr>
                <w:rFonts w:cstheme="minorHAnsi"/>
              </w:rPr>
            </w:pPr>
            <w:r w:rsidRPr="003524E6">
              <w:rPr>
                <w:rFonts w:cstheme="minorHAnsi"/>
              </w:rPr>
              <w:t>Number of Items</w:t>
            </w:r>
          </w:p>
        </w:tc>
        <w:tc>
          <w:tcPr>
            <w:tcW w:w="2410" w:type="dxa"/>
            <w:vAlign w:val="center"/>
          </w:tcPr>
          <w:p w14:paraId="2814EB31" w14:textId="77777777" w:rsidR="00105B5C" w:rsidRPr="003524E6" w:rsidRDefault="00105B5C" w:rsidP="006D6B4D">
            <w:pPr>
              <w:pStyle w:val="Default"/>
              <w:jc w:val="center"/>
              <w:rPr>
                <w:rFonts w:asciiTheme="minorHAnsi" w:hAnsiTheme="minorHAnsi" w:cstheme="minorHAnsi"/>
              </w:rPr>
            </w:pPr>
            <w:r w:rsidRPr="003524E6">
              <w:rPr>
                <w:rFonts w:asciiTheme="minorHAnsi" w:hAnsiTheme="minorHAnsi" w:cstheme="minorHAnsi"/>
              </w:rPr>
              <w:t>Cronbach’s</w:t>
            </w:r>
          </w:p>
          <w:p w14:paraId="458F6F4C" w14:textId="77777777" w:rsidR="00105B5C" w:rsidRPr="003524E6" w:rsidRDefault="00105B5C" w:rsidP="006D6B4D">
            <w:pPr>
              <w:jc w:val="center"/>
              <w:rPr>
                <w:rFonts w:cstheme="minorHAnsi"/>
              </w:rPr>
            </w:pPr>
            <w:r w:rsidRPr="003524E6">
              <w:rPr>
                <w:rFonts w:cstheme="minorHAnsi"/>
              </w:rPr>
              <w:t>Alpha</w:t>
            </w:r>
          </w:p>
        </w:tc>
      </w:tr>
      <w:tr w:rsidR="00105B5C" w:rsidRPr="003524E6" w14:paraId="7E7F6399" w14:textId="77777777" w:rsidTr="004F72EB">
        <w:trPr>
          <w:trHeight w:val="385"/>
        </w:trPr>
        <w:tc>
          <w:tcPr>
            <w:tcW w:w="775" w:type="dxa"/>
          </w:tcPr>
          <w:p w14:paraId="5F4C204B" w14:textId="77777777" w:rsidR="00105B5C" w:rsidRPr="003524E6" w:rsidRDefault="00105B5C" w:rsidP="00105B5C">
            <w:pPr>
              <w:jc w:val="center"/>
              <w:rPr>
                <w:rFonts w:cstheme="minorHAnsi"/>
              </w:rPr>
            </w:pPr>
            <w:r w:rsidRPr="003524E6">
              <w:rPr>
                <w:rFonts w:cstheme="minorHAnsi"/>
              </w:rPr>
              <w:t>1</w:t>
            </w:r>
          </w:p>
        </w:tc>
        <w:tc>
          <w:tcPr>
            <w:tcW w:w="3593" w:type="dxa"/>
          </w:tcPr>
          <w:p w14:paraId="067FC493" w14:textId="637A4F87" w:rsidR="00105B5C" w:rsidRPr="003524E6" w:rsidRDefault="00105B5C" w:rsidP="00105B5C">
            <w:pPr>
              <w:jc w:val="both"/>
              <w:rPr>
                <w:rFonts w:cstheme="minorHAnsi"/>
              </w:rPr>
            </w:pPr>
            <w:r w:rsidRPr="003524E6">
              <w:rPr>
                <w:rFonts w:ascii="Calibri" w:hAnsi="Calibri" w:cs="Calibri"/>
                <w:sz w:val="24"/>
                <w:szCs w:val="24"/>
              </w:rPr>
              <w:t>Attitude (AT)</w:t>
            </w:r>
          </w:p>
        </w:tc>
        <w:tc>
          <w:tcPr>
            <w:tcW w:w="2148" w:type="dxa"/>
          </w:tcPr>
          <w:p w14:paraId="6EA50162" w14:textId="77777777" w:rsidR="00105B5C" w:rsidRPr="003524E6" w:rsidRDefault="00105B5C" w:rsidP="00105B5C">
            <w:pPr>
              <w:jc w:val="center"/>
              <w:rPr>
                <w:rFonts w:cstheme="minorHAnsi"/>
              </w:rPr>
            </w:pPr>
            <w:r w:rsidRPr="003524E6">
              <w:rPr>
                <w:rFonts w:cstheme="minorHAnsi"/>
              </w:rPr>
              <w:t>5</w:t>
            </w:r>
          </w:p>
        </w:tc>
        <w:tc>
          <w:tcPr>
            <w:tcW w:w="2410" w:type="dxa"/>
          </w:tcPr>
          <w:p w14:paraId="4B32FF77" w14:textId="428667FD" w:rsidR="00105B5C" w:rsidRPr="003524E6" w:rsidRDefault="00105B5C" w:rsidP="00105B5C">
            <w:pPr>
              <w:jc w:val="center"/>
              <w:rPr>
                <w:rFonts w:cstheme="minorHAnsi"/>
              </w:rPr>
            </w:pPr>
            <w:r w:rsidRPr="003524E6">
              <w:rPr>
                <w:rFonts w:cstheme="minorHAnsi"/>
              </w:rPr>
              <w:t>0.899</w:t>
            </w:r>
          </w:p>
        </w:tc>
      </w:tr>
      <w:tr w:rsidR="00105B5C" w:rsidRPr="003524E6" w14:paraId="6F7BB9AA" w14:textId="77777777" w:rsidTr="004F72EB">
        <w:trPr>
          <w:trHeight w:val="410"/>
        </w:trPr>
        <w:tc>
          <w:tcPr>
            <w:tcW w:w="775" w:type="dxa"/>
          </w:tcPr>
          <w:p w14:paraId="781CEFF2" w14:textId="77777777" w:rsidR="00105B5C" w:rsidRPr="003524E6" w:rsidRDefault="00105B5C" w:rsidP="00105B5C">
            <w:pPr>
              <w:jc w:val="center"/>
              <w:rPr>
                <w:rFonts w:cstheme="minorHAnsi"/>
              </w:rPr>
            </w:pPr>
            <w:r w:rsidRPr="003524E6">
              <w:rPr>
                <w:rFonts w:cstheme="minorHAnsi"/>
              </w:rPr>
              <w:t>2</w:t>
            </w:r>
          </w:p>
        </w:tc>
        <w:tc>
          <w:tcPr>
            <w:tcW w:w="3593" w:type="dxa"/>
          </w:tcPr>
          <w:p w14:paraId="092E116D" w14:textId="3BA7CB2F" w:rsidR="00105B5C" w:rsidRPr="003524E6" w:rsidRDefault="00105B5C" w:rsidP="00105B5C">
            <w:pPr>
              <w:jc w:val="both"/>
              <w:rPr>
                <w:rFonts w:cstheme="minorHAnsi"/>
              </w:rPr>
            </w:pPr>
            <w:r w:rsidRPr="003524E6">
              <w:rPr>
                <w:rFonts w:ascii="Calibri" w:hAnsi="Calibri" w:cs="Calibri"/>
                <w:sz w:val="24"/>
                <w:szCs w:val="24"/>
              </w:rPr>
              <w:t>Social Norms (SN)</w:t>
            </w:r>
          </w:p>
        </w:tc>
        <w:tc>
          <w:tcPr>
            <w:tcW w:w="2148" w:type="dxa"/>
          </w:tcPr>
          <w:p w14:paraId="475F3579" w14:textId="77777777" w:rsidR="00105B5C" w:rsidRPr="003524E6" w:rsidRDefault="00105B5C" w:rsidP="00105B5C">
            <w:pPr>
              <w:jc w:val="center"/>
              <w:rPr>
                <w:rFonts w:cstheme="minorHAnsi"/>
              </w:rPr>
            </w:pPr>
            <w:r w:rsidRPr="003524E6">
              <w:rPr>
                <w:rFonts w:cstheme="minorHAnsi"/>
              </w:rPr>
              <w:t>5</w:t>
            </w:r>
          </w:p>
        </w:tc>
        <w:tc>
          <w:tcPr>
            <w:tcW w:w="2410" w:type="dxa"/>
          </w:tcPr>
          <w:p w14:paraId="2A93499C" w14:textId="277157BD" w:rsidR="00105B5C" w:rsidRPr="003524E6" w:rsidRDefault="00105B5C" w:rsidP="00105B5C">
            <w:pPr>
              <w:jc w:val="center"/>
              <w:rPr>
                <w:rFonts w:cstheme="minorHAnsi"/>
              </w:rPr>
            </w:pPr>
            <w:r w:rsidRPr="003524E6">
              <w:rPr>
                <w:rFonts w:cstheme="minorHAnsi"/>
              </w:rPr>
              <w:t>0.882</w:t>
            </w:r>
          </w:p>
        </w:tc>
      </w:tr>
      <w:tr w:rsidR="00105B5C" w:rsidRPr="003524E6" w14:paraId="40B87C78" w14:textId="77777777" w:rsidTr="004F72EB">
        <w:trPr>
          <w:trHeight w:val="385"/>
        </w:trPr>
        <w:tc>
          <w:tcPr>
            <w:tcW w:w="775" w:type="dxa"/>
          </w:tcPr>
          <w:p w14:paraId="788EA059" w14:textId="77777777" w:rsidR="00105B5C" w:rsidRPr="003524E6" w:rsidRDefault="00105B5C" w:rsidP="00105B5C">
            <w:pPr>
              <w:jc w:val="center"/>
              <w:rPr>
                <w:rFonts w:cstheme="minorHAnsi"/>
              </w:rPr>
            </w:pPr>
            <w:r w:rsidRPr="003524E6">
              <w:rPr>
                <w:rFonts w:cstheme="minorHAnsi"/>
              </w:rPr>
              <w:t>3</w:t>
            </w:r>
          </w:p>
        </w:tc>
        <w:tc>
          <w:tcPr>
            <w:tcW w:w="3593" w:type="dxa"/>
          </w:tcPr>
          <w:p w14:paraId="12AA5E43" w14:textId="0EBFFDA3" w:rsidR="00105B5C" w:rsidRPr="003524E6" w:rsidRDefault="00105B5C" w:rsidP="00105B5C">
            <w:pPr>
              <w:jc w:val="both"/>
              <w:rPr>
                <w:rFonts w:cstheme="minorHAnsi"/>
              </w:rPr>
            </w:pPr>
            <w:r w:rsidRPr="003524E6">
              <w:rPr>
                <w:rFonts w:ascii="Calibri" w:hAnsi="Calibri" w:cs="Calibri"/>
                <w:sz w:val="24"/>
                <w:szCs w:val="24"/>
              </w:rPr>
              <w:t>Perceived Behaviour Control (PB)</w:t>
            </w:r>
          </w:p>
        </w:tc>
        <w:tc>
          <w:tcPr>
            <w:tcW w:w="2148" w:type="dxa"/>
          </w:tcPr>
          <w:p w14:paraId="2CEEE16B" w14:textId="77777777" w:rsidR="00105B5C" w:rsidRPr="003524E6" w:rsidRDefault="00105B5C" w:rsidP="00105B5C">
            <w:pPr>
              <w:jc w:val="center"/>
              <w:rPr>
                <w:rFonts w:cstheme="minorHAnsi"/>
              </w:rPr>
            </w:pPr>
            <w:r w:rsidRPr="003524E6">
              <w:rPr>
                <w:rFonts w:cstheme="minorHAnsi"/>
              </w:rPr>
              <w:t>5</w:t>
            </w:r>
          </w:p>
        </w:tc>
        <w:tc>
          <w:tcPr>
            <w:tcW w:w="2410" w:type="dxa"/>
          </w:tcPr>
          <w:p w14:paraId="634A9EBC" w14:textId="5C734F24" w:rsidR="00105B5C" w:rsidRPr="003524E6" w:rsidRDefault="00105B5C" w:rsidP="00105B5C">
            <w:pPr>
              <w:jc w:val="center"/>
              <w:rPr>
                <w:rFonts w:cstheme="minorHAnsi"/>
              </w:rPr>
            </w:pPr>
            <w:r w:rsidRPr="003524E6">
              <w:rPr>
                <w:rFonts w:cstheme="minorHAnsi"/>
              </w:rPr>
              <w:t>0.899</w:t>
            </w:r>
          </w:p>
        </w:tc>
      </w:tr>
      <w:tr w:rsidR="00105B5C" w:rsidRPr="003524E6" w14:paraId="4319FB32" w14:textId="77777777" w:rsidTr="004F72EB">
        <w:trPr>
          <w:trHeight w:val="385"/>
        </w:trPr>
        <w:tc>
          <w:tcPr>
            <w:tcW w:w="775" w:type="dxa"/>
          </w:tcPr>
          <w:p w14:paraId="008BF033" w14:textId="77777777" w:rsidR="00105B5C" w:rsidRPr="003524E6" w:rsidRDefault="00105B5C" w:rsidP="006D6B4D">
            <w:pPr>
              <w:jc w:val="center"/>
              <w:rPr>
                <w:rFonts w:cstheme="minorHAnsi"/>
              </w:rPr>
            </w:pPr>
            <w:r w:rsidRPr="003524E6">
              <w:rPr>
                <w:rFonts w:cstheme="minorHAnsi"/>
              </w:rPr>
              <w:t>4</w:t>
            </w:r>
          </w:p>
        </w:tc>
        <w:tc>
          <w:tcPr>
            <w:tcW w:w="3593" w:type="dxa"/>
          </w:tcPr>
          <w:p w14:paraId="138A7786" w14:textId="79AD664E" w:rsidR="00105B5C" w:rsidRPr="003524E6" w:rsidRDefault="00105B5C" w:rsidP="006D6B4D">
            <w:pPr>
              <w:jc w:val="both"/>
              <w:rPr>
                <w:rFonts w:cstheme="minorHAnsi"/>
              </w:rPr>
            </w:pPr>
            <w:r w:rsidRPr="003524E6">
              <w:rPr>
                <w:rFonts w:ascii="Calibri" w:hAnsi="Calibri" w:cs="Calibri"/>
                <w:sz w:val="24"/>
                <w:szCs w:val="24"/>
              </w:rPr>
              <w:t>Boycott Intention (BI)</w:t>
            </w:r>
          </w:p>
        </w:tc>
        <w:tc>
          <w:tcPr>
            <w:tcW w:w="2148" w:type="dxa"/>
          </w:tcPr>
          <w:p w14:paraId="4217FC7D" w14:textId="77777777" w:rsidR="00105B5C" w:rsidRPr="003524E6" w:rsidRDefault="00105B5C" w:rsidP="006D6B4D">
            <w:pPr>
              <w:jc w:val="center"/>
              <w:rPr>
                <w:rFonts w:cstheme="minorHAnsi"/>
              </w:rPr>
            </w:pPr>
            <w:r w:rsidRPr="003524E6">
              <w:rPr>
                <w:rFonts w:cstheme="minorHAnsi"/>
              </w:rPr>
              <w:t>5</w:t>
            </w:r>
          </w:p>
        </w:tc>
        <w:tc>
          <w:tcPr>
            <w:tcW w:w="2410" w:type="dxa"/>
          </w:tcPr>
          <w:p w14:paraId="2D3E1E37" w14:textId="3C6EDC2A" w:rsidR="00105B5C" w:rsidRPr="003524E6" w:rsidRDefault="00105B5C" w:rsidP="006D6B4D">
            <w:pPr>
              <w:jc w:val="center"/>
              <w:rPr>
                <w:rFonts w:cstheme="minorHAnsi"/>
              </w:rPr>
            </w:pPr>
            <w:r w:rsidRPr="003524E6">
              <w:rPr>
                <w:rFonts w:cstheme="minorHAnsi"/>
              </w:rPr>
              <w:t>0.891</w:t>
            </w:r>
          </w:p>
        </w:tc>
      </w:tr>
    </w:tbl>
    <w:p w14:paraId="39DB2C59" w14:textId="77777777" w:rsidR="00105B5C" w:rsidRPr="003524E6" w:rsidRDefault="00105B5C" w:rsidP="00105B5C">
      <w:pPr>
        <w:jc w:val="both"/>
        <w:rPr>
          <w:rFonts w:cstheme="minorHAnsi"/>
        </w:rPr>
      </w:pPr>
    </w:p>
    <w:p w14:paraId="7088F3FD" w14:textId="619558D3" w:rsidR="004F72EB" w:rsidRPr="003524E6" w:rsidRDefault="004F72EB" w:rsidP="004F72EB">
      <w:pPr>
        <w:spacing w:after="0"/>
        <w:jc w:val="both"/>
        <w:rPr>
          <w:rFonts w:ascii="Calibri" w:hAnsi="Calibri" w:cs="Calibri"/>
          <w:sz w:val="24"/>
          <w:szCs w:val="24"/>
          <w:lang w:val="en-MY"/>
        </w:rPr>
      </w:pPr>
      <w:r w:rsidRPr="003524E6">
        <w:rPr>
          <w:rFonts w:ascii="Calibri" w:hAnsi="Calibri" w:cs="Calibri"/>
          <w:sz w:val="24"/>
          <w:szCs w:val="24"/>
          <w:lang w:val="en-MY"/>
        </w:rPr>
        <w:t>A multiple regression analysis was conducted to examine the effects of attitude (AT), social norms (SN), and perceived behavioural control (PB) on boycott intention (BI), as demonstrated in Table 3. The results indicate that all three independent variables significantly predict boycott intention. Specifically, attitude has a positive and statistically significant effect on boycott intention (β = 0.265, t = 4.152, p &lt; 0.001). This finding suggests that individuals who hold more favourable evaluations toward boycotting are more likely to develop stronger intentions to engage in such behaviour. Similarly, social norms demonstrate a positive and significant influence on boycott intention (β = 0.340, t = 7.233, p &lt; 0.001). This implies that individuals are more likely to intend to boycott when they perceive that important other such as family, friends, or society support or expect such behaviour. Notably, social norms emerge as one of the strongest predictors in this model.</w:t>
      </w:r>
    </w:p>
    <w:p w14:paraId="2E1670D4" w14:textId="77777777" w:rsidR="00CB202A" w:rsidRPr="003524E6" w:rsidRDefault="00CB202A" w:rsidP="00D93144">
      <w:pPr>
        <w:spacing w:after="0"/>
        <w:jc w:val="both"/>
        <w:rPr>
          <w:rFonts w:ascii="Calibri" w:hAnsi="Calibri" w:cs="Calibri"/>
          <w:b/>
          <w:bCs/>
          <w:sz w:val="24"/>
          <w:szCs w:val="24"/>
        </w:rPr>
      </w:pPr>
    </w:p>
    <w:p w14:paraId="0209A244" w14:textId="3D7D8890" w:rsidR="00A860B0" w:rsidRPr="003524E6" w:rsidRDefault="00CB202A" w:rsidP="00D93144">
      <w:pPr>
        <w:spacing w:after="0"/>
        <w:jc w:val="both"/>
        <w:rPr>
          <w:rFonts w:ascii="Calibri" w:hAnsi="Calibri" w:cs="Calibri"/>
          <w:sz w:val="24"/>
          <w:szCs w:val="24"/>
        </w:rPr>
      </w:pPr>
      <w:r w:rsidRPr="003524E6">
        <w:rPr>
          <w:rFonts w:ascii="Calibri" w:hAnsi="Calibri" w:cs="Calibri"/>
          <w:sz w:val="24"/>
          <w:szCs w:val="24"/>
          <w:lang w:val="en-MY"/>
        </w:rPr>
        <w:t xml:space="preserve">In addition, perceived behavioural control is found to have a positive and significant relationship with boycott intention (β = 0.365, t = 5.502, p &lt; 0.001). This indicates that individuals who perceive greater ease, ability, or resources to engage in boycott activities are more inclined to form </w:t>
      </w:r>
      <w:r w:rsidR="00C8462E" w:rsidRPr="003524E6">
        <w:rPr>
          <w:rFonts w:ascii="Calibri" w:hAnsi="Calibri" w:cs="Calibri"/>
          <w:sz w:val="24"/>
          <w:szCs w:val="24"/>
          <w:lang w:val="en-MY"/>
        </w:rPr>
        <w:t xml:space="preserve">of </w:t>
      </w:r>
      <w:r w:rsidRPr="003524E6">
        <w:rPr>
          <w:rFonts w:ascii="Calibri" w:hAnsi="Calibri" w:cs="Calibri"/>
          <w:sz w:val="24"/>
          <w:szCs w:val="24"/>
          <w:lang w:val="en-MY"/>
        </w:rPr>
        <w:t>intentions</w:t>
      </w:r>
      <w:r w:rsidR="00C8462E" w:rsidRPr="003524E6">
        <w:rPr>
          <w:rFonts w:ascii="Calibri" w:hAnsi="Calibri" w:cs="Calibri"/>
          <w:sz w:val="24"/>
          <w:szCs w:val="24"/>
          <w:lang w:val="en-MY"/>
        </w:rPr>
        <w:t>.  Finally, p</w:t>
      </w:r>
      <w:r w:rsidR="00C8462E" w:rsidRPr="003524E6">
        <w:rPr>
          <w:rFonts w:ascii="Calibri" w:hAnsi="Calibri" w:cs="Calibri"/>
          <w:sz w:val="24"/>
          <w:szCs w:val="24"/>
        </w:rPr>
        <w:t>perceived behavioural control emerges as the most influential predictor of boycott intention, as indicated by its highest standardized coefficient (β = 0.365). This suggests that individuals’ perception of their ability, resources, and opportunities to engage in boycott behaviour plays a more critical role than their attitudes or perceived social pressures. In other words, even if individuals hold positive attitudes or experience social encouragement, they are more likely to form strong boycott intentions when they feel capable of performing the behaviour. This finding is consistent with the Theory of Planned Behaviour, which posits that perceived behavioural control can directly influence behavioural intention, particularly in contexts where the behaviour requires effort, resources, or personal capability.</w:t>
      </w:r>
    </w:p>
    <w:p w14:paraId="7FB459EA" w14:textId="77777777" w:rsidR="003524E6" w:rsidRPr="003524E6" w:rsidRDefault="003524E6" w:rsidP="00D93144">
      <w:pPr>
        <w:spacing w:after="0"/>
        <w:jc w:val="both"/>
        <w:rPr>
          <w:rFonts w:ascii="Calibri" w:hAnsi="Calibri" w:cs="Calibri"/>
          <w:sz w:val="24"/>
          <w:szCs w:val="24"/>
        </w:rPr>
      </w:pPr>
    </w:p>
    <w:p w14:paraId="63614558" w14:textId="77777777" w:rsidR="003524E6" w:rsidRPr="003524E6" w:rsidRDefault="003524E6" w:rsidP="003524E6">
      <w:pPr>
        <w:jc w:val="both"/>
        <w:rPr>
          <w:rFonts w:ascii="Calibri" w:hAnsi="Calibri" w:cs="Calibri"/>
          <w:sz w:val="24"/>
          <w:szCs w:val="24"/>
        </w:rPr>
      </w:pPr>
      <w:r w:rsidRPr="003524E6">
        <w:rPr>
          <w:rFonts w:ascii="Calibri" w:hAnsi="Calibri" w:cs="Calibri"/>
          <w:sz w:val="24"/>
          <w:szCs w:val="24"/>
        </w:rPr>
        <w:t xml:space="preserve">Table 3: </w:t>
      </w:r>
      <w:r w:rsidRPr="003524E6">
        <w:rPr>
          <w:rFonts w:ascii="Calibri" w:hAnsi="Calibri" w:cs="Calibri"/>
          <w:sz w:val="24"/>
          <w:szCs w:val="24"/>
          <w:lang w:val="en-MY"/>
        </w:rPr>
        <w:t>Multiple Regression Analysis</w:t>
      </w:r>
    </w:p>
    <w:tbl>
      <w:tblPr>
        <w:tblStyle w:val="TableGrid"/>
        <w:tblW w:w="9067" w:type="dxa"/>
        <w:tblLayout w:type="fixed"/>
        <w:tblLook w:val="04A0" w:firstRow="1" w:lastRow="0" w:firstColumn="1" w:lastColumn="0" w:noHBand="0" w:noVBand="1"/>
      </w:tblPr>
      <w:tblGrid>
        <w:gridCol w:w="3423"/>
        <w:gridCol w:w="967"/>
        <w:gridCol w:w="1021"/>
        <w:gridCol w:w="1672"/>
        <w:gridCol w:w="992"/>
        <w:gridCol w:w="992"/>
      </w:tblGrid>
      <w:tr w:rsidR="003524E6" w:rsidRPr="003524E6" w14:paraId="3376C38C" w14:textId="77777777" w:rsidTr="006D6B4D">
        <w:tc>
          <w:tcPr>
            <w:tcW w:w="3423" w:type="dxa"/>
            <w:vMerge w:val="restart"/>
            <w:vAlign w:val="center"/>
          </w:tcPr>
          <w:p w14:paraId="25AE3EED" w14:textId="77777777" w:rsidR="003524E6" w:rsidRPr="003524E6" w:rsidRDefault="003524E6" w:rsidP="006D6B4D">
            <w:pPr>
              <w:jc w:val="center"/>
              <w:rPr>
                <w:rFonts w:ascii="Calibri" w:hAnsi="Calibri" w:cs="Calibri"/>
                <w:sz w:val="24"/>
                <w:szCs w:val="24"/>
              </w:rPr>
            </w:pPr>
            <w:r w:rsidRPr="003524E6">
              <w:rPr>
                <w:rFonts w:ascii="Calibri" w:hAnsi="Calibri" w:cs="Calibri"/>
                <w:sz w:val="24"/>
                <w:szCs w:val="24"/>
              </w:rPr>
              <w:t>Model</w:t>
            </w:r>
          </w:p>
        </w:tc>
        <w:tc>
          <w:tcPr>
            <w:tcW w:w="1988" w:type="dxa"/>
            <w:gridSpan w:val="2"/>
            <w:vAlign w:val="center"/>
          </w:tcPr>
          <w:p w14:paraId="28B0CA8A" w14:textId="77777777" w:rsidR="003524E6" w:rsidRPr="003524E6" w:rsidRDefault="003524E6" w:rsidP="006D6B4D">
            <w:pPr>
              <w:jc w:val="center"/>
              <w:rPr>
                <w:rFonts w:ascii="Calibri" w:hAnsi="Calibri" w:cs="Calibri"/>
                <w:sz w:val="24"/>
                <w:szCs w:val="24"/>
              </w:rPr>
            </w:pPr>
            <w:r w:rsidRPr="003524E6">
              <w:rPr>
                <w:rFonts w:ascii="Calibri" w:hAnsi="Calibri" w:cs="Calibri"/>
                <w:sz w:val="24"/>
                <w:szCs w:val="24"/>
                <w:lang w:val="en-MY"/>
              </w:rPr>
              <w:t>Unstandardized Coefficients</w:t>
            </w:r>
          </w:p>
        </w:tc>
        <w:tc>
          <w:tcPr>
            <w:tcW w:w="1672" w:type="dxa"/>
            <w:vAlign w:val="center"/>
          </w:tcPr>
          <w:p w14:paraId="2156CBB4" w14:textId="77777777" w:rsidR="003524E6" w:rsidRPr="003524E6" w:rsidRDefault="003524E6" w:rsidP="006D6B4D">
            <w:pPr>
              <w:jc w:val="center"/>
              <w:rPr>
                <w:rFonts w:ascii="Calibri" w:hAnsi="Calibri" w:cs="Calibri"/>
                <w:sz w:val="24"/>
                <w:szCs w:val="24"/>
              </w:rPr>
            </w:pPr>
            <w:r w:rsidRPr="003524E6">
              <w:rPr>
                <w:rFonts w:ascii="Calibri" w:hAnsi="Calibri" w:cs="Calibri"/>
                <w:sz w:val="24"/>
                <w:szCs w:val="24"/>
                <w:lang w:val="en-MY"/>
              </w:rPr>
              <w:t>Standardized Coefficients</w:t>
            </w:r>
          </w:p>
        </w:tc>
        <w:tc>
          <w:tcPr>
            <w:tcW w:w="992" w:type="dxa"/>
            <w:vMerge w:val="restart"/>
            <w:vAlign w:val="center"/>
          </w:tcPr>
          <w:p w14:paraId="19D17B61" w14:textId="77777777" w:rsidR="003524E6" w:rsidRPr="003524E6" w:rsidRDefault="003524E6" w:rsidP="006D6B4D">
            <w:pPr>
              <w:jc w:val="center"/>
              <w:rPr>
                <w:rFonts w:ascii="Calibri" w:hAnsi="Calibri" w:cs="Calibri"/>
                <w:sz w:val="24"/>
                <w:szCs w:val="24"/>
              </w:rPr>
            </w:pPr>
            <w:r w:rsidRPr="003524E6">
              <w:rPr>
                <w:rFonts w:ascii="Calibri" w:hAnsi="Calibri" w:cs="Calibri"/>
                <w:sz w:val="24"/>
                <w:szCs w:val="24"/>
                <w:lang w:val="en-MY"/>
              </w:rPr>
              <w:t>t</w:t>
            </w:r>
          </w:p>
        </w:tc>
        <w:tc>
          <w:tcPr>
            <w:tcW w:w="992" w:type="dxa"/>
            <w:vMerge w:val="restart"/>
            <w:vAlign w:val="center"/>
          </w:tcPr>
          <w:p w14:paraId="1476FA8E" w14:textId="77777777" w:rsidR="003524E6" w:rsidRPr="003524E6" w:rsidRDefault="003524E6" w:rsidP="006D6B4D">
            <w:pPr>
              <w:jc w:val="center"/>
              <w:rPr>
                <w:rFonts w:ascii="Calibri" w:hAnsi="Calibri" w:cs="Calibri"/>
                <w:sz w:val="24"/>
                <w:szCs w:val="24"/>
              </w:rPr>
            </w:pPr>
            <w:r w:rsidRPr="003524E6">
              <w:rPr>
                <w:rFonts w:ascii="Calibri" w:hAnsi="Calibri" w:cs="Calibri"/>
                <w:sz w:val="24"/>
                <w:szCs w:val="24"/>
                <w:lang w:val="en-MY"/>
              </w:rPr>
              <w:t>Sig.</w:t>
            </w:r>
          </w:p>
        </w:tc>
      </w:tr>
      <w:tr w:rsidR="003524E6" w:rsidRPr="003524E6" w14:paraId="2471D539" w14:textId="77777777" w:rsidTr="006D6B4D">
        <w:tc>
          <w:tcPr>
            <w:tcW w:w="3423" w:type="dxa"/>
            <w:vMerge/>
          </w:tcPr>
          <w:p w14:paraId="6E38A0E8" w14:textId="77777777" w:rsidR="003524E6" w:rsidRPr="003524E6" w:rsidRDefault="003524E6" w:rsidP="006D6B4D">
            <w:pPr>
              <w:jc w:val="both"/>
              <w:rPr>
                <w:rFonts w:ascii="Calibri" w:hAnsi="Calibri" w:cs="Calibri"/>
                <w:sz w:val="24"/>
                <w:szCs w:val="24"/>
              </w:rPr>
            </w:pPr>
          </w:p>
        </w:tc>
        <w:tc>
          <w:tcPr>
            <w:tcW w:w="967" w:type="dxa"/>
            <w:vAlign w:val="center"/>
          </w:tcPr>
          <w:p w14:paraId="0D81D653" w14:textId="77777777" w:rsidR="003524E6" w:rsidRPr="003524E6" w:rsidRDefault="003524E6" w:rsidP="006D6B4D">
            <w:pPr>
              <w:jc w:val="center"/>
              <w:rPr>
                <w:rFonts w:ascii="Calibri" w:hAnsi="Calibri" w:cs="Calibri"/>
                <w:sz w:val="24"/>
                <w:szCs w:val="24"/>
              </w:rPr>
            </w:pPr>
            <w:r w:rsidRPr="003524E6">
              <w:rPr>
                <w:rFonts w:ascii="Calibri" w:hAnsi="Calibri" w:cs="Calibri"/>
                <w:sz w:val="24"/>
                <w:szCs w:val="24"/>
                <w:lang w:val="en-MY"/>
              </w:rPr>
              <w:t>B</w:t>
            </w:r>
          </w:p>
        </w:tc>
        <w:tc>
          <w:tcPr>
            <w:tcW w:w="1021" w:type="dxa"/>
            <w:vAlign w:val="center"/>
          </w:tcPr>
          <w:p w14:paraId="4907F350" w14:textId="77777777" w:rsidR="003524E6" w:rsidRPr="003524E6" w:rsidRDefault="003524E6" w:rsidP="006D6B4D">
            <w:pPr>
              <w:jc w:val="center"/>
              <w:rPr>
                <w:rFonts w:ascii="Calibri" w:hAnsi="Calibri" w:cs="Calibri"/>
                <w:sz w:val="24"/>
                <w:szCs w:val="24"/>
              </w:rPr>
            </w:pPr>
            <w:r w:rsidRPr="003524E6">
              <w:rPr>
                <w:rFonts w:ascii="Calibri" w:hAnsi="Calibri" w:cs="Calibri"/>
                <w:sz w:val="24"/>
                <w:szCs w:val="24"/>
                <w:lang w:val="en-MY"/>
              </w:rPr>
              <w:t>Std. Error</w:t>
            </w:r>
          </w:p>
        </w:tc>
        <w:tc>
          <w:tcPr>
            <w:tcW w:w="1672" w:type="dxa"/>
            <w:vAlign w:val="center"/>
          </w:tcPr>
          <w:p w14:paraId="510E10A3" w14:textId="77777777" w:rsidR="003524E6" w:rsidRPr="003524E6" w:rsidRDefault="003524E6" w:rsidP="006D6B4D">
            <w:pPr>
              <w:jc w:val="center"/>
              <w:rPr>
                <w:rFonts w:ascii="Calibri" w:hAnsi="Calibri" w:cs="Calibri"/>
                <w:sz w:val="24"/>
                <w:szCs w:val="24"/>
              </w:rPr>
            </w:pPr>
            <w:r w:rsidRPr="003524E6">
              <w:rPr>
                <w:rFonts w:ascii="Calibri" w:hAnsi="Calibri" w:cs="Calibri"/>
                <w:sz w:val="24"/>
                <w:szCs w:val="24"/>
                <w:lang w:val="en-MY"/>
              </w:rPr>
              <w:t>Beta</w:t>
            </w:r>
          </w:p>
        </w:tc>
        <w:tc>
          <w:tcPr>
            <w:tcW w:w="992" w:type="dxa"/>
            <w:vMerge/>
          </w:tcPr>
          <w:p w14:paraId="23A12F7C" w14:textId="77777777" w:rsidR="003524E6" w:rsidRPr="003524E6" w:rsidRDefault="003524E6" w:rsidP="006D6B4D">
            <w:pPr>
              <w:jc w:val="both"/>
              <w:rPr>
                <w:rFonts w:ascii="Calibri" w:hAnsi="Calibri" w:cs="Calibri"/>
                <w:sz w:val="24"/>
                <w:szCs w:val="24"/>
              </w:rPr>
            </w:pPr>
          </w:p>
        </w:tc>
        <w:tc>
          <w:tcPr>
            <w:tcW w:w="992" w:type="dxa"/>
            <w:vMerge/>
          </w:tcPr>
          <w:p w14:paraId="79A75B98" w14:textId="77777777" w:rsidR="003524E6" w:rsidRPr="003524E6" w:rsidRDefault="003524E6" w:rsidP="006D6B4D">
            <w:pPr>
              <w:jc w:val="both"/>
              <w:rPr>
                <w:rFonts w:ascii="Calibri" w:hAnsi="Calibri" w:cs="Calibri"/>
                <w:sz w:val="24"/>
                <w:szCs w:val="24"/>
              </w:rPr>
            </w:pPr>
          </w:p>
        </w:tc>
      </w:tr>
      <w:tr w:rsidR="003524E6" w:rsidRPr="003524E6" w14:paraId="4649959B" w14:textId="77777777" w:rsidTr="006D6B4D">
        <w:tc>
          <w:tcPr>
            <w:tcW w:w="3423" w:type="dxa"/>
          </w:tcPr>
          <w:p w14:paraId="3E0DC10D" w14:textId="77777777" w:rsidR="003524E6" w:rsidRPr="003524E6" w:rsidRDefault="003524E6" w:rsidP="006D6B4D">
            <w:pPr>
              <w:jc w:val="both"/>
              <w:rPr>
                <w:rFonts w:ascii="Calibri" w:hAnsi="Calibri" w:cs="Calibri"/>
                <w:sz w:val="24"/>
                <w:szCs w:val="24"/>
              </w:rPr>
            </w:pPr>
            <w:r w:rsidRPr="003524E6">
              <w:rPr>
                <w:rFonts w:ascii="Calibri" w:hAnsi="Calibri" w:cs="Calibri"/>
                <w:sz w:val="24"/>
                <w:szCs w:val="24"/>
              </w:rPr>
              <w:t>(Constant)</w:t>
            </w:r>
          </w:p>
        </w:tc>
        <w:tc>
          <w:tcPr>
            <w:tcW w:w="967" w:type="dxa"/>
          </w:tcPr>
          <w:p w14:paraId="30B3E54B" w14:textId="77777777" w:rsidR="003524E6" w:rsidRPr="003524E6" w:rsidRDefault="003524E6" w:rsidP="006D6B4D">
            <w:pPr>
              <w:jc w:val="center"/>
              <w:rPr>
                <w:rFonts w:ascii="Calibri" w:hAnsi="Calibri" w:cs="Calibri"/>
                <w:sz w:val="24"/>
                <w:szCs w:val="24"/>
              </w:rPr>
            </w:pPr>
            <w:r w:rsidRPr="003524E6">
              <w:rPr>
                <w:rFonts w:ascii="Calibri" w:hAnsi="Calibri" w:cs="Calibri"/>
                <w:sz w:val="24"/>
                <w:szCs w:val="24"/>
                <w:lang w:val="en-MY"/>
              </w:rPr>
              <w:t>0.058</w:t>
            </w:r>
          </w:p>
        </w:tc>
        <w:tc>
          <w:tcPr>
            <w:tcW w:w="1021" w:type="dxa"/>
          </w:tcPr>
          <w:p w14:paraId="0070325C" w14:textId="77777777" w:rsidR="003524E6" w:rsidRPr="003524E6" w:rsidRDefault="003524E6" w:rsidP="006D6B4D">
            <w:pPr>
              <w:jc w:val="center"/>
              <w:rPr>
                <w:rFonts w:ascii="Calibri" w:hAnsi="Calibri" w:cs="Calibri"/>
                <w:sz w:val="24"/>
                <w:szCs w:val="24"/>
              </w:rPr>
            </w:pPr>
            <w:r w:rsidRPr="003524E6">
              <w:rPr>
                <w:rFonts w:ascii="Calibri" w:hAnsi="Calibri" w:cs="Calibri"/>
                <w:sz w:val="24"/>
                <w:szCs w:val="24"/>
                <w:lang w:val="en-MY"/>
              </w:rPr>
              <w:t>0.242</w:t>
            </w:r>
          </w:p>
        </w:tc>
        <w:tc>
          <w:tcPr>
            <w:tcW w:w="1672" w:type="dxa"/>
            <w:vAlign w:val="center"/>
          </w:tcPr>
          <w:p w14:paraId="6B48AB2B" w14:textId="77777777" w:rsidR="003524E6" w:rsidRPr="003524E6" w:rsidRDefault="003524E6" w:rsidP="006D6B4D">
            <w:pPr>
              <w:jc w:val="center"/>
              <w:rPr>
                <w:rFonts w:ascii="Calibri" w:hAnsi="Calibri" w:cs="Calibri"/>
                <w:sz w:val="24"/>
                <w:szCs w:val="24"/>
              </w:rPr>
            </w:pPr>
          </w:p>
        </w:tc>
        <w:tc>
          <w:tcPr>
            <w:tcW w:w="992" w:type="dxa"/>
          </w:tcPr>
          <w:p w14:paraId="5DDB6FDB" w14:textId="77777777" w:rsidR="003524E6" w:rsidRPr="003524E6" w:rsidRDefault="003524E6" w:rsidP="006D6B4D">
            <w:pPr>
              <w:jc w:val="center"/>
              <w:rPr>
                <w:rFonts w:ascii="Calibri" w:hAnsi="Calibri" w:cs="Calibri"/>
                <w:sz w:val="24"/>
                <w:szCs w:val="24"/>
              </w:rPr>
            </w:pPr>
            <w:r w:rsidRPr="003524E6">
              <w:rPr>
                <w:rFonts w:ascii="Calibri" w:hAnsi="Calibri" w:cs="Calibri"/>
                <w:sz w:val="24"/>
                <w:szCs w:val="24"/>
                <w:lang w:val="en-MY"/>
              </w:rPr>
              <w:t>0.237</w:t>
            </w:r>
          </w:p>
        </w:tc>
        <w:tc>
          <w:tcPr>
            <w:tcW w:w="992" w:type="dxa"/>
          </w:tcPr>
          <w:p w14:paraId="465F04D7" w14:textId="77777777" w:rsidR="003524E6" w:rsidRPr="003524E6" w:rsidRDefault="003524E6" w:rsidP="006D6B4D">
            <w:pPr>
              <w:jc w:val="center"/>
              <w:rPr>
                <w:rFonts w:ascii="Calibri" w:hAnsi="Calibri" w:cs="Calibri"/>
                <w:sz w:val="24"/>
                <w:szCs w:val="24"/>
              </w:rPr>
            </w:pPr>
            <w:r w:rsidRPr="003524E6">
              <w:rPr>
                <w:rFonts w:ascii="Calibri" w:hAnsi="Calibri" w:cs="Calibri"/>
                <w:sz w:val="24"/>
                <w:szCs w:val="24"/>
                <w:lang w:val="en-MY"/>
              </w:rPr>
              <w:t>0.813</w:t>
            </w:r>
          </w:p>
        </w:tc>
      </w:tr>
      <w:tr w:rsidR="003524E6" w:rsidRPr="003524E6" w14:paraId="54665563" w14:textId="77777777" w:rsidTr="006D6B4D">
        <w:tc>
          <w:tcPr>
            <w:tcW w:w="3423" w:type="dxa"/>
          </w:tcPr>
          <w:p w14:paraId="0FFD2B8F" w14:textId="77777777" w:rsidR="003524E6" w:rsidRPr="003524E6" w:rsidRDefault="003524E6" w:rsidP="006D6B4D">
            <w:pPr>
              <w:jc w:val="both"/>
              <w:rPr>
                <w:rFonts w:ascii="Calibri" w:hAnsi="Calibri" w:cs="Calibri"/>
                <w:sz w:val="24"/>
                <w:szCs w:val="24"/>
              </w:rPr>
            </w:pPr>
            <w:r w:rsidRPr="003524E6">
              <w:rPr>
                <w:rFonts w:ascii="Calibri" w:hAnsi="Calibri" w:cs="Calibri"/>
                <w:sz w:val="24"/>
                <w:szCs w:val="24"/>
              </w:rPr>
              <w:t>Attitude (AT)</w:t>
            </w:r>
          </w:p>
        </w:tc>
        <w:tc>
          <w:tcPr>
            <w:tcW w:w="967" w:type="dxa"/>
          </w:tcPr>
          <w:p w14:paraId="7E7CD507" w14:textId="77777777" w:rsidR="003524E6" w:rsidRPr="003524E6" w:rsidRDefault="003524E6" w:rsidP="006D6B4D">
            <w:pPr>
              <w:jc w:val="center"/>
              <w:rPr>
                <w:rFonts w:ascii="Calibri" w:hAnsi="Calibri" w:cs="Calibri"/>
                <w:sz w:val="24"/>
                <w:szCs w:val="24"/>
              </w:rPr>
            </w:pPr>
            <w:r w:rsidRPr="003524E6">
              <w:rPr>
                <w:rFonts w:ascii="Calibri" w:hAnsi="Calibri" w:cs="Calibri"/>
                <w:sz w:val="24"/>
                <w:szCs w:val="24"/>
                <w:lang w:val="en-MY"/>
              </w:rPr>
              <w:t>0.284</w:t>
            </w:r>
          </w:p>
        </w:tc>
        <w:tc>
          <w:tcPr>
            <w:tcW w:w="1021" w:type="dxa"/>
          </w:tcPr>
          <w:p w14:paraId="160563B5" w14:textId="77777777" w:rsidR="003524E6" w:rsidRPr="003524E6" w:rsidRDefault="003524E6" w:rsidP="006D6B4D">
            <w:pPr>
              <w:jc w:val="center"/>
              <w:rPr>
                <w:rFonts w:ascii="Calibri" w:hAnsi="Calibri" w:cs="Calibri"/>
                <w:sz w:val="24"/>
                <w:szCs w:val="24"/>
              </w:rPr>
            </w:pPr>
            <w:r w:rsidRPr="003524E6">
              <w:rPr>
                <w:rFonts w:ascii="Calibri" w:hAnsi="Calibri" w:cs="Calibri"/>
                <w:sz w:val="24"/>
                <w:szCs w:val="24"/>
                <w:lang w:val="en-MY"/>
              </w:rPr>
              <w:t>0.068</w:t>
            </w:r>
          </w:p>
        </w:tc>
        <w:tc>
          <w:tcPr>
            <w:tcW w:w="1672" w:type="dxa"/>
          </w:tcPr>
          <w:p w14:paraId="67CEDB76" w14:textId="77777777" w:rsidR="003524E6" w:rsidRPr="003524E6" w:rsidRDefault="003524E6" w:rsidP="006D6B4D">
            <w:pPr>
              <w:jc w:val="center"/>
              <w:rPr>
                <w:rFonts w:ascii="Calibri" w:hAnsi="Calibri" w:cs="Calibri"/>
                <w:sz w:val="24"/>
                <w:szCs w:val="24"/>
              </w:rPr>
            </w:pPr>
            <w:r w:rsidRPr="003524E6">
              <w:rPr>
                <w:rFonts w:ascii="Calibri" w:hAnsi="Calibri" w:cs="Calibri"/>
                <w:sz w:val="24"/>
                <w:szCs w:val="24"/>
                <w:lang w:val="en-MY"/>
              </w:rPr>
              <w:t>0.265</w:t>
            </w:r>
          </w:p>
        </w:tc>
        <w:tc>
          <w:tcPr>
            <w:tcW w:w="992" w:type="dxa"/>
          </w:tcPr>
          <w:p w14:paraId="05C62D5D" w14:textId="77777777" w:rsidR="003524E6" w:rsidRPr="003524E6" w:rsidRDefault="003524E6" w:rsidP="006D6B4D">
            <w:pPr>
              <w:jc w:val="center"/>
              <w:rPr>
                <w:rFonts w:ascii="Calibri" w:hAnsi="Calibri" w:cs="Calibri"/>
                <w:sz w:val="24"/>
                <w:szCs w:val="24"/>
              </w:rPr>
            </w:pPr>
            <w:r w:rsidRPr="003524E6">
              <w:rPr>
                <w:rFonts w:ascii="Calibri" w:hAnsi="Calibri" w:cs="Calibri"/>
                <w:sz w:val="24"/>
                <w:szCs w:val="24"/>
                <w:lang w:val="en-MY"/>
              </w:rPr>
              <w:t>4.152</w:t>
            </w:r>
          </w:p>
        </w:tc>
        <w:tc>
          <w:tcPr>
            <w:tcW w:w="992" w:type="dxa"/>
          </w:tcPr>
          <w:p w14:paraId="1EC7070E" w14:textId="77777777" w:rsidR="003524E6" w:rsidRPr="003524E6" w:rsidRDefault="003524E6" w:rsidP="006D6B4D">
            <w:pPr>
              <w:jc w:val="center"/>
              <w:rPr>
                <w:rFonts w:ascii="Calibri" w:hAnsi="Calibri" w:cs="Calibri"/>
                <w:sz w:val="24"/>
                <w:szCs w:val="24"/>
              </w:rPr>
            </w:pPr>
            <w:r w:rsidRPr="003524E6">
              <w:rPr>
                <w:rFonts w:ascii="Calibri" w:hAnsi="Calibri" w:cs="Calibri"/>
                <w:sz w:val="24"/>
                <w:szCs w:val="24"/>
                <w:lang w:val="en-MY"/>
              </w:rPr>
              <w:t>0.000</w:t>
            </w:r>
          </w:p>
        </w:tc>
      </w:tr>
      <w:tr w:rsidR="003524E6" w:rsidRPr="003524E6" w14:paraId="0F21093C" w14:textId="77777777" w:rsidTr="006D6B4D">
        <w:tc>
          <w:tcPr>
            <w:tcW w:w="3423" w:type="dxa"/>
          </w:tcPr>
          <w:p w14:paraId="74E6A4BB" w14:textId="77777777" w:rsidR="003524E6" w:rsidRPr="003524E6" w:rsidRDefault="003524E6" w:rsidP="006D6B4D">
            <w:pPr>
              <w:jc w:val="both"/>
              <w:rPr>
                <w:rFonts w:ascii="Calibri" w:hAnsi="Calibri" w:cs="Calibri"/>
                <w:sz w:val="24"/>
                <w:szCs w:val="24"/>
              </w:rPr>
            </w:pPr>
            <w:r w:rsidRPr="003524E6">
              <w:rPr>
                <w:rFonts w:ascii="Calibri" w:hAnsi="Calibri" w:cs="Calibri"/>
                <w:sz w:val="24"/>
                <w:szCs w:val="24"/>
              </w:rPr>
              <w:t>Social Norms (SN)</w:t>
            </w:r>
          </w:p>
        </w:tc>
        <w:tc>
          <w:tcPr>
            <w:tcW w:w="967" w:type="dxa"/>
          </w:tcPr>
          <w:p w14:paraId="4F4A9E1B" w14:textId="77777777" w:rsidR="003524E6" w:rsidRPr="003524E6" w:rsidRDefault="003524E6" w:rsidP="006D6B4D">
            <w:pPr>
              <w:jc w:val="center"/>
              <w:rPr>
                <w:rFonts w:ascii="Calibri" w:hAnsi="Calibri" w:cs="Calibri"/>
                <w:sz w:val="24"/>
                <w:szCs w:val="24"/>
              </w:rPr>
            </w:pPr>
            <w:r w:rsidRPr="003524E6">
              <w:rPr>
                <w:rFonts w:ascii="Calibri" w:hAnsi="Calibri" w:cs="Calibri"/>
                <w:sz w:val="24"/>
                <w:szCs w:val="24"/>
                <w:lang w:val="en-MY"/>
              </w:rPr>
              <w:t>0.339</w:t>
            </w:r>
          </w:p>
        </w:tc>
        <w:tc>
          <w:tcPr>
            <w:tcW w:w="1021" w:type="dxa"/>
          </w:tcPr>
          <w:p w14:paraId="7CA05B87" w14:textId="77777777" w:rsidR="003524E6" w:rsidRPr="003524E6" w:rsidRDefault="003524E6" w:rsidP="006D6B4D">
            <w:pPr>
              <w:jc w:val="center"/>
              <w:rPr>
                <w:rFonts w:ascii="Calibri" w:hAnsi="Calibri" w:cs="Calibri"/>
                <w:sz w:val="24"/>
                <w:szCs w:val="24"/>
              </w:rPr>
            </w:pPr>
            <w:r w:rsidRPr="003524E6">
              <w:rPr>
                <w:rFonts w:ascii="Calibri" w:hAnsi="Calibri" w:cs="Calibri"/>
                <w:sz w:val="24"/>
                <w:szCs w:val="24"/>
                <w:lang w:val="en-MY"/>
              </w:rPr>
              <w:t>0.047</w:t>
            </w:r>
          </w:p>
        </w:tc>
        <w:tc>
          <w:tcPr>
            <w:tcW w:w="1672" w:type="dxa"/>
          </w:tcPr>
          <w:p w14:paraId="2EE45590" w14:textId="77777777" w:rsidR="003524E6" w:rsidRPr="003524E6" w:rsidRDefault="003524E6" w:rsidP="006D6B4D">
            <w:pPr>
              <w:jc w:val="center"/>
              <w:rPr>
                <w:rFonts w:ascii="Calibri" w:hAnsi="Calibri" w:cs="Calibri"/>
                <w:sz w:val="24"/>
                <w:szCs w:val="24"/>
              </w:rPr>
            </w:pPr>
            <w:r w:rsidRPr="003524E6">
              <w:rPr>
                <w:rFonts w:ascii="Calibri" w:hAnsi="Calibri" w:cs="Calibri"/>
                <w:sz w:val="24"/>
                <w:szCs w:val="24"/>
                <w:lang w:val="en-MY"/>
              </w:rPr>
              <w:t>0.340</w:t>
            </w:r>
          </w:p>
        </w:tc>
        <w:tc>
          <w:tcPr>
            <w:tcW w:w="992" w:type="dxa"/>
          </w:tcPr>
          <w:p w14:paraId="08B3312F" w14:textId="77777777" w:rsidR="003524E6" w:rsidRPr="003524E6" w:rsidRDefault="003524E6" w:rsidP="006D6B4D">
            <w:pPr>
              <w:jc w:val="center"/>
              <w:rPr>
                <w:rFonts w:ascii="Calibri" w:hAnsi="Calibri" w:cs="Calibri"/>
                <w:sz w:val="24"/>
                <w:szCs w:val="24"/>
              </w:rPr>
            </w:pPr>
            <w:r w:rsidRPr="003524E6">
              <w:rPr>
                <w:rFonts w:ascii="Calibri" w:hAnsi="Calibri" w:cs="Calibri"/>
                <w:sz w:val="24"/>
                <w:szCs w:val="24"/>
                <w:lang w:val="en-MY"/>
              </w:rPr>
              <w:t>7.233</w:t>
            </w:r>
          </w:p>
        </w:tc>
        <w:tc>
          <w:tcPr>
            <w:tcW w:w="992" w:type="dxa"/>
          </w:tcPr>
          <w:p w14:paraId="5D729092" w14:textId="77777777" w:rsidR="003524E6" w:rsidRPr="003524E6" w:rsidRDefault="003524E6" w:rsidP="006D6B4D">
            <w:pPr>
              <w:jc w:val="center"/>
              <w:rPr>
                <w:rFonts w:ascii="Calibri" w:hAnsi="Calibri" w:cs="Calibri"/>
                <w:sz w:val="24"/>
                <w:szCs w:val="24"/>
              </w:rPr>
            </w:pPr>
            <w:r w:rsidRPr="003524E6">
              <w:rPr>
                <w:rFonts w:ascii="Calibri" w:hAnsi="Calibri" w:cs="Calibri"/>
                <w:sz w:val="24"/>
                <w:szCs w:val="24"/>
                <w:lang w:val="en-MY"/>
              </w:rPr>
              <w:t>0.000</w:t>
            </w:r>
          </w:p>
        </w:tc>
      </w:tr>
      <w:tr w:rsidR="003524E6" w:rsidRPr="003524E6" w14:paraId="0A6ABBCC" w14:textId="77777777" w:rsidTr="006D6B4D">
        <w:tc>
          <w:tcPr>
            <w:tcW w:w="3423" w:type="dxa"/>
          </w:tcPr>
          <w:p w14:paraId="016BEE42" w14:textId="77777777" w:rsidR="003524E6" w:rsidRPr="003524E6" w:rsidRDefault="003524E6" w:rsidP="006D6B4D">
            <w:pPr>
              <w:jc w:val="both"/>
              <w:rPr>
                <w:rFonts w:ascii="Calibri" w:hAnsi="Calibri" w:cs="Calibri"/>
                <w:sz w:val="24"/>
                <w:szCs w:val="24"/>
              </w:rPr>
            </w:pPr>
            <w:r w:rsidRPr="003524E6">
              <w:rPr>
                <w:rFonts w:ascii="Calibri" w:hAnsi="Calibri" w:cs="Calibri"/>
                <w:sz w:val="24"/>
                <w:szCs w:val="24"/>
              </w:rPr>
              <w:t>Perceived Behaviour Control (PB)</w:t>
            </w:r>
          </w:p>
        </w:tc>
        <w:tc>
          <w:tcPr>
            <w:tcW w:w="967" w:type="dxa"/>
          </w:tcPr>
          <w:p w14:paraId="24A01AF1" w14:textId="77777777" w:rsidR="003524E6" w:rsidRPr="003524E6" w:rsidRDefault="003524E6" w:rsidP="006D6B4D">
            <w:pPr>
              <w:jc w:val="center"/>
              <w:rPr>
                <w:rFonts w:ascii="Calibri" w:hAnsi="Calibri" w:cs="Calibri"/>
                <w:sz w:val="24"/>
                <w:szCs w:val="24"/>
              </w:rPr>
            </w:pPr>
            <w:r w:rsidRPr="003524E6">
              <w:rPr>
                <w:rFonts w:ascii="Calibri" w:hAnsi="Calibri" w:cs="Calibri"/>
                <w:sz w:val="24"/>
                <w:szCs w:val="24"/>
                <w:lang w:val="en-MY"/>
              </w:rPr>
              <w:t>0.374</w:t>
            </w:r>
          </w:p>
        </w:tc>
        <w:tc>
          <w:tcPr>
            <w:tcW w:w="1021" w:type="dxa"/>
          </w:tcPr>
          <w:p w14:paraId="2D365589" w14:textId="77777777" w:rsidR="003524E6" w:rsidRPr="003524E6" w:rsidRDefault="003524E6" w:rsidP="006D6B4D">
            <w:pPr>
              <w:jc w:val="center"/>
              <w:rPr>
                <w:rFonts w:ascii="Calibri" w:hAnsi="Calibri" w:cs="Calibri"/>
                <w:sz w:val="24"/>
                <w:szCs w:val="24"/>
              </w:rPr>
            </w:pPr>
            <w:r w:rsidRPr="003524E6">
              <w:rPr>
                <w:rFonts w:ascii="Calibri" w:hAnsi="Calibri" w:cs="Calibri"/>
                <w:sz w:val="24"/>
                <w:szCs w:val="24"/>
                <w:lang w:val="en-MY"/>
              </w:rPr>
              <w:t>0.068</w:t>
            </w:r>
          </w:p>
        </w:tc>
        <w:tc>
          <w:tcPr>
            <w:tcW w:w="1672" w:type="dxa"/>
          </w:tcPr>
          <w:p w14:paraId="187C40C7" w14:textId="77777777" w:rsidR="003524E6" w:rsidRPr="003524E6" w:rsidRDefault="003524E6" w:rsidP="006D6B4D">
            <w:pPr>
              <w:jc w:val="center"/>
              <w:rPr>
                <w:rFonts w:ascii="Calibri" w:hAnsi="Calibri" w:cs="Calibri"/>
                <w:sz w:val="24"/>
                <w:szCs w:val="24"/>
              </w:rPr>
            </w:pPr>
            <w:r w:rsidRPr="003524E6">
              <w:rPr>
                <w:rFonts w:ascii="Calibri" w:hAnsi="Calibri" w:cs="Calibri"/>
                <w:sz w:val="24"/>
                <w:szCs w:val="24"/>
                <w:lang w:val="en-MY"/>
              </w:rPr>
              <w:t>0.365</w:t>
            </w:r>
          </w:p>
        </w:tc>
        <w:tc>
          <w:tcPr>
            <w:tcW w:w="992" w:type="dxa"/>
          </w:tcPr>
          <w:p w14:paraId="71CDBF82" w14:textId="77777777" w:rsidR="003524E6" w:rsidRPr="003524E6" w:rsidRDefault="003524E6" w:rsidP="006D6B4D">
            <w:pPr>
              <w:jc w:val="center"/>
              <w:rPr>
                <w:rFonts w:ascii="Calibri" w:hAnsi="Calibri" w:cs="Calibri"/>
                <w:sz w:val="24"/>
                <w:szCs w:val="24"/>
              </w:rPr>
            </w:pPr>
            <w:r w:rsidRPr="003524E6">
              <w:rPr>
                <w:rFonts w:ascii="Calibri" w:hAnsi="Calibri" w:cs="Calibri"/>
                <w:sz w:val="24"/>
                <w:szCs w:val="24"/>
                <w:lang w:val="en-MY"/>
              </w:rPr>
              <w:t>5.502</w:t>
            </w:r>
          </w:p>
        </w:tc>
        <w:tc>
          <w:tcPr>
            <w:tcW w:w="992" w:type="dxa"/>
          </w:tcPr>
          <w:p w14:paraId="7D38E309" w14:textId="77777777" w:rsidR="003524E6" w:rsidRPr="003524E6" w:rsidRDefault="003524E6" w:rsidP="006D6B4D">
            <w:pPr>
              <w:jc w:val="center"/>
              <w:rPr>
                <w:rFonts w:ascii="Calibri" w:hAnsi="Calibri" w:cs="Calibri"/>
                <w:sz w:val="24"/>
                <w:szCs w:val="24"/>
              </w:rPr>
            </w:pPr>
            <w:r w:rsidRPr="003524E6">
              <w:rPr>
                <w:rFonts w:ascii="Calibri" w:hAnsi="Calibri" w:cs="Calibri"/>
                <w:sz w:val="24"/>
                <w:szCs w:val="24"/>
                <w:lang w:val="en-MY"/>
              </w:rPr>
              <w:t>0.000</w:t>
            </w:r>
          </w:p>
        </w:tc>
      </w:tr>
      <w:tr w:rsidR="003524E6" w:rsidRPr="003524E6" w14:paraId="62FB46EC" w14:textId="77777777" w:rsidTr="006D6B4D">
        <w:tc>
          <w:tcPr>
            <w:tcW w:w="9067" w:type="dxa"/>
            <w:gridSpan w:val="6"/>
          </w:tcPr>
          <w:p w14:paraId="3BB32766" w14:textId="77777777" w:rsidR="003524E6" w:rsidRPr="003524E6" w:rsidRDefault="003524E6" w:rsidP="006D6B4D">
            <w:pPr>
              <w:jc w:val="both"/>
              <w:rPr>
                <w:rFonts w:ascii="Calibri" w:hAnsi="Calibri" w:cs="Calibri"/>
                <w:sz w:val="24"/>
                <w:szCs w:val="24"/>
                <w:lang w:val="en-MY"/>
              </w:rPr>
            </w:pPr>
            <w:r w:rsidRPr="003524E6">
              <w:rPr>
                <w:rFonts w:ascii="Calibri" w:hAnsi="Calibri" w:cs="Calibri"/>
                <w:sz w:val="24"/>
                <w:szCs w:val="24"/>
                <w:lang w:val="en-MY"/>
              </w:rPr>
              <w:t xml:space="preserve">Dependent Variable: </w:t>
            </w:r>
            <w:r w:rsidRPr="003524E6">
              <w:rPr>
                <w:rFonts w:ascii="Calibri" w:hAnsi="Calibri" w:cs="Calibri"/>
                <w:sz w:val="24"/>
                <w:szCs w:val="24"/>
              </w:rPr>
              <w:t>Boycott Intention (BI)</w:t>
            </w:r>
          </w:p>
        </w:tc>
      </w:tr>
    </w:tbl>
    <w:p w14:paraId="5CDCC7E4" w14:textId="77777777" w:rsidR="003524E6" w:rsidRPr="003524E6" w:rsidRDefault="003524E6" w:rsidP="003524E6">
      <w:pPr>
        <w:spacing w:after="0"/>
        <w:jc w:val="both"/>
        <w:rPr>
          <w:rFonts w:ascii="Calibri" w:hAnsi="Calibri" w:cs="Calibri"/>
          <w:sz w:val="24"/>
          <w:szCs w:val="24"/>
          <w:lang w:val="en-MY"/>
        </w:rPr>
      </w:pPr>
    </w:p>
    <w:p w14:paraId="74AA36F8" w14:textId="77777777" w:rsidR="00A860B0" w:rsidRPr="003524E6" w:rsidRDefault="00A860B0" w:rsidP="00D93144">
      <w:pPr>
        <w:spacing w:after="0"/>
        <w:jc w:val="both"/>
        <w:rPr>
          <w:rFonts w:ascii="Calibri" w:hAnsi="Calibri" w:cs="Calibri"/>
          <w:b/>
          <w:bCs/>
          <w:sz w:val="24"/>
          <w:szCs w:val="24"/>
        </w:rPr>
      </w:pPr>
    </w:p>
    <w:p w14:paraId="498D00D2" w14:textId="08BEAB8E" w:rsidR="009052E4" w:rsidRPr="003524E6" w:rsidRDefault="004F72EB" w:rsidP="00D93144">
      <w:pPr>
        <w:spacing w:after="0"/>
        <w:jc w:val="both"/>
        <w:rPr>
          <w:rFonts w:ascii="Calibri" w:hAnsi="Calibri" w:cs="Calibri"/>
          <w:b/>
          <w:bCs/>
          <w:sz w:val="24"/>
          <w:szCs w:val="24"/>
        </w:rPr>
      </w:pPr>
      <w:r w:rsidRPr="003524E6">
        <w:rPr>
          <w:rFonts w:ascii="Calibri" w:hAnsi="Calibri" w:cs="Calibri"/>
          <w:b/>
          <w:bCs/>
          <w:sz w:val="24"/>
          <w:szCs w:val="24"/>
        </w:rPr>
        <w:t>5.0</w:t>
      </w:r>
      <w:r w:rsidRPr="003524E6">
        <w:rPr>
          <w:rFonts w:ascii="Calibri" w:hAnsi="Calibri" w:cs="Calibri"/>
          <w:b/>
          <w:bCs/>
          <w:sz w:val="24"/>
          <w:szCs w:val="24"/>
        </w:rPr>
        <w:tab/>
      </w:r>
      <w:r w:rsidR="009052E4" w:rsidRPr="003524E6">
        <w:rPr>
          <w:rFonts w:ascii="Calibri" w:hAnsi="Calibri" w:cs="Calibri"/>
          <w:b/>
          <w:bCs/>
          <w:sz w:val="24"/>
          <w:szCs w:val="24"/>
        </w:rPr>
        <w:t xml:space="preserve">Conclusion </w:t>
      </w:r>
    </w:p>
    <w:p w14:paraId="1BF813F9" w14:textId="77777777" w:rsidR="004F72EB" w:rsidRPr="004F72EB" w:rsidRDefault="004F72EB" w:rsidP="004F72EB">
      <w:pPr>
        <w:spacing w:after="0"/>
        <w:jc w:val="both"/>
        <w:rPr>
          <w:rFonts w:ascii="Calibri" w:hAnsi="Calibri" w:cs="Calibri"/>
          <w:sz w:val="24"/>
          <w:szCs w:val="24"/>
          <w:lang w:val="en-MY"/>
        </w:rPr>
      </w:pPr>
      <w:r w:rsidRPr="004F72EB">
        <w:rPr>
          <w:rFonts w:ascii="Calibri" w:hAnsi="Calibri" w:cs="Calibri"/>
          <w:sz w:val="24"/>
          <w:szCs w:val="24"/>
          <w:lang w:val="en-MY"/>
        </w:rPr>
        <w:t>This study set out to examine the determinants of Malaysian consumers’ boycott intention using the Theory of Planned Behaviour (TPB). The findings provide strong empirical support for the applicability of TPB in explaining consumer boycott behaviour within the Malaysian context. Specifically, attitude, social norms, and perceived behavioural control were all found to have positive and statistically significant effects on boycott intention.</w:t>
      </w:r>
    </w:p>
    <w:p w14:paraId="27C6372D" w14:textId="77777777" w:rsidR="006134A8" w:rsidRDefault="006134A8" w:rsidP="004F72EB">
      <w:pPr>
        <w:spacing w:after="0"/>
        <w:jc w:val="both"/>
        <w:rPr>
          <w:rFonts w:ascii="Calibri" w:hAnsi="Calibri" w:cs="Calibri"/>
          <w:sz w:val="24"/>
          <w:szCs w:val="24"/>
          <w:lang w:val="en-MY"/>
        </w:rPr>
      </w:pPr>
    </w:p>
    <w:p w14:paraId="1722FE6B" w14:textId="5896AF0C" w:rsidR="004F72EB" w:rsidRPr="004F72EB" w:rsidRDefault="004F72EB" w:rsidP="004F72EB">
      <w:pPr>
        <w:spacing w:after="0"/>
        <w:jc w:val="both"/>
        <w:rPr>
          <w:rFonts w:ascii="Calibri" w:hAnsi="Calibri" w:cs="Calibri"/>
          <w:sz w:val="24"/>
          <w:szCs w:val="24"/>
          <w:lang w:val="en-MY"/>
        </w:rPr>
      </w:pPr>
      <w:r w:rsidRPr="004F72EB">
        <w:rPr>
          <w:rFonts w:ascii="Calibri" w:hAnsi="Calibri" w:cs="Calibri"/>
          <w:sz w:val="24"/>
          <w:szCs w:val="24"/>
          <w:lang w:val="en-MY"/>
        </w:rPr>
        <w:t>Among these factors, perceived behavioural control emerged as the most influential predictor, indicating that consumers’ perceived ability, resources, and ease of engaging in boycott behaviour play a critical role in shaping their intention. This suggests that even when individuals hold favourable attitudes or perceive social support, their intention to participate in boycotts is more strongly driven by their confidence in their ability to act. Social norms were identified as the second strongest predictor, highlighting the importance of social influence, including family, friends, and societal expectations, in encouraging boycott participation. Attitude, while still significant, demonstrated a comparatively weaker effect, indicating that positive evaluations alone may not be sufficient to drive behavioural intention without supportive conditions and social reinforcement.</w:t>
      </w:r>
    </w:p>
    <w:p w14:paraId="3615E695" w14:textId="77777777" w:rsidR="004F72EB" w:rsidRPr="003524E6" w:rsidRDefault="004F72EB" w:rsidP="004F72EB">
      <w:pPr>
        <w:spacing w:after="0"/>
        <w:jc w:val="both"/>
        <w:rPr>
          <w:rFonts w:ascii="Calibri" w:hAnsi="Calibri" w:cs="Calibri"/>
          <w:sz w:val="24"/>
          <w:szCs w:val="24"/>
          <w:lang w:val="en-MY"/>
        </w:rPr>
      </w:pPr>
    </w:p>
    <w:p w14:paraId="21C0352B" w14:textId="61BF4A73" w:rsidR="007A4428" w:rsidRPr="003524E6" w:rsidRDefault="004F72EB" w:rsidP="00D93144">
      <w:pPr>
        <w:spacing w:after="0"/>
        <w:jc w:val="both"/>
        <w:rPr>
          <w:rFonts w:ascii="Calibri" w:hAnsi="Calibri" w:cs="Calibri"/>
          <w:sz w:val="24"/>
          <w:szCs w:val="24"/>
          <w:lang w:val="en-MY"/>
        </w:rPr>
      </w:pPr>
      <w:r w:rsidRPr="004F72EB">
        <w:rPr>
          <w:rFonts w:ascii="Calibri" w:hAnsi="Calibri" w:cs="Calibri"/>
          <w:sz w:val="24"/>
          <w:szCs w:val="24"/>
          <w:lang w:val="en-MY"/>
        </w:rPr>
        <w:t xml:space="preserve">These findings contribute to the existing literature by reinforcing the robustness of TPB in the context of ethical consumption and consumer activism. From a practical perspective, the results suggest that policymakers, advocacy groups, and consumer organizations should focus on enhancing </w:t>
      </w:r>
      <w:r w:rsidRPr="003524E6">
        <w:rPr>
          <w:rFonts w:ascii="Calibri" w:hAnsi="Calibri" w:cs="Calibri"/>
          <w:sz w:val="24"/>
          <w:szCs w:val="24"/>
          <w:lang w:val="en-MY"/>
        </w:rPr>
        <w:t>consumers</w:t>
      </w:r>
      <w:r w:rsidRPr="004F72EB">
        <w:rPr>
          <w:rFonts w:ascii="Calibri" w:hAnsi="Calibri" w:cs="Calibri"/>
          <w:sz w:val="24"/>
          <w:szCs w:val="24"/>
          <w:lang w:val="en-MY"/>
        </w:rPr>
        <w:t xml:space="preserve"> perceived behavioural control by providing accessible information, increasing awareness of boycott alternatives, and reducing barriers to participation. Additionally, leveraging social influence through campaigns and community engagement may further strengthen consumers’ intention to engage in boycott behaviour.</w:t>
      </w:r>
      <w:r w:rsidRPr="003524E6">
        <w:rPr>
          <w:rFonts w:ascii="Calibri" w:hAnsi="Calibri" w:cs="Calibri"/>
          <w:sz w:val="24"/>
          <w:szCs w:val="24"/>
          <w:lang w:val="en-MY"/>
        </w:rPr>
        <w:t xml:space="preserve"> T</w:t>
      </w:r>
      <w:r w:rsidRPr="004F72EB">
        <w:rPr>
          <w:rFonts w:ascii="Calibri" w:hAnsi="Calibri" w:cs="Calibri"/>
          <w:sz w:val="24"/>
          <w:szCs w:val="24"/>
          <w:lang w:val="en-MY"/>
        </w:rPr>
        <w:t>his study highlights that consumer boycott intention is a multifaceted phenomenon influenced not only by individual attitudes but also by social pressures and, most importantly, by perceived capability. Future research may extend this study by incorporating additional variables such as moral obligation, media influence, or cultural factors, as well as employing longitudinal designs to better understand changes in boycott behaviour over time</w:t>
      </w:r>
      <w:r w:rsidR="000C350B" w:rsidRPr="003524E6">
        <w:rPr>
          <w:rFonts w:ascii="Calibri" w:hAnsi="Calibri" w:cs="Calibri"/>
          <w:sz w:val="24"/>
          <w:szCs w:val="24"/>
          <w:lang w:val="en-MY"/>
        </w:rPr>
        <w:t>.</w:t>
      </w:r>
    </w:p>
    <w:p w14:paraId="7351F1DE" w14:textId="77777777" w:rsidR="006134A8" w:rsidRDefault="006134A8" w:rsidP="000C350B">
      <w:pPr>
        <w:widowControl w:val="0"/>
        <w:autoSpaceDE w:val="0"/>
        <w:autoSpaceDN w:val="0"/>
        <w:spacing w:after="0" w:line="276" w:lineRule="auto"/>
        <w:jc w:val="both"/>
        <w:rPr>
          <w:rFonts w:ascii="Calibri" w:hAnsi="Calibri" w:cs="Calibri"/>
          <w:b/>
          <w:bCs/>
          <w:sz w:val="24"/>
          <w:szCs w:val="24"/>
        </w:rPr>
      </w:pPr>
    </w:p>
    <w:p w14:paraId="54812729" w14:textId="7A3F8EB0" w:rsidR="000C350B" w:rsidRPr="003524E6" w:rsidRDefault="004F72EB" w:rsidP="000C350B">
      <w:pPr>
        <w:widowControl w:val="0"/>
        <w:autoSpaceDE w:val="0"/>
        <w:autoSpaceDN w:val="0"/>
        <w:spacing w:after="0" w:line="276" w:lineRule="auto"/>
        <w:jc w:val="both"/>
        <w:rPr>
          <w:rFonts w:ascii="Calibri" w:hAnsi="Calibri" w:cs="Calibri"/>
          <w:b/>
          <w:bCs/>
          <w:sz w:val="24"/>
          <w:szCs w:val="24"/>
        </w:rPr>
      </w:pPr>
      <w:r w:rsidRPr="003524E6">
        <w:rPr>
          <w:rFonts w:ascii="Calibri" w:hAnsi="Calibri" w:cs="Calibri"/>
          <w:b/>
          <w:bCs/>
          <w:sz w:val="24"/>
          <w:szCs w:val="24"/>
        </w:rPr>
        <w:t>6.0</w:t>
      </w:r>
      <w:r w:rsidRPr="003524E6">
        <w:rPr>
          <w:rFonts w:ascii="Calibri" w:hAnsi="Calibri" w:cs="Calibri"/>
          <w:b/>
          <w:bCs/>
          <w:sz w:val="24"/>
          <w:szCs w:val="24"/>
        </w:rPr>
        <w:tab/>
      </w:r>
      <w:r w:rsidR="00DA4527" w:rsidRPr="003524E6">
        <w:rPr>
          <w:rFonts w:ascii="Calibri" w:hAnsi="Calibri" w:cs="Calibri"/>
          <w:b/>
          <w:bCs/>
          <w:sz w:val="24"/>
          <w:szCs w:val="24"/>
        </w:rPr>
        <w:t>References</w:t>
      </w:r>
    </w:p>
    <w:p w14:paraId="79C83A70" w14:textId="77777777" w:rsidR="000C350B" w:rsidRPr="003524E6" w:rsidRDefault="000C350B" w:rsidP="00D93144">
      <w:pPr>
        <w:spacing w:after="0"/>
        <w:jc w:val="both"/>
        <w:rPr>
          <w:rStyle w:val="Hyperlink"/>
          <w:rFonts w:cstheme="minorHAnsi"/>
          <w:lang w:val="en-MY"/>
        </w:rPr>
      </w:pPr>
    </w:p>
    <w:p w14:paraId="1176E622" w14:textId="77777777" w:rsidR="000C350B" w:rsidRPr="003524E6" w:rsidRDefault="000C350B" w:rsidP="00D93144">
      <w:pPr>
        <w:spacing w:after="0"/>
        <w:jc w:val="both"/>
        <w:rPr>
          <w:rFonts w:ascii="Calibri" w:hAnsi="Calibri" w:cs="Calibri"/>
          <w:sz w:val="24"/>
          <w:szCs w:val="24"/>
        </w:rPr>
      </w:pPr>
      <w:r w:rsidRPr="003524E6">
        <w:rPr>
          <w:rFonts w:ascii="Calibri" w:hAnsi="Calibri" w:cs="Calibri"/>
          <w:sz w:val="24"/>
          <w:szCs w:val="24"/>
        </w:rPr>
        <w:t>Ajzen, I. (1991). The theory of Planned behaviour. </w:t>
      </w:r>
      <w:r w:rsidRPr="003524E6">
        <w:rPr>
          <w:rFonts w:ascii="Calibri" w:hAnsi="Calibri" w:cs="Calibri"/>
          <w:i/>
          <w:iCs/>
          <w:sz w:val="24"/>
          <w:szCs w:val="24"/>
        </w:rPr>
        <w:t>Organizational Behaviour and Human Decision Processes</w:t>
      </w:r>
      <w:r w:rsidRPr="003524E6">
        <w:rPr>
          <w:rFonts w:ascii="Calibri" w:hAnsi="Calibri" w:cs="Calibri"/>
          <w:sz w:val="24"/>
          <w:szCs w:val="24"/>
        </w:rPr>
        <w:t>, </w:t>
      </w:r>
      <w:r w:rsidRPr="003524E6">
        <w:rPr>
          <w:rFonts w:ascii="Calibri" w:hAnsi="Calibri" w:cs="Calibri"/>
          <w:i/>
          <w:iCs/>
          <w:sz w:val="24"/>
          <w:szCs w:val="24"/>
        </w:rPr>
        <w:t>50</w:t>
      </w:r>
      <w:r w:rsidRPr="003524E6">
        <w:rPr>
          <w:rFonts w:ascii="Calibri" w:hAnsi="Calibri" w:cs="Calibri"/>
          <w:sz w:val="24"/>
          <w:szCs w:val="24"/>
        </w:rPr>
        <w:t xml:space="preserve">(2), 179-211. </w:t>
      </w:r>
      <w:hyperlink r:id="rId6" w:history="1">
        <w:r w:rsidRPr="003524E6">
          <w:rPr>
            <w:rStyle w:val="Hyperlink"/>
            <w:rFonts w:ascii="Calibri" w:hAnsi="Calibri" w:cs="Calibri"/>
            <w:sz w:val="24"/>
            <w:szCs w:val="24"/>
          </w:rPr>
          <w:t>https://doi.org/10.1016/0749-5978(91)90020-T</w:t>
        </w:r>
      </w:hyperlink>
    </w:p>
    <w:p w14:paraId="482C28AA" w14:textId="77777777" w:rsidR="000C350B" w:rsidRPr="003524E6" w:rsidRDefault="000C350B" w:rsidP="00D93144">
      <w:pPr>
        <w:spacing w:after="0"/>
        <w:jc w:val="both"/>
        <w:rPr>
          <w:rFonts w:ascii="Calibri" w:hAnsi="Calibri" w:cs="Calibri"/>
          <w:sz w:val="24"/>
          <w:szCs w:val="24"/>
        </w:rPr>
      </w:pPr>
    </w:p>
    <w:p w14:paraId="19675B2E" w14:textId="7E3B68B0" w:rsidR="000C350B" w:rsidRPr="003524E6" w:rsidRDefault="000C350B" w:rsidP="00D93144">
      <w:pPr>
        <w:spacing w:after="0"/>
        <w:jc w:val="both"/>
        <w:rPr>
          <w:rFonts w:ascii="Calibri" w:hAnsi="Calibri" w:cs="Calibri"/>
          <w:sz w:val="24"/>
          <w:szCs w:val="24"/>
        </w:rPr>
      </w:pPr>
      <w:r w:rsidRPr="003524E6">
        <w:rPr>
          <w:rFonts w:ascii="Calibri" w:hAnsi="Calibri" w:cs="Calibri"/>
          <w:sz w:val="24"/>
          <w:szCs w:val="24"/>
        </w:rPr>
        <w:t>Alias A. S. N., Mohamed, N. H., &amp; Mohamad, M. (2024). Riding the Gaza Boycott Wave: A Strategic Guide for Malaysian Franchises. </w:t>
      </w:r>
      <w:r w:rsidRPr="003524E6">
        <w:rPr>
          <w:rFonts w:ascii="Calibri" w:hAnsi="Calibri" w:cs="Calibri"/>
          <w:i/>
          <w:iCs/>
          <w:sz w:val="24"/>
          <w:szCs w:val="24"/>
        </w:rPr>
        <w:t>Global Business &amp; Management Research</w:t>
      </w:r>
      <w:r w:rsidRPr="003524E6">
        <w:rPr>
          <w:rFonts w:ascii="Calibri" w:hAnsi="Calibri" w:cs="Calibri"/>
          <w:sz w:val="24"/>
          <w:szCs w:val="24"/>
        </w:rPr>
        <w:t>, </w:t>
      </w:r>
      <w:r w:rsidRPr="003524E6">
        <w:rPr>
          <w:rFonts w:ascii="Calibri" w:hAnsi="Calibri" w:cs="Calibri"/>
          <w:i/>
          <w:iCs/>
          <w:sz w:val="24"/>
          <w:szCs w:val="24"/>
        </w:rPr>
        <w:t>16</w:t>
      </w:r>
      <w:r w:rsidRPr="003524E6">
        <w:rPr>
          <w:rFonts w:ascii="Calibri" w:hAnsi="Calibri" w:cs="Calibri"/>
          <w:sz w:val="24"/>
          <w:szCs w:val="24"/>
        </w:rPr>
        <w:t xml:space="preserve">(3S), 138-149. </w:t>
      </w:r>
      <w:hyperlink r:id="rId7" w:history="1">
        <w:r w:rsidRPr="003524E6">
          <w:rPr>
            <w:rStyle w:val="Hyperlink"/>
            <w:rFonts w:ascii="Calibri" w:hAnsi="Calibri" w:cs="Calibri"/>
            <w:sz w:val="24"/>
            <w:szCs w:val="24"/>
          </w:rPr>
          <w:t>https://www.gbmrjournal.com/pdf/v16n3s/V16N3s-11.pdf</w:t>
        </w:r>
      </w:hyperlink>
    </w:p>
    <w:p w14:paraId="44F14A1E" w14:textId="77777777" w:rsidR="000C350B" w:rsidRPr="003524E6" w:rsidRDefault="000C350B" w:rsidP="00D93144">
      <w:pPr>
        <w:widowControl w:val="0"/>
        <w:autoSpaceDE w:val="0"/>
        <w:autoSpaceDN w:val="0"/>
        <w:spacing w:after="0" w:line="276" w:lineRule="auto"/>
        <w:jc w:val="both"/>
        <w:rPr>
          <w:rFonts w:ascii="Calibri" w:hAnsi="Calibri" w:cs="Calibri"/>
          <w:sz w:val="24"/>
          <w:szCs w:val="24"/>
        </w:rPr>
      </w:pPr>
    </w:p>
    <w:p w14:paraId="2D21A95C" w14:textId="6120DDFE" w:rsidR="000C350B" w:rsidRPr="003524E6" w:rsidRDefault="000C350B" w:rsidP="00D93144">
      <w:pPr>
        <w:widowControl w:val="0"/>
        <w:autoSpaceDE w:val="0"/>
        <w:autoSpaceDN w:val="0"/>
        <w:spacing w:after="0" w:line="276" w:lineRule="auto"/>
        <w:jc w:val="both"/>
        <w:rPr>
          <w:rFonts w:ascii="Calibri" w:hAnsi="Calibri" w:cs="Calibri"/>
          <w:sz w:val="24"/>
          <w:szCs w:val="24"/>
        </w:rPr>
      </w:pPr>
      <w:r w:rsidRPr="003524E6">
        <w:rPr>
          <w:rFonts w:ascii="Calibri" w:hAnsi="Calibri" w:cs="Calibri"/>
          <w:sz w:val="24"/>
          <w:szCs w:val="24"/>
        </w:rPr>
        <w:t xml:space="preserve">Chiang, L. F., &amp; Arif, A. M. M. (2024). The Intention to Participate in the Boycott Movement among University Students. </w:t>
      </w:r>
      <w:r w:rsidRPr="003524E6">
        <w:rPr>
          <w:rFonts w:ascii="Calibri" w:hAnsi="Calibri" w:cs="Calibri"/>
          <w:i/>
          <w:iCs/>
          <w:sz w:val="24"/>
          <w:szCs w:val="24"/>
        </w:rPr>
        <w:t>International Journal of Academic Research in Business and Social Sciences, 14</w:t>
      </w:r>
      <w:r w:rsidRPr="003524E6">
        <w:rPr>
          <w:rFonts w:ascii="Calibri" w:hAnsi="Calibri" w:cs="Calibri"/>
          <w:sz w:val="24"/>
          <w:szCs w:val="24"/>
        </w:rPr>
        <w:t xml:space="preserve">(10), 1932-1944. </w:t>
      </w:r>
      <w:hyperlink r:id="rId8" w:history="1">
        <w:r w:rsidRPr="003524E6">
          <w:rPr>
            <w:rStyle w:val="Hyperlink"/>
            <w:rFonts w:ascii="Calibri" w:hAnsi="Calibri" w:cs="Calibri"/>
            <w:sz w:val="24"/>
            <w:szCs w:val="24"/>
          </w:rPr>
          <w:t>http://dx.doi.org/10.6007/IJARBSS/v14-i10/23307</w:t>
        </w:r>
      </w:hyperlink>
    </w:p>
    <w:p w14:paraId="7F6B0A5B" w14:textId="53702891" w:rsidR="000C350B" w:rsidRPr="003524E6" w:rsidRDefault="002B35C5" w:rsidP="004F72EB">
      <w:pPr>
        <w:jc w:val="both"/>
        <w:rPr>
          <w:rStyle w:val="Hyperlink"/>
          <w:rFonts w:cstheme="minorHAnsi"/>
          <w:lang w:val="en-MY"/>
        </w:rPr>
      </w:pPr>
      <w:r>
        <w:rPr>
          <w:rFonts w:cstheme="minorHAnsi"/>
          <w:lang w:val="en-MY"/>
        </w:rPr>
        <w:br/>
      </w:r>
      <w:r w:rsidR="000C350B" w:rsidRPr="003524E6">
        <w:rPr>
          <w:rFonts w:cstheme="minorHAnsi"/>
          <w:lang w:val="en-MY"/>
        </w:rPr>
        <w:t xml:space="preserve">Cronbach, L. J. (1951). Coefficient alpha and the internal structure of tests. </w:t>
      </w:r>
      <w:r w:rsidR="000C350B" w:rsidRPr="003524E6">
        <w:rPr>
          <w:rFonts w:cstheme="minorHAnsi"/>
          <w:i/>
          <w:iCs/>
          <w:lang w:val="en-MY"/>
        </w:rPr>
        <w:t>Psychometrika</w:t>
      </w:r>
      <w:r w:rsidR="000C350B" w:rsidRPr="003524E6">
        <w:rPr>
          <w:rFonts w:cstheme="minorHAnsi"/>
          <w:lang w:val="en-MY"/>
        </w:rPr>
        <w:t xml:space="preserve">, </w:t>
      </w:r>
      <w:r w:rsidR="000C350B" w:rsidRPr="003524E6">
        <w:rPr>
          <w:rFonts w:cstheme="minorHAnsi"/>
          <w:i/>
          <w:iCs/>
          <w:lang w:val="en-MY"/>
        </w:rPr>
        <w:t>16</w:t>
      </w:r>
      <w:r w:rsidR="000C350B" w:rsidRPr="003524E6">
        <w:rPr>
          <w:rFonts w:cstheme="minorHAnsi"/>
          <w:lang w:val="en-MY"/>
        </w:rPr>
        <w:t xml:space="preserve">(3), 297–334. </w:t>
      </w:r>
      <w:hyperlink r:id="rId9" w:history="1">
        <w:r w:rsidR="000C350B" w:rsidRPr="003524E6">
          <w:rPr>
            <w:rStyle w:val="Hyperlink"/>
            <w:rFonts w:cstheme="minorHAnsi"/>
            <w:lang w:val="en-MY"/>
          </w:rPr>
          <w:t>https://doi.org/10.1007/BF0231055</w:t>
        </w:r>
      </w:hyperlink>
    </w:p>
    <w:p w14:paraId="48794064" w14:textId="103D116B" w:rsidR="000C350B" w:rsidRPr="003524E6" w:rsidRDefault="000C350B" w:rsidP="00D93144">
      <w:pPr>
        <w:spacing w:after="0"/>
        <w:jc w:val="both"/>
        <w:rPr>
          <w:rStyle w:val="Hyperlink"/>
          <w:rFonts w:ascii="Calibri" w:hAnsi="Calibri" w:cs="Calibri"/>
          <w:sz w:val="24"/>
          <w:szCs w:val="24"/>
        </w:rPr>
      </w:pPr>
      <w:r w:rsidRPr="003524E6">
        <w:rPr>
          <w:rFonts w:ascii="Calibri" w:hAnsi="Calibri" w:cs="Calibri"/>
          <w:sz w:val="24"/>
          <w:szCs w:val="24"/>
        </w:rPr>
        <w:t>Hamzah, H., &amp; Mustafa, H. (2019). Exploring consumer boycott intelligence towards Israel-related companies in Malaysia: An integration of the theory of planned behaviour with transtheoretical stages of change. </w:t>
      </w:r>
      <w:r w:rsidRPr="003524E6">
        <w:rPr>
          <w:rFonts w:ascii="Calibri" w:hAnsi="Calibri" w:cs="Calibri"/>
          <w:i/>
          <w:iCs/>
          <w:sz w:val="24"/>
          <w:szCs w:val="24"/>
        </w:rPr>
        <w:t>Journal of Islamic Marketing</w:t>
      </w:r>
      <w:r w:rsidRPr="003524E6">
        <w:rPr>
          <w:rFonts w:ascii="Calibri" w:hAnsi="Calibri" w:cs="Calibri"/>
          <w:sz w:val="24"/>
          <w:szCs w:val="24"/>
        </w:rPr>
        <w:t>, </w:t>
      </w:r>
      <w:r w:rsidRPr="003524E6">
        <w:rPr>
          <w:rFonts w:ascii="Calibri" w:hAnsi="Calibri" w:cs="Calibri"/>
          <w:i/>
          <w:iCs/>
          <w:sz w:val="24"/>
          <w:szCs w:val="24"/>
        </w:rPr>
        <w:t>10</w:t>
      </w:r>
      <w:r w:rsidRPr="003524E6">
        <w:rPr>
          <w:rFonts w:ascii="Calibri" w:hAnsi="Calibri" w:cs="Calibri"/>
          <w:sz w:val="24"/>
          <w:szCs w:val="24"/>
        </w:rPr>
        <w:t xml:space="preserve">(1), 208-226. </w:t>
      </w:r>
      <w:hyperlink r:id="rId10" w:history="1">
        <w:r w:rsidRPr="003524E6">
          <w:rPr>
            <w:rStyle w:val="Hyperlink"/>
            <w:rFonts w:ascii="Calibri" w:hAnsi="Calibri" w:cs="Calibri"/>
            <w:sz w:val="24"/>
            <w:szCs w:val="24"/>
          </w:rPr>
          <w:t>https://doi.org/10.1108/JIMA-06-2017-0070</w:t>
        </w:r>
      </w:hyperlink>
    </w:p>
    <w:p w14:paraId="13226F64" w14:textId="77777777" w:rsidR="000C350B" w:rsidRPr="003524E6" w:rsidRDefault="000C350B" w:rsidP="00D93144">
      <w:pPr>
        <w:spacing w:after="0"/>
        <w:jc w:val="both"/>
        <w:rPr>
          <w:rFonts w:cstheme="minorHAnsi"/>
          <w:lang w:val="en-MY"/>
        </w:rPr>
      </w:pPr>
    </w:p>
    <w:p w14:paraId="6EA81591" w14:textId="3F8CAF00" w:rsidR="000C350B" w:rsidRPr="003524E6" w:rsidRDefault="000C350B" w:rsidP="00D93144">
      <w:pPr>
        <w:spacing w:after="0"/>
        <w:jc w:val="both"/>
        <w:rPr>
          <w:rStyle w:val="Hyperlink"/>
          <w:rFonts w:cstheme="minorHAnsi"/>
          <w:lang w:val="en-MY"/>
        </w:rPr>
      </w:pPr>
      <w:r w:rsidRPr="003524E6">
        <w:rPr>
          <w:rFonts w:cstheme="minorHAnsi"/>
          <w:lang w:val="en-MY"/>
        </w:rPr>
        <w:t xml:space="preserve">Hasim, M. A., Jabar, J., &amp; Murad, A. M. (2019). Preliminary research on consumer acceptance in nanofood towards purchase intention: Pilot research. </w:t>
      </w:r>
      <w:r w:rsidRPr="003524E6">
        <w:rPr>
          <w:rFonts w:cstheme="minorHAnsi"/>
          <w:i/>
          <w:iCs/>
          <w:lang w:val="en-MY"/>
        </w:rPr>
        <w:t>International Journal of Recent Technology and Engineering</w:t>
      </w:r>
      <w:r w:rsidRPr="003524E6">
        <w:rPr>
          <w:rFonts w:cstheme="minorHAnsi"/>
          <w:lang w:val="en-MY"/>
        </w:rPr>
        <w:t xml:space="preserve">, </w:t>
      </w:r>
      <w:r w:rsidRPr="003524E6">
        <w:rPr>
          <w:rFonts w:cstheme="minorHAnsi"/>
          <w:i/>
          <w:iCs/>
          <w:lang w:val="en-MY"/>
        </w:rPr>
        <w:t>8</w:t>
      </w:r>
      <w:r w:rsidRPr="003524E6">
        <w:rPr>
          <w:rFonts w:cstheme="minorHAnsi"/>
          <w:lang w:val="en-MY"/>
        </w:rPr>
        <w:t xml:space="preserve">(2S3), 352-356. </w:t>
      </w:r>
      <w:hyperlink r:id="rId11" w:history="1">
        <w:r w:rsidRPr="003524E6">
          <w:rPr>
            <w:rStyle w:val="Hyperlink"/>
            <w:rFonts w:cstheme="minorHAnsi"/>
            <w:lang w:val="en-MY"/>
          </w:rPr>
          <w:t>https://doi.org/10.35940/ijrte.B1060.0782S319</w:t>
        </w:r>
      </w:hyperlink>
    </w:p>
    <w:p w14:paraId="7D2131DD" w14:textId="77777777" w:rsidR="00805C89" w:rsidRDefault="002B35C5" w:rsidP="002B35C5">
      <w:pPr>
        <w:jc w:val="both"/>
        <w:rPr>
          <w:rFonts w:cstheme="minorHAnsi"/>
        </w:rPr>
      </w:pPr>
      <w:r>
        <w:rPr>
          <w:rFonts w:cstheme="minorHAnsi"/>
        </w:rPr>
        <w:br/>
      </w:r>
      <w:r w:rsidR="000C350B" w:rsidRPr="003524E6">
        <w:rPr>
          <w:rFonts w:cstheme="minorHAnsi"/>
        </w:rPr>
        <w:t xml:space="preserve">Hasim, M. A., Jabar, J., Sufian, A., &amp; Ibrahim, N. F. (2022). Validating the component of e-learning antecedents, digital readiness and usage behavior towards e-learning performance: A pilot study. </w:t>
      </w:r>
      <w:r w:rsidR="000C350B" w:rsidRPr="00805C89">
        <w:rPr>
          <w:rFonts w:cstheme="minorHAnsi"/>
          <w:i/>
          <w:iCs/>
        </w:rPr>
        <w:t>International Journal of Learning, Teaching and Educational Research, 21</w:t>
      </w:r>
      <w:r w:rsidR="000C350B" w:rsidRPr="003524E6">
        <w:rPr>
          <w:rFonts w:cstheme="minorHAnsi"/>
        </w:rPr>
        <w:t xml:space="preserve">(10), 178-194. </w:t>
      </w:r>
      <w:hyperlink r:id="rId12" w:history="1">
        <w:r w:rsidR="000C350B" w:rsidRPr="003524E6">
          <w:rPr>
            <w:rStyle w:val="Hyperlink"/>
            <w:rFonts w:cstheme="minorHAnsi"/>
          </w:rPr>
          <w:t>https://doi.org/10.26803/ijlter.21.10.9</w:t>
        </w:r>
      </w:hyperlink>
      <w:r>
        <w:rPr>
          <w:rFonts w:cstheme="minorHAnsi"/>
        </w:rPr>
        <w:br/>
      </w:r>
    </w:p>
    <w:p w14:paraId="3F0D64A9" w14:textId="406EFE5E" w:rsidR="000C350B" w:rsidRPr="003524E6" w:rsidRDefault="000C350B" w:rsidP="002B35C5">
      <w:pPr>
        <w:jc w:val="both"/>
        <w:rPr>
          <w:rFonts w:cstheme="minorHAnsi"/>
        </w:rPr>
      </w:pPr>
      <w:r w:rsidRPr="003524E6">
        <w:rPr>
          <w:rFonts w:cstheme="minorHAnsi"/>
        </w:rPr>
        <w:lastRenderedPageBreak/>
        <w:t xml:space="preserve">Hasim, M. A., Kosnandi, S. N., Wei, V. W. M., Isa, N. A. M., Rosli, M. S., Nasir, N. F., &amp; Ibrahim, N. F. Adopting ChatGPT for Academic Assistance among University Students: A Pilot Study. </w:t>
      </w:r>
      <w:r w:rsidRPr="00805C89">
        <w:rPr>
          <w:rFonts w:cstheme="minorHAnsi"/>
          <w:i/>
          <w:iCs/>
        </w:rPr>
        <w:t>International Journal of Research and Innovation in Social Science, 10</w:t>
      </w:r>
      <w:r w:rsidRPr="003524E6">
        <w:rPr>
          <w:rFonts w:cstheme="minorHAnsi"/>
        </w:rPr>
        <w:t xml:space="preserve">(2), 7451-7460. </w:t>
      </w:r>
      <w:hyperlink r:id="rId13" w:history="1">
        <w:r w:rsidRPr="003524E6">
          <w:rPr>
            <w:rStyle w:val="Hyperlink"/>
            <w:rFonts w:cstheme="minorHAnsi"/>
          </w:rPr>
          <w:t>https://doi.org/10.47772/IJRISS.2026.10200535</w:t>
        </w:r>
      </w:hyperlink>
    </w:p>
    <w:p w14:paraId="7FDB808E" w14:textId="0ADF7EDF" w:rsidR="000C350B" w:rsidRPr="003524E6" w:rsidRDefault="000C350B" w:rsidP="00D93144">
      <w:pPr>
        <w:widowControl w:val="0"/>
        <w:autoSpaceDE w:val="0"/>
        <w:autoSpaceDN w:val="0"/>
        <w:spacing w:after="0" w:line="276" w:lineRule="auto"/>
        <w:jc w:val="both"/>
        <w:rPr>
          <w:rFonts w:ascii="Calibri" w:hAnsi="Calibri" w:cs="Calibri"/>
          <w:sz w:val="24"/>
          <w:szCs w:val="24"/>
        </w:rPr>
      </w:pPr>
      <w:r w:rsidRPr="003524E6">
        <w:rPr>
          <w:rFonts w:ascii="Calibri" w:hAnsi="Calibri" w:cs="Calibri"/>
          <w:sz w:val="24"/>
          <w:szCs w:val="24"/>
        </w:rPr>
        <w:t xml:space="preserve">Ibrahim, Y., &amp; Arshad, I. (2018). Examining the impact of product involvement, subjective norm and perceived behavioral control on investment intentions of individual investors in Pakistan. </w:t>
      </w:r>
      <w:r w:rsidRPr="003524E6">
        <w:rPr>
          <w:rFonts w:ascii="Calibri" w:hAnsi="Calibri" w:cs="Calibri"/>
          <w:i/>
          <w:iCs/>
          <w:sz w:val="24"/>
          <w:szCs w:val="24"/>
        </w:rPr>
        <w:t>Investment Management and Financial Innovations, 14</w:t>
      </w:r>
      <w:r w:rsidRPr="003524E6">
        <w:rPr>
          <w:rFonts w:ascii="Calibri" w:hAnsi="Calibri" w:cs="Calibri"/>
          <w:sz w:val="24"/>
          <w:szCs w:val="24"/>
        </w:rPr>
        <w:t xml:space="preserve">(4), 181-193. </w:t>
      </w:r>
      <w:hyperlink r:id="rId14" w:history="1">
        <w:r w:rsidRPr="003524E6">
          <w:rPr>
            <w:rStyle w:val="Hyperlink"/>
            <w:rFonts w:ascii="Calibri" w:hAnsi="Calibri" w:cs="Calibri"/>
            <w:sz w:val="24"/>
            <w:szCs w:val="24"/>
          </w:rPr>
          <w:t>https://doi.org/10.21511/imfi.14(4).2017.15</w:t>
        </w:r>
      </w:hyperlink>
    </w:p>
    <w:p w14:paraId="22DFCDA2" w14:textId="531833E4" w:rsidR="000C350B" w:rsidRPr="003524E6" w:rsidRDefault="002B35C5" w:rsidP="00D93144">
      <w:pPr>
        <w:spacing w:after="0"/>
        <w:jc w:val="both"/>
        <w:rPr>
          <w:rFonts w:ascii="Calibri" w:hAnsi="Calibri" w:cs="Calibri"/>
          <w:sz w:val="24"/>
          <w:szCs w:val="24"/>
        </w:rPr>
      </w:pPr>
      <w:r>
        <w:rPr>
          <w:rFonts w:ascii="Calibri" w:hAnsi="Calibri" w:cs="Calibri"/>
          <w:sz w:val="24"/>
          <w:szCs w:val="24"/>
        </w:rPr>
        <w:br/>
      </w:r>
      <w:r w:rsidR="000C350B" w:rsidRPr="003524E6">
        <w:rPr>
          <w:rFonts w:ascii="Calibri" w:hAnsi="Calibri" w:cs="Calibri"/>
          <w:sz w:val="24"/>
          <w:szCs w:val="24"/>
        </w:rPr>
        <w:t>Jedicke, E. M., Arnold, C., &amp; Lindenmeier, J. (2025). The dynamics of consumer boycott intention: Examining the roles of moral reasoning, cognitive dissonance, and self-congruence. </w:t>
      </w:r>
      <w:r w:rsidR="000C350B" w:rsidRPr="003524E6">
        <w:rPr>
          <w:rFonts w:ascii="Calibri" w:hAnsi="Calibri" w:cs="Calibri"/>
          <w:i/>
          <w:iCs/>
          <w:sz w:val="24"/>
          <w:szCs w:val="24"/>
        </w:rPr>
        <w:t>Journal of Business Research</w:t>
      </w:r>
      <w:r w:rsidR="000C350B" w:rsidRPr="003524E6">
        <w:rPr>
          <w:rFonts w:ascii="Calibri" w:hAnsi="Calibri" w:cs="Calibri"/>
          <w:sz w:val="24"/>
          <w:szCs w:val="24"/>
        </w:rPr>
        <w:t>, </w:t>
      </w:r>
      <w:r w:rsidR="000C350B" w:rsidRPr="003524E6">
        <w:rPr>
          <w:rFonts w:ascii="Calibri" w:hAnsi="Calibri" w:cs="Calibri"/>
          <w:i/>
          <w:iCs/>
          <w:sz w:val="24"/>
          <w:szCs w:val="24"/>
        </w:rPr>
        <w:t>189</w:t>
      </w:r>
      <w:r w:rsidR="000C350B" w:rsidRPr="003524E6">
        <w:rPr>
          <w:rFonts w:ascii="Calibri" w:hAnsi="Calibri" w:cs="Calibri"/>
          <w:sz w:val="24"/>
          <w:szCs w:val="24"/>
        </w:rPr>
        <w:t xml:space="preserve">, 115127. </w:t>
      </w:r>
      <w:hyperlink r:id="rId15" w:history="1">
        <w:r w:rsidR="000C350B" w:rsidRPr="003524E6">
          <w:rPr>
            <w:rStyle w:val="Hyperlink"/>
            <w:rFonts w:ascii="Calibri" w:hAnsi="Calibri" w:cs="Calibri"/>
            <w:sz w:val="24"/>
            <w:szCs w:val="24"/>
          </w:rPr>
          <w:t>https://doi.org/10.1016/j.jbusres.2024.115127</w:t>
        </w:r>
      </w:hyperlink>
    </w:p>
    <w:p w14:paraId="7EE0980A" w14:textId="628B9E19" w:rsidR="000C350B" w:rsidRPr="003524E6" w:rsidRDefault="002B35C5" w:rsidP="00D93144">
      <w:pPr>
        <w:spacing w:after="0"/>
        <w:jc w:val="both"/>
        <w:rPr>
          <w:rFonts w:ascii="Calibri" w:hAnsi="Calibri" w:cs="Calibri"/>
          <w:sz w:val="24"/>
          <w:szCs w:val="24"/>
        </w:rPr>
      </w:pPr>
      <w:r>
        <w:rPr>
          <w:rFonts w:ascii="Calibri" w:hAnsi="Calibri" w:cs="Calibri"/>
          <w:sz w:val="24"/>
          <w:szCs w:val="24"/>
        </w:rPr>
        <w:br/>
      </w:r>
      <w:r w:rsidR="000C350B" w:rsidRPr="003524E6">
        <w:rPr>
          <w:rFonts w:ascii="Calibri" w:hAnsi="Calibri" w:cs="Calibri"/>
          <w:sz w:val="24"/>
          <w:szCs w:val="24"/>
        </w:rPr>
        <w:t>Lestari, L., Anisa, N. A., &amp; Zaman, K. (2025). Influence of Boycott, Price, and Product Quality on Consumer Decisions for Unilever Sanitation Product in Pontianak. </w:t>
      </w:r>
      <w:r w:rsidR="000C350B" w:rsidRPr="003524E6">
        <w:rPr>
          <w:rFonts w:ascii="Calibri" w:hAnsi="Calibri" w:cs="Calibri"/>
          <w:i/>
          <w:iCs/>
          <w:sz w:val="24"/>
          <w:szCs w:val="24"/>
        </w:rPr>
        <w:t>EKOMA: Jurnal Ekonomi, Manajemen, Akuntansi</w:t>
      </w:r>
      <w:r w:rsidR="000C350B" w:rsidRPr="003524E6">
        <w:rPr>
          <w:rFonts w:ascii="Calibri" w:hAnsi="Calibri" w:cs="Calibri"/>
          <w:sz w:val="24"/>
          <w:szCs w:val="24"/>
        </w:rPr>
        <w:t>, </w:t>
      </w:r>
      <w:r w:rsidR="000C350B" w:rsidRPr="003524E6">
        <w:rPr>
          <w:rFonts w:ascii="Calibri" w:hAnsi="Calibri" w:cs="Calibri"/>
          <w:i/>
          <w:iCs/>
          <w:sz w:val="24"/>
          <w:szCs w:val="24"/>
        </w:rPr>
        <w:t>5</w:t>
      </w:r>
      <w:r w:rsidR="000C350B" w:rsidRPr="003524E6">
        <w:rPr>
          <w:rFonts w:ascii="Calibri" w:hAnsi="Calibri" w:cs="Calibri"/>
          <w:sz w:val="24"/>
          <w:szCs w:val="24"/>
        </w:rPr>
        <w:t xml:space="preserve">(1), 123-139. </w:t>
      </w:r>
      <w:hyperlink r:id="rId16" w:history="1">
        <w:r w:rsidR="000C350B" w:rsidRPr="003524E6">
          <w:rPr>
            <w:rStyle w:val="Hyperlink"/>
            <w:rFonts w:ascii="Calibri" w:hAnsi="Calibri" w:cs="Calibri"/>
            <w:sz w:val="24"/>
            <w:szCs w:val="24"/>
          </w:rPr>
          <w:t>https://doi.org/10.56799/ekoma.v5i1.11624</w:t>
        </w:r>
      </w:hyperlink>
    </w:p>
    <w:p w14:paraId="24C5DC19" w14:textId="77777777" w:rsidR="000C350B" w:rsidRPr="003524E6" w:rsidRDefault="000C350B" w:rsidP="00D93144">
      <w:pPr>
        <w:spacing w:after="0"/>
        <w:jc w:val="both"/>
        <w:rPr>
          <w:rFonts w:ascii="Calibri" w:hAnsi="Calibri" w:cs="Calibri"/>
          <w:sz w:val="24"/>
          <w:szCs w:val="24"/>
        </w:rPr>
      </w:pPr>
    </w:p>
    <w:p w14:paraId="0935AFD2" w14:textId="57A66036" w:rsidR="000C350B" w:rsidRPr="003524E6" w:rsidRDefault="000C350B" w:rsidP="00D93144">
      <w:pPr>
        <w:spacing w:after="0"/>
        <w:jc w:val="both"/>
        <w:rPr>
          <w:rFonts w:ascii="Calibri" w:hAnsi="Calibri" w:cs="Calibri"/>
          <w:sz w:val="24"/>
          <w:szCs w:val="24"/>
        </w:rPr>
      </w:pPr>
      <w:r w:rsidRPr="003524E6">
        <w:rPr>
          <w:rFonts w:ascii="Calibri" w:hAnsi="Calibri" w:cs="Calibri"/>
          <w:sz w:val="24"/>
          <w:szCs w:val="24"/>
        </w:rPr>
        <w:t>Mady, K., Salaheldeen, M., Refaat, H., &amp; Battour, M. (2025). The impact of social media on consumer boycotts: Mediating roles of animosity, behavioral control, and efficacy. </w:t>
      </w:r>
      <w:r w:rsidRPr="003524E6">
        <w:rPr>
          <w:rFonts w:ascii="Calibri" w:hAnsi="Calibri" w:cs="Calibri"/>
          <w:i/>
          <w:iCs/>
          <w:sz w:val="24"/>
          <w:szCs w:val="24"/>
        </w:rPr>
        <w:t>Social Sciences &amp; Humanities Open</w:t>
      </w:r>
      <w:r w:rsidRPr="003524E6">
        <w:rPr>
          <w:rFonts w:ascii="Calibri" w:hAnsi="Calibri" w:cs="Calibri"/>
          <w:sz w:val="24"/>
          <w:szCs w:val="24"/>
        </w:rPr>
        <w:t>, </w:t>
      </w:r>
      <w:r w:rsidRPr="003524E6">
        <w:rPr>
          <w:rFonts w:ascii="Calibri" w:hAnsi="Calibri" w:cs="Calibri"/>
          <w:i/>
          <w:iCs/>
          <w:sz w:val="24"/>
          <w:szCs w:val="24"/>
        </w:rPr>
        <w:t>12</w:t>
      </w:r>
      <w:r w:rsidRPr="003524E6">
        <w:rPr>
          <w:rFonts w:ascii="Calibri" w:hAnsi="Calibri" w:cs="Calibri"/>
          <w:sz w:val="24"/>
          <w:szCs w:val="24"/>
        </w:rPr>
        <w:t xml:space="preserve">, 102041. </w:t>
      </w:r>
      <w:hyperlink r:id="rId17" w:history="1">
        <w:r w:rsidRPr="003524E6">
          <w:rPr>
            <w:rStyle w:val="Hyperlink"/>
            <w:rFonts w:ascii="Calibri" w:hAnsi="Calibri" w:cs="Calibri"/>
            <w:sz w:val="24"/>
            <w:szCs w:val="24"/>
          </w:rPr>
          <w:t>https://doi.org/10.1016/j.ssaho.2025.102041</w:t>
        </w:r>
      </w:hyperlink>
    </w:p>
    <w:p w14:paraId="7B231F35" w14:textId="77777777" w:rsidR="000C350B" w:rsidRPr="003524E6" w:rsidRDefault="000C350B" w:rsidP="00D93144">
      <w:pPr>
        <w:spacing w:after="0"/>
        <w:jc w:val="both"/>
        <w:rPr>
          <w:rFonts w:ascii="Calibri" w:hAnsi="Calibri" w:cs="Calibri"/>
          <w:sz w:val="24"/>
          <w:szCs w:val="24"/>
        </w:rPr>
      </w:pPr>
    </w:p>
    <w:p w14:paraId="6BA6CC40" w14:textId="559974CF" w:rsidR="000C350B" w:rsidRPr="003524E6" w:rsidRDefault="000C350B" w:rsidP="00D93144">
      <w:pPr>
        <w:spacing w:after="0"/>
        <w:jc w:val="both"/>
        <w:rPr>
          <w:rFonts w:ascii="Calibri" w:hAnsi="Calibri" w:cs="Calibri"/>
          <w:sz w:val="24"/>
          <w:szCs w:val="24"/>
        </w:rPr>
      </w:pPr>
      <w:r w:rsidRPr="003524E6">
        <w:rPr>
          <w:rFonts w:ascii="Calibri" w:hAnsi="Calibri" w:cs="Calibri"/>
          <w:sz w:val="24"/>
          <w:szCs w:val="24"/>
        </w:rPr>
        <w:t>Mulyono, H., &amp; Rolando, B. (2025). Consumer boycott movements: Impact on brand reputation and business performance in the digital age. </w:t>
      </w:r>
      <w:r w:rsidRPr="003524E6">
        <w:rPr>
          <w:rFonts w:ascii="Calibri" w:hAnsi="Calibri" w:cs="Calibri"/>
          <w:i/>
          <w:iCs/>
          <w:sz w:val="24"/>
          <w:szCs w:val="24"/>
        </w:rPr>
        <w:t>Multidisciplinary Reviews</w:t>
      </w:r>
      <w:r w:rsidRPr="003524E6">
        <w:rPr>
          <w:rFonts w:ascii="Calibri" w:hAnsi="Calibri" w:cs="Calibri"/>
          <w:sz w:val="24"/>
          <w:szCs w:val="24"/>
        </w:rPr>
        <w:t>, </w:t>
      </w:r>
      <w:r w:rsidRPr="003524E6">
        <w:rPr>
          <w:rFonts w:ascii="Calibri" w:hAnsi="Calibri" w:cs="Calibri"/>
          <w:i/>
          <w:iCs/>
          <w:sz w:val="24"/>
          <w:szCs w:val="24"/>
        </w:rPr>
        <w:t>8</w:t>
      </w:r>
      <w:r w:rsidRPr="003524E6">
        <w:rPr>
          <w:rFonts w:ascii="Calibri" w:hAnsi="Calibri" w:cs="Calibri"/>
          <w:sz w:val="24"/>
          <w:szCs w:val="24"/>
        </w:rPr>
        <w:t xml:space="preserve">(9), 2025291-2025291. </w:t>
      </w:r>
      <w:hyperlink r:id="rId18" w:history="1">
        <w:r w:rsidRPr="003524E6">
          <w:rPr>
            <w:rStyle w:val="Hyperlink"/>
            <w:rFonts w:ascii="Calibri" w:hAnsi="Calibri" w:cs="Calibri"/>
            <w:sz w:val="24"/>
            <w:szCs w:val="24"/>
          </w:rPr>
          <w:t>https://doi.org/10.31893/multirev.2025291</w:t>
        </w:r>
      </w:hyperlink>
    </w:p>
    <w:p w14:paraId="4B71D8C4" w14:textId="77777777" w:rsidR="000C350B" w:rsidRDefault="000C350B" w:rsidP="00D93144">
      <w:pPr>
        <w:spacing w:after="0"/>
        <w:jc w:val="both"/>
        <w:rPr>
          <w:rFonts w:ascii="Calibri" w:hAnsi="Calibri" w:cs="Calibri"/>
          <w:sz w:val="24"/>
          <w:szCs w:val="24"/>
        </w:rPr>
      </w:pPr>
    </w:p>
    <w:p w14:paraId="4A7EADEB" w14:textId="5B59BC47" w:rsidR="00832771" w:rsidRDefault="00832771" w:rsidP="00D93144">
      <w:pPr>
        <w:spacing w:after="0"/>
        <w:jc w:val="both"/>
        <w:rPr>
          <w:rFonts w:ascii="Calibri" w:hAnsi="Calibri" w:cs="Calibri"/>
          <w:sz w:val="24"/>
          <w:szCs w:val="24"/>
        </w:rPr>
      </w:pPr>
      <w:r w:rsidRPr="00832771">
        <w:rPr>
          <w:rFonts w:ascii="Calibri" w:hAnsi="Calibri" w:cs="Calibri"/>
          <w:sz w:val="24"/>
          <w:szCs w:val="24"/>
        </w:rPr>
        <w:t xml:space="preserve">Nasir, N. F., Jyn, S. T. H., &amp; Hashim, S. H. M. (2022). Decomposition of Subjective Norms: Addressing the Importance of Normative Influence in Purchasing Unsought Product. </w:t>
      </w:r>
      <w:r w:rsidRPr="00832771">
        <w:rPr>
          <w:rFonts w:ascii="Calibri" w:hAnsi="Calibri" w:cs="Calibri"/>
          <w:i/>
          <w:iCs/>
          <w:sz w:val="24"/>
          <w:szCs w:val="24"/>
        </w:rPr>
        <w:t>International Journal of Academic Research in Business and Social Sciences, 12</w:t>
      </w:r>
      <w:r w:rsidRPr="00832771">
        <w:rPr>
          <w:rFonts w:ascii="Calibri" w:hAnsi="Calibri" w:cs="Calibri"/>
          <w:sz w:val="24"/>
          <w:szCs w:val="24"/>
        </w:rPr>
        <w:t>(11), 1917 – 1922.</w:t>
      </w:r>
      <w:r w:rsidR="00745D4F">
        <w:rPr>
          <w:rFonts w:ascii="Calibri" w:hAnsi="Calibri" w:cs="Calibri"/>
          <w:sz w:val="24"/>
          <w:szCs w:val="24"/>
        </w:rPr>
        <w:t xml:space="preserve"> </w:t>
      </w:r>
      <w:hyperlink r:id="rId19" w:history="1">
        <w:r w:rsidR="00745D4F" w:rsidRPr="0064615D">
          <w:rPr>
            <w:rStyle w:val="Hyperlink"/>
            <w:rFonts w:ascii="Calibri" w:hAnsi="Calibri" w:cs="Calibri"/>
            <w:sz w:val="24"/>
            <w:szCs w:val="24"/>
          </w:rPr>
          <w:t>http://dx.doi.org/10.6007/IJARBSS/v12-i11/15687</w:t>
        </w:r>
      </w:hyperlink>
    </w:p>
    <w:p w14:paraId="53073ABD" w14:textId="77777777" w:rsidR="00745D4F" w:rsidRDefault="00745D4F" w:rsidP="00D93144">
      <w:pPr>
        <w:spacing w:after="0"/>
        <w:jc w:val="both"/>
        <w:rPr>
          <w:rFonts w:ascii="Calibri" w:hAnsi="Calibri" w:cs="Calibri"/>
          <w:sz w:val="24"/>
          <w:szCs w:val="24"/>
        </w:rPr>
      </w:pPr>
    </w:p>
    <w:p w14:paraId="302167CC" w14:textId="13B5A0B0" w:rsidR="00832771" w:rsidRDefault="00832771" w:rsidP="00D93144">
      <w:pPr>
        <w:spacing w:after="0"/>
        <w:jc w:val="both"/>
        <w:rPr>
          <w:rFonts w:ascii="Calibri" w:hAnsi="Calibri" w:cs="Calibri"/>
          <w:sz w:val="24"/>
          <w:szCs w:val="24"/>
        </w:rPr>
      </w:pPr>
      <w:r w:rsidRPr="00832771">
        <w:rPr>
          <w:rFonts w:ascii="Calibri" w:hAnsi="Calibri" w:cs="Calibri"/>
          <w:sz w:val="24"/>
          <w:szCs w:val="24"/>
        </w:rPr>
        <w:t xml:space="preserve">Nasir, N. F., Roslin, R. M., &amp; Chui, T. B. (2017). Decomposing the Theory of Planned Behaviour and Incorporating Spiritual Intelligence to Further Understand Purchase Intention of Life Insurance and Takaful. </w:t>
      </w:r>
      <w:r w:rsidRPr="00805C89">
        <w:rPr>
          <w:rFonts w:ascii="Calibri" w:hAnsi="Calibri" w:cs="Calibri"/>
          <w:i/>
          <w:iCs/>
          <w:sz w:val="24"/>
          <w:szCs w:val="24"/>
        </w:rPr>
        <w:t>International Journal of Economic Research, 14</w:t>
      </w:r>
      <w:r w:rsidRPr="00832771">
        <w:rPr>
          <w:rFonts w:ascii="Calibri" w:hAnsi="Calibri" w:cs="Calibri"/>
          <w:sz w:val="24"/>
          <w:szCs w:val="24"/>
        </w:rPr>
        <w:t>(16), 241-251.</w:t>
      </w:r>
    </w:p>
    <w:p w14:paraId="38AAD39D" w14:textId="77777777" w:rsidR="00832771" w:rsidRDefault="00832771" w:rsidP="00D93144">
      <w:pPr>
        <w:spacing w:after="0"/>
        <w:jc w:val="both"/>
        <w:rPr>
          <w:rFonts w:ascii="Calibri" w:hAnsi="Calibri" w:cs="Calibri"/>
          <w:sz w:val="24"/>
          <w:szCs w:val="24"/>
        </w:rPr>
      </w:pPr>
    </w:p>
    <w:p w14:paraId="215D08B9" w14:textId="3E95510B" w:rsidR="00976520" w:rsidRDefault="00976520" w:rsidP="00D93144">
      <w:pPr>
        <w:spacing w:after="0"/>
        <w:jc w:val="both"/>
        <w:rPr>
          <w:rFonts w:ascii="Calibri" w:hAnsi="Calibri" w:cs="Calibri"/>
          <w:sz w:val="24"/>
          <w:szCs w:val="24"/>
        </w:rPr>
      </w:pPr>
      <w:r w:rsidRPr="00976520">
        <w:rPr>
          <w:rFonts w:ascii="Calibri" w:hAnsi="Calibri" w:cs="Calibri"/>
          <w:sz w:val="24"/>
          <w:szCs w:val="24"/>
        </w:rPr>
        <w:t>Nasir, N. F., Roslin, R. M., &amp; Chui, T. B. (2020). An Extended Analysis of Muslims’ Behavioural Intention in Purchasing Unsought Products</w:t>
      </w:r>
      <w:r w:rsidRPr="00805C89">
        <w:rPr>
          <w:rFonts w:ascii="Calibri" w:hAnsi="Calibri" w:cs="Calibri"/>
          <w:i/>
          <w:iCs/>
          <w:sz w:val="24"/>
          <w:szCs w:val="24"/>
        </w:rPr>
        <w:t>. International Research Journal of Modernization in Engineering Technology and Science, 2</w:t>
      </w:r>
      <w:r w:rsidRPr="00976520">
        <w:rPr>
          <w:rFonts w:ascii="Calibri" w:hAnsi="Calibri" w:cs="Calibri"/>
          <w:sz w:val="24"/>
          <w:szCs w:val="24"/>
        </w:rPr>
        <w:t>(11), 164-178.</w:t>
      </w:r>
      <w:r>
        <w:rPr>
          <w:rFonts w:ascii="Calibri" w:hAnsi="Calibri" w:cs="Calibri"/>
          <w:sz w:val="24"/>
          <w:szCs w:val="24"/>
        </w:rPr>
        <w:t xml:space="preserve"> </w:t>
      </w:r>
    </w:p>
    <w:p w14:paraId="64D0655C" w14:textId="77777777" w:rsidR="00832771" w:rsidRDefault="00832771" w:rsidP="00D93144">
      <w:pPr>
        <w:spacing w:after="0"/>
        <w:jc w:val="both"/>
        <w:rPr>
          <w:rFonts w:ascii="Calibri" w:hAnsi="Calibri" w:cs="Calibri"/>
          <w:sz w:val="24"/>
          <w:szCs w:val="24"/>
        </w:rPr>
      </w:pPr>
    </w:p>
    <w:p w14:paraId="4CCA6B87" w14:textId="77777777" w:rsidR="001E7913" w:rsidRDefault="005A796A" w:rsidP="00D93144">
      <w:pPr>
        <w:spacing w:after="0"/>
        <w:jc w:val="both"/>
        <w:rPr>
          <w:rFonts w:ascii="Calibri" w:hAnsi="Calibri" w:cs="Calibri"/>
          <w:sz w:val="24"/>
          <w:szCs w:val="24"/>
        </w:rPr>
      </w:pPr>
      <w:r w:rsidRPr="005A796A">
        <w:rPr>
          <w:rFonts w:ascii="Calibri" w:hAnsi="Calibri" w:cs="Calibri"/>
          <w:sz w:val="24"/>
          <w:szCs w:val="24"/>
        </w:rPr>
        <w:t>Nasir, N. F., Roslin, R.</w:t>
      </w:r>
      <w:r>
        <w:rPr>
          <w:rFonts w:ascii="Calibri" w:hAnsi="Calibri" w:cs="Calibri"/>
          <w:sz w:val="24"/>
          <w:szCs w:val="24"/>
        </w:rPr>
        <w:t>M.</w:t>
      </w:r>
      <w:r w:rsidRPr="005A796A">
        <w:rPr>
          <w:rFonts w:ascii="Calibri" w:hAnsi="Calibri" w:cs="Calibri"/>
          <w:sz w:val="24"/>
          <w:szCs w:val="24"/>
        </w:rPr>
        <w:t xml:space="preserve">, Nasir, M. A., &amp; Nasir, M. N. F. (2020). Marketing strategies from the Islamic perspective: Reviewing the relevance of elements of the marketing mix. </w:t>
      </w:r>
      <w:r w:rsidRPr="005A796A">
        <w:rPr>
          <w:rFonts w:ascii="Calibri" w:hAnsi="Calibri" w:cs="Calibri"/>
          <w:i/>
          <w:iCs/>
          <w:sz w:val="24"/>
          <w:szCs w:val="24"/>
        </w:rPr>
        <w:t>Journal of Emerging Economies and Islamic Research, 8</w:t>
      </w:r>
      <w:r w:rsidRPr="005A796A">
        <w:rPr>
          <w:rFonts w:ascii="Calibri" w:hAnsi="Calibri" w:cs="Calibri"/>
          <w:sz w:val="24"/>
          <w:szCs w:val="24"/>
        </w:rPr>
        <w:t xml:space="preserve">(3), 84–96. </w:t>
      </w:r>
      <w:hyperlink r:id="rId20" w:history="1">
        <w:r w:rsidRPr="00331346">
          <w:rPr>
            <w:rStyle w:val="Hyperlink"/>
            <w:rFonts w:ascii="Calibri" w:hAnsi="Calibri" w:cs="Calibri"/>
            <w:sz w:val="24"/>
            <w:szCs w:val="24"/>
          </w:rPr>
          <w:t>https://doi.org/10.24191/jeeir.v8i3.9952</w:t>
        </w:r>
      </w:hyperlink>
    </w:p>
    <w:p w14:paraId="05A39605" w14:textId="5B57A7BA" w:rsidR="00F81C56" w:rsidRDefault="00F81C56" w:rsidP="00D93144">
      <w:pPr>
        <w:spacing w:after="0"/>
        <w:jc w:val="both"/>
        <w:rPr>
          <w:rFonts w:ascii="Calibri" w:hAnsi="Calibri" w:cs="Calibri"/>
          <w:sz w:val="24"/>
          <w:szCs w:val="24"/>
        </w:rPr>
      </w:pPr>
      <w:r w:rsidRPr="00F81C56">
        <w:rPr>
          <w:rFonts w:ascii="Calibri" w:hAnsi="Calibri" w:cs="Calibri"/>
          <w:sz w:val="24"/>
          <w:szCs w:val="24"/>
        </w:rPr>
        <w:lastRenderedPageBreak/>
        <w:t xml:space="preserve">Nasir, N. F., Roslin, R. M., Nasir, M. N. F., Nasir, M. F., Nasir, M. A., &amp; Mohamed, N. A. (2021). Investigating Knowledge as a Possible Predictor of Purchase Intention among Muslims in Malaysia for Life Insurance and Takaful. </w:t>
      </w:r>
      <w:r w:rsidRPr="00805C89">
        <w:rPr>
          <w:rFonts w:ascii="Calibri" w:hAnsi="Calibri" w:cs="Calibri"/>
          <w:i/>
          <w:iCs/>
          <w:sz w:val="24"/>
          <w:szCs w:val="24"/>
        </w:rPr>
        <w:t>International Journal of Academic Research in Business and Social Sciences, 11</w:t>
      </w:r>
      <w:r w:rsidRPr="00F81C56">
        <w:rPr>
          <w:rFonts w:ascii="Calibri" w:hAnsi="Calibri" w:cs="Calibri"/>
          <w:sz w:val="24"/>
          <w:szCs w:val="24"/>
        </w:rPr>
        <w:t>(2), 727–740.</w:t>
      </w:r>
      <w:r>
        <w:rPr>
          <w:rFonts w:ascii="Calibri" w:hAnsi="Calibri" w:cs="Calibri"/>
          <w:sz w:val="24"/>
          <w:szCs w:val="24"/>
        </w:rPr>
        <w:t xml:space="preserve"> </w:t>
      </w:r>
      <w:hyperlink r:id="rId21" w:history="1">
        <w:r w:rsidRPr="0064615D">
          <w:rPr>
            <w:rStyle w:val="Hyperlink"/>
            <w:rFonts w:ascii="Calibri" w:hAnsi="Calibri" w:cs="Calibri"/>
            <w:sz w:val="24"/>
            <w:szCs w:val="24"/>
          </w:rPr>
          <w:t>http://dx.doi.org/10.6007/IJARBSS/v11-i2/8880</w:t>
        </w:r>
      </w:hyperlink>
    </w:p>
    <w:p w14:paraId="666F99EB" w14:textId="77777777" w:rsidR="009263EB" w:rsidRDefault="009263EB" w:rsidP="00D93144">
      <w:pPr>
        <w:spacing w:after="0"/>
        <w:jc w:val="both"/>
        <w:rPr>
          <w:rFonts w:ascii="Calibri" w:hAnsi="Calibri" w:cs="Calibri"/>
          <w:sz w:val="24"/>
          <w:szCs w:val="24"/>
        </w:rPr>
      </w:pPr>
    </w:p>
    <w:p w14:paraId="0C806D4F" w14:textId="6D90C8AE" w:rsidR="00F81C56" w:rsidRDefault="000C350B" w:rsidP="00D93144">
      <w:pPr>
        <w:spacing w:after="0"/>
        <w:jc w:val="both"/>
        <w:rPr>
          <w:rFonts w:ascii="Calibri" w:hAnsi="Calibri" w:cs="Calibri"/>
          <w:sz w:val="24"/>
          <w:szCs w:val="24"/>
        </w:rPr>
      </w:pPr>
      <w:r w:rsidRPr="003524E6">
        <w:rPr>
          <w:rFonts w:ascii="Calibri" w:hAnsi="Calibri" w:cs="Calibri"/>
          <w:sz w:val="24"/>
          <w:szCs w:val="24"/>
        </w:rPr>
        <w:t>Nordin, F. S. S., Khalid, N. R., &amp; Hassan, R. (2024). Beyond purchase decisions: Understanding the drivers of consumer boycott intentions in Malaysia. </w:t>
      </w:r>
      <w:r w:rsidRPr="003524E6">
        <w:rPr>
          <w:rFonts w:ascii="Calibri" w:hAnsi="Calibri" w:cs="Calibri"/>
          <w:i/>
          <w:iCs/>
          <w:sz w:val="24"/>
          <w:szCs w:val="24"/>
        </w:rPr>
        <w:t>Advanced International Journal of Business, Entrepreneurship and SMEs</w:t>
      </w:r>
      <w:r w:rsidRPr="003524E6">
        <w:rPr>
          <w:rFonts w:ascii="Calibri" w:hAnsi="Calibri" w:cs="Calibri"/>
          <w:sz w:val="24"/>
          <w:szCs w:val="24"/>
        </w:rPr>
        <w:t>, </w:t>
      </w:r>
      <w:r w:rsidRPr="003524E6">
        <w:rPr>
          <w:rFonts w:ascii="Calibri" w:hAnsi="Calibri" w:cs="Calibri"/>
          <w:i/>
          <w:iCs/>
          <w:sz w:val="24"/>
          <w:szCs w:val="24"/>
        </w:rPr>
        <w:t>6</w:t>
      </w:r>
      <w:r w:rsidRPr="003524E6">
        <w:rPr>
          <w:rFonts w:ascii="Calibri" w:hAnsi="Calibri" w:cs="Calibri"/>
          <w:sz w:val="24"/>
          <w:szCs w:val="24"/>
        </w:rPr>
        <w:t xml:space="preserve">(22), 260-275. </w:t>
      </w:r>
      <w:hyperlink r:id="rId22" w:history="1">
        <w:r w:rsidRPr="003524E6">
          <w:rPr>
            <w:rStyle w:val="Hyperlink"/>
            <w:rFonts w:ascii="Calibri" w:hAnsi="Calibri" w:cs="Calibri"/>
            <w:sz w:val="24"/>
            <w:szCs w:val="24"/>
          </w:rPr>
          <w:t>https://doi.org/10.35631/AIJBES.622019</w:t>
        </w:r>
      </w:hyperlink>
      <w:r w:rsidR="002B35C5">
        <w:rPr>
          <w:rFonts w:ascii="Calibri" w:hAnsi="Calibri" w:cs="Calibri"/>
          <w:sz w:val="24"/>
          <w:szCs w:val="24"/>
        </w:rPr>
        <w:br/>
      </w:r>
    </w:p>
    <w:p w14:paraId="28557D3C" w14:textId="6FBEF9C2" w:rsidR="000C350B" w:rsidRPr="003524E6" w:rsidRDefault="000C350B" w:rsidP="00D93144">
      <w:pPr>
        <w:spacing w:after="0"/>
        <w:jc w:val="both"/>
        <w:rPr>
          <w:rFonts w:ascii="Calibri" w:hAnsi="Calibri" w:cs="Calibri"/>
          <w:sz w:val="24"/>
          <w:szCs w:val="24"/>
        </w:rPr>
      </w:pPr>
      <w:r w:rsidRPr="003524E6">
        <w:rPr>
          <w:rFonts w:ascii="Calibri" w:hAnsi="Calibri" w:cs="Calibri"/>
          <w:sz w:val="24"/>
          <w:szCs w:val="24"/>
        </w:rPr>
        <w:t>Rahim, R. A., Harun, N. F. A., Ramli, F., &amp; Azami, N. (2025). The Role of Social Media, Voice of Boycott, and Boycott Intention in Shaping Boycott Behavior among Malaysian Students. </w:t>
      </w:r>
      <w:r w:rsidRPr="003524E6">
        <w:rPr>
          <w:rFonts w:ascii="Calibri" w:hAnsi="Calibri" w:cs="Calibri"/>
          <w:i/>
          <w:iCs/>
          <w:sz w:val="24"/>
          <w:szCs w:val="24"/>
        </w:rPr>
        <w:t>International Journal of Academic Research in Business and Social Sciences</w:t>
      </w:r>
      <w:r w:rsidRPr="003524E6">
        <w:rPr>
          <w:rFonts w:ascii="Calibri" w:hAnsi="Calibri" w:cs="Calibri"/>
          <w:sz w:val="24"/>
          <w:szCs w:val="24"/>
        </w:rPr>
        <w:t>, </w:t>
      </w:r>
      <w:r w:rsidRPr="003524E6">
        <w:rPr>
          <w:rFonts w:ascii="Calibri" w:hAnsi="Calibri" w:cs="Calibri"/>
          <w:i/>
          <w:iCs/>
          <w:sz w:val="24"/>
          <w:szCs w:val="24"/>
        </w:rPr>
        <w:t>15</w:t>
      </w:r>
      <w:r w:rsidRPr="003524E6">
        <w:rPr>
          <w:rFonts w:ascii="Calibri" w:hAnsi="Calibri" w:cs="Calibri"/>
          <w:sz w:val="24"/>
          <w:szCs w:val="24"/>
        </w:rPr>
        <w:t xml:space="preserve">(9), 522-535. </w:t>
      </w:r>
      <w:hyperlink r:id="rId23" w:history="1">
        <w:r w:rsidRPr="003524E6">
          <w:rPr>
            <w:rStyle w:val="Hyperlink"/>
            <w:rFonts w:ascii="Calibri" w:hAnsi="Calibri" w:cs="Calibri"/>
            <w:sz w:val="24"/>
            <w:szCs w:val="24"/>
          </w:rPr>
          <w:t>https://doi.org/10.32535/apjme.v8i2.4070</w:t>
        </w:r>
      </w:hyperlink>
    </w:p>
    <w:p w14:paraId="2D2BF663" w14:textId="77777777" w:rsidR="000C350B" w:rsidRPr="003524E6" w:rsidRDefault="000C350B" w:rsidP="00D93144">
      <w:pPr>
        <w:spacing w:after="0"/>
        <w:jc w:val="both"/>
        <w:rPr>
          <w:rFonts w:ascii="Calibri" w:hAnsi="Calibri" w:cs="Calibri"/>
          <w:sz w:val="24"/>
          <w:szCs w:val="24"/>
        </w:rPr>
      </w:pPr>
    </w:p>
    <w:p w14:paraId="72B239BD" w14:textId="6995A6C6" w:rsidR="000C350B" w:rsidRPr="003524E6" w:rsidRDefault="000C350B" w:rsidP="00D93144">
      <w:pPr>
        <w:spacing w:after="0"/>
        <w:jc w:val="both"/>
        <w:rPr>
          <w:rFonts w:ascii="Calibri" w:hAnsi="Calibri" w:cs="Calibri"/>
          <w:sz w:val="24"/>
          <w:szCs w:val="24"/>
        </w:rPr>
      </w:pPr>
      <w:r w:rsidRPr="003524E6">
        <w:rPr>
          <w:rFonts w:ascii="Calibri" w:hAnsi="Calibri" w:cs="Calibri"/>
          <w:sz w:val="24"/>
          <w:szCs w:val="24"/>
        </w:rPr>
        <w:t xml:space="preserve">Sanusi, S. W. S. B. A., Bakar, N. R. B. A., &amp; Mohamad, N. A. B. (2025). Boycotting Israeli Products as a Form of Islamic Ethical Consumerism: Implications for ESG Practices in Malaysia. 9768-9781. </w:t>
      </w:r>
      <w:hyperlink r:id="rId24" w:history="1">
        <w:r w:rsidRPr="003524E6">
          <w:rPr>
            <w:rStyle w:val="Hyperlink"/>
            <w:rFonts w:ascii="Calibri" w:hAnsi="Calibri" w:cs="Calibri"/>
            <w:sz w:val="24"/>
            <w:szCs w:val="24"/>
          </w:rPr>
          <w:t>https://dx.doi.org/10.47772/IJRISS.2025.909000805</w:t>
        </w:r>
      </w:hyperlink>
    </w:p>
    <w:p w14:paraId="04A45D0A" w14:textId="77777777" w:rsidR="000C350B" w:rsidRPr="003524E6" w:rsidRDefault="000C350B" w:rsidP="00D93144">
      <w:pPr>
        <w:widowControl w:val="0"/>
        <w:autoSpaceDE w:val="0"/>
        <w:autoSpaceDN w:val="0"/>
        <w:spacing w:after="0" w:line="276" w:lineRule="auto"/>
        <w:jc w:val="both"/>
        <w:rPr>
          <w:rFonts w:ascii="Calibri" w:hAnsi="Calibri" w:cs="Calibri"/>
          <w:sz w:val="24"/>
          <w:szCs w:val="24"/>
        </w:rPr>
      </w:pPr>
    </w:p>
    <w:p w14:paraId="3A5E0AC9" w14:textId="0A98027E" w:rsidR="000C350B" w:rsidRPr="003524E6" w:rsidRDefault="000C350B" w:rsidP="00D93144">
      <w:pPr>
        <w:widowControl w:val="0"/>
        <w:autoSpaceDE w:val="0"/>
        <w:autoSpaceDN w:val="0"/>
        <w:spacing w:after="0" w:line="276" w:lineRule="auto"/>
        <w:jc w:val="both"/>
        <w:rPr>
          <w:rFonts w:ascii="Calibri" w:hAnsi="Calibri" w:cs="Calibri"/>
          <w:sz w:val="24"/>
          <w:szCs w:val="24"/>
        </w:rPr>
      </w:pPr>
      <w:r w:rsidRPr="003524E6">
        <w:rPr>
          <w:rFonts w:ascii="Calibri" w:hAnsi="Calibri" w:cs="Calibri"/>
          <w:sz w:val="24"/>
          <w:szCs w:val="24"/>
        </w:rPr>
        <w:t>Shim, K., &amp; Cho, H. (2022). Latent profile analysis of ethical consumers in the United States and Malaysia. </w:t>
      </w:r>
      <w:r w:rsidRPr="003524E6">
        <w:rPr>
          <w:rFonts w:ascii="Calibri" w:hAnsi="Calibri" w:cs="Calibri"/>
          <w:i/>
          <w:iCs/>
          <w:sz w:val="24"/>
          <w:szCs w:val="24"/>
        </w:rPr>
        <w:t>International Journal of Consumer Studies</w:t>
      </w:r>
      <w:r w:rsidRPr="003524E6">
        <w:rPr>
          <w:rFonts w:ascii="Calibri" w:hAnsi="Calibri" w:cs="Calibri"/>
          <w:sz w:val="24"/>
          <w:szCs w:val="24"/>
        </w:rPr>
        <w:t>, </w:t>
      </w:r>
      <w:r w:rsidRPr="003524E6">
        <w:rPr>
          <w:rFonts w:ascii="Calibri" w:hAnsi="Calibri" w:cs="Calibri"/>
          <w:i/>
          <w:iCs/>
          <w:sz w:val="24"/>
          <w:szCs w:val="24"/>
        </w:rPr>
        <w:t>46</w:t>
      </w:r>
      <w:r w:rsidRPr="003524E6">
        <w:rPr>
          <w:rFonts w:ascii="Calibri" w:hAnsi="Calibri" w:cs="Calibri"/>
          <w:sz w:val="24"/>
          <w:szCs w:val="24"/>
        </w:rPr>
        <w:t xml:space="preserve">(1), 249-267. </w:t>
      </w:r>
      <w:hyperlink r:id="rId25" w:history="1">
        <w:r w:rsidRPr="003524E6">
          <w:rPr>
            <w:rStyle w:val="Hyperlink"/>
            <w:rFonts w:ascii="Calibri" w:hAnsi="Calibri" w:cs="Calibri"/>
            <w:sz w:val="24"/>
            <w:szCs w:val="24"/>
          </w:rPr>
          <w:t>https://doi.org/10.1111/ijcs.12671</w:t>
        </w:r>
      </w:hyperlink>
    </w:p>
    <w:p w14:paraId="6CB52201" w14:textId="77777777" w:rsidR="000C350B" w:rsidRPr="003524E6" w:rsidRDefault="000C350B" w:rsidP="00D93144">
      <w:pPr>
        <w:spacing w:after="0"/>
        <w:jc w:val="both"/>
        <w:rPr>
          <w:rFonts w:cstheme="minorHAnsi"/>
        </w:rPr>
      </w:pPr>
    </w:p>
    <w:p w14:paraId="44D09610" w14:textId="30920421" w:rsidR="000C350B" w:rsidRPr="003524E6" w:rsidRDefault="000C350B" w:rsidP="00D93144">
      <w:pPr>
        <w:spacing w:after="0"/>
        <w:jc w:val="both"/>
        <w:rPr>
          <w:rFonts w:cstheme="minorHAnsi"/>
        </w:rPr>
      </w:pPr>
      <w:r w:rsidRPr="003524E6">
        <w:rPr>
          <w:rFonts w:cstheme="minorHAnsi"/>
        </w:rPr>
        <w:t>Taber, K. S. (2018). The use of Cronbach’s alpha when developing and reporting research instruments in science education. </w:t>
      </w:r>
      <w:r w:rsidRPr="003524E6">
        <w:rPr>
          <w:rFonts w:cstheme="minorHAnsi"/>
          <w:i/>
          <w:iCs/>
        </w:rPr>
        <w:t>Research in Science Education</w:t>
      </w:r>
      <w:r w:rsidRPr="003524E6">
        <w:rPr>
          <w:rFonts w:cstheme="minorHAnsi"/>
        </w:rPr>
        <w:t>, </w:t>
      </w:r>
      <w:r w:rsidRPr="003524E6">
        <w:rPr>
          <w:rFonts w:cstheme="minorHAnsi"/>
          <w:i/>
          <w:iCs/>
        </w:rPr>
        <w:t>48</w:t>
      </w:r>
      <w:r w:rsidRPr="003524E6">
        <w:rPr>
          <w:rFonts w:cstheme="minorHAnsi"/>
        </w:rPr>
        <w:t xml:space="preserve">(6), 1273-1296. </w:t>
      </w:r>
      <w:hyperlink r:id="rId26" w:history="1">
        <w:r w:rsidRPr="003524E6">
          <w:rPr>
            <w:rStyle w:val="Hyperlink"/>
            <w:rFonts w:cstheme="minorHAnsi"/>
          </w:rPr>
          <w:t>https://doi.org/10.1007/s11165-016-9602-2</w:t>
        </w:r>
      </w:hyperlink>
    </w:p>
    <w:p w14:paraId="51F68DD8" w14:textId="77777777" w:rsidR="000C350B" w:rsidRPr="003524E6" w:rsidRDefault="000C350B" w:rsidP="00D93144">
      <w:pPr>
        <w:spacing w:after="0"/>
        <w:jc w:val="both"/>
        <w:rPr>
          <w:rFonts w:ascii="Calibri" w:hAnsi="Calibri" w:cs="Calibri"/>
          <w:sz w:val="24"/>
          <w:szCs w:val="24"/>
        </w:rPr>
      </w:pPr>
    </w:p>
    <w:p w14:paraId="1119C3E0" w14:textId="7BE66D28" w:rsidR="000C350B" w:rsidRPr="003524E6" w:rsidRDefault="000C350B" w:rsidP="00D93144">
      <w:pPr>
        <w:spacing w:after="0"/>
        <w:jc w:val="both"/>
        <w:rPr>
          <w:rStyle w:val="Hyperlink"/>
          <w:rFonts w:ascii="Calibri" w:hAnsi="Calibri" w:cs="Calibri"/>
          <w:sz w:val="24"/>
          <w:szCs w:val="24"/>
        </w:rPr>
      </w:pPr>
      <w:r w:rsidRPr="003524E6">
        <w:rPr>
          <w:rFonts w:ascii="Calibri" w:hAnsi="Calibri" w:cs="Calibri"/>
          <w:sz w:val="24"/>
          <w:szCs w:val="24"/>
        </w:rPr>
        <w:t>Ulfah, M., Sabrina, N., &amp; Putri, A. L. (2025). Psychological Drivers of Consumer Boycott: Understanding Emotional and Social Identity Influences in Batam. </w:t>
      </w:r>
      <w:r w:rsidRPr="003524E6">
        <w:rPr>
          <w:rFonts w:ascii="Calibri" w:hAnsi="Calibri" w:cs="Calibri"/>
          <w:i/>
          <w:iCs/>
          <w:sz w:val="24"/>
          <w:szCs w:val="24"/>
        </w:rPr>
        <w:t>Journal of Applied Business Administration</w:t>
      </w:r>
      <w:r w:rsidRPr="003524E6">
        <w:rPr>
          <w:rFonts w:ascii="Calibri" w:hAnsi="Calibri" w:cs="Calibri"/>
          <w:sz w:val="24"/>
          <w:szCs w:val="24"/>
        </w:rPr>
        <w:t>, </w:t>
      </w:r>
      <w:r w:rsidRPr="003524E6">
        <w:rPr>
          <w:rFonts w:ascii="Calibri" w:hAnsi="Calibri" w:cs="Calibri"/>
          <w:i/>
          <w:iCs/>
          <w:sz w:val="24"/>
          <w:szCs w:val="24"/>
        </w:rPr>
        <w:t>9</w:t>
      </w:r>
      <w:r w:rsidRPr="003524E6">
        <w:rPr>
          <w:rFonts w:ascii="Calibri" w:hAnsi="Calibri" w:cs="Calibri"/>
          <w:sz w:val="24"/>
          <w:szCs w:val="24"/>
        </w:rPr>
        <w:t xml:space="preserve">(1), 36-51. </w:t>
      </w:r>
      <w:hyperlink r:id="rId27" w:history="1">
        <w:r w:rsidRPr="003524E6">
          <w:rPr>
            <w:rStyle w:val="Hyperlink"/>
            <w:rFonts w:ascii="Calibri" w:hAnsi="Calibri" w:cs="Calibri"/>
            <w:sz w:val="24"/>
            <w:szCs w:val="24"/>
          </w:rPr>
          <w:t>https://doi.org/10.30871/jaba.v9i1.9152</w:t>
        </w:r>
      </w:hyperlink>
    </w:p>
    <w:p w14:paraId="21940EAA" w14:textId="77777777" w:rsidR="005A796A" w:rsidRDefault="005A796A" w:rsidP="00D93144">
      <w:pPr>
        <w:spacing w:after="0"/>
        <w:jc w:val="both"/>
        <w:rPr>
          <w:rStyle w:val="Hyperlink"/>
          <w:rFonts w:ascii="Calibri" w:hAnsi="Calibri" w:cs="Calibri"/>
          <w:sz w:val="24"/>
          <w:szCs w:val="24"/>
        </w:rPr>
      </w:pPr>
    </w:p>
    <w:p w14:paraId="437E80B5" w14:textId="2CF241EB" w:rsidR="005A796A" w:rsidRDefault="005A796A" w:rsidP="00D93144">
      <w:pPr>
        <w:spacing w:after="0"/>
        <w:jc w:val="both"/>
        <w:rPr>
          <w:rFonts w:ascii="Calibri" w:hAnsi="Calibri" w:cs="Calibri"/>
          <w:sz w:val="24"/>
          <w:szCs w:val="24"/>
        </w:rPr>
      </w:pPr>
      <w:r w:rsidRPr="005A796A">
        <w:rPr>
          <w:rFonts w:ascii="Calibri" w:hAnsi="Calibri" w:cs="Calibri"/>
          <w:sz w:val="24"/>
          <w:szCs w:val="24"/>
        </w:rPr>
        <w:t xml:space="preserve">Yu, K. (2026). Contingent boycotts: The temporal evolution of consumer justifications. </w:t>
      </w:r>
      <w:r w:rsidRPr="005A796A">
        <w:rPr>
          <w:rFonts w:ascii="Calibri" w:hAnsi="Calibri" w:cs="Calibri"/>
          <w:i/>
          <w:iCs/>
          <w:sz w:val="24"/>
          <w:szCs w:val="24"/>
        </w:rPr>
        <w:t>Journal of Macromarketing, 46</w:t>
      </w:r>
      <w:r w:rsidRPr="005A796A">
        <w:rPr>
          <w:rFonts w:ascii="Calibri" w:hAnsi="Calibri" w:cs="Calibri"/>
          <w:sz w:val="24"/>
          <w:szCs w:val="24"/>
        </w:rPr>
        <w:t xml:space="preserve">(2), 160–172. </w:t>
      </w:r>
      <w:hyperlink r:id="rId28" w:history="1">
        <w:r w:rsidRPr="00331346">
          <w:rPr>
            <w:rStyle w:val="Hyperlink"/>
            <w:rFonts w:ascii="Calibri" w:hAnsi="Calibri" w:cs="Calibri"/>
            <w:sz w:val="24"/>
            <w:szCs w:val="24"/>
          </w:rPr>
          <w:t>https://doi.org/10.1177/02761467261426515</w:t>
        </w:r>
      </w:hyperlink>
    </w:p>
    <w:p w14:paraId="19439993" w14:textId="77777777" w:rsidR="005A796A" w:rsidRPr="002F4E2C" w:rsidRDefault="005A796A" w:rsidP="00D93144">
      <w:pPr>
        <w:spacing w:after="0"/>
        <w:jc w:val="both"/>
        <w:rPr>
          <w:rFonts w:ascii="Calibri" w:hAnsi="Calibri" w:cs="Calibri"/>
          <w:sz w:val="24"/>
          <w:szCs w:val="24"/>
        </w:rPr>
      </w:pPr>
    </w:p>
    <w:sectPr w:rsidR="005A796A" w:rsidRPr="002F4E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D322D"/>
    <w:multiLevelType w:val="multilevel"/>
    <w:tmpl w:val="4C14F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862360"/>
    <w:multiLevelType w:val="multilevel"/>
    <w:tmpl w:val="872E8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EC4A3B"/>
    <w:multiLevelType w:val="multilevel"/>
    <w:tmpl w:val="74EC4A3B"/>
    <w:lvl w:ilvl="0">
      <w:start w:val="1"/>
      <w:numFmt w:val="decimal"/>
      <w:lvlText w:val="[%1]"/>
      <w:lvlJc w:val="left"/>
      <w:pPr>
        <w:ind w:left="360" w:hanging="360"/>
      </w:pPr>
      <w:rPr>
        <w:rFonts w:hint="default"/>
        <w:b w:val="0"/>
        <w:bCs w:val="0"/>
        <w:i w:val="0"/>
        <w:iCs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C44175A"/>
    <w:multiLevelType w:val="multilevel"/>
    <w:tmpl w:val="281AE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7931891">
    <w:abstractNumId w:val="2"/>
  </w:num>
  <w:num w:numId="2" w16cid:durableId="421412541">
    <w:abstractNumId w:val="3"/>
  </w:num>
  <w:num w:numId="3" w16cid:durableId="1433167724">
    <w:abstractNumId w:val="0"/>
  </w:num>
  <w:num w:numId="4" w16cid:durableId="579020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C8C"/>
    <w:rsid w:val="00047B6A"/>
    <w:rsid w:val="00053F4C"/>
    <w:rsid w:val="00085EA1"/>
    <w:rsid w:val="000B43F3"/>
    <w:rsid w:val="000C350B"/>
    <w:rsid w:val="000D0BFD"/>
    <w:rsid w:val="00105B5C"/>
    <w:rsid w:val="001E7913"/>
    <w:rsid w:val="0020031D"/>
    <w:rsid w:val="00252DEB"/>
    <w:rsid w:val="002B35C5"/>
    <w:rsid w:val="002F4E2C"/>
    <w:rsid w:val="00311A62"/>
    <w:rsid w:val="003524E6"/>
    <w:rsid w:val="00362B6C"/>
    <w:rsid w:val="003B7C8C"/>
    <w:rsid w:val="00400499"/>
    <w:rsid w:val="00402580"/>
    <w:rsid w:val="00482CF9"/>
    <w:rsid w:val="004937CB"/>
    <w:rsid w:val="004A7636"/>
    <w:rsid w:val="004E3C56"/>
    <w:rsid w:val="004F72EB"/>
    <w:rsid w:val="005054C5"/>
    <w:rsid w:val="005A796A"/>
    <w:rsid w:val="0061097A"/>
    <w:rsid w:val="006134A8"/>
    <w:rsid w:val="006464D6"/>
    <w:rsid w:val="006819AF"/>
    <w:rsid w:val="006977BA"/>
    <w:rsid w:val="006D0290"/>
    <w:rsid w:val="006F5278"/>
    <w:rsid w:val="00745D4F"/>
    <w:rsid w:val="007A4428"/>
    <w:rsid w:val="007F61A4"/>
    <w:rsid w:val="00805C89"/>
    <w:rsid w:val="00811DB5"/>
    <w:rsid w:val="008268B6"/>
    <w:rsid w:val="00832771"/>
    <w:rsid w:val="008430B4"/>
    <w:rsid w:val="00857117"/>
    <w:rsid w:val="00872ADB"/>
    <w:rsid w:val="008B2F2F"/>
    <w:rsid w:val="008E581C"/>
    <w:rsid w:val="009052E4"/>
    <w:rsid w:val="009079AF"/>
    <w:rsid w:val="00925120"/>
    <w:rsid w:val="009263EB"/>
    <w:rsid w:val="00976520"/>
    <w:rsid w:val="009919FE"/>
    <w:rsid w:val="009B6E81"/>
    <w:rsid w:val="009D0B78"/>
    <w:rsid w:val="00A24279"/>
    <w:rsid w:val="00A708E1"/>
    <w:rsid w:val="00A860B0"/>
    <w:rsid w:val="00A95F65"/>
    <w:rsid w:val="00AC0D75"/>
    <w:rsid w:val="00AD7A27"/>
    <w:rsid w:val="00C31C34"/>
    <w:rsid w:val="00C8462E"/>
    <w:rsid w:val="00CB202A"/>
    <w:rsid w:val="00D12CB0"/>
    <w:rsid w:val="00D27606"/>
    <w:rsid w:val="00D449A6"/>
    <w:rsid w:val="00D70CF2"/>
    <w:rsid w:val="00D93144"/>
    <w:rsid w:val="00DA4527"/>
    <w:rsid w:val="00DC05E2"/>
    <w:rsid w:val="00DC67E2"/>
    <w:rsid w:val="00E02D23"/>
    <w:rsid w:val="00E37DD8"/>
    <w:rsid w:val="00E4010F"/>
    <w:rsid w:val="00E45BA3"/>
    <w:rsid w:val="00F50C0B"/>
    <w:rsid w:val="00F81C56"/>
    <w:rsid w:val="00F93F93"/>
    <w:rsid w:val="00F9555B"/>
    <w:rsid w:val="00FA3A98"/>
    <w:rsid w:val="00FE2621"/>
    <w:rsid w:val="00FF253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D3186"/>
  <w15:chartTrackingRefBased/>
  <w15:docId w15:val="{152CE5E4-52B4-4ED5-86E5-E6941FC4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B7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C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C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C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C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C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C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C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C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C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C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C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C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C8C"/>
    <w:rPr>
      <w:rFonts w:eastAsiaTheme="majorEastAsia" w:cstheme="majorBidi"/>
      <w:color w:val="272727" w:themeColor="text1" w:themeTint="D8"/>
    </w:rPr>
  </w:style>
  <w:style w:type="paragraph" w:styleId="Title">
    <w:name w:val="Title"/>
    <w:basedOn w:val="Normal"/>
    <w:next w:val="Normal"/>
    <w:link w:val="TitleChar"/>
    <w:uiPriority w:val="10"/>
    <w:qFormat/>
    <w:rsid w:val="003B7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C8C"/>
    <w:pPr>
      <w:spacing w:before="160"/>
      <w:jc w:val="center"/>
    </w:pPr>
    <w:rPr>
      <w:i/>
      <w:iCs/>
      <w:color w:val="404040" w:themeColor="text1" w:themeTint="BF"/>
    </w:rPr>
  </w:style>
  <w:style w:type="character" w:customStyle="1" w:styleId="QuoteChar">
    <w:name w:val="Quote Char"/>
    <w:basedOn w:val="DefaultParagraphFont"/>
    <w:link w:val="Quote"/>
    <w:uiPriority w:val="29"/>
    <w:rsid w:val="003B7C8C"/>
    <w:rPr>
      <w:i/>
      <w:iCs/>
      <w:color w:val="404040" w:themeColor="text1" w:themeTint="BF"/>
    </w:rPr>
  </w:style>
  <w:style w:type="paragraph" w:styleId="ListParagraph">
    <w:name w:val="List Paragraph"/>
    <w:basedOn w:val="Normal"/>
    <w:uiPriority w:val="34"/>
    <w:qFormat/>
    <w:rsid w:val="003B7C8C"/>
    <w:pPr>
      <w:ind w:left="720"/>
      <w:contextualSpacing/>
    </w:pPr>
  </w:style>
  <w:style w:type="character" w:styleId="IntenseEmphasis">
    <w:name w:val="Intense Emphasis"/>
    <w:basedOn w:val="DefaultParagraphFont"/>
    <w:uiPriority w:val="21"/>
    <w:qFormat/>
    <w:rsid w:val="003B7C8C"/>
    <w:rPr>
      <w:i/>
      <w:iCs/>
      <w:color w:val="0F4761" w:themeColor="accent1" w:themeShade="BF"/>
    </w:rPr>
  </w:style>
  <w:style w:type="paragraph" w:styleId="IntenseQuote">
    <w:name w:val="Intense Quote"/>
    <w:basedOn w:val="Normal"/>
    <w:next w:val="Normal"/>
    <w:link w:val="IntenseQuoteChar"/>
    <w:uiPriority w:val="30"/>
    <w:qFormat/>
    <w:rsid w:val="003B7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C8C"/>
    <w:rPr>
      <w:i/>
      <w:iCs/>
      <w:color w:val="0F4761" w:themeColor="accent1" w:themeShade="BF"/>
    </w:rPr>
  </w:style>
  <w:style w:type="character" w:styleId="IntenseReference">
    <w:name w:val="Intense Reference"/>
    <w:basedOn w:val="DefaultParagraphFont"/>
    <w:uiPriority w:val="32"/>
    <w:qFormat/>
    <w:rsid w:val="003B7C8C"/>
    <w:rPr>
      <w:b/>
      <w:bCs/>
      <w:smallCaps/>
      <w:color w:val="0F4761" w:themeColor="accent1" w:themeShade="BF"/>
      <w:spacing w:val="5"/>
    </w:rPr>
  </w:style>
  <w:style w:type="character" w:styleId="Hyperlink">
    <w:name w:val="Hyperlink"/>
    <w:basedOn w:val="DefaultParagraphFont"/>
    <w:uiPriority w:val="99"/>
    <w:unhideWhenUsed/>
    <w:rsid w:val="00DA4527"/>
    <w:rPr>
      <w:color w:val="467886" w:themeColor="hyperlink"/>
      <w:u w:val="single"/>
    </w:rPr>
  </w:style>
  <w:style w:type="character" w:styleId="UnresolvedMention">
    <w:name w:val="Unresolved Mention"/>
    <w:basedOn w:val="DefaultParagraphFont"/>
    <w:uiPriority w:val="99"/>
    <w:semiHidden/>
    <w:unhideWhenUsed/>
    <w:rsid w:val="00DA4527"/>
    <w:rPr>
      <w:color w:val="605E5C"/>
      <w:shd w:val="clear" w:color="auto" w:fill="E1DFDD"/>
    </w:rPr>
  </w:style>
  <w:style w:type="character" w:styleId="Strong">
    <w:name w:val="Strong"/>
    <w:basedOn w:val="DefaultParagraphFont"/>
    <w:uiPriority w:val="22"/>
    <w:qFormat/>
    <w:rsid w:val="007A4428"/>
    <w:rPr>
      <w:b/>
      <w:bCs/>
    </w:rPr>
  </w:style>
  <w:style w:type="table" w:styleId="TableGrid">
    <w:name w:val="Table Grid"/>
    <w:basedOn w:val="TableNormal"/>
    <w:uiPriority w:val="39"/>
    <w:rsid w:val="006819A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5B5C"/>
    <w:pPr>
      <w:autoSpaceDE w:val="0"/>
      <w:autoSpaceDN w:val="0"/>
      <w:adjustRightInd w:val="0"/>
      <w:spacing w:after="0" w:line="240" w:lineRule="auto"/>
    </w:pPr>
    <w:rPr>
      <w:rFonts w:ascii="Palatino Linotype" w:hAnsi="Palatino Linotype" w:cs="Palatino Linotype"/>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946">
      <w:bodyDiv w:val="1"/>
      <w:marLeft w:val="0"/>
      <w:marRight w:val="0"/>
      <w:marTop w:val="0"/>
      <w:marBottom w:val="0"/>
      <w:divBdr>
        <w:top w:val="none" w:sz="0" w:space="0" w:color="auto"/>
        <w:left w:val="none" w:sz="0" w:space="0" w:color="auto"/>
        <w:bottom w:val="none" w:sz="0" w:space="0" w:color="auto"/>
        <w:right w:val="none" w:sz="0" w:space="0" w:color="auto"/>
      </w:divBdr>
    </w:div>
    <w:div w:id="369452020">
      <w:bodyDiv w:val="1"/>
      <w:marLeft w:val="0"/>
      <w:marRight w:val="0"/>
      <w:marTop w:val="0"/>
      <w:marBottom w:val="0"/>
      <w:divBdr>
        <w:top w:val="none" w:sz="0" w:space="0" w:color="auto"/>
        <w:left w:val="none" w:sz="0" w:space="0" w:color="auto"/>
        <w:bottom w:val="none" w:sz="0" w:space="0" w:color="auto"/>
        <w:right w:val="none" w:sz="0" w:space="0" w:color="auto"/>
      </w:divBdr>
    </w:div>
    <w:div w:id="400104751">
      <w:bodyDiv w:val="1"/>
      <w:marLeft w:val="0"/>
      <w:marRight w:val="0"/>
      <w:marTop w:val="0"/>
      <w:marBottom w:val="0"/>
      <w:divBdr>
        <w:top w:val="none" w:sz="0" w:space="0" w:color="auto"/>
        <w:left w:val="none" w:sz="0" w:space="0" w:color="auto"/>
        <w:bottom w:val="none" w:sz="0" w:space="0" w:color="auto"/>
        <w:right w:val="none" w:sz="0" w:space="0" w:color="auto"/>
      </w:divBdr>
    </w:div>
    <w:div w:id="442655252">
      <w:bodyDiv w:val="1"/>
      <w:marLeft w:val="0"/>
      <w:marRight w:val="0"/>
      <w:marTop w:val="0"/>
      <w:marBottom w:val="0"/>
      <w:divBdr>
        <w:top w:val="none" w:sz="0" w:space="0" w:color="auto"/>
        <w:left w:val="none" w:sz="0" w:space="0" w:color="auto"/>
        <w:bottom w:val="none" w:sz="0" w:space="0" w:color="auto"/>
        <w:right w:val="none" w:sz="0" w:space="0" w:color="auto"/>
      </w:divBdr>
    </w:div>
    <w:div w:id="470632747">
      <w:bodyDiv w:val="1"/>
      <w:marLeft w:val="0"/>
      <w:marRight w:val="0"/>
      <w:marTop w:val="0"/>
      <w:marBottom w:val="0"/>
      <w:divBdr>
        <w:top w:val="none" w:sz="0" w:space="0" w:color="auto"/>
        <w:left w:val="none" w:sz="0" w:space="0" w:color="auto"/>
        <w:bottom w:val="none" w:sz="0" w:space="0" w:color="auto"/>
        <w:right w:val="none" w:sz="0" w:space="0" w:color="auto"/>
      </w:divBdr>
    </w:div>
    <w:div w:id="612859714">
      <w:bodyDiv w:val="1"/>
      <w:marLeft w:val="0"/>
      <w:marRight w:val="0"/>
      <w:marTop w:val="0"/>
      <w:marBottom w:val="0"/>
      <w:divBdr>
        <w:top w:val="none" w:sz="0" w:space="0" w:color="auto"/>
        <w:left w:val="none" w:sz="0" w:space="0" w:color="auto"/>
        <w:bottom w:val="none" w:sz="0" w:space="0" w:color="auto"/>
        <w:right w:val="none" w:sz="0" w:space="0" w:color="auto"/>
      </w:divBdr>
    </w:div>
    <w:div w:id="630404523">
      <w:bodyDiv w:val="1"/>
      <w:marLeft w:val="0"/>
      <w:marRight w:val="0"/>
      <w:marTop w:val="0"/>
      <w:marBottom w:val="0"/>
      <w:divBdr>
        <w:top w:val="none" w:sz="0" w:space="0" w:color="auto"/>
        <w:left w:val="none" w:sz="0" w:space="0" w:color="auto"/>
        <w:bottom w:val="none" w:sz="0" w:space="0" w:color="auto"/>
        <w:right w:val="none" w:sz="0" w:space="0" w:color="auto"/>
      </w:divBdr>
    </w:div>
    <w:div w:id="733553987">
      <w:bodyDiv w:val="1"/>
      <w:marLeft w:val="0"/>
      <w:marRight w:val="0"/>
      <w:marTop w:val="0"/>
      <w:marBottom w:val="0"/>
      <w:divBdr>
        <w:top w:val="none" w:sz="0" w:space="0" w:color="auto"/>
        <w:left w:val="none" w:sz="0" w:space="0" w:color="auto"/>
        <w:bottom w:val="none" w:sz="0" w:space="0" w:color="auto"/>
        <w:right w:val="none" w:sz="0" w:space="0" w:color="auto"/>
      </w:divBdr>
    </w:div>
    <w:div w:id="778451000">
      <w:bodyDiv w:val="1"/>
      <w:marLeft w:val="0"/>
      <w:marRight w:val="0"/>
      <w:marTop w:val="0"/>
      <w:marBottom w:val="0"/>
      <w:divBdr>
        <w:top w:val="none" w:sz="0" w:space="0" w:color="auto"/>
        <w:left w:val="none" w:sz="0" w:space="0" w:color="auto"/>
        <w:bottom w:val="none" w:sz="0" w:space="0" w:color="auto"/>
        <w:right w:val="none" w:sz="0" w:space="0" w:color="auto"/>
      </w:divBdr>
    </w:div>
    <w:div w:id="781655130">
      <w:bodyDiv w:val="1"/>
      <w:marLeft w:val="0"/>
      <w:marRight w:val="0"/>
      <w:marTop w:val="0"/>
      <w:marBottom w:val="0"/>
      <w:divBdr>
        <w:top w:val="none" w:sz="0" w:space="0" w:color="auto"/>
        <w:left w:val="none" w:sz="0" w:space="0" w:color="auto"/>
        <w:bottom w:val="none" w:sz="0" w:space="0" w:color="auto"/>
        <w:right w:val="none" w:sz="0" w:space="0" w:color="auto"/>
      </w:divBdr>
    </w:div>
    <w:div w:id="1002438758">
      <w:bodyDiv w:val="1"/>
      <w:marLeft w:val="0"/>
      <w:marRight w:val="0"/>
      <w:marTop w:val="0"/>
      <w:marBottom w:val="0"/>
      <w:divBdr>
        <w:top w:val="none" w:sz="0" w:space="0" w:color="auto"/>
        <w:left w:val="none" w:sz="0" w:space="0" w:color="auto"/>
        <w:bottom w:val="none" w:sz="0" w:space="0" w:color="auto"/>
        <w:right w:val="none" w:sz="0" w:space="0" w:color="auto"/>
      </w:divBdr>
    </w:div>
    <w:div w:id="1045330762">
      <w:bodyDiv w:val="1"/>
      <w:marLeft w:val="0"/>
      <w:marRight w:val="0"/>
      <w:marTop w:val="0"/>
      <w:marBottom w:val="0"/>
      <w:divBdr>
        <w:top w:val="none" w:sz="0" w:space="0" w:color="auto"/>
        <w:left w:val="none" w:sz="0" w:space="0" w:color="auto"/>
        <w:bottom w:val="none" w:sz="0" w:space="0" w:color="auto"/>
        <w:right w:val="none" w:sz="0" w:space="0" w:color="auto"/>
      </w:divBdr>
    </w:div>
    <w:div w:id="1087772889">
      <w:bodyDiv w:val="1"/>
      <w:marLeft w:val="0"/>
      <w:marRight w:val="0"/>
      <w:marTop w:val="0"/>
      <w:marBottom w:val="0"/>
      <w:divBdr>
        <w:top w:val="none" w:sz="0" w:space="0" w:color="auto"/>
        <w:left w:val="none" w:sz="0" w:space="0" w:color="auto"/>
        <w:bottom w:val="none" w:sz="0" w:space="0" w:color="auto"/>
        <w:right w:val="none" w:sz="0" w:space="0" w:color="auto"/>
      </w:divBdr>
    </w:div>
    <w:div w:id="1116218512">
      <w:bodyDiv w:val="1"/>
      <w:marLeft w:val="0"/>
      <w:marRight w:val="0"/>
      <w:marTop w:val="0"/>
      <w:marBottom w:val="0"/>
      <w:divBdr>
        <w:top w:val="none" w:sz="0" w:space="0" w:color="auto"/>
        <w:left w:val="none" w:sz="0" w:space="0" w:color="auto"/>
        <w:bottom w:val="none" w:sz="0" w:space="0" w:color="auto"/>
        <w:right w:val="none" w:sz="0" w:space="0" w:color="auto"/>
      </w:divBdr>
    </w:div>
    <w:div w:id="1300843099">
      <w:bodyDiv w:val="1"/>
      <w:marLeft w:val="0"/>
      <w:marRight w:val="0"/>
      <w:marTop w:val="0"/>
      <w:marBottom w:val="0"/>
      <w:divBdr>
        <w:top w:val="none" w:sz="0" w:space="0" w:color="auto"/>
        <w:left w:val="none" w:sz="0" w:space="0" w:color="auto"/>
        <w:bottom w:val="none" w:sz="0" w:space="0" w:color="auto"/>
        <w:right w:val="none" w:sz="0" w:space="0" w:color="auto"/>
      </w:divBdr>
    </w:div>
    <w:div w:id="1315798137">
      <w:bodyDiv w:val="1"/>
      <w:marLeft w:val="0"/>
      <w:marRight w:val="0"/>
      <w:marTop w:val="0"/>
      <w:marBottom w:val="0"/>
      <w:divBdr>
        <w:top w:val="none" w:sz="0" w:space="0" w:color="auto"/>
        <w:left w:val="none" w:sz="0" w:space="0" w:color="auto"/>
        <w:bottom w:val="none" w:sz="0" w:space="0" w:color="auto"/>
        <w:right w:val="none" w:sz="0" w:space="0" w:color="auto"/>
      </w:divBdr>
    </w:div>
    <w:div w:id="1988514808">
      <w:bodyDiv w:val="1"/>
      <w:marLeft w:val="0"/>
      <w:marRight w:val="0"/>
      <w:marTop w:val="0"/>
      <w:marBottom w:val="0"/>
      <w:divBdr>
        <w:top w:val="none" w:sz="0" w:space="0" w:color="auto"/>
        <w:left w:val="none" w:sz="0" w:space="0" w:color="auto"/>
        <w:bottom w:val="none" w:sz="0" w:space="0" w:color="auto"/>
        <w:right w:val="none" w:sz="0" w:space="0" w:color="auto"/>
      </w:divBdr>
    </w:div>
    <w:div w:id="199321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6007/IJARBSS/v14-i10/23307" TargetMode="External"/><Relationship Id="rId13" Type="http://schemas.openxmlformats.org/officeDocument/2006/relationships/hyperlink" Target="https://doi.org/10.47772/IJRISS.2026.10200535" TargetMode="External"/><Relationship Id="rId18" Type="http://schemas.openxmlformats.org/officeDocument/2006/relationships/hyperlink" Target="https://doi.org/10.31893/multirev.2025291" TargetMode="External"/><Relationship Id="rId26" Type="http://schemas.openxmlformats.org/officeDocument/2006/relationships/hyperlink" Target="https://doi.org/10.1007/s11165-016-9602-2" TargetMode="External"/><Relationship Id="rId3" Type="http://schemas.openxmlformats.org/officeDocument/2006/relationships/settings" Target="settings.xml"/><Relationship Id="rId21" Type="http://schemas.openxmlformats.org/officeDocument/2006/relationships/hyperlink" Target="http://dx.doi.org/10.6007/IJARBSS/v11-i2/8880" TargetMode="External"/><Relationship Id="rId7" Type="http://schemas.openxmlformats.org/officeDocument/2006/relationships/hyperlink" Target="https://www.gbmrjournal.com/pdf/v16n3s/V16N3s-11.pdf" TargetMode="External"/><Relationship Id="rId12" Type="http://schemas.openxmlformats.org/officeDocument/2006/relationships/hyperlink" Target="https://doi.org/10.26803/ijlter.21.10.9" TargetMode="External"/><Relationship Id="rId17" Type="http://schemas.openxmlformats.org/officeDocument/2006/relationships/hyperlink" Target="https://doi.org/10.1016/j.ssaho.2025.102041" TargetMode="External"/><Relationship Id="rId25" Type="http://schemas.openxmlformats.org/officeDocument/2006/relationships/hyperlink" Target="https://doi.org/10.1111/ijcs.12671" TargetMode="External"/><Relationship Id="rId2" Type="http://schemas.openxmlformats.org/officeDocument/2006/relationships/styles" Target="styles.xml"/><Relationship Id="rId16" Type="http://schemas.openxmlformats.org/officeDocument/2006/relationships/hyperlink" Target="https://doi.org/10.56799/ekoma.v5i1.11624" TargetMode="External"/><Relationship Id="rId20" Type="http://schemas.openxmlformats.org/officeDocument/2006/relationships/hyperlink" Target="https://doi.org/10.24191/jeeir.v8i3.995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016/0749-5978(91)90020-T" TargetMode="External"/><Relationship Id="rId11" Type="http://schemas.openxmlformats.org/officeDocument/2006/relationships/hyperlink" Target="https://doi.org/10.35940/ijrte.B1060.0782S319" TargetMode="External"/><Relationship Id="rId24" Type="http://schemas.openxmlformats.org/officeDocument/2006/relationships/hyperlink" Target="https://dx.doi.org/10.47772/IJRISS.2025.909000805" TargetMode="External"/><Relationship Id="rId5" Type="http://schemas.openxmlformats.org/officeDocument/2006/relationships/image" Target="media/image1.png"/><Relationship Id="rId15" Type="http://schemas.openxmlformats.org/officeDocument/2006/relationships/hyperlink" Target="https://doi.org/10.1016/j.jbusres.2024.115127" TargetMode="External"/><Relationship Id="rId23" Type="http://schemas.openxmlformats.org/officeDocument/2006/relationships/hyperlink" Target="https://doi.org/10.32535/apjme.v8i2.4070" TargetMode="External"/><Relationship Id="rId28" Type="http://schemas.openxmlformats.org/officeDocument/2006/relationships/hyperlink" Target="https://doi.org/10.1177/02761467261426515" TargetMode="External"/><Relationship Id="rId10" Type="http://schemas.openxmlformats.org/officeDocument/2006/relationships/hyperlink" Target="https://doi.org/10.1108/JIMA-06-2017-0070" TargetMode="External"/><Relationship Id="rId19" Type="http://schemas.openxmlformats.org/officeDocument/2006/relationships/hyperlink" Target="http://dx.doi.org/10.6007/IJARBSS/v12-i11/15687" TargetMode="External"/><Relationship Id="rId4" Type="http://schemas.openxmlformats.org/officeDocument/2006/relationships/webSettings" Target="webSettings.xml"/><Relationship Id="rId9" Type="http://schemas.openxmlformats.org/officeDocument/2006/relationships/hyperlink" Target="https://doi.org/10.1007/BF0231055" TargetMode="External"/><Relationship Id="rId14" Type="http://schemas.openxmlformats.org/officeDocument/2006/relationships/hyperlink" Target="https://doi.org/10.21511/imfi.14(4).2017.15" TargetMode="External"/><Relationship Id="rId22" Type="http://schemas.openxmlformats.org/officeDocument/2006/relationships/hyperlink" Target="https://doi.org/10.35631/AIJBES.622019" TargetMode="External"/><Relationship Id="rId27" Type="http://schemas.openxmlformats.org/officeDocument/2006/relationships/hyperlink" Target="https://doi.org/10.30871/jaba.v9i1.9152"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11</Pages>
  <Words>4637</Words>
  <Characters>26437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TARUMT JHB</dc:creator>
  <cp:keywords/>
  <dc:description/>
  <cp:lastModifiedBy>NURUL FARHANA BINTI NASIR</cp:lastModifiedBy>
  <cp:revision>58</cp:revision>
  <dcterms:created xsi:type="dcterms:W3CDTF">2026-03-18T07:10:00Z</dcterms:created>
  <dcterms:modified xsi:type="dcterms:W3CDTF">2026-06-25T07:57:00Z</dcterms:modified>
</cp:coreProperties>
</file>