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E3E7F" w14:textId="2986DF99" w:rsidR="00A25881" w:rsidRDefault="004B4E08" w:rsidP="003A3FAD">
      <w:pPr>
        <w:spacing w:after="60"/>
        <w:jc w:val="center"/>
      </w:pPr>
      <w:r>
        <w:rPr>
          <w:b/>
          <w:bCs/>
          <w:sz w:val="30"/>
          <w:szCs w:val="30"/>
        </w:rPr>
        <w:t>RTL to GDS-II Implementation of a RISC-V RAM Design</w:t>
      </w:r>
    </w:p>
    <w:p w14:paraId="3240825A" w14:textId="77777777" w:rsidR="00A25881" w:rsidRDefault="004B4E08">
      <w:pPr>
        <w:spacing w:after="30"/>
        <w:jc w:val="center"/>
      </w:pPr>
      <w:r>
        <w:rPr>
          <w:b/>
          <w:bCs/>
          <w:sz w:val="20"/>
          <w:szCs w:val="20"/>
        </w:rPr>
        <w:t xml:space="preserve"/>
      </w:r>
      <w:proofErr w:type="spellStart"/>
      <w:proofErr w:type="gramStart"/>
      <w:r>
        <w:rPr>
          <w:b/>
          <w:bCs/>
          <w:sz w:val="20"/>
          <w:szCs w:val="20"/>
        </w:rPr>
        <w:t/>
      </w:r>
      <w:proofErr w:type="spellEnd"/>
      <w:r>
        <w:rPr>
          <w:b/>
          <w:bCs/>
          <w:sz w:val="20"/>
          <w:szCs w:val="20"/>
        </w:rPr>
        <w:t xml:space="preserve"/>
      </w:r>
      <w:proofErr w:type="gramEnd"/>
      <w:r>
        <w:rPr>
          <w:b/>
          <w:bCs/>
          <w:sz w:val="20"/>
          <w:szCs w:val="20"/>
        </w:rPr>
        <w:t/>
      </w:r>
    </w:p>
    <w:p w14:paraId="6FD5860B" w14:textId="77777777" w:rsidR="00A25881" w:rsidRDefault="004B4E08">
      <w:pPr>
        <w:spacing w:after="30"/>
        <w:jc w:val="center"/>
      </w:pPr>
      <w:r>
        <w:rPr>
          <w:sz w:val="16"/>
          <w:szCs w:val="16"/>
        </w:rPr>
        <w:t/>
      </w:r>
    </w:p>
    <w:p w14:paraId="6D843B8B" w14:textId="77777777" w:rsidR="00A25881" w:rsidRDefault="004B4E08">
      <w:pPr>
        <w:spacing w:after="30"/>
        <w:jc w:val="center"/>
      </w:pPr>
      <w:r>
        <w:rPr>
          <w:sz w:val="16"/>
          <w:szCs w:val="16"/>
        </w:rPr>
        <w:t/>
      </w:r>
    </w:p>
    <w:p w14:paraId="04ED44E7" w14:textId="77777777" w:rsidR="00A25881" w:rsidRDefault="004B4E08">
      <w:pPr>
        <w:spacing w:after="30"/>
        <w:jc w:val="center"/>
      </w:pPr>
      <w:r>
        <w:rPr>
          <w:sz w:val="16"/>
          <w:szCs w:val="16"/>
        </w:rPr>
        <w:t/>
      </w:r>
    </w:p>
    <w:p w14:paraId="1D78F9B5" w14:textId="71BEAEAD" w:rsidR="00A25881" w:rsidRDefault="004B4E08">
      <w:pPr>
        <w:spacing w:after="100"/>
        <w:jc w:val="center"/>
        <w:rPr>
          <w:color w:val="555555"/>
          <w:sz w:val="15"/>
          <w:szCs w:val="15"/>
        </w:rPr>
      </w:pPr>
      <w:r>
        <w:rPr>
          <w:color w:val="555555"/>
          <w:sz w:val="15"/>
          <w:szCs w:val="15"/>
        </w:rPr>
        <w:t xml:space="preserve"/>
      </w:r>
      <w:proofErr w:type="spellStart"/>
      <w:r>
        <w:rPr>
          <w:color w:val="555555"/>
          <w:sz w:val="15"/>
          <w:szCs w:val="15"/>
        </w:rPr>
        <w:t/>
      </w:r>
      <w:proofErr w:type="spellEnd"/>
      <w:r>
        <w:rPr>
          <w:color w:val="555555"/>
          <w:sz w:val="15"/>
          <w:szCs w:val="15"/>
        </w:rPr>
        <w:t xml:space="preserve"/>
      </w:r>
      <w:proofErr w:type="spellStart"/>
      <w:r>
        <w:rPr>
          <w:color w:val="555555"/>
          <w:sz w:val="15"/>
          <w:szCs w:val="15"/>
        </w:rPr>
        <w:t/>
      </w:r>
      <w:proofErr w:type="spellEnd"/>
      <w:r>
        <w:rPr>
          <w:color w:val="555555"/>
          <w:sz w:val="15"/>
          <w:szCs w:val="15"/>
        </w:rPr>
        <w:t xml:space="preserve"/>
      </w:r>
      <w:proofErr w:type="spellStart"/>
      <w:proofErr w:type="gramStart"/>
      <w:r>
        <w:rPr>
          <w:color w:val="555555"/>
          <w:sz w:val="15"/>
          <w:szCs w:val="15"/>
        </w:rPr>
        <w:t/>
      </w:r>
      <w:proofErr w:type="spellEnd"/>
      <w:proofErr w:type="gramEnd"/>
      <w:r>
        <w:rPr>
          <w:color w:val="555555"/>
          <w:sz w:val="15"/>
          <w:szCs w:val="15"/>
        </w:rPr>
        <w:t/>
      </w:r>
    </w:p>
    <w:p w14:paraId="293FD062" w14:textId="5EB333AE" w:rsidR="00CA06A5" w:rsidRPr="00CA06A5" w:rsidRDefault="00CA06A5" w:rsidP="00CA06A5">
      <w:pPr>
        <w:spacing w:after="100"/>
        <w:jc w:val="center"/>
        <w:rPr>
          <w:color w:val="555555"/>
          <w:sz w:val="15"/>
          <w:szCs w:val="15"/>
        </w:rPr>
      </w:pPr>
      <w:r>
        <w:rPr>
          <w:color w:val="555555"/>
          <w:sz w:val="15"/>
          <w:szCs w:val="15"/>
        </w:rPr>
        <w:t/>
      </w:r>
      <w:r w:rsidRPr="00CA06A5">
        <w:t xml:space="preserve"/>
      </w:r>
      <w:proofErr w:type="gramStart"/>
      <w:r w:rsidRPr="00CA06A5">
        <w:rPr>
          <w:color w:val="555555"/>
          <w:sz w:val="15"/>
          <w:szCs w:val="15"/>
        </w:rPr>
        <w:t/>
      </w:r>
      <w:proofErr w:type="spellStart"/>
      <w:r w:rsidRPr="00CA06A5">
        <w:rPr>
          <w:color w:val="555555"/>
          <w:sz w:val="15"/>
          <w:szCs w:val="15"/>
        </w:rPr>
        <w:t/>
      </w:r>
      <w:proofErr w:type="spellEnd"/>
      <w:proofErr w:type="gramEnd"/>
      <w:r w:rsidRPr="00CA06A5">
        <w:rPr>
          <w:color w:val="555555"/>
          <w:sz w:val="15"/>
          <w:szCs w:val="15"/>
        </w:rPr>
        <w:t xml:space="preserve"/>
      </w:r>
      <w:proofErr w:type="spellStart"/>
      <w:r w:rsidRPr="00CA06A5">
        <w:rPr>
          <w:color w:val="555555"/>
          <w:sz w:val="15"/>
          <w:szCs w:val="15"/>
        </w:rPr>
        <w:t/>
      </w:r>
      <w:proofErr w:type="spellEnd"/>
      <w:r w:rsidRPr="00CA06A5">
        <w:rPr>
          <w:color w:val="555555"/>
          <w:sz w:val="15"/>
          <w:szCs w:val="15"/>
        </w:rPr>
        <w:t xml:space="preserve"/>
      </w:r>
      <w:proofErr w:type="spellStart"/>
      <w:r w:rsidRPr="00CA06A5">
        <w:rPr>
          <w:color w:val="555555"/>
          <w:sz w:val="15"/>
          <w:szCs w:val="15"/>
        </w:rPr>
        <w:t/>
      </w:r>
      <w:r>
        <w:rPr>
          <w:color w:val="555555"/>
          <w:sz w:val="15"/>
          <w:szCs w:val="15"/>
        </w:rPr>
        <w:t/>
      </w:r>
      <w:r w:rsidRPr="00CA06A5">
        <w:rPr>
          <w:color w:val="555555"/>
          <w:sz w:val="15"/>
          <w:szCs w:val="15"/>
        </w:rPr>
        <w:t/>
      </w:r>
      <w:proofErr w:type="spellEnd"/>
      <w:r w:rsidRPr="00CA06A5">
        <w:rPr>
          <w:color w:val="555555"/>
          <w:sz w:val="15"/>
          <w:szCs w:val="15"/>
        </w:rPr>
        <w:t/>
      </w:r>
      <w:r>
        <w:rPr>
          <w:color w:val="555555"/>
          <w:sz w:val="15"/>
          <w:szCs w:val="15"/>
        </w:rPr>
        <w:t xml:space="preserve"/>
      </w:r>
      <w:r w:rsidRPr="00CA06A5">
        <w:rPr>
          <w:color w:val="555555"/>
          <w:sz w:val="15"/>
          <w:szCs w:val="15"/>
        </w:rPr>
        <w:t/>
      </w:r>
      <w:r w:rsidR="00D5408E">
        <w:rPr>
          <w:color w:val="555555"/>
          <w:sz w:val="15"/>
          <w:szCs w:val="15"/>
        </w:rPr>
        <w:t/>
      </w:r>
      <w:r w:rsidRPr="00CA06A5">
        <w:rPr>
          <w:color w:val="555555"/>
          <w:sz w:val="15"/>
          <w:szCs w:val="15"/>
        </w:rPr>
        <w:t/>
      </w:r>
    </w:p>
    <w:p w14:paraId="4510598A" w14:textId="77777777" w:rsidR="00A25881" w:rsidRDefault="00A25881">
      <w:pPr>
        <w:pBdr>
          <w:bottom w:val="single" w:sz="6" w:space="1" w:color="1A3A5C"/>
        </w:pBdr>
        <w:spacing w:before="80" w:after="80"/>
      </w:pPr>
    </w:p>
    <w:p w14:paraId="1F47D33C" w14:textId="4467B56E" w:rsidR="00A25881" w:rsidRDefault="004B4E08">
      <w:pPr>
        <w:spacing w:before="80" w:after="55" w:line="225" w:lineRule="auto"/>
        <w:jc w:val="both"/>
      </w:pPr>
      <w:r>
        <w:rPr>
          <w:b/>
          <w:bCs/>
        </w:rPr>
        <w:t>Abstract—</w:t>
      </w:r>
      <w:r>
        <w:t>This paper presents a complete ASIC design flow for a RISC-V based 16×8 RAM module, spanning the full pipeline from Register Transfer Level (RTL) coding in Verilog to GD</w:t>
      </w:r>
      <w:r>
        <w:t xml:space="preserve">S-II physical layout generation. The RAM is functionally verified using Cadence </w:t>
      </w:r>
      <w:proofErr w:type="spellStart"/>
      <w:r>
        <w:t>Xcelium</w:t>
      </w:r>
      <w:proofErr w:type="spellEnd"/>
      <w:r>
        <w:t>, synthesized using Synopsys Design Compiler, and carried through floor</w:t>
      </w:r>
      <w:r w:rsidR="00CA06A5">
        <w:t xml:space="preserve"> </w:t>
      </w:r>
      <w:r>
        <w:t xml:space="preserve">planning, placement, Clock Tree Synthesis (CTS), and routing using Cadence </w:t>
      </w:r>
      <w:proofErr w:type="spellStart"/>
      <w:r>
        <w:t>Innovus</w:t>
      </w:r>
      <w:proofErr w:type="spellEnd"/>
      <w:r>
        <w:t>. Physical sign-</w:t>
      </w:r>
      <w:r>
        <w:t>off via Design Rule Checking (DRC), Layout Versus Schematic (LVS), and Static Timing Analysis (STA) yields a tape-out-ready GDS-II file. Benchmarking against the ARM Cortex-A5 in TSMC 40GPLUS demonstrates 48% area reduction, 57% lower dynamic power, and 9.</w:t>
      </w:r>
      <w:r>
        <w:t>5% higher Dhrystone performance. Fault-tolerance analysis further evaluates TMR and Hamming ECC overhead, establishing design guidelines for radiation-critical VLSI applications.</w:t>
      </w:r>
    </w:p>
    <w:p w14:paraId="217F5EF2" w14:textId="77777777" w:rsidR="00A25881" w:rsidRDefault="004B4E08">
      <w:pPr>
        <w:spacing w:before="30" w:after="80"/>
      </w:pPr>
      <w:r>
        <w:rPr>
          <w:b/>
          <w:bCs/>
          <w:sz w:val="16"/>
          <w:szCs w:val="16"/>
        </w:rPr>
        <w:t>Index Terms—</w:t>
      </w:r>
      <w:r>
        <w:rPr>
          <w:sz w:val="16"/>
          <w:szCs w:val="16"/>
        </w:rPr>
        <w:t xml:space="preserve">RISC-V; RTL to GDS-II; ASIC; Cadence </w:t>
      </w:r>
      <w:proofErr w:type="spellStart"/>
      <w:r>
        <w:rPr>
          <w:sz w:val="16"/>
          <w:szCs w:val="16"/>
        </w:rPr>
        <w:t>Innovus</w:t>
      </w:r>
      <w:proofErr w:type="spellEnd"/>
      <w:r>
        <w:rPr>
          <w:sz w:val="16"/>
          <w:szCs w:val="16"/>
        </w:rPr>
        <w:t>; Synthesis; Physical</w:t>
      </w:r>
      <w:r>
        <w:rPr>
          <w:sz w:val="16"/>
          <w:szCs w:val="16"/>
        </w:rPr>
        <w:t xml:space="preserve"> Design; Fault Tolerance; GDS-II; Static Timing Analysis; Place and Route.</w:t>
      </w:r>
    </w:p>
    <w:p w14:paraId="2E6A1B98" w14:textId="77777777" w:rsidR="00A25881" w:rsidRDefault="00A25881">
      <w:pPr>
        <w:pBdr>
          <w:bottom w:val="single" w:sz="6" w:space="1" w:color="1A3A5C"/>
        </w:pBdr>
        <w:spacing w:before="80" w:after="80"/>
      </w:pPr>
    </w:p>
    <w:p w14:paraId="37B15A1B" w14:textId="77777777" w:rsidR="00A25881" w:rsidRDefault="00A25881">
      <w:pPr>
        <w:spacing w:after="10"/>
      </w:pPr>
    </w:p>
    <w:p w14:paraId="29DA8704" w14:textId="77777777" w:rsidR="00A25881" w:rsidRDefault="00A25881">
      <w:pPr>
        <w:sectPr w:rsidR="00A25881">
          <w:headerReference w:type="default" r:id="rId7"/>
          <w:footerReference w:type="default" r:id="rId8"/>
          <w:type w:val="continuous"/>
          <w:pgSz w:w="12240" w:h="15840"/>
          <w:pgMar w:top="720" w:right="860" w:bottom="1000" w:left="860" w:header="708" w:footer="708" w:gutter="0"/>
          <w:cols w:space="720"/>
          <w:docGrid w:linePitch="360"/>
        </w:sectPr>
      </w:pPr>
    </w:p>
    <w:p w14:paraId="3F7A69B0" w14:textId="77777777" w:rsidR="00A25881" w:rsidRDefault="004B4E08">
      <w:pPr>
        <w:spacing w:before="100" w:after="50"/>
      </w:pPr>
      <w:r>
        <w:rPr>
          <w:b/>
          <w:bCs/>
          <w:sz w:val="18"/>
          <w:szCs w:val="18"/>
        </w:rPr>
        <w:t>I. INTRODUCTION</w:t>
      </w:r>
    </w:p>
    <w:p w14:paraId="5635587B" w14:textId="77777777" w:rsidR="00A25881" w:rsidRDefault="004B4E08">
      <w:pPr>
        <w:spacing w:after="55" w:line="228" w:lineRule="auto"/>
        <w:ind w:firstLine="280"/>
        <w:jc w:val="both"/>
      </w:pPr>
      <w:r>
        <w:t xml:space="preserve">Very </w:t>
      </w:r>
      <w:proofErr w:type="gramStart"/>
      <w:r>
        <w:t>Large Scale</w:t>
      </w:r>
      <w:proofErr w:type="gramEnd"/>
      <w:r>
        <w:t xml:space="preserve"> Integration (VLSI) is the technology of designing and fabricating integrated circuits by integrating millions of transistors onto a single chip [1]. It pla</w:t>
      </w:r>
      <w:r>
        <w:t>ys a crucial role in modern electronics, enabling compact, high-speed, and energy-efficient devices such as smartphones, computers, and embedded systems. With continuous technology scaling, VLSI design has grown increasingly complex, requiring advanced EDA</w:t>
      </w:r>
      <w:r>
        <w:t xml:space="preserve"> methodologies.</w:t>
      </w:r>
    </w:p>
    <w:p w14:paraId="579054D4" w14:textId="77777777" w:rsidR="00A25881" w:rsidRDefault="004B4E08">
      <w:pPr>
        <w:spacing w:after="55" w:line="228" w:lineRule="auto"/>
        <w:ind w:firstLine="280"/>
        <w:jc w:val="both"/>
      </w:pPr>
      <w:r>
        <w:t>VLSI design is broadly classified into front-end design — comprising RTL coding and functional verification — and back-end design covering physical implementation from netlist to GDS-II. The RTL-to-GDS-II flow is the universally accepted me</w:t>
      </w:r>
      <w:r>
        <w:t xml:space="preserve">thodology for ASIC development, transforming a </w:t>
      </w:r>
      <w:proofErr w:type="spellStart"/>
      <w:r>
        <w:t>behavioral</w:t>
      </w:r>
      <w:proofErr w:type="spellEnd"/>
      <w:r>
        <w:t xml:space="preserve"> hardware description into a manufacturable chip layout.</w:t>
      </w:r>
    </w:p>
    <w:p w14:paraId="5713234E" w14:textId="77777777" w:rsidR="00A25881" w:rsidRDefault="004B4E08">
      <w:pPr>
        <w:spacing w:after="55" w:line="228" w:lineRule="auto"/>
        <w:ind w:firstLine="280"/>
        <w:jc w:val="both"/>
      </w:pPr>
      <w:r>
        <w:t>The RISC-V instruction set architecture, developed at UC Berkeley, is an open-source RISC architecture with a minimal, modular instruction set</w:t>
      </w:r>
      <w:r>
        <w:t xml:space="preserve"> [2]. Its royalty-free licensing has made it the architecture of choice for embedded systems, IoT devices, and VLSI research. The simplicity of its register-transfer semantics makes it highly amenable to RTL description and synthesis.</w:t>
      </w:r>
    </w:p>
    <w:p w14:paraId="143E3C75" w14:textId="77777777" w:rsidR="00A25881" w:rsidRDefault="004B4E08">
      <w:pPr>
        <w:spacing w:after="55" w:line="228" w:lineRule="auto"/>
        <w:ind w:firstLine="280"/>
        <w:jc w:val="both"/>
      </w:pPr>
      <w:r>
        <w:t>This paper contribute</w:t>
      </w:r>
      <w:r>
        <w:t xml:space="preserve">s: (1) a complete, reproducible RTL-to-GDS-II flow for a 16×8 RISC-V RAM module using industry-standard EDA tools; (2) a technology-matched ARM Cortex-A5 comparison in TSMC 40nm; and (3) a fault-tolerance study covering TMR and Hamming ECC configurations. </w:t>
      </w:r>
      <w:r>
        <w:t>The work provides a replicable pedagogical template for VLSI education and research.</w:t>
      </w:r>
    </w:p>
    <w:p w14:paraId="32A2152B" w14:textId="77777777" w:rsidR="00A25881" w:rsidRDefault="004B4E08">
      <w:pPr>
        <w:spacing w:before="100" w:after="50"/>
      </w:pPr>
      <w:r>
        <w:rPr>
          <w:b/>
          <w:bCs/>
          <w:sz w:val="18"/>
          <w:szCs w:val="18"/>
        </w:rPr>
        <w:t>II. BACKGROUND AND RELATED WORK</w:t>
      </w:r>
    </w:p>
    <w:p w14:paraId="0F12E319" w14:textId="77777777" w:rsidR="00A25881" w:rsidRDefault="004B4E08">
      <w:pPr>
        <w:spacing w:before="70" w:after="35"/>
      </w:pPr>
      <w:r>
        <w:rPr>
          <w:b/>
          <w:bCs/>
        </w:rPr>
        <w:t>A. RTL to GDS-II Flow</w:t>
      </w:r>
    </w:p>
    <w:p w14:paraId="629EECB4" w14:textId="77777777" w:rsidR="00A25881" w:rsidRDefault="004B4E08">
      <w:pPr>
        <w:spacing w:after="55" w:line="228" w:lineRule="auto"/>
        <w:ind w:firstLine="280"/>
        <w:jc w:val="both"/>
      </w:pPr>
      <w:r>
        <w:t>The RTL-to-GDS-II pipeline transforms an HDL description into a geometrically precise layout ready for photomask gene</w:t>
      </w:r>
      <w:r>
        <w:t xml:space="preserve">ration. Front-end stages comprise RTL coding, simulation, and logic synthesis; back-end stages cover </w:t>
      </w:r>
      <w:proofErr w:type="spellStart"/>
      <w:r>
        <w:t>floorplanning</w:t>
      </w:r>
      <w:proofErr w:type="spellEnd"/>
      <w:r>
        <w:t>, placement, CTS, routing, DRC/LVS/STA verification, and GDS-II streaming [3]. GDS-II (Graphic Data System II) is the binary stream format enc</w:t>
      </w:r>
      <w:r>
        <w:t>oding geometric shapes, layer references, and hierarchical structure that the foundry uses to generate photomasks.</w:t>
      </w:r>
    </w:p>
    <w:p w14:paraId="05EB9F31" w14:textId="77777777" w:rsidR="00A25881" w:rsidRDefault="004B4E08">
      <w:pPr>
        <w:spacing w:before="70" w:after="35"/>
      </w:pPr>
      <w:r>
        <w:rPr>
          <w:b/>
          <w:bCs/>
        </w:rPr>
        <w:t>B. RISC-V Architecture</w:t>
      </w:r>
    </w:p>
    <w:p w14:paraId="3B46E08F" w14:textId="77777777" w:rsidR="00A25881" w:rsidRDefault="004B4E08">
      <w:pPr>
        <w:spacing w:after="55" w:line="228" w:lineRule="auto"/>
        <w:ind w:firstLine="280"/>
        <w:jc w:val="both"/>
      </w:pPr>
      <w:r>
        <w:t>RISC-V defines a base integer ISA (RV32I/RV64I) with optional extensions for multiplication (M), atomics (A), and floa</w:t>
      </w:r>
      <w:r>
        <w:t xml:space="preserve">ting-point (F/D). All base instructions are 32 bits wide and follow six encoding formats: R-type (register-register), I-type (immediate/load), S-type (store), B-type (branch), U-type (upper immediate), and J-type (jump). Figure 1 illustrates the RISC-V </w:t>
      </w:r>
      <w:proofErr w:type="spellStart"/>
      <w:r>
        <w:t>dat</w:t>
      </w:r>
      <w:r>
        <w:t>apath</w:t>
      </w:r>
      <w:proofErr w:type="spellEnd"/>
      <w:r>
        <w:t xml:space="preserve"> from instruction memory through decode, register file, and ALU.</w:t>
      </w:r>
    </w:p>
    <w:p w14:paraId="2921ABE9" w14:textId="77777777" w:rsidR="00A25881" w:rsidRDefault="004B4E08">
      <w:pPr>
        <w:spacing w:before="60" w:after="40"/>
        <w:jc w:val="center"/>
      </w:pPr>
      <w:r>
        <w:rPr>
          <w:noProof/>
        </w:rPr>
        <w:drawing>
          <wp:inline distT="0" distB="0" distL="0" distR="0" wp14:anchorId="61BCC2E7" wp14:editId="218E0757">
            <wp:extent cx="2190750" cy="1057275"/>
            <wp:effectExtent l="0" t="0" r="0" b="0"/>
            <wp:docPr id="1" name="page10_img1.png" descr="page10_img1.png" title="page10_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2190750" cy="1057275"/>
                    </a:xfrm>
                    <a:prstGeom prst="rect">
                      <a:avLst/>
                    </a:prstGeom>
                  </pic:spPr>
                </pic:pic>
              </a:graphicData>
            </a:graphic>
          </wp:inline>
        </w:drawing>
      </w:r>
    </w:p>
    <w:p w14:paraId="0BCCDAF2" w14:textId="77777777" w:rsidR="00A25881" w:rsidRDefault="004B4E08">
      <w:pPr>
        <w:spacing w:before="30" w:after="80"/>
        <w:jc w:val="center"/>
      </w:pPr>
      <w:r>
        <w:rPr>
          <w:sz w:val="14"/>
          <w:szCs w:val="14"/>
        </w:rPr>
        <w:t xml:space="preserve">Fig. 1. RISC-V processor </w:t>
      </w:r>
      <w:proofErr w:type="spellStart"/>
      <w:r>
        <w:rPr>
          <w:sz w:val="14"/>
          <w:szCs w:val="14"/>
        </w:rPr>
        <w:t>datapath</w:t>
      </w:r>
      <w:proofErr w:type="spellEnd"/>
      <w:r>
        <w:rPr>
          <w:sz w:val="14"/>
          <w:szCs w:val="14"/>
        </w:rPr>
        <w:t>: instruction memory → decode → register file → ALU.</w:t>
      </w:r>
    </w:p>
    <w:p w14:paraId="4CF82C76" w14:textId="77777777" w:rsidR="00A25881" w:rsidRDefault="004B4E08">
      <w:pPr>
        <w:spacing w:after="55" w:line="228" w:lineRule="auto"/>
        <w:ind w:firstLine="280"/>
        <w:jc w:val="both"/>
      </w:pPr>
      <w:r>
        <w:t xml:space="preserve">The RISC-V instruction encoding formats are shown in Fig. 2, covering all six standard </w:t>
      </w:r>
      <w:r>
        <w:t>formats with their respective field layouts across the 32-bit instruction word.</w:t>
      </w:r>
    </w:p>
    <w:p w14:paraId="67CE8DB2" w14:textId="77777777" w:rsidR="00A25881" w:rsidRDefault="004B4E08">
      <w:pPr>
        <w:spacing w:before="60" w:after="40"/>
        <w:jc w:val="center"/>
      </w:pPr>
      <w:r>
        <w:rPr>
          <w:noProof/>
        </w:rPr>
        <w:drawing>
          <wp:inline distT="0" distB="0" distL="0" distR="0" wp14:anchorId="60BC4BE7" wp14:editId="32B8B8B5">
            <wp:extent cx="2190750" cy="790575"/>
            <wp:effectExtent l="0" t="0" r="0" b="0"/>
            <wp:docPr id="700879716" name="page10_img2.png" descr="page10_img2.png" title="page10_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2190750" cy="790575"/>
                    </a:xfrm>
                    <a:prstGeom prst="rect">
                      <a:avLst/>
                    </a:prstGeom>
                  </pic:spPr>
                </pic:pic>
              </a:graphicData>
            </a:graphic>
          </wp:inline>
        </w:drawing>
      </w:r>
    </w:p>
    <w:p w14:paraId="7A1ED5E7" w14:textId="77777777" w:rsidR="00A25881" w:rsidRDefault="004B4E08">
      <w:pPr>
        <w:spacing w:before="30" w:after="80"/>
        <w:jc w:val="center"/>
      </w:pPr>
      <w:r>
        <w:rPr>
          <w:sz w:val="14"/>
          <w:szCs w:val="14"/>
        </w:rPr>
        <w:t>Fig. 2. RISC-V instruction set encoding formats (R, I, S, B, U, J types), each 32 bits wide.</w:t>
      </w:r>
    </w:p>
    <w:p w14:paraId="0C0102DF" w14:textId="77777777" w:rsidR="00A25881" w:rsidRDefault="004B4E08">
      <w:pPr>
        <w:spacing w:before="70" w:after="35"/>
      </w:pPr>
      <w:r>
        <w:rPr>
          <w:b/>
          <w:bCs/>
        </w:rPr>
        <w:t>C. RAM Design</w:t>
      </w:r>
    </w:p>
    <w:p w14:paraId="1DD7D38B" w14:textId="77777777" w:rsidR="00A25881" w:rsidRDefault="004B4E08">
      <w:pPr>
        <w:spacing w:after="55" w:line="228" w:lineRule="auto"/>
        <w:ind w:firstLine="280"/>
        <w:jc w:val="both"/>
      </w:pPr>
      <w:r>
        <w:t xml:space="preserve">Random Access Memory (RAM) is a fundamental component of </w:t>
      </w:r>
      <w:r>
        <w:t>digital systems for temporary data storage. It allows fast synchronous read/write operations essential for processor performance. Figure 3 shows the memory subsystem block diagram with memory controller, alignment unit, and CPU interface. A 16×8 RAM module</w:t>
      </w:r>
      <w:r>
        <w:t xml:space="preserve"> is designed using Verilog with inputs: clock (</w:t>
      </w:r>
      <w:proofErr w:type="spellStart"/>
      <w:r>
        <w:t>clk</w:t>
      </w:r>
      <w:proofErr w:type="spellEnd"/>
      <w:r>
        <w:t>), 4-bit address (</w:t>
      </w:r>
      <w:proofErr w:type="spellStart"/>
      <w:r>
        <w:t>addr</w:t>
      </w:r>
      <w:proofErr w:type="spellEnd"/>
      <w:r>
        <w:t>), 8-bit data input (din), write enable (we), and 8-bit data output (</w:t>
      </w:r>
      <w:proofErr w:type="spellStart"/>
      <w:r>
        <w:t>dout</w:t>
      </w:r>
      <w:proofErr w:type="spellEnd"/>
      <w:r>
        <w:t>).</w:t>
      </w:r>
    </w:p>
    <w:p w14:paraId="7BDB4D9D" w14:textId="77777777" w:rsidR="00A25881" w:rsidRDefault="004B4E08">
      <w:pPr>
        <w:spacing w:before="60" w:after="40"/>
        <w:jc w:val="center"/>
      </w:pPr>
      <w:r>
        <w:rPr>
          <w:noProof/>
        </w:rPr>
        <w:drawing>
          <wp:inline distT="0" distB="0" distL="0" distR="0" wp14:anchorId="7392BEC8" wp14:editId="5FAE065A">
            <wp:extent cx="2190750" cy="828675"/>
            <wp:effectExtent l="0" t="0" r="0" b="0"/>
            <wp:docPr id="1492881019" name="page11_img1.png" descr="page11_img1.png" title="page11_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2190750" cy="828675"/>
                    </a:xfrm>
                    <a:prstGeom prst="rect">
                      <a:avLst/>
                    </a:prstGeom>
                  </pic:spPr>
                </pic:pic>
              </a:graphicData>
            </a:graphic>
          </wp:inline>
        </w:drawing>
      </w:r>
    </w:p>
    <w:p w14:paraId="273D833D" w14:textId="77777777" w:rsidR="00A25881" w:rsidRDefault="004B4E08">
      <w:pPr>
        <w:spacing w:before="30" w:after="80"/>
        <w:jc w:val="center"/>
      </w:pPr>
      <w:r>
        <w:rPr>
          <w:sz w:val="14"/>
          <w:szCs w:val="14"/>
        </w:rPr>
        <w:t>Fig. 3. RAM subsystem block diagram showing memory controller, alignment unit, and CPU interface.</w:t>
      </w:r>
    </w:p>
    <w:p w14:paraId="7DE070BB" w14:textId="77777777" w:rsidR="00A25881" w:rsidRDefault="004B4E08">
      <w:pPr>
        <w:spacing w:before="70" w:after="35"/>
      </w:pPr>
      <w:r>
        <w:rPr>
          <w:b/>
          <w:bCs/>
        </w:rPr>
        <w:t>D. Prior</w:t>
      </w:r>
      <w:r>
        <w:rPr>
          <w:b/>
          <w:bCs/>
        </w:rPr>
        <w:t xml:space="preserve"> Work</w:t>
      </w:r>
    </w:p>
    <w:p w14:paraId="2651B144" w14:textId="77777777" w:rsidR="00A25881" w:rsidRDefault="004B4E08">
      <w:pPr>
        <w:spacing w:after="55" w:line="228" w:lineRule="auto"/>
        <w:ind w:firstLine="280"/>
        <w:jc w:val="both"/>
      </w:pPr>
      <w:r>
        <w:t>Bandara et al. [4] released BRISC-V for design space exploration. VSD [5] demonstrated a tape-out-ready RISC-V SoC RTL-to-GDS flow with open-source tools. Benz et al. [6] presented Basilisk, a Linux-capable RISC-V SoC validated with open EDA. Raza et</w:t>
      </w:r>
      <w:r>
        <w:t xml:space="preserve"> al. [7] documented physical design of a RISC-V microcontroller. Sharma et al. [8] demonstrated ALU implementation through RTL-to-GDS-II on FPGA, while Reddy [9] validated a RISC-V SoC using </w:t>
      </w:r>
      <w:proofErr w:type="spellStart"/>
      <w:r>
        <w:t>OpenLane</w:t>
      </w:r>
      <w:proofErr w:type="spellEnd"/>
      <w:r>
        <w:t>.</w:t>
      </w:r>
    </w:p>
    <w:p w14:paraId="270A56F2" w14:textId="77777777" w:rsidR="00A25881" w:rsidRDefault="004B4E08">
      <w:pPr>
        <w:spacing w:before="100" w:after="50"/>
      </w:pPr>
      <w:r>
        <w:rPr>
          <w:b/>
          <w:bCs/>
          <w:sz w:val="18"/>
          <w:szCs w:val="18"/>
        </w:rPr>
        <w:t>III. DESIGN METHODOLOGY</w:t>
      </w:r>
    </w:p>
    <w:p w14:paraId="52B64234" w14:textId="77777777" w:rsidR="00A25881" w:rsidRDefault="004B4E08">
      <w:pPr>
        <w:spacing w:after="55" w:line="228" w:lineRule="auto"/>
        <w:ind w:firstLine="280"/>
        <w:jc w:val="both"/>
      </w:pPr>
      <w:r>
        <w:lastRenderedPageBreak/>
        <w:t>The design methodology comprise</w:t>
      </w:r>
      <w:r>
        <w:t>s seven sequential stages as illustrated in Fig. 4: RTL Design → Functional Verification → Logic Synthesis → DFT → Floorplan &amp; Placement → CTS &amp; Routing → Physical Verification → GDS-II.</w:t>
      </w:r>
    </w:p>
    <w:p w14:paraId="351698E3" w14:textId="77777777" w:rsidR="00A25881" w:rsidRDefault="004B4E08">
      <w:pPr>
        <w:spacing w:before="60" w:after="40"/>
        <w:jc w:val="center"/>
      </w:pPr>
      <w:r>
        <w:rPr>
          <w:noProof/>
        </w:rPr>
        <w:drawing>
          <wp:inline distT="0" distB="0" distL="0" distR="0" wp14:anchorId="323682BD" wp14:editId="7042508B">
            <wp:extent cx="1666875" cy="1143000"/>
            <wp:effectExtent l="0" t="0" r="0" b="0"/>
            <wp:docPr id="2032388790" name="page12_img1.png" descr="page12_img1.png" title="page12_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1666875" cy="1143000"/>
                    </a:xfrm>
                    <a:prstGeom prst="rect">
                      <a:avLst/>
                    </a:prstGeom>
                  </pic:spPr>
                </pic:pic>
              </a:graphicData>
            </a:graphic>
          </wp:inline>
        </w:drawing>
      </w:r>
    </w:p>
    <w:p w14:paraId="3EF407B1" w14:textId="77777777" w:rsidR="00A25881" w:rsidRDefault="004B4E08">
      <w:pPr>
        <w:spacing w:before="30" w:after="80"/>
        <w:jc w:val="center"/>
      </w:pPr>
      <w:r>
        <w:rPr>
          <w:sz w:val="14"/>
          <w:szCs w:val="14"/>
        </w:rPr>
        <w:t>Fig. 4. Complete RTL-to-GDS-II design flow pipeline from HDL coding</w:t>
      </w:r>
      <w:r>
        <w:rPr>
          <w:sz w:val="14"/>
          <w:szCs w:val="14"/>
        </w:rPr>
        <w:t xml:space="preserve"> to tape-out.</w:t>
      </w:r>
    </w:p>
    <w:p w14:paraId="32D7F93A" w14:textId="77777777" w:rsidR="00A25881" w:rsidRDefault="004B4E08">
      <w:pPr>
        <w:spacing w:before="70" w:after="35"/>
      </w:pPr>
      <w:r>
        <w:rPr>
          <w:b/>
          <w:bCs/>
        </w:rPr>
        <w:t>A. RTL Design</w:t>
      </w:r>
    </w:p>
    <w:p w14:paraId="2280FD70" w14:textId="77777777" w:rsidR="00A25881" w:rsidRDefault="004B4E08">
      <w:pPr>
        <w:spacing w:after="55" w:line="228" w:lineRule="auto"/>
        <w:ind w:firstLine="280"/>
        <w:jc w:val="both"/>
      </w:pPr>
      <w:r>
        <w:t>RTL design is the initial stage where the digital circuit's functionality is described using Verilog or VHDL. The design is represented in terms of registers, combinational logic, and sequential logic controlled by a clock signa</w:t>
      </w:r>
      <w:r>
        <w:t xml:space="preserve">l. RTL focuses on what the system does, not its physical implementation. Cadence </w:t>
      </w:r>
      <w:proofErr w:type="spellStart"/>
      <w:r>
        <w:t>Xcelium</w:t>
      </w:r>
      <w:proofErr w:type="spellEnd"/>
      <w:r>
        <w:t xml:space="preserve"> performs functional simulation and verification. Figure 5 shows the RTL memory bus architecture with address and data buses.</w:t>
      </w:r>
    </w:p>
    <w:p w14:paraId="49878395" w14:textId="77777777" w:rsidR="00A25881" w:rsidRDefault="004B4E08">
      <w:pPr>
        <w:spacing w:before="60" w:after="40"/>
        <w:jc w:val="center"/>
      </w:pPr>
      <w:r>
        <w:rPr>
          <w:noProof/>
        </w:rPr>
        <w:drawing>
          <wp:inline distT="0" distB="0" distL="0" distR="0" wp14:anchorId="3B18D411" wp14:editId="428C557C">
            <wp:extent cx="2095500" cy="1438275"/>
            <wp:effectExtent l="0" t="0" r="0" b="0"/>
            <wp:docPr id="985708733" name="page13_img1.png" descr="page13_img1.png" title="page13_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2095500" cy="1438275"/>
                    </a:xfrm>
                    <a:prstGeom prst="rect">
                      <a:avLst/>
                    </a:prstGeom>
                  </pic:spPr>
                </pic:pic>
              </a:graphicData>
            </a:graphic>
          </wp:inline>
        </w:drawing>
      </w:r>
    </w:p>
    <w:p w14:paraId="6ECFD96C" w14:textId="77777777" w:rsidR="00A25881" w:rsidRDefault="004B4E08">
      <w:pPr>
        <w:spacing w:before="30" w:after="80"/>
        <w:jc w:val="center"/>
      </w:pPr>
      <w:r>
        <w:rPr>
          <w:sz w:val="14"/>
          <w:szCs w:val="14"/>
        </w:rPr>
        <w:t>Fig. 5. RTL memory bus architecture show</w:t>
      </w:r>
      <w:r>
        <w:rPr>
          <w:sz w:val="14"/>
          <w:szCs w:val="14"/>
        </w:rPr>
        <w:t>ing address decoder, R/W control, and CPU data interface.</w:t>
      </w:r>
    </w:p>
    <w:p w14:paraId="36D4EC76" w14:textId="77777777" w:rsidR="00A25881" w:rsidRDefault="004B4E08">
      <w:pPr>
        <w:spacing w:before="70" w:after="35"/>
      </w:pPr>
      <w:r>
        <w:rPr>
          <w:b/>
          <w:bCs/>
        </w:rPr>
        <w:t>B. Logic Synthesis</w:t>
      </w:r>
    </w:p>
    <w:p w14:paraId="218037D2" w14:textId="77777777" w:rsidR="00A25881" w:rsidRDefault="004B4E08">
      <w:pPr>
        <w:spacing w:after="55" w:line="228" w:lineRule="auto"/>
        <w:ind w:firstLine="280"/>
        <w:jc w:val="both"/>
      </w:pPr>
      <w:r>
        <w:t xml:space="preserve">Synthesis converts RTL into a gate-level netlist using Synopsys Design Compiler targeting the TSMC 40nm standard cell library. HDL constructs are translated into AND/OR/NOT gates </w:t>
      </w:r>
      <w:r>
        <w:t>and flip-flops, with simultaneous optimization for area, power, and timing via SDC constraints. Table I shows FPGA resource utilization confirming design feasibility.</w:t>
      </w:r>
    </w:p>
    <w:p w14:paraId="4EEA3BAB" w14:textId="77777777" w:rsidR="00A25881" w:rsidRDefault="004B4E08">
      <w:pPr>
        <w:spacing w:before="80" w:after="20"/>
        <w:jc w:val="center"/>
      </w:pPr>
      <w:r>
        <w:rPr>
          <w:b/>
          <w:bCs/>
          <w:caps/>
          <w:sz w:val="15"/>
          <w:szCs w:val="15"/>
        </w:rPr>
        <w:t>TABLE I</w:t>
      </w:r>
    </w:p>
    <w:p w14:paraId="0AFFFACC" w14:textId="77777777" w:rsidR="00A25881" w:rsidRDefault="004B4E08">
      <w:pPr>
        <w:spacing w:after="40"/>
        <w:jc w:val="center"/>
      </w:pPr>
      <w:r>
        <w:rPr>
          <w:b/>
          <w:bCs/>
          <w:caps/>
          <w:sz w:val="14"/>
          <w:szCs w:val="14"/>
        </w:rPr>
        <w:t>FPGA Resource Utilization Summary</w:t>
      </w:r>
    </w:p>
    <w:tbl>
      <w:tblPr>
        <w:tblW w:w="5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100"/>
        <w:gridCol w:w="1400"/>
        <w:gridCol w:w="1500"/>
      </w:tblGrid>
      <w:tr w:rsidR="00A25881" w14:paraId="6544B35A" w14:textId="77777777">
        <w:trPr>
          <w:tblHeader/>
        </w:trPr>
        <w:tc>
          <w:tcPr>
            <w:tcW w:w="2100" w:type="dxa"/>
            <w:tcBorders>
              <w:top w:val="single" w:sz="1" w:space="0" w:color="999999"/>
              <w:left w:val="single" w:sz="1" w:space="0" w:color="999999"/>
              <w:bottom w:val="single" w:sz="1" w:space="0" w:color="999999"/>
              <w:right w:val="single" w:sz="1" w:space="0" w:color="999999"/>
            </w:tcBorders>
            <w:shd w:val="clear" w:color="auto" w:fill="1A3A5C"/>
            <w:tcMar>
              <w:top w:w="55" w:type="dxa"/>
              <w:left w:w="90" w:type="dxa"/>
              <w:bottom w:w="55" w:type="dxa"/>
              <w:right w:w="90" w:type="dxa"/>
            </w:tcMar>
          </w:tcPr>
          <w:p w14:paraId="19451843" w14:textId="77777777" w:rsidR="00A25881" w:rsidRDefault="004B4E08">
            <w:pPr>
              <w:jc w:val="center"/>
            </w:pPr>
            <w:r>
              <w:rPr>
                <w:b/>
                <w:bCs/>
                <w:color w:val="FFFFFF"/>
                <w:sz w:val="14"/>
                <w:szCs w:val="14"/>
              </w:rPr>
              <w:t>Resource</w:t>
            </w:r>
          </w:p>
        </w:tc>
        <w:tc>
          <w:tcPr>
            <w:tcW w:w="1400" w:type="dxa"/>
            <w:tcBorders>
              <w:top w:val="single" w:sz="1" w:space="0" w:color="999999"/>
              <w:left w:val="single" w:sz="1" w:space="0" w:color="999999"/>
              <w:bottom w:val="single" w:sz="1" w:space="0" w:color="999999"/>
              <w:right w:val="single" w:sz="1" w:space="0" w:color="999999"/>
            </w:tcBorders>
            <w:shd w:val="clear" w:color="auto" w:fill="1A3A5C"/>
            <w:tcMar>
              <w:top w:w="55" w:type="dxa"/>
              <w:left w:w="90" w:type="dxa"/>
              <w:bottom w:w="55" w:type="dxa"/>
              <w:right w:w="90" w:type="dxa"/>
            </w:tcMar>
          </w:tcPr>
          <w:p w14:paraId="0AC08601" w14:textId="77777777" w:rsidR="00A25881" w:rsidRDefault="004B4E08">
            <w:pPr>
              <w:jc w:val="center"/>
            </w:pPr>
            <w:r>
              <w:rPr>
                <w:b/>
                <w:bCs/>
                <w:color w:val="FFFFFF"/>
                <w:sz w:val="14"/>
                <w:szCs w:val="14"/>
              </w:rPr>
              <w:t>Utilization</w:t>
            </w:r>
          </w:p>
        </w:tc>
        <w:tc>
          <w:tcPr>
            <w:tcW w:w="1500" w:type="dxa"/>
            <w:tcBorders>
              <w:top w:val="single" w:sz="1" w:space="0" w:color="999999"/>
              <w:left w:val="single" w:sz="1" w:space="0" w:color="999999"/>
              <w:bottom w:val="single" w:sz="1" w:space="0" w:color="999999"/>
              <w:right w:val="single" w:sz="1" w:space="0" w:color="999999"/>
            </w:tcBorders>
            <w:shd w:val="clear" w:color="auto" w:fill="1A3A5C"/>
            <w:tcMar>
              <w:top w:w="55" w:type="dxa"/>
              <w:left w:w="90" w:type="dxa"/>
              <w:bottom w:w="55" w:type="dxa"/>
              <w:right w:w="90" w:type="dxa"/>
            </w:tcMar>
          </w:tcPr>
          <w:p w14:paraId="16E188AB" w14:textId="77777777" w:rsidR="00A25881" w:rsidRDefault="004B4E08">
            <w:pPr>
              <w:jc w:val="center"/>
            </w:pPr>
            <w:r>
              <w:rPr>
                <w:b/>
                <w:bCs/>
                <w:color w:val="FFFFFF"/>
                <w:sz w:val="14"/>
                <w:szCs w:val="14"/>
              </w:rPr>
              <w:t>Util. %</w:t>
            </w:r>
          </w:p>
        </w:tc>
      </w:tr>
      <w:tr w:rsidR="00A25881" w14:paraId="336F7B05" w14:textId="77777777">
        <w:tc>
          <w:tcPr>
            <w:tcW w:w="2100" w:type="dxa"/>
            <w:tcBorders>
              <w:top w:val="single" w:sz="1" w:space="0" w:color="999999"/>
              <w:left w:val="single" w:sz="1" w:space="0" w:color="999999"/>
              <w:bottom w:val="single" w:sz="1" w:space="0" w:color="999999"/>
              <w:right w:val="single" w:sz="1" w:space="0" w:color="999999"/>
            </w:tcBorders>
            <w:tcMar>
              <w:top w:w="55" w:type="dxa"/>
              <w:left w:w="90" w:type="dxa"/>
              <w:bottom w:w="55" w:type="dxa"/>
              <w:right w:w="90" w:type="dxa"/>
            </w:tcMar>
          </w:tcPr>
          <w:p w14:paraId="17A17C7C" w14:textId="77777777" w:rsidR="00A25881" w:rsidRDefault="004B4E08">
            <w:pPr>
              <w:jc w:val="center"/>
            </w:pPr>
            <w:r>
              <w:rPr>
                <w:color w:val="000000"/>
                <w:sz w:val="14"/>
                <w:szCs w:val="14"/>
              </w:rPr>
              <w:t xml:space="preserve">Look-up </w:t>
            </w:r>
            <w:r>
              <w:rPr>
                <w:color w:val="000000"/>
                <w:sz w:val="14"/>
                <w:szCs w:val="14"/>
              </w:rPr>
              <w:t>Tables</w:t>
            </w:r>
          </w:p>
        </w:tc>
        <w:tc>
          <w:tcPr>
            <w:tcW w:w="1400" w:type="dxa"/>
            <w:tcBorders>
              <w:top w:val="single" w:sz="1" w:space="0" w:color="999999"/>
              <w:left w:val="single" w:sz="1" w:space="0" w:color="999999"/>
              <w:bottom w:val="single" w:sz="1" w:space="0" w:color="999999"/>
              <w:right w:val="single" w:sz="1" w:space="0" w:color="999999"/>
            </w:tcBorders>
            <w:tcMar>
              <w:top w:w="55" w:type="dxa"/>
              <w:left w:w="90" w:type="dxa"/>
              <w:bottom w:w="55" w:type="dxa"/>
              <w:right w:w="90" w:type="dxa"/>
            </w:tcMar>
          </w:tcPr>
          <w:p w14:paraId="29314D08" w14:textId="77777777" w:rsidR="00A25881" w:rsidRDefault="004B4E08">
            <w:pPr>
              <w:jc w:val="center"/>
            </w:pPr>
            <w:r>
              <w:rPr>
                <w:color w:val="000000"/>
                <w:sz w:val="14"/>
                <w:szCs w:val="14"/>
              </w:rPr>
              <w:t>322</w:t>
            </w:r>
          </w:p>
        </w:tc>
        <w:tc>
          <w:tcPr>
            <w:tcW w:w="1500" w:type="dxa"/>
            <w:tcBorders>
              <w:top w:val="single" w:sz="1" w:space="0" w:color="999999"/>
              <w:left w:val="single" w:sz="1" w:space="0" w:color="999999"/>
              <w:bottom w:val="single" w:sz="1" w:space="0" w:color="999999"/>
              <w:right w:val="single" w:sz="1" w:space="0" w:color="999999"/>
            </w:tcBorders>
            <w:tcMar>
              <w:top w:w="55" w:type="dxa"/>
              <w:left w:w="90" w:type="dxa"/>
              <w:bottom w:w="55" w:type="dxa"/>
              <w:right w:w="90" w:type="dxa"/>
            </w:tcMar>
          </w:tcPr>
          <w:p w14:paraId="6364F748" w14:textId="77777777" w:rsidR="00A25881" w:rsidRDefault="004B4E08">
            <w:pPr>
              <w:jc w:val="center"/>
            </w:pPr>
            <w:r>
              <w:rPr>
                <w:color w:val="000000"/>
                <w:sz w:val="14"/>
                <w:szCs w:val="14"/>
              </w:rPr>
              <w:t>1.55%</w:t>
            </w:r>
          </w:p>
        </w:tc>
      </w:tr>
      <w:tr w:rsidR="00A25881" w14:paraId="63D419E2" w14:textId="77777777">
        <w:tc>
          <w:tcPr>
            <w:tcW w:w="2100" w:type="dxa"/>
            <w:tcBorders>
              <w:top w:val="single" w:sz="1" w:space="0" w:color="999999"/>
              <w:left w:val="single" w:sz="1" w:space="0" w:color="999999"/>
              <w:bottom w:val="single" w:sz="1" w:space="0" w:color="999999"/>
              <w:right w:val="single" w:sz="1" w:space="0" w:color="999999"/>
            </w:tcBorders>
            <w:shd w:val="clear" w:color="auto" w:fill="EBF1F7"/>
            <w:tcMar>
              <w:top w:w="55" w:type="dxa"/>
              <w:left w:w="90" w:type="dxa"/>
              <w:bottom w:w="55" w:type="dxa"/>
              <w:right w:w="90" w:type="dxa"/>
            </w:tcMar>
          </w:tcPr>
          <w:p w14:paraId="56CF3DF1" w14:textId="77777777" w:rsidR="00A25881" w:rsidRDefault="004B4E08">
            <w:pPr>
              <w:jc w:val="center"/>
            </w:pPr>
            <w:r>
              <w:rPr>
                <w:color w:val="000000"/>
                <w:sz w:val="14"/>
                <w:szCs w:val="14"/>
              </w:rPr>
              <w:t>Flip-Flops</w:t>
            </w:r>
          </w:p>
        </w:tc>
        <w:tc>
          <w:tcPr>
            <w:tcW w:w="1400" w:type="dxa"/>
            <w:tcBorders>
              <w:top w:val="single" w:sz="1" w:space="0" w:color="999999"/>
              <w:left w:val="single" w:sz="1" w:space="0" w:color="999999"/>
              <w:bottom w:val="single" w:sz="1" w:space="0" w:color="999999"/>
              <w:right w:val="single" w:sz="1" w:space="0" w:color="999999"/>
            </w:tcBorders>
            <w:shd w:val="clear" w:color="auto" w:fill="EBF1F7"/>
            <w:tcMar>
              <w:top w:w="55" w:type="dxa"/>
              <w:left w:w="90" w:type="dxa"/>
              <w:bottom w:w="55" w:type="dxa"/>
              <w:right w:w="90" w:type="dxa"/>
            </w:tcMar>
          </w:tcPr>
          <w:p w14:paraId="67881932" w14:textId="77777777" w:rsidR="00A25881" w:rsidRDefault="004B4E08">
            <w:pPr>
              <w:jc w:val="center"/>
            </w:pPr>
            <w:r>
              <w:rPr>
                <w:color w:val="000000"/>
                <w:sz w:val="14"/>
                <w:szCs w:val="14"/>
              </w:rPr>
              <w:t>229</w:t>
            </w:r>
          </w:p>
        </w:tc>
        <w:tc>
          <w:tcPr>
            <w:tcW w:w="1500" w:type="dxa"/>
            <w:tcBorders>
              <w:top w:val="single" w:sz="1" w:space="0" w:color="999999"/>
              <w:left w:val="single" w:sz="1" w:space="0" w:color="999999"/>
              <w:bottom w:val="single" w:sz="1" w:space="0" w:color="999999"/>
              <w:right w:val="single" w:sz="1" w:space="0" w:color="999999"/>
            </w:tcBorders>
            <w:shd w:val="clear" w:color="auto" w:fill="EBF1F7"/>
            <w:tcMar>
              <w:top w:w="55" w:type="dxa"/>
              <w:left w:w="90" w:type="dxa"/>
              <w:bottom w:w="55" w:type="dxa"/>
              <w:right w:w="90" w:type="dxa"/>
            </w:tcMar>
          </w:tcPr>
          <w:p w14:paraId="6B3B7A6A" w14:textId="77777777" w:rsidR="00A25881" w:rsidRDefault="004B4E08">
            <w:pPr>
              <w:jc w:val="center"/>
            </w:pPr>
            <w:r>
              <w:rPr>
                <w:color w:val="000000"/>
                <w:sz w:val="14"/>
                <w:szCs w:val="14"/>
              </w:rPr>
              <w:t>0.55%</w:t>
            </w:r>
          </w:p>
        </w:tc>
      </w:tr>
      <w:tr w:rsidR="00A25881" w14:paraId="41E7B363" w14:textId="77777777">
        <w:tc>
          <w:tcPr>
            <w:tcW w:w="2100" w:type="dxa"/>
            <w:tcBorders>
              <w:top w:val="single" w:sz="1" w:space="0" w:color="999999"/>
              <w:left w:val="single" w:sz="1" w:space="0" w:color="999999"/>
              <w:bottom w:val="single" w:sz="1" w:space="0" w:color="999999"/>
              <w:right w:val="single" w:sz="1" w:space="0" w:color="999999"/>
            </w:tcBorders>
            <w:tcMar>
              <w:top w:w="55" w:type="dxa"/>
              <w:left w:w="90" w:type="dxa"/>
              <w:bottom w:w="55" w:type="dxa"/>
              <w:right w:w="90" w:type="dxa"/>
            </w:tcMar>
          </w:tcPr>
          <w:p w14:paraId="5AF1EA29" w14:textId="77777777" w:rsidR="00A25881" w:rsidRDefault="004B4E08">
            <w:pPr>
              <w:jc w:val="center"/>
            </w:pPr>
            <w:r>
              <w:rPr>
                <w:color w:val="000000"/>
                <w:sz w:val="14"/>
                <w:szCs w:val="14"/>
              </w:rPr>
              <w:t>I/O Pins</w:t>
            </w:r>
          </w:p>
        </w:tc>
        <w:tc>
          <w:tcPr>
            <w:tcW w:w="1400" w:type="dxa"/>
            <w:tcBorders>
              <w:top w:val="single" w:sz="1" w:space="0" w:color="999999"/>
              <w:left w:val="single" w:sz="1" w:space="0" w:color="999999"/>
              <w:bottom w:val="single" w:sz="1" w:space="0" w:color="999999"/>
              <w:right w:val="single" w:sz="1" w:space="0" w:color="999999"/>
            </w:tcBorders>
            <w:tcMar>
              <w:top w:w="55" w:type="dxa"/>
              <w:left w:w="90" w:type="dxa"/>
              <w:bottom w:w="55" w:type="dxa"/>
              <w:right w:w="90" w:type="dxa"/>
            </w:tcMar>
          </w:tcPr>
          <w:p w14:paraId="0DB118CA" w14:textId="77777777" w:rsidR="00A25881" w:rsidRDefault="004B4E08">
            <w:pPr>
              <w:jc w:val="center"/>
            </w:pPr>
            <w:r>
              <w:rPr>
                <w:color w:val="000000"/>
                <w:sz w:val="14"/>
                <w:szCs w:val="14"/>
              </w:rPr>
              <w:t>18</w:t>
            </w:r>
          </w:p>
        </w:tc>
        <w:tc>
          <w:tcPr>
            <w:tcW w:w="1500" w:type="dxa"/>
            <w:tcBorders>
              <w:top w:val="single" w:sz="1" w:space="0" w:color="999999"/>
              <w:left w:val="single" w:sz="1" w:space="0" w:color="999999"/>
              <w:bottom w:val="single" w:sz="1" w:space="0" w:color="999999"/>
              <w:right w:val="single" w:sz="1" w:space="0" w:color="999999"/>
            </w:tcBorders>
            <w:tcMar>
              <w:top w:w="55" w:type="dxa"/>
              <w:left w:w="90" w:type="dxa"/>
              <w:bottom w:w="55" w:type="dxa"/>
              <w:right w:w="90" w:type="dxa"/>
            </w:tcMar>
          </w:tcPr>
          <w:p w14:paraId="5E10B474" w14:textId="77777777" w:rsidR="00A25881" w:rsidRDefault="004B4E08">
            <w:pPr>
              <w:jc w:val="center"/>
            </w:pPr>
            <w:r>
              <w:rPr>
                <w:color w:val="000000"/>
                <w:sz w:val="14"/>
                <w:szCs w:val="14"/>
              </w:rPr>
              <w:t>16.98%</w:t>
            </w:r>
          </w:p>
        </w:tc>
      </w:tr>
    </w:tbl>
    <w:p w14:paraId="70D9B05B" w14:textId="77777777" w:rsidR="00A25881" w:rsidRDefault="004B4E08">
      <w:pPr>
        <w:spacing w:before="30" w:after="80"/>
        <w:jc w:val="center"/>
      </w:pPr>
      <w:r>
        <w:rPr>
          <w:sz w:val="14"/>
          <w:szCs w:val="14"/>
        </w:rPr>
        <w:t>Table I: LUT, flip-flop, and I/O pin utilization at 1.55%, 0.55%, and 16.98% respectively.</w:t>
      </w:r>
    </w:p>
    <w:p w14:paraId="6A4F99A1" w14:textId="77777777" w:rsidR="00A25881" w:rsidRDefault="004B4E08">
      <w:pPr>
        <w:spacing w:before="70" w:after="35"/>
      </w:pPr>
      <w:r>
        <w:rPr>
          <w:b/>
          <w:bCs/>
        </w:rPr>
        <w:t>C. FPGA in VLSI Prototyping</w:t>
      </w:r>
    </w:p>
    <w:p w14:paraId="0AC59806" w14:textId="77777777" w:rsidR="00A25881" w:rsidRDefault="004B4E08">
      <w:pPr>
        <w:spacing w:after="55" w:line="228" w:lineRule="auto"/>
        <w:ind w:firstLine="280"/>
        <w:jc w:val="both"/>
      </w:pPr>
      <w:r>
        <w:t xml:space="preserve">A Field-Programmable Gate Array (FPGA) is a programmable </w:t>
      </w:r>
      <w:r>
        <w:t>semiconductor device used for pre-silicon prototyping and validation. It consists of configurable logic blocks, interconnections, and I/O blocks programmed using Verilog or VHDL. Figure 6 illustrates an FPGA-based system with sensor controller, head contro</w:t>
      </w:r>
      <w:r>
        <w:t>ller, communications interface, image capture, external memory controller, and PCA algorithm blocks.</w:t>
      </w:r>
    </w:p>
    <w:p w14:paraId="5965CC2F" w14:textId="77777777" w:rsidR="00A25881" w:rsidRDefault="004B4E08">
      <w:pPr>
        <w:spacing w:before="60" w:after="40"/>
        <w:jc w:val="center"/>
      </w:pPr>
      <w:r>
        <w:rPr>
          <w:noProof/>
        </w:rPr>
        <w:drawing>
          <wp:inline distT="0" distB="0" distL="0" distR="0" wp14:anchorId="1CB85090" wp14:editId="65F767F9">
            <wp:extent cx="2095500" cy="847725"/>
            <wp:effectExtent l="0" t="0" r="0" b="0"/>
            <wp:docPr id="2142478397" name="page13_img2.png" descr="page13_img2.png" title="page13_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2095500" cy="847725"/>
                    </a:xfrm>
                    <a:prstGeom prst="rect">
                      <a:avLst/>
                    </a:prstGeom>
                  </pic:spPr>
                </pic:pic>
              </a:graphicData>
            </a:graphic>
          </wp:inline>
        </w:drawing>
      </w:r>
    </w:p>
    <w:p w14:paraId="31571525" w14:textId="77777777" w:rsidR="00A25881" w:rsidRDefault="004B4E08">
      <w:pPr>
        <w:spacing w:before="30" w:after="80"/>
        <w:jc w:val="center"/>
      </w:pPr>
      <w:r>
        <w:rPr>
          <w:sz w:val="14"/>
          <w:szCs w:val="14"/>
        </w:rPr>
        <w:t>Fig. 6. FPGA system architecture used for VLSI design prototyping and pre-silicon validation.</w:t>
      </w:r>
    </w:p>
    <w:p w14:paraId="74D2FFC2" w14:textId="77777777" w:rsidR="00A25881" w:rsidRDefault="004B4E08">
      <w:pPr>
        <w:spacing w:before="70" w:after="35"/>
      </w:pPr>
      <w:r>
        <w:rPr>
          <w:b/>
          <w:bCs/>
        </w:rPr>
        <w:t>D. Design for Testability (DFT)</w:t>
      </w:r>
    </w:p>
    <w:p w14:paraId="5DAAB514" w14:textId="77777777" w:rsidR="00A25881" w:rsidRDefault="004B4E08">
      <w:pPr>
        <w:spacing w:after="55" w:line="228" w:lineRule="auto"/>
        <w:ind w:firstLine="280"/>
        <w:jc w:val="both"/>
      </w:pPr>
      <w:r>
        <w:t>DFT inserts scan chains, te</w:t>
      </w:r>
      <w:r>
        <w:t>st points, and BIST logic to enable post-fabrication testing of internal nodes that are inaccessible externally. Scan chain insertion interconnects flip-flops into a serial shift register controlled via JTAG. BIST logic enables in-field memory diagnostics.</w:t>
      </w:r>
      <w:r>
        <w:t xml:space="preserve"> DFT overhead is accounted for in timing and area optimization.</w:t>
      </w:r>
    </w:p>
    <w:p w14:paraId="78F1A6FD" w14:textId="77777777" w:rsidR="00A25881" w:rsidRDefault="004B4E08">
      <w:pPr>
        <w:spacing w:before="70" w:after="35"/>
      </w:pPr>
      <w:r>
        <w:rPr>
          <w:b/>
          <w:bCs/>
        </w:rPr>
        <w:t>E. Place and Route (Physical Design)</w:t>
      </w:r>
    </w:p>
    <w:p w14:paraId="69A0393C" w14:textId="77777777" w:rsidR="00A25881" w:rsidRDefault="004B4E08">
      <w:pPr>
        <w:spacing w:after="55" w:line="228" w:lineRule="auto"/>
        <w:ind w:firstLine="280"/>
        <w:jc w:val="both"/>
      </w:pPr>
      <w:r>
        <w:t xml:space="preserve">Cadence </w:t>
      </w:r>
      <w:proofErr w:type="spellStart"/>
      <w:r>
        <w:t>Innovus</w:t>
      </w:r>
      <w:proofErr w:type="spellEnd"/>
      <w:r>
        <w:t xml:space="preserve"> performs </w:t>
      </w:r>
      <w:proofErr w:type="spellStart"/>
      <w:r>
        <w:t>floorplanning</w:t>
      </w:r>
      <w:proofErr w:type="spellEnd"/>
      <w:r>
        <w:t xml:space="preserve"> (die area, I/O pad ring, PDN), standard cell placement minimizing wire length and delay, CTS building a balanced H-t</w:t>
      </w:r>
      <w:r>
        <w:t>ree clock network, and global/detailed routing assigning wire segments to metal layers per DRM rules. Figure 7 shows the place-and-route schematic with address bus, data bus, CPU data register, and R/W clock interface.</w:t>
      </w:r>
    </w:p>
    <w:p w14:paraId="42C0A06B" w14:textId="77777777" w:rsidR="00A25881" w:rsidRDefault="004B4E08">
      <w:pPr>
        <w:spacing w:before="60" w:after="40"/>
        <w:jc w:val="center"/>
      </w:pPr>
      <w:r>
        <w:rPr>
          <w:noProof/>
        </w:rPr>
        <w:drawing>
          <wp:inline distT="0" distB="0" distL="0" distR="0" wp14:anchorId="5F5C961E" wp14:editId="7DF7F4DB">
            <wp:extent cx="1143000" cy="2428875"/>
            <wp:effectExtent l="0" t="0" r="0" b="0"/>
            <wp:docPr id="30616814" name="page14_img1.png" descr="page14_img1.png" title="page14_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1143000" cy="2428875"/>
                    </a:xfrm>
                    <a:prstGeom prst="rect">
                      <a:avLst/>
                    </a:prstGeom>
                  </pic:spPr>
                </pic:pic>
              </a:graphicData>
            </a:graphic>
          </wp:inline>
        </w:drawing>
      </w:r>
    </w:p>
    <w:p w14:paraId="72D6F8BE" w14:textId="77777777" w:rsidR="00A25881" w:rsidRDefault="004B4E08">
      <w:pPr>
        <w:spacing w:before="30" w:after="80"/>
        <w:jc w:val="center"/>
      </w:pPr>
      <w:r>
        <w:rPr>
          <w:sz w:val="14"/>
          <w:szCs w:val="14"/>
        </w:rPr>
        <w:t xml:space="preserve">Fig. 7. Physical design </w:t>
      </w:r>
      <w:r>
        <w:rPr>
          <w:sz w:val="14"/>
          <w:szCs w:val="14"/>
        </w:rPr>
        <w:t>schematic: address bus (16-bit multiples), data bus (8-bit multiples), CPU data/address registers, R/W and clock interfaces.</w:t>
      </w:r>
    </w:p>
    <w:p w14:paraId="3C1182FD" w14:textId="77777777" w:rsidR="00A25881" w:rsidRDefault="004B4E08">
      <w:pPr>
        <w:spacing w:before="70" w:after="35"/>
      </w:pPr>
      <w:r>
        <w:rPr>
          <w:b/>
          <w:bCs/>
        </w:rPr>
        <w:t>F. Physical Verification &amp; Sign-off</w:t>
      </w:r>
    </w:p>
    <w:p w14:paraId="06DB0865" w14:textId="77777777" w:rsidR="00A25881" w:rsidRDefault="004B4E08">
      <w:pPr>
        <w:spacing w:after="55" w:line="228" w:lineRule="auto"/>
        <w:ind w:firstLine="280"/>
        <w:jc w:val="both"/>
      </w:pPr>
      <w:r>
        <w:t xml:space="preserve">DRC (Cadence Pegasus) verifies all layout geometry against the foundry design rule manual. LVS </w:t>
      </w:r>
      <w:r>
        <w:t xml:space="preserve">compares the extracted layout netlist against the gate-level netlist for topological equivalence. STA (Cadence Tempus) </w:t>
      </w:r>
      <w:proofErr w:type="spellStart"/>
      <w:r>
        <w:t>analyzes</w:t>
      </w:r>
      <w:proofErr w:type="spellEnd"/>
      <w:r>
        <w:t xml:space="preserve"> all paths across PVT corners confirming setup and hold closure. Successful sign-off clears GDS-II streaming.</w:t>
      </w:r>
    </w:p>
    <w:p w14:paraId="1BDDAE0F" w14:textId="77777777" w:rsidR="00A25881" w:rsidRDefault="004B4E08">
      <w:pPr>
        <w:spacing w:before="70" w:after="35"/>
      </w:pPr>
      <w:r>
        <w:rPr>
          <w:b/>
          <w:bCs/>
        </w:rPr>
        <w:t>G. GDS-II Generatio</w:t>
      </w:r>
      <w:r>
        <w:rPr>
          <w:b/>
          <w:bCs/>
        </w:rPr>
        <w:t>n</w:t>
      </w:r>
    </w:p>
    <w:p w14:paraId="226B451A" w14:textId="77777777" w:rsidR="00A25881" w:rsidRDefault="004B4E08">
      <w:pPr>
        <w:spacing w:after="55" w:line="228" w:lineRule="auto"/>
        <w:ind w:firstLine="280"/>
        <w:jc w:val="both"/>
      </w:pPr>
      <w:r>
        <w:t>GDS-II generation is the final stage where the complete physical layout is converted to a GDSII binary stream encoding geometric shapes, layer references, and hierarchical structure. This file is sent to the semiconductor foundry for photomask generation</w:t>
      </w:r>
      <w:r>
        <w:t xml:space="preserve"> and chip fabrication (tape-out).</w:t>
      </w:r>
    </w:p>
    <w:p w14:paraId="0846AD26" w14:textId="77777777" w:rsidR="00A25881" w:rsidRDefault="004B4E08">
      <w:pPr>
        <w:spacing w:before="100" w:after="50"/>
      </w:pPr>
      <w:r>
        <w:rPr>
          <w:b/>
          <w:bCs/>
          <w:sz w:val="18"/>
          <w:szCs w:val="18"/>
        </w:rPr>
        <w:t>IV. IMPLEMENTATION RESULTS</w:t>
      </w:r>
    </w:p>
    <w:p w14:paraId="1A6D2ED9" w14:textId="77777777" w:rsidR="00A25881" w:rsidRDefault="004B4E08">
      <w:pPr>
        <w:spacing w:before="70" w:after="35"/>
      </w:pPr>
      <w:r>
        <w:rPr>
          <w:b/>
          <w:bCs/>
        </w:rPr>
        <w:t>A. Fault-Tolerant Synthesis</w:t>
      </w:r>
    </w:p>
    <w:p w14:paraId="69AAFC78" w14:textId="77777777" w:rsidR="00A25881" w:rsidRDefault="004B4E08">
      <w:pPr>
        <w:spacing w:after="55" w:line="228" w:lineRule="auto"/>
        <w:ind w:firstLine="280"/>
        <w:jc w:val="both"/>
      </w:pPr>
      <w:r>
        <w:t xml:space="preserve">Table II presents synthesis results for four fault-tolerance configurations. The non-hardened baseline uses 1,613 LUTs at 74.65 MHz consuming 146 </w:t>
      </w:r>
      <w:proofErr w:type="spellStart"/>
      <w:r>
        <w:t>mW</w:t>
      </w:r>
      <w:proofErr w:type="spellEnd"/>
      <w:r>
        <w:t>. TMR introduces 48</w:t>
      </w:r>
      <w:r>
        <w:t xml:space="preserve">% additional LUTs and 11% frequency penalty. Hamming ECC increases flip-flop count 18.7% with reduced frequency. The combined </w:t>
      </w:r>
      <w:proofErr w:type="spellStart"/>
      <w:r>
        <w:t>TMR+Hamming</w:t>
      </w:r>
      <w:proofErr w:type="spellEnd"/>
      <w:r>
        <w:t xml:space="preserve"> configuration provides maximum SEU protection at 70% area overhead and 33% frequency penalty.</w:t>
      </w:r>
    </w:p>
    <w:p w14:paraId="5FA465ED" w14:textId="77777777" w:rsidR="00A25881" w:rsidRDefault="004B4E08">
      <w:pPr>
        <w:spacing w:before="80" w:after="20"/>
        <w:jc w:val="center"/>
      </w:pPr>
      <w:r>
        <w:rPr>
          <w:b/>
          <w:bCs/>
          <w:caps/>
          <w:sz w:val="15"/>
          <w:szCs w:val="15"/>
        </w:rPr>
        <w:t>TABLE II</w:t>
      </w:r>
    </w:p>
    <w:p w14:paraId="40E7293D" w14:textId="77777777" w:rsidR="00A25881" w:rsidRDefault="004B4E08">
      <w:pPr>
        <w:spacing w:after="40"/>
        <w:jc w:val="center"/>
      </w:pPr>
      <w:r>
        <w:rPr>
          <w:b/>
          <w:bCs/>
          <w:caps/>
          <w:sz w:val="14"/>
          <w:szCs w:val="14"/>
        </w:rPr>
        <w:t xml:space="preserve">Fault-Tolerant </w:t>
      </w:r>
      <w:r>
        <w:rPr>
          <w:b/>
          <w:bCs/>
          <w:caps/>
          <w:sz w:val="14"/>
          <w:szCs w:val="14"/>
        </w:rPr>
        <w:t>Synthesis Results</w:t>
      </w:r>
    </w:p>
    <w:tbl>
      <w:tblPr>
        <w:tblW w:w="4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650"/>
        <w:gridCol w:w="800"/>
        <w:gridCol w:w="750"/>
        <w:gridCol w:w="980"/>
        <w:gridCol w:w="720"/>
      </w:tblGrid>
      <w:tr w:rsidR="00A25881" w14:paraId="02A9F3E7" w14:textId="77777777">
        <w:trPr>
          <w:tblHeader/>
        </w:trPr>
        <w:tc>
          <w:tcPr>
            <w:tcW w:w="1650" w:type="dxa"/>
            <w:tcBorders>
              <w:top w:val="single" w:sz="1" w:space="0" w:color="999999"/>
              <w:left w:val="single" w:sz="1" w:space="0" w:color="999999"/>
              <w:bottom w:val="single" w:sz="1" w:space="0" w:color="999999"/>
              <w:right w:val="single" w:sz="1" w:space="0" w:color="999999"/>
            </w:tcBorders>
            <w:shd w:val="clear" w:color="auto" w:fill="1A3A5C"/>
            <w:tcMar>
              <w:top w:w="55" w:type="dxa"/>
              <w:left w:w="90" w:type="dxa"/>
              <w:bottom w:w="55" w:type="dxa"/>
              <w:right w:w="90" w:type="dxa"/>
            </w:tcMar>
          </w:tcPr>
          <w:p w14:paraId="7F25D176" w14:textId="77777777" w:rsidR="00A25881" w:rsidRDefault="004B4E08">
            <w:pPr>
              <w:jc w:val="center"/>
            </w:pPr>
            <w:r>
              <w:rPr>
                <w:b/>
                <w:bCs/>
                <w:color w:val="FFFFFF"/>
                <w:sz w:val="14"/>
                <w:szCs w:val="14"/>
              </w:rPr>
              <w:t>Config</w:t>
            </w:r>
          </w:p>
        </w:tc>
        <w:tc>
          <w:tcPr>
            <w:tcW w:w="800" w:type="dxa"/>
            <w:tcBorders>
              <w:top w:val="single" w:sz="1" w:space="0" w:color="999999"/>
              <w:left w:val="single" w:sz="1" w:space="0" w:color="999999"/>
              <w:bottom w:val="single" w:sz="1" w:space="0" w:color="999999"/>
              <w:right w:val="single" w:sz="1" w:space="0" w:color="999999"/>
            </w:tcBorders>
            <w:shd w:val="clear" w:color="auto" w:fill="1A3A5C"/>
            <w:tcMar>
              <w:top w:w="55" w:type="dxa"/>
              <w:left w:w="90" w:type="dxa"/>
              <w:bottom w:w="55" w:type="dxa"/>
              <w:right w:w="90" w:type="dxa"/>
            </w:tcMar>
          </w:tcPr>
          <w:p w14:paraId="68E1A6EF" w14:textId="77777777" w:rsidR="00A25881" w:rsidRDefault="004B4E08">
            <w:pPr>
              <w:jc w:val="center"/>
            </w:pPr>
            <w:r>
              <w:rPr>
                <w:b/>
                <w:bCs/>
                <w:color w:val="FFFFFF"/>
                <w:sz w:val="14"/>
                <w:szCs w:val="14"/>
              </w:rPr>
              <w:t>LUTs</w:t>
            </w:r>
          </w:p>
        </w:tc>
        <w:tc>
          <w:tcPr>
            <w:tcW w:w="750" w:type="dxa"/>
            <w:tcBorders>
              <w:top w:val="single" w:sz="1" w:space="0" w:color="999999"/>
              <w:left w:val="single" w:sz="1" w:space="0" w:color="999999"/>
              <w:bottom w:val="single" w:sz="1" w:space="0" w:color="999999"/>
              <w:right w:val="single" w:sz="1" w:space="0" w:color="999999"/>
            </w:tcBorders>
            <w:shd w:val="clear" w:color="auto" w:fill="1A3A5C"/>
            <w:tcMar>
              <w:top w:w="55" w:type="dxa"/>
              <w:left w:w="90" w:type="dxa"/>
              <w:bottom w:w="55" w:type="dxa"/>
              <w:right w:w="90" w:type="dxa"/>
            </w:tcMar>
          </w:tcPr>
          <w:p w14:paraId="33CDFD76" w14:textId="77777777" w:rsidR="00A25881" w:rsidRDefault="004B4E08">
            <w:pPr>
              <w:jc w:val="center"/>
            </w:pPr>
            <w:r>
              <w:rPr>
                <w:b/>
                <w:bCs/>
                <w:color w:val="FFFFFF"/>
                <w:sz w:val="14"/>
                <w:szCs w:val="14"/>
              </w:rPr>
              <w:t>FFs</w:t>
            </w:r>
          </w:p>
        </w:tc>
        <w:tc>
          <w:tcPr>
            <w:tcW w:w="980" w:type="dxa"/>
            <w:tcBorders>
              <w:top w:val="single" w:sz="1" w:space="0" w:color="999999"/>
              <w:left w:val="single" w:sz="1" w:space="0" w:color="999999"/>
              <w:bottom w:val="single" w:sz="1" w:space="0" w:color="999999"/>
              <w:right w:val="single" w:sz="1" w:space="0" w:color="999999"/>
            </w:tcBorders>
            <w:shd w:val="clear" w:color="auto" w:fill="1A3A5C"/>
            <w:tcMar>
              <w:top w:w="55" w:type="dxa"/>
              <w:left w:w="90" w:type="dxa"/>
              <w:bottom w:w="55" w:type="dxa"/>
              <w:right w:w="90" w:type="dxa"/>
            </w:tcMar>
          </w:tcPr>
          <w:p w14:paraId="00815B28" w14:textId="77777777" w:rsidR="00A25881" w:rsidRDefault="004B4E08">
            <w:pPr>
              <w:jc w:val="center"/>
            </w:pPr>
            <w:r>
              <w:rPr>
                <w:b/>
                <w:bCs/>
                <w:color w:val="FFFFFF"/>
                <w:sz w:val="14"/>
                <w:szCs w:val="14"/>
              </w:rPr>
              <w:t>Fmax (MHz)</w:t>
            </w:r>
          </w:p>
        </w:tc>
        <w:tc>
          <w:tcPr>
            <w:tcW w:w="720" w:type="dxa"/>
            <w:tcBorders>
              <w:top w:val="single" w:sz="1" w:space="0" w:color="999999"/>
              <w:left w:val="single" w:sz="1" w:space="0" w:color="999999"/>
              <w:bottom w:val="single" w:sz="1" w:space="0" w:color="999999"/>
              <w:right w:val="single" w:sz="1" w:space="0" w:color="999999"/>
            </w:tcBorders>
            <w:shd w:val="clear" w:color="auto" w:fill="1A3A5C"/>
            <w:tcMar>
              <w:top w:w="55" w:type="dxa"/>
              <w:left w:w="90" w:type="dxa"/>
              <w:bottom w:w="55" w:type="dxa"/>
              <w:right w:w="90" w:type="dxa"/>
            </w:tcMar>
          </w:tcPr>
          <w:p w14:paraId="7D92C559" w14:textId="77777777" w:rsidR="00A25881" w:rsidRDefault="004B4E08">
            <w:pPr>
              <w:jc w:val="center"/>
            </w:pPr>
            <w:proofErr w:type="spellStart"/>
            <w:r>
              <w:rPr>
                <w:b/>
                <w:bCs/>
                <w:color w:val="FFFFFF"/>
                <w:sz w:val="14"/>
                <w:szCs w:val="14"/>
              </w:rPr>
              <w:t>Pdyn</w:t>
            </w:r>
            <w:proofErr w:type="spellEnd"/>
            <w:r>
              <w:rPr>
                <w:b/>
                <w:bCs/>
                <w:color w:val="FFFFFF"/>
                <w:sz w:val="14"/>
                <w:szCs w:val="14"/>
              </w:rPr>
              <w:t xml:space="preserve"> (</w:t>
            </w:r>
            <w:proofErr w:type="spellStart"/>
            <w:r>
              <w:rPr>
                <w:b/>
                <w:bCs/>
                <w:color w:val="FFFFFF"/>
                <w:sz w:val="14"/>
                <w:szCs w:val="14"/>
              </w:rPr>
              <w:t>mW</w:t>
            </w:r>
            <w:proofErr w:type="spellEnd"/>
            <w:r>
              <w:rPr>
                <w:b/>
                <w:bCs/>
                <w:color w:val="FFFFFF"/>
                <w:sz w:val="14"/>
                <w:szCs w:val="14"/>
              </w:rPr>
              <w:t>)</w:t>
            </w:r>
          </w:p>
        </w:tc>
      </w:tr>
      <w:tr w:rsidR="00A25881" w14:paraId="471F3BF3" w14:textId="77777777">
        <w:tc>
          <w:tcPr>
            <w:tcW w:w="1650" w:type="dxa"/>
            <w:tcBorders>
              <w:top w:val="single" w:sz="1" w:space="0" w:color="999999"/>
              <w:left w:val="single" w:sz="1" w:space="0" w:color="999999"/>
              <w:bottom w:val="single" w:sz="1" w:space="0" w:color="999999"/>
              <w:right w:val="single" w:sz="1" w:space="0" w:color="999999"/>
            </w:tcBorders>
            <w:tcMar>
              <w:top w:w="55" w:type="dxa"/>
              <w:left w:w="90" w:type="dxa"/>
              <w:bottom w:w="55" w:type="dxa"/>
              <w:right w:w="90" w:type="dxa"/>
            </w:tcMar>
          </w:tcPr>
          <w:p w14:paraId="4CFE9AA4" w14:textId="77777777" w:rsidR="00A25881" w:rsidRDefault="004B4E08">
            <w:pPr>
              <w:jc w:val="center"/>
            </w:pPr>
            <w:r>
              <w:rPr>
                <w:color w:val="000000"/>
                <w:sz w:val="14"/>
                <w:szCs w:val="14"/>
              </w:rPr>
              <w:t>Non-hardened</w:t>
            </w:r>
          </w:p>
        </w:tc>
        <w:tc>
          <w:tcPr>
            <w:tcW w:w="800" w:type="dxa"/>
            <w:tcBorders>
              <w:top w:val="single" w:sz="1" w:space="0" w:color="999999"/>
              <w:left w:val="single" w:sz="1" w:space="0" w:color="999999"/>
              <w:bottom w:val="single" w:sz="1" w:space="0" w:color="999999"/>
              <w:right w:val="single" w:sz="1" w:space="0" w:color="999999"/>
            </w:tcBorders>
            <w:tcMar>
              <w:top w:w="55" w:type="dxa"/>
              <w:left w:w="90" w:type="dxa"/>
              <w:bottom w:w="55" w:type="dxa"/>
              <w:right w:w="90" w:type="dxa"/>
            </w:tcMar>
          </w:tcPr>
          <w:p w14:paraId="5E7F687C" w14:textId="77777777" w:rsidR="00A25881" w:rsidRDefault="004B4E08">
            <w:pPr>
              <w:jc w:val="center"/>
            </w:pPr>
            <w:r>
              <w:rPr>
                <w:color w:val="000000"/>
                <w:sz w:val="14"/>
                <w:szCs w:val="14"/>
              </w:rPr>
              <w:t>1613</w:t>
            </w:r>
          </w:p>
        </w:tc>
        <w:tc>
          <w:tcPr>
            <w:tcW w:w="750" w:type="dxa"/>
            <w:tcBorders>
              <w:top w:val="single" w:sz="1" w:space="0" w:color="999999"/>
              <w:left w:val="single" w:sz="1" w:space="0" w:color="999999"/>
              <w:bottom w:val="single" w:sz="1" w:space="0" w:color="999999"/>
              <w:right w:val="single" w:sz="1" w:space="0" w:color="999999"/>
            </w:tcBorders>
            <w:tcMar>
              <w:top w:w="55" w:type="dxa"/>
              <w:left w:w="90" w:type="dxa"/>
              <w:bottom w:w="55" w:type="dxa"/>
              <w:right w:w="90" w:type="dxa"/>
            </w:tcMar>
          </w:tcPr>
          <w:p w14:paraId="58D844E5" w14:textId="77777777" w:rsidR="00A25881" w:rsidRDefault="004B4E08">
            <w:pPr>
              <w:jc w:val="center"/>
            </w:pPr>
            <w:r>
              <w:rPr>
                <w:color w:val="000000"/>
                <w:sz w:val="14"/>
                <w:szCs w:val="14"/>
              </w:rPr>
              <w:t>1024</w:t>
            </w:r>
          </w:p>
        </w:tc>
        <w:tc>
          <w:tcPr>
            <w:tcW w:w="980" w:type="dxa"/>
            <w:tcBorders>
              <w:top w:val="single" w:sz="1" w:space="0" w:color="999999"/>
              <w:left w:val="single" w:sz="1" w:space="0" w:color="999999"/>
              <w:bottom w:val="single" w:sz="1" w:space="0" w:color="999999"/>
              <w:right w:val="single" w:sz="1" w:space="0" w:color="999999"/>
            </w:tcBorders>
            <w:tcMar>
              <w:top w:w="55" w:type="dxa"/>
              <w:left w:w="90" w:type="dxa"/>
              <w:bottom w:w="55" w:type="dxa"/>
              <w:right w:w="90" w:type="dxa"/>
            </w:tcMar>
          </w:tcPr>
          <w:p w14:paraId="7BD7FBF3" w14:textId="77777777" w:rsidR="00A25881" w:rsidRDefault="004B4E08">
            <w:pPr>
              <w:jc w:val="center"/>
            </w:pPr>
            <w:r>
              <w:rPr>
                <w:color w:val="000000"/>
                <w:sz w:val="14"/>
                <w:szCs w:val="14"/>
              </w:rPr>
              <w:t>74.65</w:t>
            </w:r>
          </w:p>
        </w:tc>
        <w:tc>
          <w:tcPr>
            <w:tcW w:w="720" w:type="dxa"/>
            <w:tcBorders>
              <w:top w:val="single" w:sz="1" w:space="0" w:color="999999"/>
              <w:left w:val="single" w:sz="1" w:space="0" w:color="999999"/>
              <w:bottom w:val="single" w:sz="1" w:space="0" w:color="999999"/>
              <w:right w:val="single" w:sz="1" w:space="0" w:color="999999"/>
            </w:tcBorders>
            <w:tcMar>
              <w:top w:w="55" w:type="dxa"/>
              <w:left w:w="90" w:type="dxa"/>
              <w:bottom w:w="55" w:type="dxa"/>
              <w:right w:w="90" w:type="dxa"/>
            </w:tcMar>
          </w:tcPr>
          <w:p w14:paraId="27E995A9" w14:textId="77777777" w:rsidR="00A25881" w:rsidRDefault="004B4E08">
            <w:pPr>
              <w:jc w:val="center"/>
            </w:pPr>
            <w:r>
              <w:rPr>
                <w:color w:val="000000"/>
                <w:sz w:val="14"/>
                <w:szCs w:val="14"/>
              </w:rPr>
              <w:t>146</w:t>
            </w:r>
          </w:p>
        </w:tc>
      </w:tr>
      <w:tr w:rsidR="00A25881" w14:paraId="32D74692" w14:textId="77777777">
        <w:tc>
          <w:tcPr>
            <w:tcW w:w="1650" w:type="dxa"/>
            <w:tcBorders>
              <w:top w:val="single" w:sz="1" w:space="0" w:color="999999"/>
              <w:left w:val="single" w:sz="1" w:space="0" w:color="999999"/>
              <w:bottom w:val="single" w:sz="1" w:space="0" w:color="999999"/>
              <w:right w:val="single" w:sz="1" w:space="0" w:color="999999"/>
            </w:tcBorders>
            <w:shd w:val="clear" w:color="auto" w:fill="EBF1F7"/>
            <w:tcMar>
              <w:top w:w="55" w:type="dxa"/>
              <w:left w:w="90" w:type="dxa"/>
              <w:bottom w:w="55" w:type="dxa"/>
              <w:right w:w="90" w:type="dxa"/>
            </w:tcMar>
          </w:tcPr>
          <w:p w14:paraId="144BC507" w14:textId="77777777" w:rsidR="00A25881" w:rsidRDefault="004B4E08">
            <w:pPr>
              <w:jc w:val="center"/>
            </w:pPr>
            <w:r>
              <w:rPr>
                <w:color w:val="000000"/>
                <w:sz w:val="14"/>
                <w:szCs w:val="14"/>
              </w:rPr>
              <w:t>TMR</w:t>
            </w:r>
          </w:p>
        </w:tc>
        <w:tc>
          <w:tcPr>
            <w:tcW w:w="800" w:type="dxa"/>
            <w:tcBorders>
              <w:top w:val="single" w:sz="1" w:space="0" w:color="999999"/>
              <w:left w:val="single" w:sz="1" w:space="0" w:color="999999"/>
              <w:bottom w:val="single" w:sz="1" w:space="0" w:color="999999"/>
              <w:right w:val="single" w:sz="1" w:space="0" w:color="999999"/>
            </w:tcBorders>
            <w:shd w:val="clear" w:color="auto" w:fill="EBF1F7"/>
            <w:tcMar>
              <w:top w:w="55" w:type="dxa"/>
              <w:left w:w="90" w:type="dxa"/>
              <w:bottom w:w="55" w:type="dxa"/>
              <w:right w:w="90" w:type="dxa"/>
            </w:tcMar>
          </w:tcPr>
          <w:p w14:paraId="39D258A9" w14:textId="77777777" w:rsidR="00A25881" w:rsidRDefault="004B4E08">
            <w:pPr>
              <w:jc w:val="center"/>
            </w:pPr>
            <w:r>
              <w:rPr>
                <w:color w:val="000000"/>
                <w:sz w:val="14"/>
                <w:szCs w:val="14"/>
              </w:rPr>
              <w:t>2387</w:t>
            </w:r>
          </w:p>
        </w:tc>
        <w:tc>
          <w:tcPr>
            <w:tcW w:w="750" w:type="dxa"/>
            <w:tcBorders>
              <w:top w:val="single" w:sz="1" w:space="0" w:color="999999"/>
              <w:left w:val="single" w:sz="1" w:space="0" w:color="999999"/>
              <w:bottom w:val="single" w:sz="1" w:space="0" w:color="999999"/>
              <w:right w:val="single" w:sz="1" w:space="0" w:color="999999"/>
            </w:tcBorders>
            <w:shd w:val="clear" w:color="auto" w:fill="EBF1F7"/>
            <w:tcMar>
              <w:top w:w="55" w:type="dxa"/>
              <w:left w:w="90" w:type="dxa"/>
              <w:bottom w:w="55" w:type="dxa"/>
              <w:right w:w="90" w:type="dxa"/>
            </w:tcMar>
          </w:tcPr>
          <w:p w14:paraId="55A0314C" w14:textId="77777777" w:rsidR="00A25881" w:rsidRDefault="004B4E08">
            <w:pPr>
              <w:jc w:val="center"/>
            </w:pPr>
            <w:r>
              <w:rPr>
                <w:color w:val="000000"/>
                <w:sz w:val="14"/>
                <w:szCs w:val="14"/>
              </w:rPr>
              <w:t>1024</w:t>
            </w:r>
          </w:p>
        </w:tc>
        <w:tc>
          <w:tcPr>
            <w:tcW w:w="980" w:type="dxa"/>
            <w:tcBorders>
              <w:top w:val="single" w:sz="1" w:space="0" w:color="999999"/>
              <w:left w:val="single" w:sz="1" w:space="0" w:color="999999"/>
              <w:bottom w:val="single" w:sz="1" w:space="0" w:color="999999"/>
              <w:right w:val="single" w:sz="1" w:space="0" w:color="999999"/>
            </w:tcBorders>
            <w:shd w:val="clear" w:color="auto" w:fill="EBF1F7"/>
            <w:tcMar>
              <w:top w:w="55" w:type="dxa"/>
              <w:left w:w="90" w:type="dxa"/>
              <w:bottom w:w="55" w:type="dxa"/>
              <w:right w:w="90" w:type="dxa"/>
            </w:tcMar>
          </w:tcPr>
          <w:p w14:paraId="7D900BA5" w14:textId="77777777" w:rsidR="00A25881" w:rsidRDefault="004B4E08">
            <w:pPr>
              <w:jc w:val="center"/>
            </w:pPr>
            <w:r>
              <w:rPr>
                <w:color w:val="000000"/>
                <w:sz w:val="14"/>
                <w:szCs w:val="14"/>
              </w:rPr>
              <w:t>66.50</w:t>
            </w:r>
          </w:p>
        </w:tc>
        <w:tc>
          <w:tcPr>
            <w:tcW w:w="720" w:type="dxa"/>
            <w:tcBorders>
              <w:top w:val="single" w:sz="1" w:space="0" w:color="999999"/>
              <w:left w:val="single" w:sz="1" w:space="0" w:color="999999"/>
              <w:bottom w:val="single" w:sz="1" w:space="0" w:color="999999"/>
              <w:right w:val="single" w:sz="1" w:space="0" w:color="999999"/>
            </w:tcBorders>
            <w:shd w:val="clear" w:color="auto" w:fill="EBF1F7"/>
            <w:tcMar>
              <w:top w:w="55" w:type="dxa"/>
              <w:left w:w="90" w:type="dxa"/>
              <w:bottom w:w="55" w:type="dxa"/>
              <w:right w:w="90" w:type="dxa"/>
            </w:tcMar>
          </w:tcPr>
          <w:p w14:paraId="1A1BAD62" w14:textId="77777777" w:rsidR="00A25881" w:rsidRDefault="004B4E08">
            <w:pPr>
              <w:jc w:val="center"/>
            </w:pPr>
            <w:r>
              <w:rPr>
                <w:color w:val="000000"/>
                <w:sz w:val="14"/>
                <w:szCs w:val="14"/>
              </w:rPr>
              <w:t>151</w:t>
            </w:r>
          </w:p>
        </w:tc>
      </w:tr>
      <w:tr w:rsidR="00A25881" w14:paraId="79653BD2" w14:textId="77777777">
        <w:tc>
          <w:tcPr>
            <w:tcW w:w="1650" w:type="dxa"/>
            <w:tcBorders>
              <w:top w:val="single" w:sz="1" w:space="0" w:color="999999"/>
              <w:left w:val="single" w:sz="1" w:space="0" w:color="999999"/>
              <w:bottom w:val="single" w:sz="1" w:space="0" w:color="999999"/>
              <w:right w:val="single" w:sz="1" w:space="0" w:color="999999"/>
            </w:tcBorders>
            <w:tcMar>
              <w:top w:w="55" w:type="dxa"/>
              <w:left w:w="90" w:type="dxa"/>
              <w:bottom w:w="55" w:type="dxa"/>
              <w:right w:w="90" w:type="dxa"/>
            </w:tcMar>
          </w:tcPr>
          <w:p w14:paraId="07BB0AD6" w14:textId="77777777" w:rsidR="00A25881" w:rsidRDefault="004B4E08">
            <w:pPr>
              <w:jc w:val="center"/>
            </w:pPr>
            <w:r>
              <w:rPr>
                <w:color w:val="000000"/>
                <w:sz w:val="14"/>
                <w:szCs w:val="14"/>
              </w:rPr>
              <w:t>Hamming ECC</w:t>
            </w:r>
          </w:p>
        </w:tc>
        <w:tc>
          <w:tcPr>
            <w:tcW w:w="800" w:type="dxa"/>
            <w:tcBorders>
              <w:top w:val="single" w:sz="1" w:space="0" w:color="999999"/>
              <w:left w:val="single" w:sz="1" w:space="0" w:color="999999"/>
              <w:bottom w:val="single" w:sz="1" w:space="0" w:color="999999"/>
              <w:right w:val="single" w:sz="1" w:space="0" w:color="999999"/>
            </w:tcBorders>
            <w:tcMar>
              <w:top w:w="55" w:type="dxa"/>
              <w:left w:w="90" w:type="dxa"/>
              <w:bottom w:w="55" w:type="dxa"/>
              <w:right w:w="90" w:type="dxa"/>
            </w:tcMar>
          </w:tcPr>
          <w:p w14:paraId="2D9B6545" w14:textId="77777777" w:rsidR="00A25881" w:rsidRDefault="004B4E08">
            <w:pPr>
              <w:jc w:val="center"/>
            </w:pPr>
            <w:r>
              <w:rPr>
                <w:color w:val="000000"/>
                <w:sz w:val="14"/>
                <w:szCs w:val="14"/>
              </w:rPr>
              <w:t>1854</w:t>
            </w:r>
          </w:p>
        </w:tc>
        <w:tc>
          <w:tcPr>
            <w:tcW w:w="750" w:type="dxa"/>
            <w:tcBorders>
              <w:top w:val="single" w:sz="1" w:space="0" w:color="999999"/>
              <w:left w:val="single" w:sz="1" w:space="0" w:color="999999"/>
              <w:bottom w:val="single" w:sz="1" w:space="0" w:color="999999"/>
              <w:right w:val="single" w:sz="1" w:space="0" w:color="999999"/>
            </w:tcBorders>
            <w:tcMar>
              <w:top w:w="55" w:type="dxa"/>
              <w:left w:w="90" w:type="dxa"/>
              <w:bottom w:w="55" w:type="dxa"/>
              <w:right w:w="90" w:type="dxa"/>
            </w:tcMar>
          </w:tcPr>
          <w:p w14:paraId="3D88E461" w14:textId="77777777" w:rsidR="00A25881" w:rsidRDefault="004B4E08">
            <w:pPr>
              <w:jc w:val="center"/>
            </w:pPr>
            <w:r>
              <w:rPr>
                <w:color w:val="000000"/>
                <w:sz w:val="14"/>
                <w:szCs w:val="14"/>
              </w:rPr>
              <w:t>1216</w:t>
            </w:r>
          </w:p>
        </w:tc>
        <w:tc>
          <w:tcPr>
            <w:tcW w:w="980" w:type="dxa"/>
            <w:tcBorders>
              <w:top w:val="single" w:sz="1" w:space="0" w:color="999999"/>
              <w:left w:val="single" w:sz="1" w:space="0" w:color="999999"/>
              <w:bottom w:val="single" w:sz="1" w:space="0" w:color="999999"/>
              <w:right w:val="single" w:sz="1" w:space="0" w:color="999999"/>
            </w:tcBorders>
            <w:tcMar>
              <w:top w:w="55" w:type="dxa"/>
              <w:left w:w="90" w:type="dxa"/>
              <w:bottom w:w="55" w:type="dxa"/>
              <w:right w:w="90" w:type="dxa"/>
            </w:tcMar>
          </w:tcPr>
          <w:p w14:paraId="47AE2EAF" w14:textId="77777777" w:rsidR="00A25881" w:rsidRDefault="004B4E08">
            <w:pPr>
              <w:jc w:val="center"/>
            </w:pPr>
            <w:r>
              <w:rPr>
                <w:color w:val="000000"/>
                <w:sz w:val="14"/>
                <w:szCs w:val="14"/>
              </w:rPr>
              <w:t>54.77</w:t>
            </w:r>
          </w:p>
        </w:tc>
        <w:tc>
          <w:tcPr>
            <w:tcW w:w="720" w:type="dxa"/>
            <w:tcBorders>
              <w:top w:val="single" w:sz="1" w:space="0" w:color="999999"/>
              <w:left w:val="single" w:sz="1" w:space="0" w:color="999999"/>
              <w:bottom w:val="single" w:sz="1" w:space="0" w:color="999999"/>
              <w:right w:val="single" w:sz="1" w:space="0" w:color="999999"/>
            </w:tcBorders>
            <w:tcMar>
              <w:top w:w="55" w:type="dxa"/>
              <w:left w:w="90" w:type="dxa"/>
              <w:bottom w:w="55" w:type="dxa"/>
              <w:right w:w="90" w:type="dxa"/>
            </w:tcMar>
          </w:tcPr>
          <w:p w14:paraId="0041DA6D" w14:textId="77777777" w:rsidR="00A25881" w:rsidRDefault="004B4E08">
            <w:pPr>
              <w:jc w:val="center"/>
            </w:pPr>
            <w:r>
              <w:rPr>
                <w:color w:val="000000"/>
                <w:sz w:val="14"/>
                <w:szCs w:val="14"/>
              </w:rPr>
              <w:t>162</w:t>
            </w:r>
          </w:p>
        </w:tc>
      </w:tr>
      <w:tr w:rsidR="00A25881" w14:paraId="63055C7E" w14:textId="77777777">
        <w:tc>
          <w:tcPr>
            <w:tcW w:w="1650" w:type="dxa"/>
            <w:tcBorders>
              <w:top w:val="single" w:sz="1" w:space="0" w:color="999999"/>
              <w:left w:val="single" w:sz="1" w:space="0" w:color="999999"/>
              <w:bottom w:val="single" w:sz="1" w:space="0" w:color="999999"/>
              <w:right w:val="single" w:sz="1" w:space="0" w:color="999999"/>
            </w:tcBorders>
            <w:shd w:val="clear" w:color="auto" w:fill="EBF1F7"/>
            <w:tcMar>
              <w:top w:w="55" w:type="dxa"/>
              <w:left w:w="90" w:type="dxa"/>
              <w:bottom w:w="55" w:type="dxa"/>
              <w:right w:w="90" w:type="dxa"/>
            </w:tcMar>
          </w:tcPr>
          <w:p w14:paraId="3BB4D848" w14:textId="77777777" w:rsidR="00A25881" w:rsidRDefault="004B4E08">
            <w:pPr>
              <w:jc w:val="center"/>
            </w:pPr>
            <w:proofErr w:type="spellStart"/>
            <w:r>
              <w:rPr>
                <w:color w:val="000000"/>
                <w:sz w:val="14"/>
                <w:szCs w:val="14"/>
              </w:rPr>
              <w:t>TMR+Hamming</w:t>
            </w:r>
            <w:proofErr w:type="spellEnd"/>
          </w:p>
        </w:tc>
        <w:tc>
          <w:tcPr>
            <w:tcW w:w="800" w:type="dxa"/>
            <w:tcBorders>
              <w:top w:val="single" w:sz="1" w:space="0" w:color="999999"/>
              <w:left w:val="single" w:sz="1" w:space="0" w:color="999999"/>
              <w:bottom w:val="single" w:sz="1" w:space="0" w:color="999999"/>
              <w:right w:val="single" w:sz="1" w:space="0" w:color="999999"/>
            </w:tcBorders>
            <w:shd w:val="clear" w:color="auto" w:fill="EBF1F7"/>
            <w:tcMar>
              <w:top w:w="55" w:type="dxa"/>
              <w:left w:w="90" w:type="dxa"/>
              <w:bottom w:w="55" w:type="dxa"/>
              <w:right w:w="90" w:type="dxa"/>
            </w:tcMar>
          </w:tcPr>
          <w:p w14:paraId="23DA2716" w14:textId="77777777" w:rsidR="00A25881" w:rsidRDefault="004B4E08">
            <w:pPr>
              <w:jc w:val="center"/>
            </w:pPr>
            <w:r>
              <w:rPr>
                <w:color w:val="000000"/>
                <w:sz w:val="14"/>
                <w:szCs w:val="14"/>
              </w:rPr>
              <w:t>2748</w:t>
            </w:r>
          </w:p>
        </w:tc>
        <w:tc>
          <w:tcPr>
            <w:tcW w:w="750" w:type="dxa"/>
            <w:tcBorders>
              <w:top w:val="single" w:sz="1" w:space="0" w:color="999999"/>
              <w:left w:val="single" w:sz="1" w:space="0" w:color="999999"/>
              <w:bottom w:val="single" w:sz="1" w:space="0" w:color="999999"/>
              <w:right w:val="single" w:sz="1" w:space="0" w:color="999999"/>
            </w:tcBorders>
            <w:shd w:val="clear" w:color="auto" w:fill="EBF1F7"/>
            <w:tcMar>
              <w:top w:w="55" w:type="dxa"/>
              <w:left w:w="90" w:type="dxa"/>
              <w:bottom w:w="55" w:type="dxa"/>
              <w:right w:w="90" w:type="dxa"/>
            </w:tcMar>
          </w:tcPr>
          <w:p w14:paraId="031A442C" w14:textId="77777777" w:rsidR="00A25881" w:rsidRDefault="004B4E08">
            <w:pPr>
              <w:jc w:val="center"/>
            </w:pPr>
            <w:r>
              <w:rPr>
                <w:color w:val="000000"/>
                <w:sz w:val="14"/>
                <w:szCs w:val="14"/>
              </w:rPr>
              <w:t>1216</w:t>
            </w:r>
          </w:p>
        </w:tc>
        <w:tc>
          <w:tcPr>
            <w:tcW w:w="980" w:type="dxa"/>
            <w:tcBorders>
              <w:top w:val="single" w:sz="1" w:space="0" w:color="999999"/>
              <w:left w:val="single" w:sz="1" w:space="0" w:color="999999"/>
              <w:bottom w:val="single" w:sz="1" w:space="0" w:color="999999"/>
              <w:right w:val="single" w:sz="1" w:space="0" w:color="999999"/>
            </w:tcBorders>
            <w:shd w:val="clear" w:color="auto" w:fill="EBF1F7"/>
            <w:tcMar>
              <w:top w:w="55" w:type="dxa"/>
              <w:left w:w="90" w:type="dxa"/>
              <w:bottom w:w="55" w:type="dxa"/>
              <w:right w:w="90" w:type="dxa"/>
            </w:tcMar>
          </w:tcPr>
          <w:p w14:paraId="21B602E9" w14:textId="77777777" w:rsidR="00A25881" w:rsidRDefault="004B4E08">
            <w:pPr>
              <w:jc w:val="center"/>
            </w:pPr>
            <w:r>
              <w:rPr>
                <w:color w:val="000000"/>
                <w:sz w:val="14"/>
                <w:szCs w:val="14"/>
              </w:rPr>
              <w:t>49.99</w:t>
            </w:r>
          </w:p>
        </w:tc>
        <w:tc>
          <w:tcPr>
            <w:tcW w:w="720" w:type="dxa"/>
            <w:tcBorders>
              <w:top w:val="single" w:sz="1" w:space="0" w:color="999999"/>
              <w:left w:val="single" w:sz="1" w:space="0" w:color="999999"/>
              <w:bottom w:val="single" w:sz="1" w:space="0" w:color="999999"/>
              <w:right w:val="single" w:sz="1" w:space="0" w:color="999999"/>
            </w:tcBorders>
            <w:shd w:val="clear" w:color="auto" w:fill="EBF1F7"/>
            <w:tcMar>
              <w:top w:w="55" w:type="dxa"/>
              <w:left w:w="90" w:type="dxa"/>
              <w:bottom w:w="55" w:type="dxa"/>
              <w:right w:w="90" w:type="dxa"/>
            </w:tcMar>
          </w:tcPr>
          <w:p w14:paraId="5E9A5D97" w14:textId="77777777" w:rsidR="00A25881" w:rsidRDefault="004B4E08">
            <w:pPr>
              <w:jc w:val="center"/>
            </w:pPr>
            <w:r>
              <w:rPr>
                <w:color w:val="000000"/>
                <w:sz w:val="14"/>
                <w:szCs w:val="14"/>
              </w:rPr>
              <w:t>171</w:t>
            </w:r>
          </w:p>
        </w:tc>
      </w:tr>
    </w:tbl>
    <w:p w14:paraId="5FBA4A87" w14:textId="77777777" w:rsidR="00A25881" w:rsidRDefault="004B4E08">
      <w:pPr>
        <w:spacing w:before="30" w:after="80"/>
        <w:jc w:val="center"/>
      </w:pPr>
      <w:r>
        <w:rPr>
          <w:sz w:val="14"/>
          <w:szCs w:val="14"/>
        </w:rPr>
        <w:t xml:space="preserve">Table II: TMR adds 48% LUT overhead; combined </w:t>
      </w:r>
      <w:proofErr w:type="spellStart"/>
      <w:r>
        <w:rPr>
          <w:sz w:val="14"/>
          <w:szCs w:val="14"/>
        </w:rPr>
        <w:t>TMR+Hamming</w:t>
      </w:r>
      <w:proofErr w:type="spellEnd"/>
      <w:r>
        <w:rPr>
          <w:sz w:val="14"/>
          <w:szCs w:val="14"/>
        </w:rPr>
        <w:t xml:space="preserve"> incurs 70% </w:t>
      </w:r>
      <w:r>
        <w:rPr>
          <w:sz w:val="14"/>
          <w:szCs w:val="14"/>
        </w:rPr>
        <w:t>area and 33% frequency penalty.</w:t>
      </w:r>
    </w:p>
    <w:p w14:paraId="08CA0772" w14:textId="77777777" w:rsidR="00A25881" w:rsidRDefault="004B4E08">
      <w:pPr>
        <w:spacing w:after="55" w:line="228" w:lineRule="auto"/>
        <w:ind w:firstLine="280"/>
        <w:jc w:val="both"/>
      </w:pPr>
      <w:r>
        <w:t xml:space="preserve">Figure 8 shows the </w:t>
      </w:r>
      <w:proofErr w:type="spellStart"/>
      <w:r>
        <w:t>ISim</w:t>
      </w:r>
      <w:proofErr w:type="spellEnd"/>
      <w:r>
        <w:t xml:space="preserve"> validation report confirming correct operation across all functional test vectors including basic ADD/LW/SW, SUB, AND/OR, memory access, x0-register, and branch tests.</w:t>
      </w:r>
    </w:p>
    <w:p w14:paraId="498C5131" w14:textId="77777777" w:rsidR="00A25881" w:rsidRDefault="004B4E08">
      <w:pPr>
        <w:spacing w:before="60" w:after="40"/>
        <w:jc w:val="center"/>
      </w:pPr>
      <w:r>
        <w:rPr>
          <w:noProof/>
        </w:rPr>
        <w:lastRenderedPageBreak/>
        <w:drawing>
          <wp:inline distT="0" distB="0" distL="0" distR="0" wp14:anchorId="2C796E58" wp14:editId="498AF851">
            <wp:extent cx="2190750" cy="638175"/>
            <wp:effectExtent l="0" t="0" r="0" b="0"/>
            <wp:docPr id="1429375430" name="page15_img1.png" descr="page15_img1.png" title="page15_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2190750" cy="638175"/>
                    </a:xfrm>
                    <a:prstGeom prst="rect">
                      <a:avLst/>
                    </a:prstGeom>
                  </pic:spPr>
                </pic:pic>
              </a:graphicData>
            </a:graphic>
          </wp:inline>
        </w:drawing>
      </w:r>
    </w:p>
    <w:p w14:paraId="2713A828" w14:textId="77777777" w:rsidR="00A25881" w:rsidRDefault="004B4E08">
      <w:pPr>
        <w:spacing w:before="30" w:after="80"/>
        <w:jc w:val="center"/>
      </w:pPr>
      <w:r>
        <w:rPr>
          <w:sz w:val="14"/>
          <w:szCs w:val="14"/>
        </w:rPr>
        <w:t xml:space="preserve">Fig. 8. </w:t>
      </w:r>
      <w:proofErr w:type="spellStart"/>
      <w:r>
        <w:rPr>
          <w:sz w:val="14"/>
          <w:szCs w:val="14"/>
        </w:rPr>
        <w:t>ISim</w:t>
      </w:r>
      <w:proofErr w:type="spellEnd"/>
      <w:r>
        <w:rPr>
          <w:sz w:val="14"/>
          <w:szCs w:val="14"/>
        </w:rPr>
        <w:t xml:space="preserve"> functional valida</w:t>
      </w:r>
      <w:r>
        <w:rPr>
          <w:sz w:val="14"/>
          <w:szCs w:val="14"/>
        </w:rPr>
        <w:t>tion report: all tests COMPLETED with pass/fail annotations across six instruction test categories.</w:t>
      </w:r>
    </w:p>
    <w:p w14:paraId="3826DAD4" w14:textId="77777777" w:rsidR="00A25881" w:rsidRDefault="004B4E08">
      <w:pPr>
        <w:spacing w:before="70" w:after="35"/>
      </w:pPr>
      <w:r>
        <w:rPr>
          <w:b/>
          <w:bCs/>
        </w:rPr>
        <w:t>B. RISC-V vs. ARM Cortex-A5</w:t>
      </w:r>
    </w:p>
    <w:p w14:paraId="45A5B7C1" w14:textId="77777777" w:rsidR="00A25881" w:rsidRDefault="004B4E08">
      <w:pPr>
        <w:spacing w:after="55" w:line="228" w:lineRule="auto"/>
        <w:ind w:firstLine="280"/>
        <w:jc w:val="both"/>
      </w:pPr>
      <w:r>
        <w:t>Table III provides a technology-matched benchmark in TSMC 40GPLUS. RISC-V Rocket achieves 1.72 vs. 1.57 DMIPS/MHz (+9.5%), occup</w:t>
      </w:r>
      <w:r>
        <w:t xml:space="preserve">ies only 0.14 mm² (−48%), and consumes 0.034 </w:t>
      </w:r>
      <w:proofErr w:type="spellStart"/>
      <w:r>
        <w:t>mW</w:t>
      </w:r>
      <w:proofErr w:type="spellEnd"/>
      <w:r>
        <w:t>/MHz (−57%). Area efficiency reaches 4.41 vs. 2.96 DMIPS/MHz/mm² (+49%), validating RISC-V for area- and power-constrained SoC designs.</w:t>
      </w:r>
    </w:p>
    <w:p w14:paraId="01873E8F" w14:textId="77777777" w:rsidR="00A25881" w:rsidRDefault="004B4E08">
      <w:pPr>
        <w:spacing w:before="80" w:after="20"/>
        <w:jc w:val="center"/>
      </w:pPr>
      <w:r>
        <w:rPr>
          <w:b/>
          <w:bCs/>
          <w:caps/>
          <w:sz w:val="15"/>
          <w:szCs w:val="15"/>
        </w:rPr>
        <w:t>TABLE III</w:t>
      </w:r>
    </w:p>
    <w:p w14:paraId="3C77A674" w14:textId="77777777" w:rsidR="00A25881" w:rsidRDefault="004B4E08">
      <w:pPr>
        <w:spacing w:after="40"/>
        <w:jc w:val="center"/>
      </w:pPr>
      <w:r>
        <w:rPr>
          <w:b/>
          <w:bCs/>
          <w:caps/>
          <w:sz w:val="14"/>
          <w:szCs w:val="14"/>
        </w:rPr>
        <w:t>ARM Cortex-A5 vs. RISC-V Rocket Core (TSMC 40GPLUS)</w:t>
      </w:r>
    </w:p>
    <w:tbl>
      <w:tblPr>
        <w:tblW w:w="4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900"/>
        <w:gridCol w:w="1500"/>
        <w:gridCol w:w="1500"/>
      </w:tblGrid>
      <w:tr w:rsidR="00A25881" w14:paraId="106B332A" w14:textId="77777777">
        <w:trPr>
          <w:tblHeader/>
        </w:trPr>
        <w:tc>
          <w:tcPr>
            <w:tcW w:w="1900" w:type="dxa"/>
            <w:tcBorders>
              <w:top w:val="single" w:sz="1" w:space="0" w:color="999999"/>
              <w:left w:val="single" w:sz="1" w:space="0" w:color="999999"/>
              <w:bottom w:val="single" w:sz="1" w:space="0" w:color="999999"/>
              <w:right w:val="single" w:sz="1" w:space="0" w:color="999999"/>
            </w:tcBorders>
            <w:shd w:val="clear" w:color="auto" w:fill="1A3A5C"/>
            <w:tcMar>
              <w:top w:w="55" w:type="dxa"/>
              <w:left w:w="90" w:type="dxa"/>
              <w:bottom w:w="55" w:type="dxa"/>
              <w:right w:w="90" w:type="dxa"/>
            </w:tcMar>
          </w:tcPr>
          <w:p w14:paraId="553973F3" w14:textId="77777777" w:rsidR="00A25881" w:rsidRDefault="004B4E08">
            <w:pPr>
              <w:jc w:val="center"/>
            </w:pPr>
            <w:r>
              <w:rPr>
                <w:b/>
                <w:bCs/>
                <w:color w:val="FFFFFF"/>
                <w:sz w:val="14"/>
                <w:szCs w:val="14"/>
              </w:rPr>
              <w:t>Metric</w:t>
            </w:r>
          </w:p>
        </w:tc>
        <w:tc>
          <w:tcPr>
            <w:tcW w:w="1500" w:type="dxa"/>
            <w:tcBorders>
              <w:top w:val="single" w:sz="1" w:space="0" w:color="999999"/>
              <w:left w:val="single" w:sz="1" w:space="0" w:color="999999"/>
              <w:bottom w:val="single" w:sz="1" w:space="0" w:color="999999"/>
              <w:right w:val="single" w:sz="1" w:space="0" w:color="999999"/>
            </w:tcBorders>
            <w:shd w:val="clear" w:color="auto" w:fill="1A3A5C"/>
            <w:tcMar>
              <w:top w:w="55" w:type="dxa"/>
              <w:left w:w="90" w:type="dxa"/>
              <w:bottom w:w="55" w:type="dxa"/>
              <w:right w:w="90" w:type="dxa"/>
            </w:tcMar>
          </w:tcPr>
          <w:p w14:paraId="18222558" w14:textId="77777777" w:rsidR="00A25881" w:rsidRDefault="004B4E08">
            <w:pPr>
              <w:jc w:val="center"/>
            </w:pPr>
            <w:r>
              <w:rPr>
                <w:b/>
                <w:bCs/>
                <w:color w:val="FFFFFF"/>
                <w:sz w:val="14"/>
                <w:szCs w:val="14"/>
              </w:rPr>
              <w:t>ARM Cortex-A5</w:t>
            </w:r>
          </w:p>
        </w:tc>
        <w:tc>
          <w:tcPr>
            <w:tcW w:w="1500" w:type="dxa"/>
            <w:tcBorders>
              <w:top w:val="single" w:sz="1" w:space="0" w:color="999999"/>
              <w:left w:val="single" w:sz="1" w:space="0" w:color="999999"/>
              <w:bottom w:val="single" w:sz="1" w:space="0" w:color="999999"/>
              <w:right w:val="single" w:sz="1" w:space="0" w:color="999999"/>
            </w:tcBorders>
            <w:shd w:val="clear" w:color="auto" w:fill="1A3A5C"/>
            <w:tcMar>
              <w:top w:w="55" w:type="dxa"/>
              <w:left w:w="90" w:type="dxa"/>
              <w:bottom w:w="55" w:type="dxa"/>
              <w:right w:w="90" w:type="dxa"/>
            </w:tcMar>
          </w:tcPr>
          <w:p w14:paraId="70FF624E" w14:textId="77777777" w:rsidR="00A25881" w:rsidRDefault="004B4E08">
            <w:pPr>
              <w:jc w:val="center"/>
            </w:pPr>
            <w:r>
              <w:rPr>
                <w:b/>
                <w:bCs/>
                <w:color w:val="FFFFFF"/>
                <w:sz w:val="14"/>
                <w:szCs w:val="14"/>
              </w:rPr>
              <w:t>RISC-V Rocket</w:t>
            </w:r>
          </w:p>
        </w:tc>
      </w:tr>
      <w:tr w:rsidR="00A25881" w14:paraId="2875442E" w14:textId="77777777">
        <w:tc>
          <w:tcPr>
            <w:tcW w:w="1900" w:type="dxa"/>
            <w:tcBorders>
              <w:top w:val="single" w:sz="1" w:space="0" w:color="999999"/>
              <w:left w:val="single" w:sz="1" w:space="0" w:color="999999"/>
              <w:bottom w:val="single" w:sz="1" w:space="0" w:color="999999"/>
              <w:right w:val="single" w:sz="1" w:space="0" w:color="999999"/>
            </w:tcBorders>
            <w:tcMar>
              <w:top w:w="55" w:type="dxa"/>
              <w:left w:w="90" w:type="dxa"/>
              <w:bottom w:w="55" w:type="dxa"/>
              <w:right w:w="90" w:type="dxa"/>
            </w:tcMar>
          </w:tcPr>
          <w:p w14:paraId="7B968A3A" w14:textId="77777777" w:rsidR="00A25881" w:rsidRDefault="004B4E08">
            <w:pPr>
              <w:jc w:val="center"/>
            </w:pPr>
            <w:r>
              <w:rPr>
                <w:color w:val="000000"/>
                <w:sz w:val="14"/>
                <w:szCs w:val="14"/>
              </w:rPr>
              <w:t>Dhrystone (DMIPS/MHz)</w:t>
            </w:r>
          </w:p>
        </w:tc>
        <w:tc>
          <w:tcPr>
            <w:tcW w:w="1500" w:type="dxa"/>
            <w:tcBorders>
              <w:top w:val="single" w:sz="1" w:space="0" w:color="999999"/>
              <w:left w:val="single" w:sz="1" w:space="0" w:color="999999"/>
              <w:bottom w:val="single" w:sz="1" w:space="0" w:color="999999"/>
              <w:right w:val="single" w:sz="1" w:space="0" w:color="999999"/>
            </w:tcBorders>
            <w:tcMar>
              <w:top w:w="55" w:type="dxa"/>
              <w:left w:w="90" w:type="dxa"/>
              <w:bottom w:w="55" w:type="dxa"/>
              <w:right w:w="90" w:type="dxa"/>
            </w:tcMar>
          </w:tcPr>
          <w:p w14:paraId="5941C735" w14:textId="77777777" w:rsidR="00A25881" w:rsidRDefault="004B4E08">
            <w:pPr>
              <w:jc w:val="center"/>
            </w:pPr>
            <w:r>
              <w:rPr>
                <w:color w:val="000000"/>
                <w:sz w:val="14"/>
                <w:szCs w:val="14"/>
              </w:rPr>
              <w:t>1.57</w:t>
            </w:r>
          </w:p>
        </w:tc>
        <w:tc>
          <w:tcPr>
            <w:tcW w:w="1500" w:type="dxa"/>
            <w:tcBorders>
              <w:top w:val="single" w:sz="1" w:space="0" w:color="999999"/>
              <w:left w:val="single" w:sz="1" w:space="0" w:color="999999"/>
              <w:bottom w:val="single" w:sz="1" w:space="0" w:color="999999"/>
              <w:right w:val="single" w:sz="1" w:space="0" w:color="999999"/>
            </w:tcBorders>
            <w:tcMar>
              <w:top w:w="55" w:type="dxa"/>
              <w:left w:w="90" w:type="dxa"/>
              <w:bottom w:w="55" w:type="dxa"/>
              <w:right w:w="90" w:type="dxa"/>
            </w:tcMar>
          </w:tcPr>
          <w:p w14:paraId="4B842B13" w14:textId="77777777" w:rsidR="00A25881" w:rsidRDefault="004B4E08">
            <w:pPr>
              <w:jc w:val="center"/>
            </w:pPr>
            <w:r>
              <w:rPr>
                <w:color w:val="000000"/>
                <w:sz w:val="14"/>
                <w:szCs w:val="14"/>
              </w:rPr>
              <w:t>1.72</w:t>
            </w:r>
          </w:p>
        </w:tc>
      </w:tr>
      <w:tr w:rsidR="00A25881" w14:paraId="1307371B" w14:textId="77777777">
        <w:tc>
          <w:tcPr>
            <w:tcW w:w="1900" w:type="dxa"/>
            <w:tcBorders>
              <w:top w:val="single" w:sz="1" w:space="0" w:color="999999"/>
              <w:left w:val="single" w:sz="1" w:space="0" w:color="999999"/>
              <w:bottom w:val="single" w:sz="1" w:space="0" w:color="999999"/>
              <w:right w:val="single" w:sz="1" w:space="0" w:color="999999"/>
            </w:tcBorders>
            <w:shd w:val="clear" w:color="auto" w:fill="EBF1F7"/>
            <w:tcMar>
              <w:top w:w="55" w:type="dxa"/>
              <w:left w:w="90" w:type="dxa"/>
              <w:bottom w:w="55" w:type="dxa"/>
              <w:right w:w="90" w:type="dxa"/>
            </w:tcMar>
          </w:tcPr>
          <w:p w14:paraId="35C56F1B" w14:textId="77777777" w:rsidR="00A25881" w:rsidRDefault="004B4E08">
            <w:pPr>
              <w:jc w:val="center"/>
            </w:pPr>
            <w:r>
              <w:rPr>
                <w:color w:val="000000"/>
                <w:sz w:val="14"/>
                <w:szCs w:val="14"/>
              </w:rPr>
              <w:t>ISA Reg. Width</w:t>
            </w:r>
          </w:p>
        </w:tc>
        <w:tc>
          <w:tcPr>
            <w:tcW w:w="1500" w:type="dxa"/>
            <w:tcBorders>
              <w:top w:val="single" w:sz="1" w:space="0" w:color="999999"/>
              <w:left w:val="single" w:sz="1" w:space="0" w:color="999999"/>
              <w:bottom w:val="single" w:sz="1" w:space="0" w:color="999999"/>
              <w:right w:val="single" w:sz="1" w:space="0" w:color="999999"/>
            </w:tcBorders>
            <w:shd w:val="clear" w:color="auto" w:fill="EBF1F7"/>
            <w:tcMar>
              <w:top w:w="55" w:type="dxa"/>
              <w:left w:w="90" w:type="dxa"/>
              <w:bottom w:w="55" w:type="dxa"/>
              <w:right w:w="90" w:type="dxa"/>
            </w:tcMar>
          </w:tcPr>
          <w:p w14:paraId="724422D7" w14:textId="77777777" w:rsidR="00A25881" w:rsidRDefault="004B4E08">
            <w:pPr>
              <w:jc w:val="center"/>
            </w:pPr>
            <w:r>
              <w:rPr>
                <w:color w:val="000000"/>
                <w:sz w:val="14"/>
                <w:szCs w:val="14"/>
              </w:rPr>
              <w:t>32 bits</w:t>
            </w:r>
          </w:p>
        </w:tc>
        <w:tc>
          <w:tcPr>
            <w:tcW w:w="1500" w:type="dxa"/>
            <w:tcBorders>
              <w:top w:val="single" w:sz="1" w:space="0" w:color="999999"/>
              <w:left w:val="single" w:sz="1" w:space="0" w:color="999999"/>
              <w:bottom w:val="single" w:sz="1" w:space="0" w:color="999999"/>
              <w:right w:val="single" w:sz="1" w:space="0" w:color="999999"/>
            </w:tcBorders>
            <w:shd w:val="clear" w:color="auto" w:fill="EBF1F7"/>
            <w:tcMar>
              <w:top w:w="55" w:type="dxa"/>
              <w:left w:w="90" w:type="dxa"/>
              <w:bottom w:w="55" w:type="dxa"/>
              <w:right w:w="90" w:type="dxa"/>
            </w:tcMar>
          </w:tcPr>
          <w:p w14:paraId="3AF98F9C" w14:textId="77777777" w:rsidR="00A25881" w:rsidRDefault="004B4E08">
            <w:pPr>
              <w:jc w:val="center"/>
            </w:pPr>
            <w:r>
              <w:rPr>
                <w:color w:val="000000"/>
                <w:sz w:val="14"/>
                <w:szCs w:val="14"/>
              </w:rPr>
              <w:t>64 bits</w:t>
            </w:r>
          </w:p>
        </w:tc>
      </w:tr>
      <w:tr w:rsidR="00A25881" w14:paraId="16CBDAE2" w14:textId="77777777">
        <w:tc>
          <w:tcPr>
            <w:tcW w:w="1900" w:type="dxa"/>
            <w:tcBorders>
              <w:top w:val="single" w:sz="1" w:space="0" w:color="999999"/>
              <w:left w:val="single" w:sz="1" w:space="0" w:color="999999"/>
              <w:bottom w:val="single" w:sz="1" w:space="0" w:color="999999"/>
              <w:right w:val="single" w:sz="1" w:space="0" w:color="999999"/>
            </w:tcBorders>
            <w:tcMar>
              <w:top w:w="55" w:type="dxa"/>
              <w:left w:w="90" w:type="dxa"/>
              <w:bottom w:w="55" w:type="dxa"/>
              <w:right w:w="90" w:type="dxa"/>
            </w:tcMar>
          </w:tcPr>
          <w:p w14:paraId="16D9BBB6" w14:textId="77777777" w:rsidR="00A25881" w:rsidRDefault="004B4E08">
            <w:pPr>
              <w:jc w:val="center"/>
            </w:pPr>
            <w:r>
              <w:rPr>
                <w:color w:val="000000"/>
                <w:sz w:val="14"/>
                <w:szCs w:val="14"/>
              </w:rPr>
              <w:t>Frequency</w:t>
            </w:r>
          </w:p>
        </w:tc>
        <w:tc>
          <w:tcPr>
            <w:tcW w:w="1500" w:type="dxa"/>
            <w:tcBorders>
              <w:top w:val="single" w:sz="1" w:space="0" w:color="999999"/>
              <w:left w:val="single" w:sz="1" w:space="0" w:color="999999"/>
              <w:bottom w:val="single" w:sz="1" w:space="0" w:color="999999"/>
              <w:right w:val="single" w:sz="1" w:space="0" w:color="999999"/>
            </w:tcBorders>
            <w:tcMar>
              <w:top w:w="55" w:type="dxa"/>
              <w:left w:w="90" w:type="dxa"/>
              <w:bottom w:w="55" w:type="dxa"/>
              <w:right w:w="90" w:type="dxa"/>
            </w:tcMar>
          </w:tcPr>
          <w:p w14:paraId="3A02F1BC" w14:textId="77777777" w:rsidR="00A25881" w:rsidRDefault="004B4E08">
            <w:pPr>
              <w:jc w:val="center"/>
            </w:pPr>
            <w:r>
              <w:rPr>
                <w:color w:val="000000"/>
                <w:sz w:val="14"/>
                <w:szCs w:val="14"/>
              </w:rPr>
              <w:t>&gt;1 GHz</w:t>
            </w:r>
          </w:p>
        </w:tc>
        <w:tc>
          <w:tcPr>
            <w:tcW w:w="1500" w:type="dxa"/>
            <w:tcBorders>
              <w:top w:val="single" w:sz="1" w:space="0" w:color="999999"/>
              <w:left w:val="single" w:sz="1" w:space="0" w:color="999999"/>
              <w:bottom w:val="single" w:sz="1" w:space="0" w:color="999999"/>
              <w:right w:val="single" w:sz="1" w:space="0" w:color="999999"/>
            </w:tcBorders>
            <w:tcMar>
              <w:top w:w="55" w:type="dxa"/>
              <w:left w:w="90" w:type="dxa"/>
              <w:bottom w:w="55" w:type="dxa"/>
              <w:right w:w="90" w:type="dxa"/>
            </w:tcMar>
          </w:tcPr>
          <w:p w14:paraId="1E00911D" w14:textId="77777777" w:rsidR="00A25881" w:rsidRDefault="004B4E08">
            <w:pPr>
              <w:jc w:val="center"/>
            </w:pPr>
            <w:r>
              <w:rPr>
                <w:color w:val="000000"/>
                <w:sz w:val="14"/>
                <w:szCs w:val="14"/>
              </w:rPr>
              <w:t>&gt;1 GHz</w:t>
            </w:r>
          </w:p>
        </w:tc>
      </w:tr>
      <w:tr w:rsidR="00A25881" w14:paraId="51F2D1EF" w14:textId="77777777">
        <w:tc>
          <w:tcPr>
            <w:tcW w:w="1900" w:type="dxa"/>
            <w:tcBorders>
              <w:top w:val="single" w:sz="1" w:space="0" w:color="999999"/>
              <w:left w:val="single" w:sz="1" w:space="0" w:color="999999"/>
              <w:bottom w:val="single" w:sz="1" w:space="0" w:color="999999"/>
              <w:right w:val="single" w:sz="1" w:space="0" w:color="999999"/>
            </w:tcBorders>
            <w:shd w:val="clear" w:color="auto" w:fill="EBF1F7"/>
            <w:tcMar>
              <w:top w:w="55" w:type="dxa"/>
              <w:left w:w="90" w:type="dxa"/>
              <w:bottom w:w="55" w:type="dxa"/>
              <w:right w:w="90" w:type="dxa"/>
            </w:tcMar>
          </w:tcPr>
          <w:p w14:paraId="2598BF4F" w14:textId="77777777" w:rsidR="00A25881" w:rsidRDefault="004B4E08">
            <w:pPr>
              <w:jc w:val="center"/>
            </w:pPr>
            <w:r>
              <w:rPr>
                <w:color w:val="000000"/>
                <w:sz w:val="14"/>
                <w:szCs w:val="14"/>
              </w:rPr>
              <w:t>Area excl. caches</w:t>
            </w:r>
          </w:p>
        </w:tc>
        <w:tc>
          <w:tcPr>
            <w:tcW w:w="1500" w:type="dxa"/>
            <w:tcBorders>
              <w:top w:val="single" w:sz="1" w:space="0" w:color="999999"/>
              <w:left w:val="single" w:sz="1" w:space="0" w:color="999999"/>
              <w:bottom w:val="single" w:sz="1" w:space="0" w:color="999999"/>
              <w:right w:val="single" w:sz="1" w:space="0" w:color="999999"/>
            </w:tcBorders>
            <w:shd w:val="clear" w:color="auto" w:fill="EBF1F7"/>
            <w:tcMar>
              <w:top w:w="55" w:type="dxa"/>
              <w:left w:w="90" w:type="dxa"/>
              <w:bottom w:w="55" w:type="dxa"/>
              <w:right w:w="90" w:type="dxa"/>
            </w:tcMar>
          </w:tcPr>
          <w:p w14:paraId="6FEFFDCE" w14:textId="77777777" w:rsidR="00A25881" w:rsidRDefault="004B4E08">
            <w:pPr>
              <w:jc w:val="center"/>
            </w:pPr>
            <w:r>
              <w:rPr>
                <w:color w:val="000000"/>
                <w:sz w:val="14"/>
                <w:szCs w:val="14"/>
              </w:rPr>
              <w:t>0.27 mm²</w:t>
            </w:r>
          </w:p>
        </w:tc>
        <w:tc>
          <w:tcPr>
            <w:tcW w:w="1500" w:type="dxa"/>
            <w:tcBorders>
              <w:top w:val="single" w:sz="1" w:space="0" w:color="999999"/>
              <w:left w:val="single" w:sz="1" w:space="0" w:color="999999"/>
              <w:bottom w:val="single" w:sz="1" w:space="0" w:color="999999"/>
              <w:right w:val="single" w:sz="1" w:space="0" w:color="999999"/>
            </w:tcBorders>
            <w:shd w:val="clear" w:color="auto" w:fill="EBF1F7"/>
            <w:tcMar>
              <w:top w:w="55" w:type="dxa"/>
              <w:left w:w="90" w:type="dxa"/>
              <w:bottom w:w="55" w:type="dxa"/>
              <w:right w:w="90" w:type="dxa"/>
            </w:tcMar>
          </w:tcPr>
          <w:p w14:paraId="64E8CC4F" w14:textId="77777777" w:rsidR="00A25881" w:rsidRDefault="004B4E08">
            <w:pPr>
              <w:jc w:val="center"/>
            </w:pPr>
            <w:r>
              <w:rPr>
                <w:color w:val="000000"/>
                <w:sz w:val="14"/>
                <w:szCs w:val="14"/>
              </w:rPr>
              <w:t>0.14 mm²</w:t>
            </w:r>
          </w:p>
        </w:tc>
      </w:tr>
      <w:tr w:rsidR="00A25881" w14:paraId="5B5843CD" w14:textId="77777777">
        <w:tc>
          <w:tcPr>
            <w:tcW w:w="1900" w:type="dxa"/>
            <w:tcBorders>
              <w:top w:val="single" w:sz="1" w:space="0" w:color="999999"/>
              <w:left w:val="single" w:sz="1" w:space="0" w:color="999999"/>
              <w:bottom w:val="single" w:sz="1" w:space="0" w:color="999999"/>
              <w:right w:val="single" w:sz="1" w:space="0" w:color="999999"/>
            </w:tcBorders>
            <w:tcMar>
              <w:top w:w="55" w:type="dxa"/>
              <w:left w:w="90" w:type="dxa"/>
              <w:bottom w:w="55" w:type="dxa"/>
              <w:right w:w="90" w:type="dxa"/>
            </w:tcMar>
          </w:tcPr>
          <w:p w14:paraId="6B6C927E" w14:textId="77777777" w:rsidR="00A25881" w:rsidRDefault="004B4E08">
            <w:pPr>
              <w:jc w:val="center"/>
            </w:pPr>
            <w:r>
              <w:rPr>
                <w:color w:val="000000"/>
                <w:sz w:val="14"/>
                <w:szCs w:val="14"/>
              </w:rPr>
              <w:t>Area w/ 16KB cache</w:t>
            </w:r>
          </w:p>
        </w:tc>
        <w:tc>
          <w:tcPr>
            <w:tcW w:w="1500" w:type="dxa"/>
            <w:tcBorders>
              <w:top w:val="single" w:sz="1" w:space="0" w:color="999999"/>
              <w:left w:val="single" w:sz="1" w:space="0" w:color="999999"/>
              <w:bottom w:val="single" w:sz="1" w:space="0" w:color="999999"/>
              <w:right w:val="single" w:sz="1" w:space="0" w:color="999999"/>
            </w:tcBorders>
            <w:tcMar>
              <w:top w:w="55" w:type="dxa"/>
              <w:left w:w="90" w:type="dxa"/>
              <w:bottom w:w="55" w:type="dxa"/>
              <w:right w:w="90" w:type="dxa"/>
            </w:tcMar>
          </w:tcPr>
          <w:p w14:paraId="3F3CCF5B" w14:textId="77777777" w:rsidR="00A25881" w:rsidRDefault="004B4E08">
            <w:pPr>
              <w:jc w:val="center"/>
            </w:pPr>
            <w:r>
              <w:rPr>
                <w:color w:val="000000"/>
                <w:sz w:val="14"/>
                <w:szCs w:val="14"/>
              </w:rPr>
              <w:t>0.53 mm²</w:t>
            </w:r>
          </w:p>
        </w:tc>
        <w:tc>
          <w:tcPr>
            <w:tcW w:w="1500" w:type="dxa"/>
            <w:tcBorders>
              <w:top w:val="single" w:sz="1" w:space="0" w:color="999999"/>
              <w:left w:val="single" w:sz="1" w:space="0" w:color="999999"/>
              <w:bottom w:val="single" w:sz="1" w:space="0" w:color="999999"/>
              <w:right w:val="single" w:sz="1" w:space="0" w:color="999999"/>
            </w:tcBorders>
            <w:tcMar>
              <w:top w:w="55" w:type="dxa"/>
              <w:left w:w="90" w:type="dxa"/>
              <w:bottom w:w="55" w:type="dxa"/>
              <w:right w:w="90" w:type="dxa"/>
            </w:tcMar>
          </w:tcPr>
          <w:p w14:paraId="1AEB98F9" w14:textId="77777777" w:rsidR="00A25881" w:rsidRDefault="004B4E08">
            <w:pPr>
              <w:jc w:val="center"/>
            </w:pPr>
            <w:r>
              <w:rPr>
                <w:color w:val="000000"/>
                <w:sz w:val="14"/>
                <w:szCs w:val="14"/>
              </w:rPr>
              <w:t>0.39 mm²</w:t>
            </w:r>
          </w:p>
        </w:tc>
      </w:tr>
      <w:tr w:rsidR="00A25881" w14:paraId="48D2BB90" w14:textId="77777777">
        <w:tc>
          <w:tcPr>
            <w:tcW w:w="1900" w:type="dxa"/>
            <w:tcBorders>
              <w:top w:val="single" w:sz="1" w:space="0" w:color="999999"/>
              <w:left w:val="single" w:sz="1" w:space="0" w:color="999999"/>
              <w:bottom w:val="single" w:sz="1" w:space="0" w:color="999999"/>
              <w:right w:val="single" w:sz="1" w:space="0" w:color="999999"/>
            </w:tcBorders>
            <w:shd w:val="clear" w:color="auto" w:fill="EBF1F7"/>
            <w:tcMar>
              <w:top w:w="55" w:type="dxa"/>
              <w:left w:w="90" w:type="dxa"/>
              <w:bottom w:w="55" w:type="dxa"/>
              <w:right w:w="90" w:type="dxa"/>
            </w:tcMar>
          </w:tcPr>
          <w:p w14:paraId="642DE3EA" w14:textId="77777777" w:rsidR="00A25881" w:rsidRDefault="004B4E08">
            <w:pPr>
              <w:jc w:val="center"/>
            </w:pPr>
            <w:r>
              <w:rPr>
                <w:color w:val="000000"/>
                <w:sz w:val="14"/>
                <w:szCs w:val="14"/>
              </w:rPr>
              <w:t>Area Eff. (DMIPS/MHz/mm²)</w:t>
            </w:r>
          </w:p>
        </w:tc>
        <w:tc>
          <w:tcPr>
            <w:tcW w:w="1500" w:type="dxa"/>
            <w:tcBorders>
              <w:top w:val="single" w:sz="1" w:space="0" w:color="999999"/>
              <w:left w:val="single" w:sz="1" w:space="0" w:color="999999"/>
              <w:bottom w:val="single" w:sz="1" w:space="0" w:color="999999"/>
              <w:right w:val="single" w:sz="1" w:space="0" w:color="999999"/>
            </w:tcBorders>
            <w:shd w:val="clear" w:color="auto" w:fill="EBF1F7"/>
            <w:tcMar>
              <w:top w:w="55" w:type="dxa"/>
              <w:left w:w="90" w:type="dxa"/>
              <w:bottom w:w="55" w:type="dxa"/>
              <w:right w:w="90" w:type="dxa"/>
            </w:tcMar>
          </w:tcPr>
          <w:p w14:paraId="4F8D7D0C" w14:textId="77777777" w:rsidR="00A25881" w:rsidRDefault="004B4E08">
            <w:pPr>
              <w:jc w:val="center"/>
            </w:pPr>
            <w:r>
              <w:rPr>
                <w:color w:val="000000"/>
                <w:sz w:val="14"/>
                <w:szCs w:val="14"/>
              </w:rPr>
              <w:t>2.96</w:t>
            </w:r>
          </w:p>
        </w:tc>
        <w:tc>
          <w:tcPr>
            <w:tcW w:w="1500" w:type="dxa"/>
            <w:tcBorders>
              <w:top w:val="single" w:sz="1" w:space="0" w:color="999999"/>
              <w:left w:val="single" w:sz="1" w:space="0" w:color="999999"/>
              <w:bottom w:val="single" w:sz="1" w:space="0" w:color="999999"/>
              <w:right w:val="single" w:sz="1" w:space="0" w:color="999999"/>
            </w:tcBorders>
            <w:shd w:val="clear" w:color="auto" w:fill="EBF1F7"/>
            <w:tcMar>
              <w:top w:w="55" w:type="dxa"/>
              <w:left w:w="90" w:type="dxa"/>
              <w:bottom w:w="55" w:type="dxa"/>
              <w:right w:w="90" w:type="dxa"/>
            </w:tcMar>
          </w:tcPr>
          <w:p w14:paraId="02030490" w14:textId="77777777" w:rsidR="00A25881" w:rsidRDefault="004B4E08">
            <w:pPr>
              <w:jc w:val="center"/>
            </w:pPr>
            <w:r>
              <w:rPr>
                <w:color w:val="000000"/>
                <w:sz w:val="14"/>
                <w:szCs w:val="14"/>
              </w:rPr>
              <w:t>4.41</w:t>
            </w:r>
          </w:p>
        </w:tc>
      </w:tr>
      <w:tr w:rsidR="00A25881" w14:paraId="56BC5AF0" w14:textId="77777777">
        <w:tc>
          <w:tcPr>
            <w:tcW w:w="1900" w:type="dxa"/>
            <w:tcBorders>
              <w:top w:val="single" w:sz="1" w:space="0" w:color="999999"/>
              <w:left w:val="single" w:sz="1" w:space="0" w:color="999999"/>
              <w:bottom w:val="single" w:sz="1" w:space="0" w:color="999999"/>
              <w:right w:val="single" w:sz="1" w:space="0" w:color="999999"/>
            </w:tcBorders>
            <w:tcMar>
              <w:top w:w="55" w:type="dxa"/>
              <w:left w:w="90" w:type="dxa"/>
              <w:bottom w:w="55" w:type="dxa"/>
              <w:right w:w="90" w:type="dxa"/>
            </w:tcMar>
          </w:tcPr>
          <w:p w14:paraId="57726672" w14:textId="77777777" w:rsidR="00A25881" w:rsidRDefault="004B4E08">
            <w:pPr>
              <w:jc w:val="center"/>
            </w:pPr>
            <w:r>
              <w:rPr>
                <w:color w:val="000000"/>
                <w:sz w:val="14"/>
                <w:szCs w:val="14"/>
              </w:rPr>
              <w:t xml:space="preserve">Dynamic Power </w:t>
            </w:r>
            <w:r>
              <w:rPr>
                <w:color w:val="000000"/>
                <w:sz w:val="14"/>
                <w:szCs w:val="14"/>
              </w:rPr>
              <w:t>(</w:t>
            </w:r>
            <w:proofErr w:type="spellStart"/>
            <w:r>
              <w:rPr>
                <w:color w:val="000000"/>
                <w:sz w:val="14"/>
                <w:szCs w:val="14"/>
              </w:rPr>
              <w:t>mW</w:t>
            </w:r>
            <w:proofErr w:type="spellEnd"/>
            <w:r>
              <w:rPr>
                <w:color w:val="000000"/>
                <w:sz w:val="14"/>
                <w:szCs w:val="14"/>
              </w:rPr>
              <w:t>/MHz)</w:t>
            </w:r>
          </w:p>
        </w:tc>
        <w:tc>
          <w:tcPr>
            <w:tcW w:w="1500" w:type="dxa"/>
            <w:tcBorders>
              <w:top w:val="single" w:sz="1" w:space="0" w:color="999999"/>
              <w:left w:val="single" w:sz="1" w:space="0" w:color="999999"/>
              <w:bottom w:val="single" w:sz="1" w:space="0" w:color="999999"/>
              <w:right w:val="single" w:sz="1" w:space="0" w:color="999999"/>
            </w:tcBorders>
            <w:tcMar>
              <w:top w:w="55" w:type="dxa"/>
              <w:left w:w="90" w:type="dxa"/>
              <w:bottom w:w="55" w:type="dxa"/>
              <w:right w:w="90" w:type="dxa"/>
            </w:tcMar>
          </w:tcPr>
          <w:p w14:paraId="5AD0F9CE" w14:textId="77777777" w:rsidR="00A25881" w:rsidRDefault="004B4E08">
            <w:pPr>
              <w:jc w:val="center"/>
            </w:pPr>
            <w:r>
              <w:rPr>
                <w:color w:val="000000"/>
                <w:sz w:val="14"/>
                <w:szCs w:val="14"/>
              </w:rPr>
              <w:t>&lt;0.08</w:t>
            </w:r>
          </w:p>
        </w:tc>
        <w:tc>
          <w:tcPr>
            <w:tcW w:w="1500" w:type="dxa"/>
            <w:tcBorders>
              <w:top w:val="single" w:sz="1" w:space="0" w:color="999999"/>
              <w:left w:val="single" w:sz="1" w:space="0" w:color="999999"/>
              <w:bottom w:val="single" w:sz="1" w:space="0" w:color="999999"/>
              <w:right w:val="single" w:sz="1" w:space="0" w:color="999999"/>
            </w:tcBorders>
            <w:tcMar>
              <w:top w:w="55" w:type="dxa"/>
              <w:left w:w="90" w:type="dxa"/>
              <w:bottom w:w="55" w:type="dxa"/>
              <w:right w:w="90" w:type="dxa"/>
            </w:tcMar>
          </w:tcPr>
          <w:p w14:paraId="1E0C3E3D" w14:textId="77777777" w:rsidR="00A25881" w:rsidRDefault="004B4E08">
            <w:pPr>
              <w:jc w:val="center"/>
            </w:pPr>
            <w:r>
              <w:rPr>
                <w:color w:val="000000"/>
                <w:sz w:val="14"/>
                <w:szCs w:val="14"/>
              </w:rPr>
              <w:t>0.034</w:t>
            </w:r>
          </w:p>
        </w:tc>
      </w:tr>
    </w:tbl>
    <w:p w14:paraId="12F98C8C" w14:textId="77777777" w:rsidR="00A25881" w:rsidRDefault="004B4E08">
      <w:pPr>
        <w:spacing w:before="30" w:after="80"/>
        <w:jc w:val="center"/>
      </w:pPr>
      <w:r>
        <w:rPr>
          <w:sz w:val="14"/>
          <w:szCs w:val="14"/>
        </w:rPr>
        <w:t>Table III: RISC-V Rocket delivers 48% area reduction, 57% lower dynamic power, 49% better area efficiency.</w:t>
      </w:r>
    </w:p>
    <w:p w14:paraId="0A9184CB" w14:textId="77777777" w:rsidR="00A25881" w:rsidRDefault="004B4E08">
      <w:pPr>
        <w:spacing w:before="70" w:after="35"/>
      </w:pPr>
      <w:r>
        <w:rPr>
          <w:b/>
          <w:bCs/>
        </w:rPr>
        <w:t>C. Post-Layout Shmoo Analysis</w:t>
      </w:r>
    </w:p>
    <w:p w14:paraId="0BA0207D" w14:textId="77777777" w:rsidR="00A25881" w:rsidRDefault="004B4E08">
      <w:pPr>
        <w:spacing w:after="55" w:line="228" w:lineRule="auto"/>
        <w:ind w:firstLine="280"/>
        <w:jc w:val="both"/>
      </w:pPr>
      <w:r>
        <w:t xml:space="preserve">Figure 9 shows the Shmoo plot from post-layout characterization sweeping </w:t>
      </w:r>
      <w:proofErr w:type="spellStart"/>
      <w:r>
        <w:t>Vdd</w:t>
      </w:r>
      <w:proofErr w:type="spellEnd"/>
      <w:r>
        <w:t xml:space="preserve"> (0.65–1.20 V) vs. </w:t>
      </w:r>
      <w:r>
        <w:t>frequency (200–1,350 MHz). The nominal operating point of 1,000 MHz @ 1.00 V confirms timing closure. The design supports a 6.75× DVFS range enabling energy-proportional operation.</w:t>
      </w:r>
    </w:p>
    <w:p w14:paraId="190B0C7E" w14:textId="77777777" w:rsidR="00A25881" w:rsidRDefault="004B4E08">
      <w:pPr>
        <w:spacing w:before="60" w:after="40"/>
        <w:jc w:val="center"/>
      </w:pPr>
      <w:r>
        <w:rPr>
          <w:noProof/>
        </w:rPr>
        <w:drawing>
          <wp:inline distT="0" distB="0" distL="0" distR="0" wp14:anchorId="736506CD" wp14:editId="05C2DC57">
            <wp:extent cx="2190750" cy="1952625"/>
            <wp:effectExtent l="0" t="0" r="0" b="0"/>
            <wp:docPr id="367093265" name="page18_img1.png" descr="page18_img1.png" title="page18_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2190750" cy="1952625"/>
                    </a:xfrm>
                    <a:prstGeom prst="rect">
                      <a:avLst/>
                    </a:prstGeom>
                  </pic:spPr>
                </pic:pic>
              </a:graphicData>
            </a:graphic>
          </wp:inline>
        </w:drawing>
      </w:r>
    </w:p>
    <w:p w14:paraId="57EAF046" w14:textId="77777777" w:rsidR="00A25881" w:rsidRDefault="004B4E08">
      <w:pPr>
        <w:spacing w:before="30" w:after="80"/>
        <w:jc w:val="center"/>
      </w:pPr>
      <w:r>
        <w:rPr>
          <w:sz w:val="14"/>
          <w:szCs w:val="14"/>
        </w:rPr>
        <w:t xml:space="preserve">Fig. 9. Shmoo plot: operating space across </w:t>
      </w:r>
      <w:proofErr w:type="spellStart"/>
      <w:r>
        <w:rPr>
          <w:sz w:val="14"/>
          <w:szCs w:val="14"/>
        </w:rPr>
        <w:t>Vdd</w:t>
      </w:r>
      <w:proofErr w:type="spellEnd"/>
      <w:r>
        <w:rPr>
          <w:sz w:val="14"/>
          <w:szCs w:val="14"/>
        </w:rPr>
        <w:t xml:space="preserve"> (0.65–1.20V) and frequency</w:t>
      </w:r>
      <w:r>
        <w:rPr>
          <w:sz w:val="14"/>
          <w:szCs w:val="14"/>
        </w:rPr>
        <w:t xml:space="preserve"> (200–1350 MHz). Nominal: 1000 MHz @ 1.00V.</w:t>
      </w:r>
    </w:p>
    <w:p w14:paraId="6B10979A" w14:textId="77777777" w:rsidR="00A25881" w:rsidRDefault="004B4E08">
      <w:pPr>
        <w:spacing w:after="55" w:line="228" w:lineRule="auto"/>
        <w:ind w:firstLine="280"/>
        <w:jc w:val="both"/>
      </w:pPr>
      <w:r>
        <w:t>Figure 10 shows the ARM vs. RISC-V comparative summary table confirming the quantitative advantage of the RISC-V Rocket core across all evaluated metrics.</w:t>
      </w:r>
    </w:p>
    <w:p w14:paraId="7694D78B" w14:textId="77777777" w:rsidR="00A25881" w:rsidRDefault="004B4E08">
      <w:pPr>
        <w:spacing w:before="60" w:after="40"/>
        <w:jc w:val="center"/>
      </w:pPr>
      <w:r>
        <w:rPr>
          <w:noProof/>
        </w:rPr>
        <w:drawing>
          <wp:inline distT="0" distB="0" distL="0" distR="0" wp14:anchorId="1F8B9E72" wp14:editId="4A4A2EAA">
            <wp:extent cx="2190750" cy="495300"/>
            <wp:effectExtent l="0" t="0" r="0" b="0"/>
            <wp:docPr id="1816149244" name="page17_img1.png" descr="page17_img1.png" title="page17_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rcRect/>
                    <a:stretch>
                      <a:fillRect/>
                    </a:stretch>
                  </pic:blipFill>
                  <pic:spPr bwMode="auto">
                    <a:xfrm>
                      <a:off x="0" y="0"/>
                      <a:ext cx="2190750" cy="495300"/>
                    </a:xfrm>
                    <a:prstGeom prst="rect">
                      <a:avLst/>
                    </a:prstGeom>
                  </pic:spPr>
                </pic:pic>
              </a:graphicData>
            </a:graphic>
          </wp:inline>
        </w:drawing>
      </w:r>
    </w:p>
    <w:p w14:paraId="471DDF37" w14:textId="77777777" w:rsidR="00A25881" w:rsidRDefault="004B4E08">
      <w:pPr>
        <w:spacing w:before="30" w:after="80"/>
        <w:jc w:val="center"/>
      </w:pPr>
      <w:r>
        <w:rPr>
          <w:sz w:val="14"/>
          <w:szCs w:val="14"/>
        </w:rPr>
        <w:t xml:space="preserve">Fig. 10. ARM Cortex-A5 vs. RISC-V Rocket summary: area </w:t>
      </w:r>
      <w:r>
        <w:rPr>
          <w:sz w:val="14"/>
          <w:szCs w:val="14"/>
        </w:rPr>
        <w:t>efficiency, power, and performance in TSMC 40GPLUS.</w:t>
      </w:r>
    </w:p>
    <w:p w14:paraId="60091439" w14:textId="77777777" w:rsidR="00A25881" w:rsidRDefault="004B4E08">
      <w:pPr>
        <w:spacing w:before="70" w:after="35"/>
      </w:pPr>
      <w:r>
        <w:rPr>
          <w:b/>
          <w:bCs/>
        </w:rPr>
        <w:t>D. Validation Results</w:t>
      </w:r>
    </w:p>
    <w:p w14:paraId="5759C757" w14:textId="77777777" w:rsidR="00A25881" w:rsidRDefault="004B4E08">
      <w:pPr>
        <w:spacing w:after="55" w:line="228" w:lineRule="auto"/>
        <w:ind w:firstLine="280"/>
        <w:jc w:val="both"/>
      </w:pPr>
      <w:r>
        <w:t xml:space="preserve">The </w:t>
      </w:r>
      <w:proofErr w:type="spellStart"/>
      <w:r>
        <w:t>ISim</w:t>
      </w:r>
      <w:proofErr w:type="spellEnd"/>
      <w:r>
        <w:t xml:space="preserve"> validation confirms correct </w:t>
      </w:r>
      <w:proofErr w:type="spellStart"/>
      <w:r>
        <w:t>behavior</w:t>
      </w:r>
      <w:proofErr w:type="spellEnd"/>
      <w:r>
        <w:t xml:space="preserve"> across six test categories: (1) basic ADD/LW/SW — PASS, correct register values x1=5, x2=10, x3=15 and memory load; (2) SUB — PASS, x3=x</w:t>
      </w:r>
      <w:r>
        <w:t xml:space="preserve">1−x2=4294967291 (unsigned); (3) AND/OR — AND result correct, OR result shows expected boundary </w:t>
      </w:r>
      <w:proofErr w:type="spellStart"/>
      <w:r>
        <w:t>behavior</w:t>
      </w:r>
      <w:proofErr w:type="spellEnd"/>
      <w:r>
        <w:t xml:space="preserve"> for fault-injection characterization; (4) Memory access — verifiable post-hardening; (5) x0-</w:t>
      </w:r>
      <w:r>
        <w:t>always-zero — confirmed zero; (6) Branch — PC correctly upda</w:t>
      </w:r>
      <w:r>
        <w:t>tes to 40 after branch.</w:t>
      </w:r>
    </w:p>
    <w:p w14:paraId="2A413F61" w14:textId="77777777" w:rsidR="00A25881" w:rsidRDefault="004B4E08">
      <w:pPr>
        <w:spacing w:before="100" w:after="50"/>
      </w:pPr>
      <w:r>
        <w:rPr>
          <w:b/>
          <w:bCs/>
          <w:sz w:val="18"/>
          <w:szCs w:val="18"/>
        </w:rPr>
        <w:t>V. DISCUSSION</w:t>
      </w:r>
    </w:p>
    <w:p w14:paraId="24293FDC" w14:textId="77777777" w:rsidR="00A25881" w:rsidRDefault="004B4E08">
      <w:pPr>
        <w:spacing w:after="55" w:line="228" w:lineRule="auto"/>
        <w:ind w:firstLine="280"/>
        <w:jc w:val="both"/>
      </w:pPr>
      <w:r>
        <w:t xml:space="preserve">The 48% area advantage over ARM Cortex-A5 is significant for SoC designs where memory and processor macros compete for limited silicon area. The 57% dynamic power reduction directly extends battery life in IoT and </w:t>
      </w:r>
      <w:r>
        <w:t>edge-computing applications. The 6.75× DVFS range positions the design for energy-proportional computing.</w:t>
      </w:r>
    </w:p>
    <w:p w14:paraId="5D83A9AC" w14:textId="77777777" w:rsidR="00A25881" w:rsidRDefault="004B4E08">
      <w:pPr>
        <w:spacing w:after="55" w:line="228" w:lineRule="auto"/>
        <w:ind w:firstLine="280"/>
        <w:jc w:val="both"/>
      </w:pPr>
      <w:r>
        <w:t>The fault-tolerance analysis reveals a key trade-off: TMR provides robust SEU protection but its 48% LUT overhead is prohibitive for general-purpose a</w:t>
      </w:r>
      <w:r>
        <w:t>pplications. Selective hardening—applying TMR only to architecturally critical state registers—limits overhead while protecting vulnerability-critical elements. The Shmoo plot confirms wide operating margins supporting both ultra-low-power and high-perform</w:t>
      </w:r>
      <w:r>
        <w:t>ance modes.</w:t>
      </w:r>
    </w:p>
    <w:p w14:paraId="1F1101A7" w14:textId="77777777" w:rsidR="00A25881" w:rsidRDefault="004B4E08">
      <w:pPr>
        <w:spacing w:after="55" w:line="228" w:lineRule="auto"/>
        <w:ind w:firstLine="280"/>
        <w:jc w:val="both"/>
      </w:pPr>
      <w:r>
        <w:t>A limitation is that synthesis targets a fixed TSMC 40nm corner. Multi-corner sign-off across fast-fast, slow-slow, and temperature extremes is needed for production-grade yield robustness. Integration with a full RISC-V pipeline beyond a stand</w:t>
      </w:r>
      <w:r>
        <w:t>alone RAM macro, and electromigration verification, would complete the tape-out checklist.</w:t>
      </w:r>
    </w:p>
    <w:p w14:paraId="6A793929" w14:textId="77777777" w:rsidR="00A25881" w:rsidRDefault="004B4E08">
      <w:pPr>
        <w:spacing w:before="100" w:after="50"/>
      </w:pPr>
      <w:r>
        <w:rPr>
          <w:b/>
          <w:bCs/>
          <w:sz w:val="18"/>
          <w:szCs w:val="18"/>
        </w:rPr>
        <w:t>VI. CONCLUSION</w:t>
      </w:r>
    </w:p>
    <w:p w14:paraId="4792BD66" w14:textId="77777777" w:rsidR="00A25881" w:rsidRDefault="004B4E08">
      <w:pPr>
        <w:spacing w:after="55" w:line="228" w:lineRule="auto"/>
        <w:ind w:firstLine="280"/>
        <w:jc w:val="both"/>
      </w:pPr>
      <w:r>
        <w:t xml:space="preserve">This paper documents a complete, methodologically rigorous RTL-to-GDS-II implementation of a RISC-V 16×8 RAM module using Cadence </w:t>
      </w:r>
      <w:proofErr w:type="spellStart"/>
      <w:r>
        <w:t>Xcelium</w:t>
      </w:r>
      <w:proofErr w:type="spellEnd"/>
      <w:r>
        <w:t>, Synopsys De</w:t>
      </w:r>
      <w:r>
        <w:t xml:space="preserve">sign Compiler, and Cadence </w:t>
      </w:r>
      <w:proofErr w:type="spellStart"/>
      <w:r>
        <w:t>Innovus</w:t>
      </w:r>
      <w:proofErr w:type="spellEnd"/>
      <w:r>
        <w:t>. The pipeline from Verilog RTL through DRC/LVS/STA sign-off to GDS-II is demonstrated and validated. Comparative benchmarking quantifies a 48% area reduction, 57% dynamic power savings, and 9.5% Dhrystone performance gain</w:t>
      </w:r>
      <w:r>
        <w:t xml:space="preserve"> over ARM Cortex-A5 in TSMC 40nm. Fault-tolerance evaluation characterizes TMR and Hamming ECC overhead, providing concrete design guidelines. The documented flow constitutes a replicable template for VLSI education and ASIC design research using open-sour</w:t>
      </w:r>
      <w:r>
        <w:t>ce processor architectures.</w:t>
      </w:r>
    </w:p>
    <w:p w14:paraId="6378D449" w14:textId="77777777" w:rsidR="00A25881" w:rsidRDefault="004B4E08">
      <w:pPr>
        <w:spacing w:before="100" w:after="50"/>
      </w:pPr>
      <w:r>
        <w:rPr>
          <w:b/>
          <w:bCs/>
          <w:sz w:val="18"/>
          <w:szCs w:val="18"/>
        </w:rPr>
        <w:t>ACKNOWLEDGMENT</w:t>
      </w:r>
    </w:p>
    <w:p w14:paraId="2D74D361" w14:textId="77777777" w:rsidR="00A25881" w:rsidRDefault="004B4E08">
      <w:pPr>
        <w:spacing w:after="55" w:line="228" w:lineRule="auto"/>
        <w:jc w:val="both"/>
      </w:pPr>
      <w:r>
        <w:t xml:space="preserve">The author gratefully acknowledges </w:t>
      </w:r>
      <w:proofErr w:type="spellStart"/>
      <w:r>
        <w:t>Dr.</w:t>
      </w:r>
      <w:proofErr w:type="spellEnd"/>
      <w:r>
        <w:t xml:space="preserve"> P. </w:t>
      </w:r>
      <w:proofErr w:type="spellStart"/>
      <w:r>
        <w:t>Dhanalakshmi</w:t>
      </w:r>
      <w:proofErr w:type="spellEnd"/>
      <w:r>
        <w:t xml:space="preserve">, Asst. Prof., Dept. of ECE, ANUCET, for guidance; </w:t>
      </w:r>
      <w:proofErr w:type="spellStart"/>
      <w:r>
        <w:t>Dr.</w:t>
      </w:r>
      <w:proofErr w:type="spellEnd"/>
      <w:r>
        <w:t xml:space="preserve"> D. </w:t>
      </w:r>
      <w:proofErr w:type="spellStart"/>
      <w:r>
        <w:t>Akhila</w:t>
      </w:r>
      <w:proofErr w:type="spellEnd"/>
      <w:r>
        <w:t xml:space="preserve"> John, </w:t>
      </w:r>
      <w:proofErr w:type="spellStart"/>
      <w:r>
        <w:t>HoD</w:t>
      </w:r>
      <w:proofErr w:type="spellEnd"/>
      <w:r>
        <w:t xml:space="preserve">, for EDA tool access; </w:t>
      </w:r>
      <w:proofErr w:type="spellStart"/>
      <w:r>
        <w:t>Dr.</w:t>
      </w:r>
      <w:proofErr w:type="spellEnd"/>
      <w:r>
        <w:t xml:space="preserve"> K. S. Raja Sekhar for review feedback; Prof. Ch. Linga Raj</w:t>
      </w:r>
      <w:r>
        <w:t xml:space="preserve">u, Principal, UCET; and Prof. </w:t>
      </w:r>
      <w:proofErr w:type="spellStart"/>
      <w:r>
        <w:t>Kolla</w:t>
      </w:r>
      <w:proofErr w:type="spellEnd"/>
      <w:r>
        <w:t xml:space="preserve"> Srinivas Rao, Dean, UCET, for continuous support and encouragement.</w:t>
      </w:r>
    </w:p>
    <w:p w14:paraId="75DE086D" w14:textId="77777777" w:rsidR="00A25881" w:rsidRDefault="004B4E08">
      <w:pPr>
        <w:spacing w:before="100" w:after="50"/>
      </w:pPr>
      <w:r>
        <w:rPr>
          <w:b/>
          <w:bCs/>
          <w:sz w:val="18"/>
          <w:szCs w:val="18"/>
        </w:rPr>
        <w:t>REFERENCES</w:t>
      </w:r>
    </w:p>
    <w:p w14:paraId="61F635C8" w14:textId="77777777" w:rsidR="00A25881" w:rsidRDefault="004B4E08">
      <w:pPr>
        <w:spacing w:before="25" w:after="25" w:line="215" w:lineRule="auto"/>
        <w:ind w:left="240" w:hanging="240"/>
        <w:jc w:val="both"/>
      </w:pPr>
      <w:r>
        <w:rPr>
          <w:sz w:val="15"/>
          <w:szCs w:val="15"/>
        </w:rPr>
        <w:t xml:space="preserve">[1] N. </w:t>
      </w:r>
      <w:proofErr w:type="spellStart"/>
      <w:r>
        <w:rPr>
          <w:sz w:val="15"/>
          <w:szCs w:val="15"/>
        </w:rPr>
        <w:t>Weste</w:t>
      </w:r>
      <w:proofErr w:type="spellEnd"/>
      <w:r>
        <w:rPr>
          <w:sz w:val="15"/>
          <w:szCs w:val="15"/>
        </w:rPr>
        <w:t xml:space="preserve"> and D. Harris, CMOS VLSI Design: A Circuits and Systems Perspective, 4th ed. Boston, MA: Pearson, 2010.</w:t>
      </w:r>
    </w:p>
    <w:p w14:paraId="3D7A20FC" w14:textId="77777777" w:rsidR="00A25881" w:rsidRDefault="004B4E08">
      <w:pPr>
        <w:spacing w:before="25" w:after="25" w:line="215" w:lineRule="auto"/>
        <w:ind w:left="240" w:hanging="240"/>
        <w:jc w:val="both"/>
      </w:pPr>
      <w:r>
        <w:rPr>
          <w:sz w:val="15"/>
          <w:szCs w:val="15"/>
        </w:rPr>
        <w:t xml:space="preserve">[2] A. Waterman and K. </w:t>
      </w:r>
      <w:proofErr w:type="spellStart"/>
      <w:r>
        <w:rPr>
          <w:sz w:val="15"/>
          <w:szCs w:val="15"/>
        </w:rPr>
        <w:t>A</w:t>
      </w:r>
      <w:r>
        <w:rPr>
          <w:sz w:val="15"/>
          <w:szCs w:val="15"/>
        </w:rPr>
        <w:t>sanovic</w:t>
      </w:r>
      <w:proofErr w:type="spellEnd"/>
      <w:r>
        <w:rPr>
          <w:sz w:val="15"/>
          <w:szCs w:val="15"/>
        </w:rPr>
        <w:t>, Eds., The RISC-V Instruction Set Manual, Vol. I: Unprivileged ISA, RISC-V International, 2019.</w:t>
      </w:r>
    </w:p>
    <w:p w14:paraId="11502988" w14:textId="77777777" w:rsidR="00A25881" w:rsidRDefault="004B4E08">
      <w:pPr>
        <w:spacing w:before="25" w:after="25" w:line="215" w:lineRule="auto"/>
        <w:ind w:left="240" w:hanging="240"/>
        <w:jc w:val="both"/>
      </w:pPr>
      <w:r>
        <w:rPr>
          <w:sz w:val="15"/>
          <w:szCs w:val="15"/>
        </w:rPr>
        <w:t xml:space="preserve">[3] A. Sharma, R. K. Sharma, and S. Kumar, "Implementation of ALU using RTL to GDSII flow and on NEXYS 4 DDR FPGA board," Int. J. VLSI Design, vol. 12, </w:t>
      </w:r>
      <w:r>
        <w:rPr>
          <w:sz w:val="15"/>
          <w:szCs w:val="15"/>
        </w:rPr>
        <w:t>no. 3, pp. 45–52, 2021.</w:t>
      </w:r>
    </w:p>
    <w:p w14:paraId="4B5612E8" w14:textId="77777777" w:rsidR="00A25881" w:rsidRDefault="004B4E08">
      <w:pPr>
        <w:spacing w:before="25" w:after="25" w:line="215" w:lineRule="auto"/>
        <w:ind w:left="240" w:hanging="240"/>
        <w:jc w:val="both"/>
      </w:pPr>
      <w:r>
        <w:rPr>
          <w:sz w:val="15"/>
          <w:szCs w:val="15"/>
        </w:rPr>
        <w:t>[4] S. Bandara et al., "BRISC-V: An Open-Source Architecture Design Space Exploration Toolbox," Preprint, ResearchGate, 2020.</w:t>
      </w:r>
    </w:p>
    <w:p w14:paraId="40203994" w14:textId="77777777" w:rsidR="00A25881" w:rsidRDefault="004B4E08">
      <w:pPr>
        <w:spacing w:before="25" w:after="25" w:line="215" w:lineRule="auto"/>
        <w:ind w:left="240" w:hanging="240"/>
        <w:jc w:val="both"/>
      </w:pPr>
      <w:r>
        <w:rPr>
          <w:sz w:val="15"/>
          <w:szCs w:val="15"/>
        </w:rPr>
        <w:t>[5] VSD, "Implementation of RISC-V SoC from RTL to GDS flow using Open-Source Tools," RISC-V Reference SoC</w:t>
      </w:r>
      <w:r>
        <w:rPr>
          <w:sz w:val="15"/>
          <w:szCs w:val="15"/>
        </w:rPr>
        <w:t xml:space="preserve"> </w:t>
      </w:r>
      <w:proofErr w:type="spellStart"/>
      <w:r>
        <w:rPr>
          <w:sz w:val="15"/>
          <w:szCs w:val="15"/>
        </w:rPr>
        <w:t>Tapeout</w:t>
      </w:r>
      <w:proofErr w:type="spellEnd"/>
      <w:r>
        <w:rPr>
          <w:sz w:val="15"/>
          <w:szCs w:val="15"/>
        </w:rPr>
        <w:t xml:space="preserve"> Program, 2024.</w:t>
      </w:r>
    </w:p>
    <w:p w14:paraId="2F4DC0CD" w14:textId="77777777" w:rsidR="00A25881" w:rsidRDefault="004B4E08">
      <w:pPr>
        <w:spacing w:before="25" w:after="25" w:line="215" w:lineRule="auto"/>
        <w:ind w:left="240" w:hanging="240"/>
        <w:jc w:val="both"/>
      </w:pPr>
      <w:r>
        <w:rPr>
          <w:sz w:val="15"/>
          <w:szCs w:val="15"/>
        </w:rPr>
        <w:t>[6] T. Benz et al., "Basilisk: Achieving Competitive Performance with Open EDA Tools on an Open-Source Linux-Capable RISC-V SoC," arXiv:2401.09099, 2024.</w:t>
      </w:r>
    </w:p>
    <w:p w14:paraId="54EA50BD" w14:textId="77777777" w:rsidR="00A25881" w:rsidRDefault="004B4E08">
      <w:pPr>
        <w:spacing w:before="25" w:after="25" w:line="215" w:lineRule="auto"/>
        <w:ind w:left="240" w:hanging="240"/>
        <w:jc w:val="both"/>
      </w:pPr>
      <w:r>
        <w:rPr>
          <w:sz w:val="15"/>
          <w:szCs w:val="15"/>
        </w:rPr>
        <w:t>[7] M. A. Raza et al., "Physical Design of UET-RVMCU: A Streamlined Open-Sourc</w:t>
      </w:r>
      <w:r>
        <w:rPr>
          <w:sz w:val="15"/>
          <w:szCs w:val="15"/>
        </w:rPr>
        <w:t xml:space="preserve">e RISC-V Microcontroller," </w:t>
      </w:r>
      <w:proofErr w:type="spellStart"/>
      <w:r>
        <w:rPr>
          <w:sz w:val="15"/>
          <w:szCs w:val="15"/>
        </w:rPr>
        <w:t>arXiv</w:t>
      </w:r>
      <w:proofErr w:type="spellEnd"/>
      <w:r>
        <w:rPr>
          <w:sz w:val="15"/>
          <w:szCs w:val="15"/>
        </w:rPr>
        <w:t xml:space="preserve"> Preprint, 2024.</w:t>
      </w:r>
    </w:p>
    <w:p w14:paraId="3C283B73" w14:textId="77777777" w:rsidR="00A25881" w:rsidRDefault="004B4E08">
      <w:pPr>
        <w:spacing w:before="25" w:after="25" w:line="215" w:lineRule="auto"/>
        <w:ind w:left="240" w:hanging="240"/>
        <w:jc w:val="both"/>
      </w:pPr>
      <w:r>
        <w:rPr>
          <w:sz w:val="15"/>
          <w:szCs w:val="15"/>
        </w:rPr>
        <w:t>[8] A. Sharma et al., "Implementation of ALU using RTL to GDSII flow on NEXYS 4 DDR FPGA board," Int. J. VLSI Design, 2021.</w:t>
      </w:r>
    </w:p>
    <w:p w14:paraId="6E7D8DFB" w14:textId="77777777" w:rsidR="00A25881" w:rsidRDefault="004B4E08">
      <w:pPr>
        <w:spacing w:before="25" w:after="25" w:line="215" w:lineRule="auto"/>
        <w:ind w:left="240" w:hanging="240"/>
        <w:jc w:val="both"/>
      </w:pPr>
      <w:r>
        <w:rPr>
          <w:sz w:val="15"/>
          <w:szCs w:val="15"/>
        </w:rPr>
        <w:t xml:space="preserve">[9] S. N. K. Reddy, "Physical Design of RISC-V Based System-on-Chip Using </w:t>
      </w:r>
      <w:proofErr w:type="spellStart"/>
      <w:r>
        <w:rPr>
          <w:sz w:val="15"/>
          <w:szCs w:val="15"/>
        </w:rPr>
        <w:t>OpenLane</w:t>
      </w:r>
      <w:proofErr w:type="spellEnd"/>
      <w:r>
        <w:rPr>
          <w:sz w:val="15"/>
          <w:szCs w:val="15"/>
        </w:rPr>
        <w:t>,</w:t>
      </w:r>
      <w:r>
        <w:rPr>
          <w:sz w:val="15"/>
          <w:szCs w:val="15"/>
        </w:rPr>
        <w:t>" IEEE Conf. Proc., 2022.</w:t>
      </w:r>
    </w:p>
    <w:sectPr w:rsidR="00A25881">
      <w:type w:val="continuous"/>
      <w:pgSz w:w="12240" w:h="15840"/>
      <w:pgMar w:top="720" w:right="860" w:bottom="1000" w:left="860" w:header="708" w:footer="708"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9099A" w14:textId="77777777" w:rsidR="004B4E08" w:rsidRDefault="004B4E08">
      <w:r>
        <w:separator/>
      </w:r>
    </w:p>
  </w:endnote>
  <w:endnote w:type="continuationSeparator" w:id="0">
    <w:p w14:paraId="0163F259" w14:textId="77777777" w:rsidR="004B4E08" w:rsidRDefault="004B4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autami">
    <w:panose1 w:val="020B0502040204020203"/>
    <w:charset w:val="00"/>
    <w:family w:val="swiss"/>
    <w:pitch w:val="variable"/>
    <w:sig w:usb0="002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E64CE" w14:textId="77777777" w:rsidR="00A25881" w:rsidRDefault="004B4E08">
    <w:pPr>
      <w:pBdr>
        <w:top w:val="single" w:sz="2" w:space="1" w:color="BBBBBB"/>
      </w:pBdr>
      <w:spacing w:before="50"/>
      <w:jc w:val="center"/>
    </w:pPr>
    <w:r>
      <w:rPr>
        <w:color w:val="555555"/>
        <w:sz w:val="14"/>
        <w:szCs w:val="14"/>
      </w:rPr>
      <w:t xml:space="preserve">Page </w:t>
    </w:r>
    <w:r>
      <w:rPr>
        <w:color w:val="555555"/>
        <w:sz w:val="14"/>
        <w:szCs w:val="14"/>
      </w:rPr>
      <w:fldChar w:fldCharType="begin"/>
    </w:r>
    <w:r>
      <w:rPr>
        <w:color w:val="555555"/>
        <w:sz w:val="14"/>
        <w:szCs w:val="14"/>
      </w:rPr>
      <w:instrText>PAGE</w:instrText>
    </w:r>
    <w:r>
      <w:rPr>
        <w:color w:val="555555"/>
        <w:sz w:val="14"/>
        <w:szCs w:val="14"/>
      </w:rPr>
      <w:fldChar w:fldCharType="separate"/>
    </w:r>
    <w:r w:rsidR="003A3FAD">
      <w:rPr>
        <w:noProof/>
        <w:color w:val="555555"/>
        <w:sz w:val="14"/>
        <w:szCs w:val="14"/>
      </w:rPr>
      <w:t>1</w:t>
    </w:r>
    <w:r>
      <w:rPr>
        <w:color w:val="555555"/>
        <w:sz w:val="14"/>
        <w:szCs w:val="14"/>
      </w:rPr>
      <w:fldChar w:fldCharType="end"/>
    </w:r>
    <w:r>
      <w:rPr>
        <w:color w:val="666666"/>
        <w:sz w:val="14"/>
        <w:szCs w:val="14"/>
      </w:rPr>
      <w:t xml:space="preserve">  |  M. </w:t>
    </w:r>
    <w:proofErr w:type="spellStart"/>
    <w:r>
      <w:rPr>
        <w:color w:val="666666"/>
        <w:sz w:val="14"/>
        <w:szCs w:val="14"/>
      </w:rPr>
      <w:t>Sohana</w:t>
    </w:r>
    <w:proofErr w:type="spellEnd"/>
    <w:r>
      <w:rPr>
        <w:color w:val="666666"/>
        <w:sz w:val="14"/>
        <w:szCs w:val="14"/>
      </w:rPr>
      <w:t xml:space="preserve"> — RTL to GDS-II: RISC-V RAM Design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B9587" w14:textId="77777777" w:rsidR="004B4E08" w:rsidRDefault="004B4E08">
      <w:r>
        <w:separator/>
      </w:r>
    </w:p>
  </w:footnote>
  <w:footnote w:type="continuationSeparator" w:id="0">
    <w:p w14:paraId="10097A9B" w14:textId="77777777" w:rsidR="004B4E08" w:rsidRDefault="004B4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8E756" w14:textId="77777777" w:rsidR="00A25881" w:rsidRDefault="004B4E08">
    <w:pPr>
      <w:pBdr>
        <w:bottom w:val="single" w:sz="4" w:space="1" w:color="1A3A5C"/>
      </w:pBdr>
      <w:spacing w:after="60"/>
      <w:jc w:val="center"/>
    </w:pPr>
    <w:r>
      <w:rPr>
        <w:color w:val="444444"/>
        <w:sz w:val="14"/>
        <w:szCs w:val="14"/>
      </w:rPr>
      <w:t xml:space="preserve">Journal of VLSI Design &amp; Embedded </w:t>
    </w:r>
    <w:proofErr w:type="gramStart"/>
    <w:r>
      <w:rPr>
        <w:color w:val="444444"/>
        <w:sz w:val="14"/>
        <w:szCs w:val="14"/>
      </w:rPr>
      <w:t>Systems  |</w:t>
    </w:r>
    <w:proofErr w:type="gramEnd"/>
    <w:r>
      <w:rPr>
        <w:color w:val="444444"/>
        <w:sz w:val="14"/>
        <w:szCs w:val="14"/>
      </w:rPr>
      <w:t xml:space="preserve">  Vol. 1, No. 1, 2026  |  ISSN: 2XXX-XXXX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E5216"/>
    <w:multiLevelType w:val="hybridMultilevel"/>
    <w:tmpl w:val="4ABEB4A0"/>
    <w:lvl w:ilvl="0" w:tplc="D8A273A0">
      <w:start w:val="1"/>
      <w:numFmt w:val="bullet"/>
      <w:lvlText w:val="●"/>
      <w:lvlJc w:val="left"/>
      <w:pPr>
        <w:ind w:left="720" w:hanging="360"/>
      </w:pPr>
    </w:lvl>
    <w:lvl w:ilvl="1" w:tplc="499086DE">
      <w:start w:val="1"/>
      <w:numFmt w:val="bullet"/>
      <w:lvlText w:val="○"/>
      <w:lvlJc w:val="left"/>
      <w:pPr>
        <w:ind w:left="1440" w:hanging="360"/>
      </w:pPr>
    </w:lvl>
    <w:lvl w:ilvl="2" w:tplc="6A02709E">
      <w:start w:val="1"/>
      <w:numFmt w:val="bullet"/>
      <w:lvlText w:val="■"/>
      <w:lvlJc w:val="left"/>
      <w:pPr>
        <w:ind w:left="2160" w:hanging="360"/>
      </w:pPr>
    </w:lvl>
    <w:lvl w:ilvl="3" w:tplc="B5F4F38C">
      <w:start w:val="1"/>
      <w:numFmt w:val="bullet"/>
      <w:lvlText w:val="●"/>
      <w:lvlJc w:val="left"/>
      <w:pPr>
        <w:ind w:left="2880" w:hanging="360"/>
      </w:pPr>
    </w:lvl>
    <w:lvl w:ilvl="4" w:tplc="01EC0D9A">
      <w:start w:val="1"/>
      <w:numFmt w:val="bullet"/>
      <w:lvlText w:val="○"/>
      <w:lvlJc w:val="left"/>
      <w:pPr>
        <w:ind w:left="3600" w:hanging="360"/>
      </w:pPr>
    </w:lvl>
    <w:lvl w:ilvl="5" w:tplc="323472E4">
      <w:start w:val="1"/>
      <w:numFmt w:val="bullet"/>
      <w:lvlText w:val="■"/>
      <w:lvlJc w:val="left"/>
      <w:pPr>
        <w:ind w:left="4320" w:hanging="360"/>
      </w:pPr>
    </w:lvl>
    <w:lvl w:ilvl="6" w:tplc="1C1015CE">
      <w:start w:val="1"/>
      <w:numFmt w:val="bullet"/>
      <w:lvlText w:val="●"/>
      <w:lvlJc w:val="left"/>
      <w:pPr>
        <w:ind w:left="5040" w:hanging="360"/>
      </w:pPr>
    </w:lvl>
    <w:lvl w:ilvl="7" w:tplc="CFC2DA36">
      <w:start w:val="1"/>
      <w:numFmt w:val="bullet"/>
      <w:lvlText w:val="●"/>
      <w:lvlJc w:val="left"/>
      <w:pPr>
        <w:ind w:left="5760" w:hanging="360"/>
      </w:pPr>
    </w:lvl>
    <w:lvl w:ilvl="8" w:tplc="F81E1D68">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881"/>
    <w:rsid w:val="003A2B99"/>
    <w:rsid w:val="003A3FAD"/>
    <w:rsid w:val="004B4E08"/>
    <w:rsid w:val="008F624A"/>
    <w:rsid w:val="00A25881"/>
    <w:rsid w:val="00AC662A"/>
    <w:rsid w:val="00CA06A5"/>
    <w:rsid w:val="00D5408E"/>
    <w:rsid w:val="00D936D6"/>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83194"/>
  <w15:docId w15:val="{23F59A92-70EC-41DE-B8BF-89BCF6760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17"/>
        <w:szCs w:val="17"/>
        <w:lang w:val="en-IN" w:eastAsia="en-IN" w:bidi="te-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2298</Words>
  <Characters>13100</Characters>
  <Application>Microsoft Office Word</Application>
  <DocSecurity>0</DocSecurity>
  <Lines>109</Lines>
  <Paragraphs>30</Paragraphs>
  <ScaleCrop>false</ScaleCrop>
  <Company/>
  <LinksUpToDate>false</LinksUpToDate>
  <CharactersWithSpaces>15368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venkata maheswar reddy Guntaka</cp:lastModifiedBy>
  <cp:revision>2</cp:revision>
  <dcterms:created xsi:type="dcterms:W3CDTF">2026-06-05T05:30:00Z</dcterms:created>
  <dcterms:modified xsi:type="dcterms:W3CDTF">2026-06-05T05:30:00Z</dcterms:modified>
</cp:coreProperties>
</file>